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527872" w14:textId="77777777" w:rsidR="00DB2C29" w:rsidRDefault="00DB2C29" w:rsidP="00DB2C29">
      <w:pPr>
        <w:pStyle w:val="Default"/>
      </w:pPr>
    </w:p>
    <w:p w14:paraId="740869DA" w14:textId="3A981FB6" w:rsidR="00A31AC9" w:rsidRPr="00725A39" w:rsidRDefault="00DB2C29" w:rsidP="00FE1C15">
      <w:pPr>
        <w:pStyle w:val="Heading1"/>
      </w:pPr>
      <w:r w:rsidRPr="00725A39">
        <w:t xml:space="preserve">MADE L7 </w:t>
      </w:r>
    </w:p>
    <w:p w14:paraId="3A70B101" w14:textId="5C274CC1" w:rsidR="00A31AC9" w:rsidRPr="00725A39" w:rsidRDefault="00A31AC9" w:rsidP="00FE1C15">
      <w:pPr>
        <w:pStyle w:val="Heading1"/>
      </w:pPr>
      <w:r w:rsidRPr="00725A39">
        <w:t>Capital Project Appraisal Presentation</w:t>
      </w:r>
    </w:p>
    <w:p w14:paraId="7E282A32" w14:textId="2C4957D9" w:rsidR="00DB2C29" w:rsidRPr="00725A39" w:rsidRDefault="00DB2C29" w:rsidP="00FE1C15">
      <w:pPr>
        <w:pStyle w:val="Heading1"/>
      </w:pPr>
      <w:r w:rsidRPr="00725A39">
        <w:t xml:space="preserve">MSc Financial Management &amp; Planning </w:t>
      </w:r>
    </w:p>
    <w:p w14:paraId="43BFFFD4" w14:textId="77777777" w:rsidR="00CB79A8" w:rsidRPr="00725A39" w:rsidRDefault="00CB79A8" w:rsidP="001169BE">
      <w:pPr>
        <w:pStyle w:val="Default"/>
        <w:spacing w:line="360" w:lineRule="auto"/>
        <w:rPr>
          <w:rFonts w:ascii="Calibri Light" w:hAnsi="Calibri Light" w:cs="Calibri Light"/>
          <w:bCs/>
        </w:rPr>
      </w:pPr>
    </w:p>
    <w:p w14:paraId="03C0AADF" w14:textId="570DB405" w:rsidR="00DB2C29" w:rsidRPr="00725A39" w:rsidRDefault="00DB2C29" w:rsidP="001169BE">
      <w:pPr>
        <w:pStyle w:val="Default"/>
        <w:spacing w:line="360" w:lineRule="auto"/>
        <w:rPr>
          <w:rFonts w:ascii="Calibri Light" w:hAnsi="Calibri Light" w:cs="Calibri Light"/>
        </w:rPr>
      </w:pPr>
      <w:r w:rsidRPr="00725A39">
        <w:rPr>
          <w:rFonts w:ascii="Calibri Light" w:hAnsi="Calibri Light" w:cs="Calibri Light"/>
          <w:bCs/>
        </w:rPr>
        <w:t xml:space="preserve">Module Code: ACPA7002 </w:t>
      </w:r>
    </w:p>
    <w:p w14:paraId="59AE867C" w14:textId="364DD850" w:rsidR="00DB2C29" w:rsidRPr="00725A39" w:rsidRDefault="00DB2C29" w:rsidP="001169BE">
      <w:pPr>
        <w:pStyle w:val="Default"/>
        <w:spacing w:line="360" w:lineRule="auto"/>
        <w:rPr>
          <w:rFonts w:ascii="Calibri Light" w:hAnsi="Calibri Light" w:cs="Calibri Light"/>
          <w:bCs/>
        </w:rPr>
      </w:pPr>
      <w:r w:rsidRPr="00725A39">
        <w:rPr>
          <w:rFonts w:ascii="Calibri Light" w:hAnsi="Calibri Light" w:cs="Calibri Light"/>
          <w:bCs/>
        </w:rPr>
        <w:t xml:space="preserve">Supervisor: Gareth Frost </w:t>
      </w:r>
    </w:p>
    <w:p w14:paraId="5FD14062" w14:textId="6273B4EC" w:rsidR="00DB2C29" w:rsidRPr="00725A39" w:rsidRDefault="00A31AC9" w:rsidP="001169BE">
      <w:pPr>
        <w:pStyle w:val="Default"/>
        <w:spacing w:line="360" w:lineRule="auto"/>
        <w:rPr>
          <w:rFonts w:ascii="Calibri Light" w:hAnsi="Calibri Light" w:cs="Calibri Light"/>
          <w:bCs/>
        </w:rPr>
      </w:pPr>
      <w:r w:rsidRPr="00725A39">
        <w:rPr>
          <w:rFonts w:ascii="Calibri Light" w:hAnsi="Calibri Light" w:cs="Calibri Light"/>
          <w:bCs/>
        </w:rPr>
        <w:t>29</w:t>
      </w:r>
      <w:r w:rsidR="00DB2C29" w:rsidRPr="00725A39">
        <w:rPr>
          <w:rFonts w:ascii="Calibri Light" w:hAnsi="Calibri Light" w:cs="Calibri Light"/>
          <w:bCs/>
          <w:vertAlign w:val="superscript"/>
        </w:rPr>
        <w:t>th</w:t>
      </w:r>
      <w:r w:rsidR="00DB2C29" w:rsidRPr="00725A39">
        <w:rPr>
          <w:rFonts w:ascii="Calibri Light" w:hAnsi="Calibri Light" w:cs="Calibri Light"/>
          <w:bCs/>
        </w:rPr>
        <w:t xml:space="preserve"> </w:t>
      </w:r>
      <w:r w:rsidRPr="00725A39">
        <w:rPr>
          <w:rFonts w:ascii="Calibri Light" w:hAnsi="Calibri Light" w:cs="Calibri Light"/>
          <w:bCs/>
        </w:rPr>
        <w:t>April</w:t>
      </w:r>
      <w:r w:rsidR="00DB2C29" w:rsidRPr="00725A39">
        <w:rPr>
          <w:rFonts w:ascii="Calibri Light" w:hAnsi="Calibri Light" w:cs="Calibri Light"/>
          <w:bCs/>
        </w:rPr>
        <w:t xml:space="preserve"> 2023 </w:t>
      </w:r>
    </w:p>
    <w:p w14:paraId="01B7E8F6" w14:textId="2A4D93E7" w:rsidR="00DB2C29" w:rsidRPr="00725A39" w:rsidRDefault="00DB2C29" w:rsidP="001169BE">
      <w:pPr>
        <w:pStyle w:val="Default"/>
        <w:spacing w:line="360" w:lineRule="auto"/>
        <w:rPr>
          <w:rFonts w:ascii="Calibri Light" w:hAnsi="Calibri Light" w:cs="Calibri Light"/>
          <w:bCs/>
        </w:rPr>
      </w:pPr>
      <w:r w:rsidRPr="00725A39">
        <w:rPr>
          <w:rFonts w:ascii="Calibri Light" w:hAnsi="Calibri Light" w:cs="Calibri Light"/>
          <w:bCs/>
        </w:rPr>
        <w:t>Student- Lee Price</w:t>
      </w:r>
    </w:p>
    <w:p w14:paraId="0770CC69" w14:textId="37C643F4" w:rsidR="00DB2C29" w:rsidRPr="00725A39" w:rsidRDefault="00DB2C29" w:rsidP="001169BE">
      <w:pPr>
        <w:spacing w:line="360" w:lineRule="auto"/>
        <w:rPr>
          <w:rFonts w:ascii="Calibri Light" w:hAnsi="Calibri Light" w:cs="Calibri Light"/>
          <w:bCs/>
          <w:sz w:val="24"/>
          <w:szCs w:val="24"/>
        </w:rPr>
      </w:pPr>
      <w:r w:rsidRPr="00725A39">
        <w:rPr>
          <w:rFonts w:ascii="Calibri Light" w:hAnsi="Calibri Light" w:cs="Calibri Light"/>
          <w:bCs/>
          <w:sz w:val="24"/>
          <w:szCs w:val="24"/>
        </w:rPr>
        <w:t xml:space="preserve">Email:Pricey_lee@yahoo.co.uk / Lee.Price@safran group.com </w:t>
      </w:r>
    </w:p>
    <w:p w14:paraId="0D5E7D9D" w14:textId="6C94F8BF" w:rsidR="00DB2C29" w:rsidRDefault="00DB2C29" w:rsidP="00DB2C29">
      <w:pPr>
        <w:rPr>
          <w:b/>
          <w:bCs/>
        </w:rPr>
      </w:pPr>
      <w:r>
        <w:rPr>
          <w:b/>
          <w:bCs/>
        </w:rPr>
        <w:t xml:space="preserve"> </w:t>
      </w:r>
      <w:r w:rsidR="00CB79A8">
        <w:rPr>
          <w:b/>
          <w:bCs/>
          <w:noProof/>
          <w:lang w:eastAsia="en-GB"/>
        </w:rPr>
        <w:drawing>
          <wp:inline distT="0" distB="0" distL="0" distR="0" wp14:anchorId="6893DDEF" wp14:editId="7CC72885">
            <wp:extent cx="6615430" cy="34872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35566" cy="3497900"/>
                    </a:xfrm>
                    <a:prstGeom prst="rect">
                      <a:avLst/>
                    </a:prstGeom>
                    <a:noFill/>
                  </pic:spPr>
                </pic:pic>
              </a:graphicData>
            </a:graphic>
          </wp:inline>
        </w:drawing>
      </w:r>
    </w:p>
    <w:p w14:paraId="26BCAD78" w14:textId="2F57AC56" w:rsidR="001169BE" w:rsidRDefault="001169BE" w:rsidP="00DB2C29">
      <w:pPr>
        <w:rPr>
          <w:b/>
          <w:bCs/>
        </w:rPr>
      </w:pPr>
    </w:p>
    <w:p w14:paraId="4A3464D9" w14:textId="77777777" w:rsidR="00CB79A8" w:rsidRDefault="00CB79A8" w:rsidP="00DB2C29"/>
    <w:p w14:paraId="46112302" w14:textId="77777777" w:rsidR="00DB2C29" w:rsidRDefault="00DB2C29" w:rsidP="00DB2C29">
      <w:r>
        <w:rPr>
          <w:noProof/>
          <w:lang w:eastAsia="en-GB"/>
        </w:rPr>
        <w:drawing>
          <wp:inline distT="0" distB="0" distL="0" distR="0" wp14:anchorId="104FD60F" wp14:editId="61D3B4AB">
            <wp:extent cx="1809750" cy="723900"/>
            <wp:effectExtent l="0" t="0" r="0" b="0"/>
            <wp:docPr id="4" name="Picture 4" descr="C:\Users\lprice1\AppData\Local\Microsoft\Windows\INetCache\Content.MSO\85DF59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price1\AppData\Local\Microsoft\Windows\INetCache\Content.MSO\85DF593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A78D3E7" w14:textId="423054BA" w:rsidR="00DB2C29" w:rsidRDefault="00DB2C29" w:rsidP="00DB2C29">
      <w:pPr>
        <w:pStyle w:val="Heading1"/>
      </w:pPr>
      <w:r>
        <w:lastRenderedPageBreak/>
        <w:t>Content</w:t>
      </w:r>
    </w:p>
    <w:p w14:paraId="532F3A69" w14:textId="77777777" w:rsidR="00121F35" w:rsidRPr="00121F35" w:rsidRDefault="00121F35" w:rsidP="00121F35">
      <w:pPr>
        <w:rPr>
          <w:lang w:val="en-US"/>
        </w:rPr>
      </w:pPr>
    </w:p>
    <w:p w14:paraId="5C13A8FF" w14:textId="79154704" w:rsidR="00881275" w:rsidRPr="00121F35" w:rsidRDefault="00FA2D8C" w:rsidP="00881275">
      <w:pPr>
        <w:pStyle w:val="ListParagraph"/>
        <w:numPr>
          <w:ilvl w:val="0"/>
          <w:numId w:val="1"/>
        </w:numPr>
        <w:spacing w:line="480" w:lineRule="auto"/>
        <w:rPr>
          <w:rFonts w:asciiTheme="majorHAnsi" w:hAnsiTheme="majorHAnsi" w:cstheme="majorHAnsi"/>
          <w:sz w:val="24"/>
          <w:szCs w:val="24"/>
          <w:lang w:val="en-US"/>
        </w:rPr>
      </w:pPr>
      <w:r w:rsidRPr="00121F35">
        <w:rPr>
          <w:rFonts w:asciiTheme="majorHAnsi" w:hAnsiTheme="majorHAnsi" w:cstheme="majorHAnsi"/>
          <w:sz w:val="24"/>
          <w:szCs w:val="24"/>
        </w:rPr>
        <w:t>Summa</w:t>
      </w:r>
      <w:r w:rsidR="00164587" w:rsidRPr="00121F35">
        <w:rPr>
          <w:rFonts w:asciiTheme="majorHAnsi" w:hAnsiTheme="majorHAnsi" w:cstheme="majorHAnsi"/>
          <w:sz w:val="24"/>
          <w:szCs w:val="24"/>
        </w:rPr>
        <w:t>ry</w:t>
      </w:r>
      <w:r w:rsidR="00ED7207" w:rsidRPr="00121F35">
        <w:rPr>
          <w:rFonts w:asciiTheme="majorHAnsi" w:hAnsiTheme="majorHAnsi" w:cstheme="majorHAnsi"/>
          <w:sz w:val="24"/>
          <w:szCs w:val="24"/>
        </w:rPr>
        <w:t xml:space="preserve"> </w:t>
      </w:r>
    </w:p>
    <w:p w14:paraId="6D0234D3" w14:textId="68AC57FC" w:rsidR="00DB2C29" w:rsidRPr="00121F35" w:rsidRDefault="009D2098" w:rsidP="00DB2C29">
      <w:pPr>
        <w:pStyle w:val="ListParagraph"/>
        <w:numPr>
          <w:ilvl w:val="0"/>
          <w:numId w:val="1"/>
        </w:numPr>
        <w:spacing w:line="480" w:lineRule="auto"/>
        <w:rPr>
          <w:rFonts w:asciiTheme="majorHAnsi" w:hAnsiTheme="majorHAnsi" w:cstheme="majorHAnsi"/>
          <w:sz w:val="24"/>
          <w:szCs w:val="24"/>
          <w:lang w:val="en-US"/>
        </w:rPr>
      </w:pPr>
      <w:r w:rsidRPr="00121F35">
        <w:rPr>
          <w:rFonts w:asciiTheme="majorHAnsi" w:hAnsiTheme="majorHAnsi" w:cstheme="majorHAnsi"/>
          <w:sz w:val="24"/>
          <w:szCs w:val="24"/>
        </w:rPr>
        <w:t>Detailed Review</w:t>
      </w:r>
      <w:r w:rsidR="00881275" w:rsidRPr="00121F35">
        <w:rPr>
          <w:rFonts w:asciiTheme="majorHAnsi" w:hAnsiTheme="majorHAnsi" w:cstheme="majorHAnsi"/>
          <w:sz w:val="24"/>
          <w:szCs w:val="24"/>
        </w:rPr>
        <w:t xml:space="preserve"> around Capital Expenditure</w:t>
      </w:r>
    </w:p>
    <w:p w14:paraId="36B84905" w14:textId="1B0610CA" w:rsidR="00881275" w:rsidRPr="00121F35" w:rsidRDefault="00881275" w:rsidP="00881275">
      <w:pPr>
        <w:pStyle w:val="ListParagraph"/>
        <w:numPr>
          <w:ilvl w:val="1"/>
          <w:numId w:val="1"/>
        </w:numPr>
        <w:spacing w:line="480" w:lineRule="auto"/>
        <w:rPr>
          <w:rFonts w:asciiTheme="majorHAnsi" w:hAnsiTheme="majorHAnsi" w:cstheme="majorHAnsi"/>
          <w:sz w:val="24"/>
          <w:szCs w:val="24"/>
          <w:lang w:val="en-US"/>
        </w:rPr>
      </w:pPr>
      <w:r w:rsidRPr="00121F35">
        <w:rPr>
          <w:rFonts w:asciiTheme="majorHAnsi" w:hAnsiTheme="majorHAnsi" w:cstheme="majorHAnsi"/>
          <w:sz w:val="24"/>
          <w:szCs w:val="24"/>
          <w:lang w:val="en-US"/>
        </w:rPr>
        <w:t>Payback</w:t>
      </w:r>
    </w:p>
    <w:p w14:paraId="52BED572" w14:textId="7A1977C5" w:rsidR="00881275" w:rsidRPr="00121F35" w:rsidRDefault="00881275" w:rsidP="00881275">
      <w:pPr>
        <w:pStyle w:val="ListParagraph"/>
        <w:numPr>
          <w:ilvl w:val="1"/>
          <w:numId w:val="1"/>
        </w:numPr>
        <w:spacing w:line="480" w:lineRule="auto"/>
        <w:rPr>
          <w:rFonts w:asciiTheme="majorHAnsi" w:hAnsiTheme="majorHAnsi" w:cstheme="majorHAnsi"/>
          <w:sz w:val="24"/>
          <w:szCs w:val="24"/>
          <w:lang w:val="en-US"/>
        </w:rPr>
      </w:pPr>
      <w:r w:rsidRPr="00121F35">
        <w:rPr>
          <w:rFonts w:asciiTheme="majorHAnsi" w:hAnsiTheme="majorHAnsi" w:cstheme="majorHAnsi"/>
          <w:sz w:val="24"/>
          <w:szCs w:val="24"/>
          <w:lang w:val="en-US"/>
        </w:rPr>
        <w:t>NPV (net present value)</w:t>
      </w:r>
    </w:p>
    <w:p w14:paraId="08B16D47" w14:textId="665EBB01" w:rsidR="00DB2C29" w:rsidRDefault="00881275" w:rsidP="00881275">
      <w:pPr>
        <w:pStyle w:val="ListParagraph"/>
        <w:numPr>
          <w:ilvl w:val="1"/>
          <w:numId w:val="1"/>
        </w:numPr>
        <w:spacing w:line="480" w:lineRule="auto"/>
        <w:rPr>
          <w:rFonts w:asciiTheme="majorHAnsi" w:hAnsiTheme="majorHAnsi" w:cstheme="majorHAnsi"/>
          <w:sz w:val="24"/>
          <w:szCs w:val="24"/>
          <w:lang w:val="en-US"/>
        </w:rPr>
      </w:pPr>
      <w:r w:rsidRPr="00121F35">
        <w:rPr>
          <w:rFonts w:asciiTheme="majorHAnsi" w:hAnsiTheme="majorHAnsi" w:cstheme="majorHAnsi"/>
          <w:sz w:val="24"/>
          <w:szCs w:val="24"/>
          <w:lang w:val="en-US"/>
        </w:rPr>
        <w:t>IRR</w:t>
      </w:r>
      <w:r w:rsidR="00302B95">
        <w:rPr>
          <w:rFonts w:asciiTheme="majorHAnsi" w:hAnsiTheme="majorHAnsi" w:cstheme="majorHAnsi"/>
          <w:sz w:val="24"/>
          <w:szCs w:val="24"/>
          <w:lang w:val="en-US"/>
        </w:rPr>
        <w:t xml:space="preserve"> (internal rate of return)</w:t>
      </w:r>
    </w:p>
    <w:p w14:paraId="1BF8538A" w14:textId="57D1D0D7" w:rsidR="00302B95" w:rsidRDefault="00302B95" w:rsidP="00881275">
      <w:pPr>
        <w:pStyle w:val="ListParagraph"/>
        <w:numPr>
          <w:ilvl w:val="1"/>
          <w:numId w:val="1"/>
        </w:numPr>
        <w:spacing w:line="480" w:lineRule="auto"/>
        <w:rPr>
          <w:rFonts w:asciiTheme="majorHAnsi" w:hAnsiTheme="majorHAnsi" w:cstheme="majorHAnsi"/>
          <w:sz w:val="24"/>
          <w:szCs w:val="24"/>
          <w:lang w:val="en-US"/>
        </w:rPr>
      </w:pPr>
      <w:r>
        <w:rPr>
          <w:rFonts w:asciiTheme="majorHAnsi" w:hAnsiTheme="majorHAnsi" w:cstheme="majorHAnsi"/>
          <w:sz w:val="24"/>
          <w:szCs w:val="24"/>
          <w:lang w:val="en-US"/>
        </w:rPr>
        <w:t>PI</w:t>
      </w:r>
      <w:r w:rsidR="00DE1EBB">
        <w:rPr>
          <w:rFonts w:asciiTheme="majorHAnsi" w:hAnsiTheme="majorHAnsi" w:cstheme="majorHAnsi"/>
          <w:sz w:val="24"/>
          <w:szCs w:val="24"/>
          <w:lang w:val="en-US"/>
        </w:rPr>
        <w:t xml:space="preserve"> (profitability index)</w:t>
      </w:r>
    </w:p>
    <w:p w14:paraId="6BE0F810" w14:textId="2C7B2B53" w:rsidR="00302B95" w:rsidRDefault="00302B95" w:rsidP="00881275">
      <w:pPr>
        <w:pStyle w:val="ListParagraph"/>
        <w:numPr>
          <w:ilvl w:val="1"/>
          <w:numId w:val="1"/>
        </w:numPr>
        <w:spacing w:line="480" w:lineRule="auto"/>
        <w:rPr>
          <w:rFonts w:asciiTheme="majorHAnsi" w:hAnsiTheme="majorHAnsi" w:cstheme="majorHAnsi"/>
          <w:sz w:val="24"/>
          <w:szCs w:val="24"/>
          <w:lang w:val="en-US"/>
        </w:rPr>
      </w:pPr>
      <w:r>
        <w:rPr>
          <w:rFonts w:asciiTheme="majorHAnsi" w:hAnsiTheme="majorHAnsi" w:cstheme="majorHAnsi"/>
          <w:sz w:val="24"/>
          <w:szCs w:val="24"/>
          <w:lang w:val="en-US"/>
        </w:rPr>
        <w:t>BCR</w:t>
      </w:r>
      <w:r w:rsidR="00DE1EBB">
        <w:rPr>
          <w:rFonts w:asciiTheme="majorHAnsi" w:hAnsiTheme="majorHAnsi" w:cstheme="majorHAnsi"/>
          <w:sz w:val="24"/>
          <w:szCs w:val="24"/>
          <w:lang w:val="en-US"/>
        </w:rPr>
        <w:t xml:space="preserve"> (benefit-cost ratio)</w:t>
      </w:r>
    </w:p>
    <w:p w14:paraId="4FE7C467" w14:textId="5A9950FC" w:rsidR="00DE1EBB" w:rsidRPr="00121F35" w:rsidRDefault="00DE1EBB" w:rsidP="00881275">
      <w:pPr>
        <w:pStyle w:val="ListParagraph"/>
        <w:numPr>
          <w:ilvl w:val="1"/>
          <w:numId w:val="1"/>
        </w:numPr>
        <w:spacing w:line="480" w:lineRule="auto"/>
        <w:rPr>
          <w:rFonts w:asciiTheme="majorHAnsi" w:hAnsiTheme="majorHAnsi" w:cstheme="majorHAnsi"/>
          <w:sz w:val="24"/>
          <w:szCs w:val="24"/>
          <w:lang w:val="en-US"/>
        </w:rPr>
      </w:pPr>
      <w:r>
        <w:rPr>
          <w:rFonts w:asciiTheme="majorHAnsi" w:hAnsiTheme="majorHAnsi" w:cstheme="majorHAnsi"/>
          <w:sz w:val="24"/>
          <w:szCs w:val="24"/>
          <w:lang w:val="en-US"/>
        </w:rPr>
        <w:t>ARR (accounting rate of return)</w:t>
      </w:r>
    </w:p>
    <w:p w14:paraId="19BA028E" w14:textId="0B0CB3D2" w:rsidR="00DB2C29" w:rsidRPr="00121F35" w:rsidRDefault="00881275" w:rsidP="00DB2C29">
      <w:pPr>
        <w:pStyle w:val="ListParagraph"/>
        <w:numPr>
          <w:ilvl w:val="0"/>
          <w:numId w:val="1"/>
        </w:numPr>
        <w:spacing w:line="480" w:lineRule="auto"/>
        <w:rPr>
          <w:rFonts w:asciiTheme="majorHAnsi" w:hAnsiTheme="majorHAnsi" w:cstheme="majorHAnsi"/>
          <w:sz w:val="24"/>
          <w:szCs w:val="24"/>
          <w:lang w:val="en-US"/>
        </w:rPr>
      </w:pPr>
      <w:r w:rsidRPr="00121F35">
        <w:rPr>
          <w:rFonts w:asciiTheme="majorHAnsi" w:hAnsiTheme="majorHAnsi" w:cstheme="majorHAnsi"/>
          <w:sz w:val="24"/>
          <w:szCs w:val="24"/>
          <w:lang w:val="en-US"/>
        </w:rPr>
        <w:t>Implementation issues</w:t>
      </w:r>
    </w:p>
    <w:p w14:paraId="1000B930" w14:textId="5376E1B8" w:rsidR="00DB2C29" w:rsidRPr="00121F35" w:rsidRDefault="00725A39" w:rsidP="00DB2C29">
      <w:pPr>
        <w:pStyle w:val="ListParagraph"/>
        <w:numPr>
          <w:ilvl w:val="0"/>
          <w:numId w:val="1"/>
        </w:numPr>
        <w:spacing w:line="480" w:lineRule="auto"/>
        <w:rPr>
          <w:rFonts w:asciiTheme="majorHAnsi" w:hAnsiTheme="majorHAnsi" w:cstheme="majorHAnsi"/>
          <w:sz w:val="24"/>
          <w:szCs w:val="24"/>
          <w:lang w:val="en-US"/>
        </w:rPr>
      </w:pPr>
      <w:r w:rsidRPr="00121F35">
        <w:rPr>
          <w:rFonts w:asciiTheme="majorHAnsi" w:hAnsiTheme="majorHAnsi" w:cstheme="majorHAnsi"/>
          <w:sz w:val="24"/>
          <w:szCs w:val="24"/>
          <w:lang w:val="en-US"/>
        </w:rPr>
        <w:t>Options for funding</w:t>
      </w:r>
    </w:p>
    <w:p w14:paraId="349A3EB2" w14:textId="308CB354" w:rsidR="00A37D72" w:rsidRPr="00121F35" w:rsidRDefault="00A37D72" w:rsidP="00DB2C29">
      <w:pPr>
        <w:pStyle w:val="ListParagraph"/>
        <w:numPr>
          <w:ilvl w:val="0"/>
          <w:numId w:val="1"/>
        </w:numPr>
        <w:spacing w:line="480" w:lineRule="auto"/>
        <w:rPr>
          <w:rFonts w:asciiTheme="majorHAnsi" w:hAnsiTheme="majorHAnsi" w:cstheme="majorHAnsi"/>
          <w:sz w:val="24"/>
          <w:szCs w:val="24"/>
          <w:lang w:val="en-US"/>
        </w:rPr>
      </w:pPr>
      <w:r w:rsidRPr="00121F35">
        <w:rPr>
          <w:rFonts w:asciiTheme="majorHAnsi" w:hAnsiTheme="majorHAnsi" w:cstheme="majorHAnsi"/>
          <w:sz w:val="24"/>
          <w:szCs w:val="24"/>
          <w:lang w:val="en-US"/>
        </w:rPr>
        <w:t xml:space="preserve">Conclusions </w:t>
      </w:r>
      <w:r w:rsidR="00725A39" w:rsidRPr="00121F35">
        <w:rPr>
          <w:rFonts w:asciiTheme="majorHAnsi" w:hAnsiTheme="majorHAnsi" w:cstheme="majorHAnsi"/>
          <w:sz w:val="24"/>
          <w:szCs w:val="24"/>
          <w:lang w:val="en-US"/>
        </w:rPr>
        <w:t>&amp;</w:t>
      </w:r>
      <w:r w:rsidR="00617B5B" w:rsidRPr="00121F35">
        <w:rPr>
          <w:rFonts w:asciiTheme="majorHAnsi" w:hAnsiTheme="majorHAnsi" w:cstheme="majorHAnsi"/>
          <w:sz w:val="24"/>
          <w:szCs w:val="24"/>
          <w:lang w:val="en-US"/>
        </w:rPr>
        <w:t xml:space="preserve"> </w:t>
      </w:r>
      <w:r w:rsidR="00012B58" w:rsidRPr="00121F35">
        <w:rPr>
          <w:rFonts w:asciiTheme="majorHAnsi" w:hAnsiTheme="majorHAnsi" w:cstheme="majorHAnsi"/>
          <w:sz w:val="24"/>
          <w:szCs w:val="24"/>
          <w:lang w:val="en-US"/>
        </w:rPr>
        <w:t>recommendations</w:t>
      </w:r>
    </w:p>
    <w:p w14:paraId="06CD1160" w14:textId="5877E77C" w:rsidR="00DB2C29" w:rsidRDefault="00DB2C29" w:rsidP="00DB2C29">
      <w:pPr>
        <w:pStyle w:val="ListParagraph"/>
        <w:numPr>
          <w:ilvl w:val="0"/>
          <w:numId w:val="1"/>
        </w:numPr>
        <w:spacing w:line="480" w:lineRule="auto"/>
        <w:rPr>
          <w:rFonts w:asciiTheme="majorHAnsi" w:hAnsiTheme="majorHAnsi" w:cstheme="majorHAnsi"/>
          <w:sz w:val="24"/>
          <w:szCs w:val="24"/>
          <w:lang w:val="en-US"/>
        </w:rPr>
      </w:pPr>
      <w:r w:rsidRPr="00121F35">
        <w:rPr>
          <w:rFonts w:asciiTheme="majorHAnsi" w:hAnsiTheme="majorHAnsi" w:cstheme="majorHAnsi"/>
          <w:sz w:val="24"/>
          <w:szCs w:val="24"/>
          <w:lang w:val="en-US"/>
        </w:rPr>
        <w:t>References</w:t>
      </w:r>
    </w:p>
    <w:p w14:paraId="0AF86295" w14:textId="187F7524" w:rsidR="00803EF0" w:rsidRPr="00121F35" w:rsidRDefault="00803EF0" w:rsidP="00DB2C29">
      <w:pPr>
        <w:pStyle w:val="ListParagraph"/>
        <w:numPr>
          <w:ilvl w:val="0"/>
          <w:numId w:val="1"/>
        </w:numPr>
        <w:spacing w:line="480" w:lineRule="auto"/>
        <w:rPr>
          <w:rFonts w:asciiTheme="majorHAnsi" w:hAnsiTheme="majorHAnsi" w:cstheme="majorHAnsi"/>
          <w:sz w:val="24"/>
          <w:szCs w:val="24"/>
          <w:lang w:val="en-US"/>
        </w:rPr>
      </w:pPr>
      <w:r>
        <w:rPr>
          <w:rFonts w:asciiTheme="majorHAnsi" w:hAnsiTheme="majorHAnsi" w:cstheme="majorHAnsi"/>
          <w:sz w:val="24"/>
          <w:szCs w:val="24"/>
          <w:lang w:val="en-US"/>
        </w:rPr>
        <w:t>Full capital expenditure approval</w:t>
      </w:r>
    </w:p>
    <w:p w14:paraId="5B4DF3DF" w14:textId="797DBACC" w:rsidR="00DB2C29" w:rsidRDefault="00DB2C29"/>
    <w:p w14:paraId="66E22280" w14:textId="77777777" w:rsidR="00DB2C29" w:rsidRDefault="00DB2C29"/>
    <w:p w14:paraId="250E754B" w14:textId="77777777" w:rsidR="00F6731C" w:rsidRDefault="00F6731C"/>
    <w:p w14:paraId="40E3EF36" w14:textId="12BE35D3" w:rsidR="009D2098" w:rsidRDefault="009D2098"/>
    <w:p w14:paraId="26239B4C" w14:textId="3F097C90" w:rsidR="00725A39" w:rsidRDefault="00725A39"/>
    <w:p w14:paraId="69FC84DD" w14:textId="17820959" w:rsidR="00725A39" w:rsidRDefault="00725A39"/>
    <w:p w14:paraId="72AD66DB" w14:textId="014FE35D" w:rsidR="00725A39" w:rsidRDefault="00725A39"/>
    <w:p w14:paraId="70D20760" w14:textId="4471EE9A" w:rsidR="00725A39" w:rsidRDefault="00725A39"/>
    <w:p w14:paraId="61DB7192" w14:textId="3AA0CFE5" w:rsidR="00725A39" w:rsidRDefault="00725A39"/>
    <w:p w14:paraId="46546692" w14:textId="2EEFDBD6" w:rsidR="00725A39" w:rsidRDefault="00725A39"/>
    <w:p w14:paraId="254FDE8F" w14:textId="3F1599D5" w:rsidR="009D2098" w:rsidRDefault="00617B5B" w:rsidP="009D2098">
      <w:pPr>
        <w:pStyle w:val="Heading1"/>
      </w:pPr>
      <w:r>
        <w:lastRenderedPageBreak/>
        <w:t>Summary</w:t>
      </w:r>
    </w:p>
    <w:p w14:paraId="2E04A902" w14:textId="195778C8" w:rsidR="00184AAC" w:rsidRPr="004B3FD7" w:rsidRDefault="00184AAC" w:rsidP="00184AAC">
      <w:pPr>
        <w:rPr>
          <w:rFonts w:asciiTheme="majorHAnsi" w:hAnsiTheme="majorHAnsi" w:cstheme="majorHAnsi"/>
          <w:sz w:val="24"/>
          <w:szCs w:val="24"/>
        </w:rPr>
      </w:pPr>
      <w:r w:rsidRPr="004B3FD7">
        <w:rPr>
          <w:rFonts w:asciiTheme="majorHAnsi" w:hAnsiTheme="majorHAnsi" w:cstheme="majorHAnsi"/>
          <w:sz w:val="24"/>
          <w:szCs w:val="24"/>
        </w:rPr>
        <w:t>This project is to provide an efficient method of completing first article inspections as part of our AS91002 regulations.</w:t>
      </w:r>
    </w:p>
    <w:p w14:paraId="03D47D72" w14:textId="77777777" w:rsidR="00184AAC" w:rsidRPr="004B3FD7" w:rsidRDefault="00184AAC" w:rsidP="00184AAC">
      <w:pPr>
        <w:rPr>
          <w:rFonts w:asciiTheme="majorHAnsi" w:hAnsiTheme="majorHAnsi" w:cstheme="majorHAnsi"/>
          <w:sz w:val="24"/>
          <w:szCs w:val="24"/>
        </w:rPr>
      </w:pPr>
      <w:r w:rsidRPr="004B3FD7">
        <w:rPr>
          <w:rFonts w:asciiTheme="majorHAnsi" w:hAnsiTheme="majorHAnsi" w:cstheme="majorHAnsi"/>
          <w:sz w:val="24"/>
          <w:szCs w:val="24"/>
        </w:rPr>
        <w:t xml:space="preserve">During a continuous improvement campaign within engineering it was found that there was a bottleneck with releasing bubbled drawings for manufacturing parts. This led to the removal of common practice and moved to defining drawings against model data. </w:t>
      </w:r>
    </w:p>
    <w:p w14:paraId="09DD33BB" w14:textId="2350FE3D" w:rsidR="00184AAC" w:rsidRPr="004B3FD7" w:rsidRDefault="00184AAC" w:rsidP="00184AAC">
      <w:pPr>
        <w:rPr>
          <w:rFonts w:asciiTheme="majorHAnsi" w:hAnsiTheme="majorHAnsi" w:cstheme="majorHAnsi"/>
          <w:sz w:val="24"/>
          <w:szCs w:val="24"/>
        </w:rPr>
      </w:pPr>
      <w:r w:rsidRPr="004B3FD7">
        <w:rPr>
          <w:rFonts w:asciiTheme="majorHAnsi" w:hAnsiTheme="majorHAnsi" w:cstheme="majorHAnsi"/>
          <w:sz w:val="24"/>
          <w:szCs w:val="24"/>
        </w:rPr>
        <w:t>The CMM has now become the bottleneck</w:t>
      </w:r>
      <w:r w:rsidR="004B3FD7" w:rsidRPr="004B3FD7">
        <w:rPr>
          <w:rFonts w:asciiTheme="majorHAnsi" w:hAnsiTheme="majorHAnsi" w:cstheme="majorHAnsi"/>
          <w:sz w:val="24"/>
          <w:szCs w:val="24"/>
        </w:rPr>
        <w:t>, this is due to e</w:t>
      </w:r>
      <w:r w:rsidRPr="004B3FD7">
        <w:rPr>
          <w:rFonts w:asciiTheme="majorHAnsi" w:hAnsiTheme="majorHAnsi" w:cstheme="majorHAnsi"/>
          <w:sz w:val="24"/>
          <w:szCs w:val="24"/>
        </w:rPr>
        <w:t>ach drawing</w:t>
      </w:r>
      <w:r w:rsidR="004B3FD7" w:rsidRPr="004B3FD7">
        <w:rPr>
          <w:rFonts w:asciiTheme="majorHAnsi" w:hAnsiTheme="majorHAnsi" w:cstheme="majorHAnsi"/>
          <w:sz w:val="24"/>
          <w:szCs w:val="24"/>
        </w:rPr>
        <w:t xml:space="preserve"> not having bubbled data but now requests that </w:t>
      </w:r>
      <w:r w:rsidRPr="004B3FD7">
        <w:rPr>
          <w:rFonts w:asciiTheme="majorHAnsi" w:hAnsiTheme="majorHAnsi" w:cstheme="majorHAnsi"/>
          <w:sz w:val="24"/>
          <w:szCs w:val="24"/>
        </w:rPr>
        <w:t xml:space="preserve">all dimensions can be obtained on the model. </w:t>
      </w:r>
    </w:p>
    <w:p w14:paraId="59E40AA1" w14:textId="482EB335" w:rsidR="00302B95" w:rsidRPr="004B3FD7" w:rsidRDefault="00184AAC" w:rsidP="00184AAC">
      <w:pPr>
        <w:rPr>
          <w:rFonts w:asciiTheme="majorHAnsi" w:hAnsiTheme="majorHAnsi" w:cstheme="majorHAnsi"/>
          <w:sz w:val="24"/>
          <w:szCs w:val="24"/>
        </w:rPr>
      </w:pPr>
      <w:r w:rsidRPr="004B3FD7">
        <w:rPr>
          <w:rFonts w:asciiTheme="majorHAnsi" w:hAnsiTheme="majorHAnsi" w:cstheme="majorHAnsi"/>
          <w:sz w:val="24"/>
          <w:szCs w:val="24"/>
        </w:rPr>
        <w:t>The model is loaded separately from the CMM and has no auto population function, in addition hand metrology cannot be ac</w:t>
      </w:r>
      <w:r w:rsidR="00302B95" w:rsidRPr="004B3FD7">
        <w:rPr>
          <w:rFonts w:asciiTheme="majorHAnsi" w:hAnsiTheme="majorHAnsi" w:cstheme="majorHAnsi"/>
          <w:sz w:val="24"/>
          <w:szCs w:val="24"/>
        </w:rPr>
        <w:t>hieved without a drawing in the model sense.</w:t>
      </w:r>
    </w:p>
    <w:p w14:paraId="2521979C" w14:textId="0126A60A" w:rsidR="001141D5" w:rsidRPr="004B3FD7" w:rsidRDefault="00302B95" w:rsidP="00184AAC">
      <w:pPr>
        <w:rPr>
          <w:rFonts w:asciiTheme="majorHAnsi" w:hAnsiTheme="majorHAnsi" w:cstheme="majorHAnsi"/>
          <w:sz w:val="24"/>
          <w:szCs w:val="24"/>
        </w:rPr>
      </w:pPr>
      <w:r w:rsidRPr="004B3FD7">
        <w:rPr>
          <w:rFonts w:asciiTheme="majorHAnsi" w:hAnsiTheme="majorHAnsi" w:cstheme="majorHAnsi"/>
          <w:sz w:val="24"/>
          <w:szCs w:val="24"/>
        </w:rPr>
        <w:t xml:space="preserve">This project is </w:t>
      </w:r>
      <w:r w:rsidR="00132A3A" w:rsidRPr="004B3FD7">
        <w:rPr>
          <w:rFonts w:asciiTheme="majorHAnsi" w:hAnsiTheme="majorHAnsi" w:cstheme="majorHAnsi"/>
          <w:sz w:val="24"/>
          <w:szCs w:val="24"/>
        </w:rPr>
        <w:t>provide the justification to purchase five catia licence’s</w:t>
      </w:r>
      <w:r w:rsidR="001141D5" w:rsidRPr="004B3FD7">
        <w:rPr>
          <w:rFonts w:asciiTheme="majorHAnsi" w:hAnsiTheme="majorHAnsi" w:cstheme="majorHAnsi"/>
          <w:sz w:val="24"/>
          <w:szCs w:val="24"/>
        </w:rPr>
        <w:t xml:space="preserve"> that have the ability to combine model software with other metrology hardware. This will also support the current hardware (CMM) but will be utilised across other factories. Being a licence and software based against the web the additional advantage is that this can be used remotely </w:t>
      </w:r>
      <w:r w:rsidR="00837C28" w:rsidRPr="004B3FD7">
        <w:rPr>
          <w:rFonts w:asciiTheme="majorHAnsi" w:hAnsiTheme="majorHAnsi" w:cstheme="majorHAnsi"/>
          <w:sz w:val="24"/>
          <w:szCs w:val="24"/>
        </w:rPr>
        <w:t>by multiple individuals.</w:t>
      </w:r>
    </w:p>
    <w:p w14:paraId="06163656" w14:textId="00D4A690" w:rsidR="00184AAC" w:rsidRDefault="00837C28" w:rsidP="00184AAC">
      <w:pPr>
        <w:rPr>
          <w:rFonts w:asciiTheme="majorHAnsi" w:hAnsiTheme="majorHAnsi" w:cstheme="majorHAnsi"/>
          <w:sz w:val="24"/>
          <w:szCs w:val="24"/>
        </w:rPr>
      </w:pPr>
      <w:r w:rsidRPr="004B3FD7">
        <w:rPr>
          <w:rFonts w:asciiTheme="majorHAnsi" w:hAnsiTheme="majorHAnsi" w:cstheme="majorHAnsi"/>
          <w:sz w:val="24"/>
          <w:szCs w:val="24"/>
        </w:rPr>
        <w:t>The initial out-goi</w:t>
      </w:r>
      <w:r w:rsidR="003F3E84" w:rsidRPr="004B3FD7">
        <w:rPr>
          <w:rFonts w:asciiTheme="majorHAnsi" w:hAnsiTheme="majorHAnsi" w:cstheme="majorHAnsi"/>
          <w:sz w:val="24"/>
          <w:szCs w:val="24"/>
        </w:rPr>
        <w:t xml:space="preserve">ng for this software is £64,000, the below capital expenditure reviews the payback period for the project, net present value, internal </w:t>
      </w:r>
      <w:r w:rsidR="004B3FD7" w:rsidRPr="004B3FD7">
        <w:rPr>
          <w:rFonts w:asciiTheme="majorHAnsi" w:hAnsiTheme="majorHAnsi" w:cstheme="majorHAnsi"/>
          <w:sz w:val="24"/>
          <w:szCs w:val="24"/>
        </w:rPr>
        <w:t>rate of return, PI,</w:t>
      </w:r>
      <w:r w:rsidR="00C865F6" w:rsidRPr="004B3FD7">
        <w:rPr>
          <w:rFonts w:asciiTheme="majorHAnsi" w:hAnsiTheme="majorHAnsi" w:cstheme="majorHAnsi"/>
          <w:sz w:val="24"/>
          <w:szCs w:val="24"/>
        </w:rPr>
        <w:t xml:space="preserve"> BCR</w:t>
      </w:r>
      <w:r w:rsidR="004B3FD7" w:rsidRPr="004B3FD7">
        <w:rPr>
          <w:rFonts w:asciiTheme="majorHAnsi" w:hAnsiTheme="majorHAnsi" w:cstheme="majorHAnsi"/>
          <w:sz w:val="24"/>
          <w:szCs w:val="24"/>
        </w:rPr>
        <w:t xml:space="preserve"> and ARR</w:t>
      </w:r>
      <w:r w:rsidR="00C865F6" w:rsidRPr="004B3FD7">
        <w:rPr>
          <w:rFonts w:asciiTheme="majorHAnsi" w:hAnsiTheme="majorHAnsi" w:cstheme="majorHAnsi"/>
          <w:sz w:val="24"/>
          <w:szCs w:val="24"/>
        </w:rPr>
        <w:t>.</w:t>
      </w:r>
    </w:p>
    <w:p w14:paraId="10022A45" w14:textId="16057F2C" w:rsidR="00FE1C15" w:rsidRPr="00FE1C15" w:rsidRDefault="004B3FD7" w:rsidP="009D2098">
      <w:pPr>
        <w:rPr>
          <w:rFonts w:asciiTheme="majorHAnsi" w:hAnsiTheme="majorHAnsi" w:cstheme="majorHAnsi"/>
          <w:color w:val="FF0000"/>
          <w:sz w:val="24"/>
          <w:szCs w:val="24"/>
        </w:rPr>
      </w:pPr>
      <w:r>
        <w:rPr>
          <w:rFonts w:asciiTheme="majorHAnsi" w:hAnsiTheme="majorHAnsi" w:cstheme="majorHAnsi"/>
          <w:sz w:val="24"/>
          <w:szCs w:val="24"/>
        </w:rPr>
        <w:t>Other alternative projects have already been put forward in the way of adding to the current CMM’s however they are at a cost of £110,000 each (min of x2 required) or utilising a 3</w:t>
      </w:r>
      <w:r w:rsidRPr="004B3FD7">
        <w:rPr>
          <w:rFonts w:asciiTheme="majorHAnsi" w:hAnsiTheme="majorHAnsi" w:cstheme="majorHAnsi"/>
          <w:sz w:val="24"/>
          <w:szCs w:val="24"/>
          <w:vertAlign w:val="superscript"/>
        </w:rPr>
        <w:t>rd</w:t>
      </w:r>
      <w:r>
        <w:rPr>
          <w:rFonts w:asciiTheme="majorHAnsi" w:hAnsiTheme="majorHAnsi" w:cstheme="majorHAnsi"/>
          <w:sz w:val="24"/>
          <w:szCs w:val="24"/>
        </w:rPr>
        <w:t xml:space="preserve"> party organisation to carry out the work, both cases have been rejected by the CFO.</w:t>
      </w:r>
    </w:p>
    <w:p w14:paraId="7FE649D3" w14:textId="3826F415" w:rsidR="00617B5B" w:rsidRDefault="00617B5B" w:rsidP="00617B5B">
      <w:pPr>
        <w:pStyle w:val="Heading1"/>
      </w:pPr>
      <w:r>
        <w:t xml:space="preserve">Detailed </w:t>
      </w:r>
      <w:r w:rsidR="0049641D">
        <w:t>r</w:t>
      </w:r>
      <w:r>
        <w:t>eview</w:t>
      </w:r>
    </w:p>
    <w:p w14:paraId="3314F4B1" w14:textId="3760A533" w:rsidR="00DE1EBB" w:rsidRDefault="00DE1EBB" w:rsidP="00DE1EBB">
      <w:pPr>
        <w:pStyle w:val="Heading1"/>
      </w:pPr>
      <w:r>
        <w:t>Payback</w:t>
      </w:r>
    </w:p>
    <w:p w14:paraId="11AE6208" w14:textId="3E970CC2" w:rsidR="00803EF0" w:rsidRPr="00803EF0" w:rsidRDefault="00803EF0" w:rsidP="00803EF0">
      <w:pPr>
        <w:rPr>
          <w:rFonts w:asciiTheme="majorHAnsi" w:hAnsiTheme="majorHAnsi" w:cstheme="majorHAnsi"/>
          <w:sz w:val="24"/>
          <w:szCs w:val="24"/>
          <w:lang w:val="en-US"/>
        </w:rPr>
      </w:pPr>
      <w:r w:rsidRPr="00803EF0">
        <w:rPr>
          <w:rFonts w:asciiTheme="majorHAnsi" w:hAnsiTheme="majorHAnsi" w:cstheme="majorHAnsi"/>
          <w:sz w:val="24"/>
          <w:szCs w:val="24"/>
          <w:lang w:val="en-US"/>
        </w:rPr>
        <w:t xml:space="preserve">The </w:t>
      </w:r>
      <w:r w:rsidR="002626BC">
        <w:rPr>
          <w:rFonts w:asciiTheme="majorHAnsi" w:hAnsiTheme="majorHAnsi" w:cstheme="majorHAnsi"/>
          <w:sz w:val="24"/>
          <w:szCs w:val="24"/>
          <w:lang w:val="en-US"/>
        </w:rPr>
        <w:t xml:space="preserve">payback for this project is 2.2 years, this has been calculated </w:t>
      </w:r>
      <w:r w:rsidR="00775D7B">
        <w:rPr>
          <w:rFonts w:asciiTheme="majorHAnsi" w:hAnsiTheme="majorHAnsi" w:cstheme="majorHAnsi"/>
          <w:sz w:val="24"/>
          <w:szCs w:val="24"/>
          <w:lang w:val="en-US"/>
        </w:rPr>
        <w:t xml:space="preserve">by dividing the investment over the new yearly profit per year. The new profit per year is calculated against the increased amount of parts that are now available. This calculation </w:t>
      </w:r>
      <w:r w:rsidR="0083061B">
        <w:rPr>
          <w:rFonts w:asciiTheme="majorHAnsi" w:hAnsiTheme="majorHAnsi" w:cstheme="majorHAnsi"/>
          <w:sz w:val="24"/>
          <w:szCs w:val="24"/>
          <w:lang w:val="en-US"/>
        </w:rPr>
        <w:t xml:space="preserve">described by </w:t>
      </w:r>
      <w:sdt>
        <w:sdtPr>
          <w:rPr>
            <w:rFonts w:asciiTheme="majorHAnsi" w:hAnsiTheme="majorHAnsi" w:cstheme="majorHAnsi"/>
            <w:sz w:val="24"/>
            <w:szCs w:val="24"/>
            <w:lang w:val="en-US"/>
          </w:rPr>
          <w:id w:val="-1031260260"/>
          <w:citation/>
        </w:sdtPr>
        <w:sdtEndPr/>
        <w:sdtContent>
          <w:r w:rsidR="0083061B">
            <w:rPr>
              <w:rFonts w:asciiTheme="majorHAnsi" w:hAnsiTheme="majorHAnsi" w:cstheme="majorHAnsi"/>
              <w:sz w:val="24"/>
              <w:szCs w:val="24"/>
              <w:lang w:val="en-US"/>
            </w:rPr>
            <w:fldChar w:fldCharType="begin"/>
          </w:r>
          <w:r w:rsidR="0083061B">
            <w:rPr>
              <w:rFonts w:asciiTheme="majorHAnsi" w:hAnsiTheme="majorHAnsi" w:cstheme="majorHAnsi"/>
              <w:sz w:val="24"/>
              <w:szCs w:val="24"/>
            </w:rPr>
            <w:instrText xml:space="preserve"> CITATION JUL23 \l 2057 </w:instrText>
          </w:r>
          <w:r w:rsidR="0083061B">
            <w:rPr>
              <w:rFonts w:asciiTheme="majorHAnsi" w:hAnsiTheme="majorHAnsi" w:cstheme="majorHAnsi"/>
              <w:sz w:val="24"/>
              <w:szCs w:val="24"/>
              <w:lang w:val="en-US"/>
            </w:rPr>
            <w:fldChar w:fldCharType="separate"/>
          </w:r>
          <w:r w:rsidR="00F774EC" w:rsidRPr="00F774EC">
            <w:rPr>
              <w:rFonts w:asciiTheme="majorHAnsi" w:hAnsiTheme="majorHAnsi" w:cstheme="majorHAnsi"/>
              <w:noProof/>
              <w:sz w:val="24"/>
              <w:szCs w:val="24"/>
            </w:rPr>
            <w:t>(KAGAN, 2023)</w:t>
          </w:r>
          <w:r w:rsidR="0083061B">
            <w:rPr>
              <w:rFonts w:asciiTheme="majorHAnsi" w:hAnsiTheme="majorHAnsi" w:cstheme="majorHAnsi"/>
              <w:sz w:val="24"/>
              <w:szCs w:val="24"/>
              <w:lang w:val="en-US"/>
            </w:rPr>
            <w:fldChar w:fldCharType="end"/>
          </w:r>
        </w:sdtContent>
      </w:sdt>
      <w:r w:rsidR="00116EC2">
        <w:rPr>
          <w:rFonts w:asciiTheme="majorHAnsi" w:hAnsiTheme="majorHAnsi" w:cstheme="majorHAnsi"/>
          <w:sz w:val="24"/>
          <w:szCs w:val="24"/>
          <w:lang w:val="en-US"/>
        </w:rPr>
        <w:t xml:space="preserve"> quickly provides the time required to return the initial investment and breakeven. </w:t>
      </w:r>
      <w:r w:rsidR="00342A7B">
        <w:rPr>
          <w:rFonts w:asciiTheme="majorHAnsi" w:hAnsiTheme="majorHAnsi" w:cstheme="majorHAnsi"/>
          <w:sz w:val="24"/>
          <w:szCs w:val="24"/>
          <w:lang w:val="en-US"/>
        </w:rPr>
        <w:t>When investing the quicker a project can payback the initial investment the more attractive</w:t>
      </w:r>
      <w:r w:rsidR="001C78DA">
        <w:rPr>
          <w:rFonts w:asciiTheme="majorHAnsi" w:hAnsiTheme="majorHAnsi" w:cstheme="majorHAnsi"/>
          <w:sz w:val="24"/>
          <w:szCs w:val="24"/>
          <w:lang w:val="en-US"/>
        </w:rPr>
        <w:t xml:space="preserve"> it become to an investor, there is however still a risk with the payback formula as it does not identify the value of money within the period.</w:t>
      </w:r>
      <w:r w:rsidR="00342A7B">
        <w:rPr>
          <w:rFonts w:asciiTheme="majorHAnsi" w:hAnsiTheme="majorHAnsi" w:cstheme="majorHAnsi"/>
          <w:sz w:val="24"/>
          <w:szCs w:val="24"/>
          <w:lang w:val="en-US"/>
        </w:rPr>
        <w:t xml:space="preserve"> </w:t>
      </w:r>
    </w:p>
    <w:p w14:paraId="12DCA006" w14:textId="21897EF0" w:rsidR="00803EF0" w:rsidRDefault="007C2CBE" w:rsidP="00803EF0">
      <w:pPr>
        <w:rPr>
          <w:lang w:val="en-US"/>
        </w:rPr>
      </w:pPr>
      <w:r w:rsidRPr="007C2CBE">
        <w:rPr>
          <w:noProof/>
          <w:lang w:eastAsia="en-GB"/>
        </w:rPr>
        <w:drawing>
          <wp:inline distT="0" distB="0" distL="0" distR="0" wp14:anchorId="1E2643CE" wp14:editId="1879DEA0">
            <wp:extent cx="5729207" cy="811033"/>
            <wp:effectExtent l="0" t="0" r="508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785" cy="815645"/>
                    </a:xfrm>
                    <a:prstGeom prst="rect">
                      <a:avLst/>
                    </a:prstGeom>
                    <a:noFill/>
                    <a:ln>
                      <a:noFill/>
                    </a:ln>
                  </pic:spPr>
                </pic:pic>
              </a:graphicData>
            </a:graphic>
          </wp:inline>
        </w:drawing>
      </w:r>
    </w:p>
    <w:p w14:paraId="0753DA9E" w14:textId="77777777" w:rsidR="00803EF0" w:rsidRPr="00803EF0" w:rsidRDefault="00803EF0" w:rsidP="00803EF0">
      <w:pPr>
        <w:rPr>
          <w:lang w:val="en-US"/>
        </w:rPr>
      </w:pPr>
    </w:p>
    <w:p w14:paraId="19061E28" w14:textId="3B6C4962" w:rsidR="00DE1EBB" w:rsidRDefault="00DE1EBB" w:rsidP="00DE1EBB">
      <w:pPr>
        <w:pStyle w:val="Heading1"/>
      </w:pPr>
      <w:r>
        <w:lastRenderedPageBreak/>
        <w:t>NPV</w:t>
      </w:r>
    </w:p>
    <w:p w14:paraId="5751814C" w14:textId="5BB0D983" w:rsidR="001C78DA" w:rsidRPr="00803EF0" w:rsidRDefault="001C78DA" w:rsidP="001C78DA">
      <w:pPr>
        <w:rPr>
          <w:rFonts w:asciiTheme="majorHAnsi" w:hAnsiTheme="majorHAnsi" w:cstheme="majorHAnsi"/>
          <w:sz w:val="24"/>
          <w:szCs w:val="24"/>
          <w:lang w:val="en-US"/>
        </w:rPr>
      </w:pPr>
      <w:r w:rsidRPr="00803EF0">
        <w:rPr>
          <w:rFonts w:asciiTheme="majorHAnsi" w:hAnsiTheme="majorHAnsi" w:cstheme="majorHAnsi"/>
          <w:sz w:val="24"/>
          <w:szCs w:val="24"/>
          <w:lang w:val="en-US"/>
        </w:rPr>
        <w:t xml:space="preserve">The </w:t>
      </w:r>
      <w:r>
        <w:rPr>
          <w:rFonts w:asciiTheme="majorHAnsi" w:hAnsiTheme="majorHAnsi" w:cstheme="majorHAnsi"/>
          <w:sz w:val="24"/>
          <w:szCs w:val="24"/>
          <w:lang w:val="en-US"/>
        </w:rPr>
        <w:t>NPV for this project is £47,426,</w:t>
      </w:r>
      <w:r w:rsidR="0034767A">
        <w:rPr>
          <w:rFonts w:asciiTheme="majorHAnsi" w:hAnsiTheme="majorHAnsi" w:cstheme="majorHAnsi"/>
          <w:sz w:val="24"/>
          <w:szCs w:val="24"/>
          <w:lang w:val="en-US"/>
        </w:rPr>
        <w:t xml:space="preserve"> (excel formula £47,449)</w:t>
      </w:r>
      <w:r>
        <w:rPr>
          <w:rFonts w:asciiTheme="majorHAnsi" w:hAnsiTheme="majorHAnsi" w:cstheme="majorHAnsi"/>
          <w:sz w:val="24"/>
          <w:szCs w:val="24"/>
          <w:lang w:val="en-US"/>
        </w:rPr>
        <w:t xml:space="preserve"> this has been calculated by</w:t>
      </w:r>
      <w:r w:rsidR="008D5664">
        <w:rPr>
          <w:rFonts w:asciiTheme="majorHAnsi" w:hAnsiTheme="majorHAnsi" w:cstheme="majorHAnsi"/>
          <w:sz w:val="24"/>
          <w:szCs w:val="24"/>
          <w:lang w:val="en-US"/>
        </w:rPr>
        <w:t xml:space="preserve"> having the initial</w:t>
      </w:r>
      <w:r>
        <w:rPr>
          <w:rFonts w:asciiTheme="majorHAnsi" w:hAnsiTheme="majorHAnsi" w:cstheme="majorHAnsi"/>
          <w:sz w:val="24"/>
          <w:szCs w:val="24"/>
          <w:lang w:val="en-US"/>
        </w:rPr>
        <w:t xml:space="preserve"> investment</w:t>
      </w:r>
      <w:r w:rsidR="008D5664">
        <w:rPr>
          <w:rFonts w:asciiTheme="majorHAnsi" w:hAnsiTheme="majorHAnsi" w:cstheme="majorHAnsi"/>
          <w:sz w:val="24"/>
          <w:szCs w:val="24"/>
          <w:lang w:val="en-US"/>
        </w:rPr>
        <w:t xml:space="preserve"> as a minus and then adding the investment payback added which has been subjected to the denominator driven from the WACC discount rate.</w:t>
      </w:r>
      <w:r>
        <w:rPr>
          <w:rFonts w:asciiTheme="majorHAnsi" w:hAnsiTheme="majorHAnsi" w:cstheme="majorHAnsi"/>
          <w:sz w:val="24"/>
          <w:szCs w:val="24"/>
          <w:lang w:val="en-US"/>
        </w:rPr>
        <w:t xml:space="preserve"> </w:t>
      </w:r>
      <w:r w:rsidR="008D5664">
        <w:rPr>
          <w:rFonts w:asciiTheme="majorHAnsi" w:hAnsiTheme="majorHAnsi" w:cstheme="majorHAnsi"/>
          <w:sz w:val="24"/>
          <w:szCs w:val="24"/>
          <w:lang w:val="en-US"/>
        </w:rPr>
        <w:t xml:space="preserve">The NPV provides the difference between the present cash flow coming in vs the present cash flow going out. </w:t>
      </w:r>
      <w:sdt>
        <w:sdtPr>
          <w:rPr>
            <w:rFonts w:asciiTheme="majorHAnsi" w:hAnsiTheme="majorHAnsi" w:cstheme="majorHAnsi"/>
            <w:sz w:val="24"/>
            <w:szCs w:val="24"/>
            <w:lang w:val="en-US"/>
          </w:rPr>
          <w:id w:val="-1902897414"/>
          <w:citation/>
        </w:sdtPr>
        <w:sdtEndPr/>
        <w:sdtContent>
          <w:r w:rsidR="008D5664">
            <w:rPr>
              <w:rFonts w:asciiTheme="majorHAnsi" w:hAnsiTheme="majorHAnsi" w:cstheme="majorHAnsi"/>
              <w:sz w:val="24"/>
              <w:szCs w:val="24"/>
              <w:lang w:val="en-US"/>
            </w:rPr>
            <w:fldChar w:fldCharType="begin"/>
          </w:r>
          <w:r w:rsidR="008D5664">
            <w:rPr>
              <w:rFonts w:asciiTheme="majorHAnsi" w:hAnsiTheme="majorHAnsi" w:cstheme="majorHAnsi"/>
              <w:sz w:val="24"/>
              <w:szCs w:val="24"/>
            </w:rPr>
            <w:instrText xml:space="preserve"> CITATION JAS23 \l 2057 </w:instrText>
          </w:r>
          <w:r w:rsidR="008D5664">
            <w:rPr>
              <w:rFonts w:asciiTheme="majorHAnsi" w:hAnsiTheme="majorHAnsi" w:cstheme="majorHAnsi"/>
              <w:sz w:val="24"/>
              <w:szCs w:val="24"/>
              <w:lang w:val="en-US"/>
            </w:rPr>
            <w:fldChar w:fldCharType="separate"/>
          </w:r>
          <w:r w:rsidR="00F774EC" w:rsidRPr="00F774EC">
            <w:rPr>
              <w:rFonts w:asciiTheme="majorHAnsi" w:hAnsiTheme="majorHAnsi" w:cstheme="majorHAnsi"/>
              <w:noProof/>
              <w:sz w:val="24"/>
              <w:szCs w:val="24"/>
            </w:rPr>
            <w:t>(FERNANDO, 2023)</w:t>
          </w:r>
          <w:r w:rsidR="008D5664">
            <w:rPr>
              <w:rFonts w:asciiTheme="majorHAnsi" w:hAnsiTheme="majorHAnsi" w:cstheme="majorHAnsi"/>
              <w:sz w:val="24"/>
              <w:szCs w:val="24"/>
              <w:lang w:val="en-US"/>
            </w:rPr>
            <w:fldChar w:fldCharType="end"/>
          </w:r>
        </w:sdtContent>
      </w:sdt>
      <w:r w:rsidR="00304094">
        <w:rPr>
          <w:rFonts w:asciiTheme="majorHAnsi" w:hAnsiTheme="majorHAnsi" w:cstheme="majorHAnsi"/>
          <w:sz w:val="24"/>
          <w:szCs w:val="24"/>
          <w:lang w:val="en-US"/>
        </w:rPr>
        <w:t xml:space="preserve"> highlights that an NPV with a negative value is not worth pursuing as it will be losing investment every month and will therefore never provide a return. The WACC or discount rate associated can change and the initial formula does not account for that, it will need to be adjusted, the higher the WACC the more original investment is used within a month.  </w:t>
      </w:r>
    </w:p>
    <w:p w14:paraId="34276C25" w14:textId="6207532F" w:rsidR="00304094" w:rsidRDefault="001C78DA" w:rsidP="00304094">
      <w:r w:rsidRPr="001C78DA">
        <w:rPr>
          <w:noProof/>
          <w:lang w:eastAsia="en-GB"/>
        </w:rPr>
        <w:drawing>
          <wp:inline distT="0" distB="0" distL="0" distR="0" wp14:anchorId="20A2E0F6" wp14:editId="354FDFB8">
            <wp:extent cx="5358836" cy="11113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223" cy="1145647"/>
                    </a:xfrm>
                    <a:prstGeom prst="rect">
                      <a:avLst/>
                    </a:prstGeom>
                    <a:noFill/>
                    <a:ln>
                      <a:noFill/>
                    </a:ln>
                  </pic:spPr>
                </pic:pic>
              </a:graphicData>
            </a:graphic>
          </wp:inline>
        </w:drawing>
      </w:r>
    </w:p>
    <w:p w14:paraId="7FFB59EA" w14:textId="4D1A64BB" w:rsidR="00304094" w:rsidRDefault="00304094" w:rsidP="00304094">
      <w:pPr>
        <w:pStyle w:val="Heading1"/>
      </w:pPr>
      <w:r>
        <w:t>IRR</w:t>
      </w:r>
    </w:p>
    <w:p w14:paraId="4C7A0414" w14:textId="0124D649" w:rsidR="00304094" w:rsidRPr="00FB33A3" w:rsidRDefault="00FB33A3" w:rsidP="00304094">
      <w:pPr>
        <w:rPr>
          <w:rFonts w:asciiTheme="majorHAnsi" w:hAnsiTheme="majorHAnsi" w:cstheme="majorHAnsi"/>
          <w:sz w:val="24"/>
          <w:szCs w:val="24"/>
          <w:lang w:val="en-US"/>
        </w:rPr>
      </w:pPr>
      <w:r w:rsidRPr="00803EF0">
        <w:rPr>
          <w:rFonts w:asciiTheme="majorHAnsi" w:hAnsiTheme="majorHAnsi" w:cstheme="majorHAnsi"/>
          <w:sz w:val="24"/>
          <w:szCs w:val="24"/>
          <w:lang w:val="en-US"/>
        </w:rPr>
        <w:t xml:space="preserve">The </w:t>
      </w:r>
      <w:r w:rsidR="00D6708A">
        <w:rPr>
          <w:rFonts w:asciiTheme="majorHAnsi" w:hAnsiTheme="majorHAnsi" w:cstheme="majorHAnsi"/>
          <w:sz w:val="24"/>
          <w:szCs w:val="24"/>
          <w:lang w:val="en-US"/>
        </w:rPr>
        <w:t>IRR rough calculation for this project is 39.19%</w:t>
      </w:r>
      <w:r>
        <w:rPr>
          <w:rFonts w:asciiTheme="majorHAnsi" w:hAnsiTheme="majorHAnsi" w:cstheme="majorHAnsi"/>
          <w:sz w:val="24"/>
          <w:szCs w:val="24"/>
          <w:lang w:val="en-US"/>
        </w:rPr>
        <w:t xml:space="preserve">, (excel formula </w:t>
      </w:r>
      <w:r w:rsidR="00D6708A">
        <w:rPr>
          <w:rFonts w:asciiTheme="majorHAnsi" w:hAnsiTheme="majorHAnsi" w:cstheme="majorHAnsi"/>
          <w:sz w:val="24"/>
          <w:szCs w:val="24"/>
          <w:lang w:val="en-US"/>
        </w:rPr>
        <w:t>36%</w:t>
      </w:r>
      <w:r>
        <w:rPr>
          <w:rFonts w:asciiTheme="majorHAnsi" w:hAnsiTheme="majorHAnsi" w:cstheme="majorHAnsi"/>
          <w:sz w:val="24"/>
          <w:szCs w:val="24"/>
          <w:lang w:val="en-US"/>
        </w:rPr>
        <w:t>) this has been calculated by</w:t>
      </w:r>
      <w:r w:rsidR="00D6708A">
        <w:rPr>
          <w:rFonts w:asciiTheme="majorHAnsi" w:hAnsiTheme="majorHAnsi" w:cstheme="majorHAnsi"/>
          <w:sz w:val="24"/>
          <w:szCs w:val="24"/>
          <w:lang w:val="en-US"/>
        </w:rPr>
        <w:t xml:space="preserve"> finding the negative value against the WACC rate. In the below calculation we have </w:t>
      </w:r>
      <w:r w:rsidR="00571FDD">
        <w:rPr>
          <w:rFonts w:asciiTheme="majorHAnsi" w:hAnsiTheme="majorHAnsi" w:cstheme="majorHAnsi"/>
          <w:sz w:val="24"/>
          <w:szCs w:val="24"/>
          <w:lang w:val="en-US"/>
        </w:rPr>
        <w:t>found that 40% takes the original NPV close to zero, from this movement we can understand what a single moment cost is. In this case 1% movement is equal t</w:t>
      </w:r>
      <w:r w:rsidR="008C34A2">
        <w:rPr>
          <w:rFonts w:asciiTheme="majorHAnsi" w:hAnsiTheme="majorHAnsi" w:cstheme="majorHAnsi"/>
          <w:sz w:val="24"/>
          <w:szCs w:val="24"/>
          <w:lang w:val="en-US"/>
        </w:rPr>
        <w:t>o £5,162 and the total to break</w:t>
      </w:r>
      <w:r w:rsidR="00571FDD">
        <w:rPr>
          <w:rFonts w:asciiTheme="majorHAnsi" w:hAnsiTheme="majorHAnsi" w:cstheme="majorHAnsi"/>
          <w:sz w:val="24"/>
          <w:szCs w:val="24"/>
          <w:lang w:val="en-US"/>
        </w:rPr>
        <w:t>even is 39.19%</w:t>
      </w:r>
      <w:r w:rsidR="008C34A2">
        <w:rPr>
          <w:rFonts w:asciiTheme="majorHAnsi" w:hAnsiTheme="majorHAnsi" w:cstheme="majorHAnsi"/>
          <w:sz w:val="24"/>
          <w:szCs w:val="24"/>
          <w:lang w:val="en-US"/>
        </w:rPr>
        <w:t xml:space="preserve">, </w:t>
      </w:r>
      <w:sdt>
        <w:sdtPr>
          <w:rPr>
            <w:rFonts w:asciiTheme="majorHAnsi" w:hAnsiTheme="majorHAnsi" w:cstheme="majorHAnsi"/>
            <w:sz w:val="24"/>
            <w:szCs w:val="24"/>
            <w:lang w:val="en-US"/>
          </w:rPr>
          <w:id w:val="1593971801"/>
          <w:citation/>
        </w:sdtPr>
        <w:sdtEndPr/>
        <w:sdtContent>
          <w:r w:rsidR="008C34A2">
            <w:rPr>
              <w:rFonts w:asciiTheme="majorHAnsi" w:hAnsiTheme="majorHAnsi" w:cstheme="majorHAnsi"/>
              <w:sz w:val="24"/>
              <w:szCs w:val="24"/>
              <w:lang w:val="en-US"/>
            </w:rPr>
            <w:fldChar w:fldCharType="begin"/>
          </w:r>
          <w:r w:rsidR="008C34A2">
            <w:rPr>
              <w:rFonts w:asciiTheme="majorHAnsi" w:hAnsiTheme="majorHAnsi" w:cstheme="majorHAnsi"/>
              <w:sz w:val="24"/>
              <w:szCs w:val="24"/>
            </w:rPr>
            <w:instrText xml:space="preserve"> CITATION JAS231 \l 2057 </w:instrText>
          </w:r>
          <w:r w:rsidR="008C34A2">
            <w:rPr>
              <w:rFonts w:asciiTheme="majorHAnsi" w:hAnsiTheme="majorHAnsi" w:cstheme="majorHAnsi"/>
              <w:sz w:val="24"/>
              <w:szCs w:val="24"/>
              <w:lang w:val="en-US"/>
            </w:rPr>
            <w:fldChar w:fldCharType="separate"/>
          </w:r>
          <w:r w:rsidR="00F774EC" w:rsidRPr="00F774EC">
            <w:rPr>
              <w:rFonts w:asciiTheme="majorHAnsi" w:hAnsiTheme="majorHAnsi" w:cstheme="majorHAnsi"/>
              <w:noProof/>
              <w:sz w:val="24"/>
              <w:szCs w:val="24"/>
            </w:rPr>
            <w:t>(FERNANDO, 2023)</w:t>
          </w:r>
          <w:r w:rsidR="008C34A2">
            <w:rPr>
              <w:rFonts w:asciiTheme="majorHAnsi" w:hAnsiTheme="majorHAnsi" w:cstheme="majorHAnsi"/>
              <w:sz w:val="24"/>
              <w:szCs w:val="24"/>
              <w:lang w:val="en-US"/>
            </w:rPr>
            <w:fldChar w:fldCharType="end"/>
          </w:r>
        </w:sdtContent>
      </w:sdt>
      <w:r w:rsidR="00640AB4">
        <w:rPr>
          <w:rFonts w:asciiTheme="majorHAnsi" w:hAnsiTheme="majorHAnsi" w:cstheme="majorHAnsi"/>
          <w:sz w:val="24"/>
          <w:szCs w:val="24"/>
          <w:lang w:val="en-US"/>
        </w:rPr>
        <w:t xml:space="preserve"> explains that the IRR is the expected growth of the project for that year, again the higher the more desirable the project. In this project we can take this IRR and compare it against another project where different equipment maybe purchased.</w:t>
      </w:r>
    </w:p>
    <w:p w14:paraId="55BD5245" w14:textId="2409D7F4" w:rsidR="00FB33A3" w:rsidRDefault="00FB33A3" w:rsidP="00304094">
      <w:r w:rsidRPr="00FB33A3">
        <w:rPr>
          <w:noProof/>
          <w:lang w:eastAsia="en-GB"/>
        </w:rPr>
        <w:drawing>
          <wp:inline distT="0" distB="0" distL="0" distR="0" wp14:anchorId="43843C61" wp14:editId="3C3FD1AF">
            <wp:extent cx="5295900" cy="27490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1185" cy="2767331"/>
                    </a:xfrm>
                    <a:prstGeom prst="rect">
                      <a:avLst/>
                    </a:prstGeom>
                    <a:noFill/>
                    <a:ln>
                      <a:noFill/>
                    </a:ln>
                  </pic:spPr>
                </pic:pic>
              </a:graphicData>
            </a:graphic>
          </wp:inline>
        </w:drawing>
      </w:r>
    </w:p>
    <w:p w14:paraId="6213E965" w14:textId="0B5AA7EB" w:rsidR="00DE1EBB" w:rsidRDefault="00DE1EBB" w:rsidP="00DE1EBB">
      <w:pPr>
        <w:pStyle w:val="Heading1"/>
      </w:pPr>
      <w:r>
        <w:lastRenderedPageBreak/>
        <w:t>PI</w:t>
      </w:r>
    </w:p>
    <w:p w14:paraId="79EA2B8F" w14:textId="7AC74FF2" w:rsidR="005330AD" w:rsidRPr="00B52915" w:rsidRDefault="005330AD" w:rsidP="00B52915">
      <w:pPr>
        <w:spacing w:line="240" w:lineRule="auto"/>
        <w:rPr>
          <w:rFonts w:asciiTheme="majorHAnsi" w:hAnsiTheme="majorHAnsi" w:cstheme="majorHAnsi"/>
          <w:sz w:val="24"/>
          <w:szCs w:val="24"/>
          <w:lang w:val="en-US"/>
        </w:rPr>
      </w:pPr>
      <w:r w:rsidRPr="00803EF0">
        <w:rPr>
          <w:rFonts w:asciiTheme="majorHAnsi" w:hAnsiTheme="majorHAnsi" w:cstheme="majorHAnsi"/>
          <w:sz w:val="24"/>
          <w:szCs w:val="24"/>
          <w:lang w:val="en-US"/>
        </w:rPr>
        <w:t xml:space="preserve">The </w:t>
      </w:r>
      <w:r>
        <w:rPr>
          <w:rFonts w:asciiTheme="majorHAnsi" w:hAnsiTheme="majorHAnsi" w:cstheme="majorHAnsi"/>
          <w:sz w:val="24"/>
          <w:szCs w:val="24"/>
          <w:lang w:val="en-US"/>
        </w:rPr>
        <w:t xml:space="preserve">PI is calculated as 1.74 for this project, this index is devised by the NPV and initial investment being added and then divided by the investment. Essentially this formula is looking at the ratios between the future value amounts combining the initial investment. </w:t>
      </w:r>
      <w:sdt>
        <w:sdtPr>
          <w:rPr>
            <w:rFonts w:asciiTheme="majorHAnsi" w:hAnsiTheme="majorHAnsi" w:cstheme="majorHAnsi"/>
            <w:sz w:val="24"/>
            <w:szCs w:val="24"/>
            <w:lang w:val="en-US"/>
          </w:rPr>
          <w:id w:val="-1567485828"/>
          <w:citation/>
        </w:sdtPr>
        <w:sdtEndPr/>
        <w:sdtContent>
          <w:r w:rsidR="00B52915" w:rsidRPr="00B52915">
            <w:rPr>
              <w:rFonts w:asciiTheme="majorHAnsi" w:hAnsiTheme="majorHAnsi" w:cstheme="majorHAnsi"/>
              <w:sz w:val="24"/>
              <w:szCs w:val="24"/>
              <w:lang w:val="en-US"/>
            </w:rPr>
            <w:fldChar w:fldCharType="begin"/>
          </w:r>
          <w:r w:rsidR="00B52915" w:rsidRPr="00B52915">
            <w:rPr>
              <w:rFonts w:asciiTheme="majorHAnsi" w:hAnsiTheme="majorHAnsi" w:cstheme="majorHAnsi"/>
              <w:sz w:val="24"/>
              <w:szCs w:val="24"/>
            </w:rPr>
            <w:instrText xml:space="preserve"> CITATION CFI23 \l 2057 </w:instrText>
          </w:r>
          <w:r w:rsidR="00B52915" w:rsidRPr="00B52915">
            <w:rPr>
              <w:rFonts w:asciiTheme="majorHAnsi" w:hAnsiTheme="majorHAnsi" w:cstheme="majorHAnsi"/>
              <w:sz w:val="24"/>
              <w:szCs w:val="24"/>
              <w:lang w:val="en-US"/>
            </w:rPr>
            <w:fldChar w:fldCharType="separate"/>
          </w:r>
          <w:r w:rsidR="00F774EC" w:rsidRPr="00F774EC">
            <w:rPr>
              <w:rFonts w:asciiTheme="majorHAnsi" w:hAnsiTheme="majorHAnsi" w:cstheme="majorHAnsi"/>
              <w:noProof/>
              <w:sz w:val="24"/>
              <w:szCs w:val="24"/>
            </w:rPr>
            <w:t>(Team, 2023)</w:t>
          </w:r>
          <w:r w:rsidR="00B52915" w:rsidRPr="00B52915">
            <w:rPr>
              <w:rFonts w:asciiTheme="majorHAnsi" w:hAnsiTheme="majorHAnsi" w:cstheme="majorHAnsi"/>
              <w:sz w:val="24"/>
              <w:szCs w:val="24"/>
              <w:lang w:val="en-US"/>
            </w:rPr>
            <w:fldChar w:fldCharType="end"/>
          </w:r>
        </w:sdtContent>
      </w:sdt>
      <w:r w:rsidR="00B52915" w:rsidRPr="00B52915">
        <w:rPr>
          <w:rFonts w:asciiTheme="majorHAnsi" w:hAnsiTheme="majorHAnsi" w:cstheme="majorHAnsi"/>
          <w:sz w:val="24"/>
          <w:szCs w:val="24"/>
          <w:lang w:val="en-US"/>
        </w:rPr>
        <w:t xml:space="preserve"> defines the three outcomes when calculating this index,</w:t>
      </w:r>
    </w:p>
    <w:p w14:paraId="7D6D1D17" w14:textId="70F69288" w:rsidR="00B52915" w:rsidRPr="00B52915" w:rsidRDefault="00B52915" w:rsidP="00B52915">
      <w:pPr>
        <w:numPr>
          <w:ilvl w:val="0"/>
          <w:numId w:val="5"/>
        </w:numPr>
        <w:shd w:val="clear" w:color="auto" w:fill="FFFFFF"/>
        <w:spacing w:before="100" w:beforeAutospacing="1" w:after="100" w:afterAutospacing="1"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When</w:t>
      </w:r>
      <w:r w:rsidRPr="00B52915">
        <w:rPr>
          <w:rFonts w:asciiTheme="majorHAnsi" w:eastAsia="Times New Roman" w:hAnsiTheme="majorHAnsi" w:cstheme="majorHAnsi"/>
          <w:sz w:val="24"/>
          <w:szCs w:val="24"/>
          <w:lang w:eastAsia="en-GB"/>
        </w:rPr>
        <w:t xml:space="preserve"> the PI is greater than 1, the project </w:t>
      </w:r>
      <w:r>
        <w:rPr>
          <w:rFonts w:asciiTheme="majorHAnsi" w:eastAsia="Times New Roman" w:hAnsiTheme="majorHAnsi" w:cstheme="majorHAnsi"/>
          <w:sz w:val="24"/>
          <w:szCs w:val="24"/>
          <w:lang w:eastAsia="en-GB"/>
        </w:rPr>
        <w:t>creates positive</w:t>
      </w:r>
      <w:r w:rsidRPr="00B52915">
        <w:rPr>
          <w:rFonts w:asciiTheme="majorHAnsi" w:eastAsia="Times New Roman" w:hAnsiTheme="majorHAnsi" w:cstheme="majorHAnsi"/>
          <w:sz w:val="24"/>
          <w:szCs w:val="24"/>
          <w:lang w:eastAsia="en-GB"/>
        </w:rPr>
        <w:t xml:space="preserve"> value and the company </w:t>
      </w:r>
      <w:r>
        <w:rPr>
          <w:rFonts w:asciiTheme="majorHAnsi" w:eastAsia="Times New Roman" w:hAnsiTheme="majorHAnsi" w:cstheme="majorHAnsi"/>
          <w:sz w:val="24"/>
          <w:szCs w:val="24"/>
          <w:lang w:eastAsia="en-GB"/>
        </w:rPr>
        <w:t>can</w:t>
      </w:r>
      <w:r w:rsidRPr="00B52915">
        <w:rPr>
          <w:rFonts w:asciiTheme="majorHAnsi" w:eastAsia="Times New Roman" w:hAnsiTheme="majorHAnsi" w:cstheme="majorHAnsi"/>
          <w:sz w:val="24"/>
          <w:szCs w:val="24"/>
          <w:lang w:eastAsia="en-GB"/>
        </w:rPr>
        <w:t xml:space="preserve"> proceed with the project.</w:t>
      </w:r>
    </w:p>
    <w:p w14:paraId="5E020632" w14:textId="01B229DF" w:rsidR="00B52915" w:rsidRPr="00B52915" w:rsidRDefault="00B52915" w:rsidP="00B52915">
      <w:pPr>
        <w:numPr>
          <w:ilvl w:val="0"/>
          <w:numId w:val="5"/>
        </w:numPr>
        <w:shd w:val="clear" w:color="auto" w:fill="FFFFFF"/>
        <w:spacing w:before="100" w:beforeAutospacing="1" w:after="100" w:afterAutospacing="1"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When </w:t>
      </w:r>
      <w:r w:rsidRPr="00B52915">
        <w:rPr>
          <w:rFonts w:asciiTheme="majorHAnsi" w:eastAsia="Times New Roman" w:hAnsiTheme="majorHAnsi" w:cstheme="majorHAnsi"/>
          <w:sz w:val="24"/>
          <w:szCs w:val="24"/>
          <w:lang w:eastAsia="en-GB"/>
        </w:rPr>
        <w:t xml:space="preserve">the PI is less than 1, the project </w:t>
      </w:r>
      <w:r>
        <w:rPr>
          <w:rFonts w:asciiTheme="majorHAnsi" w:eastAsia="Times New Roman" w:hAnsiTheme="majorHAnsi" w:cstheme="majorHAnsi"/>
          <w:sz w:val="24"/>
          <w:szCs w:val="24"/>
          <w:lang w:eastAsia="en-GB"/>
        </w:rPr>
        <w:t>creates negative</w:t>
      </w:r>
      <w:r w:rsidRPr="00B52915">
        <w:rPr>
          <w:rFonts w:asciiTheme="majorHAnsi" w:eastAsia="Times New Roman" w:hAnsiTheme="majorHAnsi" w:cstheme="majorHAnsi"/>
          <w:sz w:val="24"/>
          <w:szCs w:val="24"/>
          <w:lang w:eastAsia="en-GB"/>
        </w:rPr>
        <w:t xml:space="preserve"> value and the company </w:t>
      </w:r>
      <w:r>
        <w:rPr>
          <w:rFonts w:asciiTheme="majorHAnsi" w:eastAsia="Times New Roman" w:hAnsiTheme="majorHAnsi" w:cstheme="majorHAnsi"/>
          <w:sz w:val="24"/>
          <w:szCs w:val="24"/>
          <w:lang w:eastAsia="en-GB"/>
        </w:rPr>
        <w:t>can halt the project for further evaluation or information</w:t>
      </w:r>
      <w:r w:rsidRPr="00B52915">
        <w:rPr>
          <w:rFonts w:asciiTheme="majorHAnsi" w:eastAsia="Times New Roman" w:hAnsiTheme="majorHAnsi" w:cstheme="majorHAnsi"/>
          <w:sz w:val="24"/>
          <w:szCs w:val="24"/>
          <w:lang w:eastAsia="en-GB"/>
        </w:rPr>
        <w:t>.</w:t>
      </w:r>
    </w:p>
    <w:p w14:paraId="7FD61ED4" w14:textId="0E54884D" w:rsidR="00B52915" w:rsidRPr="00B52915" w:rsidRDefault="00B52915" w:rsidP="00B52915">
      <w:pPr>
        <w:numPr>
          <w:ilvl w:val="0"/>
          <w:numId w:val="5"/>
        </w:numPr>
        <w:shd w:val="clear" w:color="auto" w:fill="FFFFFF"/>
        <w:spacing w:before="100" w:beforeAutospacing="1"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When</w:t>
      </w:r>
      <w:r w:rsidRPr="00B52915">
        <w:rPr>
          <w:rFonts w:asciiTheme="majorHAnsi" w:eastAsia="Times New Roman" w:hAnsiTheme="majorHAnsi" w:cstheme="majorHAnsi"/>
          <w:sz w:val="24"/>
          <w:szCs w:val="24"/>
          <w:lang w:eastAsia="en-GB"/>
        </w:rPr>
        <w:t xml:space="preserve"> the PI is equal to 1, the project breaks even and the company is </w:t>
      </w:r>
      <w:r>
        <w:rPr>
          <w:rFonts w:asciiTheme="majorHAnsi" w:eastAsia="Times New Roman" w:hAnsiTheme="majorHAnsi" w:cstheme="majorHAnsi"/>
          <w:sz w:val="24"/>
          <w:szCs w:val="24"/>
          <w:lang w:eastAsia="en-GB"/>
        </w:rPr>
        <w:t>neither of the above and is effectively even, no losses or gains</w:t>
      </w:r>
      <w:r w:rsidRPr="00B52915">
        <w:rPr>
          <w:rFonts w:asciiTheme="majorHAnsi" w:eastAsia="Times New Roman" w:hAnsiTheme="majorHAnsi" w:cstheme="majorHAnsi"/>
          <w:sz w:val="24"/>
          <w:szCs w:val="24"/>
          <w:lang w:eastAsia="en-GB"/>
        </w:rPr>
        <w:t>.</w:t>
      </w:r>
    </w:p>
    <w:p w14:paraId="46919435" w14:textId="073ACDF7" w:rsidR="00B52915" w:rsidRPr="00FB33A3" w:rsidRDefault="00B52915" w:rsidP="005330AD">
      <w:pPr>
        <w:rPr>
          <w:rFonts w:asciiTheme="majorHAnsi" w:hAnsiTheme="majorHAnsi" w:cstheme="majorHAnsi"/>
          <w:sz w:val="24"/>
          <w:szCs w:val="24"/>
          <w:lang w:val="en-US"/>
        </w:rPr>
      </w:pPr>
      <w:r>
        <w:rPr>
          <w:rFonts w:asciiTheme="majorHAnsi" w:hAnsiTheme="majorHAnsi" w:cstheme="majorHAnsi"/>
          <w:sz w:val="24"/>
          <w:szCs w:val="24"/>
          <w:lang w:val="en-US"/>
        </w:rPr>
        <w:t>This project falls into the grater than 1, once again this is adding to the confidence that this project will be beneficial to the business and will not create a loss.</w:t>
      </w:r>
    </w:p>
    <w:p w14:paraId="2C7DF61B" w14:textId="4C253859" w:rsidR="005330AD" w:rsidRPr="005330AD" w:rsidRDefault="005330AD" w:rsidP="005330AD">
      <w:pPr>
        <w:rPr>
          <w:lang w:val="en-US"/>
        </w:rPr>
      </w:pPr>
      <w:r w:rsidRPr="005330AD">
        <w:rPr>
          <w:noProof/>
          <w:lang w:eastAsia="en-GB"/>
        </w:rPr>
        <w:drawing>
          <wp:inline distT="0" distB="0" distL="0" distR="0" wp14:anchorId="7201E3B6" wp14:editId="05F0D0A6">
            <wp:extent cx="5731510" cy="2591659"/>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591659"/>
                    </a:xfrm>
                    <a:prstGeom prst="rect">
                      <a:avLst/>
                    </a:prstGeom>
                    <a:noFill/>
                    <a:ln>
                      <a:noFill/>
                    </a:ln>
                  </pic:spPr>
                </pic:pic>
              </a:graphicData>
            </a:graphic>
          </wp:inline>
        </w:drawing>
      </w:r>
    </w:p>
    <w:p w14:paraId="64DD32FD" w14:textId="02A96AFE" w:rsidR="00DE1EBB" w:rsidRDefault="00DE1EBB" w:rsidP="00DE1EBB">
      <w:pPr>
        <w:pStyle w:val="Heading1"/>
      </w:pPr>
      <w:r>
        <w:t>BCR</w:t>
      </w:r>
    </w:p>
    <w:p w14:paraId="387A332B" w14:textId="309FFE82" w:rsidR="005330AD" w:rsidRDefault="006125FB" w:rsidP="005330AD">
      <w:pPr>
        <w:rPr>
          <w:lang w:val="en-US"/>
        </w:rPr>
      </w:pPr>
      <w:r w:rsidRPr="00803EF0">
        <w:rPr>
          <w:rFonts w:asciiTheme="majorHAnsi" w:hAnsiTheme="majorHAnsi" w:cstheme="majorHAnsi"/>
          <w:sz w:val="24"/>
          <w:szCs w:val="24"/>
          <w:lang w:val="en-US"/>
        </w:rPr>
        <w:t xml:space="preserve">The </w:t>
      </w:r>
      <w:r>
        <w:rPr>
          <w:rFonts w:asciiTheme="majorHAnsi" w:hAnsiTheme="majorHAnsi" w:cstheme="majorHAnsi"/>
          <w:sz w:val="24"/>
          <w:szCs w:val="24"/>
          <w:lang w:val="en-US"/>
        </w:rPr>
        <w:t>BCR is calculated as 0.74 for this project, this calculation is the same as PI however does not combine the NPV and investment, it is simply the NPV divided by the initial investment. As PI BCR is an index figure, over 1 being favorable, this defines the cost of the benefits relative to the initial</w:t>
      </w:r>
      <w:r w:rsidR="00F05722">
        <w:rPr>
          <w:rFonts w:asciiTheme="majorHAnsi" w:hAnsiTheme="majorHAnsi" w:cstheme="majorHAnsi"/>
          <w:sz w:val="24"/>
          <w:szCs w:val="24"/>
          <w:lang w:val="en-US"/>
        </w:rPr>
        <w:t xml:space="preserve"> investment. Even though our BCR is less than 1 this does not mean that the project is a failure, </w:t>
      </w:r>
      <w:sdt>
        <w:sdtPr>
          <w:rPr>
            <w:rFonts w:asciiTheme="majorHAnsi" w:hAnsiTheme="majorHAnsi" w:cstheme="majorHAnsi"/>
            <w:sz w:val="24"/>
            <w:szCs w:val="24"/>
            <w:lang w:val="en-US"/>
          </w:rPr>
          <w:id w:val="1292253287"/>
          <w:citation/>
        </w:sdtPr>
        <w:sdtEndPr/>
        <w:sdtContent>
          <w:r w:rsidR="00F05722">
            <w:rPr>
              <w:rFonts w:asciiTheme="majorHAnsi" w:hAnsiTheme="majorHAnsi" w:cstheme="majorHAnsi"/>
              <w:sz w:val="24"/>
              <w:szCs w:val="24"/>
              <w:lang w:val="en-US"/>
            </w:rPr>
            <w:fldChar w:fldCharType="begin"/>
          </w:r>
          <w:r w:rsidR="00F05722">
            <w:rPr>
              <w:rFonts w:asciiTheme="majorHAnsi" w:hAnsiTheme="majorHAnsi" w:cstheme="majorHAnsi"/>
              <w:sz w:val="24"/>
              <w:szCs w:val="24"/>
            </w:rPr>
            <w:instrText xml:space="preserve"> CITATION ADA22 \l 2057 </w:instrText>
          </w:r>
          <w:r w:rsidR="00F05722">
            <w:rPr>
              <w:rFonts w:asciiTheme="majorHAnsi" w:hAnsiTheme="majorHAnsi" w:cstheme="majorHAnsi"/>
              <w:sz w:val="24"/>
              <w:szCs w:val="24"/>
              <w:lang w:val="en-US"/>
            </w:rPr>
            <w:fldChar w:fldCharType="separate"/>
          </w:r>
          <w:r w:rsidR="00F774EC" w:rsidRPr="00F774EC">
            <w:rPr>
              <w:rFonts w:asciiTheme="majorHAnsi" w:hAnsiTheme="majorHAnsi" w:cstheme="majorHAnsi"/>
              <w:noProof/>
              <w:sz w:val="24"/>
              <w:szCs w:val="24"/>
            </w:rPr>
            <w:t>(HAYES, 2022)</w:t>
          </w:r>
          <w:r w:rsidR="00F05722">
            <w:rPr>
              <w:rFonts w:asciiTheme="majorHAnsi" w:hAnsiTheme="majorHAnsi" w:cstheme="majorHAnsi"/>
              <w:sz w:val="24"/>
              <w:szCs w:val="24"/>
              <w:lang w:val="en-US"/>
            </w:rPr>
            <w:fldChar w:fldCharType="end"/>
          </w:r>
        </w:sdtContent>
      </w:sdt>
      <w:r w:rsidR="00F05722">
        <w:rPr>
          <w:rFonts w:asciiTheme="majorHAnsi" w:hAnsiTheme="majorHAnsi" w:cstheme="majorHAnsi"/>
          <w:sz w:val="24"/>
          <w:szCs w:val="24"/>
          <w:lang w:val="en-US"/>
        </w:rPr>
        <w:t xml:space="preserve"> provides clarity that BCR is a simple calculation and does not take into account the required data to suggest failure straight away. BCR must be used in tandem with other calculations as on its own it can be misleading, it does not take into account changes in the business that are unforeseen. </w:t>
      </w:r>
    </w:p>
    <w:p w14:paraId="695D92BD" w14:textId="5F8B0D45" w:rsidR="005330AD" w:rsidRPr="005330AD" w:rsidRDefault="003755E7" w:rsidP="005330AD">
      <w:pPr>
        <w:rPr>
          <w:lang w:val="en-US"/>
        </w:rPr>
      </w:pPr>
      <w:r w:rsidRPr="003755E7">
        <w:lastRenderedPageBreak/>
        <w:drawing>
          <wp:inline distT="0" distB="0" distL="0" distR="0" wp14:anchorId="64F0D768" wp14:editId="3710F3CE">
            <wp:extent cx="5731510" cy="284792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847928"/>
                    </a:xfrm>
                    <a:prstGeom prst="rect">
                      <a:avLst/>
                    </a:prstGeom>
                    <a:noFill/>
                    <a:ln>
                      <a:noFill/>
                    </a:ln>
                  </pic:spPr>
                </pic:pic>
              </a:graphicData>
            </a:graphic>
          </wp:inline>
        </w:drawing>
      </w:r>
    </w:p>
    <w:p w14:paraId="275CF138" w14:textId="53C3D6DF" w:rsidR="00DE1EBB" w:rsidRDefault="00DE1EBB" w:rsidP="00DE1EBB">
      <w:pPr>
        <w:pStyle w:val="Heading1"/>
      </w:pPr>
      <w:r>
        <w:t>ARR</w:t>
      </w:r>
    </w:p>
    <w:p w14:paraId="62F74106" w14:textId="6D6A99B7" w:rsidR="007E4EF1" w:rsidRDefault="00F05722" w:rsidP="005330AD">
      <w:pPr>
        <w:rPr>
          <w:rFonts w:asciiTheme="majorHAnsi" w:hAnsiTheme="majorHAnsi" w:cstheme="majorHAnsi"/>
          <w:sz w:val="24"/>
          <w:szCs w:val="24"/>
          <w:lang w:val="en-US"/>
        </w:rPr>
      </w:pPr>
      <w:r w:rsidRPr="00803EF0">
        <w:rPr>
          <w:rFonts w:asciiTheme="majorHAnsi" w:hAnsiTheme="majorHAnsi" w:cstheme="majorHAnsi"/>
          <w:sz w:val="24"/>
          <w:szCs w:val="24"/>
          <w:lang w:val="en-US"/>
        </w:rPr>
        <w:t xml:space="preserve">The </w:t>
      </w:r>
      <w:r>
        <w:rPr>
          <w:rFonts w:asciiTheme="majorHAnsi" w:hAnsiTheme="majorHAnsi" w:cstheme="majorHAnsi"/>
          <w:sz w:val="24"/>
          <w:szCs w:val="24"/>
          <w:lang w:val="en-US"/>
        </w:rPr>
        <w:t xml:space="preserve">ARR in this instance is calculated as a percentage, for this project it is 49.7%. The ARR uses a residual figure </w:t>
      </w:r>
      <w:r w:rsidR="00A6471B">
        <w:rPr>
          <w:rFonts w:asciiTheme="majorHAnsi" w:hAnsiTheme="majorHAnsi" w:cstheme="majorHAnsi"/>
          <w:sz w:val="24"/>
          <w:szCs w:val="24"/>
          <w:lang w:val="en-US"/>
        </w:rPr>
        <w:t>to calculate a depreciation figure, from this we can create a net income profit. In addition we can create an average investment and average net, by adding the initial investment and average investment then divide</w:t>
      </w:r>
      <w:r w:rsidR="004D3F35">
        <w:rPr>
          <w:rFonts w:asciiTheme="majorHAnsi" w:hAnsiTheme="majorHAnsi" w:cstheme="majorHAnsi"/>
          <w:sz w:val="24"/>
          <w:szCs w:val="24"/>
          <w:lang w:val="en-US"/>
        </w:rPr>
        <w:t>d</w:t>
      </w:r>
      <w:r w:rsidR="00A6471B">
        <w:rPr>
          <w:rFonts w:asciiTheme="majorHAnsi" w:hAnsiTheme="majorHAnsi" w:cstheme="majorHAnsi"/>
          <w:sz w:val="24"/>
          <w:szCs w:val="24"/>
          <w:lang w:val="en-US"/>
        </w:rPr>
        <w:t xml:space="preserve"> by the total net and by 2 we will get our ARR percentage.</w:t>
      </w:r>
      <w:r w:rsidR="00C92F58">
        <w:rPr>
          <w:rFonts w:asciiTheme="majorHAnsi" w:hAnsiTheme="majorHAnsi" w:cstheme="majorHAnsi"/>
          <w:sz w:val="24"/>
          <w:szCs w:val="24"/>
          <w:lang w:val="en-US"/>
        </w:rPr>
        <w:t xml:space="preserve"> This percentage is the rate on return from the asset, in this project the purchase from the initial investment is the asset.</w:t>
      </w:r>
      <w:r w:rsidR="004412AD">
        <w:rPr>
          <w:rFonts w:asciiTheme="majorHAnsi" w:hAnsiTheme="majorHAnsi" w:cstheme="majorHAnsi"/>
          <w:sz w:val="24"/>
          <w:szCs w:val="24"/>
          <w:lang w:val="en-US"/>
        </w:rPr>
        <w:t xml:space="preserve"> Through this project the lifetime of the asset will provide nearly 50%, this </w:t>
      </w:r>
      <w:r w:rsidR="007E4EF1">
        <w:rPr>
          <w:rFonts w:asciiTheme="majorHAnsi" w:hAnsiTheme="majorHAnsi" w:cstheme="majorHAnsi"/>
          <w:sz w:val="24"/>
          <w:szCs w:val="24"/>
          <w:lang w:val="en-US"/>
        </w:rPr>
        <w:t xml:space="preserve">calculation </w:t>
      </w:r>
      <w:r w:rsidR="004412AD">
        <w:rPr>
          <w:rFonts w:asciiTheme="majorHAnsi" w:hAnsiTheme="majorHAnsi" w:cstheme="majorHAnsi"/>
          <w:sz w:val="24"/>
          <w:szCs w:val="24"/>
          <w:lang w:val="en-US"/>
        </w:rPr>
        <w:t>also</w:t>
      </w:r>
      <w:r w:rsidR="007E4EF1">
        <w:rPr>
          <w:rFonts w:asciiTheme="majorHAnsi" w:hAnsiTheme="majorHAnsi" w:cstheme="majorHAnsi"/>
          <w:sz w:val="24"/>
          <w:szCs w:val="24"/>
          <w:lang w:val="en-US"/>
        </w:rPr>
        <w:t xml:space="preserve"> takes into account any other expenses for the asset. </w:t>
      </w:r>
      <w:r w:rsidR="004412AD">
        <w:rPr>
          <w:rFonts w:asciiTheme="majorHAnsi" w:hAnsiTheme="majorHAnsi" w:cstheme="majorHAnsi"/>
          <w:sz w:val="24"/>
          <w:szCs w:val="24"/>
          <w:lang w:val="en-US"/>
        </w:rPr>
        <w:t xml:space="preserve"> </w:t>
      </w:r>
      <w:sdt>
        <w:sdtPr>
          <w:rPr>
            <w:rFonts w:asciiTheme="majorHAnsi" w:hAnsiTheme="majorHAnsi" w:cstheme="majorHAnsi"/>
            <w:sz w:val="24"/>
            <w:szCs w:val="24"/>
            <w:lang w:val="en-US"/>
          </w:rPr>
          <w:id w:val="-6210361"/>
          <w:citation/>
        </w:sdtPr>
        <w:sdtEndPr/>
        <w:sdtContent>
          <w:r w:rsidR="004412AD">
            <w:rPr>
              <w:rFonts w:asciiTheme="majorHAnsi" w:hAnsiTheme="majorHAnsi" w:cstheme="majorHAnsi"/>
              <w:sz w:val="24"/>
              <w:szCs w:val="24"/>
              <w:lang w:val="en-US"/>
            </w:rPr>
            <w:fldChar w:fldCharType="begin"/>
          </w:r>
          <w:r w:rsidR="004412AD">
            <w:rPr>
              <w:rFonts w:asciiTheme="majorHAnsi" w:hAnsiTheme="majorHAnsi" w:cstheme="majorHAnsi"/>
              <w:sz w:val="24"/>
              <w:szCs w:val="24"/>
            </w:rPr>
            <w:instrText xml:space="preserve"> CITATION CHR22 \l 2057 </w:instrText>
          </w:r>
          <w:r w:rsidR="004412AD">
            <w:rPr>
              <w:rFonts w:asciiTheme="majorHAnsi" w:hAnsiTheme="majorHAnsi" w:cstheme="majorHAnsi"/>
              <w:sz w:val="24"/>
              <w:szCs w:val="24"/>
              <w:lang w:val="en-US"/>
            </w:rPr>
            <w:fldChar w:fldCharType="separate"/>
          </w:r>
          <w:r w:rsidR="00F774EC" w:rsidRPr="00F774EC">
            <w:rPr>
              <w:rFonts w:asciiTheme="majorHAnsi" w:hAnsiTheme="majorHAnsi" w:cstheme="majorHAnsi"/>
              <w:noProof/>
              <w:sz w:val="24"/>
              <w:szCs w:val="24"/>
            </w:rPr>
            <w:t>(MURPHY, 2022)</w:t>
          </w:r>
          <w:r w:rsidR="004412AD">
            <w:rPr>
              <w:rFonts w:asciiTheme="majorHAnsi" w:hAnsiTheme="majorHAnsi" w:cstheme="majorHAnsi"/>
              <w:sz w:val="24"/>
              <w:szCs w:val="24"/>
              <w:lang w:val="en-US"/>
            </w:rPr>
            <w:fldChar w:fldCharType="end"/>
          </w:r>
        </w:sdtContent>
      </w:sdt>
      <w:r w:rsidR="007E4EF1">
        <w:rPr>
          <w:rFonts w:asciiTheme="majorHAnsi" w:hAnsiTheme="majorHAnsi" w:cstheme="majorHAnsi"/>
          <w:sz w:val="24"/>
          <w:szCs w:val="24"/>
          <w:lang w:val="en-US"/>
        </w:rPr>
        <w:t xml:space="preserve"> highlights that ARR can show the depreciation of the asset, when they will require maintenance or replacement, this will provide the business time to plan in extra capital and the most effective was to integrate the change to not disrupt efficacy or profitability. </w:t>
      </w:r>
    </w:p>
    <w:p w14:paraId="63993971" w14:textId="06452129" w:rsidR="005330AD" w:rsidRDefault="005330AD" w:rsidP="005330AD">
      <w:pPr>
        <w:rPr>
          <w:lang w:val="en-US"/>
        </w:rPr>
      </w:pPr>
      <w:r w:rsidRPr="005330AD">
        <w:rPr>
          <w:noProof/>
          <w:lang w:eastAsia="en-GB"/>
        </w:rPr>
        <w:drawing>
          <wp:inline distT="0" distB="0" distL="0" distR="0" wp14:anchorId="4EFC23AC" wp14:editId="6F46B2C5">
            <wp:extent cx="3446780" cy="2581275"/>
            <wp:effectExtent l="0" t="0" r="127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46780" cy="2581275"/>
                    </a:xfrm>
                    <a:prstGeom prst="rect">
                      <a:avLst/>
                    </a:prstGeom>
                    <a:noFill/>
                    <a:ln>
                      <a:noFill/>
                    </a:ln>
                  </pic:spPr>
                </pic:pic>
              </a:graphicData>
            </a:graphic>
          </wp:inline>
        </w:drawing>
      </w:r>
    </w:p>
    <w:p w14:paraId="3A2792FB" w14:textId="77777777" w:rsidR="005330AD" w:rsidRPr="005330AD" w:rsidRDefault="005330AD" w:rsidP="005330AD">
      <w:pPr>
        <w:rPr>
          <w:lang w:val="en-US"/>
        </w:rPr>
      </w:pPr>
    </w:p>
    <w:p w14:paraId="77013051" w14:textId="247B2028" w:rsidR="00DE1EBB" w:rsidRDefault="00DE1EBB" w:rsidP="00DE1EBB">
      <w:pPr>
        <w:pStyle w:val="Heading1"/>
      </w:pPr>
      <w:r>
        <w:lastRenderedPageBreak/>
        <w:t>Implementation issues</w:t>
      </w:r>
    </w:p>
    <w:p w14:paraId="600B15E4" w14:textId="10BE4677" w:rsidR="00686ECA" w:rsidRDefault="00357DC4" w:rsidP="00357DC4">
      <w:pPr>
        <w:rPr>
          <w:rFonts w:asciiTheme="majorHAnsi" w:hAnsiTheme="majorHAnsi" w:cstheme="majorHAnsi"/>
          <w:sz w:val="24"/>
          <w:szCs w:val="24"/>
          <w:lang w:val="en-US"/>
        </w:rPr>
      </w:pPr>
      <w:r w:rsidRPr="00803EF0">
        <w:rPr>
          <w:rFonts w:asciiTheme="majorHAnsi" w:hAnsiTheme="majorHAnsi" w:cstheme="majorHAnsi"/>
          <w:sz w:val="24"/>
          <w:szCs w:val="24"/>
          <w:lang w:val="en-US"/>
        </w:rPr>
        <w:t>Th</w:t>
      </w:r>
      <w:r>
        <w:rPr>
          <w:rFonts w:asciiTheme="majorHAnsi" w:hAnsiTheme="majorHAnsi" w:cstheme="majorHAnsi"/>
          <w:sz w:val="24"/>
          <w:szCs w:val="24"/>
          <w:lang w:val="en-US"/>
        </w:rPr>
        <w:t>is project is based on expanding the current model within the first article room, therefore there is no reason to disrupt the current workflow or output being achieved. Issue</w:t>
      </w:r>
      <w:r w:rsidR="00916DDB">
        <w:rPr>
          <w:rFonts w:asciiTheme="majorHAnsi" w:hAnsiTheme="majorHAnsi" w:cstheme="majorHAnsi"/>
          <w:sz w:val="24"/>
          <w:szCs w:val="24"/>
          <w:lang w:val="en-US"/>
        </w:rPr>
        <w:t>s</w:t>
      </w:r>
      <w:r>
        <w:rPr>
          <w:rFonts w:asciiTheme="majorHAnsi" w:hAnsiTheme="majorHAnsi" w:cstheme="majorHAnsi"/>
          <w:sz w:val="24"/>
          <w:szCs w:val="24"/>
          <w:lang w:val="en-US"/>
        </w:rPr>
        <w:t xml:space="preserve"> we will see are the sign off for other daily requirements desks, laptops, interface connections i.e HDMI leads, seat and possible safety equipment</w:t>
      </w:r>
      <w:r w:rsidR="00916DDB">
        <w:rPr>
          <w:rFonts w:asciiTheme="majorHAnsi" w:hAnsiTheme="majorHAnsi" w:cstheme="majorHAnsi"/>
          <w:sz w:val="24"/>
          <w:szCs w:val="24"/>
          <w:lang w:val="en-US"/>
        </w:rPr>
        <w:t xml:space="preserve"> to support the project</w:t>
      </w:r>
      <w:r>
        <w:rPr>
          <w:rFonts w:asciiTheme="majorHAnsi" w:hAnsiTheme="majorHAnsi" w:cstheme="majorHAnsi"/>
          <w:sz w:val="24"/>
          <w:szCs w:val="24"/>
          <w:lang w:val="en-US"/>
        </w:rPr>
        <w:t>. These will either have to be placed on a separate order request or built into a business case with this appraisal</w:t>
      </w:r>
      <w:r w:rsidR="00916DDB">
        <w:rPr>
          <w:rFonts w:asciiTheme="majorHAnsi" w:hAnsiTheme="majorHAnsi" w:cstheme="majorHAnsi"/>
          <w:sz w:val="24"/>
          <w:szCs w:val="24"/>
          <w:lang w:val="en-US"/>
        </w:rPr>
        <w:t>, these maybe a given as daily requirements</w:t>
      </w:r>
      <w:r w:rsidR="005A6EE6">
        <w:rPr>
          <w:rFonts w:asciiTheme="majorHAnsi" w:hAnsiTheme="majorHAnsi" w:cstheme="majorHAnsi"/>
          <w:sz w:val="24"/>
          <w:szCs w:val="24"/>
          <w:lang w:val="en-US"/>
        </w:rPr>
        <w:t>,</w:t>
      </w:r>
      <w:r w:rsidR="00916DDB">
        <w:rPr>
          <w:rFonts w:asciiTheme="majorHAnsi" w:hAnsiTheme="majorHAnsi" w:cstheme="majorHAnsi"/>
          <w:sz w:val="24"/>
          <w:szCs w:val="24"/>
          <w:lang w:val="en-US"/>
        </w:rPr>
        <w:t xml:space="preserve"> </w:t>
      </w:r>
      <w:r w:rsidR="005A6EE6">
        <w:rPr>
          <w:rFonts w:asciiTheme="majorHAnsi" w:hAnsiTheme="majorHAnsi" w:cstheme="majorHAnsi"/>
          <w:sz w:val="24"/>
          <w:szCs w:val="24"/>
          <w:lang w:val="en-US"/>
        </w:rPr>
        <w:t xml:space="preserve">however that is not the case for our business. </w:t>
      </w:r>
      <w:r>
        <w:rPr>
          <w:rFonts w:asciiTheme="majorHAnsi" w:hAnsiTheme="majorHAnsi" w:cstheme="majorHAnsi"/>
          <w:sz w:val="24"/>
          <w:szCs w:val="24"/>
          <w:lang w:val="en-US"/>
        </w:rPr>
        <w:t>This is where we have found that the time to complete that process is very long in time, in addition the above items can only be purchased from approved HSE suppliers, this would mean a desk at £100 in Ikea now becomes £850</w:t>
      </w:r>
      <w:r w:rsidR="005D1CC7">
        <w:rPr>
          <w:rFonts w:asciiTheme="majorHAnsi" w:hAnsiTheme="majorHAnsi" w:cstheme="majorHAnsi"/>
          <w:sz w:val="24"/>
          <w:szCs w:val="24"/>
          <w:lang w:val="en-US"/>
        </w:rPr>
        <w:t xml:space="preserve"> from the approved suppliers</w:t>
      </w:r>
      <w:r w:rsidR="00686ECA">
        <w:rPr>
          <w:rFonts w:asciiTheme="majorHAnsi" w:hAnsiTheme="majorHAnsi" w:cstheme="majorHAnsi"/>
          <w:sz w:val="24"/>
          <w:szCs w:val="24"/>
          <w:lang w:val="en-US"/>
        </w:rPr>
        <w:t>. When these are added to the initial improvement reason the cost spirals, as in the initial summary this is where the improvement will be rejected by the CFO.</w:t>
      </w:r>
    </w:p>
    <w:p w14:paraId="23DD4DAD" w14:textId="77777777" w:rsidR="002A698B" w:rsidRDefault="00686ECA" w:rsidP="00357DC4">
      <w:pPr>
        <w:rPr>
          <w:rFonts w:asciiTheme="majorHAnsi" w:hAnsiTheme="majorHAnsi" w:cstheme="majorHAnsi"/>
          <w:sz w:val="24"/>
          <w:szCs w:val="24"/>
          <w:lang w:val="en-US"/>
        </w:rPr>
      </w:pPr>
      <w:r>
        <w:rPr>
          <w:rFonts w:asciiTheme="majorHAnsi" w:hAnsiTheme="majorHAnsi" w:cstheme="majorHAnsi"/>
          <w:sz w:val="24"/>
          <w:szCs w:val="24"/>
          <w:lang w:val="en-US"/>
        </w:rPr>
        <w:t>Outside of this we also have the health of the employees to consider, change is often seen as negative. With poor communications team member fear of redundancies, technology taking over or the expectation of working harder when the reality is to work smarter.</w:t>
      </w:r>
      <w:r w:rsidR="00357DC4">
        <w:rPr>
          <w:rFonts w:asciiTheme="majorHAnsi" w:hAnsiTheme="majorHAnsi" w:cstheme="majorHAnsi"/>
          <w:sz w:val="24"/>
          <w:szCs w:val="24"/>
          <w:lang w:val="en-US"/>
        </w:rPr>
        <w:t xml:space="preserve"> </w:t>
      </w:r>
    </w:p>
    <w:p w14:paraId="5F6359E0" w14:textId="51636708" w:rsidR="005D1CC7" w:rsidRPr="00357DC4" w:rsidRDefault="00D54325" w:rsidP="00357DC4">
      <w:pPr>
        <w:rPr>
          <w:lang w:val="en-US"/>
        </w:rPr>
      </w:pPr>
      <w:r>
        <w:rPr>
          <w:rFonts w:asciiTheme="majorHAnsi" w:hAnsiTheme="majorHAnsi" w:cstheme="majorHAnsi"/>
          <w:sz w:val="24"/>
          <w:szCs w:val="24"/>
          <w:lang w:val="en-US"/>
        </w:rPr>
        <w:t xml:space="preserve">To move away from that </w:t>
      </w:r>
      <w:sdt>
        <w:sdtPr>
          <w:rPr>
            <w:rFonts w:asciiTheme="majorHAnsi" w:hAnsiTheme="majorHAnsi" w:cstheme="majorHAnsi"/>
            <w:lang w:val="en-US"/>
          </w:rPr>
          <w:id w:val="-722518030"/>
          <w:citation/>
        </w:sdtPr>
        <w:sdtEndPr/>
        <w:sdtContent>
          <w:r w:rsidR="009340B6" w:rsidRPr="005A727F">
            <w:rPr>
              <w:rFonts w:asciiTheme="majorHAnsi" w:hAnsiTheme="majorHAnsi" w:cstheme="majorHAnsi"/>
              <w:lang w:val="en-US"/>
            </w:rPr>
            <w:fldChar w:fldCharType="begin"/>
          </w:r>
          <w:r w:rsidR="009340B6" w:rsidRPr="005A727F">
            <w:rPr>
              <w:rFonts w:asciiTheme="majorHAnsi" w:hAnsiTheme="majorHAnsi" w:cstheme="majorHAnsi"/>
            </w:rPr>
            <w:instrText xml:space="preserve"> CITATION Mel19 \l 2057 </w:instrText>
          </w:r>
          <w:r w:rsidR="009340B6" w:rsidRPr="005A727F">
            <w:rPr>
              <w:rFonts w:asciiTheme="majorHAnsi" w:hAnsiTheme="majorHAnsi" w:cstheme="majorHAnsi"/>
              <w:lang w:val="en-US"/>
            </w:rPr>
            <w:fldChar w:fldCharType="separate"/>
          </w:r>
          <w:r w:rsidR="00F774EC" w:rsidRPr="00F774EC">
            <w:rPr>
              <w:rFonts w:asciiTheme="majorHAnsi" w:hAnsiTheme="majorHAnsi" w:cstheme="majorHAnsi"/>
              <w:noProof/>
            </w:rPr>
            <w:t>(Mellssa A.Schilling, 2019)</w:t>
          </w:r>
          <w:r w:rsidR="009340B6" w:rsidRPr="005A727F">
            <w:rPr>
              <w:rFonts w:asciiTheme="majorHAnsi" w:hAnsiTheme="majorHAnsi" w:cstheme="majorHAnsi"/>
              <w:lang w:val="en-US"/>
            </w:rPr>
            <w:fldChar w:fldCharType="end"/>
          </w:r>
        </w:sdtContent>
      </w:sdt>
      <w:r w:rsidR="009340B6" w:rsidRPr="005A727F">
        <w:rPr>
          <w:rFonts w:asciiTheme="majorHAnsi" w:hAnsiTheme="majorHAnsi" w:cstheme="majorHAnsi"/>
          <w:lang w:val="en-US"/>
        </w:rPr>
        <w:t xml:space="preserve"> </w:t>
      </w:r>
      <w:r>
        <w:rPr>
          <w:rFonts w:asciiTheme="majorHAnsi" w:hAnsiTheme="majorHAnsi" w:cstheme="majorHAnsi"/>
          <w:lang w:val="en-US"/>
        </w:rPr>
        <w:t xml:space="preserve"> describes how a company </w:t>
      </w:r>
      <w:r w:rsidR="00BD49F9">
        <w:rPr>
          <w:rFonts w:asciiTheme="majorHAnsi" w:hAnsiTheme="majorHAnsi" w:cstheme="majorHAnsi"/>
          <w:lang w:val="en-US"/>
        </w:rPr>
        <w:t xml:space="preserve">can create buy in with adding in champions to the process. This is where we can utilize current staff in the area to create a positive approach. As well as providing a clear single thread message </w:t>
      </w:r>
      <w:r w:rsidR="00F7651B">
        <w:rPr>
          <w:rFonts w:asciiTheme="majorHAnsi" w:hAnsiTheme="majorHAnsi" w:cstheme="majorHAnsi"/>
          <w:lang w:val="en-US"/>
        </w:rPr>
        <w:t xml:space="preserve">feedback is essential as often it can provide additional options </w:t>
      </w:r>
      <w:r w:rsidR="009634DC">
        <w:rPr>
          <w:rFonts w:asciiTheme="majorHAnsi" w:hAnsiTheme="majorHAnsi" w:cstheme="majorHAnsi"/>
          <w:lang w:val="en-US"/>
        </w:rPr>
        <w:t>either cost savings or efficiency improvements that support the initial project.</w:t>
      </w:r>
    </w:p>
    <w:p w14:paraId="0558172E" w14:textId="67CF2D9D" w:rsidR="004E2102" w:rsidRDefault="00DE1EBB" w:rsidP="004E2102">
      <w:pPr>
        <w:pStyle w:val="Heading1"/>
      </w:pPr>
      <w:r>
        <w:t xml:space="preserve">Options for funding </w:t>
      </w:r>
    </w:p>
    <w:p w14:paraId="24019612" w14:textId="18370202" w:rsidR="004E2102" w:rsidRDefault="004E2102" w:rsidP="004E2102">
      <w:pPr>
        <w:rPr>
          <w:rFonts w:asciiTheme="majorHAnsi" w:hAnsiTheme="majorHAnsi" w:cstheme="majorHAnsi"/>
          <w:sz w:val="24"/>
          <w:szCs w:val="24"/>
          <w:lang w:val="en-US"/>
        </w:rPr>
      </w:pPr>
      <w:r w:rsidRPr="00803EF0">
        <w:rPr>
          <w:rFonts w:asciiTheme="majorHAnsi" w:hAnsiTheme="majorHAnsi" w:cstheme="majorHAnsi"/>
          <w:sz w:val="24"/>
          <w:szCs w:val="24"/>
          <w:lang w:val="en-US"/>
        </w:rPr>
        <w:t>T</w:t>
      </w:r>
      <w:r>
        <w:rPr>
          <w:rFonts w:asciiTheme="majorHAnsi" w:hAnsiTheme="majorHAnsi" w:cstheme="majorHAnsi"/>
          <w:sz w:val="24"/>
          <w:szCs w:val="24"/>
          <w:lang w:val="en-US"/>
        </w:rPr>
        <w:t>he natural process for funding is to raise a</w:t>
      </w:r>
      <w:r w:rsidR="007746C8">
        <w:rPr>
          <w:rFonts w:asciiTheme="majorHAnsi" w:hAnsiTheme="majorHAnsi" w:cstheme="majorHAnsi"/>
          <w:sz w:val="24"/>
          <w:szCs w:val="24"/>
          <w:lang w:val="en-US"/>
        </w:rPr>
        <w:t>n internal</w:t>
      </w:r>
      <w:r>
        <w:rPr>
          <w:rFonts w:asciiTheme="majorHAnsi" w:hAnsiTheme="majorHAnsi" w:cstheme="majorHAnsi"/>
          <w:sz w:val="24"/>
          <w:szCs w:val="24"/>
          <w:lang w:val="en-US"/>
        </w:rPr>
        <w:t xml:space="preserve"> capex form</w:t>
      </w:r>
      <w:r w:rsidR="007746C8">
        <w:rPr>
          <w:rFonts w:asciiTheme="majorHAnsi" w:hAnsiTheme="majorHAnsi" w:cstheme="majorHAnsi"/>
          <w:sz w:val="24"/>
          <w:szCs w:val="24"/>
          <w:lang w:val="en-US"/>
        </w:rPr>
        <w:t xml:space="preserve">, this </w:t>
      </w:r>
      <w:r>
        <w:rPr>
          <w:rFonts w:asciiTheme="majorHAnsi" w:hAnsiTheme="majorHAnsi" w:cstheme="majorHAnsi"/>
          <w:sz w:val="24"/>
          <w:szCs w:val="24"/>
          <w:lang w:val="en-US"/>
        </w:rPr>
        <w:t>reviews</w:t>
      </w:r>
      <w:r w:rsidR="007746C8">
        <w:rPr>
          <w:rFonts w:asciiTheme="majorHAnsi" w:hAnsiTheme="majorHAnsi" w:cstheme="majorHAnsi"/>
          <w:sz w:val="24"/>
          <w:szCs w:val="24"/>
          <w:lang w:val="en-US"/>
        </w:rPr>
        <w:t xml:space="preserve"> technical summary, solution &amp; schemes, project impacts, low carbon, HSE, cost of the project, benefits of the project, financial summary, detailed financials and investment details.</w:t>
      </w:r>
      <w:r>
        <w:rPr>
          <w:rFonts w:asciiTheme="majorHAnsi" w:hAnsiTheme="majorHAnsi" w:cstheme="majorHAnsi"/>
          <w:sz w:val="24"/>
          <w:szCs w:val="24"/>
          <w:lang w:val="en-US"/>
        </w:rPr>
        <w:t xml:space="preserve"> </w:t>
      </w:r>
      <w:r w:rsidR="007746C8">
        <w:rPr>
          <w:rFonts w:asciiTheme="majorHAnsi" w:hAnsiTheme="majorHAnsi" w:cstheme="majorHAnsi"/>
          <w:sz w:val="24"/>
          <w:szCs w:val="24"/>
          <w:lang w:val="en-US"/>
        </w:rPr>
        <w:t>This would be review by the finance team and essentially be accepted or rejected based on the direction provided by the CFO.</w:t>
      </w:r>
    </w:p>
    <w:p w14:paraId="142ADA9A" w14:textId="2A119433" w:rsidR="004E2102" w:rsidRDefault="004E2102" w:rsidP="004E2102">
      <w:pPr>
        <w:rPr>
          <w:rFonts w:asciiTheme="majorHAnsi" w:hAnsiTheme="majorHAnsi" w:cstheme="majorHAnsi"/>
          <w:sz w:val="24"/>
          <w:szCs w:val="24"/>
          <w:lang w:val="en-US"/>
        </w:rPr>
      </w:pPr>
      <w:r>
        <w:rPr>
          <w:rFonts w:asciiTheme="majorHAnsi" w:hAnsiTheme="majorHAnsi" w:cstheme="majorHAnsi"/>
          <w:sz w:val="24"/>
          <w:szCs w:val="24"/>
          <w:lang w:val="en-US"/>
        </w:rPr>
        <w:t xml:space="preserve">In addition we have reviewed the potential sale of machines that have high value but low effect to the business. One item within our business is a Mazak CNC machine, this is currently worth in the region </w:t>
      </w:r>
      <w:r w:rsidR="007746C8">
        <w:rPr>
          <w:rFonts w:asciiTheme="majorHAnsi" w:hAnsiTheme="majorHAnsi" w:cstheme="majorHAnsi"/>
          <w:sz w:val="24"/>
          <w:szCs w:val="24"/>
          <w:lang w:val="en-US"/>
        </w:rPr>
        <w:t>of £500k. The Mazak was purchase with the intension to reduce first off failures that were nearly 50%, however this has not been achieved. With still a consistent failure rate of 40% the tradeoff is not beneficial but the asset still holds worth. The bottleneck is still maintained and double handling still occurs, selling this asset would provide the capital to pursue this project creating positive efficiency and a positive financial impact back into the company.</w:t>
      </w:r>
    </w:p>
    <w:p w14:paraId="3FCFF420" w14:textId="6120F823" w:rsidR="004E2102" w:rsidRPr="004E2102" w:rsidRDefault="00EA2048" w:rsidP="004E2102">
      <w:pPr>
        <w:rPr>
          <w:lang w:val="en-US"/>
        </w:rPr>
      </w:pPr>
      <w:r>
        <w:rPr>
          <w:rFonts w:asciiTheme="majorHAnsi" w:hAnsiTheme="majorHAnsi" w:cstheme="majorHAnsi"/>
          <w:sz w:val="24"/>
          <w:szCs w:val="24"/>
          <w:lang w:val="en-US"/>
        </w:rPr>
        <w:t xml:space="preserve">Funding externally has also been explored, in the global company being held in France we have had success with the EIB (European investment bank). </w:t>
      </w:r>
      <w:sdt>
        <w:sdtPr>
          <w:rPr>
            <w:rFonts w:asciiTheme="majorHAnsi" w:hAnsiTheme="majorHAnsi" w:cstheme="majorHAnsi"/>
            <w:sz w:val="24"/>
            <w:szCs w:val="24"/>
            <w:lang w:val="en-US"/>
          </w:rPr>
          <w:id w:val="80187840"/>
          <w:citation/>
        </w:sdtPr>
        <w:sdtEndPr/>
        <w:sdtContent>
          <w:r>
            <w:rPr>
              <w:rFonts w:asciiTheme="majorHAnsi" w:hAnsiTheme="majorHAnsi" w:cstheme="majorHAnsi"/>
              <w:sz w:val="24"/>
              <w:szCs w:val="24"/>
              <w:lang w:val="en-US"/>
            </w:rPr>
            <w:fldChar w:fldCharType="begin"/>
          </w:r>
          <w:r>
            <w:rPr>
              <w:rFonts w:asciiTheme="majorHAnsi" w:hAnsiTheme="majorHAnsi" w:cstheme="majorHAnsi"/>
              <w:sz w:val="24"/>
              <w:szCs w:val="24"/>
            </w:rPr>
            <w:instrText xml:space="preserve"> CITATION EIB21 \l 2057 </w:instrText>
          </w:r>
          <w:r>
            <w:rPr>
              <w:rFonts w:asciiTheme="majorHAnsi" w:hAnsiTheme="majorHAnsi" w:cstheme="majorHAnsi"/>
              <w:sz w:val="24"/>
              <w:szCs w:val="24"/>
              <w:lang w:val="en-US"/>
            </w:rPr>
            <w:fldChar w:fldCharType="separate"/>
          </w:r>
          <w:r w:rsidR="00F774EC" w:rsidRPr="00F774EC">
            <w:rPr>
              <w:rFonts w:asciiTheme="majorHAnsi" w:hAnsiTheme="majorHAnsi" w:cstheme="majorHAnsi"/>
              <w:noProof/>
              <w:sz w:val="24"/>
              <w:szCs w:val="24"/>
            </w:rPr>
            <w:t>(EIB, 2021)</w:t>
          </w:r>
          <w:r>
            <w:rPr>
              <w:rFonts w:asciiTheme="majorHAnsi" w:hAnsiTheme="majorHAnsi" w:cstheme="majorHAnsi"/>
              <w:sz w:val="24"/>
              <w:szCs w:val="24"/>
              <w:lang w:val="en-US"/>
            </w:rPr>
            <w:fldChar w:fldCharType="end"/>
          </w:r>
        </w:sdtContent>
      </w:sdt>
      <w:r>
        <w:rPr>
          <w:rFonts w:asciiTheme="majorHAnsi" w:hAnsiTheme="majorHAnsi" w:cstheme="majorHAnsi"/>
          <w:sz w:val="24"/>
          <w:szCs w:val="24"/>
          <w:lang w:val="en-US"/>
        </w:rPr>
        <w:t xml:space="preserve"> provides details of how a loan has been agreed of 500 million euros to support research of future steps within the business. This is for the global company however benefits may be seen at the subsidiary levels or actions providing a positive effect downstream.</w:t>
      </w:r>
    </w:p>
    <w:p w14:paraId="42AE50E8" w14:textId="5F2EC398" w:rsidR="005804F3" w:rsidRDefault="00DE1EBB" w:rsidP="005804F3">
      <w:pPr>
        <w:pStyle w:val="Heading1"/>
      </w:pPr>
      <w:r>
        <w:lastRenderedPageBreak/>
        <w:t>Conclusions &amp; recommendations</w:t>
      </w:r>
    </w:p>
    <w:p w14:paraId="16350788" w14:textId="545D3AB2" w:rsidR="007A1575" w:rsidRDefault="005804F3" w:rsidP="005804F3">
      <w:pPr>
        <w:rPr>
          <w:rFonts w:asciiTheme="majorHAnsi" w:hAnsiTheme="majorHAnsi" w:cstheme="majorHAnsi"/>
          <w:sz w:val="24"/>
          <w:szCs w:val="24"/>
          <w:lang w:val="en-US"/>
        </w:rPr>
      </w:pPr>
      <w:r>
        <w:rPr>
          <w:rFonts w:asciiTheme="majorHAnsi" w:hAnsiTheme="majorHAnsi" w:cstheme="majorHAnsi"/>
          <w:sz w:val="24"/>
          <w:szCs w:val="24"/>
          <w:lang w:val="en-US"/>
        </w:rPr>
        <w:t xml:space="preserve">The project </w:t>
      </w:r>
      <w:r w:rsidR="003A1334">
        <w:rPr>
          <w:rFonts w:asciiTheme="majorHAnsi" w:hAnsiTheme="majorHAnsi" w:cstheme="majorHAnsi"/>
          <w:sz w:val="24"/>
          <w:szCs w:val="24"/>
          <w:lang w:val="en-US"/>
        </w:rPr>
        <w:t xml:space="preserve">financial data provides a clear benefit to the company and also provides some alternative options that can be pursued </w:t>
      </w:r>
      <w:r w:rsidR="00806577">
        <w:rPr>
          <w:rFonts w:asciiTheme="majorHAnsi" w:hAnsiTheme="majorHAnsi" w:cstheme="majorHAnsi"/>
          <w:sz w:val="24"/>
          <w:szCs w:val="24"/>
          <w:lang w:val="en-US"/>
        </w:rPr>
        <w:t xml:space="preserve">to </w:t>
      </w:r>
      <w:r w:rsidR="00EB3710">
        <w:rPr>
          <w:rFonts w:asciiTheme="majorHAnsi" w:hAnsiTheme="majorHAnsi" w:cstheme="majorHAnsi"/>
          <w:sz w:val="24"/>
          <w:szCs w:val="24"/>
          <w:lang w:val="en-US"/>
        </w:rPr>
        <w:t>support it</w:t>
      </w:r>
      <w:r w:rsidR="00806577">
        <w:rPr>
          <w:rFonts w:asciiTheme="majorHAnsi" w:hAnsiTheme="majorHAnsi" w:cstheme="majorHAnsi"/>
          <w:sz w:val="24"/>
          <w:szCs w:val="24"/>
          <w:lang w:val="en-US"/>
        </w:rPr>
        <w:t xml:space="preserve"> further.</w:t>
      </w:r>
      <w:r w:rsidR="007C07FF">
        <w:rPr>
          <w:rFonts w:asciiTheme="majorHAnsi" w:hAnsiTheme="majorHAnsi" w:cstheme="majorHAnsi"/>
          <w:sz w:val="24"/>
          <w:szCs w:val="24"/>
          <w:lang w:val="en-US"/>
        </w:rPr>
        <w:t xml:space="preserve"> The fundamentals are clear</w:t>
      </w:r>
      <w:r w:rsidR="00391F3F">
        <w:rPr>
          <w:rFonts w:asciiTheme="majorHAnsi" w:hAnsiTheme="majorHAnsi" w:cstheme="majorHAnsi"/>
          <w:sz w:val="24"/>
          <w:szCs w:val="24"/>
          <w:lang w:val="en-US"/>
        </w:rPr>
        <w:t xml:space="preserve">, the payback is </w:t>
      </w:r>
      <w:r w:rsidR="004C7EC1">
        <w:rPr>
          <w:rFonts w:asciiTheme="majorHAnsi" w:hAnsiTheme="majorHAnsi" w:cstheme="majorHAnsi"/>
          <w:sz w:val="24"/>
          <w:szCs w:val="24"/>
          <w:lang w:val="en-US"/>
        </w:rPr>
        <w:t xml:space="preserve">just over two years, </w:t>
      </w:r>
      <w:r w:rsidR="00771CA8">
        <w:rPr>
          <w:rFonts w:asciiTheme="majorHAnsi" w:hAnsiTheme="majorHAnsi" w:cstheme="majorHAnsi"/>
          <w:sz w:val="24"/>
          <w:szCs w:val="24"/>
          <w:lang w:val="en-US"/>
        </w:rPr>
        <w:t xml:space="preserve">as we have a positive NPV this will support that payback period. </w:t>
      </w:r>
      <w:r w:rsidR="00B02547">
        <w:rPr>
          <w:rFonts w:asciiTheme="majorHAnsi" w:hAnsiTheme="majorHAnsi" w:cstheme="majorHAnsi"/>
          <w:sz w:val="24"/>
          <w:szCs w:val="24"/>
          <w:lang w:val="en-US"/>
        </w:rPr>
        <w:t>We also have a gap of 36</w:t>
      </w:r>
      <w:r w:rsidR="00B10B33">
        <w:rPr>
          <w:rFonts w:asciiTheme="majorHAnsi" w:hAnsiTheme="majorHAnsi" w:cstheme="majorHAnsi"/>
          <w:sz w:val="24"/>
          <w:szCs w:val="24"/>
          <w:lang w:val="en-US"/>
        </w:rPr>
        <w:t>-39% before the breakeven point</w:t>
      </w:r>
      <w:r w:rsidR="002001E7">
        <w:rPr>
          <w:rFonts w:asciiTheme="majorHAnsi" w:hAnsiTheme="majorHAnsi" w:cstheme="majorHAnsi"/>
          <w:sz w:val="24"/>
          <w:szCs w:val="24"/>
          <w:lang w:val="en-US"/>
        </w:rPr>
        <w:t xml:space="preserve"> which can be measure</w:t>
      </w:r>
      <w:r w:rsidR="008F6F4A">
        <w:rPr>
          <w:rFonts w:asciiTheme="majorHAnsi" w:hAnsiTheme="majorHAnsi" w:cstheme="majorHAnsi"/>
          <w:sz w:val="24"/>
          <w:szCs w:val="24"/>
          <w:lang w:val="en-US"/>
        </w:rPr>
        <w:t>d, this is around £5,100 per percent change</w:t>
      </w:r>
      <w:r w:rsidR="004D3F35">
        <w:rPr>
          <w:rFonts w:asciiTheme="majorHAnsi" w:hAnsiTheme="majorHAnsi" w:cstheme="majorHAnsi"/>
          <w:sz w:val="24"/>
          <w:szCs w:val="24"/>
          <w:lang w:val="en-US"/>
        </w:rPr>
        <w:t>.</w:t>
      </w:r>
      <w:r w:rsidR="006A6701">
        <w:rPr>
          <w:rFonts w:asciiTheme="majorHAnsi" w:hAnsiTheme="majorHAnsi" w:cstheme="majorHAnsi"/>
          <w:sz w:val="24"/>
          <w:szCs w:val="24"/>
          <w:lang w:val="en-US"/>
        </w:rPr>
        <w:t xml:space="preserve"> The project also hold </w:t>
      </w:r>
      <w:r w:rsidR="00E044D0">
        <w:rPr>
          <w:rFonts w:asciiTheme="majorHAnsi" w:hAnsiTheme="majorHAnsi" w:cstheme="majorHAnsi"/>
          <w:sz w:val="24"/>
          <w:szCs w:val="24"/>
          <w:lang w:val="en-US"/>
        </w:rPr>
        <w:t>just under a 50% mark of the depreciation of the asset over the 5 year</w:t>
      </w:r>
      <w:r w:rsidR="006F0ED0">
        <w:rPr>
          <w:rFonts w:asciiTheme="majorHAnsi" w:hAnsiTheme="majorHAnsi" w:cstheme="majorHAnsi"/>
          <w:sz w:val="24"/>
          <w:szCs w:val="24"/>
          <w:lang w:val="en-US"/>
        </w:rPr>
        <w:t xml:space="preserve"> and at which point can support new replacements.</w:t>
      </w:r>
    </w:p>
    <w:p w14:paraId="30AA53BD" w14:textId="77EC26BC" w:rsidR="007A1575" w:rsidRDefault="007A1575" w:rsidP="005804F3">
      <w:pPr>
        <w:rPr>
          <w:rFonts w:asciiTheme="majorHAnsi" w:hAnsiTheme="majorHAnsi" w:cstheme="majorHAnsi"/>
          <w:sz w:val="24"/>
          <w:szCs w:val="24"/>
          <w:lang w:val="en-US"/>
        </w:rPr>
      </w:pPr>
      <w:r>
        <w:rPr>
          <w:rFonts w:asciiTheme="majorHAnsi" w:hAnsiTheme="majorHAnsi" w:cstheme="majorHAnsi"/>
          <w:sz w:val="24"/>
          <w:szCs w:val="24"/>
          <w:lang w:val="en-US"/>
        </w:rPr>
        <w:t>The reco</w:t>
      </w:r>
      <w:r w:rsidR="006B0569">
        <w:rPr>
          <w:rFonts w:asciiTheme="majorHAnsi" w:hAnsiTheme="majorHAnsi" w:cstheme="majorHAnsi"/>
          <w:sz w:val="24"/>
          <w:szCs w:val="24"/>
          <w:lang w:val="en-US"/>
        </w:rPr>
        <w:t>mmendation would be to run through this project with the CFO and in addition do it in the location where the products are</w:t>
      </w:r>
      <w:r w:rsidR="00A81DDC">
        <w:rPr>
          <w:rFonts w:asciiTheme="majorHAnsi" w:hAnsiTheme="majorHAnsi" w:cstheme="majorHAnsi"/>
          <w:sz w:val="24"/>
          <w:szCs w:val="24"/>
          <w:lang w:val="en-US"/>
        </w:rPr>
        <w:t>. Seeing where the project is and how</w:t>
      </w:r>
      <w:r w:rsidR="002879D8">
        <w:rPr>
          <w:rFonts w:asciiTheme="majorHAnsi" w:hAnsiTheme="majorHAnsi" w:cstheme="majorHAnsi"/>
          <w:sz w:val="24"/>
          <w:szCs w:val="24"/>
          <w:lang w:val="en-US"/>
        </w:rPr>
        <w:t xml:space="preserve"> this project</w:t>
      </w:r>
      <w:r w:rsidR="00A81DDC">
        <w:rPr>
          <w:rFonts w:asciiTheme="majorHAnsi" w:hAnsiTheme="majorHAnsi" w:cstheme="majorHAnsi"/>
          <w:sz w:val="24"/>
          <w:szCs w:val="24"/>
          <w:lang w:val="en-US"/>
        </w:rPr>
        <w:t xml:space="preserve"> will support the business and the team will </w:t>
      </w:r>
      <w:r w:rsidR="00493ACF">
        <w:rPr>
          <w:rFonts w:asciiTheme="majorHAnsi" w:hAnsiTheme="majorHAnsi" w:cstheme="majorHAnsi"/>
          <w:sz w:val="24"/>
          <w:szCs w:val="24"/>
          <w:lang w:val="en-US"/>
        </w:rPr>
        <w:t xml:space="preserve">give further insight into the impact not only financially but also the additional benefits. </w:t>
      </w:r>
    </w:p>
    <w:p w14:paraId="7954A662" w14:textId="77777777" w:rsidR="00151722" w:rsidRDefault="00243415" w:rsidP="005804F3">
      <w:pPr>
        <w:rPr>
          <w:rFonts w:asciiTheme="majorHAnsi" w:hAnsiTheme="majorHAnsi" w:cstheme="majorHAnsi"/>
          <w:sz w:val="24"/>
          <w:szCs w:val="24"/>
          <w:lang w:val="en-US"/>
        </w:rPr>
      </w:pPr>
      <w:r>
        <w:rPr>
          <w:rFonts w:asciiTheme="majorHAnsi" w:hAnsiTheme="majorHAnsi" w:cstheme="majorHAnsi"/>
          <w:sz w:val="24"/>
          <w:szCs w:val="24"/>
          <w:lang w:val="en-US"/>
        </w:rPr>
        <w:t>This project appraisal also do</w:t>
      </w:r>
      <w:r w:rsidR="001D6B5C">
        <w:rPr>
          <w:rFonts w:asciiTheme="majorHAnsi" w:hAnsiTheme="majorHAnsi" w:cstheme="majorHAnsi"/>
          <w:sz w:val="24"/>
          <w:szCs w:val="24"/>
          <w:lang w:val="en-US"/>
        </w:rPr>
        <w:t>es</w:t>
      </w:r>
      <w:r>
        <w:rPr>
          <w:rFonts w:asciiTheme="majorHAnsi" w:hAnsiTheme="majorHAnsi" w:cstheme="majorHAnsi"/>
          <w:sz w:val="24"/>
          <w:szCs w:val="24"/>
          <w:lang w:val="en-US"/>
        </w:rPr>
        <w:t xml:space="preserve"> not provide the full range of what the catia composer can support</w:t>
      </w:r>
      <w:r w:rsidR="00740074">
        <w:rPr>
          <w:rFonts w:asciiTheme="majorHAnsi" w:hAnsiTheme="majorHAnsi" w:cstheme="majorHAnsi"/>
          <w:sz w:val="24"/>
          <w:szCs w:val="24"/>
          <w:lang w:val="en-US"/>
        </w:rPr>
        <w:t xml:space="preserve"> within the business</w:t>
      </w:r>
      <w:r w:rsidR="006533E7">
        <w:rPr>
          <w:rFonts w:asciiTheme="majorHAnsi" w:hAnsiTheme="majorHAnsi" w:cstheme="majorHAnsi"/>
          <w:sz w:val="24"/>
          <w:szCs w:val="24"/>
          <w:lang w:val="en-US"/>
        </w:rPr>
        <w:t xml:space="preserve">. </w:t>
      </w:r>
      <w:r w:rsidR="00E508C7">
        <w:rPr>
          <w:rFonts w:asciiTheme="majorHAnsi" w:hAnsiTheme="majorHAnsi" w:cstheme="majorHAnsi"/>
          <w:sz w:val="24"/>
          <w:szCs w:val="24"/>
          <w:lang w:val="en-US"/>
        </w:rPr>
        <w:t xml:space="preserve">Within this project we have only covered the FAI’s in </w:t>
      </w:r>
      <w:r w:rsidR="007E49D8">
        <w:rPr>
          <w:rFonts w:asciiTheme="majorHAnsi" w:hAnsiTheme="majorHAnsi" w:cstheme="majorHAnsi"/>
          <w:sz w:val="24"/>
          <w:szCs w:val="24"/>
          <w:lang w:val="en-US"/>
        </w:rPr>
        <w:t>the lower level are</w:t>
      </w:r>
      <w:r w:rsidR="00157B95">
        <w:rPr>
          <w:rFonts w:asciiTheme="majorHAnsi" w:hAnsiTheme="majorHAnsi" w:cstheme="majorHAnsi"/>
          <w:sz w:val="24"/>
          <w:szCs w:val="24"/>
          <w:lang w:val="en-US"/>
        </w:rPr>
        <w:t>a,</w:t>
      </w:r>
      <w:r w:rsidR="007E49D8">
        <w:rPr>
          <w:rFonts w:asciiTheme="majorHAnsi" w:hAnsiTheme="majorHAnsi" w:cstheme="majorHAnsi"/>
          <w:sz w:val="24"/>
          <w:szCs w:val="24"/>
          <w:lang w:val="en-US"/>
        </w:rPr>
        <w:t xml:space="preserve"> however this can be applied to our sub assy process and to the final assy line where top level seats and suites </w:t>
      </w:r>
      <w:r w:rsidR="00293562">
        <w:rPr>
          <w:rFonts w:asciiTheme="majorHAnsi" w:hAnsiTheme="majorHAnsi" w:cstheme="majorHAnsi"/>
          <w:sz w:val="24"/>
          <w:szCs w:val="24"/>
          <w:lang w:val="en-US"/>
        </w:rPr>
        <w:t xml:space="preserve">are created. </w:t>
      </w:r>
      <w:r w:rsidR="00B06CF0">
        <w:rPr>
          <w:rFonts w:asciiTheme="majorHAnsi" w:hAnsiTheme="majorHAnsi" w:cstheme="majorHAnsi"/>
          <w:sz w:val="24"/>
          <w:szCs w:val="24"/>
          <w:lang w:val="en-US"/>
        </w:rPr>
        <w:t xml:space="preserve">As we have a fluctuating workload within </w:t>
      </w:r>
      <w:r w:rsidR="001F7CF0">
        <w:rPr>
          <w:rFonts w:asciiTheme="majorHAnsi" w:hAnsiTheme="majorHAnsi" w:cstheme="majorHAnsi"/>
          <w:sz w:val="24"/>
          <w:szCs w:val="24"/>
          <w:lang w:val="en-US"/>
        </w:rPr>
        <w:t xml:space="preserve">the business another advantage is that this is movable </w:t>
      </w:r>
      <w:r w:rsidR="000A0E23">
        <w:rPr>
          <w:rFonts w:asciiTheme="majorHAnsi" w:hAnsiTheme="majorHAnsi" w:cstheme="majorHAnsi"/>
          <w:sz w:val="24"/>
          <w:szCs w:val="24"/>
          <w:lang w:val="en-US"/>
        </w:rPr>
        <w:t xml:space="preserve">software under a license that can be used on any PC. This would </w:t>
      </w:r>
      <w:r w:rsidR="000268CA">
        <w:rPr>
          <w:rFonts w:asciiTheme="majorHAnsi" w:hAnsiTheme="majorHAnsi" w:cstheme="majorHAnsi"/>
          <w:sz w:val="24"/>
          <w:szCs w:val="24"/>
          <w:lang w:val="en-US"/>
        </w:rPr>
        <w:t xml:space="preserve">mean that we would no longer be confined to measuring in one area </w:t>
      </w:r>
      <w:r w:rsidR="0039064B">
        <w:rPr>
          <w:rFonts w:asciiTheme="majorHAnsi" w:hAnsiTheme="majorHAnsi" w:cstheme="majorHAnsi"/>
          <w:sz w:val="24"/>
          <w:szCs w:val="24"/>
          <w:lang w:val="en-US"/>
        </w:rPr>
        <w:t>or</w:t>
      </w:r>
      <w:r w:rsidR="00151722">
        <w:rPr>
          <w:rFonts w:asciiTheme="majorHAnsi" w:hAnsiTheme="majorHAnsi" w:cstheme="majorHAnsi"/>
          <w:sz w:val="24"/>
          <w:szCs w:val="24"/>
          <w:lang w:val="en-US"/>
        </w:rPr>
        <w:t xml:space="preserve"> </w:t>
      </w:r>
      <w:r w:rsidR="0039064B">
        <w:rPr>
          <w:rFonts w:asciiTheme="majorHAnsi" w:hAnsiTheme="majorHAnsi" w:cstheme="majorHAnsi"/>
          <w:sz w:val="24"/>
          <w:szCs w:val="24"/>
          <w:lang w:val="en-US"/>
        </w:rPr>
        <w:t>moving multiple parts to one area</w:t>
      </w:r>
      <w:r w:rsidR="00151722">
        <w:rPr>
          <w:rFonts w:asciiTheme="majorHAnsi" w:hAnsiTheme="majorHAnsi" w:cstheme="majorHAnsi"/>
          <w:sz w:val="24"/>
          <w:szCs w:val="24"/>
          <w:lang w:val="en-US"/>
        </w:rPr>
        <w:t xml:space="preserve">. </w:t>
      </w:r>
    </w:p>
    <w:p w14:paraId="164F79C7" w14:textId="2248BBE3" w:rsidR="00243415" w:rsidRDefault="00151722" w:rsidP="005804F3">
      <w:pPr>
        <w:rPr>
          <w:rFonts w:asciiTheme="majorHAnsi" w:hAnsiTheme="majorHAnsi" w:cstheme="majorHAnsi"/>
          <w:sz w:val="24"/>
          <w:szCs w:val="24"/>
          <w:lang w:val="en-US"/>
        </w:rPr>
      </w:pPr>
      <w:r>
        <w:rPr>
          <w:rFonts w:asciiTheme="majorHAnsi" w:hAnsiTheme="majorHAnsi" w:cstheme="majorHAnsi"/>
          <w:sz w:val="24"/>
          <w:szCs w:val="24"/>
          <w:lang w:val="en-US"/>
        </w:rPr>
        <w:t>There are other key fundamental</w:t>
      </w:r>
      <w:r w:rsidR="00D23ED8">
        <w:rPr>
          <w:rFonts w:asciiTheme="majorHAnsi" w:hAnsiTheme="majorHAnsi" w:cstheme="majorHAnsi"/>
          <w:sz w:val="24"/>
          <w:szCs w:val="24"/>
          <w:lang w:val="en-US"/>
        </w:rPr>
        <w:t xml:space="preserve"> advantages</w:t>
      </w:r>
      <w:r>
        <w:rPr>
          <w:rFonts w:asciiTheme="majorHAnsi" w:hAnsiTheme="majorHAnsi" w:cstheme="majorHAnsi"/>
          <w:sz w:val="24"/>
          <w:szCs w:val="24"/>
          <w:lang w:val="en-US"/>
        </w:rPr>
        <w:t xml:space="preserve"> where this software connects to our </w:t>
      </w:r>
      <w:r w:rsidR="00B920AF">
        <w:rPr>
          <w:rFonts w:asciiTheme="majorHAnsi" w:hAnsiTheme="majorHAnsi" w:cstheme="majorHAnsi"/>
          <w:sz w:val="24"/>
          <w:szCs w:val="24"/>
          <w:lang w:val="en-US"/>
        </w:rPr>
        <w:t xml:space="preserve">digital models and ERP system (Baan). As it can utilize these </w:t>
      </w:r>
      <w:r w:rsidR="00164A12">
        <w:rPr>
          <w:rFonts w:asciiTheme="majorHAnsi" w:hAnsiTheme="majorHAnsi" w:cstheme="majorHAnsi"/>
          <w:sz w:val="24"/>
          <w:szCs w:val="24"/>
          <w:lang w:val="en-US"/>
        </w:rPr>
        <w:t>systems</w:t>
      </w:r>
      <w:r w:rsidR="00B920AF">
        <w:rPr>
          <w:rFonts w:asciiTheme="majorHAnsi" w:hAnsiTheme="majorHAnsi" w:cstheme="majorHAnsi"/>
          <w:sz w:val="24"/>
          <w:szCs w:val="24"/>
          <w:lang w:val="en-US"/>
        </w:rPr>
        <w:t xml:space="preserve"> for model data </w:t>
      </w:r>
      <w:r w:rsidR="00164A12">
        <w:rPr>
          <w:rFonts w:asciiTheme="majorHAnsi" w:hAnsiTheme="majorHAnsi" w:cstheme="majorHAnsi"/>
          <w:sz w:val="24"/>
          <w:szCs w:val="24"/>
          <w:lang w:val="en-US"/>
        </w:rPr>
        <w:t>&amp; BOM (bill of material data) there is no longer requirements for multiple systems or movement of digital data</w:t>
      </w:r>
      <w:r w:rsidR="00D23ED8">
        <w:rPr>
          <w:rFonts w:asciiTheme="majorHAnsi" w:hAnsiTheme="majorHAnsi" w:cstheme="majorHAnsi"/>
          <w:sz w:val="24"/>
          <w:szCs w:val="24"/>
          <w:lang w:val="en-US"/>
        </w:rPr>
        <w:t>,</w:t>
      </w:r>
      <w:r w:rsidR="00164A12">
        <w:rPr>
          <w:rFonts w:asciiTheme="majorHAnsi" w:hAnsiTheme="majorHAnsi" w:cstheme="majorHAnsi"/>
          <w:sz w:val="24"/>
          <w:szCs w:val="24"/>
          <w:lang w:val="en-US"/>
        </w:rPr>
        <w:t xml:space="preserve"> th</w:t>
      </w:r>
      <w:r w:rsidR="00D23ED8">
        <w:rPr>
          <w:rFonts w:asciiTheme="majorHAnsi" w:hAnsiTheme="majorHAnsi" w:cstheme="majorHAnsi"/>
          <w:sz w:val="24"/>
          <w:szCs w:val="24"/>
          <w:lang w:val="en-US"/>
        </w:rPr>
        <w:t>is can reduce risks and create functional space.</w:t>
      </w:r>
    </w:p>
    <w:p w14:paraId="7D74B8EC" w14:textId="09703B78" w:rsidR="00F53C06" w:rsidRDefault="00736BDF" w:rsidP="005804F3">
      <w:pPr>
        <w:rPr>
          <w:rFonts w:asciiTheme="majorHAnsi" w:hAnsiTheme="majorHAnsi" w:cstheme="majorHAnsi"/>
          <w:sz w:val="24"/>
          <w:szCs w:val="24"/>
          <w:lang w:val="en-US"/>
        </w:rPr>
      </w:pPr>
      <w:r>
        <w:rPr>
          <w:rFonts w:asciiTheme="majorHAnsi" w:hAnsiTheme="majorHAnsi" w:cstheme="majorHAnsi"/>
          <w:sz w:val="24"/>
          <w:szCs w:val="24"/>
          <w:lang w:val="en-US"/>
        </w:rPr>
        <w:t xml:space="preserve">Overall </w:t>
      </w:r>
      <w:r w:rsidR="003C5252">
        <w:rPr>
          <w:rFonts w:asciiTheme="majorHAnsi" w:hAnsiTheme="majorHAnsi" w:cstheme="majorHAnsi"/>
          <w:sz w:val="24"/>
          <w:szCs w:val="24"/>
          <w:lang w:val="en-US"/>
        </w:rPr>
        <w:t xml:space="preserve">the project will benefit the company in many </w:t>
      </w:r>
      <w:r w:rsidR="002E3FAA">
        <w:rPr>
          <w:rFonts w:asciiTheme="majorHAnsi" w:hAnsiTheme="majorHAnsi" w:cstheme="majorHAnsi"/>
          <w:sz w:val="24"/>
          <w:szCs w:val="24"/>
          <w:lang w:val="en-US"/>
        </w:rPr>
        <w:t>ways and is unlikely to provide a loss to the business</w:t>
      </w:r>
      <w:r w:rsidR="00A97B62">
        <w:rPr>
          <w:rFonts w:asciiTheme="majorHAnsi" w:hAnsiTheme="majorHAnsi" w:cstheme="majorHAnsi"/>
          <w:sz w:val="24"/>
          <w:szCs w:val="24"/>
          <w:lang w:val="en-US"/>
        </w:rPr>
        <w:t xml:space="preserve"> without unforeseen exter</w:t>
      </w:r>
      <w:r w:rsidR="00E23AFE">
        <w:rPr>
          <w:rFonts w:asciiTheme="majorHAnsi" w:hAnsiTheme="majorHAnsi" w:cstheme="majorHAnsi"/>
          <w:sz w:val="24"/>
          <w:szCs w:val="24"/>
          <w:lang w:val="en-US"/>
        </w:rPr>
        <w:t xml:space="preserve">nal factors. As above this project can evolve as it </w:t>
      </w:r>
      <w:r w:rsidR="003D5D0D">
        <w:rPr>
          <w:rFonts w:asciiTheme="majorHAnsi" w:hAnsiTheme="majorHAnsi" w:cstheme="majorHAnsi"/>
          <w:sz w:val="24"/>
          <w:szCs w:val="24"/>
          <w:lang w:val="en-US"/>
        </w:rPr>
        <w:t xml:space="preserve">has may other features that can support the business </w:t>
      </w:r>
      <w:r w:rsidR="00EF7025">
        <w:rPr>
          <w:rFonts w:asciiTheme="majorHAnsi" w:hAnsiTheme="majorHAnsi" w:cstheme="majorHAnsi"/>
          <w:sz w:val="24"/>
          <w:szCs w:val="24"/>
          <w:lang w:val="en-US"/>
        </w:rPr>
        <w:t>elsewhere</w:t>
      </w:r>
      <w:r w:rsidR="003D5D0D">
        <w:rPr>
          <w:rFonts w:asciiTheme="majorHAnsi" w:hAnsiTheme="majorHAnsi" w:cstheme="majorHAnsi"/>
          <w:sz w:val="24"/>
          <w:szCs w:val="24"/>
          <w:lang w:val="en-US"/>
        </w:rPr>
        <w:t xml:space="preserve"> as it can attach to multiple software </w:t>
      </w:r>
      <w:r w:rsidR="00517F82">
        <w:rPr>
          <w:rFonts w:asciiTheme="majorHAnsi" w:hAnsiTheme="majorHAnsi" w:cstheme="majorHAnsi"/>
          <w:sz w:val="24"/>
          <w:szCs w:val="24"/>
          <w:lang w:val="en-US"/>
        </w:rPr>
        <w:t>and business systems.</w:t>
      </w:r>
    </w:p>
    <w:p w14:paraId="23BE4627" w14:textId="324FDE41" w:rsidR="00DE1EBB" w:rsidRPr="00DE1EBB" w:rsidRDefault="00803EF0" w:rsidP="003130F3">
      <w:pPr>
        <w:pStyle w:val="Heading1"/>
      </w:pPr>
      <w:r>
        <w:lastRenderedPageBreak/>
        <w:t xml:space="preserve">Full Capital Expenditure Approval </w:t>
      </w:r>
    </w:p>
    <w:p w14:paraId="557C9495" w14:textId="686E1D8B" w:rsidR="00DE1EBB" w:rsidRPr="00DE1EBB" w:rsidRDefault="0023566E" w:rsidP="00DE1EBB">
      <w:pPr>
        <w:rPr>
          <w:lang w:val="en-US"/>
        </w:rPr>
      </w:pPr>
      <w:r w:rsidRPr="0023566E">
        <w:rPr>
          <w:noProof/>
          <w:lang w:eastAsia="en-GB"/>
        </w:rPr>
        <w:drawing>
          <wp:inline distT="0" distB="0" distL="0" distR="0" wp14:anchorId="23F4A4C6" wp14:editId="45481B07">
            <wp:extent cx="5731510" cy="6640740"/>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6640740"/>
                    </a:xfrm>
                    <a:prstGeom prst="rect">
                      <a:avLst/>
                    </a:prstGeom>
                    <a:noFill/>
                    <a:ln>
                      <a:noFill/>
                    </a:ln>
                  </pic:spPr>
                </pic:pic>
              </a:graphicData>
            </a:graphic>
          </wp:inline>
        </w:drawing>
      </w:r>
      <w:bookmarkStart w:id="0" w:name="_GoBack"/>
      <w:bookmarkEnd w:id="0"/>
    </w:p>
    <w:sdt>
      <w:sdtPr>
        <w:rPr>
          <w:rFonts w:asciiTheme="minorHAnsi" w:eastAsiaTheme="minorHAnsi" w:hAnsiTheme="minorHAnsi" w:cstheme="minorBidi"/>
          <w:color w:val="auto"/>
          <w:sz w:val="22"/>
          <w:szCs w:val="22"/>
          <w:lang w:val="en-GB"/>
        </w:rPr>
        <w:id w:val="1587188695"/>
        <w:docPartObj>
          <w:docPartGallery w:val="Bibliographies"/>
          <w:docPartUnique/>
        </w:docPartObj>
      </w:sdtPr>
      <w:sdtEndPr/>
      <w:sdtContent>
        <w:p w14:paraId="47A89D8A" w14:textId="55C170F2" w:rsidR="006459BD" w:rsidRDefault="006459BD">
          <w:pPr>
            <w:pStyle w:val="Heading1"/>
          </w:pPr>
          <w:r>
            <w:t>References</w:t>
          </w:r>
        </w:p>
        <w:sdt>
          <w:sdtPr>
            <w:id w:val="-573587230"/>
            <w:bibliography/>
          </w:sdtPr>
          <w:sdtEndPr/>
          <w:sdtContent>
            <w:p w14:paraId="3D52694F" w14:textId="77777777" w:rsidR="00F774EC" w:rsidRDefault="006459BD" w:rsidP="00F774EC">
              <w:pPr>
                <w:pStyle w:val="Bibliography"/>
                <w:rPr>
                  <w:noProof/>
                  <w:sz w:val="24"/>
                  <w:szCs w:val="24"/>
                  <w:lang w:val="en-US"/>
                </w:rPr>
              </w:pPr>
              <w:r>
                <w:fldChar w:fldCharType="begin"/>
              </w:r>
              <w:r>
                <w:instrText xml:space="preserve"> BIBLIOGRAPHY </w:instrText>
              </w:r>
              <w:r>
                <w:fldChar w:fldCharType="separate"/>
              </w:r>
              <w:r w:rsidR="00F774EC">
                <w:rPr>
                  <w:noProof/>
                  <w:lang w:val="en-US"/>
                </w:rPr>
                <w:t xml:space="preserve">EIB, 2021. </w:t>
              </w:r>
              <w:r w:rsidR="00F774EC">
                <w:rPr>
                  <w:i/>
                  <w:iCs/>
                  <w:noProof/>
                  <w:lang w:val="en-US"/>
                </w:rPr>
                <w:t xml:space="preserve">France: Safran signs €500 million loan agreement with EIB to finance research on future aircraft propulsion systems. </w:t>
              </w:r>
              <w:r w:rsidR="00F774EC">
                <w:rPr>
                  <w:noProof/>
                  <w:lang w:val="en-US"/>
                </w:rPr>
                <w:t xml:space="preserve">[Online] </w:t>
              </w:r>
              <w:r w:rsidR="00F774EC">
                <w:rPr>
                  <w:noProof/>
                  <w:lang w:val="en-US"/>
                </w:rPr>
                <w:br/>
                <w:t xml:space="preserve">Available at: </w:t>
              </w:r>
              <w:r w:rsidR="00F774EC">
                <w:rPr>
                  <w:noProof/>
                  <w:u w:val="single"/>
                  <w:lang w:val="en-US"/>
                </w:rPr>
                <w:t>https://www.eib.org/en/press/all/2021-082-safran-signs-eur500-million-loan-agreement-with-european-investment-bank-to-finance-research-on-future-aircraft-propulsion-systems</w:t>
              </w:r>
              <w:r w:rsidR="00F774EC">
                <w:rPr>
                  <w:noProof/>
                  <w:lang w:val="en-US"/>
                </w:rPr>
                <w:br/>
                <w:t>[Accessed 22 4 2023].</w:t>
              </w:r>
            </w:p>
            <w:p w14:paraId="1D9EDDEF" w14:textId="77777777" w:rsidR="00F774EC" w:rsidRDefault="00F774EC" w:rsidP="00F774EC">
              <w:pPr>
                <w:pStyle w:val="Bibliography"/>
                <w:rPr>
                  <w:noProof/>
                  <w:lang w:val="en-US"/>
                </w:rPr>
              </w:pPr>
              <w:r>
                <w:rPr>
                  <w:noProof/>
                  <w:lang w:val="en-US"/>
                </w:rPr>
                <w:lastRenderedPageBreak/>
                <w:t xml:space="preserve">FERNANDO, J., 2023. </w:t>
              </w:r>
              <w:r>
                <w:rPr>
                  <w:i/>
                  <w:iCs/>
                  <w:noProof/>
                  <w:lang w:val="en-US"/>
                </w:rPr>
                <w:t xml:space="preserve">Internal Rate of Return (IRR) Rule: Definition and Example. </w:t>
              </w:r>
              <w:r>
                <w:rPr>
                  <w:noProof/>
                  <w:lang w:val="en-US"/>
                </w:rPr>
                <w:t xml:space="preserve">[Online] </w:t>
              </w:r>
              <w:r>
                <w:rPr>
                  <w:noProof/>
                  <w:lang w:val="en-US"/>
                </w:rPr>
                <w:br/>
                <w:t xml:space="preserve">Available at: </w:t>
              </w:r>
              <w:r>
                <w:rPr>
                  <w:noProof/>
                  <w:u w:val="single"/>
                  <w:lang w:val="en-US"/>
                </w:rPr>
                <w:t>https://www.investopedia.com/terms/i/irr.asp</w:t>
              </w:r>
              <w:r>
                <w:rPr>
                  <w:noProof/>
                  <w:lang w:val="en-US"/>
                </w:rPr>
                <w:br/>
                <w:t>[Accessed 20 4 2023].</w:t>
              </w:r>
            </w:p>
            <w:p w14:paraId="72B4D251" w14:textId="77777777" w:rsidR="00F774EC" w:rsidRDefault="00F774EC" w:rsidP="00F774EC">
              <w:pPr>
                <w:pStyle w:val="Bibliography"/>
                <w:rPr>
                  <w:noProof/>
                  <w:lang w:val="en-US"/>
                </w:rPr>
              </w:pPr>
              <w:r>
                <w:rPr>
                  <w:noProof/>
                  <w:lang w:val="en-US"/>
                </w:rPr>
                <w:t xml:space="preserve">FERNANDO, J., 2023. </w:t>
              </w:r>
              <w:r>
                <w:rPr>
                  <w:i/>
                  <w:iCs/>
                  <w:noProof/>
                  <w:lang w:val="en-US"/>
                </w:rPr>
                <w:t xml:space="preserve">Net Present Value (NPV): What It Means and Steps to Calculate It. </w:t>
              </w:r>
              <w:r>
                <w:rPr>
                  <w:noProof/>
                  <w:lang w:val="en-US"/>
                </w:rPr>
                <w:t xml:space="preserve">[Online] </w:t>
              </w:r>
              <w:r>
                <w:rPr>
                  <w:noProof/>
                  <w:lang w:val="en-US"/>
                </w:rPr>
                <w:br/>
                <w:t xml:space="preserve">Available at: </w:t>
              </w:r>
              <w:r>
                <w:rPr>
                  <w:noProof/>
                  <w:u w:val="single"/>
                  <w:lang w:val="en-US"/>
                </w:rPr>
                <w:t>https://www.investopedia.com/terms/n/npv.asp</w:t>
              </w:r>
              <w:r>
                <w:rPr>
                  <w:noProof/>
                  <w:lang w:val="en-US"/>
                </w:rPr>
                <w:br/>
                <w:t>[Accessed 20 4 2023].</w:t>
              </w:r>
            </w:p>
            <w:p w14:paraId="1DF56BFB" w14:textId="77777777" w:rsidR="00F774EC" w:rsidRDefault="00F774EC" w:rsidP="00F774EC">
              <w:pPr>
                <w:pStyle w:val="Bibliography"/>
                <w:rPr>
                  <w:noProof/>
                  <w:lang w:val="en-US"/>
                </w:rPr>
              </w:pPr>
              <w:r>
                <w:rPr>
                  <w:noProof/>
                  <w:lang w:val="en-US"/>
                </w:rPr>
                <w:t xml:space="preserve">HAYES, A., 2022. </w:t>
              </w:r>
              <w:r>
                <w:rPr>
                  <w:i/>
                  <w:iCs/>
                  <w:noProof/>
                  <w:lang w:val="en-US"/>
                </w:rPr>
                <w:t xml:space="preserve">Benefit-Cost Ratio (BCR): Definition, Formula, and Example. </w:t>
              </w:r>
              <w:r>
                <w:rPr>
                  <w:noProof/>
                  <w:lang w:val="en-US"/>
                </w:rPr>
                <w:t xml:space="preserve">[Online] </w:t>
              </w:r>
              <w:r>
                <w:rPr>
                  <w:noProof/>
                  <w:lang w:val="en-US"/>
                </w:rPr>
                <w:br/>
                <w:t xml:space="preserve">Available at: </w:t>
              </w:r>
              <w:r>
                <w:rPr>
                  <w:noProof/>
                  <w:u w:val="single"/>
                  <w:lang w:val="en-US"/>
                </w:rPr>
                <w:t>https://www.investopedia.com/terms/b/bcr.asp</w:t>
              </w:r>
              <w:r>
                <w:rPr>
                  <w:noProof/>
                  <w:lang w:val="en-US"/>
                </w:rPr>
                <w:br/>
                <w:t>[Accessed 20 4 2023].</w:t>
              </w:r>
            </w:p>
            <w:p w14:paraId="6B3C4E14" w14:textId="77777777" w:rsidR="00F774EC" w:rsidRDefault="00F774EC" w:rsidP="00F774EC">
              <w:pPr>
                <w:pStyle w:val="Bibliography"/>
                <w:rPr>
                  <w:noProof/>
                  <w:lang w:val="en-US"/>
                </w:rPr>
              </w:pPr>
              <w:r>
                <w:rPr>
                  <w:noProof/>
                  <w:lang w:val="en-US"/>
                </w:rPr>
                <w:t xml:space="preserve">KAGAN, J., 2023. </w:t>
              </w:r>
              <w:r>
                <w:rPr>
                  <w:i/>
                  <w:iCs/>
                  <w:noProof/>
                  <w:lang w:val="en-US"/>
                </w:rPr>
                <w:t xml:space="preserve">Payback Period Explained, With the Formula and How to Calculate It. </w:t>
              </w:r>
              <w:r>
                <w:rPr>
                  <w:noProof/>
                  <w:lang w:val="en-US"/>
                </w:rPr>
                <w:t xml:space="preserve">[Online] </w:t>
              </w:r>
              <w:r>
                <w:rPr>
                  <w:noProof/>
                  <w:lang w:val="en-US"/>
                </w:rPr>
                <w:br/>
                <w:t xml:space="preserve">Available at: </w:t>
              </w:r>
              <w:r>
                <w:rPr>
                  <w:noProof/>
                  <w:u w:val="single"/>
                  <w:lang w:val="en-US"/>
                </w:rPr>
                <w:t>https://www.investopedia.com/terms/p/paybackperiod.asp</w:t>
              </w:r>
              <w:r>
                <w:rPr>
                  <w:noProof/>
                  <w:lang w:val="en-US"/>
                </w:rPr>
                <w:br/>
                <w:t>[Accessed 20 4 2023].</w:t>
              </w:r>
            </w:p>
            <w:p w14:paraId="038C4390" w14:textId="77777777" w:rsidR="00F774EC" w:rsidRDefault="00F774EC" w:rsidP="00F774EC">
              <w:pPr>
                <w:pStyle w:val="Bibliography"/>
                <w:rPr>
                  <w:noProof/>
                  <w:lang w:val="en-US"/>
                </w:rPr>
              </w:pPr>
              <w:r>
                <w:rPr>
                  <w:noProof/>
                  <w:lang w:val="en-US"/>
                </w:rPr>
                <w:t xml:space="preserve">Mellssa A.Schilling, P., 2019. </w:t>
              </w:r>
              <w:r>
                <w:rPr>
                  <w:i/>
                  <w:iCs/>
                  <w:noProof/>
                  <w:lang w:val="en-US"/>
                </w:rPr>
                <w:t xml:space="preserve">Strategic Managment of Technological Innovation. </w:t>
              </w:r>
              <w:r>
                <w:rPr>
                  <w:noProof/>
                  <w:lang w:val="en-US"/>
                </w:rPr>
                <w:t>s.l.:McGraw Hill.</w:t>
              </w:r>
            </w:p>
            <w:p w14:paraId="3708AD2D" w14:textId="77777777" w:rsidR="00F774EC" w:rsidRDefault="00F774EC" w:rsidP="00F774EC">
              <w:pPr>
                <w:pStyle w:val="Bibliography"/>
                <w:rPr>
                  <w:noProof/>
                  <w:lang w:val="en-US"/>
                </w:rPr>
              </w:pPr>
              <w:r>
                <w:rPr>
                  <w:noProof/>
                  <w:lang w:val="en-US"/>
                </w:rPr>
                <w:t xml:space="preserve">MURPHY, C. B., 2022. </w:t>
              </w:r>
              <w:r>
                <w:rPr>
                  <w:i/>
                  <w:iCs/>
                  <w:noProof/>
                  <w:lang w:val="en-US"/>
                </w:rPr>
                <w:t xml:space="preserve">Accounting Rate of Return (ARR): Definition, How to Calculate, and Example. </w:t>
              </w:r>
              <w:r>
                <w:rPr>
                  <w:noProof/>
                  <w:lang w:val="en-US"/>
                </w:rPr>
                <w:t xml:space="preserve">[Online] </w:t>
              </w:r>
              <w:r>
                <w:rPr>
                  <w:noProof/>
                  <w:lang w:val="en-US"/>
                </w:rPr>
                <w:br/>
                <w:t xml:space="preserve">Available at: </w:t>
              </w:r>
              <w:r>
                <w:rPr>
                  <w:noProof/>
                  <w:u w:val="single"/>
                  <w:lang w:val="en-US"/>
                </w:rPr>
                <w:t>https://www.investopedia.com/terms/a/arr.asp</w:t>
              </w:r>
              <w:r>
                <w:rPr>
                  <w:noProof/>
                  <w:lang w:val="en-US"/>
                </w:rPr>
                <w:br/>
                <w:t>[Accessed 20 4 2023].</w:t>
              </w:r>
            </w:p>
            <w:p w14:paraId="62E86439" w14:textId="77777777" w:rsidR="00F774EC" w:rsidRDefault="00F774EC" w:rsidP="00F774EC">
              <w:pPr>
                <w:pStyle w:val="Bibliography"/>
                <w:rPr>
                  <w:noProof/>
                  <w:lang w:val="en-US"/>
                </w:rPr>
              </w:pPr>
              <w:r>
                <w:rPr>
                  <w:noProof/>
                  <w:lang w:val="en-US"/>
                </w:rPr>
                <w:t xml:space="preserve">Team, C., 2023. </w:t>
              </w:r>
              <w:r>
                <w:rPr>
                  <w:i/>
                  <w:iCs/>
                  <w:noProof/>
                  <w:lang w:val="en-US"/>
                </w:rPr>
                <w:t xml:space="preserve">Profitability Index. </w:t>
              </w:r>
              <w:r>
                <w:rPr>
                  <w:noProof/>
                  <w:lang w:val="en-US"/>
                </w:rPr>
                <w:t xml:space="preserve">[Online] </w:t>
              </w:r>
              <w:r>
                <w:rPr>
                  <w:noProof/>
                  <w:lang w:val="en-US"/>
                </w:rPr>
                <w:br/>
                <w:t xml:space="preserve">Available at: </w:t>
              </w:r>
              <w:r>
                <w:rPr>
                  <w:noProof/>
                  <w:u w:val="single"/>
                  <w:lang w:val="en-US"/>
                </w:rPr>
                <w:t>https://corporatefinanceinstitute.com/resources/accounting/profitability-index/</w:t>
              </w:r>
              <w:r>
                <w:rPr>
                  <w:noProof/>
                  <w:lang w:val="en-US"/>
                </w:rPr>
                <w:br/>
                <w:t>[Accessed 20 4 2023].</w:t>
              </w:r>
            </w:p>
            <w:p w14:paraId="2AB0891B" w14:textId="5EB8952E" w:rsidR="006459BD" w:rsidRDefault="006459BD" w:rsidP="00F774EC">
              <w:r>
                <w:rPr>
                  <w:b/>
                  <w:bCs/>
                  <w:noProof/>
                </w:rPr>
                <w:fldChar w:fldCharType="end"/>
              </w:r>
            </w:p>
          </w:sdtContent>
        </w:sdt>
      </w:sdtContent>
    </w:sdt>
    <w:p w14:paraId="5BCC8F75" w14:textId="3895D5F1" w:rsidR="006459BD" w:rsidRPr="00C42818" w:rsidRDefault="006459BD" w:rsidP="00EC619C">
      <w:pPr>
        <w:rPr>
          <w:rFonts w:asciiTheme="majorHAnsi" w:hAnsiTheme="majorHAnsi" w:cstheme="majorHAnsi"/>
          <w:lang w:val="en-US"/>
        </w:rPr>
      </w:pPr>
    </w:p>
    <w:p w14:paraId="300D4776" w14:textId="77777777" w:rsidR="00B027F5" w:rsidRPr="00C42818" w:rsidRDefault="00B027F5" w:rsidP="00486FA3">
      <w:pPr>
        <w:rPr>
          <w:rFonts w:asciiTheme="majorHAnsi" w:hAnsiTheme="majorHAnsi" w:cstheme="majorHAnsi"/>
          <w:lang w:val="en-US"/>
        </w:rPr>
      </w:pPr>
    </w:p>
    <w:p w14:paraId="1B4AF2C3" w14:textId="77777777" w:rsidR="009D2098" w:rsidRDefault="009D2098"/>
    <w:sectPr w:rsidR="009D2098">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21B26" w14:textId="77777777" w:rsidR="00A31AC9" w:rsidRDefault="00A31AC9" w:rsidP="00A31AC9">
      <w:pPr>
        <w:spacing w:after="0" w:line="240" w:lineRule="auto"/>
      </w:pPr>
      <w:r>
        <w:separator/>
      </w:r>
    </w:p>
  </w:endnote>
  <w:endnote w:type="continuationSeparator" w:id="0">
    <w:p w14:paraId="05AF9405" w14:textId="77777777" w:rsidR="00A31AC9" w:rsidRDefault="00A31AC9" w:rsidP="00A31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C2D96" w14:textId="77777777" w:rsidR="00A31AC9" w:rsidRDefault="00A31AC9" w:rsidP="00A31AC9">
      <w:pPr>
        <w:spacing w:after="0" w:line="240" w:lineRule="auto"/>
      </w:pPr>
      <w:r>
        <w:separator/>
      </w:r>
    </w:p>
  </w:footnote>
  <w:footnote w:type="continuationSeparator" w:id="0">
    <w:p w14:paraId="0B2EA08D" w14:textId="77777777" w:rsidR="00A31AC9" w:rsidRDefault="00A31AC9" w:rsidP="00A31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88127" w14:textId="62CB6CD1" w:rsidR="00A31AC9" w:rsidRDefault="00A31AC9">
    <w:pPr>
      <w:pStyle w:val="Header"/>
    </w:pPr>
    <w:r>
      <w:rPr>
        <w:noProof/>
        <w:lang w:eastAsia="en-GB"/>
      </w:rPr>
      <mc:AlternateContent>
        <mc:Choice Requires="wps">
          <w:drawing>
            <wp:anchor distT="0" distB="0" distL="114300" distR="114300" simplePos="0" relativeHeight="251659264" behindDoc="0" locked="0" layoutInCell="0" allowOverlap="1" wp14:anchorId="311A697D" wp14:editId="594F88A7">
              <wp:simplePos x="0" y="0"/>
              <wp:positionH relativeFrom="page">
                <wp:posOffset>0</wp:posOffset>
              </wp:positionH>
              <wp:positionV relativeFrom="page">
                <wp:posOffset>190500</wp:posOffset>
              </wp:positionV>
              <wp:extent cx="7560310" cy="273050"/>
              <wp:effectExtent l="0" t="0" r="0" b="12700"/>
              <wp:wrapNone/>
              <wp:docPr id="2" name="MSIPCM5a42494abb2655d2ba06e915" descr="{&quot;HashCode&quot;:-1484644562,&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9963B34" w14:textId="73DCAD48" w:rsidR="00A31AC9" w:rsidRPr="00A31AC9" w:rsidRDefault="00A31AC9" w:rsidP="00A31AC9">
                          <w:pPr>
                            <w:spacing w:after="0"/>
                            <w:jc w:val="center"/>
                            <w:rPr>
                              <w:rFonts w:ascii="Calibri" w:hAnsi="Calibri" w:cs="Calibri"/>
                              <w:color w:val="FF8C00"/>
                              <w:sz w:val="20"/>
                            </w:rPr>
                          </w:pPr>
                          <w:r w:rsidRPr="00A31AC9">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1A697D" id="_x0000_t202" coordsize="21600,21600" o:spt="202" path="m,l,21600r21600,l21600,xe">
              <v:stroke joinstyle="miter"/>
              <v:path gradientshapeok="t" o:connecttype="rect"/>
            </v:shapetype>
            <v:shape id="MSIPCM5a42494abb2655d2ba06e915" o:spid="_x0000_s1026" type="#_x0000_t202" alt="{&quot;HashCode&quot;:-1484644562,&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o:allowincell="f" filled="f" stroked="f" strokeweight=".5pt">
              <v:textbox inset=",0,,0">
                <w:txbxContent>
                  <w:p w14:paraId="29963B34" w14:textId="73DCAD48" w:rsidR="00A31AC9" w:rsidRPr="00A31AC9" w:rsidRDefault="00A31AC9" w:rsidP="00A31AC9">
                    <w:pPr>
                      <w:spacing w:after="0"/>
                      <w:jc w:val="center"/>
                      <w:rPr>
                        <w:rFonts w:ascii="Calibri" w:hAnsi="Calibri" w:cs="Calibri"/>
                        <w:color w:val="FF8C00"/>
                        <w:sz w:val="20"/>
                      </w:rPr>
                    </w:pPr>
                    <w:r w:rsidRPr="00A31AC9">
                      <w:rPr>
                        <w:rFonts w:ascii="Calibri" w:hAnsi="Calibri" w:cs="Calibri"/>
                        <w:color w:val="FF8C00"/>
                        <w:sz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4641D0"/>
    <w:multiLevelType w:val="multilevel"/>
    <w:tmpl w:val="229C15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C44AE5"/>
    <w:multiLevelType w:val="hybridMultilevel"/>
    <w:tmpl w:val="F7CAC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4C0E8E"/>
    <w:multiLevelType w:val="hybridMultilevel"/>
    <w:tmpl w:val="3FC01BC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7458A5"/>
    <w:multiLevelType w:val="hybridMultilevel"/>
    <w:tmpl w:val="05609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BF1445"/>
    <w:multiLevelType w:val="hybridMultilevel"/>
    <w:tmpl w:val="F334B64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8C3"/>
    <w:rsid w:val="00012B58"/>
    <w:rsid w:val="000268CA"/>
    <w:rsid w:val="000275D9"/>
    <w:rsid w:val="00041BFE"/>
    <w:rsid w:val="000468BC"/>
    <w:rsid w:val="0005488D"/>
    <w:rsid w:val="00062D62"/>
    <w:rsid w:val="000659CF"/>
    <w:rsid w:val="0006606D"/>
    <w:rsid w:val="00074961"/>
    <w:rsid w:val="00077ABE"/>
    <w:rsid w:val="00094428"/>
    <w:rsid w:val="000A0E23"/>
    <w:rsid w:val="000C2B58"/>
    <w:rsid w:val="000D607F"/>
    <w:rsid w:val="000E17AD"/>
    <w:rsid w:val="00104A6D"/>
    <w:rsid w:val="00107E14"/>
    <w:rsid w:val="00107FF7"/>
    <w:rsid w:val="00113903"/>
    <w:rsid w:val="001141D5"/>
    <w:rsid w:val="001169BE"/>
    <w:rsid w:val="00116EC2"/>
    <w:rsid w:val="00121F35"/>
    <w:rsid w:val="00125AD8"/>
    <w:rsid w:val="0013226C"/>
    <w:rsid w:val="00132A3A"/>
    <w:rsid w:val="00151722"/>
    <w:rsid w:val="00152957"/>
    <w:rsid w:val="00157B95"/>
    <w:rsid w:val="00164587"/>
    <w:rsid w:val="00164A12"/>
    <w:rsid w:val="001718BC"/>
    <w:rsid w:val="001806E1"/>
    <w:rsid w:val="00182022"/>
    <w:rsid w:val="00184AAC"/>
    <w:rsid w:val="001919D2"/>
    <w:rsid w:val="001A3086"/>
    <w:rsid w:val="001B4280"/>
    <w:rsid w:val="001C22AB"/>
    <w:rsid w:val="001C45A9"/>
    <w:rsid w:val="001C78DA"/>
    <w:rsid w:val="001D6B5C"/>
    <w:rsid w:val="001D6D26"/>
    <w:rsid w:val="001F7CF0"/>
    <w:rsid w:val="002001E7"/>
    <w:rsid w:val="00204BC6"/>
    <w:rsid w:val="0021654C"/>
    <w:rsid w:val="00216D06"/>
    <w:rsid w:val="00217413"/>
    <w:rsid w:val="0021765E"/>
    <w:rsid w:val="00233318"/>
    <w:rsid w:val="0023566E"/>
    <w:rsid w:val="00243415"/>
    <w:rsid w:val="00243D67"/>
    <w:rsid w:val="0024403F"/>
    <w:rsid w:val="00254AB1"/>
    <w:rsid w:val="002626BC"/>
    <w:rsid w:val="00270CCF"/>
    <w:rsid w:val="002879D8"/>
    <w:rsid w:val="00287F27"/>
    <w:rsid w:val="00293562"/>
    <w:rsid w:val="002A0F9B"/>
    <w:rsid w:val="002A698B"/>
    <w:rsid w:val="002B5531"/>
    <w:rsid w:val="002E3FAA"/>
    <w:rsid w:val="002E4399"/>
    <w:rsid w:val="00302B95"/>
    <w:rsid w:val="00304094"/>
    <w:rsid w:val="003130F3"/>
    <w:rsid w:val="00315CBB"/>
    <w:rsid w:val="0032142B"/>
    <w:rsid w:val="003243F4"/>
    <w:rsid w:val="00333D9E"/>
    <w:rsid w:val="00336413"/>
    <w:rsid w:val="00342A7B"/>
    <w:rsid w:val="0034767A"/>
    <w:rsid w:val="00357DC4"/>
    <w:rsid w:val="0036221B"/>
    <w:rsid w:val="0037339B"/>
    <w:rsid w:val="003755E7"/>
    <w:rsid w:val="00376F5B"/>
    <w:rsid w:val="003853B1"/>
    <w:rsid w:val="0039064B"/>
    <w:rsid w:val="00391F3F"/>
    <w:rsid w:val="00397D6D"/>
    <w:rsid w:val="003A1334"/>
    <w:rsid w:val="003A3348"/>
    <w:rsid w:val="003C0918"/>
    <w:rsid w:val="003C3F98"/>
    <w:rsid w:val="003C5252"/>
    <w:rsid w:val="003C7BFA"/>
    <w:rsid w:val="003D5D0D"/>
    <w:rsid w:val="003E72C7"/>
    <w:rsid w:val="003F087E"/>
    <w:rsid w:val="003F26E2"/>
    <w:rsid w:val="003F3E84"/>
    <w:rsid w:val="00402238"/>
    <w:rsid w:val="004412AD"/>
    <w:rsid w:val="004458A3"/>
    <w:rsid w:val="004534FB"/>
    <w:rsid w:val="0045543F"/>
    <w:rsid w:val="00455CE5"/>
    <w:rsid w:val="00460ACA"/>
    <w:rsid w:val="00472A2F"/>
    <w:rsid w:val="00472F5E"/>
    <w:rsid w:val="00486FA3"/>
    <w:rsid w:val="00491FB7"/>
    <w:rsid w:val="00493ACF"/>
    <w:rsid w:val="004954EA"/>
    <w:rsid w:val="0049641D"/>
    <w:rsid w:val="004A7E2E"/>
    <w:rsid w:val="004B3FD7"/>
    <w:rsid w:val="004B59F7"/>
    <w:rsid w:val="004B5E5A"/>
    <w:rsid w:val="004C1307"/>
    <w:rsid w:val="004C7EC1"/>
    <w:rsid w:val="004D3F35"/>
    <w:rsid w:val="004E2102"/>
    <w:rsid w:val="005163FD"/>
    <w:rsid w:val="00517F82"/>
    <w:rsid w:val="00527FE0"/>
    <w:rsid w:val="005330AD"/>
    <w:rsid w:val="00534478"/>
    <w:rsid w:val="00565BDF"/>
    <w:rsid w:val="0057198D"/>
    <w:rsid w:val="00571FDD"/>
    <w:rsid w:val="005804F3"/>
    <w:rsid w:val="00581B0C"/>
    <w:rsid w:val="00584913"/>
    <w:rsid w:val="005A6EE6"/>
    <w:rsid w:val="005B3318"/>
    <w:rsid w:val="005B585B"/>
    <w:rsid w:val="005B7D3D"/>
    <w:rsid w:val="005C3E61"/>
    <w:rsid w:val="005C3F53"/>
    <w:rsid w:val="005D1CC7"/>
    <w:rsid w:val="005D4DF9"/>
    <w:rsid w:val="005E14FA"/>
    <w:rsid w:val="005E2E21"/>
    <w:rsid w:val="005E505C"/>
    <w:rsid w:val="005F7D8C"/>
    <w:rsid w:val="006125FB"/>
    <w:rsid w:val="00617B5B"/>
    <w:rsid w:val="00627963"/>
    <w:rsid w:val="00631F49"/>
    <w:rsid w:val="0063527D"/>
    <w:rsid w:val="00640AB4"/>
    <w:rsid w:val="00644966"/>
    <w:rsid w:val="006459BD"/>
    <w:rsid w:val="00650C9E"/>
    <w:rsid w:val="00652144"/>
    <w:rsid w:val="006533E7"/>
    <w:rsid w:val="0066572D"/>
    <w:rsid w:val="00682475"/>
    <w:rsid w:val="00685AF8"/>
    <w:rsid w:val="00686ECA"/>
    <w:rsid w:val="00693AF8"/>
    <w:rsid w:val="006A6701"/>
    <w:rsid w:val="006B0569"/>
    <w:rsid w:val="006B4B63"/>
    <w:rsid w:val="006C4E88"/>
    <w:rsid w:val="006C53D1"/>
    <w:rsid w:val="006F0ED0"/>
    <w:rsid w:val="007116E3"/>
    <w:rsid w:val="00716B29"/>
    <w:rsid w:val="00725A39"/>
    <w:rsid w:val="00736BDF"/>
    <w:rsid w:val="00740074"/>
    <w:rsid w:val="00742D0F"/>
    <w:rsid w:val="00771CA8"/>
    <w:rsid w:val="00773A1A"/>
    <w:rsid w:val="007746C8"/>
    <w:rsid w:val="00775D7B"/>
    <w:rsid w:val="00786094"/>
    <w:rsid w:val="0078769D"/>
    <w:rsid w:val="00793FC1"/>
    <w:rsid w:val="007A0503"/>
    <w:rsid w:val="007A1575"/>
    <w:rsid w:val="007B0AC4"/>
    <w:rsid w:val="007C07FF"/>
    <w:rsid w:val="007C2CBE"/>
    <w:rsid w:val="007D225F"/>
    <w:rsid w:val="007D452F"/>
    <w:rsid w:val="007E49D8"/>
    <w:rsid w:val="007E4EF1"/>
    <w:rsid w:val="007E61CA"/>
    <w:rsid w:val="007F0679"/>
    <w:rsid w:val="007F606E"/>
    <w:rsid w:val="00803EF0"/>
    <w:rsid w:val="00805B8A"/>
    <w:rsid w:val="00806577"/>
    <w:rsid w:val="0082183D"/>
    <w:rsid w:val="00821F0C"/>
    <w:rsid w:val="0083061B"/>
    <w:rsid w:val="008343A1"/>
    <w:rsid w:val="00835E48"/>
    <w:rsid w:val="00837C28"/>
    <w:rsid w:val="00837C84"/>
    <w:rsid w:val="00846EDB"/>
    <w:rsid w:val="00852EC8"/>
    <w:rsid w:val="00867B65"/>
    <w:rsid w:val="008778BF"/>
    <w:rsid w:val="00881275"/>
    <w:rsid w:val="008955A9"/>
    <w:rsid w:val="008A0DD3"/>
    <w:rsid w:val="008B5902"/>
    <w:rsid w:val="008C34A2"/>
    <w:rsid w:val="008C7A3B"/>
    <w:rsid w:val="008D5664"/>
    <w:rsid w:val="008E046E"/>
    <w:rsid w:val="008F3192"/>
    <w:rsid w:val="008F6F4A"/>
    <w:rsid w:val="00916DDB"/>
    <w:rsid w:val="00930755"/>
    <w:rsid w:val="009340B6"/>
    <w:rsid w:val="009634DC"/>
    <w:rsid w:val="00971E93"/>
    <w:rsid w:val="00975801"/>
    <w:rsid w:val="00991B5B"/>
    <w:rsid w:val="009A30DC"/>
    <w:rsid w:val="009A7564"/>
    <w:rsid w:val="009B3B9F"/>
    <w:rsid w:val="009C4233"/>
    <w:rsid w:val="009C48C3"/>
    <w:rsid w:val="009D2098"/>
    <w:rsid w:val="00A13F7C"/>
    <w:rsid w:val="00A27633"/>
    <w:rsid w:val="00A31AC9"/>
    <w:rsid w:val="00A37D72"/>
    <w:rsid w:val="00A41B56"/>
    <w:rsid w:val="00A5090A"/>
    <w:rsid w:val="00A53EF5"/>
    <w:rsid w:val="00A54C28"/>
    <w:rsid w:val="00A55BD9"/>
    <w:rsid w:val="00A6471B"/>
    <w:rsid w:val="00A64AE3"/>
    <w:rsid w:val="00A65208"/>
    <w:rsid w:val="00A739B2"/>
    <w:rsid w:val="00A80649"/>
    <w:rsid w:val="00A81DDC"/>
    <w:rsid w:val="00A94BA5"/>
    <w:rsid w:val="00A97B62"/>
    <w:rsid w:val="00AB2B98"/>
    <w:rsid w:val="00B02547"/>
    <w:rsid w:val="00B027F5"/>
    <w:rsid w:val="00B06CF0"/>
    <w:rsid w:val="00B10B33"/>
    <w:rsid w:val="00B148FC"/>
    <w:rsid w:val="00B27BA3"/>
    <w:rsid w:val="00B36593"/>
    <w:rsid w:val="00B45641"/>
    <w:rsid w:val="00B52915"/>
    <w:rsid w:val="00B653A0"/>
    <w:rsid w:val="00B6720E"/>
    <w:rsid w:val="00B7139A"/>
    <w:rsid w:val="00B716DE"/>
    <w:rsid w:val="00B731E1"/>
    <w:rsid w:val="00B920AF"/>
    <w:rsid w:val="00BB1329"/>
    <w:rsid w:val="00BC3827"/>
    <w:rsid w:val="00BD09CF"/>
    <w:rsid w:val="00BD49F9"/>
    <w:rsid w:val="00BD796A"/>
    <w:rsid w:val="00BE556F"/>
    <w:rsid w:val="00C05826"/>
    <w:rsid w:val="00C14B05"/>
    <w:rsid w:val="00C20D45"/>
    <w:rsid w:val="00C2537C"/>
    <w:rsid w:val="00C55292"/>
    <w:rsid w:val="00C734AA"/>
    <w:rsid w:val="00C865F6"/>
    <w:rsid w:val="00C92F58"/>
    <w:rsid w:val="00CA2772"/>
    <w:rsid w:val="00CB5328"/>
    <w:rsid w:val="00CB79A8"/>
    <w:rsid w:val="00CE74C9"/>
    <w:rsid w:val="00CF5B8C"/>
    <w:rsid w:val="00CF6264"/>
    <w:rsid w:val="00D01392"/>
    <w:rsid w:val="00D1247D"/>
    <w:rsid w:val="00D23ED8"/>
    <w:rsid w:val="00D25A5B"/>
    <w:rsid w:val="00D54325"/>
    <w:rsid w:val="00D60789"/>
    <w:rsid w:val="00D6619C"/>
    <w:rsid w:val="00D6708A"/>
    <w:rsid w:val="00D71A3D"/>
    <w:rsid w:val="00D824DF"/>
    <w:rsid w:val="00D830DE"/>
    <w:rsid w:val="00D877E5"/>
    <w:rsid w:val="00DB0D12"/>
    <w:rsid w:val="00DB20D8"/>
    <w:rsid w:val="00DB2C29"/>
    <w:rsid w:val="00DC7DD1"/>
    <w:rsid w:val="00DD48A3"/>
    <w:rsid w:val="00DE1EBB"/>
    <w:rsid w:val="00DE2E97"/>
    <w:rsid w:val="00DE714F"/>
    <w:rsid w:val="00DF1146"/>
    <w:rsid w:val="00E04291"/>
    <w:rsid w:val="00E0436E"/>
    <w:rsid w:val="00E044D0"/>
    <w:rsid w:val="00E23AFE"/>
    <w:rsid w:val="00E26085"/>
    <w:rsid w:val="00E452F4"/>
    <w:rsid w:val="00E4659F"/>
    <w:rsid w:val="00E508C7"/>
    <w:rsid w:val="00E55F59"/>
    <w:rsid w:val="00E61310"/>
    <w:rsid w:val="00E615B4"/>
    <w:rsid w:val="00E7367C"/>
    <w:rsid w:val="00E80DCD"/>
    <w:rsid w:val="00E92453"/>
    <w:rsid w:val="00E93608"/>
    <w:rsid w:val="00EA2048"/>
    <w:rsid w:val="00EA7642"/>
    <w:rsid w:val="00EB3710"/>
    <w:rsid w:val="00EC619C"/>
    <w:rsid w:val="00ED354C"/>
    <w:rsid w:val="00ED7207"/>
    <w:rsid w:val="00EE7872"/>
    <w:rsid w:val="00EF001C"/>
    <w:rsid w:val="00EF4AAC"/>
    <w:rsid w:val="00EF7025"/>
    <w:rsid w:val="00F05722"/>
    <w:rsid w:val="00F05D4E"/>
    <w:rsid w:val="00F0788D"/>
    <w:rsid w:val="00F224AA"/>
    <w:rsid w:val="00F32CF2"/>
    <w:rsid w:val="00F53C06"/>
    <w:rsid w:val="00F62F88"/>
    <w:rsid w:val="00F6578C"/>
    <w:rsid w:val="00F6731C"/>
    <w:rsid w:val="00F7651B"/>
    <w:rsid w:val="00F774EC"/>
    <w:rsid w:val="00F8549C"/>
    <w:rsid w:val="00FA2D8C"/>
    <w:rsid w:val="00FB33A3"/>
    <w:rsid w:val="00FC0CA3"/>
    <w:rsid w:val="00FC2263"/>
    <w:rsid w:val="00FC2E46"/>
    <w:rsid w:val="00FC3DD3"/>
    <w:rsid w:val="00FD4E0B"/>
    <w:rsid w:val="00FE1C15"/>
    <w:rsid w:val="00FE1E43"/>
    <w:rsid w:val="00FF3806"/>
    <w:rsid w:val="00FF4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962D636"/>
  <w15:docId w15:val="{C4465158-BEB7-4F39-A434-EDEBF18E5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B2C29"/>
    <w:pPr>
      <w:keepNext/>
      <w:keepLines/>
      <w:spacing w:before="240" w:after="0" w:line="360"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C29"/>
    <w:rPr>
      <w:rFonts w:asciiTheme="majorHAnsi" w:eastAsiaTheme="majorEastAsia" w:hAnsiTheme="majorHAnsi" w:cstheme="majorBidi"/>
      <w:color w:val="2F5496" w:themeColor="accent1" w:themeShade="BF"/>
      <w:sz w:val="32"/>
      <w:szCs w:val="32"/>
      <w:lang w:val="en-US"/>
    </w:rPr>
  </w:style>
  <w:style w:type="paragraph" w:customStyle="1" w:styleId="Default">
    <w:name w:val="Default"/>
    <w:rsid w:val="00DB2C29"/>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DB2C29"/>
    <w:pPr>
      <w:spacing w:line="360" w:lineRule="auto"/>
      <w:ind w:left="720"/>
      <w:contextualSpacing/>
    </w:pPr>
  </w:style>
  <w:style w:type="paragraph" w:styleId="Bibliography">
    <w:name w:val="Bibliography"/>
    <w:basedOn w:val="Normal"/>
    <w:next w:val="Normal"/>
    <w:uiPriority w:val="37"/>
    <w:unhideWhenUsed/>
    <w:rsid w:val="006459BD"/>
  </w:style>
  <w:style w:type="paragraph" w:styleId="Header">
    <w:name w:val="header"/>
    <w:basedOn w:val="Normal"/>
    <w:link w:val="HeaderChar"/>
    <w:uiPriority w:val="99"/>
    <w:unhideWhenUsed/>
    <w:rsid w:val="00A31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AC9"/>
  </w:style>
  <w:style w:type="paragraph" w:styleId="Footer">
    <w:name w:val="footer"/>
    <w:basedOn w:val="Normal"/>
    <w:link w:val="FooterChar"/>
    <w:uiPriority w:val="99"/>
    <w:unhideWhenUsed/>
    <w:rsid w:val="00A31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AC9"/>
  </w:style>
  <w:style w:type="paragraph" w:styleId="BalloonText">
    <w:name w:val="Balloon Text"/>
    <w:basedOn w:val="Normal"/>
    <w:link w:val="BalloonTextChar"/>
    <w:uiPriority w:val="99"/>
    <w:semiHidden/>
    <w:unhideWhenUsed/>
    <w:rsid w:val="008A0D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D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0567">
      <w:bodyDiv w:val="1"/>
      <w:marLeft w:val="0"/>
      <w:marRight w:val="0"/>
      <w:marTop w:val="0"/>
      <w:marBottom w:val="0"/>
      <w:divBdr>
        <w:top w:val="none" w:sz="0" w:space="0" w:color="auto"/>
        <w:left w:val="none" w:sz="0" w:space="0" w:color="auto"/>
        <w:bottom w:val="none" w:sz="0" w:space="0" w:color="auto"/>
        <w:right w:val="none" w:sz="0" w:space="0" w:color="auto"/>
      </w:divBdr>
    </w:div>
    <w:div w:id="30233922">
      <w:bodyDiv w:val="1"/>
      <w:marLeft w:val="0"/>
      <w:marRight w:val="0"/>
      <w:marTop w:val="0"/>
      <w:marBottom w:val="0"/>
      <w:divBdr>
        <w:top w:val="none" w:sz="0" w:space="0" w:color="auto"/>
        <w:left w:val="none" w:sz="0" w:space="0" w:color="auto"/>
        <w:bottom w:val="none" w:sz="0" w:space="0" w:color="auto"/>
        <w:right w:val="none" w:sz="0" w:space="0" w:color="auto"/>
      </w:divBdr>
    </w:div>
    <w:div w:id="53313300">
      <w:bodyDiv w:val="1"/>
      <w:marLeft w:val="0"/>
      <w:marRight w:val="0"/>
      <w:marTop w:val="0"/>
      <w:marBottom w:val="0"/>
      <w:divBdr>
        <w:top w:val="none" w:sz="0" w:space="0" w:color="auto"/>
        <w:left w:val="none" w:sz="0" w:space="0" w:color="auto"/>
        <w:bottom w:val="none" w:sz="0" w:space="0" w:color="auto"/>
        <w:right w:val="none" w:sz="0" w:space="0" w:color="auto"/>
      </w:divBdr>
    </w:div>
    <w:div w:id="62027590">
      <w:bodyDiv w:val="1"/>
      <w:marLeft w:val="0"/>
      <w:marRight w:val="0"/>
      <w:marTop w:val="0"/>
      <w:marBottom w:val="0"/>
      <w:divBdr>
        <w:top w:val="none" w:sz="0" w:space="0" w:color="auto"/>
        <w:left w:val="none" w:sz="0" w:space="0" w:color="auto"/>
        <w:bottom w:val="none" w:sz="0" w:space="0" w:color="auto"/>
        <w:right w:val="none" w:sz="0" w:space="0" w:color="auto"/>
      </w:divBdr>
    </w:div>
    <w:div w:id="94785368">
      <w:bodyDiv w:val="1"/>
      <w:marLeft w:val="0"/>
      <w:marRight w:val="0"/>
      <w:marTop w:val="0"/>
      <w:marBottom w:val="0"/>
      <w:divBdr>
        <w:top w:val="none" w:sz="0" w:space="0" w:color="auto"/>
        <w:left w:val="none" w:sz="0" w:space="0" w:color="auto"/>
        <w:bottom w:val="none" w:sz="0" w:space="0" w:color="auto"/>
        <w:right w:val="none" w:sz="0" w:space="0" w:color="auto"/>
      </w:divBdr>
    </w:div>
    <w:div w:id="104350851">
      <w:bodyDiv w:val="1"/>
      <w:marLeft w:val="0"/>
      <w:marRight w:val="0"/>
      <w:marTop w:val="0"/>
      <w:marBottom w:val="0"/>
      <w:divBdr>
        <w:top w:val="none" w:sz="0" w:space="0" w:color="auto"/>
        <w:left w:val="none" w:sz="0" w:space="0" w:color="auto"/>
        <w:bottom w:val="none" w:sz="0" w:space="0" w:color="auto"/>
        <w:right w:val="none" w:sz="0" w:space="0" w:color="auto"/>
      </w:divBdr>
    </w:div>
    <w:div w:id="107356876">
      <w:bodyDiv w:val="1"/>
      <w:marLeft w:val="0"/>
      <w:marRight w:val="0"/>
      <w:marTop w:val="0"/>
      <w:marBottom w:val="0"/>
      <w:divBdr>
        <w:top w:val="none" w:sz="0" w:space="0" w:color="auto"/>
        <w:left w:val="none" w:sz="0" w:space="0" w:color="auto"/>
        <w:bottom w:val="none" w:sz="0" w:space="0" w:color="auto"/>
        <w:right w:val="none" w:sz="0" w:space="0" w:color="auto"/>
      </w:divBdr>
    </w:div>
    <w:div w:id="178856816">
      <w:bodyDiv w:val="1"/>
      <w:marLeft w:val="0"/>
      <w:marRight w:val="0"/>
      <w:marTop w:val="0"/>
      <w:marBottom w:val="0"/>
      <w:divBdr>
        <w:top w:val="none" w:sz="0" w:space="0" w:color="auto"/>
        <w:left w:val="none" w:sz="0" w:space="0" w:color="auto"/>
        <w:bottom w:val="none" w:sz="0" w:space="0" w:color="auto"/>
        <w:right w:val="none" w:sz="0" w:space="0" w:color="auto"/>
      </w:divBdr>
    </w:div>
    <w:div w:id="192043219">
      <w:bodyDiv w:val="1"/>
      <w:marLeft w:val="0"/>
      <w:marRight w:val="0"/>
      <w:marTop w:val="0"/>
      <w:marBottom w:val="0"/>
      <w:divBdr>
        <w:top w:val="none" w:sz="0" w:space="0" w:color="auto"/>
        <w:left w:val="none" w:sz="0" w:space="0" w:color="auto"/>
        <w:bottom w:val="none" w:sz="0" w:space="0" w:color="auto"/>
        <w:right w:val="none" w:sz="0" w:space="0" w:color="auto"/>
      </w:divBdr>
    </w:div>
    <w:div w:id="204175377">
      <w:bodyDiv w:val="1"/>
      <w:marLeft w:val="0"/>
      <w:marRight w:val="0"/>
      <w:marTop w:val="0"/>
      <w:marBottom w:val="0"/>
      <w:divBdr>
        <w:top w:val="none" w:sz="0" w:space="0" w:color="auto"/>
        <w:left w:val="none" w:sz="0" w:space="0" w:color="auto"/>
        <w:bottom w:val="none" w:sz="0" w:space="0" w:color="auto"/>
        <w:right w:val="none" w:sz="0" w:space="0" w:color="auto"/>
      </w:divBdr>
    </w:div>
    <w:div w:id="226456859">
      <w:bodyDiv w:val="1"/>
      <w:marLeft w:val="0"/>
      <w:marRight w:val="0"/>
      <w:marTop w:val="0"/>
      <w:marBottom w:val="0"/>
      <w:divBdr>
        <w:top w:val="none" w:sz="0" w:space="0" w:color="auto"/>
        <w:left w:val="none" w:sz="0" w:space="0" w:color="auto"/>
        <w:bottom w:val="none" w:sz="0" w:space="0" w:color="auto"/>
        <w:right w:val="none" w:sz="0" w:space="0" w:color="auto"/>
      </w:divBdr>
    </w:div>
    <w:div w:id="272253925">
      <w:bodyDiv w:val="1"/>
      <w:marLeft w:val="0"/>
      <w:marRight w:val="0"/>
      <w:marTop w:val="0"/>
      <w:marBottom w:val="0"/>
      <w:divBdr>
        <w:top w:val="none" w:sz="0" w:space="0" w:color="auto"/>
        <w:left w:val="none" w:sz="0" w:space="0" w:color="auto"/>
        <w:bottom w:val="none" w:sz="0" w:space="0" w:color="auto"/>
        <w:right w:val="none" w:sz="0" w:space="0" w:color="auto"/>
      </w:divBdr>
    </w:div>
    <w:div w:id="312760387">
      <w:bodyDiv w:val="1"/>
      <w:marLeft w:val="0"/>
      <w:marRight w:val="0"/>
      <w:marTop w:val="0"/>
      <w:marBottom w:val="0"/>
      <w:divBdr>
        <w:top w:val="none" w:sz="0" w:space="0" w:color="auto"/>
        <w:left w:val="none" w:sz="0" w:space="0" w:color="auto"/>
        <w:bottom w:val="none" w:sz="0" w:space="0" w:color="auto"/>
        <w:right w:val="none" w:sz="0" w:space="0" w:color="auto"/>
      </w:divBdr>
    </w:div>
    <w:div w:id="313991304">
      <w:bodyDiv w:val="1"/>
      <w:marLeft w:val="0"/>
      <w:marRight w:val="0"/>
      <w:marTop w:val="0"/>
      <w:marBottom w:val="0"/>
      <w:divBdr>
        <w:top w:val="none" w:sz="0" w:space="0" w:color="auto"/>
        <w:left w:val="none" w:sz="0" w:space="0" w:color="auto"/>
        <w:bottom w:val="none" w:sz="0" w:space="0" w:color="auto"/>
        <w:right w:val="none" w:sz="0" w:space="0" w:color="auto"/>
      </w:divBdr>
    </w:div>
    <w:div w:id="330572864">
      <w:bodyDiv w:val="1"/>
      <w:marLeft w:val="0"/>
      <w:marRight w:val="0"/>
      <w:marTop w:val="0"/>
      <w:marBottom w:val="0"/>
      <w:divBdr>
        <w:top w:val="none" w:sz="0" w:space="0" w:color="auto"/>
        <w:left w:val="none" w:sz="0" w:space="0" w:color="auto"/>
        <w:bottom w:val="none" w:sz="0" w:space="0" w:color="auto"/>
        <w:right w:val="none" w:sz="0" w:space="0" w:color="auto"/>
      </w:divBdr>
    </w:div>
    <w:div w:id="462313275">
      <w:bodyDiv w:val="1"/>
      <w:marLeft w:val="0"/>
      <w:marRight w:val="0"/>
      <w:marTop w:val="0"/>
      <w:marBottom w:val="0"/>
      <w:divBdr>
        <w:top w:val="none" w:sz="0" w:space="0" w:color="auto"/>
        <w:left w:val="none" w:sz="0" w:space="0" w:color="auto"/>
        <w:bottom w:val="none" w:sz="0" w:space="0" w:color="auto"/>
        <w:right w:val="none" w:sz="0" w:space="0" w:color="auto"/>
      </w:divBdr>
    </w:div>
    <w:div w:id="470906376">
      <w:bodyDiv w:val="1"/>
      <w:marLeft w:val="0"/>
      <w:marRight w:val="0"/>
      <w:marTop w:val="0"/>
      <w:marBottom w:val="0"/>
      <w:divBdr>
        <w:top w:val="none" w:sz="0" w:space="0" w:color="auto"/>
        <w:left w:val="none" w:sz="0" w:space="0" w:color="auto"/>
        <w:bottom w:val="none" w:sz="0" w:space="0" w:color="auto"/>
        <w:right w:val="none" w:sz="0" w:space="0" w:color="auto"/>
      </w:divBdr>
    </w:div>
    <w:div w:id="492068390">
      <w:bodyDiv w:val="1"/>
      <w:marLeft w:val="0"/>
      <w:marRight w:val="0"/>
      <w:marTop w:val="0"/>
      <w:marBottom w:val="0"/>
      <w:divBdr>
        <w:top w:val="none" w:sz="0" w:space="0" w:color="auto"/>
        <w:left w:val="none" w:sz="0" w:space="0" w:color="auto"/>
        <w:bottom w:val="none" w:sz="0" w:space="0" w:color="auto"/>
        <w:right w:val="none" w:sz="0" w:space="0" w:color="auto"/>
      </w:divBdr>
    </w:div>
    <w:div w:id="494612642">
      <w:bodyDiv w:val="1"/>
      <w:marLeft w:val="0"/>
      <w:marRight w:val="0"/>
      <w:marTop w:val="0"/>
      <w:marBottom w:val="0"/>
      <w:divBdr>
        <w:top w:val="none" w:sz="0" w:space="0" w:color="auto"/>
        <w:left w:val="none" w:sz="0" w:space="0" w:color="auto"/>
        <w:bottom w:val="none" w:sz="0" w:space="0" w:color="auto"/>
        <w:right w:val="none" w:sz="0" w:space="0" w:color="auto"/>
      </w:divBdr>
    </w:div>
    <w:div w:id="496308337">
      <w:bodyDiv w:val="1"/>
      <w:marLeft w:val="0"/>
      <w:marRight w:val="0"/>
      <w:marTop w:val="0"/>
      <w:marBottom w:val="0"/>
      <w:divBdr>
        <w:top w:val="none" w:sz="0" w:space="0" w:color="auto"/>
        <w:left w:val="none" w:sz="0" w:space="0" w:color="auto"/>
        <w:bottom w:val="none" w:sz="0" w:space="0" w:color="auto"/>
        <w:right w:val="none" w:sz="0" w:space="0" w:color="auto"/>
      </w:divBdr>
    </w:div>
    <w:div w:id="501286760">
      <w:bodyDiv w:val="1"/>
      <w:marLeft w:val="0"/>
      <w:marRight w:val="0"/>
      <w:marTop w:val="0"/>
      <w:marBottom w:val="0"/>
      <w:divBdr>
        <w:top w:val="none" w:sz="0" w:space="0" w:color="auto"/>
        <w:left w:val="none" w:sz="0" w:space="0" w:color="auto"/>
        <w:bottom w:val="none" w:sz="0" w:space="0" w:color="auto"/>
        <w:right w:val="none" w:sz="0" w:space="0" w:color="auto"/>
      </w:divBdr>
    </w:div>
    <w:div w:id="508133086">
      <w:bodyDiv w:val="1"/>
      <w:marLeft w:val="0"/>
      <w:marRight w:val="0"/>
      <w:marTop w:val="0"/>
      <w:marBottom w:val="0"/>
      <w:divBdr>
        <w:top w:val="none" w:sz="0" w:space="0" w:color="auto"/>
        <w:left w:val="none" w:sz="0" w:space="0" w:color="auto"/>
        <w:bottom w:val="none" w:sz="0" w:space="0" w:color="auto"/>
        <w:right w:val="none" w:sz="0" w:space="0" w:color="auto"/>
      </w:divBdr>
    </w:div>
    <w:div w:id="516890033">
      <w:bodyDiv w:val="1"/>
      <w:marLeft w:val="0"/>
      <w:marRight w:val="0"/>
      <w:marTop w:val="0"/>
      <w:marBottom w:val="0"/>
      <w:divBdr>
        <w:top w:val="none" w:sz="0" w:space="0" w:color="auto"/>
        <w:left w:val="none" w:sz="0" w:space="0" w:color="auto"/>
        <w:bottom w:val="none" w:sz="0" w:space="0" w:color="auto"/>
        <w:right w:val="none" w:sz="0" w:space="0" w:color="auto"/>
      </w:divBdr>
    </w:div>
    <w:div w:id="522790642">
      <w:bodyDiv w:val="1"/>
      <w:marLeft w:val="0"/>
      <w:marRight w:val="0"/>
      <w:marTop w:val="0"/>
      <w:marBottom w:val="0"/>
      <w:divBdr>
        <w:top w:val="none" w:sz="0" w:space="0" w:color="auto"/>
        <w:left w:val="none" w:sz="0" w:space="0" w:color="auto"/>
        <w:bottom w:val="none" w:sz="0" w:space="0" w:color="auto"/>
        <w:right w:val="none" w:sz="0" w:space="0" w:color="auto"/>
      </w:divBdr>
    </w:div>
    <w:div w:id="525362561">
      <w:bodyDiv w:val="1"/>
      <w:marLeft w:val="0"/>
      <w:marRight w:val="0"/>
      <w:marTop w:val="0"/>
      <w:marBottom w:val="0"/>
      <w:divBdr>
        <w:top w:val="none" w:sz="0" w:space="0" w:color="auto"/>
        <w:left w:val="none" w:sz="0" w:space="0" w:color="auto"/>
        <w:bottom w:val="none" w:sz="0" w:space="0" w:color="auto"/>
        <w:right w:val="none" w:sz="0" w:space="0" w:color="auto"/>
      </w:divBdr>
    </w:div>
    <w:div w:id="531068616">
      <w:bodyDiv w:val="1"/>
      <w:marLeft w:val="0"/>
      <w:marRight w:val="0"/>
      <w:marTop w:val="0"/>
      <w:marBottom w:val="0"/>
      <w:divBdr>
        <w:top w:val="none" w:sz="0" w:space="0" w:color="auto"/>
        <w:left w:val="none" w:sz="0" w:space="0" w:color="auto"/>
        <w:bottom w:val="none" w:sz="0" w:space="0" w:color="auto"/>
        <w:right w:val="none" w:sz="0" w:space="0" w:color="auto"/>
      </w:divBdr>
    </w:div>
    <w:div w:id="535391858">
      <w:bodyDiv w:val="1"/>
      <w:marLeft w:val="0"/>
      <w:marRight w:val="0"/>
      <w:marTop w:val="0"/>
      <w:marBottom w:val="0"/>
      <w:divBdr>
        <w:top w:val="none" w:sz="0" w:space="0" w:color="auto"/>
        <w:left w:val="none" w:sz="0" w:space="0" w:color="auto"/>
        <w:bottom w:val="none" w:sz="0" w:space="0" w:color="auto"/>
        <w:right w:val="none" w:sz="0" w:space="0" w:color="auto"/>
      </w:divBdr>
    </w:div>
    <w:div w:id="544680639">
      <w:bodyDiv w:val="1"/>
      <w:marLeft w:val="0"/>
      <w:marRight w:val="0"/>
      <w:marTop w:val="0"/>
      <w:marBottom w:val="0"/>
      <w:divBdr>
        <w:top w:val="none" w:sz="0" w:space="0" w:color="auto"/>
        <w:left w:val="none" w:sz="0" w:space="0" w:color="auto"/>
        <w:bottom w:val="none" w:sz="0" w:space="0" w:color="auto"/>
        <w:right w:val="none" w:sz="0" w:space="0" w:color="auto"/>
      </w:divBdr>
    </w:div>
    <w:div w:id="563375944">
      <w:bodyDiv w:val="1"/>
      <w:marLeft w:val="0"/>
      <w:marRight w:val="0"/>
      <w:marTop w:val="0"/>
      <w:marBottom w:val="0"/>
      <w:divBdr>
        <w:top w:val="none" w:sz="0" w:space="0" w:color="auto"/>
        <w:left w:val="none" w:sz="0" w:space="0" w:color="auto"/>
        <w:bottom w:val="none" w:sz="0" w:space="0" w:color="auto"/>
        <w:right w:val="none" w:sz="0" w:space="0" w:color="auto"/>
      </w:divBdr>
    </w:div>
    <w:div w:id="613635379">
      <w:bodyDiv w:val="1"/>
      <w:marLeft w:val="0"/>
      <w:marRight w:val="0"/>
      <w:marTop w:val="0"/>
      <w:marBottom w:val="0"/>
      <w:divBdr>
        <w:top w:val="none" w:sz="0" w:space="0" w:color="auto"/>
        <w:left w:val="none" w:sz="0" w:space="0" w:color="auto"/>
        <w:bottom w:val="none" w:sz="0" w:space="0" w:color="auto"/>
        <w:right w:val="none" w:sz="0" w:space="0" w:color="auto"/>
      </w:divBdr>
    </w:div>
    <w:div w:id="650059417">
      <w:bodyDiv w:val="1"/>
      <w:marLeft w:val="0"/>
      <w:marRight w:val="0"/>
      <w:marTop w:val="0"/>
      <w:marBottom w:val="0"/>
      <w:divBdr>
        <w:top w:val="none" w:sz="0" w:space="0" w:color="auto"/>
        <w:left w:val="none" w:sz="0" w:space="0" w:color="auto"/>
        <w:bottom w:val="none" w:sz="0" w:space="0" w:color="auto"/>
        <w:right w:val="none" w:sz="0" w:space="0" w:color="auto"/>
      </w:divBdr>
    </w:div>
    <w:div w:id="656110522">
      <w:bodyDiv w:val="1"/>
      <w:marLeft w:val="0"/>
      <w:marRight w:val="0"/>
      <w:marTop w:val="0"/>
      <w:marBottom w:val="0"/>
      <w:divBdr>
        <w:top w:val="none" w:sz="0" w:space="0" w:color="auto"/>
        <w:left w:val="none" w:sz="0" w:space="0" w:color="auto"/>
        <w:bottom w:val="none" w:sz="0" w:space="0" w:color="auto"/>
        <w:right w:val="none" w:sz="0" w:space="0" w:color="auto"/>
      </w:divBdr>
    </w:div>
    <w:div w:id="661932985">
      <w:bodyDiv w:val="1"/>
      <w:marLeft w:val="0"/>
      <w:marRight w:val="0"/>
      <w:marTop w:val="0"/>
      <w:marBottom w:val="0"/>
      <w:divBdr>
        <w:top w:val="none" w:sz="0" w:space="0" w:color="auto"/>
        <w:left w:val="none" w:sz="0" w:space="0" w:color="auto"/>
        <w:bottom w:val="none" w:sz="0" w:space="0" w:color="auto"/>
        <w:right w:val="none" w:sz="0" w:space="0" w:color="auto"/>
      </w:divBdr>
    </w:div>
    <w:div w:id="683868865">
      <w:bodyDiv w:val="1"/>
      <w:marLeft w:val="0"/>
      <w:marRight w:val="0"/>
      <w:marTop w:val="0"/>
      <w:marBottom w:val="0"/>
      <w:divBdr>
        <w:top w:val="none" w:sz="0" w:space="0" w:color="auto"/>
        <w:left w:val="none" w:sz="0" w:space="0" w:color="auto"/>
        <w:bottom w:val="none" w:sz="0" w:space="0" w:color="auto"/>
        <w:right w:val="none" w:sz="0" w:space="0" w:color="auto"/>
      </w:divBdr>
    </w:div>
    <w:div w:id="690955798">
      <w:bodyDiv w:val="1"/>
      <w:marLeft w:val="0"/>
      <w:marRight w:val="0"/>
      <w:marTop w:val="0"/>
      <w:marBottom w:val="0"/>
      <w:divBdr>
        <w:top w:val="none" w:sz="0" w:space="0" w:color="auto"/>
        <w:left w:val="none" w:sz="0" w:space="0" w:color="auto"/>
        <w:bottom w:val="none" w:sz="0" w:space="0" w:color="auto"/>
        <w:right w:val="none" w:sz="0" w:space="0" w:color="auto"/>
      </w:divBdr>
    </w:div>
    <w:div w:id="701053881">
      <w:bodyDiv w:val="1"/>
      <w:marLeft w:val="0"/>
      <w:marRight w:val="0"/>
      <w:marTop w:val="0"/>
      <w:marBottom w:val="0"/>
      <w:divBdr>
        <w:top w:val="none" w:sz="0" w:space="0" w:color="auto"/>
        <w:left w:val="none" w:sz="0" w:space="0" w:color="auto"/>
        <w:bottom w:val="none" w:sz="0" w:space="0" w:color="auto"/>
        <w:right w:val="none" w:sz="0" w:space="0" w:color="auto"/>
      </w:divBdr>
    </w:div>
    <w:div w:id="734085943">
      <w:bodyDiv w:val="1"/>
      <w:marLeft w:val="0"/>
      <w:marRight w:val="0"/>
      <w:marTop w:val="0"/>
      <w:marBottom w:val="0"/>
      <w:divBdr>
        <w:top w:val="none" w:sz="0" w:space="0" w:color="auto"/>
        <w:left w:val="none" w:sz="0" w:space="0" w:color="auto"/>
        <w:bottom w:val="none" w:sz="0" w:space="0" w:color="auto"/>
        <w:right w:val="none" w:sz="0" w:space="0" w:color="auto"/>
      </w:divBdr>
    </w:div>
    <w:div w:id="747849352">
      <w:bodyDiv w:val="1"/>
      <w:marLeft w:val="0"/>
      <w:marRight w:val="0"/>
      <w:marTop w:val="0"/>
      <w:marBottom w:val="0"/>
      <w:divBdr>
        <w:top w:val="none" w:sz="0" w:space="0" w:color="auto"/>
        <w:left w:val="none" w:sz="0" w:space="0" w:color="auto"/>
        <w:bottom w:val="none" w:sz="0" w:space="0" w:color="auto"/>
        <w:right w:val="none" w:sz="0" w:space="0" w:color="auto"/>
      </w:divBdr>
    </w:div>
    <w:div w:id="761873384">
      <w:bodyDiv w:val="1"/>
      <w:marLeft w:val="0"/>
      <w:marRight w:val="0"/>
      <w:marTop w:val="0"/>
      <w:marBottom w:val="0"/>
      <w:divBdr>
        <w:top w:val="none" w:sz="0" w:space="0" w:color="auto"/>
        <w:left w:val="none" w:sz="0" w:space="0" w:color="auto"/>
        <w:bottom w:val="none" w:sz="0" w:space="0" w:color="auto"/>
        <w:right w:val="none" w:sz="0" w:space="0" w:color="auto"/>
      </w:divBdr>
    </w:div>
    <w:div w:id="803813095">
      <w:bodyDiv w:val="1"/>
      <w:marLeft w:val="0"/>
      <w:marRight w:val="0"/>
      <w:marTop w:val="0"/>
      <w:marBottom w:val="0"/>
      <w:divBdr>
        <w:top w:val="none" w:sz="0" w:space="0" w:color="auto"/>
        <w:left w:val="none" w:sz="0" w:space="0" w:color="auto"/>
        <w:bottom w:val="none" w:sz="0" w:space="0" w:color="auto"/>
        <w:right w:val="none" w:sz="0" w:space="0" w:color="auto"/>
      </w:divBdr>
    </w:div>
    <w:div w:id="812987752">
      <w:bodyDiv w:val="1"/>
      <w:marLeft w:val="0"/>
      <w:marRight w:val="0"/>
      <w:marTop w:val="0"/>
      <w:marBottom w:val="0"/>
      <w:divBdr>
        <w:top w:val="none" w:sz="0" w:space="0" w:color="auto"/>
        <w:left w:val="none" w:sz="0" w:space="0" w:color="auto"/>
        <w:bottom w:val="none" w:sz="0" w:space="0" w:color="auto"/>
        <w:right w:val="none" w:sz="0" w:space="0" w:color="auto"/>
      </w:divBdr>
    </w:div>
    <w:div w:id="838928866">
      <w:bodyDiv w:val="1"/>
      <w:marLeft w:val="0"/>
      <w:marRight w:val="0"/>
      <w:marTop w:val="0"/>
      <w:marBottom w:val="0"/>
      <w:divBdr>
        <w:top w:val="none" w:sz="0" w:space="0" w:color="auto"/>
        <w:left w:val="none" w:sz="0" w:space="0" w:color="auto"/>
        <w:bottom w:val="none" w:sz="0" w:space="0" w:color="auto"/>
        <w:right w:val="none" w:sz="0" w:space="0" w:color="auto"/>
      </w:divBdr>
    </w:div>
    <w:div w:id="909733801">
      <w:bodyDiv w:val="1"/>
      <w:marLeft w:val="0"/>
      <w:marRight w:val="0"/>
      <w:marTop w:val="0"/>
      <w:marBottom w:val="0"/>
      <w:divBdr>
        <w:top w:val="none" w:sz="0" w:space="0" w:color="auto"/>
        <w:left w:val="none" w:sz="0" w:space="0" w:color="auto"/>
        <w:bottom w:val="none" w:sz="0" w:space="0" w:color="auto"/>
        <w:right w:val="none" w:sz="0" w:space="0" w:color="auto"/>
      </w:divBdr>
    </w:div>
    <w:div w:id="951934023">
      <w:bodyDiv w:val="1"/>
      <w:marLeft w:val="0"/>
      <w:marRight w:val="0"/>
      <w:marTop w:val="0"/>
      <w:marBottom w:val="0"/>
      <w:divBdr>
        <w:top w:val="none" w:sz="0" w:space="0" w:color="auto"/>
        <w:left w:val="none" w:sz="0" w:space="0" w:color="auto"/>
        <w:bottom w:val="none" w:sz="0" w:space="0" w:color="auto"/>
        <w:right w:val="none" w:sz="0" w:space="0" w:color="auto"/>
      </w:divBdr>
    </w:div>
    <w:div w:id="1041831440">
      <w:bodyDiv w:val="1"/>
      <w:marLeft w:val="0"/>
      <w:marRight w:val="0"/>
      <w:marTop w:val="0"/>
      <w:marBottom w:val="0"/>
      <w:divBdr>
        <w:top w:val="none" w:sz="0" w:space="0" w:color="auto"/>
        <w:left w:val="none" w:sz="0" w:space="0" w:color="auto"/>
        <w:bottom w:val="none" w:sz="0" w:space="0" w:color="auto"/>
        <w:right w:val="none" w:sz="0" w:space="0" w:color="auto"/>
      </w:divBdr>
    </w:div>
    <w:div w:id="1060254593">
      <w:bodyDiv w:val="1"/>
      <w:marLeft w:val="0"/>
      <w:marRight w:val="0"/>
      <w:marTop w:val="0"/>
      <w:marBottom w:val="0"/>
      <w:divBdr>
        <w:top w:val="none" w:sz="0" w:space="0" w:color="auto"/>
        <w:left w:val="none" w:sz="0" w:space="0" w:color="auto"/>
        <w:bottom w:val="none" w:sz="0" w:space="0" w:color="auto"/>
        <w:right w:val="none" w:sz="0" w:space="0" w:color="auto"/>
      </w:divBdr>
    </w:div>
    <w:div w:id="1082029454">
      <w:bodyDiv w:val="1"/>
      <w:marLeft w:val="0"/>
      <w:marRight w:val="0"/>
      <w:marTop w:val="0"/>
      <w:marBottom w:val="0"/>
      <w:divBdr>
        <w:top w:val="none" w:sz="0" w:space="0" w:color="auto"/>
        <w:left w:val="none" w:sz="0" w:space="0" w:color="auto"/>
        <w:bottom w:val="none" w:sz="0" w:space="0" w:color="auto"/>
        <w:right w:val="none" w:sz="0" w:space="0" w:color="auto"/>
      </w:divBdr>
    </w:div>
    <w:div w:id="1148403148">
      <w:bodyDiv w:val="1"/>
      <w:marLeft w:val="0"/>
      <w:marRight w:val="0"/>
      <w:marTop w:val="0"/>
      <w:marBottom w:val="0"/>
      <w:divBdr>
        <w:top w:val="none" w:sz="0" w:space="0" w:color="auto"/>
        <w:left w:val="none" w:sz="0" w:space="0" w:color="auto"/>
        <w:bottom w:val="none" w:sz="0" w:space="0" w:color="auto"/>
        <w:right w:val="none" w:sz="0" w:space="0" w:color="auto"/>
      </w:divBdr>
    </w:div>
    <w:div w:id="1192111253">
      <w:bodyDiv w:val="1"/>
      <w:marLeft w:val="0"/>
      <w:marRight w:val="0"/>
      <w:marTop w:val="0"/>
      <w:marBottom w:val="0"/>
      <w:divBdr>
        <w:top w:val="none" w:sz="0" w:space="0" w:color="auto"/>
        <w:left w:val="none" w:sz="0" w:space="0" w:color="auto"/>
        <w:bottom w:val="none" w:sz="0" w:space="0" w:color="auto"/>
        <w:right w:val="none" w:sz="0" w:space="0" w:color="auto"/>
      </w:divBdr>
    </w:div>
    <w:div w:id="1211457606">
      <w:bodyDiv w:val="1"/>
      <w:marLeft w:val="0"/>
      <w:marRight w:val="0"/>
      <w:marTop w:val="0"/>
      <w:marBottom w:val="0"/>
      <w:divBdr>
        <w:top w:val="none" w:sz="0" w:space="0" w:color="auto"/>
        <w:left w:val="none" w:sz="0" w:space="0" w:color="auto"/>
        <w:bottom w:val="none" w:sz="0" w:space="0" w:color="auto"/>
        <w:right w:val="none" w:sz="0" w:space="0" w:color="auto"/>
      </w:divBdr>
    </w:div>
    <w:div w:id="1218735636">
      <w:bodyDiv w:val="1"/>
      <w:marLeft w:val="0"/>
      <w:marRight w:val="0"/>
      <w:marTop w:val="0"/>
      <w:marBottom w:val="0"/>
      <w:divBdr>
        <w:top w:val="none" w:sz="0" w:space="0" w:color="auto"/>
        <w:left w:val="none" w:sz="0" w:space="0" w:color="auto"/>
        <w:bottom w:val="none" w:sz="0" w:space="0" w:color="auto"/>
        <w:right w:val="none" w:sz="0" w:space="0" w:color="auto"/>
      </w:divBdr>
    </w:div>
    <w:div w:id="1238905159">
      <w:bodyDiv w:val="1"/>
      <w:marLeft w:val="0"/>
      <w:marRight w:val="0"/>
      <w:marTop w:val="0"/>
      <w:marBottom w:val="0"/>
      <w:divBdr>
        <w:top w:val="none" w:sz="0" w:space="0" w:color="auto"/>
        <w:left w:val="none" w:sz="0" w:space="0" w:color="auto"/>
        <w:bottom w:val="none" w:sz="0" w:space="0" w:color="auto"/>
        <w:right w:val="none" w:sz="0" w:space="0" w:color="auto"/>
      </w:divBdr>
    </w:div>
    <w:div w:id="1268852951">
      <w:bodyDiv w:val="1"/>
      <w:marLeft w:val="0"/>
      <w:marRight w:val="0"/>
      <w:marTop w:val="0"/>
      <w:marBottom w:val="0"/>
      <w:divBdr>
        <w:top w:val="none" w:sz="0" w:space="0" w:color="auto"/>
        <w:left w:val="none" w:sz="0" w:space="0" w:color="auto"/>
        <w:bottom w:val="none" w:sz="0" w:space="0" w:color="auto"/>
        <w:right w:val="none" w:sz="0" w:space="0" w:color="auto"/>
      </w:divBdr>
    </w:div>
    <w:div w:id="1359042634">
      <w:bodyDiv w:val="1"/>
      <w:marLeft w:val="0"/>
      <w:marRight w:val="0"/>
      <w:marTop w:val="0"/>
      <w:marBottom w:val="0"/>
      <w:divBdr>
        <w:top w:val="none" w:sz="0" w:space="0" w:color="auto"/>
        <w:left w:val="none" w:sz="0" w:space="0" w:color="auto"/>
        <w:bottom w:val="none" w:sz="0" w:space="0" w:color="auto"/>
        <w:right w:val="none" w:sz="0" w:space="0" w:color="auto"/>
      </w:divBdr>
    </w:div>
    <w:div w:id="1369180234">
      <w:bodyDiv w:val="1"/>
      <w:marLeft w:val="0"/>
      <w:marRight w:val="0"/>
      <w:marTop w:val="0"/>
      <w:marBottom w:val="0"/>
      <w:divBdr>
        <w:top w:val="none" w:sz="0" w:space="0" w:color="auto"/>
        <w:left w:val="none" w:sz="0" w:space="0" w:color="auto"/>
        <w:bottom w:val="none" w:sz="0" w:space="0" w:color="auto"/>
        <w:right w:val="none" w:sz="0" w:space="0" w:color="auto"/>
      </w:divBdr>
    </w:div>
    <w:div w:id="1383217154">
      <w:bodyDiv w:val="1"/>
      <w:marLeft w:val="0"/>
      <w:marRight w:val="0"/>
      <w:marTop w:val="0"/>
      <w:marBottom w:val="0"/>
      <w:divBdr>
        <w:top w:val="none" w:sz="0" w:space="0" w:color="auto"/>
        <w:left w:val="none" w:sz="0" w:space="0" w:color="auto"/>
        <w:bottom w:val="none" w:sz="0" w:space="0" w:color="auto"/>
        <w:right w:val="none" w:sz="0" w:space="0" w:color="auto"/>
      </w:divBdr>
    </w:div>
    <w:div w:id="1425347565">
      <w:bodyDiv w:val="1"/>
      <w:marLeft w:val="0"/>
      <w:marRight w:val="0"/>
      <w:marTop w:val="0"/>
      <w:marBottom w:val="0"/>
      <w:divBdr>
        <w:top w:val="none" w:sz="0" w:space="0" w:color="auto"/>
        <w:left w:val="none" w:sz="0" w:space="0" w:color="auto"/>
        <w:bottom w:val="none" w:sz="0" w:space="0" w:color="auto"/>
        <w:right w:val="none" w:sz="0" w:space="0" w:color="auto"/>
      </w:divBdr>
    </w:div>
    <w:div w:id="1455248985">
      <w:bodyDiv w:val="1"/>
      <w:marLeft w:val="0"/>
      <w:marRight w:val="0"/>
      <w:marTop w:val="0"/>
      <w:marBottom w:val="0"/>
      <w:divBdr>
        <w:top w:val="none" w:sz="0" w:space="0" w:color="auto"/>
        <w:left w:val="none" w:sz="0" w:space="0" w:color="auto"/>
        <w:bottom w:val="none" w:sz="0" w:space="0" w:color="auto"/>
        <w:right w:val="none" w:sz="0" w:space="0" w:color="auto"/>
      </w:divBdr>
    </w:div>
    <w:div w:id="1473399500">
      <w:bodyDiv w:val="1"/>
      <w:marLeft w:val="0"/>
      <w:marRight w:val="0"/>
      <w:marTop w:val="0"/>
      <w:marBottom w:val="0"/>
      <w:divBdr>
        <w:top w:val="none" w:sz="0" w:space="0" w:color="auto"/>
        <w:left w:val="none" w:sz="0" w:space="0" w:color="auto"/>
        <w:bottom w:val="none" w:sz="0" w:space="0" w:color="auto"/>
        <w:right w:val="none" w:sz="0" w:space="0" w:color="auto"/>
      </w:divBdr>
    </w:div>
    <w:div w:id="1476341010">
      <w:bodyDiv w:val="1"/>
      <w:marLeft w:val="0"/>
      <w:marRight w:val="0"/>
      <w:marTop w:val="0"/>
      <w:marBottom w:val="0"/>
      <w:divBdr>
        <w:top w:val="none" w:sz="0" w:space="0" w:color="auto"/>
        <w:left w:val="none" w:sz="0" w:space="0" w:color="auto"/>
        <w:bottom w:val="none" w:sz="0" w:space="0" w:color="auto"/>
        <w:right w:val="none" w:sz="0" w:space="0" w:color="auto"/>
      </w:divBdr>
    </w:div>
    <w:div w:id="1560702662">
      <w:bodyDiv w:val="1"/>
      <w:marLeft w:val="0"/>
      <w:marRight w:val="0"/>
      <w:marTop w:val="0"/>
      <w:marBottom w:val="0"/>
      <w:divBdr>
        <w:top w:val="none" w:sz="0" w:space="0" w:color="auto"/>
        <w:left w:val="none" w:sz="0" w:space="0" w:color="auto"/>
        <w:bottom w:val="none" w:sz="0" w:space="0" w:color="auto"/>
        <w:right w:val="none" w:sz="0" w:space="0" w:color="auto"/>
      </w:divBdr>
    </w:div>
    <w:div w:id="1562398490">
      <w:bodyDiv w:val="1"/>
      <w:marLeft w:val="0"/>
      <w:marRight w:val="0"/>
      <w:marTop w:val="0"/>
      <w:marBottom w:val="0"/>
      <w:divBdr>
        <w:top w:val="none" w:sz="0" w:space="0" w:color="auto"/>
        <w:left w:val="none" w:sz="0" w:space="0" w:color="auto"/>
        <w:bottom w:val="none" w:sz="0" w:space="0" w:color="auto"/>
        <w:right w:val="none" w:sz="0" w:space="0" w:color="auto"/>
      </w:divBdr>
    </w:div>
    <w:div w:id="1620722672">
      <w:bodyDiv w:val="1"/>
      <w:marLeft w:val="0"/>
      <w:marRight w:val="0"/>
      <w:marTop w:val="0"/>
      <w:marBottom w:val="0"/>
      <w:divBdr>
        <w:top w:val="none" w:sz="0" w:space="0" w:color="auto"/>
        <w:left w:val="none" w:sz="0" w:space="0" w:color="auto"/>
        <w:bottom w:val="none" w:sz="0" w:space="0" w:color="auto"/>
        <w:right w:val="none" w:sz="0" w:space="0" w:color="auto"/>
      </w:divBdr>
    </w:div>
    <w:div w:id="1621834465">
      <w:bodyDiv w:val="1"/>
      <w:marLeft w:val="0"/>
      <w:marRight w:val="0"/>
      <w:marTop w:val="0"/>
      <w:marBottom w:val="0"/>
      <w:divBdr>
        <w:top w:val="none" w:sz="0" w:space="0" w:color="auto"/>
        <w:left w:val="none" w:sz="0" w:space="0" w:color="auto"/>
        <w:bottom w:val="none" w:sz="0" w:space="0" w:color="auto"/>
        <w:right w:val="none" w:sz="0" w:space="0" w:color="auto"/>
      </w:divBdr>
    </w:div>
    <w:div w:id="1641305601">
      <w:bodyDiv w:val="1"/>
      <w:marLeft w:val="0"/>
      <w:marRight w:val="0"/>
      <w:marTop w:val="0"/>
      <w:marBottom w:val="0"/>
      <w:divBdr>
        <w:top w:val="none" w:sz="0" w:space="0" w:color="auto"/>
        <w:left w:val="none" w:sz="0" w:space="0" w:color="auto"/>
        <w:bottom w:val="none" w:sz="0" w:space="0" w:color="auto"/>
        <w:right w:val="none" w:sz="0" w:space="0" w:color="auto"/>
      </w:divBdr>
    </w:div>
    <w:div w:id="1762026139">
      <w:bodyDiv w:val="1"/>
      <w:marLeft w:val="0"/>
      <w:marRight w:val="0"/>
      <w:marTop w:val="0"/>
      <w:marBottom w:val="0"/>
      <w:divBdr>
        <w:top w:val="none" w:sz="0" w:space="0" w:color="auto"/>
        <w:left w:val="none" w:sz="0" w:space="0" w:color="auto"/>
        <w:bottom w:val="none" w:sz="0" w:space="0" w:color="auto"/>
        <w:right w:val="none" w:sz="0" w:space="0" w:color="auto"/>
      </w:divBdr>
    </w:div>
    <w:div w:id="1786383758">
      <w:bodyDiv w:val="1"/>
      <w:marLeft w:val="0"/>
      <w:marRight w:val="0"/>
      <w:marTop w:val="0"/>
      <w:marBottom w:val="0"/>
      <w:divBdr>
        <w:top w:val="none" w:sz="0" w:space="0" w:color="auto"/>
        <w:left w:val="none" w:sz="0" w:space="0" w:color="auto"/>
        <w:bottom w:val="none" w:sz="0" w:space="0" w:color="auto"/>
        <w:right w:val="none" w:sz="0" w:space="0" w:color="auto"/>
      </w:divBdr>
    </w:div>
    <w:div w:id="1801918386">
      <w:bodyDiv w:val="1"/>
      <w:marLeft w:val="0"/>
      <w:marRight w:val="0"/>
      <w:marTop w:val="0"/>
      <w:marBottom w:val="0"/>
      <w:divBdr>
        <w:top w:val="none" w:sz="0" w:space="0" w:color="auto"/>
        <w:left w:val="none" w:sz="0" w:space="0" w:color="auto"/>
        <w:bottom w:val="none" w:sz="0" w:space="0" w:color="auto"/>
        <w:right w:val="none" w:sz="0" w:space="0" w:color="auto"/>
      </w:divBdr>
    </w:div>
    <w:div w:id="1870482242">
      <w:bodyDiv w:val="1"/>
      <w:marLeft w:val="0"/>
      <w:marRight w:val="0"/>
      <w:marTop w:val="0"/>
      <w:marBottom w:val="0"/>
      <w:divBdr>
        <w:top w:val="none" w:sz="0" w:space="0" w:color="auto"/>
        <w:left w:val="none" w:sz="0" w:space="0" w:color="auto"/>
        <w:bottom w:val="none" w:sz="0" w:space="0" w:color="auto"/>
        <w:right w:val="none" w:sz="0" w:space="0" w:color="auto"/>
      </w:divBdr>
    </w:div>
    <w:div w:id="1916890477">
      <w:bodyDiv w:val="1"/>
      <w:marLeft w:val="0"/>
      <w:marRight w:val="0"/>
      <w:marTop w:val="0"/>
      <w:marBottom w:val="0"/>
      <w:divBdr>
        <w:top w:val="none" w:sz="0" w:space="0" w:color="auto"/>
        <w:left w:val="none" w:sz="0" w:space="0" w:color="auto"/>
        <w:bottom w:val="none" w:sz="0" w:space="0" w:color="auto"/>
        <w:right w:val="none" w:sz="0" w:space="0" w:color="auto"/>
      </w:divBdr>
    </w:div>
    <w:div w:id="1937323632">
      <w:bodyDiv w:val="1"/>
      <w:marLeft w:val="0"/>
      <w:marRight w:val="0"/>
      <w:marTop w:val="0"/>
      <w:marBottom w:val="0"/>
      <w:divBdr>
        <w:top w:val="none" w:sz="0" w:space="0" w:color="auto"/>
        <w:left w:val="none" w:sz="0" w:space="0" w:color="auto"/>
        <w:bottom w:val="none" w:sz="0" w:space="0" w:color="auto"/>
        <w:right w:val="none" w:sz="0" w:space="0" w:color="auto"/>
      </w:divBdr>
    </w:div>
    <w:div w:id="1939368919">
      <w:bodyDiv w:val="1"/>
      <w:marLeft w:val="0"/>
      <w:marRight w:val="0"/>
      <w:marTop w:val="0"/>
      <w:marBottom w:val="0"/>
      <w:divBdr>
        <w:top w:val="none" w:sz="0" w:space="0" w:color="auto"/>
        <w:left w:val="none" w:sz="0" w:space="0" w:color="auto"/>
        <w:bottom w:val="none" w:sz="0" w:space="0" w:color="auto"/>
        <w:right w:val="none" w:sz="0" w:space="0" w:color="auto"/>
      </w:divBdr>
    </w:div>
    <w:div w:id="1940136238">
      <w:bodyDiv w:val="1"/>
      <w:marLeft w:val="0"/>
      <w:marRight w:val="0"/>
      <w:marTop w:val="0"/>
      <w:marBottom w:val="0"/>
      <w:divBdr>
        <w:top w:val="none" w:sz="0" w:space="0" w:color="auto"/>
        <w:left w:val="none" w:sz="0" w:space="0" w:color="auto"/>
        <w:bottom w:val="none" w:sz="0" w:space="0" w:color="auto"/>
        <w:right w:val="none" w:sz="0" w:space="0" w:color="auto"/>
      </w:divBdr>
    </w:div>
    <w:div w:id="1970360908">
      <w:bodyDiv w:val="1"/>
      <w:marLeft w:val="0"/>
      <w:marRight w:val="0"/>
      <w:marTop w:val="0"/>
      <w:marBottom w:val="0"/>
      <w:divBdr>
        <w:top w:val="none" w:sz="0" w:space="0" w:color="auto"/>
        <w:left w:val="none" w:sz="0" w:space="0" w:color="auto"/>
        <w:bottom w:val="none" w:sz="0" w:space="0" w:color="auto"/>
        <w:right w:val="none" w:sz="0" w:space="0" w:color="auto"/>
      </w:divBdr>
    </w:div>
    <w:div w:id="1986661790">
      <w:bodyDiv w:val="1"/>
      <w:marLeft w:val="0"/>
      <w:marRight w:val="0"/>
      <w:marTop w:val="0"/>
      <w:marBottom w:val="0"/>
      <w:divBdr>
        <w:top w:val="none" w:sz="0" w:space="0" w:color="auto"/>
        <w:left w:val="none" w:sz="0" w:space="0" w:color="auto"/>
        <w:bottom w:val="none" w:sz="0" w:space="0" w:color="auto"/>
        <w:right w:val="none" w:sz="0" w:space="0" w:color="auto"/>
      </w:divBdr>
    </w:div>
    <w:div w:id="2002730006">
      <w:bodyDiv w:val="1"/>
      <w:marLeft w:val="0"/>
      <w:marRight w:val="0"/>
      <w:marTop w:val="0"/>
      <w:marBottom w:val="0"/>
      <w:divBdr>
        <w:top w:val="none" w:sz="0" w:space="0" w:color="auto"/>
        <w:left w:val="none" w:sz="0" w:space="0" w:color="auto"/>
        <w:bottom w:val="none" w:sz="0" w:space="0" w:color="auto"/>
        <w:right w:val="none" w:sz="0" w:space="0" w:color="auto"/>
      </w:divBdr>
    </w:div>
    <w:div w:id="2031451029">
      <w:bodyDiv w:val="1"/>
      <w:marLeft w:val="0"/>
      <w:marRight w:val="0"/>
      <w:marTop w:val="0"/>
      <w:marBottom w:val="0"/>
      <w:divBdr>
        <w:top w:val="none" w:sz="0" w:space="0" w:color="auto"/>
        <w:left w:val="none" w:sz="0" w:space="0" w:color="auto"/>
        <w:bottom w:val="none" w:sz="0" w:space="0" w:color="auto"/>
        <w:right w:val="none" w:sz="0" w:space="0" w:color="auto"/>
      </w:divBdr>
    </w:div>
    <w:div w:id="2032484708">
      <w:bodyDiv w:val="1"/>
      <w:marLeft w:val="0"/>
      <w:marRight w:val="0"/>
      <w:marTop w:val="0"/>
      <w:marBottom w:val="0"/>
      <w:divBdr>
        <w:top w:val="none" w:sz="0" w:space="0" w:color="auto"/>
        <w:left w:val="none" w:sz="0" w:space="0" w:color="auto"/>
        <w:bottom w:val="none" w:sz="0" w:space="0" w:color="auto"/>
        <w:right w:val="none" w:sz="0" w:space="0" w:color="auto"/>
      </w:divBdr>
    </w:div>
    <w:div w:id="2033410599">
      <w:bodyDiv w:val="1"/>
      <w:marLeft w:val="0"/>
      <w:marRight w:val="0"/>
      <w:marTop w:val="0"/>
      <w:marBottom w:val="0"/>
      <w:divBdr>
        <w:top w:val="none" w:sz="0" w:space="0" w:color="auto"/>
        <w:left w:val="none" w:sz="0" w:space="0" w:color="auto"/>
        <w:bottom w:val="none" w:sz="0" w:space="0" w:color="auto"/>
        <w:right w:val="none" w:sz="0" w:space="0" w:color="auto"/>
      </w:divBdr>
    </w:div>
    <w:div w:id="2049184573">
      <w:bodyDiv w:val="1"/>
      <w:marLeft w:val="0"/>
      <w:marRight w:val="0"/>
      <w:marTop w:val="0"/>
      <w:marBottom w:val="0"/>
      <w:divBdr>
        <w:top w:val="none" w:sz="0" w:space="0" w:color="auto"/>
        <w:left w:val="none" w:sz="0" w:space="0" w:color="auto"/>
        <w:bottom w:val="none" w:sz="0" w:space="0" w:color="auto"/>
        <w:right w:val="none" w:sz="0" w:space="0" w:color="auto"/>
      </w:divBdr>
    </w:div>
    <w:div w:id="2068019903">
      <w:bodyDiv w:val="1"/>
      <w:marLeft w:val="0"/>
      <w:marRight w:val="0"/>
      <w:marTop w:val="0"/>
      <w:marBottom w:val="0"/>
      <w:divBdr>
        <w:top w:val="none" w:sz="0" w:space="0" w:color="auto"/>
        <w:left w:val="none" w:sz="0" w:space="0" w:color="auto"/>
        <w:bottom w:val="none" w:sz="0" w:space="0" w:color="auto"/>
        <w:right w:val="none" w:sz="0" w:space="0" w:color="auto"/>
      </w:divBdr>
    </w:div>
    <w:div w:id="2073843610">
      <w:bodyDiv w:val="1"/>
      <w:marLeft w:val="0"/>
      <w:marRight w:val="0"/>
      <w:marTop w:val="0"/>
      <w:marBottom w:val="0"/>
      <w:divBdr>
        <w:top w:val="none" w:sz="0" w:space="0" w:color="auto"/>
        <w:left w:val="none" w:sz="0" w:space="0" w:color="auto"/>
        <w:bottom w:val="none" w:sz="0" w:space="0" w:color="auto"/>
        <w:right w:val="none" w:sz="0" w:space="0" w:color="auto"/>
      </w:divBdr>
    </w:div>
    <w:div w:id="2076278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JUL23</b:Tag>
    <b:SourceType>InternetSite</b:SourceType>
    <b:Guid>{C650BC5D-F9B9-4609-B64E-C52F670C54F3}</b:Guid>
    <b:Title>Payback Period Explained, With the Formula and How to Calculate It</b:Title>
    <b:Year>2023</b:Year>
    <b:Author>
      <b:Author>
        <b:NameList>
          <b:Person>
            <b:Last>KAGAN</b:Last>
            <b:First>JULIA</b:First>
          </b:Person>
        </b:NameList>
      </b:Author>
    </b:Author>
    <b:YearAccessed>2023</b:YearAccessed>
    <b:MonthAccessed>4</b:MonthAccessed>
    <b:DayAccessed>20</b:DayAccessed>
    <b:URL>https://www.investopedia.com/terms/p/paybackperiod.asp</b:URL>
    <b:RefOrder>1</b:RefOrder>
  </b:Source>
  <b:Source>
    <b:Tag>JAS23</b:Tag>
    <b:SourceType>InternetSite</b:SourceType>
    <b:Guid>{5C956863-828F-465F-8CB6-4B6FB5103C4B}</b:Guid>
    <b:Title>Net Present Value (NPV): What It Means and Steps to Calculate It</b:Title>
    <b:Year>2023</b:Year>
    <b:Author>
      <b:Author>
        <b:NameList>
          <b:Person>
            <b:Last>FERNANDO</b:Last>
            <b:First>JASON</b:First>
          </b:Person>
        </b:NameList>
      </b:Author>
    </b:Author>
    <b:YearAccessed>2023</b:YearAccessed>
    <b:MonthAccessed>4</b:MonthAccessed>
    <b:DayAccessed>20</b:DayAccessed>
    <b:URL>https://www.investopedia.com/terms/n/npv.asp</b:URL>
    <b:RefOrder>2</b:RefOrder>
  </b:Source>
  <b:Source>
    <b:Tag>JAS231</b:Tag>
    <b:SourceType>InternetSite</b:SourceType>
    <b:Guid>{9FE3410F-FF85-4AC1-96FE-35B3A047CDD6}</b:Guid>
    <b:Author>
      <b:Author>
        <b:NameList>
          <b:Person>
            <b:Last>FERNANDO</b:Last>
            <b:First>JASON</b:First>
          </b:Person>
        </b:NameList>
      </b:Author>
    </b:Author>
    <b:Title>Internal Rate of Return (IRR) Rule: Definition and Example</b:Title>
    <b:Year>2023</b:Year>
    <b:YearAccessed>2023</b:YearAccessed>
    <b:MonthAccessed>4</b:MonthAccessed>
    <b:DayAccessed>20</b:DayAccessed>
    <b:URL>https://www.investopedia.com/terms/i/irr.asp</b:URL>
    <b:RefOrder>3</b:RefOrder>
  </b:Source>
  <b:Source>
    <b:Tag>CFI23</b:Tag>
    <b:SourceType>InternetSite</b:SourceType>
    <b:Guid>{F1E272E4-D5C5-43C9-8C64-71582C88C5A5}</b:Guid>
    <b:Author>
      <b:Author>
        <b:NameList>
          <b:Person>
            <b:Last>Team</b:Last>
            <b:First>CFI</b:First>
          </b:Person>
        </b:NameList>
      </b:Author>
    </b:Author>
    <b:Title>Profitability Index</b:Title>
    <b:Year>2023</b:Year>
    <b:YearAccessed>2023</b:YearAccessed>
    <b:MonthAccessed>4</b:MonthAccessed>
    <b:DayAccessed>20</b:DayAccessed>
    <b:URL>https://corporatefinanceinstitute.com/resources/accounting/profitability-index/</b:URL>
    <b:RefOrder>4</b:RefOrder>
  </b:Source>
  <b:Source>
    <b:Tag>ADA22</b:Tag>
    <b:SourceType>InternetSite</b:SourceType>
    <b:Guid>{BD19D502-6926-4212-B22E-7C479BFCECEE}</b:Guid>
    <b:Author>
      <b:Author>
        <b:NameList>
          <b:Person>
            <b:Last>HAYES</b:Last>
            <b:First>ADAM</b:First>
          </b:Person>
        </b:NameList>
      </b:Author>
    </b:Author>
    <b:Title>Benefit-Cost Ratio (BCR): Definition, Formula, and Example</b:Title>
    <b:Year>2022</b:Year>
    <b:YearAccessed>2023</b:YearAccessed>
    <b:MonthAccessed>4</b:MonthAccessed>
    <b:DayAccessed>20</b:DayAccessed>
    <b:URL>https://www.investopedia.com/terms/b/bcr.asp</b:URL>
    <b:RefOrder>5</b:RefOrder>
  </b:Source>
  <b:Source>
    <b:Tag>CHR22</b:Tag>
    <b:SourceType>InternetSite</b:SourceType>
    <b:Guid>{6871E939-C878-4169-B42B-5EE5086F4C30}</b:Guid>
    <b:Author>
      <b:Author>
        <b:NameList>
          <b:Person>
            <b:Last>MURPHY</b:Last>
            <b:First>CHRIS</b:First>
            <b:Middle>B.</b:Middle>
          </b:Person>
        </b:NameList>
      </b:Author>
    </b:Author>
    <b:Title>Accounting Rate of Return (ARR): Definition, How to Calculate, and Example</b:Title>
    <b:Year>2022</b:Year>
    <b:YearAccessed>2023</b:YearAccessed>
    <b:MonthAccessed>4</b:MonthAccessed>
    <b:DayAccessed>20</b:DayAccessed>
    <b:URL>https://www.investopedia.com/terms/a/arr.asp</b:URL>
    <b:RefOrder>6</b:RefOrder>
  </b:Source>
  <b:Source>
    <b:Tag>EIB21</b:Tag>
    <b:SourceType>InternetSite</b:SourceType>
    <b:Guid>{324431BA-1FF2-4B1E-A65D-7BB3DCBEEC59}</b:Guid>
    <b:Title>France: Safran signs €500 million loan agreement with EIB to finance research on future aircraft propulsion systems</b:Title>
    <b:Year>2021</b:Year>
    <b:Author>
      <b:Author>
        <b:NameList>
          <b:Person>
            <b:Last>EIB</b:Last>
          </b:Person>
        </b:NameList>
      </b:Author>
    </b:Author>
    <b:YearAccessed>2023</b:YearAccessed>
    <b:MonthAccessed>4</b:MonthAccessed>
    <b:DayAccessed>22</b:DayAccessed>
    <b:URL>https://www.eib.org/en/press/all/2021-082-safran-signs-eur500-million-loan-agreement-with-european-investment-bank-to-finance-research-on-future-aircraft-propulsion-systems</b:URL>
    <b:RefOrder>8</b:RefOrder>
  </b:Source>
  <b:Source>
    <b:Tag>Mel19</b:Tag>
    <b:SourceType>Book</b:SourceType>
    <b:Guid>{39E0B4DD-0779-4ABE-AA96-6E6F0AC8720E}</b:Guid>
    <b:Author>
      <b:Author>
        <b:NameList>
          <b:Person>
            <b:Last>Mellssa A.Schilling</b:Last>
            <b:First>Ph.D</b:First>
          </b:Person>
        </b:NameList>
      </b:Author>
    </b:Author>
    <b:Title>Strategic Managment of Technological Innovation</b:Title>
    <b:Year>2019</b:Year>
    <b:Publisher>McGraw Hill</b:Publisher>
    <b:RefOrder>7</b:RefOrder>
  </b:Source>
</b:Sources>
</file>

<file path=customXml/itemProps1.xml><?xml version="1.0" encoding="utf-8"?>
<ds:datastoreItem xmlns:ds="http://schemas.openxmlformats.org/officeDocument/2006/customXml" ds:itemID="{DB39647A-A967-41A7-866F-0E5433247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2057</Words>
  <Characters>11725</Characters>
  <Application>Microsoft Office Word</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Price</dc:creator>
  <cp:keywords/>
  <dc:description/>
  <cp:lastModifiedBy>PRICE Lee (SAFRAN SEATS)</cp:lastModifiedBy>
  <cp:revision>2</cp:revision>
  <cp:lastPrinted>2023-05-11T16:56:00Z</cp:lastPrinted>
  <dcterms:created xsi:type="dcterms:W3CDTF">2023-05-29T09:21:00Z</dcterms:created>
  <dcterms:modified xsi:type="dcterms:W3CDTF">2023-05-29T09:21:00Z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2023-05-29T09:21:29Z</vt:lpwstr>
  </property>
  <property fmtid="{D5CDD505-2E9C-101B-9397-08002B2CF9AE}" pid="4" name="MSIP_Label_024ffcea-f25b-491e-9dc9-834516f3550e_Method">
    <vt:lpwstr>Standard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c39d9925-09ae-4c9b-a4ec-c16dab79c72c</vt:lpwstr>
  </property>
  <property fmtid="{D5CDD505-2E9C-101B-9397-08002B2CF9AE}" pid="8" name="MSIP_Label_024ffcea-f25b-491e-9dc9-834516f3550e_ContentBits">
    <vt:lpwstr>1</vt:lpwstr>
  </property>
</Properties>
</file>