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30B07" w14:textId="73B2F526" w:rsidR="007B7EBD" w:rsidRDefault="00454489">
      <w:pPr>
        <w:jc w:val="center"/>
        <w:rPr>
          <w:b/>
          <w:sz w:val="32"/>
          <w:szCs w:val="32"/>
        </w:rPr>
      </w:pPr>
      <w:r>
        <w:rPr>
          <w:b/>
          <w:sz w:val="32"/>
          <w:szCs w:val="32"/>
        </w:rPr>
        <w:t>Hasena khatun :2127944</w:t>
      </w:r>
    </w:p>
    <w:p w14:paraId="3373B4E2" w14:textId="7581381A" w:rsidR="00454489" w:rsidRDefault="00454489">
      <w:pPr>
        <w:jc w:val="center"/>
        <w:rPr>
          <w:b/>
          <w:sz w:val="32"/>
          <w:szCs w:val="32"/>
        </w:rPr>
      </w:pPr>
      <w:r>
        <w:rPr>
          <w:b/>
          <w:sz w:val="32"/>
          <w:szCs w:val="32"/>
        </w:rPr>
        <w:t>Lecturer: Donna Holder</w:t>
      </w:r>
    </w:p>
    <w:p w14:paraId="04A77D66" w14:textId="77777777" w:rsidR="007B7EBD" w:rsidRDefault="007B7EBD">
      <w:pPr>
        <w:jc w:val="center"/>
        <w:rPr>
          <w:b/>
          <w:sz w:val="32"/>
          <w:szCs w:val="32"/>
        </w:rPr>
      </w:pPr>
    </w:p>
    <w:p w14:paraId="2ECB5514" w14:textId="77777777" w:rsidR="007B7EBD" w:rsidRDefault="007B7EBD">
      <w:pPr>
        <w:jc w:val="center"/>
        <w:rPr>
          <w:b/>
          <w:sz w:val="32"/>
          <w:szCs w:val="32"/>
        </w:rPr>
      </w:pPr>
    </w:p>
    <w:p w14:paraId="0DB7CEC8" w14:textId="77777777" w:rsidR="007B7EBD" w:rsidRDefault="007B7EBD">
      <w:pPr>
        <w:jc w:val="center"/>
        <w:rPr>
          <w:b/>
          <w:sz w:val="32"/>
          <w:szCs w:val="32"/>
        </w:rPr>
      </w:pPr>
    </w:p>
    <w:p w14:paraId="796A250E" w14:textId="77777777" w:rsidR="007B7EBD" w:rsidRDefault="007B7EBD">
      <w:pPr>
        <w:jc w:val="center"/>
        <w:rPr>
          <w:b/>
          <w:sz w:val="32"/>
          <w:szCs w:val="32"/>
        </w:rPr>
      </w:pPr>
    </w:p>
    <w:p w14:paraId="7911D4B7" w14:textId="77777777" w:rsidR="007B7EBD" w:rsidRDefault="007B7EBD">
      <w:pPr>
        <w:jc w:val="center"/>
        <w:rPr>
          <w:b/>
          <w:sz w:val="32"/>
          <w:szCs w:val="32"/>
        </w:rPr>
      </w:pPr>
    </w:p>
    <w:p w14:paraId="5ACC9911" w14:textId="77777777" w:rsidR="007B7EBD" w:rsidRDefault="007B7EBD">
      <w:pPr>
        <w:jc w:val="center"/>
        <w:rPr>
          <w:b/>
          <w:sz w:val="32"/>
          <w:szCs w:val="32"/>
        </w:rPr>
      </w:pPr>
    </w:p>
    <w:p w14:paraId="36AD8246" w14:textId="77777777" w:rsidR="007B7EBD" w:rsidRDefault="007B7EBD">
      <w:pPr>
        <w:jc w:val="center"/>
        <w:rPr>
          <w:b/>
          <w:sz w:val="32"/>
          <w:szCs w:val="32"/>
        </w:rPr>
      </w:pPr>
    </w:p>
    <w:p w14:paraId="6D4C65C6" w14:textId="77777777" w:rsidR="007B7EBD" w:rsidRDefault="007B7EBD">
      <w:pPr>
        <w:jc w:val="center"/>
        <w:rPr>
          <w:b/>
          <w:sz w:val="32"/>
          <w:szCs w:val="32"/>
        </w:rPr>
      </w:pPr>
    </w:p>
    <w:p w14:paraId="5DAD20E1" w14:textId="77777777" w:rsidR="007B7EBD" w:rsidRDefault="007B7EBD">
      <w:pPr>
        <w:jc w:val="center"/>
        <w:rPr>
          <w:b/>
          <w:sz w:val="32"/>
          <w:szCs w:val="32"/>
        </w:rPr>
      </w:pPr>
    </w:p>
    <w:p w14:paraId="23441F61" w14:textId="77777777" w:rsidR="007B7EBD" w:rsidRDefault="007B7EBD">
      <w:pPr>
        <w:jc w:val="center"/>
        <w:rPr>
          <w:b/>
          <w:sz w:val="32"/>
          <w:szCs w:val="32"/>
        </w:rPr>
      </w:pPr>
    </w:p>
    <w:p w14:paraId="1C2077F9" w14:textId="77777777" w:rsidR="007B7EBD" w:rsidRDefault="007B7EBD">
      <w:pPr>
        <w:jc w:val="center"/>
        <w:rPr>
          <w:b/>
          <w:sz w:val="32"/>
          <w:szCs w:val="32"/>
        </w:rPr>
      </w:pPr>
    </w:p>
    <w:p w14:paraId="4139F092" w14:textId="77777777" w:rsidR="007B7EBD" w:rsidRDefault="007B7EBD">
      <w:pPr>
        <w:jc w:val="center"/>
        <w:rPr>
          <w:b/>
          <w:sz w:val="32"/>
          <w:szCs w:val="32"/>
        </w:rPr>
      </w:pPr>
    </w:p>
    <w:p w14:paraId="2BBF23C8" w14:textId="77777777" w:rsidR="007B7EBD" w:rsidRDefault="007B7EBD">
      <w:pPr>
        <w:jc w:val="center"/>
        <w:rPr>
          <w:b/>
          <w:sz w:val="32"/>
          <w:szCs w:val="32"/>
        </w:rPr>
      </w:pPr>
    </w:p>
    <w:p w14:paraId="00000001" w14:textId="66CEEF4C" w:rsidR="00094877" w:rsidRDefault="007B7EBD">
      <w:pPr>
        <w:jc w:val="center"/>
        <w:rPr>
          <w:b/>
          <w:sz w:val="32"/>
          <w:szCs w:val="32"/>
        </w:rPr>
      </w:pPr>
      <w:r>
        <w:rPr>
          <w:b/>
          <w:sz w:val="32"/>
          <w:szCs w:val="32"/>
        </w:rPr>
        <w:t>PSYCHOLOGY IN HEALTH AND SOCIAL CARE</w:t>
      </w:r>
    </w:p>
    <w:p w14:paraId="00000002" w14:textId="77777777" w:rsidR="00094877" w:rsidRDefault="006133DD">
      <w:pPr>
        <w:jc w:val="center"/>
        <w:rPr>
          <w:b/>
          <w:sz w:val="32"/>
          <w:szCs w:val="32"/>
        </w:rPr>
      </w:pPr>
      <w:r>
        <w:br w:type="page"/>
      </w:r>
    </w:p>
    <w:sdt>
      <w:sdtPr>
        <w:rPr>
          <w:rFonts w:ascii="Arial" w:eastAsia="Arial" w:hAnsi="Arial" w:cs="Arial"/>
          <w:color w:val="auto"/>
          <w:sz w:val="22"/>
          <w:szCs w:val="22"/>
          <w:lang w:val="en"/>
        </w:rPr>
        <w:id w:val="94144752"/>
        <w:docPartObj>
          <w:docPartGallery w:val="Table of Contents"/>
          <w:docPartUnique/>
        </w:docPartObj>
      </w:sdtPr>
      <w:sdtEndPr>
        <w:rPr>
          <w:b/>
          <w:bCs/>
          <w:noProof/>
        </w:rPr>
      </w:sdtEndPr>
      <w:sdtContent>
        <w:p w14:paraId="7DCAC410" w14:textId="4774D3A5" w:rsidR="007B7EBD" w:rsidRPr="007B7EBD" w:rsidRDefault="007B7EBD" w:rsidP="007B7EBD">
          <w:pPr>
            <w:pStyle w:val="TOCHeading"/>
            <w:jc w:val="center"/>
            <w:rPr>
              <w:rFonts w:ascii="Arial" w:hAnsi="Arial" w:cs="Arial"/>
              <w:b/>
              <w:bCs/>
              <w:color w:val="auto"/>
            </w:rPr>
          </w:pPr>
          <w:r w:rsidRPr="007B7EBD">
            <w:rPr>
              <w:rFonts w:ascii="Arial" w:hAnsi="Arial" w:cs="Arial"/>
              <w:b/>
              <w:bCs/>
              <w:color w:val="auto"/>
            </w:rPr>
            <w:t>Table of Contents</w:t>
          </w:r>
        </w:p>
        <w:p w14:paraId="0D1DF4F4" w14:textId="6480848B" w:rsidR="007B7EBD" w:rsidRPr="007B7EBD" w:rsidRDefault="007B7EBD">
          <w:pPr>
            <w:pStyle w:val="TOC1"/>
            <w:tabs>
              <w:tab w:val="right" w:leader="dot" w:pos="9350"/>
            </w:tabs>
            <w:rPr>
              <w:noProof/>
              <w:sz w:val="24"/>
              <w:szCs w:val="24"/>
            </w:rPr>
          </w:pPr>
          <w:r w:rsidRPr="007B7EBD">
            <w:rPr>
              <w:sz w:val="24"/>
              <w:szCs w:val="24"/>
            </w:rPr>
            <w:fldChar w:fldCharType="begin"/>
          </w:r>
          <w:r w:rsidRPr="007B7EBD">
            <w:rPr>
              <w:sz w:val="24"/>
              <w:szCs w:val="24"/>
            </w:rPr>
            <w:instrText xml:space="preserve"> TOC \o "1-3" \h \z \u </w:instrText>
          </w:r>
          <w:r w:rsidRPr="007B7EBD">
            <w:rPr>
              <w:sz w:val="24"/>
              <w:szCs w:val="24"/>
            </w:rPr>
            <w:fldChar w:fldCharType="separate"/>
          </w:r>
          <w:hyperlink w:anchor="_Toc127630455" w:history="1">
            <w:r w:rsidRPr="007B7EBD">
              <w:rPr>
                <w:rStyle w:val="Hyperlink"/>
                <w:noProof/>
                <w:sz w:val="24"/>
                <w:szCs w:val="24"/>
              </w:rPr>
              <w:t>Task 1</w:t>
            </w:r>
            <w:r w:rsidRPr="007B7EBD">
              <w:rPr>
                <w:noProof/>
                <w:webHidden/>
                <w:sz w:val="24"/>
                <w:szCs w:val="24"/>
              </w:rPr>
              <w:tab/>
            </w:r>
            <w:r w:rsidRPr="007B7EBD">
              <w:rPr>
                <w:noProof/>
                <w:webHidden/>
                <w:sz w:val="24"/>
                <w:szCs w:val="24"/>
              </w:rPr>
              <w:fldChar w:fldCharType="begin"/>
            </w:r>
            <w:r w:rsidRPr="007B7EBD">
              <w:rPr>
                <w:noProof/>
                <w:webHidden/>
                <w:sz w:val="24"/>
                <w:szCs w:val="24"/>
              </w:rPr>
              <w:instrText xml:space="preserve"> PAGEREF _Toc127630455 \h </w:instrText>
            </w:r>
            <w:r w:rsidRPr="007B7EBD">
              <w:rPr>
                <w:noProof/>
                <w:webHidden/>
                <w:sz w:val="24"/>
                <w:szCs w:val="24"/>
              </w:rPr>
            </w:r>
            <w:r w:rsidRPr="007B7EBD">
              <w:rPr>
                <w:noProof/>
                <w:webHidden/>
                <w:sz w:val="24"/>
                <w:szCs w:val="24"/>
              </w:rPr>
              <w:fldChar w:fldCharType="separate"/>
            </w:r>
            <w:r w:rsidRPr="007B7EBD">
              <w:rPr>
                <w:noProof/>
                <w:webHidden/>
                <w:sz w:val="24"/>
                <w:szCs w:val="24"/>
              </w:rPr>
              <w:t>3</w:t>
            </w:r>
            <w:r w:rsidRPr="007B7EBD">
              <w:rPr>
                <w:noProof/>
                <w:webHidden/>
                <w:sz w:val="24"/>
                <w:szCs w:val="24"/>
              </w:rPr>
              <w:fldChar w:fldCharType="end"/>
            </w:r>
          </w:hyperlink>
        </w:p>
        <w:p w14:paraId="514AFD18" w14:textId="5C2203C6" w:rsidR="007B7EBD" w:rsidRPr="007B7EBD" w:rsidRDefault="00000000">
          <w:pPr>
            <w:pStyle w:val="TOC1"/>
            <w:tabs>
              <w:tab w:val="right" w:leader="dot" w:pos="9350"/>
            </w:tabs>
            <w:rPr>
              <w:noProof/>
              <w:sz w:val="24"/>
              <w:szCs w:val="24"/>
            </w:rPr>
          </w:pPr>
          <w:hyperlink w:anchor="_Toc127630456" w:history="1">
            <w:r w:rsidR="007B7EBD" w:rsidRPr="007B7EBD">
              <w:rPr>
                <w:rStyle w:val="Hyperlink"/>
                <w:noProof/>
                <w:sz w:val="24"/>
                <w:szCs w:val="24"/>
              </w:rPr>
              <w:t>Task 2</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_Toc127630456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3</w:t>
            </w:r>
            <w:r w:rsidR="007B7EBD" w:rsidRPr="007B7EBD">
              <w:rPr>
                <w:noProof/>
                <w:webHidden/>
                <w:sz w:val="24"/>
                <w:szCs w:val="24"/>
              </w:rPr>
              <w:fldChar w:fldCharType="end"/>
            </w:r>
          </w:hyperlink>
        </w:p>
        <w:p w14:paraId="44DC745C" w14:textId="4CC5684E" w:rsidR="007B7EBD" w:rsidRPr="007B7EBD" w:rsidRDefault="00000000">
          <w:pPr>
            <w:pStyle w:val="TOC1"/>
            <w:tabs>
              <w:tab w:val="right" w:leader="dot" w:pos="9350"/>
            </w:tabs>
            <w:rPr>
              <w:noProof/>
              <w:sz w:val="24"/>
              <w:szCs w:val="24"/>
            </w:rPr>
          </w:pPr>
          <w:hyperlink w:anchor="_Toc127630457" w:history="1">
            <w:r w:rsidR="007B7EBD" w:rsidRPr="007B7EBD">
              <w:rPr>
                <w:rStyle w:val="Hyperlink"/>
                <w:noProof/>
                <w:sz w:val="24"/>
                <w:szCs w:val="24"/>
              </w:rPr>
              <w:t>Article 1</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_Toc127630457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3</w:t>
            </w:r>
            <w:r w:rsidR="007B7EBD" w:rsidRPr="007B7EBD">
              <w:rPr>
                <w:noProof/>
                <w:webHidden/>
                <w:sz w:val="24"/>
                <w:szCs w:val="24"/>
              </w:rPr>
              <w:fldChar w:fldCharType="end"/>
            </w:r>
          </w:hyperlink>
        </w:p>
        <w:p w14:paraId="5868C3D0" w14:textId="7AA272CB" w:rsidR="007B7EBD" w:rsidRPr="007B7EBD" w:rsidRDefault="00000000">
          <w:pPr>
            <w:pStyle w:val="TOC1"/>
            <w:tabs>
              <w:tab w:val="right" w:leader="dot" w:pos="9350"/>
            </w:tabs>
            <w:rPr>
              <w:noProof/>
              <w:sz w:val="24"/>
              <w:szCs w:val="24"/>
            </w:rPr>
          </w:pPr>
          <w:hyperlink w:anchor="_Toc127630458" w:history="1">
            <w:r w:rsidR="007B7EBD" w:rsidRPr="007B7EBD">
              <w:rPr>
                <w:rStyle w:val="Hyperlink"/>
                <w:noProof/>
                <w:sz w:val="24"/>
                <w:szCs w:val="24"/>
                <w:highlight w:val="white"/>
              </w:rPr>
              <w:t>Article 2</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_Toc127630458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3</w:t>
            </w:r>
            <w:r w:rsidR="007B7EBD" w:rsidRPr="007B7EBD">
              <w:rPr>
                <w:noProof/>
                <w:webHidden/>
                <w:sz w:val="24"/>
                <w:szCs w:val="24"/>
              </w:rPr>
              <w:fldChar w:fldCharType="end"/>
            </w:r>
          </w:hyperlink>
        </w:p>
        <w:p w14:paraId="462CECF6" w14:textId="41982053" w:rsidR="007B7EBD" w:rsidRPr="007B7EBD" w:rsidRDefault="00000000">
          <w:pPr>
            <w:pStyle w:val="TOC1"/>
            <w:tabs>
              <w:tab w:val="right" w:leader="dot" w:pos="9350"/>
            </w:tabs>
            <w:rPr>
              <w:noProof/>
              <w:sz w:val="24"/>
              <w:szCs w:val="24"/>
            </w:rPr>
          </w:pPr>
          <w:hyperlink w:anchor="_Toc127630459" w:history="1">
            <w:r w:rsidR="007B7EBD" w:rsidRPr="007B7EBD">
              <w:rPr>
                <w:rStyle w:val="Hyperlink"/>
                <w:noProof/>
                <w:sz w:val="24"/>
                <w:szCs w:val="24"/>
                <w:highlight w:val="white"/>
              </w:rPr>
              <w:t>Article 3</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_Toc127630459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4</w:t>
            </w:r>
            <w:r w:rsidR="007B7EBD" w:rsidRPr="007B7EBD">
              <w:rPr>
                <w:noProof/>
                <w:webHidden/>
                <w:sz w:val="24"/>
                <w:szCs w:val="24"/>
              </w:rPr>
              <w:fldChar w:fldCharType="end"/>
            </w:r>
          </w:hyperlink>
        </w:p>
        <w:p w14:paraId="448B7082" w14:textId="4AA2F2E5" w:rsidR="007B7EBD" w:rsidRPr="007B7EBD" w:rsidRDefault="00000000">
          <w:pPr>
            <w:pStyle w:val="TOC1"/>
            <w:tabs>
              <w:tab w:val="right" w:leader="dot" w:pos="9350"/>
            </w:tabs>
            <w:rPr>
              <w:noProof/>
              <w:sz w:val="24"/>
              <w:szCs w:val="24"/>
            </w:rPr>
          </w:pPr>
          <w:hyperlink w:anchor="_Toc127630460" w:history="1">
            <w:r w:rsidR="007B7EBD" w:rsidRPr="007B7EBD">
              <w:rPr>
                <w:rStyle w:val="Hyperlink"/>
                <w:noProof/>
                <w:sz w:val="24"/>
                <w:szCs w:val="24"/>
                <w:highlight w:val="white"/>
              </w:rPr>
              <w:t>Article 4</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_Toc127630460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4</w:t>
            </w:r>
            <w:r w:rsidR="007B7EBD" w:rsidRPr="007B7EBD">
              <w:rPr>
                <w:noProof/>
                <w:webHidden/>
                <w:sz w:val="24"/>
                <w:szCs w:val="24"/>
              </w:rPr>
              <w:fldChar w:fldCharType="end"/>
            </w:r>
          </w:hyperlink>
        </w:p>
        <w:p w14:paraId="34680E95" w14:textId="76436911" w:rsidR="007B7EBD" w:rsidRPr="007B7EBD" w:rsidRDefault="00000000">
          <w:pPr>
            <w:pStyle w:val="TOC1"/>
            <w:tabs>
              <w:tab w:val="right" w:leader="dot" w:pos="9350"/>
            </w:tabs>
            <w:rPr>
              <w:noProof/>
              <w:sz w:val="24"/>
              <w:szCs w:val="24"/>
            </w:rPr>
          </w:pPr>
          <w:hyperlink w:anchor="_Toc127630461" w:history="1">
            <w:r w:rsidR="007B7EBD" w:rsidRPr="007B7EBD">
              <w:rPr>
                <w:rStyle w:val="Hyperlink"/>
                <w:noProof/>
                <w:sz w:val="24"/>
                <w:szCs w:val="24"/>
                <w:highlight w:val="white"/>
              </w:rPr>
              <w:t>Article 5</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_Toc127630461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5</w:t>
            </w:r>
            <w:r w:rsidR="007B7EBD" w:rsidRPr="007B7EBD">
              <w:rPr>
                <w:noProof/>
                <w:webHidden/>
                <w:sz w:val="24"/>
                <w:szCs w:val="24"/>
              </w:rPr>
              <w:fldChar w:fldCharType="end"/>
            </w:r>
          </w:hyperlink>
        </w:p>
        <w:p w14:paraId="17043E6D" w14:textId="6E81F677" w:rsidR="007B7EBD" w:rsidRPr="007B7EBD" w:rsidRDefault="00000000">
          <w:pPr>
            <w:pStyle w:val="TOC1"/>
            <w:tabs>
              <w:tab w:val="right" w:leader="dot" w:pos="9350"/>
            </w:tabs>
            <w:rPr>
              <w:noProof/>
              <w:sz w:val="24"/>
              <w:szCs w:val="24"/>
            </w:rPr>
          </w:pPr>
          <w:hyperlink w:anchor="_Toc127630462" w:history="1">
            <w:r w:rsidR="007B7EBD" w:rsidRPr="007B7EBD">
              <w:rPr>
                <w:rStyle w:val="Hyperlink"/>
                <w:noProof/>
                <w:sz w:val="24"/>
                <w:szCs w:val="24"/>
                <w:highlight w:val="white"/>
              </w:rPr>
              <w:t>Reference</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_Toc127630462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6</w:t>
            </w:r>
            <w:r w:rsidR="007B7EBD" w:rsidRPr="007B7EBD">
              <w:rPr>
                <w:noProof/>
                <w:webHidden/>
                <w:sz w:val="24"/>
                <w:szCs w:val="24"/>
              </w:rPr>
              <w:fldChar w:fldCharType="end"/>
            </w:r>
          </w:hyperlink>
        </w:p>
        <w:p w14:paraId="66D09D29" w14:textId="0AD92533" w:rsidR="007B7EBD" w:rsidRDefault="007B7EBD">
          <w:r w:rsidRPr="007B7EBD">
            <w:rPr>
              <w:b/>
              <w:bCs/>
              <w:noProof/>
              <w:sz w:val="24"/>
              <w:szCs w:val="24"/>
            </w:rPr>
            <w:fldChar w:fldCharType="end"/>
          </w:r>
        </w:p>
      </w:sdtContent>
    </w:sdt>
    <w:p w14:paraId="584BD77F" w14:textId="77777777" w:rsidR="007B7EBD" w:rsidRDefault="007B7EBD">
      <w:pPr>
        <w:rPr>
          <w:b/>
          <w:sz w:val="28"/>
          <w:szCs w:val="40"/>
        </w:rPr>
      </w:pPr>
      <w:bookmarkStart w:id="0" w:name="_Toc127630455"/>
      <w:r>
        <w:br w:type="page"/>
      </w:r>
    </w:p>
    <w:p w14:paraId="00000003" w14:textId="575E50BA" w:rsidR="00094877" w:rsidRDefault="006133DD" w:rsidP="007B7EBD">
      <w:pPr>
        <w:pStyle w:val="Heading1"/>
      </w:pPr>
      <w:r>
        <w:lastRenderedPageBreak/>
        <w:t>Task 1</w:t>
      </w:r>
      <w:bookmarkEnd w:id="0"/>
    </w:p>
    <w:p w14:paraId="00000013" w14:textId="189DF1A4" w:rsidR="00094877" w:rsidRDefault="007B7EBD">
      <w:pPr>
        <w:spacing w:line="360" w:lineRule="auto"/>
        <w:jc w:val="both"/>
        <w:rPr>
          <w:b/>
        </w:rPr>
      </w:pPr>
      <w:r>
        <w:rPr>
          <w:b/>
        </w:rPr>
        <w:t>Refer to PPT</w:t>
      </w:r>
    </w:p>
    <w:p w14:paraId="0000001D" w14:textId="77777777" w:rsidR="00094877" w:rsidRDefault="006133DD" w:rsidP="007B7EBD">
      <w:pPr>
        <w:pStyle w:val="Heading1"/>
      </w:pPr>
      <w:bookmarkStart w:id="1" w:name="_Toc127630456"/>
      <w:r>
        <w:t>Task 2</w:t>
      </w:r>
      <w:bookmarkEnd w:id="1"/>
    </w:p>
    <w:p w14:paraId="0000001E" w14:textId="77777777" w:rsidR="00094877" w:rsidRDefault="006133DD" w:rsidP="007B7EBD">
      <w:pPr>
        <w:pStyle w:val="Heading1"/>
      </w:pPr>
      <w:bookmarkStart w:id="2" w:name="_Toc127630457"/>
      <w:r>
        <w:t>Article 1</w:t>
      </w:r>
      <w:bookmarkEnd w:id="2"/>
    </w:p>
    <w:p w14:paraId="0000001F" w14:textId="77777777" w:rsidR="00094877" w:rsidRDefault="006133DD">
      <w:pPr>
        <w:spacing w:line="360" w:lineRule="auto"/>
        <w:jc w:val="both"/>
        <w:rPr>
          <w:highlight w:val="white"/>
        </w:rPr>
      </w:pPr>
      <w:r>
        <w:rPr>
          <w:rFonts w:ascii="Roboto" w:eastAsia="Roboto" w:hAnsi="Roboto" w:cs="Roboto"/>
          <w:b/>
          <w:sz w:val="21"/>
          <w:szCs w:val="21"/>
          <w:highlight w:val="white"/>
        </w:rPr>
        <w:t xml:space="preserve">Citation: </w:t>
      </w:r>
      <w:proofErr w:type="spellStart"/>
      <w:r>
        <w:rPr>
          <w:color w:val="222222"/>
          <w:highlight w:val="white"/>
        </w:rPr>
        <w:t>Kargi</w:t>
      </w:r>
      <w:proofErr w:type="spellEnd"/>
      <w:r>
        <w:rPr>
          <w:color w:val="222222"/>
          <w:highlight w:val="white"/>
        </w:rPr>
        <w:t xml:space="preserve">, E. and </w:t>
      </w:r>
      <w:proofErr w:type="spellStart"/>
      <w:r>
        <w:rPr>
          <w:color w:val="222222"/>
          <w:highlight w:val="white"/>
        </w:rPr>
        <w:t>Ya</w:t>
      </w:r>
      <w:proofErr w:type="spellEnd"/>
      <w:r>
        <w:rPr>
          <w:color w:val="222222"/>
          <w:highlight w:val="white"/>
        </w:rPr>
        <w:t xml:space="preserve"> </w:t>
      </w:r>
      <w:proofErr w:type="spellStart"/>
      <w:r>
        <w:rPr>
          <w:color w:val="222222"/>
          <w:highlight w:val="white"/>
        </w:rPr>
        <w:t>zgin</w:t>
      </w:r>
      <w:proofErr w:type="spellEnd"/>
      <w:r>
        <w:rPr>
          <w:color w:val="222222"/>
          <w:highlight w:val="white"/>
        </w:rPr>
        <w:t xml:space="preserve">, Y., 2018. Reflections of play and toys on Impressionist painting children and play as a pictorial expression. </w:t>
      </w:r>
      <w:r>
        <w:rPr>
          <w:i/>
          <w:highlight w:val="white"/>
        </w:rPr>
        <w:t>Creativity Research Journal</w:t>
      </w:r>
      <w:r>
        <w:rPr>
          <w:highlight w:val="white"/>
        </w:rPr>
        <w:t xml:space="preserve">, </w:t>
      </w:r>
      <w:r>
        <w:rPr>
          <w:i/>
          <w:highlight w:val="white"/>
        </w:rPr>
        <w:t>30</w:t>
      </w:r>
      <w:r>
        <w:rPr>
          <w:highlight w:val="white"/>
        </w:rPr>
        <w:t>(1), pp.113-117.</w:t>
      </w:r>
    </w:p>
    <w:p w14:paraId="00000020"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21"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In some ways, play is a model of the adult world. The world of children is also reflected in play and gadgets in terms of social and personal realities. They provide a means to mimic the world of grownups. Play has a hierarchy. Each piece of art has its own order. Play and toys are global languages, much like art. The majority of youngsters are drawn to artworks featuring children because they appear so real. Paintings in schools are said to help children's artistic and aesthetic growth during their art-making process by inspiring their imagination training. Early art instruction is important As a result, investing in adult education should come before investing in children's education.</w:t>
      </w:r>
    </w:p>
    <w:p w14:paraId="00000022"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23"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It helps to understand that it impacts a child’s psychology and provides opportunities to explore and grow.  This suggests that learning only develops when it catches and changes a child's innate natural abilities. With awareness and grit, education advances. The intuitive methods of communication are the crafts.</w:t>
      </w:r>
    </w:p>
    <w:p w14:paraId="00000024" w14:textId="77777777" w:rsidR="00094877" w:rsidRDefault="006133DD" w:rsidP="007B7EBD">
      <w:pPr>
        <w:pStyle w:val="Heading1"/>
        <w:rPr>
          <w:highlight w:val="white"/>
        </w:rPr>
      </w:pPr>
      <w:bookmarkStart w:id="3" w:name="_Toc127630458"/>
      <w:r>
        <w:rPr>
          <w:highlight w:val="white"/>
        </w:rPr>
        <w:t>Article 2</w:t>
      </w:r>
      <w:bookmarkEnd w:id="3"/>
    </w:p>
    <w:p w14:paraId="00000025"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b/>
          <w:sz w:val="21"/>
          <w:szCs w:val="21"/>
          <w:highlight w:val="white"/>
        </w:rPr>
        <w:t>Citation:</w:t>
      </w:r>
      <w:r>
        <w:rPr>
          <w:rFonts w:ascii="Roboto" w:eastAsia="Roboto" w:hAnsi="Roboto" w:cs="Roboto"/>
          <w:sz w:val="21"/>
          <w:szCs w:val="21"/>
          <w:highlight w:val="white"/>
        </w:rPr>
        <w:t xml:space="preserve"> </w:t>
      </w:r>
      <w:proofErr w:type="spellStart"/>
      <w:r>
        <w:rPr>
          <w:rFonts w:ascii="Roboto" w:eastAsia="Roboto" w:hAnsi="Roboto" w:cs="Roboto"/>
          <w:sz w:val="21"/>
          <w:szCs w:val="21"/>
          <w:highlight w:val="white"/>
        </w:rPr>
        <w:t>Felfe</w:t>
      </w:r>
      <w:proofErr w:type="spellEnd"/>
      <w:r>
        <w:rPr>
          <w:rFonts w:ascii="Roboto" w:eastAsia="Roboto" w:hAnsi="Roboto" w:cs="Roboto"/>
          <w:sz w:val="21"/>
          <w:szCs w:val="21"/>
          <w:highlight w:val="white"/>
        </w:rPr>
        <w:t xml:space="preserve">, C., Lechner, M. and </w:t>
      </w:r>
      <w:proofErr w:type="spellStart"/>
      <w:r>
        <w:rPr>
          <w:rFonts w:ascii="Roboto" w:eastAsia="Roboto" w:hAnsi="Roboto" w:cs="Roboto"/>
          <w:sz w:val="21"/>
          <w:szCs w:val="21"/>
          <w:highlight w:val="white"/>
        </w:rPr>
        <w:t>Steinmayr</w:t>
      </w:r>
      <w:proofErr w:type="spellEnd"/>
      <w:r>
        <w:rPr>
          <w:rFonts w:ascii="Roboto" w:eastAsia="Roboto" w:hAnsi="Roboto" w:cs="Roboto"/>
          <w:sz w:val="21"/>
          <w:szCs w:val="21"/>
          <w:highlight w:val="white"/>
        </w:rPr>
        <w:t xml:space="preserve">, A., 2016. Sports and child development. </w:t>
      </w:r>
      <w:proofErr w:type="spellStart"/>
      <w:r>
        <w:rPr>
          <w:rFonts w:ascii="Roboto" w:eastAsia="Roboto" w:hAnsi="Roboto" w:cs="Roboto"/>
          <w:sz w:val="21"/>
          <w:szCs w:val="21"/>
          <w:highlight w:val="white"/>
        </w:rPr>
        <w:t>PloS</w:t>
      </w:r>
      <w:proofErr w:type="spellEnd"/>
      <w:r>
        <w:rPr>
          <w:rFonts w:ascii="Roboto" w:eastAsia="Roboto" w:hAnsi="Roboto" w:cs="Roboto"/>
          <w:sz w:val="21"/>
          <w:szCs w:val="21"/>
          <w:highlight w:val="white"/>
        </w:rPr>
        <w:t xml:space="preserve"> one, 11(5), p.e0151729.</w:t>
      </w:r>
    </w:p>
    <w:p w14:paraId="00000026"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27" w14:textId="3048354F"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 xml:space="preserve">Children's health is often much better when they participate in sports. Parents evaluate their kids' health far better than other people do. The BMI is almost affected by all. This, nevertheless, is not shocking given that BMI may not be a reliable indicator of juvenile overweight and obesity. Children who participated in sports had a lower skinfold, a more accurate indicator of body fat. Moreover, the pulse is greatly decreased. The findings for the many health factors that may be measured objectively may assist in dispelling a priori concerns about the possibility that subjective bias affected our </w:t>
      </w:r>
      <w:r>
        <w:rPr>
          <w:rFonts w:ascii="Roboto" w:eastAsia="Roboto" w:hAnsi="Roboto" w:cs="Roboto"/>
          <w:sz w:val="21"/>
          <w:szCs w:val="21"/>
          <w:highlight w:val="white"/>
        </w:rPr>
        <w:lastRenderedPageBreak/>
        <w:t>findings (</w:t>
      </w:r>
      <w:proofErr w:type="spellStart"/>
      <w:r>
        <w:rPr>
          <w:rFonts w:ascii="Roboto" w:eastAsia="Roboto" w:hAnsi="Roboto" w:cs="Roboto"/>
          <w:sz w:val="21"/>
          <w:szCs w:val="21"/>
          <w:highlight w:val="white"/>
        </w:rPr>
        <w:t>Felfe</w:t>
      </w:r>
      <w:proofErr w:type="spellEnd"/>
      <w:r>
        <w:rPr>
          <w:rFonts w:ascii="Roboto" w:eastAsia="Roboto" w:hAnsi="Roboto" w:cs="Roboto"/>
          <w:sz w:val="21"/>
          <w:szCs w:val="21"/>
          <w:highlight w:val="white"/>
        </w:rPr>
        <w:t xml:space="preserve"> </w:t>
      </w:r>
      <w:r>
        <w:rPr>
          <w:rFonts w:ascii="Roboto" w:eastAsia="Roboto" w:hAnsi="Roboto" w:cs="Roboto"/>
          <w:i/>
          <w:sz w:val="21"/>
          <w:szCs w:val="21"/>
          <w:highlight w:val="white"/>
        </w:rPr>
        <w:t xml:space="preserve">et al., </w:t>
      </w:r>
      <w:r>
        <w:rPr>
          <w:rFonts w:ascii="Roboto" w:eastAsia="Roboto" w:hAnsi="Roboto" w:cs="Roboto"/>
          <w:sz w:val="21"/>
          <w:szCs w:val="21"/>
          <w:highlight w:val="white"/>
        </w:rPr>
        <w:t>2016). This tendency would appear if parents of kids who play sports consistently reported that their kids were developing better.</w:t>
      </w:r>
    </w:p>
    <w:p w14:paraId="00000028"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Significance in understanding the concept</w:t>
      </w:r>
    </w:p>
    <w:p w14:paraId="00000029"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sz w:val="21"/>
          <w:szCs w:val="21"/>
          <w:highlight w:val="white"/>
        </w:rPr>
        <w:t>It helps to understand that along with arts and creative activities, sports also help develop children. They must be involved in physical activities that help them grow mentally and physically. In addition, they need to be active and creative.</w:t>
      </w:r>
      <w:r>
        <w:rPr>
          <w:rFonts w:ascii="Roboto" w:eastAsia="Roboto" w:hAnsi="Roboto" w:cs="Roboto"/>
          <w:b/>
          <w:sz w:val="21"/>
          <w:szCs w:val="21"/>
          <w:highlight w:val="white"/>
        </w:rPr>
        <w:t xml:space="preserve"> </w:t>
      </w:r>
    </w:p>
    <w:p w14:paraId="0000002A" w14:textId="77777777" w:rsidR="00094877" w:rsidRDefault="006133DD" w:rsidP="007B7EBD">
      <w:pPr>
        <w:pStyle w:val="Heading1"/>
        <w:rPr>
          <w:highlight w:val="white"/>
        </w:rPr>
      </w:pPr>
      <w:bookmarkStart w:id="4" w:name="_Toc127630459"/>
      <w:r>
        <w:rPr>
          <w:highlight w:val="white"/>
        </w:rPr>
        <w:t>Article 3</w:t>
      </w:r>
      <w:bookmarkEnd w:id="4"/>
    </w:p>
    <w:p w14:paraId="0000002B"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b/>
          <w:sz w:val="21"/>
          <w:szCs w:val="21"/>
          <w:highlight w:val="white"/>
        </w:rPr>
        <w:t xml:space="preserve">Citation: </w:t>
      </w:r>
      <w:r>
        <w:rPr>
          <w:color w:val="222222"/>
          <w:sz w:val="21"/>
          <w:szCs w:val="21"/>
          <w:highlight w:val="white"/>
        </w:rPr>
        <w:t xml:space="preserve">Yusuf, A., </w:t>
      </w:r>
      <w:proofErr w:type="spellStart"/>
      <w:r>
        <w:rPr>
          <w:color w:val="222222"/>
          <w:sz w:val="21"/>
          <w:szCs w:val="21"/>
          <w:highlight w:val="white"/>
        </w:rPr>
        <w:t>Ummam</w:t>
      </w:r>
      <w:proofErr w:type="spellEnd"/>
      <w:r>
        <w:rPr>
          <w:color w:val="222222"/>
          <w:sz w:val="21"/>
          <w:szCs w:val="21"/>
          <w:highlight w:val="white"/>
        </w:rPr>
        <w:t xml:space="preserve">, A.F., </w:t>
      </w:r>
      <w:proofErr w:type="spellStart"/>
      <w:r>
        <w:rPr>
          <w:color w:val="222222"/>
          <w:sz w:val="21"/>
          <w:szCs w:val="21"/>
          <w:highlight w:val="white"/>
        </w:rPr>
        <w:t>Nastiti</w:t>
      </w:r>
      <w:proofErr w:type="spellEnd"/>
      <w:r>
        <w:rPr>
          <w:color w:val="222222"/>
          <w:sz w:val="21"/>
          <w:szCs w:val="21"/>
          <w:highlight w:val="white"/>
        </w:rPr>
        <w:t xml:space="preserve">, A.A. and </w:t>
      </w:r>
      <w:proofErr w:type="spellStart"/>
      <w:r>
        <w:rPr>
          <w:color w:val="222222"/>
          <w:sz w:val="21"/>
          <w:szCs w:val="21"/>
          <w:highlight w:val="white"/>
        </w:rPr>
        <w:t>Yunitasari</w:t>
      </w:r>
      <w:proofErr w:type="spellEnd"/>
      <w:r>
        <w:rPr>
          <w:color w:val="222222"/>
          <w:sz w:val="21"/>
          <w:szCs w:val="21"/>
          <w:highlight w:val="white"/>
        </w:rPr>
        <w:t xml:space="preserve">, E., 2020. The intervention of effective playdough activity on the increase of cognitive development of autistic children. </w:t>
      </w:r>
      <w:r>
        <w:rPr>
          <w:rFonts w:ascii="Roboto" w:eastAsia="Roboto" w:hAnsi="Roboto" w:cs="Roboto"/>
          <w:i/>
          <w:sz w:val="21"/>
          <w:szCs w:val="21"/>
          <w:highlight w:val="white"/>
        </w:rPr>
        <w:t>Systematic Reviews in Pharmacy</w:t>
      </w:r>
      <w:r>
        <w:rPr>
          <w:rFonts w:ascii="Roboto" w:eastAsia="Roboto" w:hAnsi="Roboto" w:cs="Roboto"/>
          <w:sz w:val="21"/>
          <w:szCs w:val="21"/>
          <w:highlight w:val="white"/>
        </w:rPr>
        <w:t xml:space="preserve">, </w:t>
      </w:r>
      <w:r>
        <w:rPr>
          <w:rFonts w:ascii="Roboto" w:eastAsia="Roboto" w:hAnsi="Roboto" w:cs="Roboto"/>
          <w:i/>
          <w:sz w:val="21"/>
          <w:szCs w:val="21"/>
          <w:highlight w:val="white"/>
        </w:rPr>
        <w:t>11</w:t>
      </w:r>
      <w:r>
        <w:rPr>
          <w:rFonts w:ascii="Roboto" w:eastAsia="Roboto" w:hAnsi="Roboto" w:cs="Roboto"/>
          <w:sz w:val="21"/>
          <w:szCs w:val="21"/>
          <w:highlight w:val="white"/>
        </w:rPr>
        <w:t>(3), pp.786-792.</w:t>
      </w:r>
    </w:p>
    <w:p w14:paraId="0000002C"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2D"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 xml:space="preserve">Children can learn about the path of the activity through play. Children's remembering will improve with regular training in their skills. Many forms of stimulation might be used to promote cognitive growth. The way that stimulation affects children's cognitive development is potentially quite significant. The researcher's use of playdough exercise as stimulation proved effective. The dough that looked like clay was referred described as "playdough." Children with autism may benefit from playdough as a stimulus for the growth of their intellectual capacity. Children might </w:t>
      </w:r>
      <w:proofErr w:type="spellStart"/>
      <w:r>
        <w:rPr>
          <w:rFonts w:ascii="Roboto" w:eastAsia="Roboto" w:hAnsi="Roboto" w:cs="Roboto"/>
          <w:sz w:val="21"/>
          <w:szCs w:val="21"/>
          <w:highlight w:val="white"/>
        </w:rPr>
        <w:t>recognise</w:t>
      </w:r>
      <w:proofErr w:type="spellEnd"/>
      <w:r>
        <w:rPr>
          <w:rFonts w:ascii="Roboto" w:eastAsia="Roboto" w:hAnsi="Roboto" w:cs="Roboto"/>
          <w:sz w:val="21"/>
          <w:szCs w:val="21"/>
          <w:highlight w:val="white"/>
        </w:rPr>
        <w:t xml:space="preserve"> </w:t>
      </w:r>
      <w:proofErr w:type="spellStart"/>
      <w:r>
        <w:rPr>
          <w:rFonts w:ascii="Roboto" w:eastAsia="Roboto" w:hAnsi="Roboto" w:cs="Roboto"/>
          <w:sz w:val="21"/>
          <w:szCs w:val="21"/>
          <w:highlight w:val="white"/>
        </w:rPr>
        <w:t>colours</w:t>
      </w:r>
      <w:proofErr w:type="spellEnd"/>
      <w:r>
        <w:rPr>
          <w:rFonts w:ascii="Roboto" w:eastAsia="Roboto" w:hAnsi="Roboto" w:cs="Roboto"/>
          <w:sz w:val="21"/>
          <w:szCs w:val="21"/>
          <w:highlight w:val="white"/>
        </w:rPr>
        <w:t xml:space="preserve"> and forms through playdough activities. Students have the option of shaping as another way to show their creativity. While playing, they can communicate with their buddies.</w:t>
      </w:r>
    </w:p>
    <w:p w14:paraId="0000002E"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2F"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 xml:space="preserve">This helps to understand that playing with dough helps to develop motor skills and helps them to understand </w:t>
      </w:r>
      <w:proofErr w:type="spellStart"/>
      <w:r>
        <w:rPr>
          <w:rFonts w:ascii="Roboto" w:eastAsia="Roboto" w:hAnsi="Roboto" w:cs="Roboto"/>
          <w:sz w:val="21"/>
          <w:szCs w:val="21"/>
          <w:highlight w:val="white"/>
        </w:rPr>
        <w:t>colour</w:t>
      </w:r>
      <w:proofErr w:type="spellEnd"/>
      <w:r>
        <w:rPr>
          <w:rFonts w:ascii="Roboto" w:eastAsia="Roboto" w:hAnsi="Roboto" w:cs="Roboto"/>
          <w:sz w:val="21"/>
          <w:szCs w:val="21"/>
          <w:highlight w:val="white"/>
        </w:rPr>
        <w:t xml:space="preserve"> and shape. It helps to make an effective impact on the brain of children and make them innovative and enhance skills. </w:t>
      </w:r>
    </w:p>
    <w:p w14:paraId="00000030" w14:textId="77777777" w:rsidR="00094877" w:rsidRDefault="006133DD" w:rsidP="007B7EBD">
      <w:pPr>
        <w:pStyle w:val="Heading1"/>
        <w:rPr>
          <w:highlight w:val="white"/>
        </w:rPr>
      </w:pPr>
      <w:bookmarkStart w:id="5" w:name="_Toc127630460"/>
      <w:r>
        <w:rPr>
          <w:highlight w:val="white"/>
        </w:rPr>
        <w:t>Article 4</w:t>
      </w:r>
      <w:bookmarkEnd w:id="5"/>
      <w:r>
        <w:rPr>
          <w:highlight w:val="white"/>
        </w:rPr>
        <w:t xml:space="preserve"> </w:t>
      </w:r>
    </w:p>
    <w:p w14:paraId="00000031" w14:textId="77777777" w:rsidR="00094877" w:rsidRDefault="006133DD">
      <w:pPr>
        <w:spacing w:line="360" w:lineRule="auto"/>
        <w:jc w:val="both"/>
        <w:rPr>
          <w:color w:val="222222"/>
          <w:sz w:val="21"/>
          <w:szCs w:val="21"/>
          <w:highlight w:val="white"/>
        </w:rPr>
      </w:pPr>
      <w:r>
        <w:rPr>
          <w:rFonts w:ascii="Roboto" w:eastAsia="Roboto" w:hAnsi="Roboto" w:cs="Roboto"/>
          <w:b/>
          <w:sz w:val="21"/>
          <w:szCs w:val="21"/>
          <w:highlight w:val="white"/>
        </w:rPr>
        <w:t>Citation:</w:t>
      </w:r>
      <w:r>
        <w:rPr>
          <w:rFonts w:ascii="Roboto" w:eastAsia="Roboto" w:hAnsi="Roboto" w:cs="Roboto"/>
          <w:sz w:val="21"/>
          <w:szCs w:val="21"/>
          <w:highlight w:val="white"/>
        </w:rPr>
        <w:t xml:space="preserve"> </w:t>
      </w:r>
      <w:proofErr w:type="spellStart"/>
      <w:r>
        <w:rPr>
          <w:color w:val="222222"/>
          <w:highlight w:val="white"/>
        </w:rPr>
        <w:t>Peppler</w:t>
      </w:r>
      <w:proofErr w:type="spellEnd"/>
      <w:r>
        <w:rPr>
          <w:color w:val="222222"/>
          <w:highlight w:val="white"/>
        </w:rPr>
        <w:t xml:space="preserve">, K., Wohlwend, K., Thompson, N., Tan, V. and Thomas, A., 2019. Squishing circuits: Circuitry learning with electronics and playdough in early childhood. </w:t>
      </w:r>
      <w:r>
        <w:rPr>
          <w:i/>
          <w:color w:val="222222"/>
          <w:highlight w:val="white"/>
        </w:rPr>
        <w:t>Journal of Science Education and Technology</w:t>
      </w:r>
      <w:r>
        <w:rPr>
          <w:color w:val="222222"/>
          <w:highlight w:val="white"/>
        </w:rPr>
        <w:t xml:space="preserve">, </w:t>
      </w:r>
      <w:r>
        <w:rPr>
          <w:i/>
          <w:color w:val="222222"/>
          <w:highlight w:val="white"/>
        </w:rPr>
        <w:t>28</w:t>
      </w:r>
      <w:r>
        <w:rPr>
          <w:color w:val="222222"/>
          <w:highlight w:val="white"/>
        </w:rPr>
        <w:t>, pp.118-132.</w:t>
      </w:r>
    </w:p>
    <w:p w14:paraId="00000032"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33"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 xml:space="preserve">It helps to understand that using play dough at an early stage of learning helps them to develop an understanding of electronic elements. It makes the process safe and interesting for children. Children </w:t>
      </w:r>
      <w:r>
        <w:rPr>
          <w:rFonts w:ascii="Roboto" w:eastAsia="Roboto" w:hAnsi="Roboto" w:cs="Roboto"/>
          <w:sz w:val="21"/>
          <w:szCs w:val="21"/>
          <w:highlight w:val="white"/>
        </w:rPr>
        <w:lastRenderedPageBreak/>
        <w:t>were able to investigate key circuitry lessons including interconnections, orientation, and flow of current thanks to the Squishy Circuits toolset (</w:t>
      </w:r>
      <w:proofErr w:type="spellStart"/>
      <w:r>
        <w:rPr>
          <w:color w:val="222222"/>
          <w:highlight w:val="white"/>
        </w:rPr>
        <w:t>Peppler</w:t>
      </w:r>
      <w:proofErr w:type="spellEnd"/>
      <w:r>
        <w:rPr>
          <w:color w:val="222222"/>
          <w:highlight w:val="white"/>
        </w:rPr>
        <w:t xml:space="preserve"> </w:t>
      </w:r>
      <w:r>
        <w:rPr>
          <w:i/>
          <w:color w:val="222222"/>
          <w:highlight w:val="white"/>
        </w:rPr>
        <w:t xml:space="preserve">et al., </w:t>
      </w:r>
      <w:r>
        <w:rPr>
          <w:color w:val="222222"/>
          <w:highlight w:val="white"/>
        </w:rPr>
        <w:t>2019)</w:t>
      </w:r>
      <w:r>
        <w:rPr>
          <w:rFonts w:ascii="Roboto" w:eastAsia="Roboto" w:hAnsi="Roboto" w:cs="Roboto"/>
          <w:sz w:val="21"/>
          <w:szCs w:val="21"/>
          <w:highlight w:val="white"/>
        </w:rPr>
        <w:t>.</w:t>
      </w:r>
    </w:p>
    <w:p w14:paraId="00000034"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35"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Thus, engaging children with different objects from an early stage makes the process of learning easy. This approach serves to demonstrate how, when such themes are framed via play and exploration with transparent and pliable materials, relatively young children may effectively begin to interact with science concepts typically taught at a later primary level.</w:t>
      </w:r>
    </w:p>
    <w:p w14:paraId="00000036" w14:textId="77777777" w:rsidR="00094877" w:rsidRDefault="006133DD" w:rsidP="007B7EBD">
      <w:pPr>
        <w:pStyle w:val="Heading1"/>
        <w:rPr>
          <w:highlight w:val="white"/>
        </w:rPr>
      </w:pPr>
      <w:bookmarkStart w:id="6" w:name="_Toc127630461"/>
      <w:r>
        <w:rPr>
          <w:highlight w:val="white"/>
        </w:rPr>
        <w:t>Article 5</w:t>
      </w:r>
      <w:bookmarkEnd w:id="6"/>
    </w:p>
    <w:p w14:paraId="00000037" w14:textId="77777777" w:rsidR="00094877" w:rsidRDefault="006133DD">
      <w:pPr>
        <w:spacing w:line="360" w:lineRule="auto"/>
        <w:jc w:val="both"/>
        <w:rPr>
          <w:rFonts w:ascii="Roboto" w:eastAsia="Roboto" w:hAnsi="Roboto" w:cs="Roboto"/>
          <w:sz w:val="21"/>
          <w:szCs w:val="21"/>
          <w:highlight w:val="white"/>
        </w:rPr>
      </w:pPr>
      <w:r>
        <w:rPr>
          <w:rFonts w:ascii="Roboto" w:eastAsia="Roboto" w:hAnsi="Roboto" w:cs="Roboto"/>
          <w:b/>
          <w:sz w:val="21"/>
          <w:szCs w:val="21"/>
          <w:highlight w:val="white"/>
        </w:rPr>
        <w:t xml:space="preserve">Citation: </w:t>
      </w:r>
      <w:r>
        <w:rPr>
          <w:color w:val="222222"/>
          <w:sz w:val="21"/>
          <w:szCs w:val="21"/>
          <w:highlight w:val="white"/>
        </w:rPr>
        <w:t xml:space="preserve">Basa, F.L., </w:t>
      </w:r>
      <w:proofErr w:type="spellStart"/>
      <w:r>
        <w:rPr>
          <w:color w:val="222222"/>
          <w:sz w:val="21"/>
          <w:szCs w:val="21"/>
          <w:highlight w:val="white"/>
        </w:rPr>
        <w:t>Sutarto</w:t>
      </w:r>
      <w:proofErr w:type="spellEnd"/>
      <w:r>
        <w:rPr>
          <w:color w:val="222222"/>
          <w:sz w:val="21"/>
          <w:szCs w:val="21"/>
          <w:highlight w:val="white"/>
        </w:rPr>
        <w:t xml:space="preserve">, J. and Setiawan, D., 2020. Finger painting learning to stimulate motor development in early childhood. </w:t>
      </w:r>
      <w:r>
        <w:rPr>
          <w:rFonts w:ascii="Roboto" w:eastAsia="Roboto" w:hAnsi="Roboto" w:cs="Roboto"/>
          <w:i/>
          <w:sz w:val="21"/>
          <w:szCs w:val="21"/>
          <w:highlight w:val="white"/>
        </w:rPr>
        <w:t>Journal of Primary Education</w:t>
      </w:r>
      <w:r>
        <w:rPr>
          <w:rFonts w:ascii="Roboto" w:eastAsia="Roboto" w:hAnsi="Roboto" w:cs="Roboto"/>
          <w:sz w:val="21"/>
          <w:szCs w:val="21"/>
          <w:highlight w:val="white"/>
        </w:rPr>
        <w:t xml:space="preserve">, </w:t>
      </w:r>
      <w:r>
        <w:rPr>
          <w:rFonts w:ascii="Roboto" w:eastAsia="Roboto" w:hAnsi="Roboto" w:cs="Roboto"/>
          <w:i/>
          <w:sz w:val="21"/>
          <w:szCs w:val="21"/>
          <w:highlight w:val="white"/>
        </w:rPr>
        <w:t>9</w:t>
      </w:r>
      <w:r>
        <w:rPr>
          <w:rFonts w:ascii="Roboto" w:eastAsia="Roboto" w:hAnsi="Roboto" w:cs="Roboto"/>
          <w:sz w:val="21"/>
          <w:szCs w:val="21"/>
          <w:highlight w:val="white"/>
        </w:rPr>
        <w:t>(2), pp.193-200.</w:t>
      </w:r>
    </w:p>
    <w:p w14:paraId="00000038"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39" w14:textId="5C0F1F1C" w:rsidR="00094877"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 xml:space="preserve">The purpose of the </w:t>
      </w:r>
      <w:r w:rsidR="007B7EBD">
        <w:rPr>
          <w:rFonts w:ascii="Roboto" w:eastAsia="Roboto" w:hAnsi="Roboto" w:cs="Roboto"/>
          <w:sz w:val="21"/>
          <w:szCs w:val="21"/>
          <w:highlight w:val="white"/>
        </w:rPr>
        <w:t>finger-painting</w:t>
      </w:r>
      <w:r>
        <w:rPr>
          <w:rFonts w:ascii="Roboto" w:eastAsia="Roboto" w:hAnsi="Roboto" w:cs="Roboto"/>
          <w:sz w:val="21"/>
          <w:szCs w:val="21"/>
          <w:highlight w:val="white"/>
        </w:rPr>
        <w:t xml:space="preserve"> exercises in this article was to evaluate the fine motor and gross motor abilities of kids between the ages of 5 and 6. The study's findings relate to the improvement of children's fine motor and gross motor skills during finger painting activities in the two kindergartens. In addition, when they are between the ages of 5 and 6 (</w:t>
      </w:r>
      <w:r>
        <w:rPr>
          <w:color w:val="222222"/>
          <w:sz w:val="21"/>
          <w:szCs w:val="21"/>
          <w:highlight w:val="white"/>
        </w:rPr>
        <w:t xml:space="preserve">Basa </w:t>
      </w:r>
      <w:r>
        <w:rPr>
          <w:i/>
          <w:color w:val="222222"/>
          <w:sz w:val="21"/>
          <w:szCs w:val="21"/>
          <w:highlight w:val="white"/>
        </w:rPr>
        <w:t xml:space="preserve">et al., </w:t>
      </w:r>
      <w:r>
        <w:rPr>
          <w:color w:val="222222"/>
          <w:sz w:val="21"/>
          <w:szCs w:val="21"/>
          <w:highlight w:val="white"/>
        </w:rPr>
        <w:t>2020)</w:t>
      </w:r>
      <w:r>
        <w:rPr>
          <w:rFonts w:ascii="Roboto" w:eastAsia="Roboto" w:hAnsi="Roboto" w:cs="Roboto"/>
          <w:sz w:val="21"/>
          <w:szCs w:val="21"/>
          <w:highlight w:val="white"/>
        </w:rPr>
        <w:t xml:space="preserve">. </w:t>
      </w:r>
    </w:p>
    <w:p w14:paraId="0000003A" w14:textId="77777777" w:rsidR="00094877" w:rsidRDefault="006133DD">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3B" w14:textId="3A76F253" w:rsidR="007B7EBD" w:rsidRDefault="006133DD">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It is exemplified by children's activities, where they can behave in accordance with a teacher's instructions or guidance that is based on evaluation indicators. In light of the research's findings, kindergarten instructors should become more knowledgeable, particularly with regard to young children's growth of their gross and fine motor skills, by employing a variety of engaging activities, such as finger painting.</w:t>
      </w:r>
    </w:p>
    <w:p w14:paraId="003B4035" w14:textId="77777777" w:rsidR="007B7EBD" w:rsidRDefault="007B7EBD">
      <w:pPr>
        <w:rPr>
          <w:rFonts w:ascii="Roboto" w:eastAsia="Roboto" w:hAnsi="Roboto" w:cs="Roboto"/>
          <w:sz w:val="21"/>
          <w:szCs w:val="21"/>
          <w:highlight w:val="white"/>
        </w:rPr>
      </w:pPr>
      <w:r>
        <w:rPr>
          <w:rFonts w:ascii="Roboto" w:eastAsia="Roboto" w:hAnsi="Roboto" w:cs="Roboto"/>
          <w:sz w:val="21"/>
          <w:szCs w:val="21"/>
          <w:highlight w:val="white"/>
        </w:rPr>
        <w:br w:type="page"/>
      </w:r>
    </w:p>
    <w:p w14:paraId="3D387896" w14:textId="1EE8EC01" w:rsidR="00094877" w:rsidRDefault="007B7EBD" w:rsidP="007B7EBD">
      <w:pPr>
        <w:pStyle w:val="Heading1"/>
        <w:rPr>
          <w:highlight w:val="white"/>
        </w:rPr>
      </w:pPr>
      <w:bookmarkStart w:id="7" w:name="_Toc127630462"/>
      <w:r>
        <w:rPr>
          <w:highlight w:val="white"/>
        </w:rPr>
        <w:lastRenderedPageBreak/>
        <w:t>Reference</w:t>
      </w:r>
      <w:bookmarkEnd w:id="7"/>
    </w:p>
    <w:p w14:paraId="7FEB1BFA" w14:textId="77777777" w:rsidR="007B7EBD" w:rsidRPr="007B7EBD" w:rsidRDefault="007B7EBD" w:rsidP="007B7EBD">
      <w:pPr>
        <w:spacing w:after="160" w:line="360" w:lineRule="auto"/>
        <w:jc w:val="both"/>
        <w:rPr>
          <w:rFonts w:eastAsia="Calibri"/>
          <w:color w:val="222222"/>
          <w:shd w:val="clear" w:color="auto" w:fill="FFFFFF"/>
          <w:lang w:val="en-US"/>
        </w:rPr>
      </w:pPr>
      <w:r w:rsidRPr="007B7EBD">
        <w:rPr>
          <w:rFonts w:eastAsia="Calibri"/>
          <w:color w:val="222222"/>
          <w:shd w:val="clear" w:color="auto" w:fill="FFFFFF"/>
          <w:lang w:val="en-US"/>
        </w:rPr>
        <w:t xml:space="preserve">Basa, F.L., </w:t>
      </w:r>
      <w:proofErr w:type="spellStart"/>
      <w:r w:rsidRPr="007B7EBD">
        <w:rPr>
          <w:rFonts w:eastAsia="Calibri"/>
          <w:color w:val="222222"/>
          <w:shd w:val="clear" w:color="auto" w:fill="FFFFFF"/>
          <w:lang w:val="en-US"/>
        </w:rPr>
        <w:t>Sutarto</w:t>
      </w:r>
      <w:proofErr w:type="spellEnd"/>
      <w:r w:rsidRPr="007B7EBD">
        <w:rPr>
          <w:rFonts w:eastAsia="Calibri"/>
          <w:color w:val="222222"/>
          <w:shd w:val="clear" w:color="auto" w:fill="FFFFFF"/>
          <w:lang w:val="en-US"/>
        </w:rPr>
        <w:t>, J. and Setiawan, D., 2020. Finger painting learning to stimulate motor development in early childhood. </w:t>
      </w:r>
      <w:r w:rsidRPr="007B7EBD">
        <w:rPr>
          <w:rFonts w:eastAsia="Calibri"/>
          <w:i/>
          <w:iCs/>
          <w:color w:val="222222"/>
          <w:shd w:val="clear" w:color="auto" w:fill="FFFFFF"/>
          <w:lang w:val="en-US"/>
        </w:rPr>
        <w:t>Journal of Primary Education</w:t>
      </w:r>
      <w:r w:rsidRPr="007B7EBD">
        <w:rPr>
          <w:rFonts w:eastAsia="Calibri"/>
          <w:color w:val="222222"/>
          <w:shd w:val="clear" w:color="auto" w:fill="FFFFFF"/>
          <w:lang w:val="en-US"/>
        </w:rPr>
        <w:t>, </w:t>
      </w:r>
      <w:r w:rsidRPr="007B7EBD">
        <w:rPr>
          <w:rFonts w:eastAsia="Calibri"/>
          <w:i/>
          <w:iCs/>
          <w:color w:val="222222"/>
          <w:shd w:val="clear" w:color="auto" w:fill="FFFFFF"/>
          <w:lang w:val="en-US"/>
        </w:rPr>
        <w:t>9</w:t>
      </w:r>
      <w:r w:rsidRPr="007B7EBD">
        <w:rPr>
          <w:rFonts w:eastAsia="Calibri"/>
          <w:color w:val="222222"/>
          <w:shd w:val="clear" w:color="auto" w:fill="FFFFFF"/>
          <w:lang w:val="en-US"/>
        </w:rPr>
        <w:t>(2), pp.193-200.</w:t>
      </w:r>
    </w:p>
    <w:p w14:paraId="799D30F7" w14:textId="77777777" w:rsidR="007B7EBD" w:rsidRPr="007B7EBD" w:rsidRDefault="007B7EBD" w:rsidP="007B7EBD">
      <w:pPr>
        <w:spacing w:after="160" w:line="360" w:lineRule="auto"/>
        <w:jc w:val="both"/>
        <w:rPr>
          <w:rFonts w:eastAsia="Calibri"/>
          <w:color w:val="222222"/>
          <w:shd w:val="clear" w:color="auto" w:fill="FFFFFF"/>
          <w:lang w:val="en-US"/>
        </w:rPr>
      </w:pPr>
      <w:proofErr w:type="spellStart"/>
      <w:r w:rsidRPr="007B7EBD">
        <w:rPr>
          <w:rFonts w:eastAsia="Calibri"/>
          <w:color w:val="222222"/>
          <w:shd w:val="clear" w:color="auto" w:fill="FFFFFF"/>
          <w:lang w:val="en-US"/>
        </w:rPr>
        <w:t>Felfe</w:t>
      </w:r>
      <w:proofErr w:type="spellEnd"/>
      <w:r w:rsidRPr="007B7EBD">
        <w:rPr>
          <w:rFonts w:eastAsia="Calibri"/>
          <w:color w:val="222222"/>
          <w:shd w:val="clear" w:color="auto" w:fill="FFFFFF"/>
          <w:lang w:val="en-US"/>
        </w:rPr>
        <w:t xml:space="preserve">, C., Lechner, M. and </w:t>
      </w:r>
      <w:proofErr w:type="spellStart"/>
      <w:r w:rsidRPr="007B7EBD">
        <w:rPr>
          <w:rFonts w:eastAsia="Calibri"/>
          <w:color w:val="222222"/>
          <w:shd w:val="clear" w:color="auto" w:fill="FFFFFF"/>
          <w:lang w:val="en-US"/>
        </w:rPr>
        <w:t>Steinmayr</w:t>
      </w:r>
      <w:proofErr w:type="spellEnd"/>
      <w:r w:rsidRPr="007B7EBD">
        <w:rPr>
          <w:rFonts w:eastAsia="Calibri"/>
          <w:color w:val="222222"/>
          <w:shd w:val="clear" w:color="auto" w:fill="FFFFFF"/>
          <w:lang w:val="en-US"/>
        </w:rPr>
        <w:t>, A., 2016. Sports and child development. </w:t>
      </w:r>
      <w:proofErr w:type="spellStart"/>
      <w:r w:rsidRPr="007B7EBD">
        <w:rPr>
          <w:rFonts w:eastAsia="Calibri"/>
          <w:i/>
          <w:iCs/>
          <w:color w:val="222222"/>
          <w:shd w:val="clear" w:color="auto" w:fill="FFFFFF"/>
          <w:lang w:val="en-US"/>
        </w:rPr>
        <w:t>PloS</w:t>
      </w:r>
      <w:proofErr w:type="spellEnd"/>
      <w:r w:rsidRPr="007B7EBD">
        <w:rPr>
          <w:rFonts w:eastAsia="Calibri"/>
          <w:i/>
          <w:iCs/>
          <w:color w:val="222222"/>
          <w:shd w:val="clear" w:color="auto" w:fill="FFFFFF"/>
          <w:lang w:val="en-US"/>
        </w:rPr>
        <w:t xml:space="preserve"> one</w:t>
      </w:r>
      <w:r w:rsidRPr="007B7EBD">
        <w:rPr>
          <w:rFonts w:eastAsia="Calibri"/>
          <w:color w:val="222222"/>
          <w:shd w:val="clear" w:color="auto" w:fill="FFFFFF"/>
          <w:lang w:val="en-US"/>
        </w:rPr>
        <w:t>, </w:t>
      </w:r>
      <w:r w:rsidRPr="007B7EBD">
        <w:rPr>
          <w:rFonts w:eastAsia="Calibri"/>
          <w:i/>
          <w:iCs/>
          <w:color w:val="222222"/>
          <w:shd w:val="clear" w:color="auto" w:fill="FFFFFF"/>
          <w:lang w:val="en-US"/>
        </w:rPr>
        <w:t>11</w:t>
      </w:r>
      <w:r w:rsidRPr="007B7EBD">
        <w:rPr>
          <w:rFonts w:eastAsia="Calibri"/>
          <w:color w:val="222222"/>
          <w:shd w:val="clear" w:color="auto" w:fill="FFFFFF"/>
          <w:lang w:val="en-US"/>
        </w:rPr>
        <w:t>(5), p.e0151729.</w:t>
      </w:r>
    </w:p>
    <w:p w14:paraId="1E6C6A58" w14:textId="77777777" w:rsidR="007B7EBD" w:rsidRPr="007B7EBD" w:rsidRDefault="007B7EBD" w:rsidP="007B7EBD">
      <w:pPr>
        <w:spacing w:after="160" w:line="360" w:lineRule="auto"/>
        <w:jc w:val="both"/>
        <w:rPr>
          <w:rFonts w:eastAsia="Calibri"/>
          <w:color w:val="222222"/>
          <w:shd w:val="clear" w:color="auto" w:fill="FFFFFF"/>
          <w:lang w:val="en-US"/>
        </w:rPr>
      </w:pPr>
      <w:proofErr w:type="spellStart"/>
      <w:r w:rsidRPr="007B7EBD">
        <w:rPr>
          <w:rFonts w:eastAsia="Calibri"/>
          <w:color w:val="222222"/>
          <w:shd w:val="clear" w:color="auto" w:fill="FFFFFF"/>
          <w:lang w:val="en-US"/>
        </w:rPr>
        <w:t>Kargi</w:t>
      </w:r>
      <w:proofErr w:type="spellEnd"/>
      <w:r w:rsidRPr="007B7EBD">
        <w:rPr>
          <w:rFonts w:eastAsia="Calibri"/>
          <w:color w:val="222222"/>
          <w:shd w:val="clear" w:color="auto" w:fill="FFFFFF"/>
          <w:lang w:val="en-US"/>
        </w:rPr>
        <w:t xml:space="preserve">, E. and </w:t>
      </w:r>
      <w:proofErr w:type="spellStart"/>
      <w:r w:rsidRPr="007B7EBD">
        <w:rPr>
          <w:rFonts w:eastAsia="Calibri"/>
          <w:color w:val="222222"/>
          <w:shd w:val="clear" w:color="auto" w:fill="FFFFFF"/>
          <w:lang w:val="en-US"/>
        </w:rPr>
        <w:t>Yazgin</w:t>
      </w:r>
      <w:proofErr w:type="spellEnd"/>
      <w:r w:rsidRPr="007B7EBD">
        <w:rPr>
          <w:rFonts w:eastAsia="Calibri"/>
          <w:color w:val="222222"/>
          <w:shd w:val="clear" w:color="auto" w:fill="FFFFFF"/>
          <w:lang w:val="en-US"/>
        </w:rPr>
        <w:t>, Y., 2018. Reflections of play and toys on Impressionist painting children and play as a pictorial expression. </w:t>
      </w:r>
      <w:r w:rsidRPr="007B7EBD">
        <w:rPr>
          <w:rFonts w:eastAsia="Calibri"/>
          <w:i/>
          <w:iCs/>
          <w:color w:val="222222"/>
          <w:shd w:val="clear" w:color="auto" w:fill="FFFFFF"/>
          <w:lang w:val="en-US"/>
        </w:rPr>
        <w:t>Creativity Research Journal</w:t>
      </w:r>
      <w:r w:rsidRPr="007B7EBD">
        <w:rPr>
          <w:rFonts w:eastAsia="Calibri"/>
          <w:color w:val="222222"/>
          <w:shd w:val="clear" w:color="auto" w:fill="FFFFFF"/>
          <w:lang w:val="en-US"/>
        </w:rPr>
        <w:t>, </w:t>
      </w:r>
      <w:r w:rsidRPr="007B7EBD">
        <w:rPr>
          <w:rFonts w:eastAsia="Calibri"/>
          <w:i/>
          <w:iCs/>
          <w:color w:val="222222"/>
          <w:shd w:val="clear" w:color="auto" w:fill="FFFFFF"/>
          <w:lang w:val="en-US"/>
        </w:rPr>
        <w:t>30</w:t>
      </w:r>
      <w:r w:rsidRPr="007B7EBD">
        <w:rPr>
          <w:rFonts w:eastAsia="Calibri"/>
          <w:color w:val="222222"/>
          <w:shd w:val="clear" w:color="auto" w:fill="FFFFFF"/>
          <w:lang w:val="en-US"/>
        </w:rPr>
        <w:t>(1), pp.113-117.</w:t>
      </w:r>
    </w:p>
    <w:p w14:paraId="40387A20" w14:textId="77777777" w:rsidR="007B7EBD" w:rsidRDefault="007B7EBD">
      <w:pPr>
        <w:spacing w:line="360" w:lineRule="auto"/>
        <w:jc w:val="both"/>
        <w:rPr>
          <w:rFonts w:ascii="Roboto" w:eastAsia="Roboto" w:hAnsi="Roboto" w:cs="Roboto"/>
          <w:sz w:val="21"/>
          <w:szCs w:val="21"/>
          <w:highlight w:val="white"/>
        </w:rPr>
      </w:pPr>
      <w:proofErr w:type="spellStart"/>
      <w:r w:rsidRPr="007B7EBD">
        <w:rPr>
          <w:rFonts w:ascii="Roboto" w:eastAsia="Roboto" w:hAnsi="Roboto" w:cs="Roboto"/>
          <w:sz w:val="21"/>
          <w:szCs w:val="21"/>
          <w:highlight w:val="white"/>
        </w:rPr>
        <w:t>Peppler</w:t>
      </w:r>
      <w:proofErr w:type="spellEnd"/>
      <w:r w:rsidRPr="007B7EBD">
        <w:rPr>
          <w:rFonts w:ascii="Roboto" w:eastAsia="Roboto" w:hAnsi="Roboto" w:cs="Roboto"/>
          <w:sz w:val="21"/>
          <w:szCs w:val="21"/>
          <w:highlight w:val="white"/>
        </w:rPr>
        <w:t>, K., Wohlwend, K., Thompson, N., Tan, V. and Thomas, A., 2019. Squishing circuits: Circuitry learning with electronics and playdough in early childhood. </w:t>
      </w:r>
      <w:r w:rsidRPr="007B7EBD">
        <w:rPr>
          <w:rFonts w:ascii="Roboto" w:eastAsia="Roboto" w:hAnsi="Roboto" w:cs="Roboto"/>
          <w:i/>
          <w:iCs/>
          <w:sz w:val="21"/>
          <w:szCs w:val="21"/>
          <w:highlight w:val="white"/>
        </w:rPr>
        <w:t>Journal of Science Education and Technology</w:t>
      </w:r>
      <w:r w:rsidRPr="007B7EBD">
        <w:rPr>
          <w:rFonts w:ascii="Roboto" w:eastAsia="Roboto" w:hAnsi="Roboto" w:cs="Roboto"/>
          <w:sz w:val="21"/>
          <w:szCs w:val="21"/>
          <w:highlight w:val="white"/>
        </w:rPr>
        <w:t>, </w:t>
      </w:r>
      <w:r w:rsidRPr="007B7EBD">
        <w:rPr>
          <w:rFonts w:ascii="Roboto" w:eastAsia="Roboto" w:hAnsi="Roboto" w:cs="Roboto"/>
          <w:i/>
          <w:iCs/>
          <w:sz w:val="21"/>
          <w:szCs w:val="21"/>
          <w:highlight w:val="white"/>
        </w:rPr>
        <w:t>28</w:t>
      </w:r>
      <w:r w:rsidRPr="007B7EBD">
        <w:rPr>
          <w:rFonts w:ascii="Roboto" w:eastAsia="Roboto" w:hAnsi="Roboto" w:cs="Roboto"/>
          <w:sz w:val="21"/>
          <w:szCs w:val="21"/>
          <w:highlight w:val="white"/>
        </w:rPr>
        <w:t>, pp.118-132.</w:t>
      </w:r>
    </w:p>
    <w:p w14:paraId="51B1F464" w14:textId="77777777" w:rsidR="007B7EBD" w:rsidRPr="007B7EBD" w:rsidRDefault="007B7EBD" w:rsidP="007B7EBD">
      <w:pPr>
        <w:spacing w:after="160" w:line="360" w:lineRule="auto"/>
        <w:jc w:val="both"/>
        <w:rPr>
          <w:rFonts w:eastAsia="Calibri"/>
          <w:color w:val="222222"/>
          <w:shd w:val="clear" w:color="auto" w:fill="FFFFFF"/>
          <w:lang w:val="en-US"/>
        </w:rPr>
      </w:pPr>
      <w:r w:rsidRPr="007B7EBD">
        <w:rPr>
          <w:rFonts w:eastAsia="Calibri"/>
          <w:color w:val="222222"/>
          <w:shd w:val="clear" w:color="auto" w:fill="FFFFFF"/>
          <w:lang w:val="en-US"/>
        </w:rPr>
        <w:t xml:space="preserve">Yusuf, A., </w:t>
      </w:r>
      <w:proofErr w:type="spellStart"/>
      <w:r w:rsidRPr="007B7EBD">
        <w:rPr>
          <w:rFonts w:eastAsia="Calibri"/>
          <w:color w:val="222222"/>
          <w:shd w:val="clear" w:color="auto" w:fill="FFFFFF"/>
          <w:lang w:val="en-US"/>
        </w:rPr>
        <w:t>Ummam</w:t>
      </w:r>
      <w:proofErr w:type="spellEnd"/>
      <w:r w:rsidRPr="007B7EBD">
        <w:rPr>
          <w:rFonts w:eastAsia="Calibri"/>
          <w:color w:val="222222"/>
          <w:shd w:val="clear" w:color="auto" w:fill="FFFFFF"/>
          <w:lang w:val="en-US"/>
        </w:rPr>
        <w:t xml:space="preserve">, A.F., </w:t>
      </w:r>
      <w:proofErr w:type="spellStart"/>
      <w:r w:rsidRPr="007B7EBD">
        <w:rPr>
          <w:rFonts w:eastAsia="Calibri"/>
          <w:color w:val="222222"/>
          <w:shd w:val="clear" w:color="auto" w:fill="FFFFFF"/>
          <w:lang w:val="en-US"/>
        </w:rPr>
        <w:t>Nastiti</w:t>
      </w:r>
      <w:proofErr w:type="spellEnd"/>
      <w:r w:rsidRPr="007B7EBD">
        <w:rPr>
          <w:rFonts w:eastAsia="Calibri"/>
          <w:color w:val="222222"/>
          <w:shd w:val="clear" w:color="auto" w:fill="FFFFFF"/>
          <w:lang w:val="en-US"/>
        </w:rPr>
        <w:t xml:space="preserve">, A.A. and </w:t>
      </w:r>
      <w:proofErr w:type="spellStart"/>
      <w:r w:rsidRPr="007B7EBD">
        <w:rPr>
          <w:rFonts w:eastAsia="Calibri"/>
          <w:color w:val="222222"/>
          <w:shd w:val="clear" w:color="auto" w:fill="FFFFFF"/>
          <w:lang w:val="en-US"/>
        </w:rPr>
        <w:t>Yunitasari</w:t>
      </w:r>
      <w:proofErr w:type="spellEnd"/>
      <w:r w:rsidRPr="007B7EBD">
        <w:rPr>
          <w:rFonts w:eastAsia="Calibri"/>
          <w:color w:val="222222"/>
          <w:shd w:val="clear" w:color="auto" w:fill="FFFFFF"/>
          <w:lang w:val="en-US"/>
        </w:rPr>
        <w:t>, E., 2020. The intervention of effective playdough activity on the increase of cognitive development of autistic children. </w:t>
      </w:r>
      <w:r w:rsidRPr="007B7EBD">
        <w:rPr>
          <w:rFonts w:eastAsia="Calibri"/>
          <w:i/>
          <w:iCs/>
          <w:color w:val="222222"/>
          <w:shd w:val="clear" w:color="auto" w:fill="FFFFFF"/>
          <w:lang w:val="en-US"/>
        </w:rPr>
        <w:t>Systematic Reviews in Pharmacy</w:t>
      </w:r>
      <w:r w:rsidRPr="007B7EBD">
        <w:rPr>
          <w:rFonts w:eastAsia="Calibri"/>
          <w:color w:val="222222"/>
          <w:shd w:val="clear" w:color="auto" w:fill="FFFFFF"/>
          <w:lang w:val="en-US"/>
        </w:rPr>
        <w:t>, </w:t>
      </w:r>
      <w:r w:rsidRPr="007B7EBD">
        <w:rPr>
          <w:rFonts w:eastAsia="Calibri"/>
          <w:i/>
          <w:iCs/>
          <w:color w:val="222222"/>
          <w:shd w:val="clear" w:color="auto" w:fill="FFFFFF"/>
          <w:lang w:val="en-US"/>
        </w:rPr>
        <w:t>11</w:t>
      </w:r>
      <w:r w:rsidRPr="007B7EBD">
        <w:rPr>
          <w:rFonts w:eastAsia="Calibri"/>
          <w:color w:val="222222"/>
          <w:shd w:val="clear" w:color="auto" w:fill="FFFFFF"/>
          <w:lang w:val="en-US"/>
        </w:rPr>
        <w:t>(3), pp.786-792.</w:t>
      </w:r>
    </w:p>
    <w:p w14:paraId="712AB16A" w14:textId="77777777" w:rsidR="007B7EBD" w:rsidRDefault="007B7EBD">
      <w:pPr>
        <w:spacing w:line="360" w:lineRule="auto"/>
        <w:jc w:val="both"/>
        <w:rPr>
          <w:rFonts w:ascii="Roboto" w:eastAsia="Roboto" w:hAnsi="Roboto" w:cs="Roboto"/>
          <w:sz w:val="21"/>
          <w:szCs w:val="21"/>
          <w:highlight w:val="white"/>
        </w:rPr>
      </w:pPr>
    </w:p>
    <w:sectPr w:rsidR="007B7EBD" w:rsidSect="00374DA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2D342" w14:textId="77777777" w:rsidR="00F01273" w:rsidRDefault="00F01273" w:rsidP="00374DA8">
      <w:pPr>
        <w:spacing w:line="240" w:lineRule="auto"/>
      </w:pPr>
      <w:r>
        <w:separator/>
      </w:r>
    </w:p>
  </w:endnote>
  <w:endnote w:type="continuationSeparator" w:id="0">
    <w:p w14:paraId="608DE040" w14:textId="77777777" w:rsidR="00F01273" w:rsidRDefault="00F01273" w:rsidP="00374D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366333344"/>
      <w:docPartObj>
        <w:docPartGallery w:val="Page Numbers (Bottom of Page)"/>
        <w:docPartUnique/>
      </w:docPartObj>
    </w:sdtPr>
    <w:sdtContent>
      <w:sdt>
        <w:sdtPr>
          <w:rPr>
            <w:sz w:val="24"/>
            <w:szCs w:val="24"/>
          </w:rPr>
          <w:id w:val="-1769616900"/>
          <w:docPartObj>
            <w:docPartGallery w:val="Page Numbers (Top of Page)"/>
            <w:docPartUnique/>
          </w:docPartObj>
        </w:sdtPr>
        <w:sdtContent>
          <w:p w14:paraId="27EC9E70" w14:textId="5E8AB911" w:rsidR="00374DA8" w:rsidRPr="00374DA8" w:rsidRDefault="00374DA8">
            <w:pPr>
              <w:pStyle w:val="Footer"/>
              <w:jc w:val="right"/>
              <w:rPr>
                <w:sz w:val="24"/>
                <w:szCs w:val="24"/>
              </w:rPr>
            </w:pPr>
            <w:r w:rsidRPr="00374DA8">
              <w:rPr>
                <w:sz w:val="24"/>
                <w:szCs w:val="24"/>
              </w:rPr>
              <w:t xml:space="preserve">Page </w:t>
            </w:r>
            <w:r w:rsidRPr="00374DA8">
              <w:rPr>
                <w:b/>
                <w:bCs/>
                <w:sz w:val="24"/>
                <w:szCs w:val="24"/>
              </w:rPr>
              <w:fldChar w:fldCharType="begin"/>
            </w:r>
            <w:r w:rsidRPr="00374DA8">
              <w:rPr>
                <w:b/>
                <w:bCs/>
                <w:sz w:val="24"/>
                <w:szCs w:val="24"/>
              </w:rPr>
              <w:instrText xml:space="preserve"> PAGE </w:instrText>
            </w:r>
            <w:r w:rsidRPr="00374DA8">
              <w:rPr>
                <w:b/>
                <w:bCs/>
                <w:sz w:val="24"/>
                <w:szCs w:val="24"/>
              </w:rPr>
              <w:fldChar w:fldCharType="separate"/>
            </w:r>
            <w:r w:rsidRPr="00374DA8">
              <w:rPr>
                <w:b/>
                <w:bCs/>
                <w:noProof/>
                <w:sz w:val="24"/>
                <w:szCs w:val="24"/>
              </w:rPr>
              <w:t>2</w:t>
            </w:r>
            <w:r w:rsidRPr="00374DA8">
              <w:rPr>
                <w:b/>
                <w:bCs/>
                <w:sz w:val="24"/>
                <w:szCs w:val="24"/>
              </w:rPr>
              <w:fldChar w:fldCharType="end"/>
            </w:r>
            <w:r w:rsidRPr="00374DA8">
              <w:rPr>
                <w:sz w:val="24"/>
                <w:szCs w:val="24"/>
              </w:rPr>
              <w:t xml:space="preserve"> of </w:t>
            </w:r>
            <w:r w:rsidRPr="00374DA8">
              <w:rPr>
                <w:b/>
                <w:bCs/>
                <w:sz w:val="24"/>
                <w:szCs w:val="24"/>
              </w:rPr>
              <w:fldChar w:fldCharType="begin"/>
            </w:r>
            <w:r w:rsidRPr="00374DA8">
              <w:rPr>
                <w:b/>
                <w:bCs/>
                <w:sz w:val="24"/>
                <w:szCs w:val="24"/>
              </w:rPr>
              <w:instrText xml:space="preserve"> NUMPAGES  </w:instrText>
            </w:r>
            <w:r w:rsidRPr="00374DA8">
              <w:rPr>
                <w:b/>
                <w:bCs/>
                <w:sz w:val="24"/>
                <w:szCs w:val="24"/>
              </w:rPr>
              <w:fldChar w:fldCharType="separate"/>
            </w:r>
            <w:r w:rsidRPr="00374DA8">
              <w:rPr>
                <w:b/>
                <w:bCs/>
                <w:noProof/>
                <w:sz w:val="24"/>
                <w:szCs w:val="24"/>
              </w:rPr>
              <w:t>2</w:t>
            </w:r>
            <w:r w:rsidRPr="00374DA8">
              <w:rPr>
                <w:b/>
                <w:bCs/>
                <w:sz w:val="24"/>
                <w:szCs w:val="24"/>
              </w:rPr>
              <w:fldChar w:fldCharType="end"/>
            </w:r>
          </w:p>
        </w:sdtContent>
      </w:sdt>
    </w:sdtContent>
  </w:sdt>
  <w:p w14:paraId="11BB09AE" w14:textId="77777777" w:rsidR="00374DA8" w:rsidRDefault="00374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23054" w14:textId="77777777" w:rsidR="00F01273" w:rsidRDefault="00F01273" w:rsidP="00374DA8">
      <w:pPr>
        <w:spacing w:line="240" w:lineRule="auto"/>
      </w:pPr>
      <w:r>
        <w:separator/>
      </w:r>
    </w:p>
  </w:footnote>
  <w:footnote w:type="continuationSeparator" w:id="0">
    <w:p w14:paraId="00B3A91D" w14:textId="77777777" w:rsidR="00F01273" w:rsidRDefault="00F01273" w:rsidP="00374D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3612B"/>
    <w:multiLevelType w:val="multilevel"/>
    <w:tmpl w:val="16B0E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6A1FAE"/>
    <w:multiLevelType w:val="multilevel"/>
    <w:tmpl w:val="FE62B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A3103F"/>
    <w:multiLevelType w:val="multilevel"/>
    <w:tmpl w:val="C622A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8029C0"/>
    <w:multiLevelType w:val="multilevel"/>
    <w:tmpl w:val="EA5C5A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5214A0D"/>
    <w:multiLevelType w:val="multilevel"/>
    <w:tmpl w:val="13342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8351881">
    <w:abstractNumId w:val="2"/>
  </w:num>
  <w:num w:numId="2" w16cid:durableId="1884753930">
    <w:abstractNumId w:val="3"/>
  </w:num>
  <w:num w:numId="3" w16cid:durableId="580717210">
    <w:abstractNumId w:val="1"/>
  </w:num>
  <w:num w:numId="4" w16cid:durableId="2132936308">
    <w:abstractNumId w:val="4"/>
  </w:num>
  <w:num w:numId="5" w16cid:durableId="221332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877"/>
    <w:rsid w:val="00094877"/>
    <w:rsid w:val="00374DA8"/>
    <w:rsid w:val="00454489"/>
    <w:rsid w:val="006133DD"/>
    <w:rsid w:val="007B7EBD"/>
    <w:rsid w:val="00E93212"/>
    <w:rsid w:val="00F01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5ADC4"/>
  <w15:docId w15:val="{2DAB24BA-04D9-4BEA-8EE2-7790E2449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B7EBD"/>
    <w:pPr>
      <w:keepNext/>
      <w:keepLines/>
      <w:spacing w:before="400" w:after="120"/>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B7E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B7EBD"/>
    <w:pPr>
      <w:spacing w:after="100"/>
    </w:pPr>
  </w:style>
  <w:style w:type="character" w:styleId="Hyperlink">
    <w:name w:val="Hyperlink"/>
    <w:basedOn w:val="DefaultParagraphFont"/>
    <w:uiPriority w:val="99"/>
    <w:unhideWhenUsed/>
    <w:rsid w:val="007B7EBD"/>
    <w:rPr>
      <w:color w:val="0000FF" w:themeColor="hyperlink"/>
      <w:u w:val="single"/>
    </w:rPr>
  </w:style>
  <w:style w:type="paragraph" w:styleId="Header">
    <w:name w:val="header"/>
    <w:basedOn w:val="Normal"/>
    <w:link w:val="HeaderChar"/>
    <w:uiPriority w:val="99"/>
    <w:unhideWhenUsed/>
    <w:rsid w:val="00374DA8"/>
    <w:pPr>
      <w:tabs>
        <w:tab w:val="center" w:pos="4680"/>
        <w:tab w:val="right" w:pos="9360"/>
      </w:tabs>
      <w:spacing w:line="240" w:lineRule="auto"/>
    </w:pPr>
  </w:style>
  <w:style w:type="character" w:customStyle="1" w:styleId="HeaderChar">
    <w:name w:val="Header Char"/>
    <w:basedOn w:val="DefaultParagraphFont"/>
    <w:link w:val="Header"/>
    <w:uiPriority w:val="99"/>
    <w:rsid w:val="00374DA8"/>
  </w:style>
  <w:style w:type="paragraph" w:styleId="Footer">
    <w:name w:val="footer"/>
    <w:basedOn w:val="Normal"/>
    <w:link w:val="FooterChar"/>
    <w:uiPriority w:val="99"/>
    <w:unhideWhenUsed/>
    <w:rsid w:val="00374DA8"/>
    <w:pPr>
      <w:tabs>
        <w:tab w:val="center" w:pos="4680"/>
        <w:tab w:val="right" w:pos="9360"/>
      </w:tabs>
      <w:spacing w:line="240" w:lineRule="auto"/>
    </w:pPr>
  </w:style>
  <w:style w:type="character" w:customStyle="1" w:styleId="FooterChar">
    <w:name w:val="Footer Char"/>
    <w:basedOn w:val="DefaultParagraphFont"/>
    <w:link w:val="Footer"/>
    <w:uiPriority w:val="99"/>
    <w:rsid w:val="00374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4F7EB-20EE-459C-AD86-FC81382ED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1125</Words>
  <Characters>6415</Characters>
  <Application>Microsoft Office Word</Application>
  <DocSecurity>0</DocSecurity>
  <Lines>53</Lines>
  <Paragraphs>15</Paragraphs>
  <ScaleCrop>false</ScaleCrop>
  <Company/>
  <LinksUpToDate>false</LinksUpToDate>
  <CharactersWithSpaces>7525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Hasena Khatun (2127944)</cp:lastModifiedBy>
  <cp:revision>2</cp:revision>
  <dcterms:created xsi:type="dcterms:W3CDTF">2023-02-26T16:33:00Z</dcterms:created>
  <dcterms:modified xsi:type="dcterms:W3CDTF">2023-02-26T16:33:00Z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797ab42c6d40db6fea9fcc5453e2f3eca381624f438e0a5f04cba2fc529534e5</vt:lpwstr>
  </property>
</Properties>
</file>