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color w:val="auto"/>
        </w:rPr>
      </w:sdtEndPr>
      <w:sdtContent>
        <w:p w14:paraId="5384490A" w14:textId="77777777" w:rsidR="007D1947" w:rsidRPr="00982351" w:rsidRDefault="007D1947" w:rsidP="00A5268C">
          <w:pPr>
            <w:pStyle w:val="NoSpacing"/>
            <w:spacing w:before="1540" w:after="240" w:line="360" w:lineRule="auto"/>
            <w:jc w:val="center"/>
            <w:rPr>
              <w:rFonts w:ascii="Times New Roman" w:hAnsi="Times New Roman" w:cs="Times New Roman"/>
              <w:color w:val="5B9BD5" w:themeColor="accent1"/>
              <w:sz w:val="24"/>
              <w:szCs w:val="24"/>
            </w:rPr>
          </w:pPr>
          <w:r w:rsidRPr="00982351">
            <w:rPr>
              <w:rFonts w:ascii="Times New Roman" w:hAnsi="Times New Roman" w:cs="Times New Roman"/>
              <w:noProof/>
              <w:color w:val="5B9BD5" w:themeColor="accent1"/>
              <w:sz w:val="24"/>
              <w:szCs w:val="24"/>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F2F2DB" w14:textId="242F3178" w:rsidR="007D1947" w:rsidRPr="00982351" w:rsidRDefault="00D05945" w:rsidP="00A5268C">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color w:val="5B9BD5" w:themeColor="accent1"/>
              <w:sz w:val="28"/>
              <w:szCs w:val="28"/>
            </w:rPr>
          </w:pPr>
          <w:r w:rsidRPr="00D05945">
            <w:rPr>
              <w:rFonts w:ascii="Times New Roman" w:eastAsiaTheme="majorEastAsia" w:hAnsi="Times New Roman" w:cs="Times New Roman"/>
              <w:caps/>
              <w:color w:val="5B9BD5" w:themeColor="accent1"/>
              <w:sz w:val="28"/>
              <w:szCs w:val="28"/>
            </w:rPr>
            <w:t>Finance for Business Managers</w:t>
          </w:r>
          <w:r w:rsidRPr="00D05945">
            <w:rPr>
              <w:rFonts w:ascii="Times New Roman" w:eastAsiaTheme="majorEastAsia" w:hAnsi="Times New Roman" w:cs="Times New Roman"/>
              <w:caps/>
              <w:color w:val="5B9BD5" w:themeColor="accent1"/>
              <w:sz w:val="28"/>
              <w:szCs w:val="28"/>
            </w:rPr>
            <w:tab/>
          </w:r>
        </w:p>
        <w:p w14:paraId="475B7674" w14:textId="1DAE2D95" w:rsidR="007D1947" w:rsidRPr="00982351" w:rsidRDefault="00D05945" w:rsidP="00A5268C">
          <w:pPr>
            <w:pStyle w:val="NoSpacing"/>
            <w:spacing w:line="360" w:lineRule="auto"/>
            <w:jc w:val="center"/>
            <w:rPr>
              <w:rFonts w:ascii="Times New Roman" w:hAnsi="Times New Roman" w:cs="Times New Roman"/>
              <w:color w:val="5B9BD5" w:themeColor="accent1"/>
              <w:sz w:val="28"/>
              <w:szCs w:val="28"/>
            </w:rPr>
          </w:pPr>
          <w:r w:rsidRPr="00D05945">
            <w:rPr>
              <w:rFonts w:ascii="Times New Roman" w:hAnsi="Times New Roman" w:cs="Times New Roman"/>
              <w:color w:val="5B9BD5" w:themeColor="accent1"/>
              <w:sz w:val="28"/>
              <w:szCs w:val="28"/>
            </w:rPr>
            <w:t>Financial Performance Analysis and Strategic Investment Evaluation: A Case Study of Rolls-Royce Holdings PLC and Beard Plc</w:t>
          </w:r>
        </w:p>
        <w:p w14:paraId="1ADC1124" w14:textId="77777777" w:rsidR="007D1947" w:rsidRPr="00982351" w:rsidRDefault="007D1947" w:rsidP="00A5268C">
          <w:pPr>
            <w:pStyle w:val="NoSpacing"/>
            <w:spacing w:before="480" w:line="360" w:lineRule="auto"/>
            <w:jc w:val="center"/>
            <w:rPr>
              <w:rFonts w:ascii="Times New Roman" w:hAnsi="Times New Roman" w:cs="Times New Roman"/>
              <w:color w:val="5B9BD5" w:themeColor="accent1"/>
              <w:sz w:val="28"/>
              <w:szCs w:val="28"/>
            </w:rPr>
          </w:pPr>
          <w:r w:rsidRPr="00982351">
            <w:rPr>
              <w:rFonts w:ascii="Times New Roman" w:hAnsi="Times New Roman" w:cs="Times New Roman"/>
              <w:noProof/>
              <w:color w:val="5B9BD5" w:themeColor="accent1"/>
              <w:sz w:val="28"/>
              <w:szCs w:val="28"/>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AF8D9" w14:textId="022FCC53" w:rsidR="007D1947" w:rsidRDefault="00D05945">
                                <w:pPr>
                                  <w:pStyle w:val="NoSpacing"/>
                                  <w:spacing w:after="40"/>
                                  <w:jc w:val="center"/>
                                  <w:rPr>
                                    <w:caps/>
                                    <w:color w:val="5B9BD5" w:themeColor="accent1"/>
                                    <w:sz w:val="28"/>
                                    <w:szCs w:val="28"/>
                                  </w:rPr>
                                </w:pPr>
                                <w:r>
                                  <w:rPr>
                                    <w:caps/>
                                    <w:color w:val="5B9BD5" w:themeColor="accent1"/>
                                    <w:sz w:val="28"/>
                                    <w:szCs w:val="28"/>
                                  </w:rPr>
                                  <w:t>March 20, 2026</w:t>
                                </w:r>
                              </w:p>
                              <w:p w14:paraId="69E98CB3" w14:textId="57F87032" w:rsidR="007D1947" w:rsidRDefault="004A11F6">
                                <w:pPr>
                                  <w:pStyle w:val="NoSpacing"/>
                                  <w:jc w:val="center"/>
                                  <w:rPr>
                                    <w:color w:val="5B9BD5" w:themeColor="accent1"/>
                                  </w:rPr>
                                </w:pPr>
                                <w:r>
                                  <w:rPr>
                                    <w:caps/>
                                    <w:color w:val="5B9BD5" w:themeColor="accent1"/>
                                    <w:lang w:val="en-GB"/>
                                  </w:rPr>
                                  <w:t>University of Wales Trinity Saint David</w:t>
                                </w:r>
                              </w:p>
                              <w:p w14:paraId="3FC79022" w14:textId="7EBE471E" w:rsidR="007D1947" w:rsidRDefault="007D1947">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52BAF8D9" w14:textId="022FCC53" w:rsidR="007D1947" w:rsidRDefault="00D05945">
                          <w:pPr>
                            <w:pStyle w:val="NoSpacing"/>
                            <w:spacing w:after="40"/>
                            <w:jc w:val="center"/>
                            <w:rPr>
                              <w:caps/>
                              <w:color w:val="5B9BD5" w:themeColor="accent1"/>
                              <w:sz w:val="28"/>
                              <w:szCs w:val="28"/>
                            </w:rPr>
                          </w:pPr>
                          <w:r>
                            <w:rPr>
                              <w:caps/>
                              <w:color w:val="5B9BD5" w:themeColor="accent1"/>
                              <w:sz w:val="28"/>
                              <w:szCs w:val="28"/>
                            </w:rPr>
                            <w:t>March 20, 2026</w:t>
                          </w:r>
                        </w:p>
                        <w:p w14:paraId="69E98CB3" w14:textId="57F87032" w:rsidR="007D1947" w:rsidRDefault="004A11F6">
                          <w:pPr>
                            <w:pStyle w:val="NoSpacing"/>
                            <w:jc w:val="center"/>
                            <w:rPr>
                              <w:color w:val="5B9BD5" w:themeColor="accent1"/>
                            </w:rPr>
                          </w:pPr>
                          <w:r>
                            <w:rPr>
                              <w:caps/>
                              <w:color w:val="5B9BD5" w:themeColor="accent1"/>
                              <w:lang w:val="en-GB"/>
                            </w:rPr>
                            <w:t>University of Wales Trinity Saint David</w:t>
                          </w:r>
                        </w:p>
                        <w:p w14:paraId="3FC79022" w14:textId="7EBE471E" w:rsidR="007D1947" w:rsidRDefault="007D1947">
                          <w:pPr>
                            <w:pStyle w:val="NoSpacing"/>
                            <w:jc w:val="center"/>
                            <w:rPr>
                              <w:color w:val="5B9BD5" w:themeColor="accent1"/>
                            </w:rPr>
                          </w:pPr>
                        </w:p>
                      </w:txbxContent>
                    </v:textbox>
                    <w10:wrap anchorx="margin" anchory="page"/>
                  </v:shape>
                </w:pict>
              </mc:Fallback>
            </mc:AlternateContent>
          </w:r>
          <w:r w:rsidRPr="00982351">
            <w:rPr>
              <w:rFonts w:ascii="Times New Roman" w:hAnsi="Times New Roman" w:cs="Times New Roman"/>
              <w:noProof/>
              <w:color w:val="5B9BD5" w:themeColor="accent1"/>
              <w:sz w:val="28"/>
              <w:szCs w:val="28"/>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D05945" w:rsidRDefault="007D1947" w:rsidP="00A5268C">
          <w:pPr>
            <w:pStyle w:val="Heading1"/>
            <w:rPr>
              <w:rFonts w:cs="Times New Roman"/>
              <w:szCs w:val="26"/>
            </w:rPr>
          </w:pPr>
          <w:r w:rsidRPr="00982351">
            <w:rPr>
              <w:rFonts w:cs="Times New Roman"/>
              <w:sz w:val="24"/>
              <w:szCs w:val="24"/>
            </w:rPr>
            <w:br w:type="page"/>
          </w:r>
          <w:bookmarkStart w:id="0" w:name="_Toc178766392"/>
          <w:r w:rsidRPr="00D05945">
            <w:rPr>
              <w:rFonts w:cs="Times New Roman"/>
              <w:szCs w:val="26"/>
            </w:rPr>
            <w:lastRenderedPageBreak/>
            <w:t>Executive Summary</w:t>
          </w:r>
          <w:bookmarkEnd w:id="0"/>
        </w:p>
        <w:p w14:paraId="62BBF73A" w14:textId="1529EEBE" w:rsidR="00982351" w:rsidRPr="00982351" w:rsidRDefault="00982351"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This report is aimed at analysing the financial performance and strategic position of Rolls-Royce Holdings PLC in the 2024 and 2025 financial years as well as assessing investment opportunities of Beard Plc based on the available methods of capital budgeting. Ratio assessment has been conducted by the report that encompasses profitable ratios, liquidity ratios, solvency ratios, efficiency ratios and investor ratios to determine the efficacy of the recent transformation and financial recovery of Rolls-Royce.</w:t>
          </w:r>
        </w:p>
        <w:p w14:paraId="3BCA46A6" w14:textId="04B89A30" w:rsidR="00982351" w:rsidRPr="00982351" w:rsidRDefault="00982351"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According to the findings, Rolls-Royce has made a huge improvement in its operating performance that is being backed by the rise in margins, growth in cash flows, and regained positive shareholder equity. Nevertheless, there are still some risks, especially those that are associated with liquidity tension and the dependence on non-operating income in net profitability. Strategic suggestions focus on cost discipline, work capital optimisation and the further investment in sustainable technologies to provide long-term competitiveness.</w:t>
          </w:r>
        </w:p>
        <w:p w14:paraId="12214DC8" w14:textId="38FFC887" w:rsidR="00982351" w:rsidRPr="00982351" w:rsidRDefault="00982351"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Further, the report compares three investment alternatives that can be used by Beard Plc through Net Present Value (NPV) approach. Option C has been determined as the most financially feasible alternative and as the one that yields the maximum NPV and therefore shareholder value maximisation. A mix of Option C and a ratio of Option B are suggested to be adopted under capital rationing constraints in order to get the best allocation of resources.</w:t>
          </w:r>
        </w:p>
        <w:p w14:paraId="53363C13" w14:textId="22B1AC41" w:rsidR="00D854A5" w:rsidRPr="00982351" w:rsidRDefault="00982351"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In general, the report combines quantitative financial analysis and qualitative strategy to make informed decisions and create sustainable values.</w:t>
          </w:r>
        </w:p>
        <w:p w14:paraId="62AB7F7D" w14:textId="77777777" w:rsidR="007D1947" w:rsidRPr="00982351" w:rsidRDefault="007D1947" w:rsidP="00A5268C">
          <w:pPr>
            <w:spacing w:line="360" w:lineRule="auto"/>
            <w:rPr>
              <w:rFonts w:ascii="Times New Roman" w:hAnsi="Times New Roman" w:cs="Times New Roman"/>
              <w:sz w:val="24"/>
              <w:szCs w:val="24"/>
            </w:rPr>
          </w:pPr>
        </w:p>
        <w:p w14:paraId="6846CF66" w14:textId="77777777" w:rsidR="007D1947" w:rsidRPr="00982351" w:rsidRDefault="007D1947" w:rsidP="00A5268C">
          <w:pPr>
            <w:spacing w:line="360" w:lineRule="auto"/>
            <w:rPr>
              <w:rFonts w:ascii="Times New Roman" w:hAnsi="Times New Roman" w:cs="Times New Roman"/>
              <w:sz w:val="24"/>
              <w:szCs w:val="24"/>
            </w:rPr>
          </w:pPr>
        </w:p>
        <w:p w14:paraId="7F8F78F5" w14:textId="77777777" w:rsidR="007D1947" w:rsidRPr="00982351" w:rsidRDefault="007D1947" w:rsidP="00A5268C">
          <w:pPr>
            <w:spacing w:line="360" w:lineRule="auto"/>
            <w:rPr>
              <w:rFonts w:ascii="Times New Roman" w:hAnsi="Times New Roman" w:cs="Times New Roman"/>
              <w:sz w:val="24"/>
              <w:szCs w:val="24"/>
            </w:rPr>
          </w:pPr>
        </w:p>
        <w:p w14:paraId="3E204757" w14:textId="77777777" w:rsidR="007D1947" w:rsidRPr="00982351" w:rsidRDefault="007D1947" w:rsidP="00A5268C">
          <w:pPr>
            <w:spacing w:line="360" w:lineRule="auto"/>
            <w:rPr>
              <w:rFonts w:ascii="Times New Roman" w:hAnsi="Times New Roman" w:cs="Times New Roman"/>
              <w:sz w:val="24"/>
              <w:szCs w:val="24"/>
            </w:rPr>
          </w:pPr>
        </w:p>
        <w:p w14:paraId="775DA3A7" w14:textId="77777777" w:rsidR="007D1947" w:rsidRPr="00982351" w:rsidRDefault="007D1947" w:rsidP="00A5268C">
          <w:pPr>
            <w:spacing w:line="360" w:lineRule="auto"/>
            <w:rPr>
              <w:rFonts w:ascii="Times New Roman" w:hAnsi="Times New Roman" w:cs="Times New Roman"/>
              <w:sz w:val="24"/>
              <w:szCs w:val="24"/>
            </w:rPr>
          </w:pPr>
        </w:p>
        <w:p w14:paraId="5E5C2FB5" w14:textId="77777777" w:rsidR="007D1947" w:rsidRPr="00982351" w:rsidRDefault="007D1947" w:rsidP="00A5268C">
          <w:pPr>
            <w:spacing w:line="360" w:lineRule="auto"/>
            <w:rPr>
              <w:rFonts w:ascii="Times New Roman" w:hAnsi="Times New Roman" w:cs="Times New Roman"/>
              <w:sz w:val="24"/>
              <w:szCs w:val="24"/>
            </w:rPr>
          </w:pPr>
        </w:p>
        <w:p w14:paraId="119F1E47" w14:textId="77777777" w:rsidR="007D1947" w:rsidRPr="00982351" w:rsidRDefault="007D1947" w:rsidP="00A5268C">
          <w:pPr>
            <w:spacing w:line="360" w:lineRule="auto"/>
            <w:rPr>
              <w:rFonts w:ascii="Times New Roman" w:hAnsi="Times New Roman" w:cs="Times New Roman"/>
              <w:sz w:val="24"/>
              <w:szCs w:val="24"/>
            </w:rPr>
          </w:pPr>
        </w:p>
        <w:p w14:paraId="2059565F" w14:textId="77777777" w:rsidR="007D1947" w:rsidRPr="00982351" w:rsidRDefault="007D1947" w:rsidP="00A5268C">
          <w:pPr>
            <w:spacing w:line="360" w:lineRule="auto"/>
            <w:rPr>
              <w:rFonts w:ascii="Times New Roman" w:hAnsi="Times New Roman" w:cs="Times New Roman"/>
              <w:sz w:val="24"/>
              <w:szCs w:val="24"/>
            </w:rPr>
          </w:pPr>
        </w:p>
        <w:p w14:paraId="0EAD00A7" w14:textId="77777777" w:rsidR="007D1947" w:rsidRPr="00982351" w:rsidRDefault="007D1947" w:rsidP="00A5268C">
          <w:pPr>
            <w:spacing w:line="360" w:lineRule="auto"/>
            <w:rPr>
              <w:rFonts w:ascii="Times New Roman" w:hAnsi="Times New Roman" w:cs="Times New Roman"/>
              <w:sz w:val="24"/>
              <w:szCs w:val="24"/>
            </w:rPr>
          </w:pPr>
        </w:p>
        <w:sdt>
          <w:sdtPr>
            <w:rPr>
              <w:rFonts w:eastAsiaTheme="minorHAnsi" w:cs="Times New Roman"/>
              <w:sz w:val="24"/>
              <w:szCs w:val="24"/>
              <w:lang w:val="en-GB"/>
            </w:rPr>
            <w:id w:val="-1297214018"/>
            <w:docPartObj>
              <w:docPartGallery w:val="Table of Contents"/>
              <w:docPartUnique/>
            </w:docPartObj>
          </w:sdtPr>
          <w:sdtEndPr>
            <w:rPr>
              <w:bCs/>
              <w:noProof/>
            </w:rPr>
          </w:sdtEndPr>
          <w:sdtContent>
            <w:p w14:paraId="1DFECD67" w14:textId="77777777" w:rsidR="007D1947" w:rsidRPr="00D05945" w:rsidRDefault="007D1947" w:rsidP="00A5268C">
              <w:pPr>
                <w:pStyle w:val="TOCHeading"/>
                <w:rPr>
                  <w:rFonts w:cs="Times New Roman"/>
                  <w:szCs w:val="26"/>
                </w:rPr>
              </w:pPr>
              <w:r w:rsidRPr="00D05945">
                <w:rPr>
                  <w:rFonts w:cs="Times New Roman"/>
                  <w:szCs w:val="26"/>
                </w:rPr>
                <w:t>Table of Contents</w:t>
              </w:r>
            </w:p>
            <w:p w14:paraId="24EEE8BC" w14:textId="7FAFD739" w:rsidR="00CF0E48" w:rsidRPr="00982351" w:rsidRDefault="007D1947" w:rsidP="00A5268C">
              <w:pPr>
                <w:pStyle w:val="TOC1"/>
                <w:tabs>
                  <w:tab w:val="right" w:leader="dot" w:pos="9016"/>
                </w:tabs>
                <w:spacing w:line="360" w:lineRule="auto"/>
                <w:rPr>
                  <w:rFonts w:ascii="Times New Roman" w:eastAsiaTheme="minorEastAsia" w:hAnsi="Times New Roman" w:cs="Times New Roman"/>
                  <w:noProof/>
                  <w:kern w:val="2"/>
                  <w:sz w:val="24"/>
                  <w:szCs w:val="24"/>
                  <w:lang w:eastAsia="zh-CN"/>
                  <w14:ligatures w14:val="standardContextual"/>
                </w:rPr>
              </w:pPr>
              <w:r w:rsidRPr="00982351">
                <w:rPr>
                  <w:rFonts w:ascii="Times New Roman" w:hAnsi="Times New Roman" w:cs="Times New Roman"/>
                  <w:sz w:val="24"/>
                  <w:szCs w:val="24"/>
                </w:rPr>
                <w:fldChar w:fldCharType="begin"/>
              </w:r>
              <w:r w:rsidRPr="00982351">
                <w:rPr>
                  <w:rFonts w:ascii="Times New Roman" w:hAnsi="Times New Roman" w:cs="Times New Roman"/>
                  <w:sz w:val="24"/>
                  <w:szCs w:val="24"/>
                </w:rPr>
                <w:instrText xml:space="preserve"> TOC \o "1-3" \h \z \u </w:instrText>
              </w:r>
              <w:r w:rsidRPr="00982351">
                <w:rPr>
                  <w:rFonts w:ascii="Times New Roman" w:hAnsi="Times New Roman" w:cs="Times New Roman"/>
                  <w:sz w:val="24"/>
                  <w:szCs w:val="24"/>
                </w:rPr>
                <w:fldChar w:fldCharType="separate"/>
              </w:r>
              <w:hyperlink w:anchor="_Toc178766392" w:history="1">
                <w:r w:rsidR="00CF0E48" w:rsidRPr="00982351">
                  <w:rPr>
                    <w:rStyle w:val="Hyperlink"/>
                    <w:rFonts w:ascii="Times New Roman" w:hAnsi="Times New Roman" w:cs="Times New Roman"/>
                    <w:noProof/>
                    <w:sz w:val="24"/>
                    <w:szCs w:val="24"/>
                  </w:rPr>
                  <w:t>Executive Summary</w:t>
                </w:r>
                <w:r w:rsidR="00CF0E48" w:rsidRPr="00982351">
                  <w:rPr>
                    <w:rFonts w:ascii="Times New Roman" w:hAnsi="Times New Roman" w:cs="Times New Roman"/>
                    <w:noProof/>
                    <w:webHidden/>
                    <w:sz w:val="24"/>
                    <w:szCs w:val="24"/>
                  </w:rPr>
                  <w:tab/>
                </w:r>
                <w:r w:rsidR="00CF0E48" w:rsidRPr="00982351">
                  <w:rPr>
                    <w:rFonts w:ascii="Times New Roman" w:hAnsi="Times New Roman" w:cs="Times New Roman"/>
                    <w:noProof/>
                    <w:webHidden/>
                    <w:sz w:val="24"/>
                    <w:szCs w:val="24"/>
                  </w:rPr>
                  <w:fldChar w:fldCharType="begin"/>
                </w:r>
                <w:r w:rsidR="00CF0E48" w:rsidRPr="00982351">
                  <w:rPr>
                    <w:rFonts w:ascii="Times New Roman" w:hAnsi="Times New Roman" w:cs="Times New Roman"/>
                    <w:noProof/>
                    <w:webHidden/>
                    <w:sz w:val="24"/>
                    <w:szCs w:val="24"/>
                  </w:rPr>
                  <w:instrText xml:space="preserve"> PAGEREF _Toc178766392 \h </w:instrText>
                </w:r>
                <w:r w:rsidR="00CF0E48" w:rsidRPr="00982351">
                  <w:rPr>
                    <w:rFonts w:ascii="Times New Roman" w:hAnsi="Times New Roman" w:cs="Times New Roman"/>
                    <w:noProof/>
                    <w:webHidden/>
                    <w:sz w:val="24"/>
                    <w:szCs w:val="24"/>
                  </w:rPr>
                </w:r>
                <w:r w:rsidR="00CF0E48" w:rsidRPr="00982351">
                  <w:rPr>
                    <w:rFonts w:ascii="Times New Roman" w:hAnsi="Times New Roman" w:cs="Times New Roman"/>
                    <w:noProof/>
                    <w:webHidden/>
                    <w:sz w:val="24"/>
                    <w:szCs w:val="24"/>
                  </w:rPr>
                  <w:fldChar w:fldCharType="separate"/>
                </w:r>
                <w:r w:rsidR="00CF0E48" w:rsidRPr="00982351">
                  <w:rPr>
                    <w:rFonts w:ascii="Times New Roman" w:hAnsi="Times New Roman" w:cs="Times New Roman"/>
                    <w:noProof/>
                    <w:webHidden/>
                    <w:sz w:val="24"/>
                    <w:szCs w:val="24"/>
                  </w:rPr>
                  <w:t>1</w:t>
                </w:r>
                <w:r w:rsidR="00CF0E48" w:rsidRPr="00982351">
                  <w:rPr>
                    <w:rFonts w:ascii="Times New Roman" w:hAnsi="Times New Roman" w:cs="Times New Roman"/>
                    <w:noProof/>
                    <w:webHidden/>
                    <w:sz w:val="24"/>
                    <w:szCs w:val="24"/>
                  </w:rPr>
                  <w:fldChar w:fldCharType="end"/>
                </w:r>
              </w:hyperlink>
            </w:p>
            <w:p w14:paraId="7C633003" w14:textId="1EACF889" w:rsidR="00CF0E48" w:rsidRPr="00982351" w:rsidRDefault="00E36F3C" w:rsidP="00A5268C">
              <w:pPr>
                <w:pStyle w:val="TOC1"/>
                <w:tabs>
                  <w:tab w:val="right" w:leader="dot" w:pos="9016"/>
                </w:tabs>
                <w:spacing w:line="360" w:lineRule="auto"/>
                <w:rPr>
                  <w:rFonts w:ascii="Times New Roman" w:eastAsiaTheme="minorEastAsia" w:hAnsi="Times New Roman" w:cs="Times New Roman"/>
                  <w:noProof/>
                  <w:kern w:val="2"/>
                  <w:sz w:val="24"/>
                  <w:szCs w:val="24"/>
                  <w:lang w:eastAsia="zh-CN"/>
                  <w14:ligatures w14:val="standardContextual"/>
                </w:rPr>
              </w:pPr>
              <w:hyperlink w:anchor="_Toc178766393" w:history="1">
                <w:r w:rsidR="00CF0E48" w:rsidRPr="00982351">
                  <w:rPr>
                    <w:rStyle w:val="Hyperlink"/>
                    <w:rFonts w:ascii="Times New Roman" w:hAnsi="Times New Roman" w:cs="Times New Roman"/>
                    <w:noProof/>
                    <w:sz w:val="24"/>
                    <w:szCs w:val="24"/>
                  </w:rPr>
                  <w:t>Introduction (average of 10% of the word count)</w:t>
                </w:r>
                <w:r w:rsidR="00CF0E48" w:rsidRPr="00982351">
                  <w:rPr>
                    <w:rFonts w:ascii="Times New Roman" w:hAnsi="Times New Roman" w:cs="Times New Roman"/>
                    <w:noProof/>
                    <w:webHidden/>
                    <w:sz w:val="24"/>
                    <w:szCs w:val="24"/>
                  </w:rPr>
                  <w:tab/>
                </w:r>
                <w:r w:rsidR="00CF0E48" w:rsidRPr="00982351">
                  <w:rPr>
                    <w:rFonts w:ascii="Times New Roman" w:hAnsi="Times New Roman" w:cs="Times New Roman"/>
                    <w:noProof/>
                    <w:webHidden/>
                    <w:sz w:val="24"/>
                    <w:szCs w:val="24"/>
                  </w:rPr>
                  <w:fldChar w:fldCharType="begin"/>
                </w:r>
                <w:r w:rsidR="00CF0E48" w:rsidRPr="00982351">
                  <w:rPr>
                    <w:rFonts w:ascii="Times New Roman" w:hAnsi="Times New Roman" w:cs="Times New Roman"/>
                    <w:noProof/>
                    <w:webHidden/>
                    <w:sz w:val="24"/>
                    <w:szCs w:val="24"/>
                  </w:rPr>
                  <w:instrText xml:space="preserve"> PAGEREF _Toc178766393 \h </w:instrText>
                </w:r>
                <w:r w:rsidR="00CF0E48" w:rsidRPr="00982351">
                  <w:rPr>
                    <w:rFonts w:ascii="Times New Roman" w:hAnsi="Times New Roman" w:cs="Times New Roman"/>
                    <w:noProof/>
                    <w:webHidden/>
                    <w:sz w:val="24"/>
                    <w:szCs w:val="24"/>
                  </w:rPr>
                </w:r>
                <w:r w:rsidR="00CF0E48" w:rsidRPr="00982351">
                  <w:rPr>
                    <w:rFonts w:ascii="Times New Roman" w:hAnsi="Times New Roman" w:cs="Times New Roman"/>
                    <w:noProof/>
                    <w:webHidden/>
                    <w:sz w:val="24"/>
                    <w:szCs w:val="24"/>
                  </w:rPr>
                  <w:fldChar w:fldCharType="separate"/>
                </w:r>
                <w:r w:rsidR="00CF0E48" w:rsidRPr="00982351">
                  <w:rPr>
                    <w:rFonts w:ascii="Times New Roman" w:hAnsi="Times New Roman" w:cs="Times New Roman"/>
                    <w:noProof/>
                    <w:webHidden/>
                    <w:sz w:val="24"/>
                    <w:szCs w:val="24"/>
                  </w:rPr>
                  <w:t>3</w:t>
                </w:r>
                <w:r w:rsidR="00CF0E48" w:rsidRPr="00982351">
                  <w:rPr>
                    <w:rFonts w:ascii="Times New Roman" w:hAnsi="Times New Roman" w:cs="Times New Roman"/>
                    <w:noProof/>
                    <w:webHidden/>
                    <w:sz w:val="24"/>
                    <w:szCs w:val="24"/>
                  </w:rPr>
                  <w:fldChar w:fldCharType="end"/>
                </w:r>
              </w:hyperlink>
            </w:p>
            <w:p w14:paraId="0435DA61" w14:textId="7AF1163D" w:rsidR="00CF0E48" w:rsidRPr="00982351" w:rsidRDefault="00E36F3C" w:rsidP="00A5268C">
              <w:pPr>
                <w:pStyle w:val="TOC1"/>
                <w:tabs>
                  <w:tab w:val="right" w:leader="dot" w:pos="9016"/>
                </w:tabs>
                <w:spacing w:line="360" w:lineRule="auto"/>
                <w:rPr>
                  <w:rFonts w:ascii="Times New Roman" w:eastAsiaTheme="minorEastAsia" w:hAnsi="Times New Roman" w:cs="Times New Roman"/>
                  <w:noProof/>
                  <w:kern w:val="2"/>
                  <w:sz w:val="24"/>
                  <w:szCs w:val="24"/>
                  <w:lang w:eastAsia="zh-CN"/>
                  <w14:ligatures w14:val="standardContextual"/>
                </w:rPr>
              </w:pPr>
              <w:hyperlink w:anchor="_Toc178766394" w:history="1">
                <w:r w:rsidR="00CF0E48" w:rsidRPr="00982351">
                  <w:rPr>
                    <w:rStyle w:val="Hyperlink"/>
                    <w:rFonts w:ascii="Times New Roman" w:hAnsi="Times New Roman" w:cs="Times New Roman"/>
                    <w:noProof/>
                    <w:sz w:val="24"/>
                    <w:szCs w:val="24"/>
                  </w:rPr>
                  <w:t>Main Findings</w:t>
                </w:r>
                <w:r w:rsidR="00CF0E48" w:rsidRPr="00982351">
                  <w:rPr>
                    <w:rFonts w:ascii="Times New Roman" w:hAnsi="Times New Roman" w:cs="Times New Roman"/>
                    <w:noProof/>
                    <w:webHidden/>
                    <w:sz w:val="24"/>
                    <w:szCs w:val="24"/>
                  </w:rPr>
                  <w:tab/>
                </w:r>
                <w:r w:rsidR="00CF0E48" w:rsidRPr="00982351">
                  <w:rPr>
                    <w:rFonts w:ascii="Times New Roman" w:hAnsi="Times New Roman" w:cs="Times New Roman"/>
                    <w:noProof/>
                    <w:webHidden/>
                    <w:sz w:val="24"/>
                    <w:szCs w:val="24"/>
                  </w:rPr>
                  <w:fldChar w:fldCharType="begin"/>
                </w:r>
                <w:r w:rsidR="00CF0E48" w:rsidRPr="00982351">
                  <w:rPr>
                    <w:rFonts w:ascii="Times New Roman" w:hAnsi="Times New Roman" w:cs="Times New Roman"/>
                    <w:noProof/>
                    <w:webHidden/>
                    <w:sz w:val="24"/>
                    <w:szCs w:val="24"/>
                  </w:rPr>
                  <w:instrText xml:space="preserve"> PAGEREF _Toc178766394 \h </w:instrText>
                </w:r>
                <w:r w:rsidR="00CF0E48" w:rsidRPr="00982351">
                  <w:rPr>
                    <w:rFonts w:ascii="Times New Roman" w:hAnsi="Times New Roman" w:cs="Times New Roman"/>
                    <w:noProof/>
                    <w:webHidden/>
                    <w:sz w:val="24"/>
                    <w:szCs w:val="24"/>
                  </w:rPr>
                </w:r>
                <w:r w:rsidR="00CF0E48" w:rsidRPr="00982351">
                  <w:rPr>
                    <w:rFonts w:ascii="Times New Roman" w:hAnsi="Times New Roman" w:cs="Times New Roman"/>
                    <w:noProof/>
                    <w:webHidden/>
                    <w:sz w:val="24"/>
                    <w:szCs w:val="24"/>
                  </w:rPr>
                  <w:fldChar w:fldCharType="separate"/>
                </w:r>
                <w:r w:rsidR="00CF0E48" w:rsidRPr="00982351">
                  <w:rPr>
                    <w:rFonts w:ascii="Times New Roman" w:hAnsi="Times New Roman" w:cs="Times New Roman"/>
                    <w:noProof/>
                    <w:webHidden/>
                    <w:sz w:val="24"/>
                    <w:szCs w:val="24"/>
                  </w:rPr>
                  <w:t>4</w:t>
                </w:r>
                <w:r w:rsidR="00CF0E48" w:rsidRPr="00982351">
                  <w:rPr>
                    <w:rFonts w:ascii="Times New Roman" w:hAnsi="Times New Roman" w:cs="Times New Roman"/>
                    <w:noProof/>
                    <w:webHidden/>
                    <w:sz w:val="24"/>
                    <w:szCs w:val="24"/>
                  </w:rPr>
                  <w:fldChar w:fldCharType="end"/>
                </w:r>
              </w:hyperlink>
            </w:p>
            <w:p w14:paraId="2107754F" w14:textId="414BED1F" w:rsidR="00CF0E48" w:rsidRPr="00982351" w:rsidRDefault="00E36F3C" w:rsidP="00A5268C">
              <w:pPr>
                <w:pStyle w:val="TOC2"/>
                <w:tabs>
                  <w:tab w:val="right" w:leader="dot" w:pos="9016"/>
                </w:tabs>
                <w:spacing w:line="360" w:lineRule="auto"/>
                <w:rPr>
                  <w:rFonts w:ascii="Times New Roman" w:eastAsiaTheme="minorEastAsia" w:hAnsi="Times New Roman" w:cs="Times New Roman"/>
                  <w:noProof/>
                  <w:kern w:val="2"/>
                  <w:sz w:val="24"/>
                  <w:szCs w:val="24"/>
                  <w:lang w:eastAsia="zh-CN"/>
                  <w14:ligatures w14:val="standardContextual"/>
                </w:rPr>
              </w:pPr>
              <w:hyperlink w:anchor="_Toc178766395" w:history="1">
                <w:r w:rsidR="00CF0E48" w:rsidRPr="00982351">
                  <w:rPr>
                    <w:rStyle w:val="Hyperlink"/>
                    <w:rFonts w:ascii="Times New Roman" w:hAnsi="Times New Roman" w:cs="Times New Roman"/>
                    <w:noProof/>
                    <w:sz w:val="24"/>
                    <w:szCs w:val="24"/>
                  </w:rPr>
                  <w:t>Task 1</w:t>
                </w:r>
                <w:r w:rsidR="00CF0E48" w:rsidRPr="00982351">
                  <w:rPr>
                    <w:rFonts w:ascii="Times New Roman" w:hAnsi="Times New Roman" w:cs="Times New Roman"/>
                    <w:noProof/>
                    <w:webHidden/>
                    <w:sz w:val="24"/>
                    <w:szCs w:val="24"/>
                  </w:rPr>
                  <w:tab/>
                </w:r>
                <w:r w:rsidR="00CF0E48" w:rsidRPr="00982351">
                  <w:rPr>
                    <w:rFonts w:ascii="Times New Roman" w:hAnsi="Times New Roman" w:cs="Times New Roman"/>
                    <w:noProof/>
                    <w:webHidden/>
                    <w:sz w:val="24"/>
                    <w:szCs w:val="24"/>
                  </w:rPr>
                  <w:fldChar w:fldCharType="begin"/>
                </w:r>
                <w:r w:rsidR="00CF0E48" w:rsidRPr="00982351">
                  <w:rPr>
                    <w:rFonts w:ascii="Times New Roman" w:hAnsi="Times New Roman" w:cs="Times New Roman"/>
                    <w:noProof/>
                    <w:webHidden/>
                    <w:sz w:val="24"/>
                    <w:szCs w:val="24"/>
                  </w:rPr>
                  <w:instrText xml:space="preserve"> PAGEREF _Toc178766395 \h </w:instrText>
                </w:r>
                <w:r w:rsidR="00CF0E48" w:rsidRPr="00982351">
                  <w:rPr>
                    <w:rFonts w:ascii="Times New Roman" w:hAnsi="Times New Roman" w:cs="Times New Roman"/>
                    <w:noProof/>
                    <w:webHidden/>
                    <w:sz w:val="24"/>
                    <w:szCs w:val="24"/>
                  </w:rPr>
                </w:r>
                <w:r w:rsidR="00CF0E48" w:rsidRPr="00982351">
                  <w:rPr>
                    <w:rFonts w:ascii="Times New Roman" w:hAnsi="Times New Roman" w:cs="Times New Roman"/>
                    <w:noProof/>
                    <w:webHidden/>
                    <w:sz w:val="24"/>
                    <w:szCs w:val="24"/>
                  </w:rPr>
                  <w:fldChar w:fldCharType="separate"/>
                </w:r>
                <w:r w:rsidR="00CF0E48" w:rsidRPr="00982351">
                  <w:rPr>
                    <w:rFonts w:ascii="Times New Roman" w:hAnsi="Times New Roman" w:cs="Times New Roman"/>
                    <w:noProof/>
                    <w:webHidden/>
                    <w:sz w:val="24"/>
                    <w:szCs w:val="24"/>
                  </w:rPr>
                  <w:t>4</w:t>
                </w:r>
                <w:r w:rsidR="00CF0E48" w:rsidRPr="00982351">
                  <w:rPr>
                    <w:rFonts w:ascii="Times New Roman" w:hAnsi="Times New Roman" w:cs="Times New Roman"/>
                    <w:noProof/>
                    <w:webHidden/>
                    <w:sz w:val="24"/>
                    <w:szCs w:val="24"/>
                  </w:rPr>
                  <w:fldChar w:fldCharType="end"/>
                </w:r>
              </w:hyperlink>
            </w:p>
            <w:p w14:paraId="362C28C6" w14:textId="01337CB4" w:rsidR="00CF0E48" w:rsidRPr="00982351" w:rsidRDefault="00E36F3C" w:rsidP="00A5268C">
              <w:pPr>
                <w:pStyle w:val="TOC2"/>
                <w:tabs>
                  <w:tab w:val="right" w:leader="dot" w:pos="9016"/>
                </w:tabs>
                <w:spacing w:line="360" w:lineRule="auto"/>
                <w:rPr>
                  <w:rFonts w:ascii="Times New Roman" w:eastAsiaTheme="minorEastAsia" w:hAnsi="Times New Roman" w:cs="Times New Roman"/>
                  <w:noProof/>
                  <w:kern w:val="2"/>
                  <w:sz w:val="24"/>
                  <w:szCs w:val="24"/>
                  <w:lang w:eastAsia="zh-CN"/>
                  <w14:ligatures w14:val="standardContextual"/>
                </w:rPr>
              </w:pPr>
              <w:hyperlink w:anchor="_Toc178766396" w:history="1">
                <w:r w:rsidR="00CF0E48" w:rsidRPr="00982351">
                  <w:rPr>
                    <w:rStyle w:val="Hyperlink"/>
                    <w:rFonts w:ascii="Times New Roman" w:hAnsi="Times New Roman" w:cs="Times New Roman"/>
                    <w:noProof/>
                    <w:sz w:val="24"/>
                    <w:szCs w:val="24"/>
                  </w:rPr>
                  <w:t>Task 2</w:t>
                </w:r>
                <w:r w:rsidR="00CF0E48" w:rsidRPr="00982351">
                  <w:rPr>
                    <w:rFonts w:ascii="Times New Roman" w:hAnsi="Times New Roman" w:cs="Times New Roman"/>
                    <w:noProof/>
                    <w:webHidden/>
                    <w:sz w:val="24"/>
                    <w:szCs w:val="24"/>
                  </w:rPr>
                  <w:tab/>
                </w:r>
                <w:r w:rsidR="00CF0E48" w:rsidRPr="00982351">
                  <w:rPr>
                    <w:rFonts w:ascii="Times New Roman" w:hAnsi="Times New Roman" w:cs="Times New Roman"/>
                    <w:noProof/>
                    <w:webHidden/>
                    <w:sz w:val="24"/>
                    <w:szCs w:val="24"/>
                  </w:rPr>
                  <w:fldChar w:fldCharType="begin"/>
                </w:r>
                <w:r w:rsidR="00CF0E48" w:rsidRPr="00982351">
                  <w:rPr>
                    <w:rFonts w:ascii="Times New Roman" w:hAnsi="Times New Roman" w:cs="Times New Roman"/>
                    <w:noProof/>
                    <w:webHidden/>
                    <w:sz w:val="24"/>
                    <w:szCs w:val="24"/>
                  </w:rPr>
                  <w:instrText xml:space="preserve"> PAGEREF _Toc178766396 \h </w:instrText>
                </w:r>
                <w:r w:rsidR="00CF0E48" w:rsidRPr="00982351">
                  <w:rPr>
                    <w:rFonts w:ascii="Times New Roman" w:hAnsi="Times New Roman" w:cs="Times New Roman"/>
                    <w:noProof/>
                    <w:webHidden/>
                    <w:sz w:val="24"/>
                    <w:szCs w:val="24"/>
                  </w:rPr>
                </w:r>
                <w:r w:rsidR="00CF0E48" w:rsidRPr="00982351">
                  <w:rPr>
                    <w:rFonts w:ascii="Times New Roman" w:hAnsi="Times New Roman" w:cs="Times New Roman"/>
                    <w:noProof/>
                    <w:webHidden/>
                    <w:sz w:val="24"/>
                    <w:szCs w:val="24"/>
                  </w:rPr>
                  <w:fldChar w:fldCharType="separate"/>
                </w:r>
                <w:r w:rsidR="00CF0E48" w:rsidRPr="00982351">
                  <w:rPr>
                    <w:rFonts w:ascii="Times New Roman" w:hAnsi="Times New Roman" w:cs="Times New Roman"/>
                    <w:noProof/>
                    <w:webHidden/>
                    <w:sz w:val="24"/>
                    <w:szCs w:val="24"/>
                  </w:rPr>
                  <w:t>5</w:t>
                </w:r>
                <w:r w:rsidR="00CF0E48" w:rsidRPr="00982351">
                  <w:rPr>
                    <w:rFonts w:ascii="Times New Roman" w:hAnsi="Times New Roman" w:cs="Times New Roman"/>
                    <w:noProof/>
                    <w:webHidden/>
                    <w:sz w:val="24"/>
                    <w:szCs w:val="24"/>
                  </w:rPr>
                  <w:fldChar w:fldCharType="end"/>
                </w:r>
              </w:hyperlink>
            </w:p>
            <w:p w14:paraId="5724FBEF" w14:textId="097456AD" w:rsidR="00CF0E48" w:rsidRPr="00982351" w:rsidRDefault="00E36F3C" w:rsidP="00A5268C">
              <w:pPr>
                <w:pStyle w:val="TOC1"/>
                <w:tabs>
                  <w:tab w:val="right" w:leader="dot" w:pos="9016"/>
                </w:tabs>
                <w:spacing w:line="360" w:lineRule="auto"/>
                <w:rPr>
                  <w:rFonts w:ascii="Times New Roman" w:eastAsiaTheme="minorEastAsia" w:hAnsi="Times New Roman" w:cs="Times New Roman"/>
                  <w:noProof/>
                  <w:kern w:val="2"/>
                  <w:sz w:val="24"/>
                  <w:szCs w:val="24"/>
                  <w:lang w:eastAsia="zh-CN"/>
                  <w14:ligatures w14:val="standardContextual"/>
                </w:rPr>
              </w:pPr>
              <w:hyperlink w:anchor="_Toc178766397" w:history="1">
                <w:r w:rsidR="00CF0E48" w:rsidRPr="00982351">
                  <w:rPr>
                    <w:rStyle w:val="Hyperlink"/>
                    <w:rFonts w:ascii="Times New Roman" w:hAnsi="Times New Roman" w:cs="Times New Roman"/>
                    <w:noProof/>
                    <w:sz w:val="24"/>
                    <w:szCs w:val="24"/>
                  </w:rPr>
                  <w:t>Conclusion (average of 10% of word count)</w:t>
                </w:r>
                <w:r w:rsidR="00CF0E48" w:rsidRPr="00982351">
                  <w:rPr>
                    <w:rFonts w:ascii="Times New Roman" w:hAnsi="Times New Roman" w:cs="Times New Roman"/>
                    <w:noProof/>
                    <w:webHidden/>
                    <w:sz w:val="24"/>
                    <w:szCs w:val="24"/>
                  </w:rPr>
                  <w:tab/>
                </w:r>
                <w:r w:rsidR="00CF0E48" w:rsidRPr="00982351">
                  <w:rPr>
                    <w:rFonts w:ascii="Times New Roman" w:hAnsi="Times New Roman" w:cs="Times New Roman"/>
                    <w:noProof/>
                    <w:webHidden/>
                    <w:sz w:val="24"/>
                    <w:szCs w:val="24"/>
                  </w:rPr>
                  <w:fldChar w:fldCharType="begin"/>
                </w:r>
                <w:r w:rsidR="00CF0E48" w:rsidRPr="00982351">
                  <w:rPr>
                    <w:rFonts w:ascii="Times New Roman" w:hAnsi="Times New Roman" w:cs="Times New Roman"/>
                    <w:noProof/>
                    <w:webHidden/>
                    <w:sz w:val="24"/>
                    <w:szCs w:val="24"/>
                  </w:rPr>
                  <w:instrText xml:space="preserve"> PAGEREF _Toc178766397 \h </w:instrText>
                </w:r>
                <w:r w:rsidR="00CF0E48" w:rsidRPr="00982351">
                  <w:rPr>
                    <w:rFonts w:ascii="Times New Roman" w:hAnsi="Times New Roman" w:cs="Times New Roman"/>
                    <w:noProof/>
                    <w:webHidden/>
                    <w:sz w:val="24"/>
                    <w:szCs w:val="24"/>
                  </w:rPr>
                </w:r>
                <w:r w:rsidR="00CF0E48" w:rsidRPr="00982351">
                  <w:rPr>
                    <w:rFonts w:ascii="Times New Roman" w:hAnsi="Times New Roman" w:cs="Times New Roman"/>
                    <w:noProof/>
                    <w:webHidden/>
                    <w:sz w:val="24"/>
                    <w:szCs w:val="24"/>
                  </w:rPr>
                  <w:fldChar w:fldCharType="separate"/>
                </w:r>
                <w:r w:rsidR="00CF0E48" w:rsidRPr="00982351">
                  <w:rPr>
                    <w:rFonts w:ascii="Times New Roman" w:hAnsi="Times New Roman" w:cs="Times New Roman"/>
                    <w:noProof/>
                    <w:webHidden/>
                    <w:sz w:val="24"/>
                    <w:szCs w:val="24"/>
                  </w:rPr>
                  <w:t>6</w:t>
                </w:r>
                <w:r w:rsidR="00CF0E48" w:rsidRPr="00982351">
                  <w:rPr>
                    <w:rFonts w:ascii="Times New Roman" w:hAnsi="Times New Roman" w:cs="Times New Roman"/>
                    <w:noProof/>
                    <w:webHidden/>
                    <w:sz w:val="24"/>
                    <w:szCs w:val="24"/>
                  </w:rPr>
                  <w:fldChar w:fldCharType="end"/>
                </w:r>
              </w:hyperlink>
            </w:p>
            <w:p w14:paraId="40E1EF05" w14:textId="23EDD897" w:rsidR="00CF0E48" w:rsidRPr="00982351" w:rsidRDefault="00E36F3C" w:rsidP="00A5268C">
              <w:pPr>
                <w:pStyle w:val="TOC1"/>
                <w:tabs>
                  <w:tab w:val="right" w:leader="dot" w:pos="9016"/>
                </w:tabs>
                <w:spacing w:line="360" w:lineRule="auto"/>
                <w:rPr>
                  <w:rFonts w:ascii="Times New Roman" w:eastAsiaTheme="minorEastAsia" w:hAnsi="Times New Roman" w:cs="Times New Roman"/>
                  <w:noProof/>
                  <w:kern w:val="2"/>
                  <w:sz w:val="24"/>
                  <w:szCs w:val="24"/>
                  <w:lang w:eastAsia="zh-CN"/>
                  <w14:ligatures w14:val="standardContextual"/>
                </w:rPr>
              </w:pPr>
              <w:hyperlink w:anchor="_Toc178766398" w:history="1">
                <w:r w:rsidR="00CF0E48" w:rsidRPr="00982351">
                  <w:rPr>
                    <w:rStyle w:val="Hyperlink"/>
                    <w:rFonts w:ascii="Times New Roman" w:hAnsi="Times New Roman" w:cs="Times New Roman"/>
                    <w:noProof/>
                    <w:sz w:val="24"/>
                    <w:szCs w:val="24"/>
                  </w:rPr>
                  <w:t>Bibliography</w:t>
                </w:r>
                <w:r w:rsidR="00CF0E48" w:rsidRPr="00982351">
                  <w:rPr>
                    <w:rFonts w:ascii="Times New Roman" w:hAnsi="Times New Roman" w:cs="Times New Roman"/>
                    <w:noProof/>
                    <w:webHidden/>
                    <w:sz w:val="24"/>
                    <w:szCs w:val="24"/>
                  </w:rPr>
                  <w:tab/>
                </w:r>
                <w:r w:rsidR="00CF0E48" w:rsidRPr="00982351">
                  <w:rPr>
                    <w:rFonts w:ascii="Times New Roman" w:hAnsi="Times New Roman" w:cs="Times New Roman"/>
                    <w:noProof/>
                    <w:webHidden/>
                    <w:sz w:val="24"/>
                    <w:szCs w:val="24"/>
                  </w:rPr>
                  <w:fldChar w:fldCharType="begin"/>
                </w:r>
                <w:r w:rsidR="00CF0E48" w:rsidRPr="00982351">
                  <w:rPr>
                    <w:rFonts w:ascii="Times New Roman" w:hAnsi="Times New Roman" w:cs="Times New Roman"/>
                    <w:noProof/>
                    <w:webHidden/>
                    <w:sz w:val="24"/>
                    <w:szCs w:val="24"/>
                  </w:rPr>
                  <w:instrText xml:space="preserve"> PAGEREF _Toc178766398 \h </w:instrText>
                </w:r>
                <w:r w:rsidR="00CF0E48" w:rsidRPr="00982351">
                  <w:rPr>
                    <w:rFonts w:ascii="Times New Roman" w:hAnsi="Times New Roman" w:cs="Times New Roman"/>
                    <w:noProof/>
                    <w:webHidden/>
                    <w:sz w:val="24"/>
                    <w:szCs w:val="24"/>
                  </w:rPr>
                </w:r>
                <w:r w:rsidR="00CF0E48" w:rsidRPr="00982351">
                  <w:rPr>
                    <w:rFonts w:ascii="Times New Roman" w:hAnsi="Times New Roman" w:cs="Times New Roman"/>
                    <w:noProof/>
                    <w:webHidden/>
                    <w:sz w:val="24"/>
                    <w:szCs w:val="24"/>
                  </w:rPr>
                  <w:fldChar w:fldCharType="separate"/>
                </w:r>
                <w:r w:rsidR="00CF0E48" w:rsidRPr="00982351">
                  <w:rPr>
                    <w:rFonts w:ascii="Times New Roman" w:hAnsi="Times New Roman" w:cs="Times New Roman"/>
                    <w:noProof/>
                    <w:webHidden/>
                    <w:sz w:val="24"/>
                    <w:szCs w:val="24"/>
                  </w:rPr>
                  <w:t>7</w:t>
                </w:r>
                <w:r w:rsidR="00CF0E48" w:rsidRPr="00982351">
                  <w:rPr>
                    <w:rFonts w:ascii="Times New Roman" w:hAnsi="Times New Roman" w:cs="Times New Roman"/>
                    <w:noProof/>
                    <w:webHidden/>
                    <w:sz w:val="24"/>
                    <w:szCs w:val="24"/>
                  </w:rPr>
                  <w:fldChar w:fldCharType="end"/>
                </w:r>
              </w:hyperlink>
            </w:p>
            <w:p w14:paraId="369B5B93" w14:textId="05F1B374" w:rsidR="00CF0E48" w:rsidRPr="00982351" w:rsidRDefault="00E36F3C" w:rsidP="00A5268C">
              <w:pPr>
                <w:pStyle w:val="TOC1"/>
                <w:tabs>
                  <w:tab w:val="right" w:leader="dot" w:pos="9016"/>
                </w:tabs>
                <w:spacing w:line="360" w:lineRule="auto"/>
                <w:rPr>
                  <w:rFonts w:ascii="Times New Roman" w:eastAsiaTheme="minorEastAsia" w:hAnsi="Times New Roman" w:cs="Times New Roman"/>
                  <w:noProof/>
                  <w:kern w:val="2"/>
                  <w:sz w:val="24"/>
                  <w:szCs w:val="24"/>
                  <w:lang w:eastAsia="zh-CN"/>
                  <w14:ligatures w14:val="standardContextual"/>
                </w:rPr>
              </w:pPr>
              <w:hyperlink w:anchor="_Toc178766399" w:history="1">
                <w:r w:rsidR="00CF0E48" w:rsidRPr="00982351">
                  <w:rPr>
                    <w:rStyle w:val="Hyperlink"/>
                    <w:rFonts w:ascii="Times New Roman" w:hAnsi="Times New Roman" w:cs="Times New Roman"/>
                    <w:noProof/>
                    <w:sz w:val="24"/>
                    <w:szCs w:val="24"/>
                  </w:rPr>
                  <w:t>Appendix</w:t>
                </w:r>
                <w:r w:rsidR="00CF0E48" w:rsidRPr="00982351">
                  <w:rPr>
                    <w:rFonts w:ascii="Times New Roman" w:hAnsi="Times New Roman" w:cs="Times New Roman"/>
                    <w:noProof/>
                    <w:webHidden/>
                    <w:sz w:val="24"/>
                    <w:szCs w:val="24"/>
                  </w:rPr>
                  <w:tab/>
                </w:r>
                <w:r w:rsidR="00CF0E48" w:rsidRPr="00982351">
                  <w:rPr>
                    <w:rFonts w:ascii="Times New Roman" w:hAnsi="Times New Roman" w:cs="Times New Roman"/>
                    <w:noProof/>
                    <w:webHidden/>
                    <w:sz w:val="24"/>
                    <w:szCs w:val="24"/>
                  </w:rPr>
                  <w:fldChar w:fldCharType="begin"/>
                </w:r>
                <w:r w:rsidR="00CF0E48" w:rsidRPr="00982351">
                  <w:rPr>
                    <w:rFonts w:ascii="Times New Roman" w:hAnsi="Times New Roman" w:cs="Times New Roman"/>
                    <w:noProof/>
                    <w:webHidden/>
                    <w:sz w:val="24"/>
                    <w:szCs w:val="24"/>
                  </w:rPr>
                  <w:instrText xml:space="preserve"> PAGEREF _Toc178766399 \h </w:instrText>
                </w:r>
                <w:r w:rsidR="00CF0E48" w:rsidRPr="00982351">
                  <w:rPr>
                    <w:rFonts w:ascii="Times New Roman" w:hAnsi="Times New Roman" w:cs="Times New Roman"/>
                    <w:noProof/>
                    <w:webHidden/>
                    <w:sz w:val="24"/>
                    <w:szCs w:val="24"/>
                  </w:rPr>
                </w:r>
                <w:r w:rsidR="00CF0E48" w:rsidRPr="00982351">
                  <w:rPr>
                    <w:rFonts w:ascii="Times New Roman" w:hAnsi="Times New Roman" w:cs="Times New Roman"/>
                    <w:noProof/>
                    <w:webHidden/>
                    <w:sz w:val="24"/>
                    <w:szCs w:val="24"/>
                  </w:rPr>
                  <w:fldChar w:fldCharType="separate"/>
                </w:r>
                <w:r w:rsidR="00CF0E48" w:rsidRPr="00982351">
                  <w:rPr>
                    <w:rFonts w:ascii="Times New Roman" w:hAnsi="Times New Roman" w:cs="Times New Roman"/>
                    <w:noProof/>
                    <w:webHidden/>
                    <w:sz w:val="24"/>
                    <w:szCs w:val="24"/>
                  </w:rPr>
                  <w:t>8</w:t>
                </w:r>
                <w:r w:rsidR="00CF0E48" w:rsidRPr="00982351">
                  <w:rPr>
                    <w:rFonts w:ascii="Times New Roman" w:hAnsi="Times New Roman" w:cs="Times New Roman"/>
                    <w:noProof/>
                    <w:webHidden/>
                    <w:sz w:val="24"/>
                    <w:szCs w:val="24"/>
                  </w:rPr>
                  <w:fldChar w:fldCharType="end"/>
                </w:r>
              </w:hyperlink>
            </w:p>
            <w:p w14:paraId="05194699" w14:textId="6E9CD14E" w:rsidR="007D1947" w:rsidRPr="00982351" w:rsidRDefault="007D1947" w:rsidP="00A5268C">
              <w:pPr>
                <w:spacing w:line="360" w:lineRule="auto"/>
                <w:rPr>
                  <w:rFonts w:ascii="Times New Roman" w:hAnsi="Times New Roman" w:cs="Times New Roman"/>
                  <w:sz w:val="24"/>
                  <w:szCs w:val="24"/>
                </w:rPr>
              </w:pPr>
              <w:r w:rsidRPr="00982351">
                <w:rPr>
                  <w:rFonts w:ascii="Times New Roman" w:hAnsi="Times New Roman" w:cs="Times New Roman"/>
                  <w:b/>
                  <w:bCs/>
                  <w:noProof/>
                  <w:sz w:val="24"/>
                  <w:szCs w:val="24"/>
                </w:rPr>
                <w:fldChar w:fldCharType="end"/>
              </w:r>
            </w:p>
          </w:sdtContent>
        </w:sdt>
        <w:p w14:paraId="35B6052B" w14:textId="77777777" w:rsidR="007D1947" w:rsidRPr="00982351" w:rsidRDefault="007D1947" w:rsidP="00A5268C">
          <w:pPr>
            <w:spacing w:line="360" w:lineRule="auto"/>
            <w:rPr>
              <w:rFonts w:ascii="Times New Roman" w:hAnsi="Times New Roman" w:cs="Times New Roman"/>
              <w:sz w:val="24"/>
              <w:szCs w:val="24"/>
            </w:rPr>
          </w:pPr>
        </w:p>
        <w:p w14:paraId="22F11532" w14:textId="77777777" w:rsidR="007D1947" w:rsidRPr="00982351" w:rsidRDefault="007D1947" w:rsidP="00A5268C">
          <w:pPr>
            <w:spacing w:line="360" w:lineRule="auto"/>
            <w:rPr>
              <w:rFonts w:ascii="Times New Roman" w:hAnsi="Times New Roman" w:cs="Times New Roman"/>
              <w:sz w:val="24"/>
              <w:szCs w:val="24"/>
            </w:rPr>
          </w:pPr>
        </w:p>
        <w:p w14:paraId="15C6D916" w14:textId="77777777" w:rsidR="007D1947" w:rsidRPr="00982351" w:rsidRDefault="007D1947" w:rsidP="00A5268C">
          <w:pPr>
            <w:spacing w:line="360" w:lineRule="auto"/>
            <w:rPr>
              <w:rFonts w:ascii="Times New Roman" w:hAnsi="Times New Roman" w:cs="Times New Roman"/>
              <w:sz w:val="24"/>
              <w:szCs w:val="24"/>
            </w:rPr>
          </w:pPr>
        </w:p>
        <w:p w14:paraId="0882E422" w14:textId="77777777" w:rsidR="007D1947" w:rsidRPr="00982351" w:rsidRDefault="007D1947" w:rsidP="00A5268C">
          <w:pPr>
            <w:spacing w:line="360" w:lineRule="auto"/>
            <w:rPr>
              <w:rFonts w:ascii="Times New Roman" w:hAnsi="Times New Roman" w:cs="Times New Roman"/>
              <w:sz w:val="24"/>
              <w:szCs w:val="24"/>
            </w:rPr>
          </w:pPr>
        </w:p>
        <w:p w14:paraId="2076963D" w14:textId="77777777" w:rsidR="007D1947" w:rsidRPr="00982351" w:rsidRDefault="007D1947" w:rsidP="00A5268C">
          <w:pPr>
            <w:spacing w:line="360" w:lineRule="auto"/>
            <w:rPr>
              <w:rFonts w:ascii="Times New Roman" w:hAnsi="Times New Roman" w:cs="Times New Roman"/>
              <w:sz w:val="24"/>
              <w:szCs w:val="24"/>
            </w:rPr>
          </w:pPr>
        </w:p>
        <w:p w14:paraId="006E6A3F" w14:textId="77777777" w:rsidR="007D1947" w:rsidRPr="00982351" w:rsidRDefault="007D1947" w:rsidP="00A5268C">
          <w:pPr>
            <w:spacing w:line="360" w:lineRule="auto"/>
            <w:rPr>
              <w:rFonts w:ascii="Times New Roman" w:hAnsi="Times New Roman" w:cs="Times New Roman"/>
              <w:sz w:val="24"/>
              <w:szCs w:val="24"/>
            </w:rPr>
          </w:pPr>
        </w:p>
        <w:p w14:paraId="26EE9C53" w14:textId="77777777" w:rsidR="007D1947" w:rsidRPr="00982351" w:rsidRDefault="007D1947" w:rsidP="00A5268C">
          <w:pPr>
            <w:spacing w:line="360" w:lineRule="auto"/>
            <w:rPr>
              <w:rFonts w:ascii="Times New Roman" w:hAnsi="Times New Roman" w:cs="Times New Roman"/>
              <w:sz w:val="24"/>
              <w:szCs w:val="24"/>
            </w:rPr>
          </w:pPr>
        </w:p>
        <w:p w14:paraId="2AEFE0CA" w14:textId="77777777" w:rsidR="007D1947" w:rsidRPr="00982351" w:rsidRDefault="007D1947" w:rsidP="00A5268C">
          <w:pPr>
            <w:spacing w:line="360" w:lineRule="auto"/>
            <w:rPr>
              <w:rFonts w:ascii="Times New Roman" w:hAnsi="Times New Roman" w:cs="Times New Roman"/>
              <w:sz w:val="24"/>
              <w:szCs w:val="24"/>
            </w:rPr>
          </w:pPr>
        </w:p>
        <w:p w14:paraId="4F8F730C" w14:textId="77777777" w:rsidR="007D1947" w:rsidRPr="00982351" w:rsidRDefault="007D1947" w:rsidP="00A5268C">
          <w:pPr>
            <w:spacing w:line="360" w:lineRule="auto"/>
            <w:rPr>
              <w:rFonts w:ascii="Times New Roman" w:hAnsi="Times New Roman" w:cs="Times New Roman"/>
              <w:sz w:val="24"/>
              <w:szCs w:val="24"/>
            </w:rPr>
          </w:pPr>
        </w:p>
        <w:p w14:paraId="4D3D6465" w14:textId="77777777" w:rsidR="007D1947" w:rsidRPr="00982351" w:rsidRDefault="007D1947" w:rsidP="00A5268C">
          <w:pPr>
            <w:spacing w:line="360" w:lineRule="auto"/>
            <w:rPr>
              <w:rFonts w:ascii="Times New Roman" w:hAnsi="Times New Roman" w:cs="Times New Roman"/>
              <w:sz w:val="24"/>
              <w:szCs w:val="24"/>
            </w:rPr>
          </w:pPr>
        </w:p>
        <w:p w14:paraId="47414E5B" w14:textId="77777777" w:rsidR="007D1947" w:rsidRPr="00982351" w:rsidRDefault="007D1947" w:rsidP="00A5268C">
          <w:pPr>
            <w:spacing w:line="360" w:lineRule="auto"/>
            <w:rPr>
              <w:rFonts w:ascii="Times New Roman" w:hAnsi="Times New Roman" w:cs="Times New Roman"/>
              <w:sz w:val="24"/>
              <w:szCs w:val="24"/>
            </w:rPr>
          </w:pPr>
        </w:p>
        <w:p w14:paraId="2F67E6D4" w14:textId="77777777" w:rsidR="007D1947" w:rsidRPr="00982351" w:rsidRDefault="007D1947" w:rsidP="00A5268C">
          <w:pPr>
            <w:spacing w:line="360" w:lineRule="auto"/>
            <w:rPr>
              <w:rFonts w:ascii="Times New Roman" w:hAnsi="Times New Roman" w:cs="Times New Roman"/>
              <w:sz w:val="24"/>
              <w:szCs w:val="24"/>
            </w:rPr>
          </w:pPr>
        </w:p>
        <w:p w14:paraId="400F30D3" w14:textId="77777777" w:rsidR="007D1947" w:rsidRPr="00982351" w:rsidRDefault="007D1947" w:rsidP="00A5268C">
          <w:pPr>
            <w:spacing w:line="360" w:lineRule="auto"/>
            <w:rPr>
              <w:rFonts w:ascii="Times New Roman" w:hAnsi="Times New Roman" w:cs="Times New Roman"/>
              <w:sz w:val="24"/>
              <w:szCs w:val="24"/>
            </w:rPr>
          </w:pPr>
        </w:p>
        <w:p w14:paraId="21D0F861" w14:textId="77777777" w:rsidR="007D1947" w:rsidRPr="00982351" w:rsidRDefault="007D1947" w:rsidP="00A5268C">
          <w:pPr>
            <w:spacing w:line="360" w:lineRule="auto"/>
            <w:rPr>
              <w:rFonts w:ascii="Times New Roman" w:hAnsi="Times New Roman" w:cs="Times New Roman"/>
              <w:sz w:val="24"/>
              <w:szCs w:val="24"/>
            </w:rPr>
          </w:pPr>
        </w:p>
        <w:p w14:paraId="68D56007" w14:textId="25DC41A4" w:rsidR="007D1947" w:rsidRPr="00982351" w:rsidRDefault="007D1947" w:rsidP="00A5268C">
          <w:pPr>
            <w:spacing w:line="360" w:lineRule="auto"/>
            <w:rPr>
              <w:rFonts w:ascii="Times New Roman" w:hAnsi="Times New Roman" w:cs="Times New Roman"/>
              <w:sz w:val="24"/>
              <w:szCs w:val="24"/>
            </w:rPr>
          </w:pPr>
        </w:p>
        <w:p w14:paraId="0DCF0194" w14:textId="70600FC3" w:rsidR="00084E65" w:rsidRPr="00982351" w:rsidRDefault="00084E65" w:rsidP="00A5268C">
          <w:pPr>
            <w:spacing w:line="360" w:lineRule="auto"/>
            <w:rPr>
              <w:rFonts w:ascii="Times New Roman" w:hAnsi="Times New Roman" w:cs="Times New Roman"/>
              <w:sz w:val="24"/>
              <w:szCs w:val="24"/>
            </w:rPr>
          </w:pPr>
        </w:p>
        <w:p w14:paraId="30499783" w14:textId="1246572E" w:rsidR="00084E65" w:rsidRPr="00982351" w:rsidRDefault="00084E65" w:rsidP="00A5268C">
          <w:pPr>
            <w:spacing w:line="360" w:lineRule="auto"/>
            <w:rPr>
              <w:rFonts w:ascii="Times New Roman" w:hAnsi="Times New Roman" w:cs="Times New Roman"/>
              <w:sz w:val="24"/>
              <w:szCs w:val="24"/>
            </w:rPr>
          </w:pPr>
        </w:p>
        <w:p w14:paraId="2F8B4A57" w14:textId="0DAFC227" w:rsidR="00084E65" w:rsidRPr="00982351" w:rsidRDefault="00084E65" w:rsidP="00A5268C">
          <w:pPr>
            <w:spacing w:line="360" w:lineRule="auto"/>
            <w:rPr>
              <w:rFonts w:ascii="Times New Roman" w:hAnsi="Times New Roman" w:cs="Times New Roman"/>
              <w:sz w:val="24"/>
              <w:szCs w:val="24"/>
            </w:rPr>
          </w:pPr>
        </w:p>
        <w:p w14:paraId="2AB7FDC7" w14:textId="6F8F8A31" w:rsidR="00084E65" w:rsidRPr="00982351" w:rsidRDefault="00084E65" w:rsidP="00A5268C">
          <w:pPr>
            <w:spacing w:line="360" w:lineRule="auto"/>
            <w:rPr>
              <w:rFonts w:ascii="Times New Roman" w:hAnsi="Times New Roman" w:cs="Times New Roman"/>
              <w:sz w:val="24"/>
              <w:szCs w:val="24"/>
            </w:rPr>
          </w:pPr>
        </w:p>
        <w:p w14:paraId="70B55DE7" w14:textId="77777777" w:rsidR="00084E65" w:rsidRPr="00982351" w:rsidRDefault="00084E65" w:rsidP="00A5268C">
          <w:pPr>
            <w:spacing w:line="360" w:lineRule="auto"/>
            <w:rPr>
              <w:rFonts w:ascii="Times New Roman" w:hAnsi="Times New Roman" w:cs="Times New Roman"/>
              <w:sz w:val="24"/>
              <w:szCs w:val="24"/>
            </w:rPr>
          </w:pPr>
        </w:p>
        <w:p w14:paraId="5CD1CE9F" w14:textId="77777777" w:rsidR="007D1947" w:rsidRPr="00982351" w:rsidRDefault="007D1947" w:rsidP="00A5268C">
          <w:pPr>
            <w:spacing w:line="360" w:lineRule="auto"/>
            <w:rPr>
              <w:rFonts w:ascii="Times New Roman" w:hAnsi="Times New Roman" w:cs="Times New Roman"/>
              <w:sz w:val="24"/>
              <w:szCs w:val="24"/>
            </w:rPr>
          </w:pPr>
        </w:p>
        <w:p w14:paraId="655F29CA" w14:textId="77777777" w:rsidR="007D1947" w:rsidRPr="00982351" w:rsidRDefault="007D1947" w:rsidP="00A5268C">
          <w:pPr>
            <w:spacing w:line="360" w:lineRule="auto"/>
            <w:rPr>
              <w:rFonts w:ascii="Times New Roman" w:hAnsi="Times New Roman" w:cs="Times New Roman"/>
              <w:sz w:val="24"/>
              <w:szCs w:val="24"/>
            </w:rPr>
          </w:pPr>
        </w:p>
        <w:p w14:paraId="0ED321E6" w14:textId="75FAD0D2" w:rsidR="007D1947" w:rsidRPr="00982351" w:rsidRDefault="007D1947" w:rsidP="00A5268C">
          <w:pPr>
            <w:pStyle w:val="Heading1"/>
          </w:pPr>
          <w:bookmarkStart w:id="1" w:name="_Toc178766393"/>
          <w:r w:rsidRPr="00982351">
            <w:t>Introduction</w:t>
          </w:r>
          <w:r w:rsidR="00480872" w:rsidRPr="00982351">
            <w:t xml:space="preserve"> </w:t>
          </w:r>
          <w:bookmarkEnd w:id="1"/>
        </w:p>
        <w:p w14:paraId="4A8FDDF5" w14:textId="0A338E38" w:rsidR="00982351" w:rsidRPr="00982351" w:rsidRDefault="00982351"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Rolls-Royce Holdings PLC is a leading international supplier of high-technology systems of power and propulsion systems, catering to the needs of the civil aviation industry, the defence industry, and the energy industry. The company, as a part of the FTSE 100, is influential in the industrial and technological situation in the UK. The organisation has experienced a significant change in recent years due to financial constraints caused by the global pandemic, which impacted the aerospace industry particularly because the demand of air travel decreased.</w:t>
          </w:r>
        </w:p>
        <w:p w14:paraId="7E07A9FB" w14:textId="76E3BEFA" w:rsidR="00982351" w:rsidRPr="00982351" w:rsidRDefault="00982351"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Rolls-Royce showed significant improvement in recovering by 2025 through strategic restructuring, cost optimisation and improvement of efficiency in its operations. The recovery has also been manifested in improved financial performance especially in profitability, cash flow generation and balance sheet stability. The Transformation Programme initiated by the company has played the key role in this development, where the company has been aiming at streamlining its operations and enhancing long-term service agreements in its main divisions.</w:t>
          </w:r>
        </w:p>
        <w:p w14:paraId="4950AFFE" w14:textId="1AF62B14" w:rsidR="004A11F6" w:rsidRPr="00982351" w:rsidRDefault="00982351"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This knowledge of financial and strategic status of Rolls-Royce would be vital in the overall environment of a changing aerospace sector, where technological advances, sustainability concerns, and economic unpredictability of the global economy still define corporate performance and future developmental patterns.</w:t>
          </w:r>
        </w:p>
        <w:p w14:paraId="6DF73EDF" w14:textId="70DF6C1E" w:rsidR="00480872" w:rsidRPr="00982351" w:rsidRDefault="00480872" w:rsidP="00A5268C">
          <w:pPr>
            <w:pStyle w:val="Heading1"/>
          </w:pPr>
          <w:bookmarkStart w:id="2" w:name="_Toc178766394"/>
          <w:r w:rsidRPr="00982351">
            <w:t>Main Findings</w:t>
          </w:r>
          <w:bookmarkEnd w:id="2"/>
        </w:p>
        <w:p w14:paraId="32497693" w14:textId="3F6693A0" w:rsidR="00CF0E48" w:rsidRPr="00982351" w:rsidRDefault="00CF0E48" w:rsidP="00A5268C">
          <w:pPr>
            <w:pStyle w:val="Heading2"/>
          </w:pPr>
          <w:bookmarkStart w:id="3" w:name="_Toc178766395"/>
          <w:r w:rsidRPr="00982351">
            <w:t>Task 1</w:t>
          </w:r>
          <w:bookmarkEnd w:id="3"/>
        </w:p>
        <w:p w14:paraId="6E50131D" w14:textId="0D936D9F" w:rsidR="00814900" w:rsidRPr="00982351" w:rsidRDefault="00982351" w:rsidP="00A5268C">
          <w:pPr>
            <w:pStyle w:val="Heading3"/>
            <w:rPr>
              <w:lang w:eastAsia="en-IN"/>
            </w:rPr>
          </w:pPr>
          <w:r>
            <w:rPr>
              <w:lang w:eastAsia="en-IN"/>
            </w:rPr>
            <w:t xml:space="preserve">1.1 </w:t>
          </w:r>
          <w:r w:rsidR="00BA4F02" w:rsidRPr="00982351">
            <w:rPr>
              <w:lang w:eastAsia="en-IN"/>
            </w:rPr>
            <w:t>Overview</w:t>
          </w:r>
        </w:p>
        <w:p w14:paraId="10FA44FC" w14:textId="77777777" w:rsidR="00814900" w:rsidRPr="00982351" w:rsidRDefault="00814900"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Rolls-Royce Holdings PLC is a leading industrial technology corporation in Britain and a fundamental part of FTSE 100 index. The Group is headquartered in London where three major divisions exist namely Civil Aerospace, Defence, and Power Systems, which deals with high-performance propulsion and energy solutions (Rolls-Royce, 2026). The company has reached a very strong market position by early 2026 following a major reorganization effort that has been supported by a record underlying operating profit of £3.5 billion in the 2025 financial year, which is a significant increase up the previous 2.5 billion in 2024 (</w:t>
          </w:r>
          <w:proofErr w:type="spellStart"/>
          <w:r w:rsidRPr="00982351">
            <w:rPr>
              <w:rFonts w:ascii="Times New Roman" w:eastAsia="Times New Roman" w:hAnsi="Times New Roman" w:cs="Times New Roman"/>
              <w:sz w:val="24"/>
              <w:szCs w:val="24"/>
              <w:lang w:eastAsia="en-IN"/>
            </w:rPr>
            <w:t>Erginbilgic</w:t>
          </w:r>
          <w:proofErr w:type="spellEnd"/>
          <w:r w:rsidRPr="00982351">
            <w:rPr>
              <w:rFonts w:ascii="Times New Roman" w:eastAsia="Times New Roman" w:hAnsi="Times New Roman" w:cs="Times New Roman"/>
              <w:sz w:val="24"/>
              <w:szCs w:val="24"/>
              <w:lang w:eastAsia="en-IN"/>
            </w:rPr>
            <w:t>, 2026). This rebound is supported by the so-called Transformation Programme that aims at commercial optimization and cost reduction in its global supply chain (Rolls-Royce, 2026).</w:t>
          </w:r>
        </w:p>
        <w:p w14:paraId="51A5F57C" w14:textId="247574AE" w:rsidR="00814900" w:rsidRPr="00982351" w:rsidRDefault="00982351" w:rsidP="00A5268C">
          <w:pPr>
            <w:pStyle w:val="Heading3"/>
          </w:pPr>
          <w:r>
            <w:t xml:space="preserve">2.2 </w:t>
          </w:r>
          <w:r w:rsidR="00814900" w:rsidRPr="00982351">
            <w:t>Financial Analysis: Ratio Calculation &amp; Evaluation</w:t>
          </w:r>
        </w:p>
        <w:p w14:paraId="66C77A60" w14:textId="152EB65E" w:rsidR="00814900" w:rsidRPr="00982351" w:rsidRDefault="00814900" w:rsidP="00A5268C">
          <w:pPr>
            <w:spacing w:line="360" w:lineRule="auto"/>
            <w:rPr>
              <w:rFonts w:ascii="Times New Roman" w:hAnsi="Times New Roman" w:cs="Times New Roman"/>
              <w:b/>
              <w:bCs/>
              <w:i/>
              <w:iCs/>
              <w:sz w:val="24"/>
              <w:szCs w:val="24"/>
            </w:rPr>
          </w:pPr>
          <w:r w:rsidRPr="00982351">
            <w:rPr>
              <w:rFonts w:ascii="Times New Roman" w:hAnsi="Times New Roman" w:cs="Times New Roman"/>
              <w:b/>
              <w:bCs/>
              <w:i/>
              <w:iCs/>
              <w:sz w:val="24"/>
              <w:szCs w:val="24"/>
            </w:rPr>
            <w:t>Profitability Analysis</w:t>
          </w:r>
        </w:p>
        <w:p w14:paraId="0DAE9709" w14:textId="77777777" w:rsidR="00814900" w:rsidRPr="00982351" w:rsidRDefault="00814900" w:rsidP="00A5268C">
          <w:pPr>
            <w:pStyle w:val="NormalWeb"/>
            <w:spacing w:before="0" w:beforeAutospacing="0" w:line="360" w:lineRule="auto"/>
            <w:jc w:val="both"/>
          </w:pPr>
          <w:r w:rsidRPr="00982351">
            <w:t>The concept of profitability is used to measure the efficiency of the company in converting revenue to profit (</w:t>
          </w:r>
          <w:r w:rsidRPr="00982351">
            <w:rPr>
              <w:color w:val="222222"/>
              <w:shd w:val="clear" w:color="auto" w:fill="FFFFFF"/>
            </w:rPr>
            <w:t xml:space="preserve">Nasution &amp; </w:t>
          </w:r>
          <w:proofErr w:type="spellStart"/>
          <w:r w:rsidRPr="00982351">
            <w:rPr>
              <w:color w:val="222222"/>
              <w:shd w:val="clear" w:color="auto" w:fill="FFFFFF"/>
            </w:rPr>
            <w:t>Yusleny</w:t>
          </w:r>
          <w:proofErr w:type="spellEnd"/>
          <w:r w:rsidRPr="00982351">
            <w:rPr>
              <w:color w:val="222222"/>
              <w:shd w:val="clear" w:color="auto" w:fill="FFFFFF"/>
            </w:rPr>
            <w:t>, 2023)</w:t>
          </w:r>
          <w:r w:rsidRPr="00982351">
            <w:t>. In the case of Rolls-Royce, 2025 will have a dramatic increase in quality of earnings.</w:t>
          </w:r>
        </w:p>
        <w:tbl>
          <w:tblPr>
            <w:tblStyle w:val="TableGrid"/>
            <w:tblW w:w="0" w:type="auto"/>
            <w:tblLook w:val="04A0" w:firstRow="1" w:lastRow="0" w:firstColumn="1" w:lastColumn="0" w:noHBand="0" w:noVBand="1"/>
          </w:tblPr>
          <w:tblGrid>
            <w:gridCol w:w="2040"/>
            <w:gridCol w:w="2545"/>
            <w:gridCol w:w="2030"/>
            <w:gridCol w:w="1210"/>
            <w:gridCol w:w="1191"/>
          </w:tblGrid>
          <w:tr w:rsidR="00814900" w:rsidRPr="00982351" w14:paraId="2CE5F943" w14:textId="77777777" w:rsidTr="00904EF6">
            <w:tc>
              <w:tcPr>
                <w:tcW w:w="0" w:type="auto"/>
                <w:hideMark/>
              </w:tcPr>
              <w:p w14:paraId="7DE4E5CB"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Ratio</w:t>
                </w:r>
              </w:p>
            </w:tc>
            <w:tc>
              <w:tcPr>
                <w:tcW w:w="0" w:type="auto"/>
                <w:hideMark/>
              </w:tcPr>
              <w:p w14:paraId="51509F6C"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Formula</w:t>
                </w:r>
              </w:p>
            </w:tc>
            <w:tc>
              <w:tcPr>
                <w:tcW w:w="0" w:type="auto"/>
                <w:hideMark/>
              </w:tcPr>
              <w:p w14:paraId="1D00C3AF"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2025 Calculation</w:t>
                </w:r>
              </w:p>
            </w:tc>
            <w:tc>
              <w:tcPr>
                <w:tcW w:w="0" w:type="auto"/>
                <w:hideMark/>
              </w:tcPr>
              <w:p w14:paraId="415FD50F"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2025 Result</w:t>
                </w:r>
              </w:p>
            </w:tc>
            <w:tc>
              <w:tcPr>
                <w:tcW w:w="0" w:type="auto"/>
                <w:hideMark/>
              </w:tcPr>
              <w:p w14:paraId="147D7B0A"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2024 Result</w:t>
                </w:r>
              </w:p>
            </w:tc>
          </w:tr>
          <w:tr w:rsidR="00814900" w:rsidRPr="00982351" w14:paraId="2E94CCB5" w14:textId="77777777" w:rsidTr="00904EF6">
            <w:tc>
              <w:tcPr>
                <w:tcW w:w="0" w:type="auto"/>
                <w:hideMark/>
              </w:tcPr>
              <w:p w14:paraId="0D9855E3"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Gross Profit Margin</w:t>
                </w:r>
              </w:p>
            </w:tc>
            <w:tc>
              <w:tcPr>
                <w:tcW w:w="0" w:type="auto"/>
                <w:hideMark/>
              </w:tcPr>
              <w:p w14:paraId="28239113"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(Gross Profit / Revenue) × 100</w:t>
                </w:r>
              </w:p>
            </w:tc>
            <w:tc>
              <w:tcPr>
                <w:tcW w:w="0" w:type="auto"/>
                <w:hideMark/>
              </w:tcPr>
              <w:p w14:paraId="778154CC"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(6,175 / 21,207) * 100</w:t>
                </w:r>
              </w:p>
            </w:tc>
            <w:tc>
              <w:tcPr>
                <w:tcW w:w="0" w:type="auto"/>
                <w:hideMark/>
              </w:tcPr>
              <w:p w14:paraId="379F2094"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29.12%</w:t>
                </w:r>
              </w:p>
            </w:tc>
            <w:tc>
              <w:tcPr>
                <w:tcW w:w="0" w:type="auto"/>
                <w:hideMark/>
              </w:tcPr>
              <w:p w14:paraId="6EB19B04"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22.32%</w:t>
                </w:r>
              </w:p>
            </w:tc>
          </w:tr>
          <w:tr w:rsidR="00814900" w:rsidRPr="00982351" w14:paraId="303ECCDA" w14:textId="77777777" w:rsidTr="00904EF6">
            <w:tc>
              <w:tcPr>
                <w:tcW w:w="0" w:type="auto"/>
                <w:hideMark/>
              </w:tcPr>
              <w:p w14:paraId="1D7E1718"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Operating Profit Margin</w:t>
                </w:r>
              </w:p>
            </w:tc>
            <w:tc>
              <w:tcPr>
                <w:tcW w:w="0" w:type="auto"/>
                <w:hideMark/>
              </w:tcPr>
              <w:p w14:paraId="0948B74F"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(Operating Profit / Revenue) × 100</w:t>
                </w:r>
              </w:p>
            </w:tc>
            <w:tc>
              <w:tcPr>
                <w:tcW w:w="0" w:type="auto"/>
                <w:hideMark/>
              </w:tcPr>
              <w:p w14:paraId="45ACFF08"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(4,468 / 21,207) * 100</w:t>
                </w:r>
              </w:p>
            </w:tc>
            <w:tc>
              <w:tcPr>
                <w:tcW w:w="0" w:type="auto"/>
                <w:hideMark/>
              </w:tcPr>
              <w:p w14:paraId="18C0ABA0"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21.07%</w:t>
                </w:r>
              </w:p>
            </w:tc>
            <w:tc>
              <w:tcPr>
                <w:tcW w:w="0" w:type="auto"/>
                <w:hideMark/>
              </w:tcPr>
              <w:p w14:paraId="3284EB2C"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15.37%</w:t>
                </w:r>
              </w:p>
            </w:tc>
          </w:tr>
          <w:tr w:rsidR="00814900" w:rsidRPr="00982351" w14:paraId="11F414AB" w14:textId="77777777" w:rsidTr="00904EF6">
            <w:tc>
              <w:tcPr>
                <w:tcW w:w="0" w:type="auto"/>
                <w:hideMark/>
              </w:tcPr>
              <w:p w14:paraId="7445A72D"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Net Profit Margin</w:t>
                </w:r>
              </w:p>
            </w:tc>
            <w:tc>
              <w:tcPr>
                <w:tcW w:w="0" w:type="auto"/>
                <w:hideMark/>
              </w:tcPr>
              <w:p w14:paraId="2F2B5D57"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(Profit for Year / Revenue) × 100</w:t>
                </w:r>
              </w:p>
            </w:tc>
            <w:tc>
              <w:tcPr>
                <w:tcW w:w="0" w:type="auto"/>
                <w:hideMark/>
              </w:tcPr>
              <w:p w14:paraId="2DA88CFA"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(5,836 / 21,207) * 100</w:t>
                </w:r>
              </w:p>
            </w:tc>
            <w:tc>
              <w:tcPr>
                <w:tcW w:w="0" w:type="auto"/>
                <w:hideMark/>
              </w:tcPr>
              <w:p w14:paraId="36351967"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27.52%</w:t>
                </w:r>
              </w:p>
            </w:tc>
            <w:tc>
              <w:tcPr>
                <w:tcW w:w="0" w:type="auto"/>
                <w:hideMark/>
              </w:tcPr>
              <w:p w14:paraId="2E1C624E"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13.14%</w:t>
                </w:r>
              </w:p>
            </w:tc>
          </w:tr>
          <w:tr w:rsidR="00814900" w:rsidRPr="00982351" w14:paraId="6BA8C0BD" w14:textId="77777777" w:rsidTr="00904EF6">
            <w:tc>
              <w:tcPr>
                <w:tcW w:w="0" w:type="auto"/>
                <w:hideMark/>
              </w:tcPr>
              <w:p w14:paraId="5BC99ECA"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ROCE</w:t>
                </w:r>
              </w:p>
            </w:tc>
            <w:tc>
              <w:tcPr>
                <w:tcW w:w="0" w:type="auto"/>
                <w:hideMark/>
              </w:tcPr>
              <w:p w14:paraId="60DD8DD6"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 xml:space="preserve">EBIT / (Total Assets - Current </w:t>
                </w:r>
                <w:proofErr w:type="spellStart"/>
                <w:r w:rsidRPr="00982351">
                  <w:rPr>
                    <w:rFonts w:ascii="Times New Roman" w:hAnsi="Times New Roman" w:cs="Times New Roman"/>
                    <w:sz w:val="24"/>
                    <w:szCs w:val="24"/>
                  </w:rPr>
                  <w:t>Liab</w:t>
                </w:r>
                <w:proofErr w:type="spellEnd"/>
                <w:r w:rsidRPr="00982351">
                  <w:rPr>
                    <w:rFonts w:ascii="Times New Roman" w:hAnsi="Times New Roman" w:cs="Times New Roman"/>
                    <w:sz w:val="24"/>
                    <w:szCs w:val="24"/>
                  </w:rPr>
                  <w:t>.)</w:t>
                </w:r>
              </w:p>
            </w:tc>
            <w:tc>
              <w:tcPr>
                <w:tcW w:w="0" w:type="auto"/>
                <w:hideMark/>
              </w:tcPr>
              <w:p w14:paraId="2E973E82"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4,468 / (38,115 - 19,287)</w:t>
                </w:r>
              </w:p>
            </w:tc>
            <w:tc>
              <w:tcPr>
                <w:tcW w:w="0" w:type="auto"/>
                <w:hideMark/>
              </w:tcPr>
              <w:p w14:paraId="7B45CD0D"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23.73%</w:t>
                </w:r>
              </w:p>
            </w:tc>
            <w:tc>
              <w:tcPr>
                <w:tcW w:w="0" w:type="auto"/>
                <w:hideMark/>
              </w:tcPr>
              <w:p w14:paraId="3FD86508"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15.36%</w:t>
                </w:r>
              </w:p>
            </w:tc>
          </w:tr>
        </w:tbl>
        <w:p w14:paraId="43F714E3" w14:textId="77777777" w:rsidR="00814900" w:rsidRPr="00982351" w:rsidRDefault="00814900" w:rsidP="00A5268C">
          <w:pPr>
            <w:pStyle w:val="NormalWeb"/>
            <w:spacing w:line="360" w:lineRule="auto"/>
            <w:jc w:val="center"/>
            <w:rPr>
              <w:b/>
              <w:bCs/>
            </w:rPr>
          </w:pPr>
          <w:r w:rsidRPr="00982351">
            <w:rPr>
              <w:noProof/>
            </w:rPr>
            <w:drawing>
              <wp:inline distT="0" distB="0" distL="0" distR="0" wp14:anchorId="68F69E69" wp14:editId="582820FF">
                <wp:extent cx="4572000" cy="2743200"/>
                <wp:effectExtent l="0" t="0" r="0" b="0"/>
                <wp:docPr id="1243357115" name="Chart 1">
                  <a:extLst xmlns:a="http://schemas.openxmlformats.org/drawingml/2006/main">
                    <a:ext uri="{FF2B5EF4-FFF2-40B4-BE49-F238E27FC236}">
                      <a16:creationId xmlns:a16="http://schemas.microsoft.com/office/drawing/2014/main" id="{2EAE0884-1BEB-118A-4154-7AA5FE7036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8E9169D" w14:textId="77777777" w:rsidR="00814900" w:rsidRPr="00982351" w:rsidRDefault="00814900" w:rsidP="00A5268C">
          <w:pPr>
            <w:pStyle w:val="NormalWeb"/>
            <w:spacing w:line="360" w:lineRule="auto"/>
            <w:jc w:val="both"/>
          </w:pPr>
          <w:r w:rsidRPr="00982351">
            <w:t>The Rolls-Royce profitability in 2025 indicates that there is a structural shift in the business model. The most notable is the Gross Profit Margin which shot up to 29.12 percent against 22.32 percent. This 7 percent increase is not only due to the high level of sales volume but a positive sign of an effective Transformation Programme which is the commercial optimization. The company has retained a much larger share of each pound it earns by renegotiating long-term service agreements (LTSAs) in the Civil Aerospace market and cutting the Cost of Sales by the application of efficiencies in the supply chain.</w:t>
          </w:r>
        </w:p>
        <w:p w14:paraId="2115702F" w14:textId="77777777" w:rsidR="00814900" w:rsidRPr="00982351" w:rsidRDefault="00814900" w:rsidP="00A5268C">
          <w:pPr>
            <w:pStyle w:val="NormalWeb"/>
            <w:spacing w:line="360" w:lineRule="auto"/>
            <w:jc w:val="both"/>
          </w:pPr>
          <w:r w:rsidRPr="00982351">
            <w:t>This efficiency is again confirmed by the Operating Profit Margin (21.07%). Although the Research and Development (R&amp;D) spending increased, by almost 50 per cent, between 2007 and 2010 (increased to 495m), the operating profit increased by a bigger percentage of more than 50. This implies that the core operations of the company consisting of its Business-as-Usual operations are now lean enough to accommodate more investment costs without reducing its margins.</w:t>
          </w:r>
        </w:p>
        <w:p w14:paraId="4E7D8B52" w14:textId="77777777" w:rsidR="00814900" w:rsidRPr="00982351" w:rsidRDefault="00814900" w:rsidP="00A5268C">
          <w:pPr>
            <w:pStyle w:val="NormalWeb"/>
            <w:spacing w:line="360" w:lineRule="auto"/>
            <w:jc w:val="both"/>
          </w:pPr>
          <w:r w:rsidRPr="00982351">
            <w:t>Nevertheless, the Net Profit Margin (27.52%), should be seen through a critical eye. This is a huge figure but this amount is inflated by the non-operational items. In particular, the latter includes Gain on disposal of businesses (£809m) and a colossal increase in Net financing income (1,658m) in comparison with a loss in 2024. They are mostly paper gains in terms of recognition of derivative contracts and assets that are being sold off. Thus, although the ROCE of 23.73 is much higher than in 2024, in fact, the Board needs to maintain the Operating Margin, but not the fluctuating Net Margin to provide long-term profitability.</w:t>
          </w:r>
        </w:p>
        <w:p w14:paraId="4156B73C" w14:textId="11638D2A" w:rsidR="00814900" w:rsidRPr="00982351" w:rsidRDefault="00814900" w:rsidP="00A5268C">
          <w:pPr>
            <w:spacing w:line="360" w:lineRule="auto"/>
            <w:rPr>
              <w:rFonts w:ascii="Times New Roman" w:hAnsi="Times New Roman" w:cs="Times New Roman"/>
              <w:b/>
              <w:bCs/>
              <w:i/>
              <w:iCs/>
              <w:sz w:val="24"/>
              <w:szCs w:val="24"/>
            </w:rPr>
          </w:pPr>
          <w:r w:rsidRPr="00982351">
            <w:rPr>
              <w:rFonts w:ascii="Times New Roman" w:hAnsi="Times New Roman" w:cs="Times New Roman"/>
              <w:b/>
              <w:bCs/>
              <w:i/>
              <w:iCs/>
              <w:sz w:val="24"/>
              <w:szCs w:val="24"/>
            </w:rPr>
            <w:t>Liquidity &amp; Solvency Analysis</w:t>
          </w:r>
        </w:p>
        <w:p w14:paraId="36C04899" w14:textId="77777777" w:rsidR="00814900" w:rsidRPr="00982351" w:rsidRDefault="00814900" w:rsidP="00A5268C">
          <w:pPr>
            <w:pStyle w:val="NormalWeb"/>
            <w:spacing w:before="0" w:beforeAutospacing="0" w:line="360" w:lineRule="auto"/>
            <w:jc w:val="both"/>
          </w:pPr>
          <w:r w:rsidRPr="00982351">
            <w:t xml:space="preserve">This determines whether Rolls-Royce is capable of meeting its short-term liabilities and remains afloat in the long-term (Blessing and </w:t>
          </w:r>
          <w:proofErr w:type="spellStart"/>
          <w:r w:rsidRPr="00982351">
            <w:t>Sakouvogui</w:t>
          </w:r>
          <w:proofErr w:type="spellEnd"/>
          <w:r w:rsidRPr="00982351">
            <w:t>, 2023).</w:t>
          </w:r>
        </w:p>
        <w:tbl>
          <w:tblPr>
            <w:tblStyle w:val="TableGrid"/>
            <w:tblW w:w="0" w:type="auto"/>
            <w:tblLook w:val="04A0" w:firstRow="1" w:lastRow="0" w:firstColumn="1" w:lastColumn="0" w:noHBand="0" w:noVBand="1"/>
          </w:tblPr>
          <w:tblGrid>
            <w:gridCol w:w="1555"/>
            <w:gridCol w:w="2687"/>
            <w:gridCol w:w="2268"/>
            <w:gridCol w:w="1253"/>
            <w:gridCol w:w="1253"/>
          </w:tblGrid>
          <w:tr w:rsidR="00814900" w:rsidRPr="00982351" w14:paraId="0A1EC940" w14:textId="77777777" w:rsidTr="00904EF6">
            <w:tc>
              <w:tcPr>
                <w:tcW w:w="0" w:type="auto"/>
                <w:hideMark/>
              </w:tcPr>
              <w:p w14:paraId="09ADDA38"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Ratio</w:t>
                </w:r>
              </w:p>
            </w:tc>
            <w:tc>
              <w:tcPr>
                <w:tcW w:w="0" w:type="auto"/>
                <w:hideMark/>
              </w:tcPr>
              <w:p w14:paraId="6D995881"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Formula</w:t>
                </w:r>
              </w:p>
            </w:tc>
            <w:tc>
              <w:tcPr>
                <w:tcW w:w="0" w:type="auto"/>
                <w:hideMark/>
              </w:tcPr>
              <w:p w14:paraId="2EE5359D"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2025 Calculation</w:t>
                </w:r>
              </w:p>
            </w:tc>
            <w:tc>
              <w:tcPr>
                <w:tcW w:w="0" w:type="auto"/>
                <w:hideMark/>
              </w:tcPr>
              <w:p w14:paraId="2A469F7A"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2025 Result</w:t>
                </w:r>
              </w:p>
            </w:tc>
            <w:tc>
              <w:tcPr>
                <w:tcW w:w="0" w:type="auto"/>
                <w:hideMark/>
              </w:tcPr>
              <w:p w14:paraId="7260E42F"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2024 Result</w:t>
                </w:r>
              </w:p>
            </w:tc>
          </w:tr>
          <w:tr w:rsidR="00814900" w:rsidRPr="00982351" w14:paraId="40B51BAD" w14:textId="77777777" w:rsidTr="00904EF6">
            <w:tc>
              <w:tcPr>
                <w:tcW w:w="0" w:type="auto"/>
                <w:hideMark/>
              </w:tcPr>
              <w:p w14:paraId="5A1B5E8F"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Current Ratio</w:t>
                </w:r>
              </w:p>
            </w:tc>
            <w:tc>
              <w:tcPr>
                <w:tcW w:w="0" w:type="auto"/>
                <w:hideMark/>
              </w:tcPr>
              <w:p w14:paraId="67078AA2"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 xml:space="preserve">Current Assets / Current </w:t>
                </w:r>
                <w:proofErr w:type="spellStart"/>
                <w:r w:rsidRPr="00982351">
                  <w:rPr>
                    <w:rFonts w:ascii="Times New Roman" w:hAnsi="Times New Roman" w:cs="Times New Roman"/>
                    <w:sz w:val="24"/>
                    <w:szCs w:val="24"/>
                  </w:rPr>
                  <w:t>Liab</w:t>
                </w:r>
                <w:proofErr w:type="spellEnd"/>
                <w:r w:rsidRPr="00982351">
                  <w:rPr>
                    <w:rFonts w:ascii="Times New Roman" w:hAnsi="Times New Roman" w:cs="Times New Roman"/>
                    <w:sz w:val="24"/>
                    <w:szCs w:val="24"/>
                  </w:rPr>
                  <w:t>.</w:t>
                </w:r>
              </w:p>
            </w:tc>
            <w:tc>
              <w:tcPr>
                <w:tcW w:w="0" w:type="auto"/>
                <w:hideMark/>
              </w:tcPr>
              <w:p w14:paraId="275E5E44"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23,172 / 19,287</w:t>
                </w:r>
              </w:p>
            </w:tc>
            <w:tc>
              <w:tcPr>
                <w:tcW w:w="0" w:type="auto"/>
                <w:hideMark/>
              </w:tcPr>
              <w:p w14:paraId="6A532261"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1.20: 1</w:t>
                </w:r>
              </w:p>
            </w:tc>
            <w:tc>
              <w:tcPr>
                <w:tcW w:w="0" w:type="auto"/>
                <w:hideMark/>
              </w:tcPr>
              <w:p w14:paraId="125ACE9D"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1.28: 1</w:t>
                </w:r>
              </w:p>
            </w:tc>
          </w:tr>
          <w:tr w:rsidR="00814900" w:rsidRPr="00982351" w14:paraId="3CA78C75" w14:textId="77777777" w:rsidTr="00904EF6">
            <w:tc>
              <w:tcPr>
                <w:tcW w:w="0" w:type="auto"/>
                <w:hideMark/>
              </w:tcPr>
              <w:p w14:paraId="7EF38FFD"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Quick Ratio</w:t>
                </w:r>
              </w:p>
            </w:tc>
            <w:tc>
              <w:tcPr>
                <w:tcW w:w="0" w:type="auto"/>
                <w:hideMark/>
              </w:tcPr>
              <w:p w14:paraId="60E7DC70"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w:t>
                </w:r>
                <w:proofErr w:type="spellStart"/>
                <w:r w:rsidRPr="00982351">
                  <w:rPr>
                    <w:rFonts w:ascii="Times New Roman" w:hAnsi="Times New Roman" w:cs="Times New Roman"/>
                    <w:sz w:val="24"/>
                    <w:szCs w:val="24"/>
                  </w:rPr>
                  <w:t>Curr</w:t>
                </w:r>
                <w:proofErr w:type="spellEnd"/>
                <w:r w:rsidRPr="00982351">
                  <w:rPr>
                    <w:rFonts w:ascii="Times New Roman" w:hAnsi="Times New Roman" w:cs="Times New Roman"/>
                    <w:sz w:val="24"/>
                    <w:szCs w:val="24"/>
                  </w:rPr>
                  <w:t xml:space="preserve">. Assets - Inv.) / </w:t>
                </w:r>
                <w:proofErr w:type="spellStart"/>
                <w:r w:rsidRPr="00982351">
                  <w:rPr>
                    <w:rFonts w:ascii="Times New Roman" w:hAnsi="Times New Roman" w:cs="Times New Roman"/>
                    <w:sz w:val="24"/>
                    <w:szCs w:val="24"/>
                  </w:rPr>
                  <w:t>Curr</w:t>
                </w:r>
                <w:proofErr w:type="spellEnd"/>
                <w:r w:rsidRPr="00982351">
                  <w:rPr>
                    <w:rFonts w:ascii="Times New Roman" w:hAnsi="Times New Roman" w:cs="Times New Roman"/>
                    <w:sz w:val="24"/>
                    <w:szCs w:val="24"/>
                  </w:rPr>
                  <w:t xml:space="preserve">. </w:t>
                </w:r>
                <w:proofErr w:type="spellStart"/>
                <w:r w:rsidRPr="00982351">
                  <w:rPr>
                    <w:rFonts w:ascii="Times New Roman" w:hAnsi="Times New Roman" w:cs="Times New Roman"/>
                    <w:sz w:val="24"/>
                    <w:szCs w:val="24"/>
                  </w:rPr>
                  <w:t>Liab</w:t>
                </w:r>
                <w:proofErr w:type="spellEnd"/>
                <w:r w:rsidRPr="00982351">
                  <w:rPr>
                    <w:rFonts w:ascii="Times New Roman" w:hAnsi="Times New Roman" w:cs="Times New Roman"/>
                    <w:sz w:val="24"/>
                    <w:szCs w:val="24"/>
                  </w:rPr>
                  <w:t>.</w:t>
                </w:r>
              </w:p>
            </w:tc>
            <w:tc>
              <w:tcPr>
                <w:tcW w:w="0" w:type="auto"/>
                <w:hideMark/>
              </w:tcPr>
              <w:p w14:paraId="3A009485"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(23,172 - 5,728) / 19,287</w:t>
                </w:r>
              </w:p>
            </w:tc>
            <w:tc>
              <w:tcPr>
                <w:tcW w:w="0" w:type="auto"/>
                <w:hideMark/>
              </w:tcPr>
              <w:p w14:paraId="434E985E"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0.90: 1</w:t>
                </w:r>
              </w:p>
            </w:tc>
            <w:tc>
              <w:tcPr>
                <w:tcW w:w="0" w:type="auto"/>
                <w:hideMark/>
              </w:tcPr>
              <w:p w14:paraId="39383720"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0.98: 1</w:t>
                </w:r>
              </w:p>
            </w:tc>
          </w:tr>
          <w:tr w:rsidR="00814900" w:rsidRPr="00982351" w14:paraId="5C31F70F" w14:textId="77777777" w:rsidTr="00904EF6">
            <w:tc>
              <w:tcPr>
                <w:tcW w:w="0" w:type="auto"/>
                <w:hideMark/>
              </w:tcPr>
              <w:p w14:paraId="02C44970"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Debt-to-Equity</w:t>
                </w:r>
              </w:p>
            </w:tc>
            <w:tc>
              <w:tcPr>
                <w:tcW w:w="0" w:type="auto"/>
                <w:hideMark/>
              </w:tcPr>
              <w:p w14:paraId="3F41F480"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Total Debt / Total Equity</w:t>
                </w:r>
              </w:p>
            </w:tc>
            <w:tc>
              <w:tcPr>
                <w:tcW w:w="0" w:type="auto"/>
                <w:hideMark/>
              </w:tcPr>
              <w:p w14:paraId="604DAFC9"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(1,426 + 2,846) / 2,753</w:t>
                </w:r>
              </w:p>
            </w:tc>
            <w:tc>
              <w:tcPr>
                <w:tcW w:w="0" w:type="auto"/>
                <w:hideMark/>
              </w:tcPr>
              <w:p w14:paraId="1F5DA855"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1.55: 1</w:t>
                </w:r>
              </w:p>
            </w:tc>
            <w:tc>
              <w:tcPr>
                <w:tcW w:w="0" w:type="auto"/>
                <w:hideMark/>
              </w:tcPr>
              <w:p w14:paraId="670F9773"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N/A*</w:t>
                </w:r>
              </w:p>
            </w:tc>
          </w:tr>
        </w:tbl>
        <w:p w14:paraId="03DFE3F4" w14:textId="77777777" w:rsidR="00814900" w:rsidRPr="00982351" w:rsidRDefault="00814900" w:rsidP="00A5268C">
          <w:pPr>
            <w:pStyle w:val="NormalWeb"/>
            <w:spacing w:before="0" w:beforeAutospacing="0" w:line="360" w:lineRule="auto"/>
            <w:jc w:val="both"/>
          </w:pPr>
          <w:r w:rsidRPr="00982351">
            <w:rPr>
              <w:i/>
              <w:iCs/>
            </w:rPr>
            <w:t>*2024 Equity was negative (£-881m), making the ratio mathematically invalid, which is a key talking point.</w:t>
          </w:r>
        </w:p>
        <w:p w14:paraId="3F38B187" w14:textId="77777777" w:rsidR="00814900" w:rsidRPr="00982351" w:rsidRDefault="00814900" w:rsidP="00A5268C">
          <w:pPr>
            <w:pStyle w:val="NormalWeb"/>
            <w:spacing w:line="360" w:lineRule="auto"/>
            <w:jc w:val="both"/>
          </w:pPr>
          <w:r w:rsidRPr="00982351">
            <w:t>The liquidity position of Rolls-Royce is a juggle between the needs to operate and the prudent financial position. The Current Ratio is 1.20, which is a stable though tight ability to meet the short-term commitments. A ratio of slightly higher than 1.0 is usually accepted in high-value engineering although the cash flow must be predictable. Nevertheless, the Quick Ratio (0.90) indicates that in case inventory work (worth a colossal £5,728m) could not be transferred, then the company may not be able to cover its short-term debts with the most liquid assets (Cash and Receivables).</w:t>
          </w:r>
        </w:p>
        <w:p w14:paraId="7CFF501F" w14:textId="77777777" w:rsidR="00814900" w:rsidRPr="00982351" w:rsidRDefault="00814900" w:rsidP="00A5268C">
          <w:pPr>
            <w:pStyle w:val="NormalWeb"/>
            <w:spacing w:line="360" w:lineRule="auto"/>
            <w:jc w:val="both"/>
          </w:pPr>
          <w:r w:rsidRPr="00982351">
            <w:t>The greatest 2025 financial year achievement is the solvency narrative. In 2024, the firm had an unwanted position of a negative equity of £-881m, which was a result of the losses during the pandemic. The total Equity has gone to positive by December 2025 to a figure of £2,753m. This repaired balance sheet has been reached by holding more than 5.8bn of profit and by repaying the debt in a strategic manner.</w:t>
          </w:r>
        </w:p>
        <w:p w14:paraId="69B1AB6C" w14:textId="77777777" w:rsidR="00814900" w:rsidRPr="00982351" w:rsidRDefault="00814900" w:rsidP="00A5268C">
          <w:pPr>
            <w:pStyle w:val="NormalWeb"/>
            <w:spacing w:line="360" w:lineRule="auto"/>
            <w:jc w:val="both"/>
          </w:pPr>
          <w:r w:rsidRPr="00982351">
            <w:t>The Debt-to-Equity ratio (1.55) demonstrates that the company has a fairly low leverage, yet the tendency is negative. The Cash Flow Statement indicates that it has paid back the loans to the tune of £927m which really has decreased the interest paid. The Financing Costs of the company decreased by more than 60 percent, as the figure went down to £479m. To the Directors, it is an indication that the company is no longer in a survival phase, but in a stability phase. The most important risk is the high amount of "Contract Liabilities" (£16.5bn combined) that is services to be paid to the customers in the future. The management should make sure that the operations delivery is at par with these financial requirements so that the real future liquidity drains are not realized in the future.</w:t>
          </w:r>
        </w:p>
        <w:p w14:paraId="600A394E" w14:textId="558BB4A3" w:rsidR="00814900" w:rsidRPr="00982351" w:rsidRDefault="00814900" w:rsidP="00A5268C">
          <w:pPr>
            <w:spacing w:line="360" w:lineRule="auto"/>
            <w:rPr>
              <w:rFonts w:ascii="Times New Roman" w:hAnsi="Times New Roman" w:cs="Times New Roman"/>
              <w:b/>
              <w:bCs/>
              <w:i/>
              <w:iCs/>
              <w:sz w:val="24"/>
              <w:szCs w:val="24"/>
            </w:rPr>
          </w:pPr>
          <w:r w:rsidRPr="00982351">
            <w:rPr>
              <w:rFonts w:ascii="Times New Roman" w:hAnsi="Times New Roman" w:cs="Times New Roman"/>
              <w:b/>
              <w:bCs/>
              <w:i/>
              <w:iCs/>
              <w:sz w:val="24"/>
              <w:szCs w:val="24"/>
            </w:rPr>
            <w:t>Efficiency/Activity Analysis</w:t>
          </w:r>
        </w:p>
        <w:p w14:paraId="034554D5" w14:textId="77777777" w:rsidR="00814900" w:rsidRPr="00982351" w:rsidRDefault="00814900" w:rsidP="00A5268C">
          <w:pPr>
            <w:pStyle w:val="NormalWeb"/>
            <w:spacing w:before="0" w:beforeAutospacing="0" w:line="360" w:lineRule="auto"/>
            <w:jc w:val="both"/>
          </w:pPr>
          <w:r w:rsidRPr="00982351">
            <w:t>These ratios show how "hard" management is working the company's assets (</w:t>
          </w:r>
          <w:r w:rsidRPr="00982351">
            <w:rPr>
              <w:color w:val="222222"/>
              <w:shd w:val="clear" w:color="auto" w:fill="FFFFFF"/>
            </w:rPr>
            <w:t>Olesen et al., 2015).</w:t>
          </w:r>
        </w:p>
        <w:tbl>
          <w:tblPr>
            <w:tblStyle w:val="TableGrid"/>
            <w:tblW w:w="0" w:type="auto"/>
            <w:tblLook w:val="04A0" w:firstRow="1" w:lastRow="0" w:firstColumn="1" w:lastColumn="0" w:noHBand="0" w:noVBand="1"/>
          </w:tblPr>
          <w:tblGrid>
            <w:gridCol w:w="1911"/>
            <w:gridCol w:w="2476"/>
            <w:gridCol w:w="2249"/>
            <w:gridCol w:w="1190"/>
            <w:gridCol w:w="1190"/>
          </w:tblGrid>
          <w:tr w:rsidR="00814900" w:rsidRPr="00982351" w14:paraId="563CDE87" w14:textId="77777777" w:rsidTr="00904EF6">
            <w:tc>
              <w:tcPr>
                <w:tcW w:w="0" w:type="auto"/>
                <w:hideMark/>
              </w:tcPr>
              <w:p w14:paraId="15D42DA6"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Ratio</w:t>
                </w:r>
              </w:p>
            </w:tc>
            <w:tc>
              <w:tcPr>
                <w:tcW w:w="0" w:type="auto"/>
                <w:hideMark/>
              </w:tcPr>
              <w:p w14:paraId="07E7EA9D"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Formula</w:t>
                </w:r>
              </w:p>
            </w:tc>
            <w:tc>
              <w:tcPr>
                <w:tcW w:w="0" w:type="auto"/>
                <w:hideMark/>
              </w:tcPr>
              <w:p w14:paraId="67204114"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2025 Calculation</w:t>
                </w:r>
              </w:p>
            </w:tc>
            <w:tc>
              <w:tcPr>
                <w:tcW w:w="0" w:type="auto"/>
                <w:hideMark/>
              </w:tcPr>
              <w:p w14:paraId="5B6D975F"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2025 Result</w:t>
                </w:r>
              </w:p>
            </w:tc>
            <w:tc>
              <w:tcPr>
                <w:tcW w:w="0" w:type="auto"/>
                <w:hideMark/>
              </w:tcPr>
              <w:p w14:paraId="16550210"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2024 Result</w:t>
                </w:r>
              </w:p>
            </w:tc>
          </w:tr>
          <w:tr w:rsidR="00814900" w:rsidRPr="00982351" w14:paraId="6256B1D7" w14:textId="77777777" w:rsidTr="00904EF6">
            <w:tc>
              <w:tcPr>
                <w:tcW w:w="0" w:type="auto"/>
                <w:hideMark/>
              </w:tcPr>
              <w:p w14:paraId="7831BC27"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Inventory Turnover</w:t>
                </w:r>
              </w:p>
            </w:tc>
            <w:tc>
              <w:tcPr>
                <w:tcW w:w="0" w:type="auto"/>
                <w:hideMark/>
              </w:tcPr>
              <w:p w14:paraId="270C1F94"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COGS / Average Inventory*</w:t>
                </w:r>
              </w:p>
            </w:tc>
            <w:tc>
              <w:tcPr>
                <w:tcW w:w="0" w:type="auto"/>
                <w:hideMark/>
              </w:tcPr>
              <w:p w14:paraId="17242A8A"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$15,032 / 5,410$</w:t>
                </w:r>
              </w:p>
            </w:tc>
            <w:tc>
              <w:tcPr>
                <w:tcW w:w="0" w:type="auto"/>
                <w:hideMark/>
              </w:tcPr>
              <w:p w14:paraId="6180A555"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2.78 times</w:t>
                </w:r>
              </w:p>
            </w:tc>
            <w:tc>
              <w:tcPr>
                <w:tcW w:w="0" w:type="auto"/>
                <w:hideMark/>
              </w:tcPr>
              <w:p w14:paraId="1F53865F"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2.88 times</w:t>
                </w:r>
              </w:p>
            </w:tc>
          </w:tr>
          <w:tr w:rsidR="00814900" w:rsidRPr="00982351" w14:paraId="2DDB38A6" w14:textId="77777777" w:rsidTr="00904EF6">
            <w:tc>
              <w:tcPr>
                <w:tcW w:w="0" w:type="auto"/>
                <w:hideMark/>
              </w:tcPr>
              <w:p w14:paraId="32F18250"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Asset Turnover</w:t>
                </w:r>
              </w:p>
            </w:tc>
            <w:tc>
              <w:tcPr>
                <w:tcW w:w="0" w:type="auto"/>
                <w:hideMark/>
              </w:tcPr>
              <w:p w14:paraId="7620FE8B"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Revenue / Total Assets</w:t>
                </w:r>
              </w:p>
            </w:tc>
            <w:tc>
              <w:tcPr>
                <w:tcW w:w="0" w:type="auto"/>
                <w:hideMark/>
              </w:tcPr>
              <w:p w14:paraId="6AD1FF46"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$21,207 / 38,115$</w:t>
                </w:r>
              </w:p>
            </w:tc>
            <w:tc>
              <w:tcPr>
                <w:tcW w:w="0" w:type="auto"/>
                <w:hideMark/>
              </w:tcPr>
              <w:p w14:paraId="153B061C"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0.56 times</w:t>
                </w:r>
              </w:p>
            </w:tc>
            <w:tc>
              <w:tcPr>
                <w:tcW w:w="0" w:type="auto"/>
                <w:hideMark/>
              </w:tcPr>
              <w:p w14:paraId="14662662"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0.53 times</w:t>
                </w:r>
              </w:p>
            </w:tc>
          </w:tr>
          <w:tr w:rsidR="00814900" w:rsidRPr="00982351" w14:paraId="3CAEE2E0" w14:textId="77777777" w:rsidTr="00904EF6">
            <w:tc>
              <w:tcPr>
                <w:tcW w:w="0" w:type="auto"/>
                <w:hideMark/>
              </w:tcPr>
              <w:p w14:paraId="4E18F0E0"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Receivables Days</w:t>
                </w:r>
              </w:p>
            </w:tc>
            <w:tc>
              <w:tcPr>
                <w:tcW w:w="0" w:type="auto"/>
                <w:hideMark/>
              </w:tcPr>
              <w:p w14:paraId="2DDDA089"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(Receivables / Revenue) × 365</w:t>
                </w:r>
              </w:p>
            </w:tc>
            <w:tc>
              <w:tcPr>
                <w:tcW w:w="0" w:type="auto"/>
                <w:hideMark/>
              </w:tcPr>
              <w:p w14:paraId="2A647579"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(8,946 / 21,207) \times 365</w:t>
                </w:r>
              </w:p>
            </w:tc>
            <w:tc>
              <w:tcPr>
                <w:tcW w:w="0" w:type="auto"/>
                <w:hideMark/>
              </w:tcPr>
              <w:p w14:paraId="6AFB644B"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154 days</w:t>
                </w:r>
              </w:p>
            </w:tc>
            <w:tc>
              <w:tcPr>
                <w:tcW w:w="0" w:type="auto"/>
                <w:hideMark/>
              </w:tcPr>
              <w:p w14:paraId="49437A12"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168 days</w:t>
                </w:r>
              </w:p>
            </w:tc>
          </w:tr>
        </w:tbl>
        <w:p w14:paraId="1C427927" w14:textId="77777777" w:rsidR="00814900" w:rsidRPr="00982351" w:rsidRDefault="00814900" w:rsidP="00A5268C">
          <w:pPr>
            <w:pStyle w:val="NormalWeb"/>
            <w:spacing w:before="0" w:beforeAutospacing="0" w:line="360" w:lineRule="auto"/>
            <w:jc w:val="both"/>
          </w:pPr>
          <w:r w:rsidRPr="00982351">
            <w:rPr>
              <w:i/>
              <w:iCs/>
            </w:rPr>
            <w:t>*Average Inventory = (5,728 + 5,092) / 2</w:t>
          </w:r>
        </w:p>
        <w:p w14:paraId="3D2E9579" w14:textId="77777777" w:rsidR="00814900" w:rsidRPr="00982351" w:rsidRDefault="00814900" w:rsidP="00A5268C">
          <w:pPr>
            <w:pStyle w:val="NormalWeb"/>
            <w:spacing w:line="360" w:lineRule="auto"/>
            <w:jc w:val="both"/>
          </w:pPr>
          <w:r w:rsidRPr="00982351">
            <w:t>The 2025 efficiency ratios indicate the way Rolls-Royce is running its complicated international presence. The Asset Turnover (0.56) marginally better than the 2024 performance and it means that every pound of assets held by the company produced 56p in revenue. Although this might not be high in comparison with retail industries, when an industry is a heavy industry manufacturer with 4bn in Property, Plant, and Equipment (PPE), this is a good pointer of the healthy use of its manufacturing premises.</w:t>
          </w:r>
        </w:p>
        <w:p w14:paraId="3F2927A9" w14:textId="77777777" w:rsidR="00814900" w:rsidRPr="00982351" w:rsidRDefault="00814900" w:rsidP="00A5268C">
          <w:pPr>
            <w:pStyle w:val="NormalWeb"/>
            <w:spacing w:line="360" w:lineRule="auto"/>
            <w:jc w:val="both"/>
          </w:pPr>
          <w:r w:rsidRPr="00982351">
            <w:t>The Inventory Turnover (2.78 times) has reduced marginally compared with 2.88 in 2024. This is probably because of the 636m growth of inventory observed in the Cash Flow statement. This "hoarding" of aerospace parts in the present-day global environment is a strategic requirement to counter the turbulence of the supply chain and guarantee that engine overhauls are made on time. Whereas this is holding back cash, it avoids the much higher cost of hitting the Operating Profit when engines are grounded because of missing parts.</w:t>
          </w:r>
        </w:p>
        <w:p w14:paraId="28E35D08" w14:textId="77777777" w:rsidR="00814900" w:rsidRPr="00982351" w:rsidRDefault="00814900" w:rsidP="00A5268C">
          <w:pPr>
            <w:pStyle w:val="NormalWeb"/>
            <w:spacing w:line="360" w:lineRule="auto"/>
            <w:jc w:val="both"/>
          </w:pPr>
          <w:r w:rsidRPr="00982351">
            <w:t>One of the gems of control to the management is the Receivables Days, which dropped to 154 days. The cash collection is notoriously slow in the aerospace industry where payments are often based on the milestones of the number of Flying Hours. The decrease in the collection cycle by two weeks has enormous effect on the cash flow, which is supported by the Net Cash Inflow of Operations hand at the amount of £4,565m. This conversion of cash to profit is marvellous. Lastly, Payables cycle is also high implying that Rolls-Royce is successfully leveraging its market strength to ensure it continues to enjoy good terms with its suppliers. This is one of the reasons why the company was in a net debt position but transitioned to net cash position of 653m at the end of the year; this is possible through this working capital management.</w:t>
          </w:r>
        </w:p>
        <w:p w14:paraId="3574BF31" w14:textId="5F16D090" w:rsidR="00814900" w:rsidRPr="00982351" w:rsidRDefault="00814900" w:rsidP="00A5268C">
          <w:pPr>
            <w:spacing w:line="360" w:lineRule="auto"/>
            <w:rPr>
              <w:rFonts w:ascii="Times New Roman" w:hAnsi="Times New Roman" w:cs="Times New Roman"/>
              <w:b/>
              <w:bCs/>
              <w:i/>
              <w:iCs/>
              <w:sz w:val="24"/>
              <w:szCs w:val="24"/>
            </w:rPr>
          </w:pPr>
          <w:r w:rsidRPr="00982351">
            <w:rPr>
              <w:rFonts w:ascii="Times New Roman" w:hAnsi="Times New Roman" w:cs="Times New Roman"/>
              <w:b/>
              <w:bCs/>
              <w:i/>
              <w:iCs/>
              <w:sz w:val="24"/>
              <w:szCs w:val="24"/>
            </w:rPr>
            <w:t>Investor Ratios</w:t>
          </w:r>
        </w:p>
        <w:p w14:paraId="5AD798FC" w14:textId="77777777" w:rsidR="00814900" w:rsidRPr="00982351" w:rsidRDefault="00814900" w:rsidP="00A5268C">
          <w:pPr>
            <w:pStyle w:val="NormalWeb"/>
            <w:spacing w:before="0" w:beforeAutospacing="0" w:line="360" w:lineRule="auto"/>
            <w:jc w:val="both"/>
          </w:pPr>
          <w:r w:rsidRPr="00982351">
            <w:t>How do shareholders view this recovery?</w:t>
          </w:r>
        </w:p>
        <w:p w14:paraId="1C14E1C0" w14:textId="77777777" w:rsidR="00814900" w:rsidRPr="00982351" w:rsidRDefault="00814900" w:rsidP="00A5268C">
          <w:pPr>
            <w:pStyle w:val="NormalWeb"/>
            <w:spacing w:before="0" w:beforeAutospacing="0" w:line="360" w:lineRule="auto"/>
            <w:jc w:val="both"/>
          </w:pPr>
          <w:r w:rsidRPr="00982351">
            <w:rPr>
              <w:b/>
              <w:bCs/>
            </w:rPr>
            <w:t>Calculations Table:</w:t>
          </w:r>
        </w:p>
        <w:tbl>
          <w:tblPr>
            <w:tblStyle w:val="TableGrid"/>
            <w:tblW w:w="0" w:type="auto"/>
            <w:tblLook w:val="04A0" w:firstRow="1" w:lastRow="0" w:firstColumn="1" w:lastColumn="0" w:noHBand="0" w:noVBand="1"/>
          </w:tblPr>
          <w:tblGrid>
            <w:gridCol w:w="2051"/>
            <w:gridCol w:w="2247"/>
            <w:gridCol w:w="2065"/>
            <w:gridCol w:w="1328"/>
            <w:gridCol w:w="1325"/>
          </w:tblGrid>
          <w:tr w:rsidR="00814900" w:rsidRPr="00982351" w14:paraId="5A51924A" w14:textId="77777777" w:rsidTr="00904EF6">
            <w:tc>
              <w:tcPr>
                <w:tcW w:w="0" w:type="auto"/>
                <w:hideMark/>
              </w:tcPr>
              <w:p w14:paraId="6825534C"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Ratio</w:t>
                </w:r>
              </w:p>
            </w:tc>
            <w:tc>
              <w:tcPr>
                <w:tcW w:w="0" w:type="auto"/>
                <w:hideMark/>
              </w:tcPr>
              <w:p w14:paraId="7AF96E8F"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Formula</w:t>
                </w:r>
              </w:p>
            </w:tc>
            <w:tc>
              <w:tcPr>
                <w:tcW w:w="0" w:type="auto"/>
                <w:hideMark/>
              </w:tcPr>
              <w:p w14:paraId="4E136FFD"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2025 Calculation</w:t>
                </w:r>
              </w:p>
            </w:tc>
            <w:tc>
              <w:tcPr>
                <w:tcW w:w="0" w:type="auto"/>
                <w:hideMark/>
              </w:tcPr>
              <w:p w14:paraId="5ABC297B"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2025 Result</w:t>
                </w:r>
              </w:p>
            </w:tc>
            <w:tc>
              <w:tcPr>
                <w:tcW w:w="0" w:type="auto"/>
                <w:hideMark/>
              </w:tcPr>
              <w:p w14:paraId="7F903516"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Strong"/>
                    <w:rFonts w:ascii="Times New Roman" w:hAnsi="Times New Roman" w:cs="Times New Roman"/>
                    <w:sz w:val="24"/>
                    <w:szCs w:val="24"/>
                  </w:rPr>
                  <w:t>2024 Result</w:t>
                </w:r>
              </w:p>
            </w:tc>
          </w:tr>
          <w:tr w:rsidR="00814900" w:rsidRPr="00982351" w14:paraId="6D65BF89" w14:textId="77777777" w:rsidTr="00904EF6">
            <w:tc>
              <w:tcPr>
                <w:tcW w:w="0" w:type="auto"/>
                <w:hideMark/>
              </w:tcPr>
              <w:p w14:paraId="0666001F"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Earnings Per Share</w:t>
                </w:r>
              </w:p>
            </w:tc>
            <w:tc>
              <w:tcPr>
                <w:tcW w:w="0" w:type="auto"/>
                <w:hideMark/>
              </w:tcPr>
              <w:p w14:paraId="121F5392"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(From Statement)</w:t>
                </w:r>
              </w:p>
            </w:tc>
            <w:tc>
              <w:tcPr>
                <w:tcW w:w="0" w:type="auto"/>
                <w:hideMark/>
              </w:tcPr>
              <w:p w14:paraId="56D5C541"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Given in P&amp;L</w:t>
                </w:r>
              </w:p>
            </w:tc>
            <w:tc>
              <w:tcPr>
                <w:tcW w:w="0" w:type="auto"/>
                <w:hideMark/>
              </w:tcPr>
              <w:p w14:paraId="61FD37D0"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69.41p</w:t>
                </w:r>
              </w:p>
            </w:tc>
            <w:tc>
              <w:tcPr>
                <w:tcW w:w="0" w:type="auto"/>
                <w:hideMark/>
              </w:tcPr>
              <w:p w14:paraId="4A53014D"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30.05p</w:t>
                </w:r>
              </w:p>
            </w:tc>
          </w:tr>
          <w:tr w:rsidR="00814900" w:rsidRPr="00982351" w14:paraId="3F518B44" w14:textId="77777777" w:rsidTr="00904EF6">
            <w:tc>
              <w:tcPr>
                <w:tcW w:w="0" w:type="auto"/>
                <w:hideMark/>
              </w:tcPr>
              <w:p w14:paraId="7371DF6E"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Dividend Yield</w:t>
                </w:r>
              </w:p>
            </w:tc>
            <w:tc>
              <w:tcPr>
                <w:tcW w:w="0" w:type="auto"/>
                <w:hideMark/>
              </w:tcPr>
              <w:p w14:paraId="7295781E"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(Div. per Share / Price)</w:t>
                </w:r>
              </w:p>
            </w:tc>
            <w:tc>
              <w:tcPr>
                <w:tcW w:w="0" w:type="auto"/>
                <w:hideMark/>
              </w:tcPr>
              <w:p w14:paraId="6B2E0C29"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i/>
                    <w:iCs/>
                    <w:sz w:val="24"/>
                    <w:szCs w:val="24"/>
                  </w:rPr>
                  <w:t>Assumed Price 450p</w:t>
                </w:r>
              </w:p>
            </w:tc>
            <w:tc>
              <w:tcPr>
                <w:tcW w:w="0" w:type="auto"/>
                <w:hideMark/>
              </w:tcPr>
              <w:p w14:paraId="60956512"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2.11%</w:t>
                </w:r>
              </w:p>
            </w:tc>
            <w:tc>
              <w:tcPr>
                <w:tcW w:w="0" w:type="auto"/>
                <w:hideMark/>
              </w:tcPr>
              <w:p w14:paraId="5E535E32"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0%</w:t>
                </w:r>
              </w:p>
            </w:tc>
          </w:tr>
          <w:tr w:rsidR="00814900" w:rsidRPr="00982351" w14:paraId="5B504B71" w14:textId="77777777" w:rsidTr="00904EF6">
            <w:tc>
              <w:tcPr>
                <w:tcW w:w="0" w:type="auto"/>
                <w:hideMark/>
              </w:tcPr>
              <w:p w14:paraId="36588725"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P/E Ratio</w:t>
                </w:r>
              </w:p>
            </w:tc>
            <w:tc>
              <w:tcPr>
                <w:tcW w:w="0" w:type="auto"/>
                <w:hideMark/>
              </w:tcPr>
              <w:p w14:paraId="7D456F4E"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Price / EPS</w:t>
                </w:r>
              </w:p>
            </w:tc>
            <w:tc>
              <w:tcPr>
                <w:tcW w:w="0" w:type="auto"/>
                <w:hideMark/>
              </w:tcPr>
              <w:p w14:paraId="6BCBED82" w14:textId="77777777" w:rsidR="00814900" w:rsidRPr="00982351" w:rsidRDefault="00814900" w:rsidP="00A5268C">
                <w:pPr>
                  <w:spacing w:line="360" w:lineRule="auto"/>
                  <w:jc w:val="both"/>
                  <w:rPr>
                    <w:rFonts w:ascii="Times New Roman" w:hAnsi="Times New Roman" w:cs="Times New Roman"/>
                    <w:sz w:val="24"/>
                    <w:szCs w:val="24"/>
                  </w:rPr>
                </w:pPr>
                <w:r w:rsidRPr="00982351">
                  <w:rPr>
                    <w:rStyle w:val="math-inline"/>
                    <w:rFonts w:ascii="Times New Roman" w:hAnsi="Times New Roman" w:cs="Times New Roman"/>
                    <w:sz w:val="24"/>
                    <w:szCs w:val="24"/>
                  </w:rPr>
                  <w:t>450p / 69.41p</w:t>
                </w:r>
              </w:p>
            </w:tc>
            <w:tc>
              <w:tcPr>
                <w:tcW w:w="0" w:type="auto"/>
                <w:hideMark/>
              </w:tcPr>
              <w:p w14:paraId="09637CE8"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b/>
                    <w:bCs/>
                    <w:sz w:val="24"/>
                    <w:szCs w:val="24"/>
                  </w:rPr>
                  <w:t>6.48</w:t>
                </w:r>
              </w:p>
            </w:tc>
            <w:tc>
              <w:tcPr>
                <w:tcW w:w="0" w:type="auto"/>
                <w:hideMark/>
              </w:tcPr>
              <w:p w14:paraId="48BB7A51" w14:textId="77777777" w:rsidR="00814900" w:rsidRPr="00982351" w:rsidRDefault="00814900"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14.97</w:t>
                </w:r>
              </w:p>
            </w:tc>
          </w:tr>
        </w:tbl>
        <w:p w14:paraId="326B1BF9" w14:textId="77777777" w:rsidR="00814900" w:rsidRPr="00982351" w:rsidRDefault="00814900" w:rsidP="00A5268C">
          <w:pPr>
            <w:pStyle w:val="NormalWeb"/>
            <w:spacing w:line="360" w:lineRule="auto"/>
            <w:jc w:val="both"/>
          </w:pPr>
          <w:r w:rsidRPr="00982351">
            <w:t>The investor ratio in 2025 is an indication of the shareholders of Rolls-Royce of the return to normalcy. The most important indicator is the Basic Earnings Per Share (EPS) of 69.41p that has increased over fifty times as compared to 30.05p in the year 2024. This expansion is the main cause of the rise in share prices of the company in the year 2025. To the Board this growth in EPS is justification of the existing strategy and the headroom to reward investors.</w:t>
          </w:r>
        </w:p>
        <w:p w14:paraId="521CE4D7" w14:textId="77777777" w:rsidR="00814900" w:rsidRPr="00982351" w:rsidRDefault="00814900" w:rsidP="00A5268C">
          <w:pPr>
            <w:pStyle w:val="NormalWeb"/>
            <w:spacing w:line="360" w:lineRule="auto"/>
            <w:jc w:val="both"/>
          </w:pPr>
          <w:r w:rsidRPr="00982351">
            <w:t>The reinstatement of dividends is the most symbolic change. The company has had to pay the dividends of up to £885m in 2025 after the years of the suspension. This translates to Dividend Yield of about 2.1 using an assumed share price of 450p. This may be low as compared to other Value stocks on the FTSE 100, but it is a strong buy signal to institutional investors, who are under a mandate to avoid holding non-dividend paying stocks. It shows that the management is sure that the turnaround will be lasting.</w:t>
          </w:r>
        </w:p>
        <w:p w14:paraId="3983ED97" w14:textId="77777777" w:rsidR="00814900" w:rsidRPr="00982351" w:rsidRDefault="00814900" w:rsidP="00A5268C">
          <w:pPr>
            <w:pStyle w:val="NormalWeb"/>
            <w:spacing w:line="360" w:lineRule="auto"/>
            <w:jc w:val="both"/>
          </w:pPr>
          <w:r w:rsidRPr="00982351">
            <w:t>The Price-to-Earnings (P/E) Ratio, which has declined between 14.97 and 6.48, indicates that the stock has been made companies to be cheaper in as far as its earnings capability is concerned. The average P/E of a high-tech engineering company is 6.48 which is extremely low (the average in the market is around 15) and may indicate that the market is yet to be completely priced in regarding the recovery of the company or that investors remain risk averse on the future cyclical risk in the aviation industry. Generally, the investor ratios are able to indicate that a company has managed to de-risk its profile. The dilemma of the Directors in the future is to sustain this growth in dividend without jeopardizing the R&amp;D investment to remain competitive during the aerospace sector transition to the Net Zero.</w:t>
          </w:r>
        </w:p>
        <w:p w14:paraId="153E7966" w14:textId="2D506560" w:rsidR="00814900" w:rsidRPr="00982351" w:rsidRDefault="00982351" w:rsidP="00A5268C">
          <w:pPr>
            <w:pStyle w:val="Heading3"/>
          </w:pPr>
          <w:r>
            <w:t xml:space="preserve">2.3 </w:t>
          </w:r>
          <w:r w:rsidR="00814900" w:rsidRPr="00982351">
            <w:t xml:space="preserve">Recommendations </w:t>
          </w:r>
        </w:p>
        <w:p w14:paraId="18C3F2BB" w14:textId="77777777" w:rsidR="00814900" w:rsidRPr="00982351" w:rsidRDefault="00814900" w:rsidP="00A5268C">
          <w:pPr>
            <w:pStyle w:val="NormalWeb"/>
            <w:spacing w:line="360" w:lineRule="auto"/>
            <w:jc w:val="both"/>
          </w:pPr>
          <w:r w:rsidRPr="00982351">
            <w:t>Due to the critical financial analysis of the 2024 and 2025 fiscal years, the following strategic suggestions can be given to the Board of Directors to guarantee the creation of long-term value and financial robustness.</w:t>
          </w:r>
        </w:p>
        <w:p w14:paraId="3043BE03" w14:textId="77777777" w:rsidR="00814900" w:rsidRPr="00982351" w:rsidRDefault="00814900" w:rsidP="00A5268C">
          <w:pPr>
            <w:pStyle w:val="NormalWeb"/>
            <w:spacing w:line="360" w:lineRule="auto"/>
            <w:jc w:val="both"/>
          </w:pPr>
          <w:r w:rsidRPr="00982351">
            <w:rPr>
              <w:b/>
              <w:bCs/>
              <w:i/>
              <w:iCs/>
            </w:rPr>
            <w:t>Continue with the "Transformation Programme" and Margin Discipline</w:t>
          </w:r>
          <w:r w:rsidRPr="00982351">
            <w:t xml:space="preserve"> -The 2025 outcomes indicate that the Operating Profit Margin (21.07% has increased considerably, mostly due to the "Transformation Programme" of the Group (</w:t>
          </w:r>
          <w:proofErr w:type="spellStart"/>
          <w:r w:rsidRPr="00982351">
            <w:t>Erginbilgic</w:t>
          </w:r>
          <w:proofErr w:type="spellEnd"/>
          <w:r w:rsidRPr="00982351">
            <w:t>, 2026). It is suggested that the Board should still focus on the commercial maximization, especially in the Civil Aerospace section. This entails being more focused on the value-based pricing of the Long-Term Service Agreements (LTSAs) and decreasing the fixed cost even more. With these efficiencies institutionalized, the company will be able to cushion its margins against the risks of inflationary spikes in the cost of raw materials or aerospace materials (Rolls-Royce, 2026).</w:t>
          </w:r>
        </w:p>
        <w:p w14:paraId="31DD36E8" w14:textId="77777777" w:rsidR="00814900" w:rsidRPr="00982351" w:rsidRDefault="00814900" w:rsidP="00A5268C">
          <w:pPr>
            <w:pStyle w:val="NormalWeb"/>
            <w:spacing w:line="360" w:lineRule="auto"/>
            <w:jc w:val="both"/>
          </w:pPr>
          <w:r w:rsidRPr="00982351">
            <w:rPr>
              <w:b/>
              <w:bCs/>
              <w:i/>
              <w:iCs/>
            </w:rPr>
            <w:t>Maximize the Working Capital and Inventory Management</w:t>
          </w:r>
          <w:r w:rsidRPr="00982351">
            <w:t xml:space="preserve"> -Although the Receivables Days have increased to 154 days, the Quick Ratio stood at 0.90 which indicates that it is dependent on the liquidity of inventory. It is suggested that the management should adopt more advanced AI-based supply chain analytics to optimise inventory position, which increased by £636m in 2025 (Rolls-Royce, 2026). Given that it would not incur any cost to reduce the amount of buffer stock but would have the effect of freeing up substantial cash to add to the liquidity buffer of the Group and enabling the Group to invest more in the R&amp;D without the need to borrow any more.</w:t>
          </w:r>
        </w:p>
        <w:p w14:paraId="0E903681" w14:textId="77777777" w:rsidR="00814900" w:rsidRPr="00982351" w:rsidRDefault="00814900" w:rsidP="00A5268C">
          <w:pPr>
            <w:pStyle w:val="NormalWeb"/>
            <w:spacing w:line="360" w:lineRule="auto"/>
            <w:jc w:val="both"/>
          </w:pPr>
          <w:r w:rsidRPr="00982351">
            <w:rPr>
              <w:b/>
              <w:bCs/>
              <w:i/>
              <w:iCs/>
            </w:rPr>
            <w:t>Rollo strategy of strategic reinvestment in sustainable propulsion (R&amp;D)</w:t>
          </w:r>
          <w:r w:rsidRPr="00982351">
            <w:t xml:space="preserve">- Since the balance sheet is now put back at its appropriate positive equity standing of a couple of pounds i.e., 2753m, Rolls-Royce is now in a position to spearhead the Net Zero transition. It will be advisable that a part of the record £3.2bn Free Cash Flow be vigorously re-invested in the </w:t>
          </w:r>
          <w:proofErr w:type="spellStart"/>
          <w:r w:rsidRPr="00982351">
            <w:t>UltraFan</w:t>
          </w:r>
          <w:proofErr w:type="spellEnd"/>
          <w:r w:rsidRPr="00982351">
            <w:t xml:space="preserve"> engine technology and Small Modular Reactors (SMRs). This is necessary in order to hedge the firm against any future carbon-related regulations that can affect the aviation industry (Aviation Environment Federation, 2025).</w:t>
          </w:r>
        </w:p>
        <w:p w14:paraId="4D87ACA2" w14:textId="77777777" w:rsidR="00814900" w:rsidRPr="00982351" w:rsidRDefault="00814900" w:rsidP="00A5268C">
          <w:pPr>
            <w:pStyle w:val="NormalWeb"/>
            <w:spacing w:line="360" w:lineRule="auto"/>
            <w:jc w:val="both"/>
          </w:pPr>
          <w:r w:rsidRPr="00982351">
            <w:rPr>
              <w:b/>
              <w:bCs/>
              <w:i/>
              <w:iCs/>
            </w:rPr>
            <w:t>Balanced Capital Allocation Policy-</w:t>
          </w:r>
          <w:r w:rsidRPr="00982351">
            <w:t xml:space="preserve"> Since 2025 will mark the resumption of a £885m dividend, the Board will need to have a progressive and yet a cautious dividend policy. Since the aerospace industry is cyclical, the Group must strive to have a dividend cover of not less than 2.5x. This guarantees that a decline in the market will not push the company into a situation where it is unable to pay shareholders, but at the same time investing in the yearly 1bn in research and development that will keep the company among the leader in high-tech engineering across the globe (</w:t>
          </w:r>
          <w:proofErr w:type="spellStart"/>
          <w:r w:rsidRPr="00982351">
            <w:t>Erginbilgic</w:t>
          </w:r>
          <w:proofErr w:type="spellEnd"/>
          <w:r w:rsidRPr="00982351">
            <w:t>, 2026).</w:t>
          </w:r>
        </w:p>
        <w:p w14:paraId="0E280EA1" w14:textId="77777777" w:rsidR="00CF0E48" w:rsidRPr="00982351" w:rsidRDefault="00CF0E48" w:rsidP="00A5268C">
          <w:pPr>
            <w:spacing w:line="360" w:lineRule="auto"/>
            <w:rPr>
              <w:rFonts w:ascii="Times New Roman" w:hAnsi="Times New Roman" w:cs="Times New Roman"/>
              <w:sz w:val="24"/>
              <w:szCs w:val="24"/>
            </w:rPr>
          </w:pPr>
        </w:p>
        <w:p w14:paraId="7D4FC40A" w14:textId="004DDBBC" w:rsidR="00480872" w:rsidRPr="00982351" w:rsidRDefault="00CF0E48" w:rsidP="00A5268C">
          <w:pPr>
            <w:pStyle w:val="Heading1"/>
          </w:pPr>
          <w:bookmarkStart w:id="4" w:name="_Toc178766396"/>
          <w:r w:rsidRPr="00982351">
            <w:t>Task 2</w:t>
          </w:r>
          <w:bookmarkEnd w:id="4"/>
        </w:p>
        <w:p w14:paraId="396D251C" w14:textId="77777777" w:rsidR="00BA4F02" w:rsidRPr="00B329A6" w:rsidRDefault="00BA4F02" w:rsidP="00A5268C">
          <w:pPr>
            <w:pStyle w:val="Heading2"/>
            <w:rPr>
              <w:lang w:eastAsia="en-IN"/>
            </w:rPr>
          </w:pPr>
          <w:r w:rsidRPr="00B329A6">
            <w:rPr>
              <w:lang w:eastAsia="en-IN"/>
            </w:rPr>
            <w:t>2. Evaluation of Investment Options Using Net Present Value (NPV)</w:t>
          </w:r>
        </w:p>
        <w:p w14:paraId="2B357D63" w14:textId="405600B6" w:rsidR="00BA4F02" w:rsidRPr="00982351" w:rsidRDefault="00BA4F02" w:rsidP="00A5268C">
          <w:pPr>
            <w:spacing w:line="360" w:lineRule="auto"/>
            <w:rPr>
              <w:rFonts w:ascii="Times New Roman" w:hAnsi="Times New Roman" w:cs="Times New Roman"/>
              <w:b/>
              <w:bCs/>
              <w:sz w:val="24"/>
              <w:szCs w:val="24"/>
            </w:rPr>
          </w:pPr>
          <w:r w:rsidRPr="00982351">
            <w:rPr>
              <w:rFonts w:ascii="Times New Roman" w:hAnsi="Times New Roman" w:cs="Times New Roman"/>
              <w:b/>
              <w:bCs/>
              <w:sz w:val="24"/>
              <w:szCs w:val="24"/>
            </w:rPr>
            <w:t>Introduction to NPV Approach</w:t>
          </w:r>
        </w:p>
        <w:p w14:paraId="3E180D1E" w14:textId="77777777"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The Net Present Value (NPV) technique will be used to analyse the three investment alternatives that the Beard Plc has in a time frame of four years. NPV is a discount method of a cash flow that is used to estimate the difference between the present value of cash inflow and the initial investment cost. A positive NPV means that a project will give higher returns than the required rate of return and consequently, will enhance the shareholder wealth and a negative NPV means that the project should not be taken up (Brealey, Myers and Allen, 2020).</w:t>
          </w:r>
        </w:p>
        <w:p w14:paraId="3BBBFCAF"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In this analysis cost of capital is taken to be 5% which represents the required rate of the company. Corporation tax is charged at 25 percent and capital allowance is computed at 20 percent per annum on a straight-line basis. All cash flows are supposed to take place at the conclusion of every year and tax charged during the same period where profits are earned.</w:t>
          </w:r>
        </w:p>
        <w:p w14:paraId="35D995AC" w14:textId="102D0422" w:rsidR="00BA4F02" w:rsidRPr="00B329A6" w:rsidRDefault="00BA4F02" w:rsidP="00A5268C">
          <w:pPr>
            <w:spacing w:line="360" w:lineRule="auto"/>
            <w:rPr>
              <w:rFonts w:ascii="Times New Roman" w:hAnsi="Times New Roman" w:cs="Times New Roman"/>
              <w:b/>
              <w:bCs/>
              <w:sz w:val="24"/>
              <w:szCs w:val="24"/>
              <w:lang w:eastAsia="en-IN"/>
            </w:rPr>
          </w:pPr>
          <w:r w:rsidRPr="00B329A6">
            <w:rPr>
              <w:rFonts w:ascii="Times New Roman" w:hAnsi="Times New Roman" w:cs="Times New Roman"/>
              <w:b/>
              <w:bCs/>
              <w:sz w:val="24"/>
              <w:szCs w:val="24"/>
              <w:lang w:eastAsia="en-IN"/>
            </w:rPr>
            <w:t>Discount Factors at 5%</w:t>
          </w:r>
        </w:p>
        <w:p w14:paraId="774FC7FD"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The present value factors that will be used to compute the discounts include:</w:t>
          </w:r>
        </w:p>
        <w:tbl>
          <w:tblPr>
            <w:tblStyle w:val="TableGrid"/>
            <w:tblW w:w="0" w:type="auto"/>
            <w:jc w:val="center"/>
            <w:tblLook w:val="04A0" w:firstRow="1" w:lastRow="0" w:firstColumn="1" w:lastColumn="0" w:noHBand="0" w:noVBand="1"/>
          </w:tblPr>
          <w:tblGrid>
            <w:gridCol w:w="863"/>
            <w:gridCol w:w="2443"/>
          </w:tblGrid>
          <w:tr w:rsidR="00BA4F02" w:rsidRPr="00B329A6" w14:paraId="5AB89C23" w14:textId="77777777" w:rsidTr="00904EF6">
            <w:trPr>
              <w:jc w:val="center"/>
            </w:trPr>
            <w:tc>
              <w:tcPr>
                <w:tcW w:w="0" w:type="auto"/>
                <w:hideMark/>
              </w:tcPr>
              <w:p w14:paraId="4AB83350"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Year</w:t>
                </w:r>
              </w:p>
            </w:tc>
            <w:tc>
              <w:tcPr>
                <w:tcW w:w="0" w:type="auto"/>
                <w:hideMark/>
              </w:tcPr>
              <w:p w14:paraId="17956E63"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Discount Factor (5%)</w:t>
                </w:r>
              </w:p>
            </w:tc>
          </w:tr>
          <w:tr w:rsidR="00BA4F02" w:rsidRPr="00B329A6" w14:paraId="04A6FE78" w14:textId="77777777" w:rsidTr="00904EF6">
            <w:trPr>
              <w:jc w:val="center"/>
            </w:trPr>
            <w:tc>
              <w:tcPr>
                <w:tcW w:w="0" w:type="auto"/>
                <w:hideMark/>
              </w:tcPr>
              <w:p w14:paraId="774AD230" w14:textId="77777777" w:rsidR="00BA4F02" w:rsidRPr="00B329A6" w:rsidRDefault="00BA4F02" w:rsidP="00A5268C">
                <w:pPr>
                  <w:spacing w:line="360" w:lineRule="auto"/>
                  <w:jc w:val="both"/>
                  <w:rPr>
                    <w:rFonts w:ascii="Times New Roman" w:eastAsia="Times New Roman" w:hAnsi="Times New Roman" w:cs="Times New Roman"/>
                    <w:kern w:val="0"/>
                    <w:sz w:val="24"/>
                    <w:szCs w:val="24"/>
                    <w:lang w:eastAsia="en-IN"/>
                    <w14:ligatures w14:val="none"/>
                  </w:rPr>
                </w:pPr>
                <w:r w:rsidRPr="00B329A6">
                  <w:rPr>
                    <w:rFonts w:ascii="Times New Roman" w:eastAsia="Times New Roman" w:hAnsi="Times New Roman" w:cs="Times New Roman"/>
                    <w:kern w:val="0"/>
                    <w:sz w:val="24"/>
                    <w:szCs w:val="24"/>
                    <w:lang w:eastAsia="en-IN"/>
                    <w14:ligatures w14:val="none"/>
                  </w:rPr>
                  <w:t>Year 1</w:t>
                </w:r>
              </w:p>
            </w:tc>
            <w:tc>
              <w:tcPr>
                <w:tcW w:w="0" w:type="auto"/>
                <w:hideMark/>
              </w:tcPr>
              <w:p w14:paraId="0C6E75B9"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0.952</w:t>
                </w:r>
              </w:p>
            </w:tc>
          </w:tr>
          <w:tr w:rsidR="00BA4F02" w:rsidRPr="00B329A6" w14:paraId="5523C570" w14:textId="77777777" w:rsidTr="00904EF6">
            <w:trPr>
              <w:jc w:val="center"/>
            </w:trPr>
            <w:tc>
              <w:tcPr>
                <w:tcW w:w="0" w:type="auto"/>
                <w:hideMark/>
              </w:tcPr>
              <w:p w14:paraId="157D0748"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Year 2</w:t>
                </w:r>
              </w:p>
            </w:tc>
            <w:tc>
              <w:tcPr>
                <w:tcW w:w="0" w:type="auto"/>
                <w:hideMark/>
              </w:tcPr>
              <w:p w14:paraId="788D05C8"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0.907</w:t>
                </w:r>
              </w:p>
            </w:tc>
          </w:tr>
          <w:tr w:rsidR="00BA4F02" w:rsidRPr="00B329A6" w14:paraId="635190EF" w14:textId="77777777" w:rsidTr="00904EF6">
            <w:trPr>
              <w:jc w:val="center"/>
            </w:trPr>
            <w:tc>
              <w:tcPr>
                <w:tcW w:w="0" w:type="auto"/>
                <w:hideMark/>
              </w:tcPr>
              <w:p w14:paraId="585A3639"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Year 3</w:t>
                </w:r>
              </w:p>
            </w:tc>
            <w:tc>
              <w:tcPr>
                <w:tcW w:w="0" w:type="auto"/>
                <w:hideMark/>
              </w:tcPr>
              <w:p w14:paraId="17DF0F1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0.864</w:t>
                </w:r>
              </w:p>
            </w:tc>
          </w:tr>
          <w:tr w:rsidR="00BA4F02" w:rsidRPr="00B329A6" w14:paraId="61D8359D" w14:textId="77777777" w:rsidTr="00904EF6">
            <w:trPr>
              <w:jc w:val="center"/>
            </w:trPr>
            <w:tc>
              <w:tcPr>
                <w:tcW w:w="0" w:type="auto"/>
                <w:hideMark/>
              </w:tcPr>
              <w:p w14:paraId="4B31FC89"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Year 4</w:t>
                </w:r>
              </w:p>
            </w:tc>
            <w:tc>
              <w:tcPr>
                <w:tcW w:w="0" w:type="auto"/>
                <w:hideMark/>
              </w:tcPr>
              <w:p w14:paraId="57B1FA32"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0.823</w:t>
                </w:r>
              </w:p>
            </w:tc>
          </w:tr>
        </w:tbl>
        <w:p w14:paraId="3E8DC5FD"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These are the factors that are employed to transform future net cash flows into the present values.</w:t>
          </w:r>
        </w:p>
        <w:p w14:paraId="5FF161B6" w14:textId="6466BAE6" w:rsidR="00BA4F02" w:rsidRPr="00B329A6" w:rsidRDefault="00BA4F02" w:rsidP="00A5268C">
          <w:pPr>
            <w:spacing w:line="360" w:lineRule="auto"/>
            <w:rPr>
              <w:rFonts w:ascii="Times New Roman" w:hAnsi="Times New Roman" w:cs="Times New Roman"/>
              <w:b/>
              <w:bCs/>
              <w:sz w:val="24"/>
              <w:szCs w:val="24"/>
              <w:lang w:eastAsia="en-IN"/>
            </w:rPr>
          </w:pPr>
          <w:r w:rsidRPr="00B329A6">
            <w:rPr>
              <w:rFonts w:ascii="Times New Roman" w:hAnsi="Times New Roman" w:cs="Times New Roman"/>
              <w:b/>
              <w:bCs/>
              <w:sz w:val="24"/>
              <w:szCs w:val="24"/>
              <w:lang w:eastAsia="en-IN"/>
            </w:rPr>
            <w:t>Evaluation of Option A: Retail Expansion (£600,000)</w:t>
          </w:r>
        </w:p>
        <w:p w14:paraId="4A3E650C"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Step 1: Capital Allowances</w:t>
          </w:r>
        </w:p>
        <w:p w14:paraId="56B766B5"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Capital Allowance=600,000×20%=120,000 per </w:t>
          </w:r>
          <w:r w:rsidRPr="00982351">
            <w:rPr>
              <w:rFonts w:ascii="Times New Roman" w:eastAsia="Times New Roman" w:hAnsi="Times New Roman" w:cs="Times New Roman"/>
              <w:sz w:val="24"/>
              <w:szCs w:val="24"/>
              <w:lang w:eastAsia="en-IN"/>
            </w:rPr>
            <w:t xml:space="preserve">year </w:t>
          </w:r>
        </w:p>
        <w:p w14:paraId="54EC166E"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Step 2: Calculation of Net Cash Flows After Tax</w:t>
          </w:r>
        </w:p>
        <w:tbl>
          <w:tblPr>
            <w:tblStyle w:val="TableGrid"/>
            <w:tblW w:w="0" w:type="auto"/>
            <w:tblLook w:val="04A0" w:firstRow="1" w:lastRow="0" w:firstColumn="1" w:lastColumn="0" w:noHBand="0" w:noVBand="1"/>
          </w:tblPr>
          <w:tblGrid>
            <w:gridCol w:w="723"/>
            <w:gridCol w:w="1902"/>
            <w:gridCol w:w="1975"/>
            <w:gridCol w:w="1600"/>
            <w:gridCol w:w="1244"/>
            <w:gridCol w:w="1572"/>
          </w:tblGrid>
          <w:tr w:rsidR="00BA4F02" w:rsidRPr="00B329A6" w14:paraId="53009A94" w14:textId="77777777" w:rsidTr="00904EF6">
            <w:tc>
              <w:tcPr>
                <w:tcW w:w="0" w:type="auto"/>
                <w:hideMark/>
              </w:tcPr>
              <w:p w14:paraId="00254A4A"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Year</w:t>
                </w:r>
              </w:p>
            </w:tc>
            <w:tc>
              <w:tcPr>
                <w:tcW w:w="0" w:type="auto"/>
                <w:hideMark/>
              </w:tcPr>
              <w:p w14:paraId="319FA192"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Cash Flow (£’000)</w:t>
                </w:r>
              </w:p>
            </w:tc>
            <w:tc>
              <w:tcPr>
                <w:tcW w:w="0" w:type="auto"/>
                <w:hideMark/>
              </w:tcPr>
              <w:p w14:paraId="540629B8"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Capital Allowance</w:t>
                </w:r>
              </w:p>
            </w:tc>
            <w:tc>
              <w:tcPr>
                <w:tcW w:w="0" w:type="auto"/>
                <w:hideMark/>
              </w:tcPr>
              <w:p w14:paraId="0B7B4B3E"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Taxable Profit</w:t>
                </w:r>
              </w:p>
            </w:tc>
            <w:tc>
              <w:tcPr>
                <w:tcW w:w="0" w:type="auto"/>
                <w:hideMark/>
              </w:tcPr>
              <w:p w14:paraId="1402435F"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Tax (25%)</w:t>
                </w:r>
              </w:p>
            </w:tc>
            <w:tc>
              <w:tcPr>
                <w:tcW w:w="0" w:type="auto"/>
                <w:hideMark/>
              </w:tcPr>
              <w:p w14:paraId="35DF4FAE"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Net Cash Flow</w:t>
                </w:r>
              </w:p>
            </w:tc>
          </w:tr>
          <w:tr w:rsidR="00BA4F02" w:rsidRPr="00B329A6" w14:paraId="0E690D97" w14:textId="77777777" w:rsidTr="00904EF6">
            <w:tc>
              <w:tcPr>
                <w:tcW w:w="0" w:type="auto"/>
                <w:hideMark/>
              </w:tcPr>
              <w:p w14:paraId="59370DD6" w14:textId="77777777" w:rsidR="00BA4F02" w:rsidRPr="00B329A6" w:rsidRDefault="00BA4F02" w:rsidP="00A5268C">
                <w:pPr>
                  <w:spacing w:line="360" w:lineRule="auto"/>
                  <w:jc w:val="both"/>
                  <w:rPr>
                    <w:rFonts w:ascii="Times New Roman" w:eastAsia="Times New Roman" w:hAnsi="Times New Roman" w:cs="Times New Roman"/>
                    <w:kern w:val="0"/>
                    <w:sz w:val="24"/>
                    <w:szCs w:val="24"/>
                    <w:lang w:eastAsia="en-IN"/>
                    <w14:ligatures w14:val="none"/>
                  </w:rPr>
                </w:pPr>
                <w:r w:rsidRPr="00B329A6">
                  <w:rPr>
                    <w:rFonts w:ascii="Times New Roman" w:eastAsia="Times New Roman" w:hAnsi="Times New Roman" w:cs="Times New Roman"/>
                    <w:kern w:val="0"/>
                    <w:sz w:val="24"/>
                    <w:szCs w:val="24"/>
                    <w:lang w:eastAsia="en-IN"/>
                    <w14:ligatures w14:val="none"/>
                  </w:rPr>
                  <w:t>1</w:t>
                </w:r>
              </w:p>
            </w:tc>
            <w:tc>
              <w:tcPr>
                <w:tcW w:w="0" w:type="auto"/>
                <w:hideMark/>
              </w:tcPr>
              <w:p w14:paraId="301A9E1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100</w:t>
                </w:r>
              </w:p>
            </w:tc>
            <w:tc>
              <w:tcPr>
                <w:tcW w:w="0" w:type="auto"/>
                <w:hideMark/>
              </w:tcPr>
              <w:p w14:paraId="082EA50E"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120</w:t>
                </w:r>
              </w:p>
            </w:tc>
            <w:tc>
              <w:tcPr>
                <w:tcW w:w="0" w:type="auto"/>
                <w:hideMark/>
              </w:tcPr>
              <w:p w14:paraId="007ECA61"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(20)</w:t>
                </w:r>
              </w:p>
            </w:tc>
            <w:tc>
              <w:tcPr>
                <w:tcW w:w="0" w:type="auto"/>
                <w:hideMark/>
              </w:tcPr>
              <w:p w14:paraId="1B2698DF"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w:t>
                </w:r>
              </w:p>
            </w:tc>
            <w:tc>
              <w:tcPr>
                <w:tcW w:w="0" w:type="auto"/>
                <w:hideMark/>
              </w:tcPr>
              <w:p w14:paraId="32C36E3E"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100</w:t>
                </w:r>
              </w:p>
            </w:tc>
          </w:tr>
          <w:tr w:rsidR="00BA4F02" w:rsidRPr="00B329A6" w14:paraId="57358192" w14:textId="77777777" w:rsidTr="00904EF6">
            <w:tc>
              <w:tcPr>
                <w:tcW w:w="0" w:type="auto"/>
                <w:hideMark/>
              </w:tcPr>
              <w:p w14:paraId="6F3B1981"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w:t>
                </w:r>
              </w:p>
            </w:tc>
            <w:tc>
              <w:tcPr>
                <w:tcW w:w="0" w:type="auto"/>
                <w:hideMark/>
              </w:tcPr>
              <w:p w14:paraId="494E6289"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180</w:t>
                </w:r>
              </w:p>
            </w:tc>
            <w:tc>
              <w:tcPr>
                <w:tcW w:w="0" w:type="auto"/>
                <w:hideMark/>
              </w:tcPr>
              <w:p w14:paraId="5F26FCF5"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120</w:t>
                </w:r>
              </w:p>
            </w:tc>
            <w:tc>
              <w:tcPr>
                <w:tcW w:w="0" w:type="auto"/>
                <w:hideMark/>
              </w:tcPr>
              <w:p w14:paraId="75C31F03"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60</w:t>
                </w:r>
              </w:p>
            </w:tc>
            <w:tc>
              <w:tcPr>
                <w:tcW w:w="0" w:type="auto"/>
                <w:hideMark/>
              </w:tcPr>
              <w:p w14:paraId="5989B864"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15</w:t>
                </w:r>
              </w:p>
            </w:tc>
            <w:tc>
              <w:tcPr>
                <w:tcW w:w="0" w:type="auto"/>
                <w:hideMark/>
              </w:tcPr>
              <w:p w14:paraId="1373A96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165</w:t>
                </w:r>
              </w:p>
            </w:tc>
          </w:tr>
          <w:tr w:rsidR="00BA4F02" w:rsidRPr="00B329A6" w14:paraId="6F792267" w14:textId="77777777" w:rsidTr="00904EF6">
            <w:tc>
              <w:tcPr>
                <w:tcW w:w="0" w:type="auto"/>
                <w:hideMark/>
              </w:tcPr>
              <w:p w14:paraId="3AB892A2"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w:t>
                </w:r>
              </w:p>
            </w:tc>
            <w:tc>
              <w:tcPr>
                <w:tcW w:w="0" w:type="auto"/>
                <w:hideMark/>
              </w:tcPr>
              <w:p w14:paraId="55DE2D76"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210</w:t>
                </w:r>
              </w:p>
            </w:tc>
            <w:tc>
              <w:tcPr>
                <w:tcW w:w="0" w:type="auto"/>
                <w:hideMark/>
              </w:tcPr>
              <w:p w14:paraId="4782F53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120</w:t>
                </w:r>
              </w:p>
            </w:tc>
            <w:tc>
              <w:tcPr>
                <w:tcW w:w="0" w:type="auto"/>
                <w:hideMark/>
              </w:tcPr>
              <w:p w14:paraId="06050CCE"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90</w:t>
                </w:r>
              </w:p>
            </w:tc>
            <w:tc>
              <w:tcPr>
                <w:tcW w:w="0" w:type="auto"/>
                <w:hideMark/>
              </w:tcPr>
              <w:p w14:paraId="0AC8F09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22.5</w:t>
                </w:r>
              </w:p>
            </w:tc>
            <w:tc>
              <w:tcPr>
                <w:tcW w:w="0" w:type="auto"/>
                <w:hideMark/>
              </w:tcPr>
              <w:p w14:paraId="59C180DA"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187.5</w:t>
                </w:r>
              </w:p>
            </w:tc>
          </w:tr>
          <w:tr w:rsidR="00BA4F02" w:rsidRPr="00B329A6" w14:paraId="54514E38" w14:textId="77777777" w:rsidTr="00904EF6">
            <w:tc>
              <w:tcPr>
                <w:tcW w:w="0" w:type="auto"/>
                <w:hideMark/>
              </w:tcPr>
              <w:p w14:paraId="1529C94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w:t>
                </w:r>
              </w:p>
            </w:tc>
            <w:tc>
              <w:tcPr>
                <w:tcW w:w="0" w:type="auto"/>
                <w:hideMark/>
              </w:tcPr>
              <w:p w14:paraId="7F1A4B3A"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260</w:t>
                </w:r>
              </w:p>
            </w:tc>
            <w:tc>
              <w:tcPr>
                <w:tcW w:w="0" w:type="auto"/>
                <w:hideMark/>
              </w:tcPr>
              <w:p w14:paraId="2EC4EC01"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120</w:t>
                </w:r>
              </w:p>
            </w:tc>
            <w:tc>
              <w:tcPr>
                <w:tcW w:w="0" w:type="auto"/>
                <w:hideMark/>
              </w:tcPr>
              <w:p w14:paraId="539EA69F"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140</w:t>
                </w:r>
              </w:p>
            </w:tc>
            <w:tc>
              <w:tcPr>
                <w:tcW w:w="0" w:type="auto"/>
                <w:hideMark/>
              </w:tcPr>
              <w:p w14:paraId="086B0DD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35</w:t>
                </w:r>
              </w:p>
            </w:tc>
            <w:tc>
              <w:tcPr>
                <w:tcW w:w="0" w:type="auto"/>
                <w:hideMark/>
              </w:tcPr>
              <w:p w14:paraId="0DFD9532"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225</w:t>
                </w:r>
              </w:p>
            </w:tc>
          </w:tr>
        </w:tbl>
        <w:p w14:paraId="4E3296E1"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Step 3: Discounting Cash Flows</w:t>
          </w:r>
        </w:p>
        <w:tbl>
          <w:tblPr>
            <w:tblStyle w:val="TableGrid"/>
            <w:tblW w:w="0" w:type="auto"/>
            <w:jc w:val="center"/>
            <w:tblLook w:val="04A0" w:firstRow="1" w:lastRow="0" w:firstColumn="1" w:lastColumn="0" w:noHBand="0" w:noVBand="1"/>
          </w:tblPr>
          <w:tblGrid>
            <w:gridCol w:w="723"/>
            <w:gridCol w:w="1723"/>
            <w:gridCol w:w="1863"/>
            <w:gridCol w:w="1649"/>
          </w:tblGrid>
          <w:tr w:rsidR="00BA4F02" w:rsidRPr="00B329A6" w14:paraId="3C551126" w14:textId="77777777" w:rsidTr="00904EF6">
            <w:trPr>
              <w:jc w:val="center"/>
            </w:trPr>
            <w:tc>
              <w:tcPr>
                <w:tcW w:w="0" w:type="auto"/>
                <w:hideMark/>
              </w:tcPr>
              <w:p w14:paraId="05D31C18"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Year</w:t>
                </w:r>
              </w:p>
            </w:tc>
            <w:tc>
              <w:tcPr>
                <w:tcW w:w="0" w:type="auto"/>
                <w:hideMark/>
              </w:tcPr>
              <w:p w14:paraId="0EE97CD8"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Net Cash Flow</w:t>
                </w:r>
              </w:p>
            </w:tc>
            <w:tc>
              <w:tcPr>
                <w:tcW w:w="0" w:type="auto"/>
                <w:hideMark/>
              </w:tcPr>
              <w:p w14:paraId="2E671FD2"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Discount Factor</w:t>
                </w:r>
              </w:p>
            </w:tc>
            <w:tc>
              <w:tcPr>
                <w:tcW w:w="0" w:type="auto"/>
                <w:hideMark/>
              </w:tcPr>
              <w:p w14:paraId="453C7B5A"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Present Value</w:t>
                </w:r>
              </w:p>
            </w:tc>
          </w:tr>
          <w:tr w:rsidR="00BA4F02" w:rsidRPr="00B329A6" w14:paraId="0A2B337D" w14:textId="77777777" w:rsidTr="00904EF6">
            <w:trPr>
              <w:jc w:val="center"/>
            </w:trPr>
            <w:tc>
              <w:tcPr>
                <w:tcW w:w="0" w:type="auto"/>
                <w:hideMark/>
              </w:tcPr>
              <w:p w14:paraId="267FB666" w14:textId="77777777" w:rsidR="00BA4F02" w:rsidRPr="00B329A6" w:rsidRDefault="00BA4F02" w:rsidP="00A5268C">
                <w:pPr>
                  <w:spacing w:line="360" w:lineRule="auto"/>
                  <w:jc w:val="both"/>
                  <w:rPr>
                    <w:rFonts w:ascii="Times New Roman" w:eastAsia="Times New Roman" w:hAnsi="Times New Roman" w:cs="Times New Roman"/>
                    <w:kern w:val="0"/>
                    <w:sz w:val="24"/>
                    <w:szCs w:val="24"/>
                    <w:lang w:eastAsia="en-IN"/>
                    <w14:ligatures w14:val="none"/>
                  </w:rPr>
                </w:pPr>
                <w:r w:rsidRPr="00B329A6">
                  <w:rPr>
                    <w:rFonts w:ascii="Times New Roman" w:eastAsia="Times New Roman" w:hAnsi="Times New Roman" w:cs="Times New Roman"/>
                    <w:kern w:val="0"/>
                    <w:sz w:val="24"/>
                    <w:szCs w:val="24"/>
                    <w:lang w:eastAsia="en-IN"/>
                    <w14:ligatures w14:val="none"/>
                  </w:rPr>
                  <w:t>1</w:t>
                </w:r>
              </w:p>
            </w:tc>
            <w:tc>
              <w:tcPr>
                <w:tcW w:w="0" w:type="auto"/>
                <w:hideMark/>
              </w:tcPr>
              <w:p w14:paraId="0C85277F"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100</w:t>
                </w:r>
              </w:p>
            </w:tc>
            <w:tc>
              <w:tcPr>
                <w:tcW w:w="0" w:type="auto"/>
                <w:hideMark/>
              </w:tcPr>
              <w:p w14:paraId="6B48EEB4"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0.952</w:t>
                </w:r>
              </w:p>
            </w:tc>
            <w:tc>
              <w:tcPr>
                <w:tcW w:w="0" w:type="auto"/>
                <w:hideMark/>
              </w:tcPr>
              <w:p w14:paraId="67FA58BD"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95.2</w:t>
                </w:r>
              </w:p>
            </w:tc>
          </w:tr>
          <w:tr w:rsidR="00BA4F02" w:rsidRPr="00B329A6" w14:paraId="54FF04CB" w14:textId="77777777" w:rsidTr="00904EF6">
            <w:trPr>
              <w:jc w:val="center"/>
            </w:trPr>
            <w:tc>
              <w:tcPr>
                <w:tcW w:w="0" w:type="auto"/>
                <w:hideMark/>
              </w:tcPr>
              <w:p w14:paraId="3662FA4F"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w:t>
                </w:r>
              </w:p>
            </w:tc>
            <w:tc>
              <w:tcPr>
                <w:tcW w:w="0" w:type="auto"/>
                <w:hideMark/>
              </w:tcPr>
              <w:p w14:paraId="0E296F83"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165</w:t>
                </w:r>
              </w:p>
            </w:tc>
            <w:tc>
              <w:tcPr>
                <w:tcW w:w="0" w:type="auto"/>
                <w:hideMark/>
              </w:tcPr>
              <w:p w14:paraId="66A79AA7"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0.907</w:t>
                </w:r>
              </w:p>
            </w:tc>
            <w:tc>
              <w:tcPr>
                <w:tcW w:w="0" w:type="auto"/>
                <w:hideMark/>
              </w:tcPr>
              <w:p w14:paraId="46E4DCFF"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149.7</w:t>
                </w:r>
              </w:p>
            </w:tc>
          </w:tr>
          <w:tr w:rsidR="00BA4F02" w:rsidRPr="00B329A6" w14:paraId="48184CB7" w14:textId="77777777" w:rsidTr="00904EF6">
            <w:trPr>
              <w:jc w:val="center"/>
            </w:trPr>
            <w:tc>
              <w:tcPr>
                <w:tcW w:w="0" w:type="auto"/>
                <w:hideMark/>
              </w:tcPr>
              <w:p w14:paraId="5667B7A3"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w:t>
                </w:r>
              </w:p>
            </w:tc>
            <w:tc>
              <w:tcPr>
                <w:tcW w:w="0" w:type="auto"/>
                <w:hideMark/>
              </w:tcPr>
              <w:p w14:paraId="63FCC486"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187.5</w:t>
                </w:r>
              </w:p>
            </w:tc>
            <w:tc>
              <w:tcPr>
                <w:tcW w:w="0" w:type="auto"/>
                <w:hideMark/>
              </w:tcPr>
              <w:p w14:paraId="730C407D"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0.864</w:t>
                </w:r>
              </w:p>
            </w:tc>
            <w:tc>
              <w:tcPr>
                <w:tcW w:w="0" w:type="auto"/>
                <w:hideMark/>
              </w:tcPr>
              <w:p w14:paraId="3812E642"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162.0</w:t>
                </w:r>
              </w:p>
            </w:tc>
          </w:tr>
          <w:tr w:rsidR="00BA4F02" w:rsidRPr="00B329A6" w14:paraId="7160C45E" w14:textId="77777777" w:rsidTr="00904EF6">
            <w:trPr>
              <w:jc w:val="center"/>
            </w:trPr>
            <w:tc>
              <w:tcPr>
                <w:tcW w:w="0" w:type="auto"/>
                <w:hideMark/>
              </w:tcPr>
              <w:p w14:paraId="6743E10B"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w:t>
                </w:r>
              </w:p>
            </w:tc>
            <w:tc>
              <w:tcPr>
                <w:tcW w:w="0" w:type="auto"/>
                <w:hideMark/>
              </w:tcPr>
              <w:p w14:paraId="321D57A9"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225</w:t>
                </w:r>
              </w:p>
            </w:tc>
            <w:tc>
              <w:tcPr>
                <w:tcW w:w="0" w:type="auto"/>
                <w:hideMark/>
              </w:tcPr>
              <w:p w14:paraId="2AB8C11E"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0.823</w:t>
                </w:r>
              </w:p>
            </w:tc>
            <w:tc>
              <w:tcPr>
                <w:tcW w:w="0" w:type="auto"/>
                <w:hideMark/>
              </w:tcPr>
              <w:p w14:paraId="0CD563C2"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185.2</w:t>
                </w:r>
              </w:p>
            </w:tc>
          </w:tr>
        </w:tbl>
        <w:p w14:paraId="285A4183" w14:textId="77777777" w:rsidR="00BA4F02" w:rsidRPr="00982351" w:rsidRDefault="00BA4F02" w:rsidP="00A5268C">
          <w:pPr>
            <w:spacing w:after="0" w:line="360" w:lineRule="auto"/>
            <w:jc w:val="both"/>
            <w:rPr>
              <w:rFonts w:ascii="Times New Roman" w:eastAsia="Times New Roman" w:hAnsi="Times New Roman" w:cs="Times New Roman"/>
              <w:sz w:val="24"/>
              <w:szCs w:val="24"/>
              <w:lang w:eastAsia="en-IN"/>
            </w:rPr>
          </w:pPr>
        </w:p>
        <w:p w14:paraId="298FFFB4" w14:textId="77777777" w:rsidR="00BA4F02" w:rsidRPr="00982351" w:rsidRDefault="00BA4F02" w:rsidP="00A5268C">
          <w:pPr>
            <w:spacing w:after="0" w:line="360" w:lineRule="auto"/>
            <w:jc w:val="center"/>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Total PV=95.2+149.7+162.0+185.2=592.1</w:t>
          </w:r>
        </w:p>
        <w:p w14:paraId="14517050" w14:textId="77777777" w:rsidR="00BA4F02" w:rsidRPr="00982351" w:rsidRDefault="00BA4F02" w:rsidP="00A5268C">
          <w:pPr>
            <w:spacing w:after="0" w:line="360" w:lineRule="auto"/>
            <w:jc w:val="center"/>
            <w:rPr>
              <w:rFonts w:ascii="Times New Roman" w:eastAsia="Times New Roman" w:hAnsi="Times New Roman" w:cs="Times New Roman"/>
              <w:sz w:val="24"/>
              <w:szCs w:val="24"/>
              <w:lang w:eastAsia="en-IN"/>
            </w:rPr>
          </w:pPr>
        </w:p>
        <w:p w14:paraId="134E7153" w14:textId="77777777" w:rsidR="00BA4F02" w:rsidRPr="00B329A6" w:rsidRDefault="00BA4F02" w:rsidP="00A5268C">
          <w:pPr>
            <w:spacing w:after="0" w:line="360" w:lineRule="auto"/>
            <w:jc w:val="center"/>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NPV=592.1−600</w:t>
          </w:r>
          <w:r w:rsidRPr="00982351">
            <w:rPr>
              <w:rFonts w:ascii="Times New Roman" w:eastAsia="Times New Roman" w:hAnsi="Times New Roman" w:cs="Times New Roman"/>
              <w:sz w:val="24"/>
              <w:szCs w:val="24"/>
              <w:lang w:eastAsia="en-IN"/>
            </w:rPr>
            <w:t>= (</w:t>
          </w:r>
          <w:r w:rsidRPr="00B329A6">
            <w:rPr>
              <w:rFonts w:ascii="Times New Roman" w:eastAsia="Times New Roman" w:hAnsi="Times New Roman" w:cs="Times New Roman"/>
              <w:sz w:val="24"/>
              <w:szCs w:val="24"/>
              <w:lang w:eastAsia="en-IN"/>
            </w:rPr>
            <w:t>−7.9)</w:t>
          </w:r>
        </w:p>
        <w:p w14:paraId="435E42D6" w14:textId="6E4AA512"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Interpretation:</w:t>
          </w:r>
          <w:r w:rsidRPr="00B329A6">
            <w:rPr>
              <w:rFonts w:ascii="Times New Roman" w:eastAsia="Times New Roman" w:hAnsi="Times New Roman" w:cs="Times New Roman"/>
              <w:sz w:val="24"/>
              <w:szCs w:val="24"/>
              <w:lang w:eastAsia="en-IN"/>
            </w:rPr>
            <w:br/>
          </w:r>
          <w:r w:rsidRPr="00982351">
            <w:rPr>
              <w:rFonts w:ascii="Times New Roman" w:eastAsia="Times New Roman" w:hAnsi="Times New Roman" w:cs="Times New Roman"/>
              <w:sz w:val="24"/>
              <w:szCs w:val="24"/>
              <w:lang w:eastAsia="en-IN"/>
            </w:rPr>
            <w:t>Option A gives a negative NPV of -7,900 implying that the project does not give the required rate of return. Consequently, it must not be accepted because it will decrease shareholder value (Arnold, 20</w:t>
          </w:r>
          <w:r w:rsidR="00A5268C">
            <w:rPr>
              <w:rFonts w:ascii="Times New Roman" w:eastAsia="Times New Roman" w:hAnsi="Times New Roman" w:cs="Times New Roman"/>
              <w:sz w:val="24"/>
              <w:szCs w:val="24"/>
              <w:lang w:eastAsia="en-IN"/>
            </w:rPr>
            <w:t>08</w:t>
          </w:r>
          <w:r w:rsidRPr="00982351">
            <w:rPr>
              <w:rFonts w:ascii="Times New Roman" w:eastAsia="Times New Roman" w:hAnsi="Times New Roman" w:cs="Times New Roman"/>
              <w:sz w:val="24"/>
              <w:szCs w:val="24"/>
              <w:lang w:eastAsia="en-IN"/>
            </w:rPr>
            <w:t>).</w:t>
          </w:r>
        </w:p>
        <w:p w14:paraId="1236E2BD" w14:textId="77777777" w:rsidR="00BA4F02" w:rsidRPr="00B329A6" w:rsidRDefault="00BA4F02" w:rsidP="00A5268C">
          <w:pPr>
            <w:spacing w:line="360" w:lineRule="auto"/>
            <w:rPr>
              <w:rFonts w:ascii="Times New Roman" w:hAnsi="Times New Roman" w:cs="Times New Roman"/>
              <w:b/>
              <w:bCs/>
              <w:sz w:val="24"/>
              <w:szCs w:val="24"/>
              <w:lang w:eastAsia="en-IN"/>
            </w:rPr>
          </w:pPr>
          <w:r w:rsidRPr="00B329A6">
            <w:rPr>
              <w:rFonts w:ascii="Times New Roman" w:hAnsi="Times New Roman" w:cs="Times New Roman"/>
              <w:b/>
              <w:bCs/>
              <w:sz w:val="24"/>
              <w:szCs w:val="24"/>
              <w:lang w:eastAsia="en-IN"/>
            </w:rPr>
            <w:t>2.4 Evaluation of Option B: Internet Sales (£900,000)</w:t>
          </w:r>
        </w:p>
        <w:p w14:paraId="5EA51BB7"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Step 1: Capital Allowances</w:t>
          </w:r>
        </w:p>
        <w:p w14:paraId="7F251803"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Capital Allowance=900,000×20%=180,</w:t>
          </w:r>
          <w:r w:rsidRPr="00982351">
            <w:rPr>
              <w:rFonts w:ascii="Times New Roman" w:eastAsia="Times New Roman" w:hAnsi="Times New Roman" w:cs="Times New Roman"/>
              <w:sz w:val="24"/>
              <w:szCs w:val="24"/>
              <w:lang w:eastAsia="en-IN"/>
            </w:rPr>
            <w:t>000</w:t>
          </w:r>
        </w:p>
        <w:p w14:paraId="4D1737CE"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Step 2: Net Cash Flow After Tax</w:t>
          </w:r>
        </w:p>
        <w:tbl>
          <w:tblPr>
            <w:tblStyle w:val="TableGrid"/>
            <w:tblW w:w="0" w:type="auto"/>
            <w:jc w:val="center"/>
            <w:tblLook w:val="04A0" w:firstRow="1" w:lastRow="0" w:firstColumn="1" w:lastColumn="0" w:noHBand="0" w:noVBand="1"/>
          </w:tblPr>
          <w:tblGrid>
            <w:gridCol w:w="723"/>
            <w:gridCol w:w="1303"/>
            <w:gridCol w:w="2103"/>
            <w:gridCol w:w="1703"/>
            <w:gridCol w:w="636"/>
            <w:gridCol w:w="1723"/>
          </w:tblGrid>
          <w:tr w:rsidR="00BA4F02" w:rsidRPr="00B329A6" w14:paraId="69162E2C" w14:textId="77777777" w:rsidTr="00904EF6">
            <w:trPr>
              <w:jc w:val="center"/>
            </w:trPr>
            <w:tc>
              <w:tcPr>
                <w:tcW w:w="0" w:type="auto"/>
                <w:hideMark/>
              </w:tcPr>
              <w:p w14:paraId="0EC4B879"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Year</w:t>
                </w:r>
              </w:p>
            </w:tc>
            <w:tc>
              <w:tcPr>
                <w:tcW w:w="0" w:type="auto"/>
                <w:hideMark/>
              </w:tcPr>
              <w:p w14:paraId="2BE5BD3F"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Cash Flow</w:t>
                </w:r>
              </w:p>
            </w:tc>
            <w:tc>
              <w:tcPr>
                <w:tcW w:w="0" w:type="auto"/>
                <w:hideMark/>
              </w:tcPr>
              <w:p w14:paraId="2799D1B6"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Capital Allowance</w:t>
                </w:r>
              </w:p>
            </w:tc>
            <w:tc>
              <w:tcPr>
                <w:tcW w:w="0" w:type="auto"/>
                <w:hideMark/>
              </w:tcPr>
              <w:p w14:paraId="530EF2F5"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Taxable Profit</w:t>
                </w:r>
              </w:p>
            </w:tc>
            <w:tc>
              <w:tcPr>
                <w:tcW w:w="0" w:type="auto"/>
                <w:hideMark/>
              </w:tcPr>
              <w:p w14:paraId="7F8B718C"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Tax</w:t>
                </w:r>
              </w:p>
            </w:tc>
            <w:tc>
              <w:tcPr>
                <w:tcW w:w="0" w:type="auto"/>
                <w:hideMark/>
              </w:tcPr>
              <w:p w14:paraId="2390122E"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Net Cash Flow</w:t>
                </w:r>
              </w:p>
            </w:tc>
          </w:tr>
          <w:tr w:rsidR="00BA4F02" w:rsidRPr="00B329A6" w14:paraId="7F19DF09" w14:textId="77777777" w:rsidTr="00904EF6">
            <w:trPr>
              <w:jc w:val="center"/>
            </w:trPr>
            <w:tc>
              <w:tcPr>
                <w:tcW w:w="0" w:type="auto"/>
                <w:hideMark/>
              </w:tcPr>
              <w:p w14:paraId="12F6486C" w14:textId="77777777" w:rsidR="00BA4F02" w:rsidRPr="00B329A6" w:rsidRDefault="00BA4F02" w:rsidP="00A5268C">
                <w:pPr>
                  <w:spacing w:line="360" w:lineRule="auto"/>
                  <w:jc w:val="both"/>
                  <w:rPr>
                    <w:rFonts w:ascii="Times New Roman" w:eastAsia="Times New Roman" w:hAnsi="Times New Roman" w:cs="Times New Roman"/>
                    <w:kern w:val="0"/>
                    <w:sz w:val="24"/>
                    <w:szCs w:val="24"/>
                    <w:lang w:eastAsia="en-IN"/>
                    <w14:ligatures w14:val="none"/>
                  </w:rPr>
                </w:pPr>
                <w:r w:rsidRPr="00B329A6">
                  <w:rPr>
                    <w:rFonts w:ascii="Times New Roman" w:eastAsia="Times New Roman" w:hAnsi="Times New Roman" w:cs="Times New Roman"/>
                    <w:kern w:val="0"/>
                    <w:sz w:val="24"/>
                    <w:szCs w:val="24"/>
                    <w:lang w:eastAsia="en-IN"/>
                    <w14:ligatures w14:val="none"/>
                  </w:rPr>
                  <w:t>1</w:t>
                </w:r>
              </w:p>
            </w:tc>
            <w:tc>
              <w:tcPr>
                <w:tcW w:w="0" w:type="auto"/>
                <w:hideMark/>
              </w:tcPr>
              <w:p w14:paraId="0D450312"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220</w:t>
                </w:r>
              </w:p>
            </w:tc>
            <w:tc>
              <w:tcPr>
                <w:tcW w:w="0" w:type="auto"/>
                <w:hideMark/>
              </w:tcPr>
              <w:p w14:paraId="2B9386FB"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180</w:t>
                </w:r>
              </w:p>
            </w:tc>
            <w:tc>
              <w:tcPr>
                <w:tcW w:w="0" w:type="auto"/>
                <w:hideMark/>
              </w:tcPr>
              <w:p w14:paraId="55AE22EC"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40</w:t>
                </w:r>
              </w:p>
            </w:tc>
            <w:tc>
              <w:tcPr>
                <w:tcW w:w="0" w:type="auto"/>
                <w:hideMark/>
              </w:tcPr>
              <w:p w14:paraId="147EAC7A"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10</w:t>
                </w:r>
              </w:p>
            </w:tc>
            <w:tc>
              <w:tcPr>
                <w:tcW w:w="0" w:type="auto"/>
                <w:hideMark/>
              </w:tcPr>
              <w:p w14:paraId="5AAB77A5"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210</w:t>
                </w:r>
              </w:p>
            </w:tc>
          </w:tr>
          <w:tr w:rsidR="00BA4F02" w:rsidRPr="00B329A6" w14:paraId="128DB309" w14:textId="77777777" w:rsidTr="00904EF6">
            <w:trPr>
              <w:jc w:val="center"/>
            </w:trPr>
            <w:tc>
              <w:tcPr>
                <w:tcW w:w="0" w:type="auto"/>
                <w:hideMark/>
              </w:tcPr>
              <w:p w14:paraId="1E8E6444"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w:t>
                </w:r>
              </w:p>
            </w:tc>
            <w:tc>
              <w:tcPr>
                <w:tcW w:w="0" w:type="auto"/>
                <w:hideMark/>
              </w:tcPr>
              <w:p w14:paraId="57A95241"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270</w:t>
                </w:r>
              </w:p>
            </w:tc>
            <w:tc>
              <w:tcPr>
                <w:tcW w:w="0" w:type="auto"/>
                <w:hideMark/>
              </w:tcPr>
              <w:p w14:paraId="15C56161"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180</w:t>
                </w:r>
              </w:p>
            </w:tc>
            <w:tc>
              <w:tcPr>
                <w:tcW w:w="0" w:type="auto"/>
                <w:hideMark/>
              </w:tcPr>
              <w:p w14:paraId="503590F1"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90</w:t>
                </w:r>
              </w:p>
            </w:tc>
            <w:tc>
              <w:tcPr>
                <w:tcW w:w="0" w:type="auto"/>
                <w:hideMark/>
              </w:tcPr>
              <w:p w14:paraId="32064B1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22.5</w:t>
                </w:r>
              </w:p>
            </w:tc>
            <w:tc>
              <w:tcPr>
                <w:tcW w:w="0" w:type="auto"/>
                <w:hideMark/>
              </w:tcPr>
              <w:p w14:paraId="367A72AA"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247.5</w:t>
                </w:r>
              </w:p>
            </w:tc>
          </w:tr>
          <w:tr w:rsidR="00BA4F02" w:rsidRPr="00B329A6" w14:paraId="12F393BF" w14:textId="77777777" w:rsidTr="00904EF6">
            <w:trPr>
              <w:jc w:val="center"/>
            </w:trPr>
            <w:tc>
              <w:tcPr>
                <w:tcW w:w="0" w:type="auto"/>
                <w:hideMark/>
              </w:tcPr>
              <w:p w14:paraId="611A1A7D"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w:t>
                </w:r>
              </w:p>
            </w:tc>
            <w:tc>
              <w:tcPr>
                <w:tcW w:w="0" w:type="auto"/>
                <w:hideMark/>
              </w:tcPr>
              <w:p w14:paraId="41770C6B"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350</w:t>
                </w:r>
              </w:p>
            </w:tc>
            <w:tc>
              <w:tcPr>
                <w:tcW w:w="0" w:type="auto"/>
                <w:hideMark/>
              </w:tcPr>
              <w:p w14:paraId="0F244B0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180</w:t>
                </w:r>
              </w:p>
            </w:tc>
            <w:tc>
              <w:tcPr>
                <w:tcW w:w="0" w:type="auto"/>
                <w:hideMark/>
              </w:tcPr>
              <w:p w14:paraId="7E5E0893"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170</w:t>
                </w:r>
              </w:p>
            </w:tc>
            <w:tc>
              <w:tcPr>
                <w:tcW w:w="0" w:type="auto"/>
                <w:hideMark/>
              </w:tcPr>
              <w:p w14:paraId="787BFDD7"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42.5</w:t>
                </w:r>
              </w:p>
            </w:tc>
            <w:tc>
              <w:tcPr>
                <w:tcW w:w="0" w:type="auto"/>
                <w:hideMark/>
              </w:tcPr>
              <w:p w14:paraId="47C6067C"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307.5</w:t>
                </w:r>
              </w:p>
            </w:tc>
          </w:tr>
          <w:tr w:rsidR="00BA4F02" w:rsidRPr="00B329A6" w14:paraId="0472F9AF" w14:textId="77777777" w:rsidTr="00904EF6">
            <w:trPr>
              <w:jc w:val="center"/>
            </w:trPr>
            <w:tc>
              <w:tcPr>
                <w:tcW w:w="0" w:type="auto"/>
                <w:hideMark/>
              </w:tcPr>
              <w:p w14:paraId="2577D1EB"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w:t>
                </w:r>
              </w:p>
            </w:tc>
            <w:tc>
              <w:tcPr>
                <w:tcW w:w="0" w:type="auto"/>
                <w:hideMark/>
              </w:tcPr>
              <w:p w14:paraId="00BCDB73"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400</w:t>
                </w:r>
              </w:p>
            </w:tc>
            <w:tc>
              <w:tcPr>
                <w:tcW w:w="0" w:type="auto"/>
                <w:hideMark/>
              </w:tcPr>
              <w:p w14:paraId="683B6B4B"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180</w:t>
                </w:r>
              </w:p>
            </w:tc>
            <w:tc>
              <w:tcPr>
                <w:tcW w:w="0" w:type="auto"/>
                <w:hideMark/>
              </w:tcPr>
              <w:p w14:paraId="4A901601"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220</w:t>
                </w:r>
              </w:p>
            </w:tc>
            <w:tc>
              <w:tcPr>
                <w:tcW w:w="0" w:type="auto"/>
                <w:hideMark/>
              </w:tcPr>
              <w:p w14:paraId="14A9100A"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55</w:t>
                </w:r>
              </w:p>
            </w:tc>
            <w:tc>
              <w:tcPr>
                <w:tcW w:w="0" w:type="auto"/>
                <w:hideMark/>
              </w:tcPr>
              <w:p w14:paraId="34D903C9"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345</w:t>
                </w:r>
              </w:p>
            </w:tc>
          </w:tr>
        </w:tbl>
        <w:p w14:paraId="49E162E0"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Step 3: Discounting Cash Flows</w:t>
          </w:r>
        </w:p>
        <w:tbl>
          <w:tblPr>
            <w:tblStyle w:val="TableGrid"/>
            <w:tblW w:w="0" w:type="auto"/>
            <w:jc w:val="center"/>
            <w:tblLook w:val="04A0" w:firstRow="1" w:lastRow="0" w:firstColumn="1" w:lastColumn="0" w:noHBand="0" w:noVBand="1"/>
          </w:tblPr>
          <w:tblGrid>
            <w:gridCol w:w="723"/>
            <w:gridCol w:w="1723"/>
            <w:gridCol w:w="1863"/>
            <w:gridCol w:w="1649"/>
          </w:tblGrid>
          <w:tr w:rsidR="00BA4F02" w:rsidRPr="00B329A6" w14:paraId="55402729" w14:textId="77777777" w:rsidTr="00904EF6">
            <w:trPr>
              <w:jc w:val="center"/>
            </w:trPr>
            <w:tc>
              <w:tcPr>
                <w:tcW w:w="0" w:type="auto"/>
                <w:hideMark/>
              </w:tcPr>
              <w:p w14:paraId="669AFCF8"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Year</w:t>
                </w:r>
              </w:p>
            </w:tc>
            <w:tc>
              <w:tcPr>
                <w:tcW w:w="0" w:type="auto"/>
                <w:hideMark/>
              </w:tcPr>
              <w:p w14:paraId="62E7AEE0"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Net Cash Flow</w:t>
                </w:r>
              </w:p>
            </w:tc>
            <w:tc>
              <w:tcPr>
                <w:tcW w:w="0" w:type="auto"/>
                <w:hideMark/>
              </w:tcPr>
              <w:p w14:paraId="6D2CC015"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Discount Factor</w:t>
                </w:r>
              </w:p>
            </w:tc>
            <w:tc>
              <w:tcPr>
                <w:tcW w:w="0" w:type="auto"/>
                <w:hideMark/>
              </w:tcPr>
              <w:p w14:paraId="68D1D75E"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Present Value</w:t>
                </w:r>
              </w:p>
            </w:tc>
          </w:tr>
          <w:tr w:rsidR="00BA4F02" w:rsidRPr="00B329A6" w14:paraId="5CE0320C" w14:textId="77777777" w:rsidTr="00904EF6">
            <w:trPr>
              <w:jc w:val="center"/>
            </w:trPr>
            <w:tc>
              <w:tcPr>
                <w:tcW w:w="0" w:type="auto"/>
                <w:hideMark/>
              </w:tcPr>
              <w:p w14:paraId="192B2CF5" w14:textId="77777777" w:rsidR="00BA4F02" w:rsidRPr="00B329A6" w:rsidRDefault="00BA4F02" w:rsidP="00A5268C">
                <w:pPr>
                  <w:spacing w:line="360" w:lineRule="auto"/>
                  <w:jc w:val="both"/>
                  <w:rPr>
                    <w:rFonts w:ascii="Times New Roman" w:eastAsia="Times New Roman" w:hAnsi="Times New Roman" w:cs="Times New Roman"/>
                    <w:kern w:val="0"/>
                    <w:sz w:val="24"/>
                    <w:szCs w:val="24"/>
                    <w:lang w:eastAsia="en-IN"/>
                    <w14:ligatures w14:val="none"/>
                  </w:rPr>
                </w:pPr>
                <w:r w:rsidRPr="00B329A6">
                  <w:rPr>
                    <w:rFonts w:ascii="Times New Roman" w:eastAsia="Times New Roman" w:hAnsi="Times New Roman" w:cs="Times New Roman"/>
                    <w:kern w:val="0"/>
                    <w:sz w:val="24"/>
                    <w:szCs w:val="24"/>
                    <w:lang w:eastAsia="en-IN"/>
                    <w14:ligatures w14:val="none"/>
                  </w:rPr>
                  <w:t>1</w:t>
                </w:r>
              </w:p>
            </w:tc>
            <w:tc>
              <w:tcPr>
                <w:tcW w:w="0" w:type="auto"/>
                <w:hideMark/>
              </w:tcPr>
              <w:p w14:paraId="28687D69"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210</w:t>
                </w:r>
              </w:p>
            </w:tc>
            <w:tc>
              <w:tcPr>
                <w:tcW w:w="0" w:type="auto"/>
                <w:hideMark/>
              </w:tcPr>
              <w:p w14:paraId="4B9FE6C8"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0.952</w:t>
                </w:r>
              </w:p>
            </w:tc>
            <w:tc>
              <w:tcPr>
                <w:tcW w:w="0" w:type="auto"/>
                <w:hideMark/>
              </w:tcPr>
              <w:p w14:paraId="506564FE"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200.0</w:t>
                </w:r>
              </w:p>
            </w:tc>
          </w:tr>
          <w:tr w:rsidR="00BA4F02" w:rsidRPr="00B329A6" w14:paraId="12F8ADEB" w14:textId="77777777" w:rsidTr="00904EF6">
            <w:trPr>
              <w:jc w:val="center"/>
            </w:trPr>
            <w:tc>
              <w:tcPr>
                <w:tcW w:w="0" w:type="auto"/>
                <w:hideMark/>
              </w:tcPr>
              <w:p w14:paraId="1FECE508"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w:t>
                </w:r>
              </w:p>
            </w:tc>
            <w:tc>
              <w:tcPr>
                <w:tcW w:w="0" w:type="auto"/>
                <w:hideMark/>
              </w:tcPr>
              <w:p w14:paraId="5E1B223F"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247.5</w:t>
                </w:r>
              </w:p>
            </w:tc>
            <w:tc>
              <w:tcPr>
                <w:tcW w:w="0" w:type="auto"/>
                <w:hideMark/>
              </w:tcPr>
              <w:p w14:paraId="51FDA985"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0.907</w:t>
                </w:r>
              </w:p>
            </w:tc>
            <w:tc>
              <w:tcPr>
                <w:tcW w:w="0" w:type="auto"/>
                <w:hideMark/>
              </w:tcPr>
              <w:p w14:paraId="0B5D3CF8"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224.5</w:t>
                </w:r>
              </w:p>
            </w:tc>
          </w:tr>
          <w:tr w:rsidR="00BA4F02" w:rsidRPr="00B329A6" w14:paraId="447F51BE" w14:textId="77777777" w:rsidTr="00904EF6">
            <w:trPr>
              <w:jc w:val="center"/>
            </w:trPr>
            <w:tc>
              <w:tcPr>
                <w:tcW w:w="0" w:type="auto"/>
                <w:hideMark/>
              </w:tcPr>
              <w:p w14:paraId="6934D035"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w:t>
                </w:r>
              </w:p>
            </w:tc>
            <w:tc>
              <w:tcPr>
                <w:tcW w:w="0" w:type="auto"/>
                <w:hideMark/>
              </w:tcPr>
              <w:p w14:paraId="2A24782B"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307.5</w:t>
                </w:r>
              </w:p>
            </w:tc>
            <w:tc>
              <w:tcPr>
                <w:tcW w:w="0" w:type="auto"/>
                <w:hideMark/>
              </w:tcPr>
              <w:p w14:paraId="5422C736"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0.864</w:t>
                </w:r>
              </w:p>
            </w:tc>
            <w:tc>
              <w:tcPr>
                <w:tcW w:w="0" w:type="auto"/>
                <w:hideMark/>
              </w:tcPr>
              <w:p w14:paraId="5541484B"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265.7</w:t>
                </w:r>
              </w:p>
            </w:tc>
          </w:tr>
          <w:tr w:rsidR="00BA4F02" w:rsidRPr="00B329A6" w14:paraId="1BE89814" w14:textId="77777777" w:rsidTr="00904EF6">
            <w:trPr>
              <w:jc w:val="center"/>
            </w:trPr>
            <w:tc>
              <w:tcPr>
                <w:tcW w:w="0" w:type="auto"/>
                <w:hideMark/>
              </w:tcPr>
              <w:p w14:paraId="636FC076"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w:t>
                </w:r>
              </w:p>
            </w:tc>
            <w:tc>
              <w:tcPr>
                <w:tcW w:w="0" w:type="auto"/>
                <w:hideMark/>
              </w:tcPr>
              <w:p w14:paraId="513751EC"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345</w:t>
                </w:r>
              </w:p>
            </w:tc>
            <w:tc>
              <w:tcPr>
                <w:tcW w:w="0" w:type="auto"/>
                <w:hideMark/>
              </w:tcPr>
              <w:p w14:paraId="524EA985"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0.823</w:t>
                </w:r>
              </w:p>
            </w:tc>
            <w:tc>
              <w:tcPr>
                <w:tcW w:w="0" w:type="auto"/>
                <w:hideMark/>
              </w:tcPr>
              <w:p w14:paraId="2ECA248A"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283.9</w:t>
                </w:r>
              </w:p>
            </w:tc>
          </w:tr>
        </w:tbl>
        <w:p w14:paraId="451EF7DB" w14:textId="77777777" w:rsidR="00BA4F02" w:rsidRPr="00982351" w:rsidRDefault="00BA4F02" w:rsidP="00A5268C">
          <w:pPr>
            <w:spacing w:after="0" w:line="360" w:lineRule="auto"/>
            <w:jc w:val="both"/>
            <w:rPr>
              <w:rFonts w:ascii="Times New Roman" w:eastAsia="Times New Roman" w:hAnsi="Times New Roman" w:cs="Times New Roman"/>
              <w:sz w:val="24"/>
              <w:szCs w:val="24"/>
              <w:lang w:eastAsia="en-IN"/>
            </w:rPr>
          </w:pPr>
        </w:p>
        <w:p w14:paraId="50175610" w14:textId="77777777" w:rsidR="00BA4F02" w:rsidRPr="00982351" w:rsidRDefault="00BA4F02" w:rsidP="00A5268C">
          <w:pPr>
            <w:spacing w:after="0" w:line="360" w:lineRule="auto"/>
            <w:jc w:val="center"/>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Total PV=200.0+224.5+265.7+283.9=974.1</w:t>
          </w:r>
        </w:p>
        <w:p w14:paraId="2A4D84EC" w14:textId="77777777" w:rsidR="00BA4F02" w:rsidRPr="00982351" w:rsidRDefault="00BA4F02" w:rsidP="00A5268C">
          <w:pPr>
            <w:spacing w:after="0" w:line="360" w:lineRule="auto"/>
            <w:jc w:val="center"/>
            <w:rPr>
              <w:rFonts w:ascii="Times New Roman" w:eastAsia="Times New Roman" w:hAnsi="Times New Roman" w:cs="Times New Roman"/>
              <w:sz w:val="24"/>
              <w:szCs w:val="24"/>
              <w:lang w:eastAsia="en-IN"/>
            </w:rPr>
          </w:pPr>
        </w:p>
        <w:p w14:paraId="7AF114CB" w14:textId="77777777" w:rsidR="00BA4F02" w:rsidRPr="00B329A6" w:rsidRDefault="00BA4F02" w:rsidP="00A5268C">
          <w:pPr>
            <w:spacing w:after="0" w:line="360" w:lineRule="auto"/>
            <w:jc w:val="center"/>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NPV=974.1−900=74.1</w:t>
          </w:r>
        </w:p>
        <w:p w14:paraId="0DB79F65"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Interpretation:</w:t>
          </w:r>
          <w:r w:rsidRPr="00B329A6">
            <w:rPr>
              <w:rFonts w:ascii="Times New Roman" w:eastAsia="Times New Roman" w:hAnsi="Times New Roman" w:cs="Times New Roman"/>
              <w:sz w:val="24"/>
              <w:szCs w:val="24"/>
              <w:lang w:eastAsia="en-IN"/>
            </w:rPr>
            <w:br/>
          </w:r>
          <w:r w:rsidRPr="00982351">
            <w:rPr>
              <w:rFonts w:ascii="Times New Roman" w:eastAsia="Times New Roman" w:hAnsi="Times New Roman" w:cs="Times New Roman"/>
              <w:sz w:val="24"/>
              <w:szCs w:val="24"/>
              <w:lang w:eastAsia="en-IN"/>
            </w:rPr>
            <w:t>The NPV of the second option is positive with a value of £74,100 which means that the investment is viable and will result in an increase in shareholder wealth. This is an indication of a high potential of future cash flow especially with the opportunities of digital expansion (Brealey, Myers and Allen, 2020).</w:t>
          </w:r>
        </w:p>
        <w:p w14:paraId="586A8BAE" w14:textId="77777777" w:rsidR="00BA4F02" w:rsidRPr="00B329A6" w:rsidRDefault="00BA4F02" w:rsidP="00A5268C">
          <w:pPr>
            <w:spacing w:line="360" w:lineRule="auto"/>
            <w:rPr>
              <w:rFonts w:ascii="Times New Roman" w:hAnsi="Times New Roman" w:cs="Times New Roman"/>
              <w:b/>
              <w:bCs/>
              <w:sz w:val="24"/>
              <w:szCs w:val="24"/>
              <w:lang w:eastAsia="en-IN"/>
            </w:rPr>
          </w:pPr>
          <w:r w:rsidRPr="00B329A6">
            <w:rPr>
              <w:rFonts w:ascii="Times New Roman" w:hAnsi="Times New Roman" w:cs="Times New Roman"/>
              <w:b/>
              <w:bCs/>
              <w:sz w:val="24"/>
              <w:szCs w:val="24"/>
              <w:lang w:eastAsia="en-IN"/>
            </w:rPr>
            <w:t>2.5 Evaluation of Option C: Purses and Wallets (£1,000,000)</w:t>
          </w:r>
        </w:p>
        <w:p w14:paraId="0A7D6F93"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Step 1: Capital Allowances</w:t>
          </w:r>
        </w:p>
        <w:p w14:paraId="092E1A52" w14:textId="77777777" w:rsidR="00BA4F02" w:rsidRPr="00B329A6" w:rsidRDefault="00BA4F02" w:rsidP="00A5268C">
          <w:pPr>
            <w:spacing w:after="0" w:line="360" w:lineRule="auto"/>
            <w:jc w:val="center"/>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Capital Allowance=1,000,000×20%=200,000</w:t>
          </w:r>
        </w:p>
        <w:p w14:paraId="48B46CF1"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Step 2: Net Cash Flow After Tax</w:t>
          </w:r>
        </w:p>
        <w:tbl>
          <w:tblPr>
            <w:tblStyle w:val="TableGrid"/>
            <w:tblW w:w="0" w:type="auto"/>
            <w:jc w:val="center"/>
            <w:tblLook w:val="04A0" w:firstRow="1" w:lastRow="0" w:firstColumn="1" w:lastColumn="0" w:noHBand="0" w:noVBand="1"/>
          </w:tblPr>
          <w:tblGrid>
            <w:gridCol w:w="723"/>
            <w:gridCol w:w="1303"/>
            <w:gridCol w:w="2103"/>
            <w:gridCol w:w="1703"/>
            <w:gridCol w:w="636"/>
            <w:gridCol w:w="1723"/>
          </w:tblGrid>
          <w:tr w:rsidR="00BA4F02" w:rsidRPr="00B329A6" w14:paraId="6E2D595E" w14:textId="77777777" w:rsidTr="00904EF6">
            <w:trPr>
              <w:jc w:val="center"/>
            </w:trPr>
            <w:tc>
              <w:tcPr>
                <w:tcW w:w="0" w:type="auto"/>
                <w:hideMark/>
              </w:tcPr>
              <w:p w14:paraId="4CC43962"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Year</w:t>
                </w:r>
              </w:p>
            </w:tc>
            <w:tc>
              <w:tcPr>
                <w:tcW w:w="0" w:type="auto"/>
                <w:hideMark/>
              </w:tcPr>
              <w:p w14:paraId="1EDA4AA8"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Cash Flow</w:t>
                </w:r>
              </w:p>
            </w:tc>
            <w:tc>
              <w:tcPr>
                <w:tcW w:w="0" w:type="auto"/>
                <w:hideMark/>
              </w:tcPr>
              <w:p w14:paraId="376ED1A5"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Capital Allowance</w:t>
                </w:r>
              </w:p>
            </w:tc>
            <w:tc>
              <w:tcPr>
                <w:tcW w:w="0" w:type="auto"/>
                <w:hideMark/>
              </w:tcPr>
              <w:p w14:paraId="316D6CC7"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Taxable Profit</w:t>
                </w:r>
              </w:p>
            </w:tc>
            <w:tc>
              <w:tcPr>
                <w:tcW w:w="0" w:type="auto"/>
                <w:hideMark/>
              </w:tcPr>
              <w:p w14:paraId="4DF2CCDC"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Tax</w:t>
                </w:r>
              </w:p>
            </w:tc>
            <w:tc>
              <w:tcPr>
                <w:tcW w:w="0" w:type="auto"/>
                <w:hideMark/>
              </w:tcPr>
              <w:p w14:paraId="76A9E118"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Net Cash Flow</w:t>
                </w:r>
              </w:p>
            </w:tc>
          </w:tr>
          <w:tr w:rsidR="00BA4F02" w:rsidRPr="00B329A6" w14:paraId="63782349" w14:textId="77777777" w:rsidTr="00904EF6">
            <w:trPr>
              <w:jc w:val="center"/>
            </w:trPr>
            <w:tc>
              <w:tcPr>
                <w:tcW w:w="0" w:type="auto"/>
                <w:hideMark/>
              </w:tcPr>
              <w:p w14:paraId="5CCA4A88" w14:textId="77777777" w:rsidR="00BA4F02" w:rsidRPr="00B329A6" w:rsidRDefault="00BA4F02" w:rsidP="00A5268C">
                <w:pPr>
                  <w:spacing w:line="360" w:lineRule="auto"/>
                  <w:jc w:val="both"/>
                  <w:rPr>
                    <w:rFonts w:ascii="Times New Roman" w:eastAsia="Times New Roman" w:hAnsi="Times New Roman" w:cs="Times New Roman"/>
                    <w:kern w:val="0"/>
                    <w:sz w:val="24"/>
                    <w:szCs w:val="24"/>
                    <w:lang w:eastAsia="en-IN"/>
                    <w14:ligatures w14:val="none"/>
                  </w:rPr>
                </w:pPr>
                <w:r w:rsidRPr="00B329A6">
                  <w:rPr>
                    <w:rFonts w:ascii="Times New Roman" w:eastAsia="Times New Roman" w:hAnsi="Times New Roman" w:cs="Times New Roman"/>
                    <w:kern w:val="0"/>
                    <w:sz w:val="24"/>
                    <w:szCs w:val="24"/>
                    <w:lang w:eastAsia="en-IN"/>
                    <w14:ligatures w14:val="none"/>
                  </w:rPr>
                  <w:t>1</w:t>
                </w:r>
              </w:p>
            </w:tc>
            <w:tc>
              <w:tcPr>
                <w:tcW w:w="0" w:type="auto"/>
                <w:hideMark/>
              </w:tcPr>
              <w:p w14:paraId="579A2616"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250</w:t>
                </w:r>
              </w:p>
            </w:tc>
            <w:tc>
              <w:tcPr>
                <w:tcW w:w="0" w:type="auto"/>
                <w:hideMark/>
              </w:tcPr>
              <w:p w14:paraId="4FB3FC4C"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200</w:t>
                </w:r>
              </w:p>
            </w:tc>
            <w:tc>
              <w:tcPr>
                <w:tcW w:w="0" w:type="auto"/>
                <w:hideMark/>
              </w:tcPr>
              <w:p w14:paraId="46E2D57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50</w:t>
                </w:r>
              </w:p>
            </w:tc>
            <w:tc>
              <w:tcPr>
                <w:tcW w:w="0" w:type="auto"/>
                <w:hideMark/>
              </w:tcPr>
              <w:p w14:paraId="0722FDC3"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12.5</w:t>
                </w:r>
              </w:p>
            </w:tc>
            <w:tc>
              <w:tcPr>
                <w:tcW w:w="0" w:type="auto"/>
                <w:hideMark/>
              </w:tcPr>
              <w:p w14:paraId="646DCDAC"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237.5</w:t>
                </w:r>
              </w:p>
            </w:tc>
          </w:tr>
          <w:tr w:rsidR="00BA4F02" w:rsidRPr="00B329A6" w14:paraId="063FB4FE" w14:textId="77777777" w:rsidTr="00904EF6">
            <w:trPr>
              <w:jc w:val="center"/>
            </w:trPr>
            <w:tc>
              <w:tcPr>
                <w:tcW w:w="0" w:type="auto"/>
                <w:hideMark/>
              </w:tcPr>
              <w:p w14:paraId="12EEA5A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w:t>
                </w:r>
              </w:p>
            </w:tc>
            <w:tc>
              <w:tcPr>
                <w:tcW w:w="0" w:type="auto"/>
                <w:hideMark/>
              </w:tcPr>
              <w:p w14:paraId="6854B97F"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310</w:t>
                </w:r>
              </w:p>
            </w:tc>
            <w:tc>
              <w:tcPr>
                <w:tcW w:w="0" w:type="auto"/>
                <w:hideMark/>
              </w:tcPr>
              <w:p w14:paraId="155D3D31"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200</w:t>
                </w:r>
              </w:p>
            </w:tc>
            <w:tc>
              <w:tcPr>
                <w:tcW w:w="0" w:type="auto"/>
                <w:hideMark/>
              </w:tcPr>
              <w:p w14:paraId="35014489"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110</w:t>
                </w:r>
              </w:p>
            </w:tc>
            <w:tc>
              <w:tcPr>
                <w:tcW w:w="0" w:type="auto"/>
                <w:hideMark/>
              </w:tcPr>
              <w:p w14:paraId="0CAF1D68"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27.5</w:t>
                </w:r>
              </w:p>
            </w:tc>
            <w:tc>
              <w:tcPr>
                <w:tcW w:w="0" w:type="auto"/>
                <w:hideMark/>
              </w:tcPr>
              <w:p w14:paraId="3507C5E5"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282.5</w:t>
                </w:r>
              </w:p>
            </w:tc>
          </w:tr>
          <w:tr w:rsidR="00BA4F02" w:rsidRPr="00B329A6" w14:paraId="446F934A" w14:textId="77777777" w:rsidTr="00904EF6">
            <w:trPr>
              <w:jc w:val="center"/>
            </w:trPr>
            <w:tc>
              <w:tcPr>
                <w:tcW w:w="0" w:type="auto"/>
                <w:hideMark/>
              </w:tcPr>
              <w:p w14:paraId="550F1CBC"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w:t>
                </w:r>
              </w:p>
            </w:tc>
            <w:tc>
              <w:tcPr>
                <w:tcW w:w="0" w:type="auto"/>
                <w:hideMark/>
              </w:tcPr>
              <w:p w14:paraId="3FCE356F"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400</w:t>
                </w:r>
              </w:p>
            </w:tc>
            <w:tc>
              <w:tcPr>
                <w:tcW w:w="0" w:type="auto"/>
                <w:hideMark/>
              </w:tcPr>
              <w:p w14:paraId="64E4B4B2"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200</w:t>
                </w:r>
              </w:p>
            </w:tc>
            <w:tc>
              <w:tcPr>
                <w:tcW w:w="0" w:type="auto"/>
                <w:hideMark/>
              </w:tcPr>
              <w:p w14:paraId="34F4F48B"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200</w:t>
                </w:r>
              </w:p>
            </w:tc>
            <w:tc>
              <w:tcPr>
                <w:tcW w:w="0" w:type="auto"/>
                <w:hideMark/>
              </w:tcPr>
              <w:p w14:paraId="34565735"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50</w:t>
                </w:r>
              </w:p>
            </w:tc>
            <w:tc>
              <w:tcPr>
                <w:tcW w:w="0" w:type="auto"/>
                <w:hideMark/>
              </w:tcPr>
              <w:p w14:paraId="6F5C5681"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350</w:t>
                </w:r>
              </w:p>
            </w:tc>
          </w:tr>
          <w:tr w:rsidR="00BA4F02" w:rsidRPr="00B329A6" w14:paraId="7E520F57" w14:textId="77777777" w:rsidTr="00904EF6">
            <w:trPr>
              <w:jc w:val="center"/>
            </w:trPr>
            <w:tc>
              <w:tcPr>
                <w:tcW w:w="0" w:type="auto"/>
                <w:hideMark/>
              </w:tcPr>
              <w:p w14:paraId="0772649D"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w:t>
                </w:r>
              </w:p>
            </w:tc>
            <w:tc>
              <w:tcPr>
                <w:tcW w:w="0" w:type="auto"/>
                <w:hideMark/>
              </w:tcPr>
              <w:p w14:paraId="4A8A8FA2"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430</w:t>
                </w:r>
              </w:p>
            </w:tc>
            <w:tc>
              <w:tcPr>
                <w:tcW w:w="0" w:type="auto"/>
                <w:hideMark/>
              </w:tcPr>
              <w:p w14:paraId="40B52752"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200</w:t>
                </w:r>
              </w:p>
            </w:tc>
            <w:tc>
              <w:tcPr>
                <w:tcW w:w="0" w:type="auto"/>
                <w:hideMark/>
              </w:tcPr>
              <w:p w14:paraId="00B25D18"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230</w:t>
                </w:r>
              </w:p>
            </w:tc>
            <w:tc>
              <w:tcPr>
                <w:tcW w:w="0" w:type="auto"/>
                <w:hideMark/>
              </w:tcPr>
              <w:p w14:paraId="55AA0F33"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57.5</w:t>
                </w:r>
              </w:p>
            </w:tc>
            <w:tc>
              <w:tcPr>
                <w:tcW w:w="0" w:type="auto"/>
                <w:hideMark/>
              </w:tcPr>
              <w:p w14:paraId="7815FB2E"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372.5</w:t>
                </w:r>
              </w:p>
            </w:tc>
          </w:tr>
        </w:tbl>
        <w:p w14:paraId="2D2371B8" w14:textId="77777777"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Step 3: Discounting Cash Flows</w:t>
          </w:r>
        </w:p>
        <w:tbl>
          <w:tblPr>
            <w:tblStyle w:val="TableGrid"/>
            <w:tblW w:w="0" w:type="auto"/>
            <w:jc w:val="center"/>
            <w:tblLook w:val="04A0" w:firstRow="1" w:lastRow="0" w:firstColumn="1" w:lastColumn="0" w:noHBand="0" w:noVBand="1"/>
          </w:tblPr>
          <w:tblGrid>
            <w:gridCol w:w="723"/>
            <w:gridCol w:w="1723"/>
            <w:gridCol w:w="1863"/>
            <w:gridCol w:w="1649"/>
          </w:tblGrid>
          <w:tr w:rsidR="00BA4F02" w:rsidRPr="00B329A6" w14:paraId="4612ADDB" w14:textId="77777777" w:rsidTr="00904EF6">
            <w:trPr>
              <w:jc w:val="center"/>
            </w:trPr>
            <w:tc>
              <w:tcPr>
                <w:tcW w:w="0" w:type="auto"/>
                <w:hideMark/>
              </w:tcPr>
              <w:p w14:paraId="43CE7616"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Year</w:t>
                </w:r>
              </w:p>
            </w:tc>
            <w:tc>
              <w:tcPr>
                <w:tcW w:w="0" w:type="auto"/>
                <w:hideMark/>
              </w:tcPr>
              <w:p w14:paraId="62950674"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Net Cash Flow</w:t>
                </w:r>
              </w:p>
            </w:tc>
            <w:tc>
              <w:tcPr>
                <w:tcW w:w="0" w:type="auto"/>
                <w:hideMark/>
              </w:tcPr>
              <w:p w14:paraId="0A256F87"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Discount Factor</w:t>
                </w:r>
              </w:p>
            </w:tc>
            <w:tc>
              <w:tcPr>
                <w:tcW w:w="0" w:type="auto"/>
                <w:hideMark/>
              </w:tcPr>
              <w:p w14:paraId="59344A49" w14:textId="77777777" w:rsidR="00BA4F02" w:rsidRPr="00B329A6"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329A6">
                  <w:rPr>
                    <w:rFonts w:ascii="Times New Roman" w:eastAsia="Times New Roman" w:hAnsi="Times New Roman" w:cs="Times New Roman"/>
                    <w:b/>
                    <w:bCs/>
                    <w:kern w:val="0"/>
                    <w:sz w:val="24"/>
                    <w:szCs w:val="24"/>
                    <w:lang w:eastAsia="en-IN"/>
                    <w14:ligatures w14:val="none"/>
                  </w:rPr>
                  <w:t>Present Value</w:t>
                </w:r>
              </w:p>
            </w:tc>
          </w:tr>
          <w:tr w:rsidR="00BA4F02" w:rsidRPr="00B329A6" w14:paraId="1DBE5062" w14:textId="77777777" w:rsidTr="00904EF6">
            <w:trPr>
              <w:jc w:val="center"/>
            </w:trPr>
            <w:tc>
              <w:tcPr>
                <w:tcW w:w="0" w:type="auto"/>
                <w:hideMark/>
              </w:tcPr>
              <w:p w14:paraId="55A49482" w14:textId="77777777" w:rsidR="00BA4F02" w:rsidRPr="00B329A6" w:rsidRDefault="00BA4F02" w:rsidP="00A5268C">
                <w:pPr>
                  <w:spacing w:line="360" w:lineRule="auto"/>
                  <w:jc w:val="both"/>
                  <w:rPr>
                    <w:rFonts w:ascii="Times New Roman" w:eastAsia="Times New Roman" w:hAnsi="Times New Roman" w:cs="Times New Roman"/>
                    <w:kern w:val="0"/>
                    <w:sz w:val="24"/>
                    <w:szCs w:val="24"/>
                    <w:lang w:eastAsia="en-IN"/>
                    <w14:ligatures w14:val="none"/>
                  </w:rPr>
                </w:pPr>
                <w:r w:rsidRPr="00B329A6">
                  <w:rPr>
                    <w:rFonts w:ascii="Times New Roman" w:eastAsia="Times New Roman" w:hAnsi="Times New Roman" w:cs="Times New Roman"/>
                    <w:kern w:val="0"/>
                    <w:sz w:val="24"/>
                    <w:szCs w:val="24"/>
                    <w:lang w:eastAsia="en-IN"/>
                    <w14:ligatures w14:val="none"/>
                  </w:rPr>
                  <w:t>1</w:t>
                </w:r>
              </w:p>
            </w:tc>
            <w:tc>
              <w:tcPr>
                <w:tcW w:w="0" w:type="auto"/>
                <w:hideMark/>
              </w:tcPr>
              <w:p w14:paraId="25E212EC"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237.5</w:t>
                </w:r>
              </w:p>
            </w:tc>
            <w:tc>
              <w:tcPr>
                <w:tcW w:w="0" w:type="auto"/>
                <w:hideMark/>
              </w:tcPr>
              <w:p w14:paraId="6CFCBD73"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0.952</w:t>
                </w:r>
              </w:p>
            </w:tc>
            <w:tc>
              <w:tcPr>
                <w:tcW w:w="0" w:type="auto"/>
                <w:hideMark/>
              </w:tcPr>
              <w:p w14:paraId="36FCDD3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226.1</w:t>
                </w:r>
              </w:p>
            </w:tc>
          </w:tr>
          <w:tr w:rsidR="00BA4F02" w:rsidRPr="00B329A6" w14:paraId="46F0879A" w14:textId="77777777" w:rsidTr="00904EF6">
            <w:trPr>
              <w:jc w:val="center"/>
            </w:trPr>
            <w:tc>
              <w:tcPr>
                <w:tcW w:w="0" w:type="auto"/>
                <w:hideMark/>
              </w:tcPr>
              <w:p w14:paraId="291E8031"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w:t>
                </w:r>
              </w:p>
            </w:tc>
            <w:tc>
              <w:tcPr>
                <w:tcW w:w="0" w:type="auto"/>
                <w:hideMark/>
              </w:tcPr>
              <w:p w14:paraId="1228A14F"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282.5</w:t>
                </w:r>
              </w:p>
            </w:tc>
            <w:tc>
              <w:tcPr>
                <w:tcW w:w="0" w:type="auto"/>
                <w:hideMark/>
              </w:tcPr>
              <w:p w14:paraId="3BC10E72"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0.907</w:t>
                </w:r>
              </w:p>
            </w:tc>
            <w:tc>
              <w:tcPr>
                <w:tcW w:w="0" w:type="auto"/>
                <w:hideMark/>
              </w:tcPr>
              <w:p w14:paraId="7853EE79"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256.2</w:t>
                </w:r>
              </w:p>
            </w:tc>
          </w:tr>
          <w:tr w:rsidR="00BA4F02" w:rsidRPr="00B329A6" w14:paraId="1BAEDB61" w14:textId="77777777" w:rsidTr="00904EF6">
            <w:trPr>
              <w:jc w:val="center"/>
            </w:trPr>
            <w:tc>
              <w:tcPr>
                <w:tcW w:w="0" w:type="auto"/>
                <w:hideMark/>
              </w:tcPr>
              <w:p w14:paraId="148EEB4D"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w:t>
                </w:r>
              </w:p>
            </w:tc>
            <w:tc>
              <w:tcPr>
                <w:tcW w:w="0" w:type="auto"/>
                <w:hideMark/>
              </w:tcPr>
              <w:p w14:paraId="49E59FF8"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350</w:t>
                </w:r>
              </w:p>
            </w:tc>
            <w:tc>
              <w:tcPr>
                <w:tcW w:w="0" w:type="auto"/>
                <w:hideMark/>
              </w:tcPr>
              <w:p w14:paraId="0936D360"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0.864</w:t>
                </w:r>
              </w:p>
            </w:tc>
            <w:tc>
              <w:tcPr>
                <w:tcW w:w="0" w:type="auto"/>
                <w:hideMark/>
              </w:tcPr>
              <w:p w14:paraId="1757BB08"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302.4</w:t>
                </w:r>
              </w:p>
            </w:tc>
          </w:tr>
          <w:tr w:rsidR="00BA4F02" w:rsidRPr="00B329A6" w14:paraId="6D7C6152" w14:textId="77777777" w:rsidTr="00904EF6">
            <w:trPr>
              <w:jc w:val="center"/>
            </w:trPr>
            <w:tc>
              <w:tcPr>
                <w:tcW w:w="0" w:type="auto"/>
                <w:hideMark/>
              </w:tcPr>
              <w:p w14:paraId="1E22D7EE"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4</w:t>
                </w:r>
              </w:p>
            </w:tc>
            <w:tc>
              <w:tcPr>
                <w:tcW w:w="0" w:type="auto"/>
                <w:hideMark/>
              </w:tcPr>
              <w:p w14:paraId="39C28813"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372.5</w:t>
                </w:r>
              </w:p>
            </w:tc>
            <w:tc>
              <w:tcPr>
                <w:tcW w:w="0" w:type="auto"/>
                <w:hideMark/>
              </w:tcPr>
              <w:p w14:paraId="76EB06BC"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0.823</w:t>
                </w:r>
              </w:p>
            </w:tc>
            <w:tc>
              <w:tcPr>
                <w:tcW w:w="0" w:type="auto"/>
                <w:hideMark/>
              </w:tcPr>
              <w:p w14:paraId="316E3F3A" w14:textId="77777777" w:rsidR="00BA4F02" w:rsidRPr="00B329A6" w:rsidRDefault="00BA4F02" w:rsidP="00A5268C">
                <w:pPr>
                  <w:spacing w:after="0"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306.5</w:t>
                </w:r>
              </w:p>
            </w:tc>
          </w:tr>
        </w:tbl>
        <w:p w14:paraId="57AE6B0B" w14:textId="77777777" w:rsidR="00BA4F02" w:rsidRPr="00982351" w:rsidRDefault="00BA4F02" w:rsidP="00A5268C">
          <w:pPr>
            <w:spacing w:after="0" w:line="360" w:lineRule="auto"/>
            <w:jc w:val="both"/>
            <w:rPr>
              <w:rFonts w:ascii="Times New Roman" w:eastAsia="Times New Roman" w:hAnsi="Times New Roman" w:cs="Times New Roman"/>
              <w:sz w:val="24"/>
              <w:szCs w:val="24"/>
              <w:lang w:eastAsia="en-IN"/>
            </w:rPr>
          </w:pPr>
        </w:p>
        <w:p w14:paraId="594D6055" w14:textId="77777777" w:rsidR="00BA4F02" w:rsidRPr="00982351" w:rsidRDefault="00BA4F02" w:rsidP="00A5268C">
          <w:pPr>
            <w:spacing w:after="0" w:line="360" w:lineRule="auto"/>
            <w:jc w:val="center"/>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Total PV=226.1+256.2+302.4+306.5=1,091.2</w:t>
          </w:r>
        </w:p>
        <w:p w14:paraId="087586D5" w14:textId="77777777" w:rsidR="00BA4F02" w:rsidRPr="00982351" w:rsidRDefault="00BA4F02" w:rsidP="00A5268C">
          <w:pPr>
            <w:spacing w:after="0" w:line="360" w:lineRule="auto"/>
            <w:jc w:val="center"/>
            <w:rPr>
              <w:rFonts w:ascii="Times New Roman" w:eastAsia="Times New Roman" w:hAnsi="Times New Roman" w:cs="Times New Roman"/>
              <w:sz w:val="24"/>
              <w:szCs w:val="24"/>
              <w:lang w:eastAsia="en-IN"/>
            </w:rPr>
          </w:pPr>
        </w:p>
        <w:p w14:paraId="1FC246B6" w14:textId="77777777" w:rsidR="00BA4F02" w:rsidRPr="00B329A6" w:rsidRDefault="00BA4F02" w:rsidP="00A5268C">
          <w:pPr>
            <w:spacing w:after="0" w:line="360" w:lineRule="auto"/>
            <w:jc w:val="center"/>
            <w:rPr>
              <w:rFonts w:ascii="Times New Roman" w:eastAsia="Times New Roman" w:hAnsi="Times New Roman" w:cs="Times New Roman"/>
              <w:sz w:val="24"/>
              <w:szCs w:val="24"/>
              <w:lang w:eastAsia="en-IN"/>
            </w:rPr>
          </w:pPr>
          <w:r w:rsidRPr="00B329A6">
            <w:rPr>
              <w:rFonts w:ascii="Times New Roman" w:eastAsia="Times New Roman" w:hAnsi="Times New Roman" w:cs="Times New Roman"/>
              <w:sz w:val="24"/>
              <w:szCs w:val="24"/>
              <w:lang w:eastAsia="en-IN"/>
            </w:rPr>
            <w:t>NPV=1,091.2−1,000=91.2</w:t>
          </w:r>
        </w:p>
        <w:p w14:paraId="7B1F89D5" w14:textId="1EC148BF" w:rsidR="00BA4F02" w:rsidRPr="00B329A6"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B329A6">
            <w:rPr>
              <w:rFonts w:ascii="Times New Roman" w:eastAsia="Times New Roman" w:hAnsi="Times New Roman" w:cs="Times New Roman"/>
              <w:b/>
              <w:bCs/>
              <w:sz w:val="24"/>
              <w:szCs w:val="24"/>
              <w:lang w:eastAsia="en-IN"/>
            </w:rPr>
            <w:t>Interpretation:</w:t>
          </w:r>
          <w:r w:rsidRPr="00B329A6">
            <w:rPr>
              <w:rFonts w:ascii="Times New Roman" w:eastAsia="Times New Roman" w:hAnsi="Times New Roman" w:cs="Times New Roman"/>
              <w:sz w:val="24"/>
              <w:szCs w:val="24"/>
              <w:lang w:eastAsia="en-IN"/>
            </w:rPr>
            <w:br/>
          </w:r>
          <w:r w:rsidRPr="00982351">
            <w:rPr>
              <w:rFonts w:ascii="Times New Roman" w:eastAsia="Times New Roman" w:hAnsi="Times New Roman" w:cs="Times New Roman"/>
              <w:sz w:val="24"/>
              <w:szCs w:val="24"/>
              <w:lang w:eastAsia="en-IN"/>
            </w:rPr>
            <w:t>The NPV value of option C is the highest as compared to the other two alternatives and equals 91,200. This implies that it is the best value creation and most financially enticing alternative. The positive and growing cash flows are an indication of high profitability and demand in the market (Arnold, 20</w:t>
          </w:r>
          <w:r w:rsidR="00A5268C">
            <w:rPr>
              <w:rFonts w:ascii="Times New Roman" w:eastAsia="Times New Roman" w:hAnsi="Times New Roman" w:cs="Times New Roman"/>
              <w:sz w:val="24"/>
              <w:szCs w:val="24"/>
              <w:lang w:eastAsia="en-IN"/>
            </w:rPr>
            <w:t>08)</w:t>
          </w:r>
          <w:r w:rsidRPr="00982351">
            <w:rPr>
              <w:rFonts w:ascii="Times New Roman" w:eastAsia="Times New Roman" w:hAnsi="Times New Roman" w:cs="Times New Roman"/>
              <w:sz w:val="24"/>
              <w:szCs w:val="24"/>
              <w:lang w:eastAsia="en-IN"/>
            </w:rPr>
            <w:t>.</w:t>
          </w:r>
        </w:p>
        <w:p w14:paraId="03F7A8CB" w14:textId="0E32A735" w:rsidR="00BA4F02" w:rsidRPr="00B329A6" w:rsidRDefault="00BA4F02" w:rsidP="00A5268C">
          <w:pPr>
            <w:spacing w:line="360" w:lineRule="auto"/>
            <w:rPr>
              <w:rFonts w:ascii="Times New Roman" w:hAnsi="Times New Roman" w:cs="Times New Roman"/>
              <w:b/>
              <w:bCs/>
              <w:sz w:val="24"/>
              <w:szCs w:val="24"/>
              <w:lang w:eastAsia="en-IN"/>
            </w:rPr>
          </w:pPr>
          <w:r w:rsidRPr="00B329A6">
            <w:rPr>
              <w:rFonts w:ascii="Times New Roman" w:hAnsi="Times New Roman" w:cs="Times New Roman"/>
              <w:b/>
              <w:bCs/>
              <w:sz w:val="24"/>
              <w:szCs w:val="24"/>
              <w:lang w:eastAsia="en-IN"/>
            </w:rPr>
            <w:t>Comparative Analysis and Recommendation</w:t>
          </w:r>
        </w:p>
        <w:p w14:paraId="4F132353" w14:textId="77777777" w:rsidR="00BA4F02" w:rsidRPr="00BF3E4C"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The findings of the Net Present Value (NPV) are a clear basis, through which it is possible to compare the three presented investment options to Beard Plc. The table below summarises the findings:</w:t>
          </w:r>
        </w:p>
        <w:tbl>
          <w:tblPr>
            <w:tblStyle w:val="TableGrid"/>
            <w:tblW w:w="0" w:type="auto"/>
            <w:jc w:val="center"/>
            <w:tblLook w:val="04A0" w:firstRow="1" w:lastRow="0" w:firstColumn="1" w:lastColumn="0" w:noHBand="0" w:noVBand="1"/>
          </w:tblPr>
          <w:tblGrid>
            <w:gridCol w:w="937"/>
            <w:gridCol w:w="2830"/>
            <w:gridCol w:w="1490"/>
            <w:gridCol w:w="1543"/>
          </w:tblGrid>
          <w:tr w:rsidR="00BA4F02" w:rsidRPr="00BF3E4C" w14:paraId="0FDD89A4" w14:textId="77777777" w:rsidTr="00904EF6">
            <w:trPr>
              <w:jc w:val="center"/>
            </w:trPr>
            <w:tc>
              <w:tcPr>
                <w:tcW w:w="0" w:type="auto"/>
                <w:hideMark/>
              </w:tcPr>
              <w:p w14:paraId="2C3F0E1B" w14:textId="77777777" w:rsidR="00BA4F02" w:rsidRPr="00BF3E4C"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F3E4C">
                  <w:rPr>
                    <w:rFonts w:ascii="Times New Roman" w:eastAsia="Times New Roman" w:hAnsi="Times New Roman" w:cs="Times New Roman"/>
                    <w:b/>
                    <w:bCs/>
                    <w:kern w:val="0"/>
                    <w:sz w:val="24"/>
                    <w:szCs w:val="24"/>
                    <w:lang w:eastAsia="en-IN"/>
                    <w14:ligatures w14:val="none"/>
                  </w:rPr>
                  <w:t>Option</w:t>
                </w:r>
              </w:p>
            </w:tc>
            <w:tc>
              <w:tcPr>
                <w:tcW w:w="0" w:type="auto"/>
                <w:hideMark/>
              </w:tcPr>
              <w:p w14:paraId="0A0CEB51" w14:textId="77777777" w:rsidR="00BA4F02" w:rsidRPr="00BF3E4C"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F3E4C">
                  <w:rPr>
                    <w:rFonts w:ascii="Times New Roman" w:eastAsia="Times New Roman" w:hAnsi="Times New Roman" w:cs="Times New Roman"/>
                    <w:b/>
                    <w:bCs/>
                    <w:kern w:val="0"/>
                    <w:sz w:val="24"/>
                    <w:szCs w:val="24"/>
                    <w:lang w:eastAsia="en-IN"/>
                    <w14:ligatures w14:val="none"/>
                  </w:rPr>
                  <w:t>Initial Investment (£’000)</w:t>
                </w:r>
              </w:p>
            </w:tc>
            <w:tc>
              <w:tcPr>
                <w:tcW w:w="0" w:type="auto"/>
                <w:hideMark/>
              </w:tcPr>
              <w:p w14:paraId="2CAC3D2C" w14:textId="77777777" w:rsidR="00BA4F02" w:rsidRPr="00BF3E4C"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F3E4C">
                  <w:rPr>
                    <w:rFonts w:ascii="Times New Roman" w:eastAsia="Times New Roman" w:hAnsi="Times New Roman" w:cs="Times New Roman"/>
                    <w:b/>
                    <w:bCs/>
                    <w:kern w:val="0"/>
                    <w:sz w:val="24"/>
                    <w:szCs w:val="24"/>
                    <w:lang w:eastAsia="en-IN"/>
                    <w14:ligatures w14:val="none"/>
                  </w:rPr>
                  <w:t>NPV (£’000)</w:t>
                </w:r>
              </w:p>
            </w:tc>
            <w:tc>
              <w:tcPr>
                <w:tcW w:w="0" w:type="auto"/>
                <w:hideMark/>
              </w:tcPr>
              <w:p w14:paraId="66B3840B" w14:textId="77777777" w:rsidR="00BA4F02" w:rsidRPr="00BF3E4C"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BF3E4C">
                  <w:rPr>
                    <w:rFonts w:ascii="Times New Roman" w:eastAsia="Times New Roman" w:hAnsi="Times New Roman" w:cs="Times New Roman"/>
                    <w:b/>
                    <w:bCs/>
                    <w:kern w:val="0"/>
                    <w:sz w:val="24"/>
                    <w:szCs w:val="24"/>
                    <w:lang w:eastAsia="en-IN"/>
                    <w14:ligatures w14:val="none"/>
                  </w:rPr>
                  <w:t>Decision</w:t>
                </w:r>
              </w:p>
            </w:tc>
          </w:tr>
          <w:tr w:rsidR="00BA4F02" w:rsidRPr="00BF3E4C" w14:paraId="0C2367E6" w14:textId="77777777" w:rsidTr="00904EF6">
            <w:trPr>
              <w:jc w:val="center"/>
            </w:trPr>
            <w:tc>
              <w:tcPr>
                <w:tcW w:w="0" w:type="auto"/>
                <w:hideMark/>
              </w:tcPr>
              <w:p w14:paraId="40F624C8" w14:textId="77777777" w:rsidR="00BA4F02" w:rsidRPr="00BF3E4C" w:rsidRDefault="00BA4F02" w:rsidP="00A5268C">
                <w:pPr>
                  <w:spacing w:line="360" w:lineRule="auto"/>
                  <w:jc w:val="both"/>
                  <w:rPr>
                    <w:rFonts w:ascii="Times New Roman" w:eastAsia="Times New Roman" w:hAnsi="Times New Roman" w:cs="Times New Roman"/>
                    <w:kern w:val="0"/>
                    <w:sz w:val="24"/>
                    <w:szCs w:val="24"/>
                    <w:lang w:eastAsia="en-IN"/>
                    <w14:ligatures w14:val="none"/>
                  </w:rPr>
                </w:pPr>
                <w:r w:rsidRPr="00BF3E4C">
                  <w:rPr>
                    <w:rFonts w:ascii="Times New Roman" w:eastAsia="Times New Roman" w:hAnsi="Times New Roman" w:cs="Times New Roman"/>
                    <w:kern w:val="0"/>
                    <w:sz w:val="24"/>
                    <w:szCs w:val="24"/>
                    <w:lang w:eastAsia="en-IN"/>
                    <w14:ligatures w14:val="none"/>
                  </w:rPr>
                  <w:t>A</w:t>
                </w:r>
              </w:p>
            </w:tc>
            <w:tc>
              <w:tcPr>
                <w:tcW w:w="0" w:type="auto"/>
                <w:hideMark/>
              </w:tcPr>
              <w:p w14:paraId="3DEDDC15"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600</w:t>
                </w:r>
              </w:p>
            </w:tc>
            <w:tc>
              <w:tcPr>
                <w:tcW w:w="0" w:type="auto"/>
                <w:hideMark/>
              </w:tcPr>
              <w:p w14:paraId="6920D9C8"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(7.9)</w:t>
                </w:r>
              </w:p>
            </w:tc>
            <w:tc>
              <w:tcPr>
                <w:tcW w:w="0" w:type="auto"/>
                <w:hideMark/>
              </w:tcPr>
              <w:p w14:paraId="2C4FCACA"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Reject</w:t>
                </w:r>
              </w:p>
            </w:tc>
          </w:tr>
          <w:tr w:rsidR="00BA4F02" w:rsidRPr="00BF3E4C" w14:paraId="63DA3366" w14:textId="77777777" w:rsidTr="00904EF6">
            <w:trPr>
              <w:jc w:val="center"/>
            </w:trPr>
            <w:tc>
              <w:tcPr>
                <w:tcW w:w="0" w:type="auto"/>
                <w:hideMark/>
              </w:tcPr>
              <w:p w14:paraId="4555A517"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B</w:t>
                </w:r>
              </w:p>
            </w:tc>
            <w:tc>
              <w:tcPr>
                <w:tcW w:w="0" w:type="auto"/>
                <w:hideMark/>
              </w:tcPr>
              <w:p w14:paraId="01AB4896"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900</w:t>
                </w:r>
              </w:p>
            </w:tc>
            <w:tc>
              <w:tcPr>
                <w:tcW w:w="0" w:type="auto"/>
                <w:hideMark/>
              </w:tcPr>
              <w:p w14:paraId="230C652E"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74.1</w:t>
                </w:r>
              </w:p>
            </w:tc>
            <w:tc>
              <w:tcPr>
                <w:tcW w:w="0" w:type="auto"/>
                <w:hideMark/>
              </w:tcPr>
              <w:p w14:paraId="2D926284"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Accept</w:t>
                </w:r>
              </w:p>
            </w:tc>
          </w:tr>
          <w:tr w:rsidR="00BA4F02" w:rsidRPr="00BF3E4C" w14:paraId="148B1E6B" w14:textId="77777777" w:rsidTr="00904EF6">
            <w:trPr>
              <w:jc w:val="center"/>
            </w:trPr>
            <w:tc>
              <w:tcPr>
                <w:tcW w:w="0" w:type="auto"/>
                <w:hideMark/>
              </w:tcPr>
              <w:p w14:paraId="44F2BAE7"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C</w:t>
                </w:r>
              </w:p>
            </w:tc>
            <w:tc>
              <w:tcPr>
                <w:tcW w:w="0" w:type="auto"/>
                <w:hideMark/>
              </w:tcPr>
              <w:p w14:paraId="2EF90A82"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1,000</w:t>
                </w:r>
              </w:p>
            </w:tc>
            <w:tc>
              <w:tcPr>
                <w:tcW w:w="0" w:type="auto"/>
                <w:hideMark/>
              </w:tcPr>
              <w:p w14:paraId="2314E7DB"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91.2</w:t>
                </w:r>
              </w:p>
            </w:tc>
            <w:tc>
              <w:tcPr>
                <w:tcW w:w="0" w:type="auto"/>
                <w:hideMark/>
              </w:tcPr>
              <w:p w14:paraId="740F9319" w14:textId="77777777" w:rsidR="00BA4F02" w:rsidRPr="00BF3E4C" w:rsidRDefault="00BA4F02" w:rsidP="00A5268C">
                <w:pPr>
                  <w:spacing w:after="0" w:line="360" w:lineRule="auto"/>
                  <w:jc w:val="both"/>
                  <w:rPr>
                    <w:rFonts w:ascii="Times New Roman" w:eastAsia="Times New Roman" w:hAnsi="Times New Roman" w:cs="Times New Roman"/>
                    <w:sz w:val="24"/>
                    <w:szCs w:val="24"/>
                    <w:lang w:eastAsia="en-IN"/>
                  </w:rPr>
                </w:pPr>
                <w:r w:rsidRPr="00BF3E4C">
                  <w:rPr>
                    <w:rFonts w:ascii="Times New Roman" w:eastAsia="Times New Roman" w:hAnsi="Times New Roman" w:cs="Times New Roman"/>
                    <w:sz w:val="24"/>
                    <w:szCs w:val="24"/>
                    <w:lang w:eastAsia="en-IN"/>
                  </w:rPr>
                  <w:t>Accept (Best)</w:t>
                </w:r>
              </w:p>
            </w:tc>
          </w:tr>
        </w:tbl>
        <w:p w14:paraId="381ABDEC" w14:textId="77777777" w:rsidR="00BA4F02" w:rsidRPr="00982351" w:rsidRDefault="00BA4F02" w:rsidP="00A5268C">
          <w:pPr>
            <w:spacing w:line="360" w:lineRule="auto"/>
            <w:jc w:val="both"/>
            <w:rPr>
              <w:rFonts w:ascii="Times New Roman" w:hAnsi="Times New Roman" w:cs="Times New Roman"/>
              <w:sz w:val="24"/>
              <w:szCs w:val="24"/>
            </w:rPr>
          </w:pPr>
        </w:p>
        <w:p w14:paraId="74F4D269" w14:textId="77777777" w:rsidR="00BA4F02" w:rsidRPr="00982351" w:rsidRDefault="00BA4F02"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The comparative analysis illustrates that the three alternatives have a considerable difference in terms of their financial performance. Alternative A that is based on the expansion of the current retail outlet, will give a negative NPV of £7,900. This will mean that the project is not covering its cost of capital, and would eventually lower shareholder wealth. Consequently, it is not economically viable and must not be adopted.</w:t>
          </w:r>
        </w:p>
        <w:p w14:paraId="6F38F184" w14:textId="77777777" w:rsidR="00BA4F02" w:rsidRPr="00982351" w:rsidRDefault="00BA4F02"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However, in comparison, both B and C give positive NPVs, which means that they could give above-required rate of returns. Option B, which is oriented on developing internet sales, gives the NPV of £74,100. This is an indication of high growth prospects in revenues especially with the growing digitalisation and shifting consumer buying patterns. But, as far as it is financially viable, it does not beat Option C.</w:t>
          </w:r>
        </w:p>
        <w:p w14:paraId="76963A07" w14:textId="77777777" w:rsidR="00BA4F02" w:rsidRPr="00982351" w:rsidRDefault="00BA4F02"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The best NPV of £91,200 is produced under option C that seeks to diversify and start producing purses and wallets. This indicates that it will be the option that maximizes the net benefit in present value terms to the firm. The increased value of NPV can be greatly attributed to the fact that it has high and stable projected cash inflows in the four-year period that have more than offset its higher initial investment. Financially, it is the best capital utilised option and creation of maximum value is realised.</w:t>
          </w:r>
        </w:p>
        <w:p w14:paraId="7C3D2017" w14:textId="77777777" w:rsidR="00BA4F02" w:rsidRPr="00982351" w:rsidRDefault="00BA4F02"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The investment appraisal theory states that in the case of mutually exclusive projects, the decision rule is to pick the project with the highest NPV because this represents the maximisation of shareholder wealth (Brealey, Myers and Allen, 2020). This principle is mostly applicable in this case, in which, Beard Plc should consider a single major investment strategy owing to the limitation of resources, as well as the strategic focus.</w:t>
          </w:r>
        </w:p>
        <w:p w14:paraId="500514CE" w14:textId="77777777" w:rsidR="00BA4F02" w:rsidRPr="00982351" w:rsidRDefault="00BA4F02"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According to this analysis, the most appropriate investment that can be recommended to the Beard Plc is Option C. As much as the alternative of B is viable, it is relatively less profitable thus the second choice. The reason why option A should not be adopted is because it does not produce enough returns. In general, the NPV outcomes give a good financial rationale in choosing Option C as an action of choice.</w:t>
          </w:r>
        </w:p>
        <w:p w14:paraId="6DFC05D0" w14:textId="02599440" w:rsidR="00BA4F02" w:rsidRPr="005A6054" w:rsidRDefault="00BA4F02" w:rsidP="00A5268C">
          <w:pPr>
            <w:spacing w:line="360" w:lineRule="auto"/>
            <w:rPr>
              <w:rFonts w:ascii="Times New Roman" w:hAnsi="Times New Roman" w:cs="Times New Roman"/>
              <w:b/>
              <w:bCs/>
              <w:sz w:val="24"/>
              <w:szCs w:val="24"/>
              <w:lang w:eastAsia="en-IN"/>
            </w:rPr>
          </w:pPr>
          <w:r w:rsidRPr="005A6054">
            <w:rPr>
              <w:rFonts w:ascii="Times New Roman" w:hAnsi="Times New Roman" w:cs="Times New Roman"/>
              <w:b/>
              <w:bCs/>
              <w:sz w:val="24"/>
              <w:szCs w:val="24"/>
              <w:lang w:eastAsia="en-IN"/>
            </w:rPr>
            <w:t>Theoretical Framework and Interpretation</w:t>
          </w:r>
        </w:p>
        <w:p w14:paraId="7877FABD" w14:textId="25B2914D" w:rsidR="00BA4F02" w:rsidRPr="005A6054" w:rsidRDefault="00BA4F02" w:rsidP="00A5268C">
          <w:pPr>
            <w:spacing w:line="360" w:lineRule="auto"/>
            <w:rPr>
              <w:rFonts w:ascii="Times New Roman" w:hAnsi="Times New Roman" w:cs="Times New Roman"/>
              <w:b/>
              <w:bCs/>
              <w:sz w:val="24"/>
              <w:szCs w:val="24"/>
              <w:lang w:eastAsia="en-IN"/>
            </w:rPr>
          </w:pPr>
          <w:r w:rsidRPr="005A6054">
            <w:rPr>
              <w:rFonts w:ascii="Times New Roman" w:hAnsi="Times New Roman" w:cs="Times New Roman"/>
              <w:b/>
              <w:bCs/>
              <w:sz w:val="24"/>
              <w:szCs w:val="24"/>
              <w:lang w:eastAsia="en-IN"/>
            </w:rPr>
            <w:t>The Case for Net Present Value (NPV)</w:t>
          </w:r>
        </w:p>
        <w:p w14:paraId="2DDB205E" w14:textId="7B793B2F"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Net Present Value (NPV) approach has been viewed as the most theoretically valid investment appraisal method as it directly justifies the goal of maximising the shareholders wealth (Brealey, Myers and Allen, 2020). One of the greatest qualities of NPV is that it uses the time value of money, and that future cash flows with less worth than present cash flows because they are risky and costly (Arnold, 20</w:t>
          </w:r>
          <w:r w:rsidR="00A5268C">
            <w:rPr>
              <w:rFonts w:ascii="Times New Roman" w:eastAsia="Times New Roman" w:hAnsi="Times New Roman" w:cs="Times New Roman"/>
              <w:sz w:val="24"/>
              <w:szCs w:val="24"/>
              <w:lang w:eastAsia="en-IN"/>
            </w:rPr>
            <w:t>08</w:t>
          </w:r>
          <w:r w:rsidRPr="00982351">
            <w:rPr>
              <w:rFonts w:ascii="Times New Roman" w:eastAsia="Times New Roman" w:hAnsi="Times New Roman" w:cs="Times New Roman"/>
              <w:sz w:val="24"/>
              <w:szCs w:val="24"/>
              <w:lang w:eastAsia="en-IN"/>
            </w:rPr>
            <w:t>). NPV is used to make sure that timing and risk of returns are correctly taken into consideration during the decision-making process by discounting projected cash inflows at the cost of capital of the firm (</w:t>
          </w:r>
          <w:proofErr w:type="spellStart"/>
          <w:r w:rsidRPr="00982351">
            <w:rPr>
              <w:rFonts w:ascii="Times New Roman" w:eastAsia="Times New Roman" w:hAnsi="Times New Roman" w:cs="Times New Roman"/>
              <w:sz w:val="24"/>
              <w:szCs w:val="24"/>
              <w:lang w:eastAsia="en-IN"/>
            </w:rPr>
            <w:t>Atrill</w:t>
          </w:r>
          <w:proofErr w:type="spellEnd"/>
          <w:r w:rsidR="00A5268C">
            <w:rPr>
              <w:rFonts w:ascii="Times New Roman" w:eastAsia="Times New Roman" w:hAnsi="Times New Roman" w:cs="Times New Roman"/>
              <w:sz w:val="24"/>
              <w:szCs w:val="24"/>
              <w:lang w:eastAsia="en-IN"/>
            </w:rPr>
            <w:t>, 2019</w:t>
          </w:r>
          <w:r w:rsidRPr="00982351">
            <w:rPr>
              <w:rFonts w:ascii="Times New Roman" w:eastAsia="Times New Roman" w:hAnsi="Times New Roman" w:cs="Times New Roman"/>
              <w:sz w:val="24"/>
              <w:szCs w:val="24"/>
              <w:lang w:eastAsia="en-IN"/>
            </w:rPr>
            <w:t>).</w:t>
          </w:r>
        </w:p>
        <w:p w14:paraId="4A758BCB" w14:textId="247CC4A5"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The next significant benefit is that NPV is an absolute value creation, which implies the amount of wealth a project contributes in monetary terms. It is especially useful when it comes to mutually exclusive projects, where a project with the highest NPV has the highest increase in the value of the firm (Brealey, Myers and Allen, 2020). Indicatively, companies like Amazon implement discounted cash flow methods to focus on long-term investments to generate optimal total value as opposed to short-term returns (Koller</w:t>
          </w:r>
          <w:r w:rsidR="00A5268C">
            <w:rPr>
              <w:rFonts w:ascii="Times New Roman" w:eastAsia="Times New Roman" w:hAnsi="Times New Roman" w:cs="Times New Roman"/>
              <w:sz w:val="24"/>
              <w:szCs w:val="24"/>
              <w:lang w:eastAsia="en-IN"/>
            </w:rPr>
            <w:t xml:space="preserve"> et al., 2010</w:t>
          </w:r>
          <w:r w:rsidRPr="00982351">
            <w:rPr>
              <w:rFonts w:ascii="Times New Roman" w:eastAsia="Times New Roman" w:hAnsi="Times New Roman" w:cs="Times New Roman"/>
              <w:sz w:val="24"/>
              <w:szCs w:val="24"/>
              <w:lang w:eastAsia="en-IN"/>
            </w:rPr>
            <w:t>).</w:t>
          </w:r>
        </w:p>
        <w:p w14:paraId="1A80B5D4" w14:textId="0B1D5E55" w:rsidR="00BA4F02" w:rsidRPr="005A6054"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Moreover, NPV will evaluate the lifetime cash flows of a project, making sure that it is a comprehensive evaluation. It further supposes reinvestment at the cost of capital which is more realistic compared to other approaches (Arnold, 20</w:t>
          </w:r>
          <w:r w:rsidR="00A5268C">
            <w:rPr>
              <w:rFonts w:ascii="Times New Roman" w:eastAsia="Times New Roman" w:hAnsi="Times New Roman" w:cs="Times New Roman"/>
              <w:sz w:val="24"/>
              <w:szCs w:val="24"/>
              <w:lang w:eastAsia="en-IN"/>
            </w:rPr>
            <w:t>08</w:t>
          </w:r>
          <w:r w:rsidRPr="00982351">
            <w:rPr>
              <w:rFonts w:ascii="Times New Roman" w:eastAsia="Times New Roman" w:hAnsi="Times New Roman" w:cs="Times New Roman"/>
              <w:sz w:val="24"/>
              <w:szCs w:val="24"/>
              <w:lang w:eastAsia="en-IN"/>
            </w:rPr>
            <w:t>). NPV is the most reliable tool despite the fact that it has to be based on correct forecasts because it is consistent with financial theory and practicality (</w:t>
          </w:r>
          <w:proofErr w:type="spellStart"/>
          <w:r w:rsidRPr="00982351">
            <w:rPr>
              <w:rFonts w:ascii="Times New Roman" w:eastAsia="Times New Roman" w:hAnsi="Times New Roman" w:cs="Times New Roman"/>
              <w:sz w:val="24"/>
              <w:szCs w:val="24"/>
              <w:lang w:eastAsia="en-IN"/>
            </w:rPr>
            <w:t>Atrill</w:t>
          </w:r>
          <w:proofErr w:type="spellEnd"/>
          <w:r w:rsidR="00A5268C">
            <w:rPr>
              <w:rFonts w:ascii="Times New Roman" w:eastAsia="Times New Roman" w:hAnsi="Times New Roman" w:cs="Times New Roman"/>
              <w:sz w:val="24"/>
              <w:szCs w:val="24"/>
              <w:lang w:eastAsia="en-IN"/>
            </w:rPr>
            <w:t>, 2019</w:t>
          </w:r>
          <w:r w:rsidRPr="00982351">
            <w:rPr>
              <w:rFonts w:ascii="Times New Roman" w:eastAsia="Times New Roman" w:hAnsi="Times New Roman" w:cs="Times New Roman"/>
              <w:sz w:val="24"/>
              <w:szCs w:val="24"/>
              <w:lang w:eastAsia="en-IN"/>
            </w:rPr>
            <w:t>).</w:t>
          </w:r>
        </w:p>
        <w:p w14:paraId="56CC39A4" w14:textId="6DA8FC6B" w:rsidR="00BA4F02" w:rsidRPr="005A6054" w:rsidRDefault="00BA4F02" w:rsidP="00A5268C">
          <w:pPr>
            <w:spacing w:line="360" w:lineRule="auto"/>
            <w:rPr>
              <w:rFonts w:ascii="Times New Roman" w:hAnsi="Times New Roman" w:cs="Times New Roman"/>
              <w:b/>
              <w:bCs/>
              <w:sz w:val="24"/>
              <w:szCs w:val="24"/>
              <w:lang w:eastAsia="en-IN"/>
            </w:rPr>
          </w:pPr>
          <w:r w:rsidRPr="005A6054">
            <w:rPr>
              <w:rFonts w:ascii="Times New Roman" w:hAnsi="Times New Roman" w:cs="Times New Roman"/>
              <w:b/>
              <w:bCs/>
              <w:sz w:val="24"/>
              <w:szCs w:val="24"/>
              <w:lang w:eastAsia="en-IN"/>
            </w:rPr>
            <w:t>The Popularity of Non-Discounting Methods</w:t>
          </w:r>
        </w:p>
        <w:p w14:paraId="73CC282F" w14:textId="4E0E7E78"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Although NPV is beneficial, non-discounting models have been popular including the Payback Period and Accounting rate of Return (ARR). One of the main reasons is their simplicity since they are not difficult to compute and interpret without complicate assumptions about discount rates (</w:t>
          </w:r>
          <w:proofErr w:type="spellStart"/>
          <w:r w:rsidRPr="00982351">
            <w:rPr>
              <w:rFonts w:ascii="Times New Roman" w:eastAsia="Times New Roman" w:hAnsi="Times New Roman" w:cs="Times New Roman"/>
              <w:sz w:val="24"/>
              <w:szCs w:val="24"/>
              <w:lang w:eastAsia="en-IN"/>
            </w:rPr>
            <w:t>Atrill</w:t>
          </w:r>
          <w:proofErr w:type="spellEnd"/>
          <w:r w:rsidR="00A5268C">
            <w:rPr>
              <w:rFonts w:ascii="Times New Roman" w:eastAsia="Times New Roman" w:hAnsi="Times New Roman" w:cs="Times New Roman"/>
              <w:sz w:val="24"/>
              <w:szCs w:val="24"/>
              <w:lang w:eastAsia="en-IN"/>
            </w:rPr>
            <w:t>, 2019</w:t>
          </w:r>
          <w:r w:rsidRPr="00982351">
            <w:rPr>
              <w:rFonts w:ascii="Times New Roman" w:eastAsia="Times New Roman" w:hAnsi="Times New Roman" w:cs="Times New Roman"/>
              <w:sz w:val="24"/>
              <w:szCs w:val="24"/>
              <w:lang w:eastAsia="en-IN"/>
            </w:rPr>
            <w:t>). This makes them especially applicable in making fast decisions or managers who are less qualified in finance.</w:t>
          </w:r>
        </w:p>
        <w:p w14:paraId="7A2E8A95" w14:textId="53BB34CD"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Payback Period is particularly trendy as it is based on liquidity and risk, using which the speed with which an investment will cover its initial investment is measured. Projects that have a shorter payback time are usually selected because they minimize risk and uncertainty (Arnold, 20</w:t>
          </w:r>
          <w:r w:rsidR="00A5268C">
            <w:rPr>
              <w:rFonts w:ascii="Times New Roman" w:eastAsia="Times New Roman" w:hAnsi="Times New Roman" w:cs="Times New Roman"/>
              <w:sz w:val="24"/>
              <w:szCs w:val="24"/>
              <w:lang w:eastAsia="en-IN"/>
            </w:rPr>
            <w:t>08</w:t>
          </w:r>
          <w:r w:rsidRPr="00982351">
            <w:rPr>
              <w:rFonts w:ascii="Times New Roman" w:eastAsia="Times New Roman" w:hAnsi="Times New Roman" w:cs="Times New Roman"/>
              <w:sz w:val="24"/>
              <w:szCs w:val="24"/>
              <w:lang w:eastAsia="en-IN"/>
            </w:rPr>
            <w:t>). As an example, a fast cost recovery can be in the priorities of companies such as Tesla because of the dynamism of current technological conditions (Koller</w:t>
          </w:r>
          <w:r w:rsidR="00A5268C">
            <w:rPr>
              <w:rFonts w:ascii="Times New Roman" w:eastAsia="Times New Roman" w:hAnsi="Times New Roman" w:cs="Times New Roman"/>
              <w:sz w:val="24"/>
              <w:szCs w:val="24"/>
              <w:lang w:eastAsia="en-IN"/>
            </w:rPr>
            <w:t xml:space="preserve"> et al., 2010</w:t>
          </w:r>
          <w:r w:rsidRPr="00982351">
            <w:rPr>
              <w:rFonts w:ascii="Times New Roman" w:eastAsia="Times New Roman" w:hAnsi="Times New Roman" w:cs="Times New Roman"/>
              <w:sz w:val="24"/>
              <w:szCs w:val="24"/>
              <w:lang w:eastAsia="en-IN"/>
            </w:rPr>
            <w:t>).</w:t>
          </w:r>
        </w:p>
        <w:p w14:paraId="66876B8A" w14:textId="5FE1A7C8"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On the same note, ARR relies on the accounting profits, which are easier to correlate with financial statements and other metrics of organisational performance (</w:t>
          </w:r>
          <w:proofErr w:type="spellStart"/>
          <w:r w:rsidRPr="00982351">
            <w:rPr>
              <w:rFonts w:ascii="Times New Roman" w:eastAsia="Times New Roman" w:hAnsi="Times New Roman" w:cs="Times New Roman"/>
              <w:sz w:val="24"/>
              <w:szCs w:val="24"/>
              <w:lang w:eastAsia="en-IN"/>
            </w:rPr>
            <w:t>Atrill</w:t>
          </w:r>
          <w:proofErr w:type="spellEnd"/>
          <w:r w:rsidR="00A5268C">
            <w:rPr>
              <w:rFonts w:ascii="Times New Roman" w:eastAsia="Times New Roman" w:hAnsi="Times New Roman" w:cs="Times New Roman"/>
              <w:sz w:val="24"/>
              <w:szCs w:val="24"/>
              <w:lang w:eastAsia="en-IN"/>
            </w:rPr>
            <w:t>, 2019</w:t>
          </w:r>
          <w:r w:rsidRPr="00982351">
            <w:rPr>
              <w:rFonts w:ascii="Times New Roman" w:eastAsia="Times New Roman" w:hAnsi="Times New Roman" w:cs="Times New Roman"/>
              <w:sz w:val="24"/>
              <w:szCs w:val="24"/>
              <w:lang w:eastAsia="en-IN"/>
            </w:rPr>
            <w:t>). Nevertheless, both approaches have their shortcomings, such as a lack of consideration of time value of money and, in Payback, the cash flows that are not included in the recovery period (Brealey, Myers and Allen, 2020).</w:t>
          </w:r>
        </w:p>
        <w:p w14:paraId="74357F3F" w14:textId="77777777"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Thus, these approaches prove to be helpful in simplicity and risk assessment whereas they are not substitutes and usually go hand in hand with NPV to provide more balanced and informed decisions on investments (Graham and Harvey, 2001).</w:t>
          </w:r>
        </w:p>
        <w:p w14:paraId="435F863A" w14:textId="680AEA1B" w:rsidR="00BA4F02" w:rsidRPr="007F63F2" w:rsidRDefault="00BA4F02" w:rsidP="00A5268C">
          <w:pPr>
            <w:spacing w:line="360" w:lineRule="auto"/>
            <w:rPr>
              <w:rFonts w:ascii="Times New Roman" w:hAnsi="Times New Roman" w:cs="Times New Roman"/>
              <w:b/>
              <w:bCs/>
              <w:sz w:val="24"/>
              <w:szCs w:val="24"/>
              <w:lang w:eastAsia="en-IN"/>
            </w:rPr>
          </w:pPr>
          <w:r w:rsidRPr="007F63F2">
            <w:rPr>
              <w:rFonts w:ascii="Times New Roman" w:hAnsi="Times New Roman" w:cs="Times New Roman"/>
              <w:b/>
              <w:bCs/>
              <w:sz w:val="24"/>
              <w:szCs w:val="24"/>
              <w:lang w:eastAsia="en-IN"/>
            </w:rPr>
            <w:t>Capital Rationing and Multi-Criteria Decision Making</w:t>
          </w:r>
        </w:p>
        <w:p w14:paraId="42AD401A" w14:textId="4FC4007C" w:rsidR="00BA4F02" w:rsidRPr="007F63F2" w:rsidRDefault="00BA4F02" w:rsidP="00A5268C">
          <w:pPr>
            <w:spacing w:line="360" w:lineRule="auto"/>
            <w:rPr>
              <w:rFonts w:ascii="Times New Roman" w:hAnsi="Times New Roman" w:cs="Times New Roman"/>
              <w:b/>
              <w:bCs/>
              <w:sz w:val="24"/>
              <w:szCs w:val="24"/>
              <w:lang w:eastAsia="en-IN"/>
            </w:rPr>
          </w:pPr>
          <w:r w:rsidRPr="007F63F2">
            <w:rPr>
              <w:rFonts w:ascii="Times New Roman" w:hAnsi="Times New Roman" w:cs="Times New Roman"/>
              <w:b/>
              <w:bCs/>
              <w:sz w:val="24"/>
              <w:szCs w:val="24"/>
              <w:lang w:eastAsia="en-IN"/>
            </w:rPr>
            <w:t>Optimal Investment Policy under Capital Rationing</w:t>
          </w:r>
        </w:p>
        <w:p w14:paraId="0B8107E8" w14:textId="77777777" w:rsidR="00BA4F02" w:rsidRPr="007F63F2"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Firms in a low capital situation are forced to use the capital rationing methods to ensure that the available funds are allocated effectively across competing projects. Whereas, Beard Plc has a budget limit of up to 1500,000 pounds in this instance, the overall investment necessary to carry out the three projects is higher than that. Thus, it is applied to the Profitability Index (PI) technique, which is deemed to be suitable in cases when projects are divisible and capital is limited (Brealey, Myers and Allen, 2020).</w:t>
          </w:r>
        </w:p>
        <w:p w14:paraId="7018F651" w14:textId="77777777" w:rsidR="00BA4F02" w:rsidRPr="007F63F2"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The PI is calculated as:</w:t>
          </w:r>
        </w:p>
        <w:p w14:paraId="08AE739F"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PI=Present Value of Cash Inflows</w:t>
          </w:r>
          <w:r w:rsidRPr="00982351">
            <w:rPr>
              <w:rFonts w:ascii="Times New Roman" w:eastAsia="Times New Roman" w:hAnsi="Times New Roman" w:cs="Times New Roman"/>
              <w:sz w:val="24"/>
              <w:szCs w:val="24"/>
              <w:lang w:eastAsia="en-IN"/>
            </w:rPr>
            <w:t>/</w:t>
          </w:r>
          <w:r w:rsidRPr="007F63F2">
            <w:rPr>
              <w:rFonts w:ascii="Times New Roman" w:eastAsia="Times New Roman" w:hAnsi="Times New Roman" w:cs="Times New Roman"/>
              <w:sz w:val="24"/>
              <w:szCs w:val="24"/>
              <w:lang w:eastAsia="en-IN"/>
            </w:rPr>
            <w:t>Initial Investment</w:t>
          </w:r>
          <w:r w:rsidRPr="00982351">
            <w:rPr>
              <w:rFonts w:ascii="Times New Roman" w:eastAsia="Times New Roman" w:hAnsi="Times New Roman" w:cs="Times New Roman"/>
              <w:sz w:val="24"/>
              <w:szCs w:val="24"/>
              <w:lang w:eastAsia="en-IN"/>
            </w:rPr>
            <w:t xml:space="preserve"> </w:t>
          </w:r>
        </w:p>
        <w:p w14:paraId="27964759" w14:textId="77777777" w:rsidR="00BA4F02" w:rsidRPr="007F63F2"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Based on earlier NPV calculations:</w:t>
          </w:r>
        </w:p>
        <w:tbl>
          <w:tblPr>
            <w:tblStyle w:val="TableGrid"/>
            <w:tblW w:w="0" w:type="auto"/>
            <w:jc w:val="center"/>
            <w:tblLook w:val="04A0" w:firstRow="1" w:lastRow="0" w:firstColumn="1" w:lastColumn="0" w:noHBand="0" w:noVBand="1"/>
          </w:tblPr>
          <w:tblGrid>
            <w:gridCol w:w="937"/>
            <w:gridCol w:w="1316"/>
            <w:gridCol w:w="2143"/>
            <w:gridCol w:w="636"/>
          </w:tblGrid>
          <w:tr w:rsidR="00BA4F02" w:rsidRPr="007F63F2" w14:paraId="0AAD2417" w14:textId="77777777" w:rsidTr="00904EF6">
            <w:trPr>
              <w:jc w:val="center"/>
            </w:trPr>
            <w:tc>
              <w:tcPr>
                <w:tcW w:w="0" w:type="auto"/>
                <w:hideMark/>
              </w:tcPr>
              <w:p w14:paraId="4B3BD7BB" w14:textId="77777777" w:rsidR="00BA4F02" w:rsidRPr="007F63F2"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7F63F2">
                  <w:rPr>
                    <w:rFonts w:ascii="Times New Roman" w:eastAsia="Times New Roman" w:hAnsi="Times New Roman" w:cs="Times New Roman"/>
                    <w:b/>
                    <w:bCs/>
                    <w:kern w:val="0"/>
                    <w:sz w:val="24"/>
                    <w:szCs w:val="24"/>
                    <w:lang w:eastAsia="en-IN"/>
                    <w14:ligatures w14:val="none"/>
                  </w:rPr>
                  <w:t>Option</w:t>
                </w:r>
              </w:p>
            </w:tc>
            <w:tc>
              <w:tcPr>
                <w:tcW w:w="0" w:type="auto"/>
                <w:hideMark/>
              </w:tcPr>
              <w:p w14:paraId="51CFF5D4" w14:textId="77777777" w:rsidR="00BA4F02" w:rsidRPr="007F63F2"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7F63F2">
                  <w:rPr>
                    <w:rFonts w:ascii="Times New Roman" w:eastAsia="Times New Roman" w:hAnsi="Times New Roman" w:cs="Times New Roman"/>
                    <w:b/>
                    <w:bCs/>
                    <w:kern w:val="0"/>
                    <w:sz w:val="24"/>
                    <w:szCs w:val="24"/>
                    <w:lang w:eastAsia="en-IN"/>
                    <w14:ligatures w14:val="none"/>
                  </w:rPr>
                  <w:t>PV (£’000)</w:t>
                </w:r>
              </w:p>
            </w:tc>
            <w:tc>
              <w:tcPr>
                <w:tcW w:w="0" w:type="auto"/>
                <w:hideMark/>
              </w:tcPr>
              <w:p w14:paraId="32169823" w14:textId="77777777" w:rsidR="00BA4F02" w:rsidRPr="007F63F2"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7F63F2">
                  <w:rPr>
                    <w:rFonts w:ascii="Times New Roman" w:eastAsia="Times New Roman" w:hAnsi="Times New Roman" w:cs="Times New Roman"/>
                    <w:b/>
                    <w:bCs/>
                    <w:kern w:val="0"/>
                    <w:sz w:val="24"/>
                    <w:szCs w:val="24"/>
                    <w:lang w:eastAsia="en-IN"/>
                    <w14:ligatures w14:val="none"/>
                  </w:rPr>
                  <w:t>Investment (£’000)</w:t>
                </w:r>
              </w:p>
            </w:tc>
            <w:tc>
              <w:tcPr>
                <w:tcW w:w="0" w:type="auto"/>
                <w:hideMark/>
              </w:tcPr>
              <w:p w14:paraId="27D7538E" w14:textId="77777777" w:rsidR="00BA4F02" w:rsidRPr="007F63F2" w:rsidRDefault="00BA4F02" w:rsidP="00A5268C">
                <w:pPr>
                  <w:spacing w:line="360" w:lineRule="auto"/>
                  <w:jc w:val="both"/>
                  <w:rPr>
                    <w:rFonts w:ascii="Times New Roman" w:eastAsia="Times New Roman" w:hAnsi="Times New Roman" w:cs="Times New Roman"/>
                    <w:b/>
                    <w:bCs/>
                    <w:kern w:val="0"/>
                    <w:sz w:val="24"/>
                    <w:szCs w:val="24"/>
                    <w:lang w:eastAsia="en-IN"/>
                    <w14:ligatures w14:val="none"/>
                  </w:rPr>
                </w:pPr>
                <w:r w:rsidRPr="007F63F2">
                  <w:rPr>
                    <w:rFonts w:ascii="Times New Roman" w:eastAsia="Times New Roman" w:hAnsi="Times New Roman" w:cs="Times New Roman"/>
                    <w:b/>
                    <w:bCs/>
                    <w:kern w:val="0"/>
                    <w:sz w:val="24"/>
                    <w:szCs w:val="24"/>
                    <w:lang w:eastAsia="en-IN"/>
                    <w14:ligatures w14:val="none"/>
                  </w:rPr>
                  <w:t>PI</w:t>
                </w:r>
              </w:p>
            </w:tc>
          </w:tr>
          <w:tr w:rsidR="00BA4F02" w:rsidRPr="007F63F2" w14:paraId="3E514C71" w14:textId="77777777" w:rsidTr="00904EF6">
            <w:trPr>
              <w:jc w:val="center"/>
            </w:trPr>
            <w:tc>
              <w:tcPr>
                <w:tcW w:w="0" w:type="auto"/>
                <w:hideMark/>
              </w:tcPr>
              <w:p w14:paraId="2F4E2DFE" w14:textId="77777777" w:rsidR="00BA4F02" w:rsidRPr="007F63F2" w:rsidRDefault="00BA4F02" w:rsidP="00A5268C">
                <w:pPr>
                  <w:spacing w:line="360" w:lineRule="auto"/>
                  <w:jc w:val="both"/>
                  <w:rPr>
                    <w:rFonts w:ascii="Times New Roman" w:eastAsia="Times New Roman" w:hAnsi="Times New Roman" w:cs="Times New Roman"/>
                    <w:kern w:val="0"/>
                    <w:sz w:val="24"/>
                    <w:szCs w:val="24"/>
                    <w:lang w:eastAsia="en-IN"/>
                    <w14:ligatures w14:val="none"/>
                  </w:rPr>
                </w:pPr>
                <w:r w:rsidRPr="007F63F2">
                  <w:rPr>
                    <w:rFonts w:ascii="Times New Roman" w:eastAsia="Times New Roman" w:hAnsi="Times New Roman" w:cs="Times New Roman"/>
                    <w:kern w:val="0"/>
                    <w:sz w:val="24"/>
                    <w:szCs w:val="24"/>
                    <w:lang w:eastAsia="en-IN"/>
                    <w14:ligatures w14:val="none"/>
                  </w:rPr>
                  <w:t>A</w:t>
                </w:r>
              </w:p>
            </w:tc>
            <w:tc>
              <w:tcPr>
                <w:tcW w:w="0" w:type="auto"/>
                <w:hideMark/>
              </w:tcPr>
              <w:p w14:paraId="6547467B"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592.1</w:t>
                </w:r>
              </w:p>
            </w:tc>
            <w:tc>
              <w:tcPr>
                <w:tcW w:w="0" w:type="auto"/>
                <w:hideMark/>
              </w:tcPr>
              <w:p w14:paraId="7A67DB62"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600</w:t>
                </w:r>
              </w:p>
            </w:tc>
            <w:tc>
              <w:tcPr>
                <w:tcW w:w="0" w:type="auto"/>
                <w:hideMark/>
              </w:tcPr>
              <w:p w14:paraId="7D5844B8"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0.99</w:t>
                </w:r>
              </w:p>
            </w:tc>
          </w:tr>
          <w:tr w:rsidR="00BA4F02" w:rsidRPr="007F63F2" w14:paraId="785333BE" w14:textId="77777777" w:rsidTr="00904EF6">
            <w:trPr>
              <w:jc w:val="center"/>
            </w:trPr>
            <w:tc>
              <w:tcPr>
                <w:tcW w:w="0" w:type="auto"/>
                <w:hideMark/>
              </w:tcPr>
              <w:p w14:paraId="4FEE5FCB"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B</w:t>
                </w:r>
              </w:p>
            </w:tc>
            <w:tc>
              <w:tcPr>
                <w:tcW w:w="0" w:type="auto"/>
                <w:hideMark/>
              </w:tcPr>
              <w:p w14:paraId="06DDD94C"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974.1</w:t>
                </w:r>
              </w:p>
            </w:tc>
            <w:tc>
              <w:tcPr>
                <w:tcW w:w="0" w:type="auto"/>
                <w:hideMark/>
              </w:tcPr>
              <w:p w14:paraId="07E5F754"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900</w:t>
                </w:r>
              </w:p>
            </w:tc>
            <w:tc>
              <w:tcPr>
                <w:tcW w:w="0" w:type="auto"/>
                <w:hideMark/>
              </w:tcPr>
              <w:p w14:paraId="1C4E0645"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1.08</w:t>
                </w:r>
              </w:p>
            </w:tc>
          </w:tr>
          <w:tr w:rsidR="00BA4F02" w:rsidRPr="007F63F2" w14:paraId="066F4829" w14:textId="77777777" w:rsidTr="00904EF6">
            <w:trPr>
              <w:jc w:val="center"/>
            </w:trPr>
            <w:tc>
              <w:tcPr>
                <w:tcW w:w="0" w:type="auto"/>
                <w:hideMark/>
              </w:tcPr>
              <w:p w14:paraId="2AF50672"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C</w:t>
                </w:r>
              </w:p>
            </w:tc>
            <w:tc>
              <w:tcPr>
                <w:tcW w:w="0" w:type="auto"/>
                <w:hideMark/>
              </w:tcPr>
              <w:p w14:paraId="15051829"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1,091.2</w:t>
                </w:r>
              </w:p>
            </w:tc>
            <w:tc>
              <w:tcPr>
                <w:tcW w:w="0" w:type="auto"/>
                <w:hideMark/>
              </w:tcPr>
              <w:p w14:paraId="7F7CA113"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1,000</w:t>
                </w:r>
              </w:p>
            </w:tc>
            <w:tc>
              <w:tcPr>
                <w:tcW w:w="0" w:type="auto"/>
                <w:hideMark/>
              </w:tcPr>
              <w:p w14:paraId="6B3C6157" w14:textId="77777777" w:rsidR="00BA4F02" w:rsidRPr="007F63F2" w:rsidRDefault="00BA4F02" w:rsidP="00A5268C">
                <w:pPr>
                  <w:spacing w:after="0"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1.09</w:t>
                </w:r>
              </w:p>
            </w:tc>
          </w:tr>
        </w:tbl>
        <w:p w14:paraId="7630029D" w14:textId="77777777"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Projects are prioritized based on PI whereby the highest value reflects on the highest return per pound invested. Thus, the ranking can be as follows: Option C (1.09), Option B (1.08), and Option A (0.99).</w:t>
          </w:r>
        </w:p>
        <w:p w14:paraId="2AE14A4E" w14:textId="77777777" w:rsidR="00BA4F02" w:rsidRPr="007F63F2"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Considering the constraint of £1.5 million, the best policy would be to completely invest in Option C (1,000,000) and use the remaining amount of 500,000 in Option B. By virtue of the divisible nature of projects, 55.6 percent of Option B can be pursued:</w:t>
          </w:r>
        </w:p>
        <w:p w14:paraId="1FEC6330" w14:textId="77777777" w:rsidR="00BA4F02" w:rsidRPr="007F63F2" w:rsidRDefault="00BA4F02" w:rsidP="00A5268C">
          <w:pPr>
            <w:spacing w:after="0" w:line="360" w:lineRule="auto"/>
            <w:jc w:val="center"/>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500/900=0.56</w:t>
          </w:r>
        </w:p>
        <w:p w14:paraId="4AA5DB8A" w14:textId="77777777" w:rsidR="00BA4F02" w:rsidRPr="007F63F2"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The NPV on this amount is:</w:t>
          </w:r>
        </w:p>
        <w:p w14:paraId="57E41253" w14:textId="77777777" w:rsidR="00BA4F02" w:rsidRPr="007F63F2" w:rsidRDefault="00BA4F02" w:rsidP="00A5268C">
          <w:pPr>
            <w:spacing w:after="0" w:line="360" w:lineRule="auto"/>
            <w:jc w:val="center"/>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0.56×74.1=£41.5k</w:t>
          </w:r>
        </w:p>
        <w:p w14:paraId="639FE825" w14:textId="77777777" w:rsidR="00BA4F02" w:rsidRPr="007F63F2"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Thus, total NPV becomes:</w:t>
          </w:r>
        </w:p>
        <w:p w14:paraId="0899C629" w14:textId="77777777" w:rsidR="00BA4F02" w:rsidRPr="007F63F2" w:rsidRDefault="00BA4F02" w:rsidP="00A5268C">
          <w:pPr>
            <w:spacing w:after="0" w:line="360" w:lineRule="auto"/>
            <w:jc w:val="center"/>
            <w:rPr>
              <w:rFonts w:ascii="Times New Roman" w:eastAsia="Times New Roman" w:hAnsi="Times New Roman" w:cs="Times New Roman"/>
              <w:sz w:val="24"/>
              <w:szCs w:val="24"/>
              <w:lang w:eastAsia="en-IN"/>
            </w:rPr>
          </w:pPr>
          <w:r w:rsidRPr="007F63F2">
            <w:rPr>
              <w:rFonts w:ascii="Times New Roman" w:eastAsia="Times New Roman" w:hAnsi="Times New Roman" w:cs="Times New Roman"/>
              <w:sz w:val="24"/>
              <w:szCs w:val="24"/>
              <w:lang w:eastAsia="en-IN"/>
            </w:rPr>
            <w:t>91.2+41.5=£132.7k</w:t>
          </w:r>
        </w:p>
        <w:p w14:paraId="0E53C9E5" w14:textId="0F88147D" w:rsidR="00BA4F02" w:rsidRPr="007F63F2"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This method is the one that maximises the total value at the budget constraint and aligns with the capital rationing theory (Arnold, 20</w:t>
          </w:r>
          <w:r w:rsidR="00A5268C">
            <w:rPr>
              <w:rFonts w:ascii="Times New Roman" w:eastAsia="Times New Roman" w:hAnsi="Times New Roman" w:cs="Times New Roman"/>
              <w:sz w:val="24"/>
              <w:szCs w:val="24"/>
              <w:lang w:eastAsia="en-IN"/>
            </w:rPr>
            <w:t>08</w:t>
          </w:r>
          <w:r w:rsidRPr="00982351">
            <w:rPr>
              <w:rFonts w:ascii="Times New Roman" w:eastAsia="Times New Roman" w:hAnsi="Times New Roman" w:cs="Times New Roman"/>
              <w:sz w:val="24"/>
              <w:szCs w:val="24"/>
              <w:lang w:eastAsia="en-IN"/>
            </w:rPr>
            <w:t>).</w:t>
          </w:r>
        </w:p>
        <w:p w14:paraId="3F75161B" w14:textId="665EDA6C" w:rsidR="00BA4F02" w:rsidRPr="007F63F2" w:rsidRDefault="00BA4F02" w:rsidP="00A5268C">
          <w:pPr>
            <w:spacing w:line="360" w:lineRule="auto"/>
            <w:jc w:val="both"/>
            <w:rPr>
              <w:rFonts w:ascii="Times New Roman" w:hAnsi="Times New Roman" w:cs="Times New Roman"/>
              <w:b/>
              <w:bCs/>
              <w:sz w:val="24"/>
              <w:szCs w:val="24"/>
              <w:lang w:eastAsia="en-IN"/>
            </w:rPr>
          </w:pPr>
          <w:r w:rsidRPr="007F63F2">
            <w:rPr>
              <w:rFonts w:ascii="Times New Roman" w:hAnsi="Times New Roman" w:cs="Times New Roman"/>
              <w:b/>
              <w:bCs/>
              <w:sz w:val="24"/>
              <w:szCs w:val="24"/>
              <w:lang w:eastAsia="en-IN"/>
            </w:rPr>
            <w:t>Consideration of Qualitative Factors</w:t>
          </w:r>
        </w:p>
        <w:p w14:paraId="09DDE154" w14:textId="3A09823C"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Although financial indicators like NPV and PI are a good foundation on which a decision can be based, non-financial indicators should also be taken into consideration. Brand positioning and potential dilution are one of the main problems. Growing into purses and wallets (Option C) can be used as strength of product range, but it may be also a threat to the high-end brand of Beard Plc in case not handled with care (Kotler and Keller, 201</w:t>
          </w:r>
          <w:r w:rsidR="00A5268C">
            <w:rPr>
              <w:rFonts w:ascii="Times New Roman" w:eastAsia="Times New Roman" w:hAnsi="Times New Roman" w:cs="Times New Roman"/>
              <w:sz w:val="24"/>
              <w:szCs w:val="24"/>
              <w:lang w:eastAsia="en-IN"/>
            </w:rPr>
            <w:t>5</w:t>
          </w:r>
          <w:r w:rsidRPr="00982351">
            <w:rPr>
              <w:rFonts w:ascii="Times New Roman" w:eastAsia="Times New Roman" w:hAnsi="Times New Roman" w:cs="Times New Roman"/>
              <w:sz w:val="24"/>
              <w:szCs w:val="24"/>
              <w:lang w:eastAsia="en-IN"/>
            </w:rPr>
            <w:t>).</w:t>
          </w:r>
        </w:p>
        <w:p w14:paraId="201A0CFD" w14:textId="4C61B3C1"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Also, the technological risk exists in the case of Option B, where it is necessary to invest in internet sales through the digital infrastructure, cybersecurity, and logistics. Firms like ASOS have proved that, as much as e-commerce is able to promote growth, it also puts companies at risk of operational and technological setbacks (Chaffey</w:t>
          </w:r>
          <w:r w:rsidR="00A5268C">
            <w:rPr>
              <w:rFonts w:ascii="Times New Roman" w:eastAsia="Times New Roman" w:hAnsi="Times New Roman" w:cs="Times New Roman"/>
              <w:sz w:val="24"/>
              <w:szCs w:val="24"/>
              <w:lang w:eastAsia="en-IN"/>
            </w:rPr>
            <w:t xml:space="preserve"> et al.,</w:t>
          </w:r>
          <w:r w:rsidRPr="00982351">
            <w:rPr>
              <w:rFonts w:ascii="Times New Roman" w:eastAsia="Times New Roman" w:hAnsi="Times New Roman" w:cs="Times New Roman"/>
              <w:sz w:val="24"/>
              <w:szCs w:val="24"/>
              <w:lang w:eastAsia="en-IN"/>
            </w:rPr>
            <w:t xml:space="preserve"> 2019).</w:t>
          </w:r>
        </w:p>
        <w:p w14:paraId="2271059A" w14:textId="77777777"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Moreover, there is a possibility of the market saturation of Option C since the accessories market is very competitive, and there are already established players. Lack of clear differentiation may hamper the firm to record projected sales volumes (Porter, 2008).</w:t>
          </w:r>
        </w:p>
        <w:p w14:paraId="64F0A78E" w14:textId="056EC792" w:rsidR="00BA4F02" w:rsidRPr="007F63F2"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As such, despite the fact that, due to the financial return it offers, the combination of Option C and Option B offers the ultimate financial payoff, Beard Plc should take into consideration these strategic risks. The balanced decision ought to combine the quantitative results with the qualitative ones to make it sustainable over the long run (Johnson</w:t>
          </w:r>
          <w:r w:rsidR="00A5268C">
            <w:rPr>
              <w:rFonts w:ascii="Times New Roman" w:eastAsia="Times New Roman" w:hAnsi="Times New Roman" w:cs="Times New Roman"/>
              <w:sz w:val="24"/>
              <w:szCs w:val="24"/>
              <w:lang w:eastAsia="en-IN"/>
            </w:rPr>
            <w:t xml:space="preserve"> et al., 2008</w:t>
          </w:r>
          <w:r w:rsidRPr="00982351">
            <w:rPr>
              <w:rFonts w:ascii="Times New Roman" w:eastAsia="Times New Roman" w:hAnsi="Times New Roman" w:cs="Times New Roman"/>
              <w:sz w:val="24"/>
              <w:szCs w:val="24"/>
              <w:lang w:eastAsia="en-IN"/>
            </w:rPr>
            <w:t>).</w:t>
          </w:r>
        </w:p>
        <w:p w14:paraId="7F58DEC7" w14:textId="54BF4DA9" w:rsidR="00BA4F02" w:rsidRPr="005F4040" w:rsidRDefault="00BA4F02" w:rsidP="00A5268C">
          <w:pPr>
            <w:spacing w:line="360" w:lineRule="auto"/>
            <w:rPr>
              <w:rFonts w:ascii="Times New Roman" w:hAnsi="Times New Roman" w:cs="Times New Roman"/>
              <w:b/>
              <w:bCs/>
              <w:sz w:val="24"/>
              <w:szCs w:val="24"/>
              <w:lang w:eastAsia="en-IN"/>
            </w:rPr>
          </w:pPr>
          <w:r w:rsidRPr="005F4040">
            <w:rPr>
              <w:rFonts w:ascii="Times New Roman" w:hAnsi="Times New Roman" w:cs="Times New Roman"/>
              <w:b/>
              <w:bCs/>
              <w:sz w:val="24"/>
              <w:szCs w:val="24"/>
              <w:lang w:eastAsia="en-IN"/>
            </w:rPr>
            <w:t>Financing the Investment</w:t>
          </w:r>
        </w:p>
        <w:p w14:paraId="0F678397" w14:textId="1F861AD4" w:rsidR="00BA4F02" w:rsidRPr="005F4040" w:rsidRDefault="00BA4F02" w:rsidP="00A5268C">
          <w:pPr>
            <w:spacing w:line="360" w:lineRule="auto"/>
            <w:rPr>
              <w:rFonts w:ascii="Times New Roman" w:hAnsi="Times New Roman" w:cs="Times New Roman"/>
              <w:b/>
              <w:bCs/>
              <w:sz w:val="24"/>
              <w:szCs w:val="24"/>
              <w:lang w:eastAsia="en-IN"/>
            </w:rPr>
          </w:pPr>
          <w:r w:rsidRPr="005F4040">
            <w:rPr>
              <w:rFonts w:ascii="Times New Roman" w:hAnsi="Times New Roman" w:cs="Times New Roman"/>
              <w:b/>
              <w:bCs/>
              <w:sz w:val="24"/>
              <w:szCs w:val="24"/>
              <w:lang w:eastAsia="en-IN"/>
            </w:rPr>
            <w:t>Sources of Finance: Equity vs Debt</w:t>
          </w:r>
        </w:p>
        <w:p w14:paraId="112FDEBF" w14:textId="40A4EF7D"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Beard Plc has the option to fund its investment using either equity or debt with its own implication. Issuing shares through rights issues or venture capital is known as equity financing. Rights issue allows the current owners to retain their shares in a proportionate manner whereas venture capital can offer expertise and strategic assistance (Brealey, Myers and Allen, 2020). The most important benefit of equity is that it does not have mandatory repayments and that it lowers the financial burden in case of unpredictable cash flows. Nevertheless, it results in dilution of ownership and possible decrease in the earnings per share, which could influence the confidence of shareholders (Arnold, 20</w:t>
          </w:r>
          <w:r w:rsidR="00A5268C">
            <w:rPr>
              <w:rFonts w:ascii="Times New Roman" w:eastAsia="Times New Roman" w:hAnsi="Times New Roman" w:cs="Times New Roman"/>
              <w:sz w:val="24"/>
              <w:szCs w:val="24"/>
              <w:lang w:eastAsia="en-IN"/>
            </w:rPr>
            <w:t>08</w:t>
          </w:r>
          <w:r w:rsidRPr="00982351">
            <w:rPr>
              <w:rFonts w:ascii="Times New Roman" w:eastAsia="Times New Roman" w:hAnsi="Times New Roman" w:cs="Times New Roman"/>
              <w:sz w:val="24"/>
              <w:szCs w:val="24"/>
              <w:lang w:eastAsia="en-IN"/>
            </w:rPr>
            <w:t>).</w:t>
          </w:r>
        </w:p>
        <w:p w14:paraId="74810346" w14:textId="3D0968A4" w:rsidR="00BA4F02" w:rsidRPr="005F4040"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Debt financing on the other hand, such as bank loans or bonds involves regular payments of interest but enables the company to maintain control. The payment of interest is deductible in the tax, which decreases the real cost of borrowing (</w:t>
          </w:r>
          <w:proofErr w:type="spellStart"/>
          <w:r w:rsidRPr="00982351">
            <w:rPr>
              <w:rFonts w:ascii="Times New Roman" w:eastAsia="Times New Roman" w:hAnsi="Times New Roman" w:cs="Times New Roman"/>
              <w:sz w:val="24"/>
              <w:szCs w:val="24"/>
              <w:lang w:eastAsia="en-IN"/>
            </w:rPr>
            <w:t>Atrill</w:t>
          </w:r>
          <w:proofErr w:type="spellEnd"/>
          <w:r w:rsidR="00A5268C">
            <w:rPr>
              <w:rFonts w:ascii="Times New Roman" w:eastAsia="Times New Roman" w:hAnsi="Times New Roman" w:cs="Times New Roman"/>
              <w:sz w:val="24"/>
              <w:szCs w:val="24"/>
              <w:lang w:eastAsia="en-IN"/>
            </w:rPr>
            <w:t>, 2019</w:t>
          </w:r>
          <w:r w:rsidRPr="00982351">
            <w:rPr>
              <w:rFonts w:ascii="Times New Roman" w:eastAsia="Times New Roman" w:hAnsi="Times New Roman" w:cs="Times New Roman"/>
              <w:sz w:val="24"/>
              <w:szCs w:val="24"/>
              <w:lang w:eastAsia="en-IN"/>
            </w:rPr>
            <w:t>). Nevertheless, high debt rates amplify financial risks and debt repayment.</w:t>
          </w:r>
        </w:p>
        <w:p w14:paraId="146795FC" w14:textId="7307A1D6" w:rsidR="00BA4F02" w:rsidRPr="005F4040" w:rsidRDefault="00BA4F02" w:rsidP="00A5268C">
          <w:pPr>
            <w:spacing w:line="360" w:lineRule="auto"/>
            <w:rPr>
              <w:rFonts w:ascii="Times New Roman" w:hAnsi="Times New Roman" w:cs="Times New Roman"/>
              <w:b/>
              <w:bCs/>
              <w:sz w:val="24"/>
              <w:szCs w:val="24"/>
              <w:lang w:eastAsia="en-IN"/>
            </w:rPr>
          </w:pPr>
          <w:r w:rsidRPr="005F4040">
            <w:rPr>
              <w:rFonts w:ascii="Times New Roman" w:hAnsi="Times New Roman" w:cs="Times New Roman"/>
              <w:b/>
              <w:bCs/>
              <w:sz w:val="24"/>
              <w:szCs w:val="24"/>
              <w:lang w:eastAsia="en-IN"/>
            </w:rPr>
            <w:t>Evaluation: Impact on Gearing and Cost of Capital</w:t>
          </w:r>
        </w:p>
        <w:p w14:paraId="64F19A45" w14:textId="0A316BDC"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The mode of financing has a direct influence on the gearing ratio of Beard Plc which is a measure of the percentage of debt within the capital structure. A greater gearing level raises the financial risk and may result in higher shareholder returns using leverage in case of investments to work (Arnold, 20</w:t>
          </w:r>
          <w:r w:rsidR="00A5268C">
            <w:rPr>
              <w:rFonts w:ascii="Times New Roman" w:eastAsia="Times New Roman" w:hAnsi="Times New Roman" w:cs="Times New Roman"/>
              <w:sz w:val="24"/>
              <w:szCs w:val="24"/>
              <w:lang w:eastAsia="en-IN"/>
            </w:rPr>
            <w:t>08</w:t>
          </w:r>
          <w:r w:rsidRPr="00982351">
            <w:rPr>
              <w:rFonts w:ascii="Times New Roman" w:eastAsia="Times New Roman" w:hAnsi="Times New Roman" w:cs="Times New Roman"/>
              <w:sz w:val="24"/>
              <w:szCs w:val="24"/>
              <w:lang w:eastAsia="en-IN"/>
            </w:rPr>
            <w:t>). Nonetheless, too much gearing can cause solvency problems and a lack of flexibility.</w:t>
          </w:r>
        </w:p>
        <w:p w14:paraId="23B82BF9" w14:textId="77777777" w:rsidR="00BA4F02"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Tax benefits usually make debt cheaper than equity because of the opportunity of reducing the weighted average cost of capital (WACC) of the firm and enhancing the viability of projects (Brealey, Myers and Allen, 2020). Nonetheless, the higher the debt, the more interest rates may be required by the lenders and this increases WACC.</w:t>
          </w:r>
        </w:p>
        <w:p w14:paraId="5734C7F5" w14:textId="32C925AA" w:rsidR="00CF0E48" w:rsidRPr="00982351" w:rsidRDefault="00BA4F02" w:rsidP="00A5268C">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82351">
            <w:rPr>
              <w:rFonts w:ascii="Times New Roman" w:eastAsia="Times New Roman" w:hAnsi="Times New Roman" w:cs="Times New Roman"/>
              <w:sz w:val="24"/>
              <w:szCs w:val="24"/>
              <w:lang w:eastAsia="en-IN"/>
            </w:rPr>
            <w:t>Thus, a moderate debt and equity are encouraged to ensure that the cost is minimised without compromising the financial stability</w:t>
          </w:r>
          <w:r w:rsidRPr="00982351">
            <w:rPr>
              <w:rFonts w:ascii="Times New Roman" w:eastAsia="Times New Roman" w:hAnsi="Times New Roman" w:cs="Times New Roman"/>
              <w:sz w:val="24"/>
              <w:szCs w:val="24"/>
              <w:lang w:eastAsia="en-IN"/>
            </w:rPr>
            <w:t>.</w:t>
          </w:r>
        </w:p>
        <w:p w14:paraId="5C67928C" w14:textId="1F906212" w:rsidR="00AA2A91" w:rsidRPr="00982351" w:rsidRDefault="00AA2A91" w:rsidP="00A5268C">
          <w:pPr>
            <w:pStyle w:val="Heading1"/>
            <w:rPr>
              <w:rFonts w:cs="Times New Roman"/>
              <w:sz w:val="24"/>
              <w:szCs w:val="24"/>
            </w:rPr>
          </w:pPr>
          <w:bookmarkStart w:id="5" w:name="_Toc178766397"/>
          <w:r w:rsidRPr="00982351">
            <w:rPr>
              <w:rFonts w:cs="Times New Roman"/>
              <w:sz w:val="24"/>
              <w:szCs w:val="24"/>
            </w:rPr>
            <w:t>Conclusion</w:t>
          </w:r>
          <w:r w:rsidR="00D854A5" w:rsidRPr="00982351">
            <w:rPr>
              <w:rFonts w:cs="Times New Roman"/>
              <w:sz w:val="24"/>
              <w:szCs w:val="24"/>
            </w:rPr>
            <w:t xml:space="preserve"> </w:t>
          </w:r>
          <w:bookmarkEnd w:id="5"/>
        </w:p>
        <w:p w14:paraId="2D86331E" w14:textId="6D925CBE" w:rsidR="00BA4F02" w:rsidRPr="00982351" w:rsidRDefault="00BA4F02"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 xml:space="preserve">To sum up, the financial and strategic analysis shows that the two organisations are in the value creation position, though using different strategies. During the period between 2024 and 2025, Rolls-Royce Holdings PLC has displayed a great financial recovery that is manifested in the improvement in profitability, positive equity restored, and increased investor confidence. This performance however needs to be maintained by further concentration on operating margins, cost control and </w:t>
          </w:r>
          <w:r w:rsidRPr="00982351">
            <w:rPr>
              <w:rFonts w:ascii="Times New Roman" w:hAnsi="Times New Roman" w:cs="Times New Roman"/>
              <w:sz w:val="24"/>
              <w:szCs w:val="24"/>
            </w:rPr>
            <w:t>long-term</w:t>
          </w:r>
          <w:r w:rsidRPr="00982351">
            <w:rPr>
              <w:rFonts w:ascii="Times New Roman" w:hAnsi="Times New Roman" w:cs="Times New Roman"/>
              <w:sz w:val="24"/>
              <w:szCs w:val="24"/>
            </w:rPr>
            <w:t xml:space="preserve"> reinvestment in innovation to ensure the </w:t>
          </w:r>
          <w:r w:rsidRPr="00982351">
            <w:rPr>
              <w:rFonts w:ascii="Times New Roman" w:hAnsi="Times New Roman" w:cs="Times New Roman"/>
              <w:sz w:val="24"/>
              <w:szCs w:val="24"/>
            </w:rPr>
            <w:t>long-term</w:t>
          </w:r>
          <w:r w:rsidRPr="00982351">
            <w:rPr>
              <w:rFonts w:ascii="Times New Roman" w:hAnsi="Times New Roman" w:cs="Times New Roman"/>
              <w:sz w:val="24"/>
              <w:szCs w:val="24"/>
            </w:rPr>
            <w:t xml:space="preserve"> competitiveness at least in a transition aerospace industry.</w:t>
          </w:r>
        </w:p>
        <w:p w14:paraId="616034C8" w14:textId="22FCCB14" w:rsidR="00BA4F02" w:rsidRPr="00982351" w:rsidRDefault="00BA4F02"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In the case of Beard Plc, the investment appraisal distinctly shows that the project will be more viable in terms of financial viability to be pursued is option C (purses and wallets) because of its high NPV, which shows superior value creation. In case of capital constraints, an optimal choice would be to use B with a fraction of C to increase the returns, hence the principle of capital rationing. However, the economic results should be compromised with the qualitative aspects like brand positioning and competition in the market.</w:t>
          </w:r>
        </w:p>
        <w:p w14:paraId="0ABC39D3" w14:textId="2B392426" w:rsidR="005B6153" w:rsidRDefault="00BA4F02" w:rsidP="00A5268C">
          <w:pPr>
            <w:spacing w:line="360" w:lineRule="auto"/>
            <w:jc w:val="both"/>
            <w:rPr>
              <w:rFonts w:ascii="Times New Roman" w:hAnsi="Times New Roman" w:cs="Times New Roman"/>
              <w:sz w:val="24"/>
              <w:szCs w:val="24"/>
            </w:rPr>
          </w:pPr>
          <w:r w:rsidRPr="00982351">
            <w:rPr>
              <w:rFonts w:ascii="Times New Roman" w:hAnsi="Times New Roman" w:cs="Times New Roman"/>
              <w:sz w:val="24"/>
              <w:szCs w:val="24"/>
            </w:rPr>
            <w:t xml:space="preserve">On the financing side a balanced capital structure, a combination of equity and debt financing is advisable as it would optimise the cost of capital and would also not lack financial flexibility. It is in totality that good </w:t>
          </w:r>
          <w:r w:rsidRPr="00982351">
            <w:rPr>
              <w:rFonts w:ascii="Times New Roman" w:hAnsi="Times New Roman" w:cs="Times New Roman"/>
              <w:sz w:val="24"/>
              <w:szCs w:val="24"/>
            </w:rPr>
            <w:t>decision-making</w:t>
          </w:r>
          <w:r w:rsidRPr="00982351">
            <w:rPr>
              <w:rFonts w:ascii="Times New Roman" w:hAnsi="Times New Roman" w:cs="Times New Roman"/>
              <w:sz w:val="24"/>
              <w:szCs w:val="24"/>
            </w:rPr>
            <w:t xml:space="preserve"> ought to incorporate both quantitative analysis and strategic judgement in order to guarantee sustainable growth and maximisation of shareholder value</w:t>
          </w:r>
          <w:r w:rsidR="00A5268C">
            <w:rPr>
              <w:rFonts w:ascii="Times New Roman" w:hAnsi="Times New Roman" w:cs="Times New Roman"/>
              <w:sz w:val="24"/>
              <w:szCs w:val="24"/>
            </w:rPr>
            <w:t>.</w:t>
          </w:r>
        </w:p>
        <w:p w14:paraId="39C08EF5" w14:textId="7975F59D" w:rsidR="00AA2A91" w:rsidRPr="00982351" w:rsidRDefault="005B6153" w:rsidP="00D05945">
          <w:pPr>
            <w:rPr>
              <w:rFonts w:ascii="Times New Roman" w:hAnsi="Times New Roman" w:cs="Times New Roman"/>
              <w:sz w:val="24"/>
              <w:szCs w:val="24"/>
            </w:rPr>
          </w:pPr>
          <w:r>
            <w:rPr>
              <w:rFonts w:ascii="Times New Roman" w:hAnsi="Times New Roman" w:cs="Times New Roman"/>
              <w:sz w:val="24"/>
              <w:szCs w:val="24"/>
            </w:rPr>
            <w:br w:type="page"/>
          </w:r>
        </w:p>
        <w:p w14:paraId="7D217B93" w14:textId="28A2A068" w:rsidR="00A5268C" w:rsidRPr="005B6153" w:rsidRDefault="00AA2A91" w:rsidP="005B6153">
          <w:pPr>
            <w:pStyle w:val="Heading1"/>
          </w:pPr>
          <w:bookmarkStart w:id="6" w:name="_Toc178766398"/>
          <w:r w:rsidRPr="00A5268C">
            <w:t>Bibliography</w:t>
          </w:r>
          <w:bookmarkEnd w:id="6"/>
        </w:p>
        <w:p w14:paraId="6935EAC2" w14:textId="77777777" w:rsidR="005B6153" w:rsidRPr="005B6153" w:rsidRDefault="005B6153" w:rsidP="005B6153">
          <w:pPr>
            <w:pStyle w:val="NormalWeb"/>
            <w:spacing w:line="360" w:lineRule="auto"/>
            <w:jc w:val="both"/>
          </w:pPr>
          <w:r w:rsidRPr="005B6153">
            <w:rPr>
              <w:color w:val="222222"/>
              <w:shd w:val="clear" w:color="auto" w:fill="FFFFFF"/>
            </w:rPr>
            <w:t>Arnold, G. (2008). </w:t>
          </w:r>
          <w:r w:rsidRPr="005B6153">
            <w:rPr>
              <w:i/>
              <w:iCs/>
              <w:color w:val="222222"/>
              <w:shd w:val="clear" w:color="auto" w:fill="FFFFFF"/>
            </w:rPr>
            <w:t>Corporate financial management</w:t>
          </w:r>
          <w:r w:rsidRPr="005B6153">
            <w:rPr>
              <w:color w:val="222222"/>
              <w:shd w:val="clear" w:color="auto" w:fill="FFFFFF"/>
            </w:rPr>
            <w:t>. Pearson Education.</w:t>
          </w:r>
        </w:p>
        <w:p w14:paraId="547BFBE0" w14:textId="77777777" w:rsidR="005B6153" w:rsidRPr="005B6153" w:rsidRDefault="005B6153" w:rsidP="005B6153">
          <w:pPr>
            <w:pStyle w:val="NormalWeb"/>
            <w:spacing w:line="360" w:lineRule="auto"/>
            <w:jc w:val="both"/>
          </w:pPr>
          <w:proofErr w:type="spellStart"/>
          <w:r w:rsidRPr="005B6153">
            <w:rPr>
              <w:color w:val="222222"/>
              <w:shd w:val="clear" w:color="auto" w:fill="FFFFFF"/>
            </w:rPr>
            <w:t>Atrill</w:t>
          </w:r>
          <w:proofErr w:type="spellEnd"/>
          <w:r w:rsidRPr="005B6153">
            <w:rPr>
              <w:color w:val="222222"/>
              <w:shd w:val="clear" w:color="auto" w:fill="FFFFFF"/>
            </w:rPr>
            <w:t>, P. (2019). Accounting and finance for non-specialists.</w:t>
          </w:r>
        </w:p>
        <w:p w14:paraId="337AB3B1" w14:textId="77777777" w:rsidR="005B6153" w:rsidRPr="005B6153" w:rsidRDefault="005B6153" w:rsidP="005B6153">
          <w:pPr>
            <w:pStyle w:val="NormalWeb"/>
            <w:spacing w:line="360" w:lineRule="auto"/>
            <w:jc w:val="both"/>
          </w:pPr>
          <w:r w:rsidRPr="005B6153">
            <w:t xml:space="preserve">Aviation Environment Federation (2025) </w:t>
          </w:r>
          <w:r w:rsidRPr="005B6153">
            <w:rPr>
              <w:i/>
              <w:iCs/>
            </w:rPr>
            <w:t>Decarbonising UK Aviation: The Role of Technology and Policy</w:t>
          </w:r>
          <w:r w:rsidRPr="005B6153">
            <w:t xml:space="preserve">. Available at: </w:t>
          </w:r>
          <w:hyperlink r:id="rId11" w:history="1">
            <w:r w:rsidRPr="005B6153">
              <w:rPr>
                <w:rStyle w:val="Hyperlink"/>
              </w:rPr>
              <w:t>https://www.aef.org.uk/what-we-do/climate/</w:t>
            </w:r>
          </w:hyperlink>
          <w:r w:rsidRPr="005B6153">
            <w:t xml:space="preserve"> </w:t>
          </w:r>
        </w:p>
        <w:p w14:paraId="054C55AF" w14:textId="77777777" w:rsidR="005B6153" w:rsidRPr="005B6153" w:rsidRDefault="005B6153" w:rsidP="005B6153">
          <w:pPr>
            <w:spacing w:line="360" w:lineRule="auto"/>
            <w:jc w:val="both"/>
            <w:rPr>
              <w:rFonts w:ascii="Times New Roman" w:hAnsi="Times New Roman" w:cs="Times New Roman"/>
              <w:color w:val="222222"/>
              <w:sz w:val="24"/>
              <w:szCs w:val="24"/>
              <w:shd w:val="clear" w:color="auto" w:fill="FFFFFF"/>
            </w:rPr>
          </w:pPr>
          <w:r w:rsidRPr="005B6153">
            <w:rPr>
              <w:rFonts w:ascii="Times New Roman" w:hAnsi="Times New Roman" w:cs="Times New Roman"/>
              <w:color w:val="222222"/>
              <w:sz w:val="24"/>
              <w:szCs w:val="24"/>
              <w:shd w:val="clear" w:color="auto" w:fill="FFFFFF"/>
            </w:rPr>
            <w:t xml:space="preserve">Blessing, H., &amp; </w:t>
          </w:r>
          <w:proofErr w:type="spellStart"/>
          <w:r w:rsidRPr="005B6153">
            <w:rPr>
              <w:rFonts w:ascii="Times New Roman" w:hAnsi="Times New Roman" w:cs="Times New Roman"/>
              <w:color w:val="222222"/>
              <w:sz w:val="24"/>
              <w:szCs w:val="24"/>
              <w:shd w:val="clear" w:color="auto" w:fill="FFFFFF"/>
            </w:rPr>
            <w:t>Sakouvogui</w:t>
          </w:r>
          <w:proofErr w:type="spellEnd"/>
          <w:r w:rsidRPr="005B6153">
            <w:rPr>
              <w:rFonts w:ascii="Times New Roman" w:hAnsi="Times New Roman" w:cs="Times New Roman"/>
              <w:color w:val="222222"/>
              <w:sz w:val="24"/>
              <w:szCs w:val="24"/>
              <w:shd w:val="clear" w:color="auto" w:fill="FFFFFF"/>
            </w:rPr>
            <w:t>, G. (2023). Impact of liquidity and solvency ratios on financial performance: a comprehensive analysis. </w:t>
          </w:r>
          <w:r w:rsidRPr="005B6153">
            <w:rPr>
              <w:rFonts w:ascii="Times New Roman" w:hAnsi="Times New Roman" w:cs="Times New Roman"/>
              <w:i/>
              <w:iCs/>
              <w:color w:val="222222"/>
              <w:sz w:val="24"/>
              <w:szCs w:val="24"/>
              <w:shd w:val="clear" w:color="auto" w:fill="FFFFFF"/>
            </w:rPr>
            <w:t>Indonesia Auditing Research Journal</w:t>
          </w:r>
          <w:r w:rsidRPr="005B6153">
            <w:rPr>
              <w:rFonts w:ascii="Times New Roman" w:hAnsi="Times New Roman" w:cs="Times New Roman"/>
              <w:color w:val="222222"/>
              <w:sz w:val="24"/>
              <w:szCs w:val="24"/>
              <w:shd w:val="clear" w:color="auto" w:fill="FFFFFF"/>
            </w:rPr>
            <w:t>, </w:t>
          </w:r>
          <w:r w:rsidRPr="005B6153">
            <w:rPr>
              <w:rFonts w:ascii="Times New Roman" w:hAnsi="Times New Roman" w:cs="Times New Roman"/>
              <w:i/>
              <w:iCs/>
              <w:color w:val="222222"/>
              <w:sz w:val="24"/>
              <w:szCs w:val="24"/>
              <w:shd w:val="clear" w:color="auto" w:fill="FFFFFF"/>
            </w:rPr>
            <w:t>12</w:t>
          </w:r>
          <w:r w:rsidRPr="005B6153">
            <w:rPr>
              <w:rFonts w:ascii="Times New Roman" w:hAnsi="Times New Roman" w:cs="Times New Roman"/>
              <w:color w:val="222222"/>
              <w:sz w:val="24"/>
              <w:szCs w:val="24"/>
              <w:shd w:val="clear" w:color="auto" w:fill="FFFFFF"/>
            </w:rPr>
            <w:t>(3), 102-115.</w:t>
          </w:r>
          <w:r w:rsidRPr="005B6153">
            <w:rPr>
              <w:rFonts w:ascii="Times New Roman" w:hAnsi="Times New Roman" w:cs="Times New Roman"/>
              <w:sz w:val="24"/>
              <w:szCs w:val="24"/>
            </w:rPr>
            <w:t xml:space="preserve"> </w:t>
          </w:r>
          <w:hyperlink r:id="rId12" w:history="1">
            <w:r w:rsidRPr="005B6153">
              <w:rPr>
                <w:rStyle w:val="Hyperlink"/>
                <w:rFonts w:ascii="Times New Roman" w:hAnsi="Times New Roman" w:cs="Times New Roman"/>
                <w:sz w:val="24"/>
                <w:szCs w:val="24"/>
                <w:shd w:val="clear" w:color="auto" w:fill="FFFFFF"/>
              </w:rPr>
              <w:t>http://journals.iarn.or.id/index.php/ARJ/article/download/208/141</w:t>
            </w:r>
          </w:hyperlink>
          <w:r w:rsidRPr="005B6153">
            <w:rPr>
              <w:rFonts w:ascii="Times New Roman" w:hAnsi="Times New Roman" w:cs="Times New Roman"/>
              <w:color w:val="222222"/>
              <w:sz w:val="24"/>
              <w:szCs w:val="24"/>
              <w:shd w:val="clear" w:color="auto" w:fill="FFFFFF"/>
            </w:rPr>
            <w:t xml:space="preserve"> </w:t>
          </w:r>
        </w:p>
        <w:p w14:paraId="5C7FDFE2" w14:textId="77777777" w:rsidR="005B6153" w:rsidRPr="005B6153" w:rsidRDefault="005B6153" w:rsidP="005B6153">
          <w:pPr>
            <w:pStyle w:val="NormalWeb"/>
            <w:spacing w:line="360" w:lineRule="auto"/>
            <w:jc w:val="both"/>
          </w:pPr>
          <w:r w:rsidRPr="005B6153">
            <w:t xml:space="preserve">Brealey, R.A., Myers, S.C. and Allen, F. (2020) </w:t>
          </w:r>
          <w:r w:rsidRPr="005B6153">
            <w:rPr>
              <w:rStyle w:val="Emphasis"/>
              <w:rFonts w:eastAsiaTheme="majorEastAsia"/>
            </w:rPr>
            <w:t>Principles of Corporate Finance</w:t>
          </w:r>
          <w:r w:rsidRPr="005B6153">
            <w:t xml:space="preserve">. 13th </w:t>
          </w:r>
          <w:proofErr w:type="spellStart"/>
          <w:r w:rsidRPr="005B6153">
            <w:t>edn</w:t>
          </w:r>
          <w:proofErr w:type="spellEnd"/>
          <w:r w:rsidRPr="005B6153">
            <w:t>. New York: McGraw-Hill.</w:t>
          </w:r>
          <w:r w:rsidRPr="005B6153">
            <w:t xml:space="preserve"> </w:t>
          </w:r>
          <w:hyperlink r:id="rId13" w:history="1">
            <w:r w:rsidRPr="005B6153">
              <w:rPr>
                <w:rStyle w:val="Hyperlink"/>
              </w:rPr>
              <w:t>https://www.mheducation.com/content/dam/mhe/blog/higher-ed/2025/pdfs/brealey-principles-of-corporate-finance-evergreen-2025.pdf</w:t>
            </w:r>
          </w:hyperlink>
          <w:r w:rsidRPr="005B6153">
            <w:t xml:space="preserve"> </w:t>
          </w:r>
        </w:p>
        <w:p w14:paraId="30BCBB9E" w14:textId="77777777" w:rsidR="005B6153" w:rsidRPr="005B6153" w:rsidRDefault="005B6153" w:rsidP="005B6153">
          <w:pPr>
            <w:pStyle w:val="NormalWeb"/>
            <w:spacing w:line="360" w:lineRule="auto"/>
            <w:jc w:val="both"/>
          </w:pPr>
          <w:r w:rsidRPr="005B6153">
            <w:rPr>
              <w:color w:val="222222"/>
              <w:shd w:val="clear" w:color="auto" w:fill="FFFFFF"/>
            </w:rPr>
            <w:t>Chaffey, D., Hemphill, T., &amp; Edmundson-Bird, D. (2019). </w:t>
          </w:r>
          <w:r w:rsidRPr="005B6153">
            <w:rPr>
              <w:i/>
              <w:iCs/>
              <w:color w:val="222222"/>
              <w:shd w:val="clear" w:color="auto" w:fill="FFFFFF"/>
            </w:rPr>
            <w:t>Digital business and e-commerce management</w:t>
          </w:r>
          <w:r w:rsidRPr="005B6153">
            <w:rPr>
              <w:color w:val="222222"/>
              <w:shd w:val="clear" w:color="auto" w:fill="FFFFFF"/>
            </w:rPr>
            <w:t xml:space="preserve">. Pearson </w:t>
          </w:r>
          <w:proofErr w:type="spellStart"/>
          <w:r w:rsidRPr="005B6153">
            <w:rPr>
              <w:color w:val="222222"/>
              <w:shd w:val="clear" w:color="auto" w:fill="FFFFFF"/>
            </w:rPr>
            <w:t>Uk</w:t>
          </w:r>
          <w:proofErr w:type="spellEnd"/>
          <w:r w:rsidRPr="005B6153">
            <w:rPr>
              <w:color w:val="222222"/>
              <w:shd w:val="clear" w:color="auto" w:fill="FFFFFF"/>
            </w:rPr>
            <w:t>.</w:t>
          </w:r>
        </w:p>
        <w:p w14:paraId="5376600F" w14:textId="77777777" w:rsidR="005B6153" w:rsidRPr="005B6153" w:rsidRDefault="005B6153" w:rsidP="005B6153">
          <w:pPr>
            <w:pStyle w:val="NormalWeb"/>
            <w:spacing w:line="360" w:lineRule="auto"/>
            <w:jc w:val="both"/>
          </w:pPr>
          <w:proofErr w:type="spellStart"/>
          <w:r w:rsidRPr="005B6153">
            <w:t>Erginbilgic</w:t>
          </w:r>
          <w:proofErr w:type="spellEnd"/>
          <w:r w:rsidRPr="005B6153">
            <w:t xml:space="preserve">, T. (2026) ‘Chief Executive’s Review’, in </w:t>
          </w:r>
          <w:r w:rsidRPr="005B6153">
            <w:rPr>
              <w:i/>
              <w:iCs/>
            </w:rPr>
            <w:t>Rolls-Royce Holdings PLC Annual Report 2025</w:t>
          </w:r>
          <w:r w:rsidRPr="005B6153">
            <w:t xml:space="preserve">. London: Rolls-Royce Holdings PLC. Available at: </w:t>
          </w:r>
          <w:hyperlink r:id="rId14" w:history="1">
            <w:r w:rsidRPr="005B6153">
              <w:rPr>
                <w:rStyle w:val="Hyperlink"/>
              </w:rPr>
              <w:t>https://www.rolls-royce.com/media/press-releases/2026/26-02-2026-rr-holdings-plc-2025-full-year-results.aspx</w:t>
            </w:r>
          </w:hyperlink>
          <w:r w:rsidRPr="005B6153">
            <w:t xml:space="preserve"> </w:t>
          </w:r>
        </w:p>
        <w:p w14:paraId="7F4FFA1C" w14:textId="77777777" w:rsidR="005B6153" w:rsidRPr="005B6153" w:rsidRDefault="005B6153" w:rsidP="005B6153">
          <w:pPr>
            <w:pStyle w:val="NormalWeb"/>
            <w:spacing w:line="360" w:lineRule="auto"/>
            <w:jc w:val="both"/>
            <w:rPr>
              <w:color w:val="222222"/>
              <w:shd w:val="clear" w:color="auto" w:fill="FFFFFF"/>
            </w:rPr>
          </w:pPr>
          <w:r w:rsidRPr="005B6153">
            <w:rPr>
              <w:color w:val="222222"/>
              <w:shd w:val="clear" w:color="auto" w:fill="FFFFFF"/>
            </w:rPr>
            <w:t>Graham, J. R., &amp; Harvey, C. R. (2001). The theory and practice of corporate finance: Evidence from the field. </w:t>
          </w:r>
          <w:r w:rsidRPr="005B6153">
            <w:rPr>
              <w:i/>
              <w:iCs/>
              <w:color w:val="222222"/>
              <w:shd w:val="clear" w:color="auto" w:fill="FFFFFF"/>
            </w:rPr>
            <w:t>Journal of financial economics</w:t>
          </w:r>
          <w:r w:rsidRPr="005B6153">
            <w:rPr>
              <w:color w:val="222222"/>
              <w:shd w:val="clear" w:color="auto" w:fill="FFFFFF"/>
            </w:rPr>
            <w:t>, </w:t>
          </w:r>
          <w:r w:rsidRPr="005B6153">
            <w:rPr>
              <w:i/>
              <w:iCs/>
              <w:color w:val="222222"/>
              <w:shd w:val="clear" w:color="auto" w:fill="FFFFFF"/>
            </w:rPr>
            <w:t>60</w:t>
          </w:r>
          <w:r w:rsidRPr="005B6153">
            <w:rPr>
              <w:color w:val="222222"/>
              <w:shd w:val="clear" w:color="auto" w:fill="FFFFFF"/>
            </w:rPr>
            <w:t>(2-3), 187-243.</w:t>
          </w:r>
          <w:r w:rsidRPr="005B6153">
            <w:rPr>
              <w:color w:val="222222"/>
              <w:shd w:val="clear" w:color="auto" w:fill="FFFFFF"/>
            </w:rPr>
            <w:t xml:space="preserve"> Available at:</w:t>
          </w:r>
          <w:r w:rsidRPr="005B6153">
            <w:t xml:space="preserve"> </w:t>
          </w:r>
          <w:hyperlink r:id="rId15" w:history="1">
            <w:r w:rsidRPr="005B6153">
              <w:rPr>
                <w:rStyle w:val="Hyperlink"/>
                <w:shd w:val="clear" w:color="auto" w:fill="FFFFFF"/>
              </w:rPr>
              <w:t>https://papers.ssrn.com/sol3/Delivery.cfm?abstractid=220251</w:t>
            </w:r>
          </w:hyperlink>
          <w:r w:rsidRPr="005B6153">
            <w:rPr>
              <w:color w:val="222222"/>
              <w:shd w:val="clear" w:color="auto" w:fill="FFFFFF"/>
            </w:rPr>
            <w:t xml:space="preserve"> </w:t>
          </w:r>
        </w:p>
        <w:p w14:paraId="3A3AFC22" w14:textId="77777777" w:rsidR="005B6153" w:rsidRPr="005B6153" w:rsidRDefault="005B6153" w:rsidP="005B6153">
          <w:pPr>
            <w:pStyle w:val="NormalWeb"/>
            <w:spacing w:line="360" w:lineRule="auto"/>
            <w:jc w:val="both"/>
          </w:pPr>
          <w:r w:rsidRPr="005B6153">
            <w:rPr>
              <w:color w:val="222222"/>
              <w:shd w:val="clear" w:color="auto" w:fill="FFFFFF"/>
            </w:rPr>
            <w:t>Johnson, G., Scholes, K., &amp; Whittington, R. (2008). Exploring corporate strategy.</w:t>
          </w:r>
          <w:r w:rsidRPr="005B6153">
            <w:rPr>
              <w:color w:val="222222"/>
              <w:shd w:val="clear" w:color="auto" w:fill="FFFFFF"/>
            </w:rPr>
            <w:t xml:space="preserve"> Available at:</w:t>
          </w:r>
          <w:r w:rsidRPr="005B6153">
            <w:t xml:space="preserve"> </w:t>
          </w:r>
          <w:hyperlink r:id="rId16" w:history="1">
            <w:r w:rsidRPr="005B6153">
              <w:rPr>
                <w:rStyle w:val="Hyperlink"/>
                <w:shd w:val="clear" w:color="auto" w:fill="FFFFFF"/>
              </w:rPr>
              <w:t>https://www.academia.edu/download/35593708/Corporate_strategy_J_S_W.pdf</w:t>
            </w:r>
          </w:hyperlink>
          <w:r w:rsidRPr="005B6153">
            <w:rPr>
              <w:color w:val="222222"/>
              <w:shd w:val="clear" w:color="auto" w:fill="FFFFFF"/>
            </w:rPr>
            <w:t xml:space="preserve"> </w:t>
          </w:r>
        </w:p>
        <w:p w14:paraId="03E776DA" w14:textId="77777777" w:rsidR="005B6153" w:rsidRPr="005B6153" w:rsidRDefault="005B6153" w:rsidP="005B6153">
          <w:pPr>
            <w:pStyle w:val="NormalWeb"/>
            <w:spacing w:line="360" w:lineRule="auto"/>
            <w:jc w:val="both"/>
          </w:pPr>
          <w:r w:rsidRPr="005B6153">
            <w:rPr>
              <w:color w:val="222222"/>
              <w:shd w:val="clear" w:color="auto" w:fill="FFFFFF"/>
            </w:rPr>
            <w:t>Koller, T., Goedhart, M., &amp; Wessels, D. (2010). </w:t>
          </w:r>
          <w:r w:rsidRPr="005B6153">
            <w:rPr>
              <w:i/>
              <w:iCs/>
              <w:color w:val="222222"/>
              <w:shd w:val="clear" w:color="auto" w:fill="FFFFFF"/>
            </w:rPr>
            <w:t>Valuation: measuring and managing the value of companies</w:t>
          </w:r>
          <w:r w:rsidRPr="005B6153">
            <w:rPr>
              <w:color w:val="222222"/>
              <w:shd w:val="clear" w:color="auto" w:fill="FFFFFF"/>
            </w:rPr>
            <w:t>. John Wiley &amp; Sons.</w:t>
          </w:r>
        </w:p>
        <w:p w14:paraId="61C73C25" w14:textId="77777777" w:rsidR="005B6153" w:rsidRPr="005B6153" w:rsidRDefault="005B6153" w:rsidP="005B6153">
          <w:pPr>
            <w:spacing w:line="360" w:lineRule="auto"/>
            <w:jc w:val="both"/>
            <w:rPr>
              <w:rFonts w:ascii="Times New Roman" w:hAnsi="Times New Roman" w:cs="Times New Roman"/>
              <w:color w:val="222222"/>
              <w:sz w:val="24"/>
              <w:szCs w:val="24"/>
              <w:shd w:val="clear" w:color="auto" w:fill="FFFFFF"/>
            </w:rPr>
          </w:pPr>
          <w:r w:rsidRPr="005B6153">
            <w:rPr>
              <w:rFonts w:ascii="Times New Roman" w:hAnsi="Times New Roman" w:cs="Times New Roman"/>
              <w:color w:val="222222"/>
              <w:sz w:val="24"/>
              <w:szCs w:val="24"/>
              <w:shd w:val="clear" w:color="auto" w:fill="FFFFFF"/>
            </w:rPr>
            <w:t>Kotler, P., &amp; Keller, K. L. (2015). Marketing Management 15th Edition–Global.</w:t>
          </w:r>
        </w:p>
        <w:p w14:paraId="335B4510" w14:textId="77777777" w:rsidR="005B6153" w:rsidRPr="005B6153" w:rsidRDefault="005B6153" w:rsidP="005B6153">
          <w:pPr>
            <w:spacing w:line="360" w:lineRule="auto"/>
            <w:jc w:val="both"/>
            <w:rPr>
              <w:rFonts w:ascii="Times New Roman" w:hAnsi="Times New Roman" w:cs="Times New Roman"/>
              <w:color w:val="222222"/>
              <w:sz w:val="24"/>
              <w:szCs w:val="24"/>
              <w:shd w:val="clear" w:color="auto" w:fill="FFFFFF"/>
            </w:rPr>
          </w:pPr>
          <w:r w:rsidRPr="005B6153">
            <w:rPr>
              <w:rFonts w:ascii="Times New Roman" w:hAnsi="Times New Roman" w:cs="Times New Roman"/>
              <w:color w:val="222222"/>
              <w:sz w:val="24"/>
              <w:szCs w:val="24"/>
              <w:shd w:val="clear" w:color="auto" w:fill="FFFFFF"/>
            </w:rPr>
            <w:t xml:space="preserve">Nasution, Y. A., &amp; </w:t>
          </w:r>
          <w:proofErr w:type="spellStart"/>
          <w:r w:rsidRPr="005B6153">
            <w:rPr>
              <w:rFonts w:ascii="Times New Roman" w:hAnsi="Times New Roman" w:cs="Times New Roman"/>
              <w:color w:val="222222"/>
              <w:sz w:val="24"/>
              <w:szCs w:val="24"/>
              <w:shd w:val="clear" w:color="auto" w:fill="FFFFFF"/>
            </w:rPr>
            <w:t>Yusleny</w:t>
          </w:r>
          <w:proofErr w:type="spellEnd"/>
          <w:r w:rsidRPr="005B6153">
            <w:rPr>
              <w:rFonts w:ascii="Times New Roman" w:hAnsi="Times New Roman" w:cs="Times New Roman"/>
              <w:color w:val="222222"/>
              <w:sz w:val="24"/>
              <w:szCs w:val="24"/>
              <w:shd w:val="clear" w:color="auto" w:fill="FFFFFF"/>
            </w:rPr>
            <w:t xml:space="preserve">, Y. (2023, February). Financial Performance Measurement Using Profitability Ratios </w:t>
          </w:r>
          <w:proofErr w:type="gramStart"/>
          <w:r w:rsidRPr="005B6153">
            <w:rPr>
              <w:rFonts w:ascii="Times New Roman" w:hAnsi="Times New Roman" w:cs="Times New Roman"/>
              <w:color w:val="222222"/>
              <w:sz w:val="24"/>
              <w:szCs w:val="24"/>
              <w:shd w:val="clear" w:color="auto" w:fill="FFFFFF"/>
            </w:rPr>
            <w:t>And</w:t>
          </w:r>
          <w:proofErr w:type="gramEnd"/>
          <w:r w:rsidRPr="005B6153">
            <w:rPr>
              <w:rFonts w:ascii="Times New Roman" w:hAnsi="Times New Roman" w:cs="Times New Roman"/>
              <w:color w:val="222222"/>
              <w:sz w:val="24"/>
              <w:szCs w:val="24"/>
              <w:shd w:val="clear" w:color="auto" w:fill="FFFFFF"/>
            </w:rPr>
            <w:t xml:space="preserve"> Liquidity Ratios. In </w:t>
          </w:r>
          <w:r w:rsidRPr="005B6153">
            <w:rPr>
              <w:rFonts w:ascii="Times New Roman" w:hAnsi="Times New Roman" w:cs="Times New Roman"/>
              <w:i/>
              <w:iCs/>
              <w:color w:val="222222"/>
              <w:sz w:val="24"/>
              <w:szCs w:val="24"/>
              <w:shd w:val="clear" w:color="auto" w:fill="FFFFFF"/>
            </w:rPr>
            <w:t>Proceeding Medan International Conference on Economic and Business</w:t>
          </w:r>
          <w:r w:rsidRPr="005B6153">
            <w:rPr>
              <w:rFonts w:ascii="Times New Roman" w:hAnsi="Times New Roman" w:cs="Times New Roman"/>
              <w:color w:val="222222"/>
              <w:sz w:val="24"/>
              <w:szCs w:val="24"/>
              <w:shd w:val="clear" w:color="auto" w:fill="FFFFFF"/>
            </w:rPr>
            <w:t> (Vol. 1, pp. 1730-1741).</w:t>
          </w:r>
          <w:r w:rsidRPr="005B6153">
            <w:rPr>
              <w:rFonts w:ascii="Times New Roman" w:hAnsi="Times New Roman" w:cs="Times New Roman"/>
              <w:sz w:val="24"/>
              <w:szCs w:val="24"/>
            </w:rPr>
            <w:t xml:space="preserve"> </w:t>
          </w:r>
          <w:hyperlink r:id="rId17" w:history="1">
            <w:r w:rsidRPr="005B6153">
              <w:rPr>
                <w:rStyle w:val="Hyperlink"/>
                <w:rFonts w:ascii="Times New Roman" w:hAnsi="Times New Roman" w:cs="Times New Roman"/>
                <w:sz w:val="24"/>
                <w:szCs w:val="24"/>
                <w:shd w:val="clear" w:color="auto" w:fill="FFFFFF"/>
              </w:rPr>
              <w:t>https://proceeding.umsu.ac.id/index.php/Miceb/article/download/282/303</w:t>
            </w:r>
          </w:hyperlink>
          <w:r w:rsidRPr="005B6153">
            <w:rPr>
              <w:rFonts w:ascii="Times New Roman" w:hAnsi="Times New Roman" w:cs="Times New Roman"/>
              <w:color w:val="222222"/>
              <w:sz w:val="24"/>
              <w:szCs w:val="24"/>
              <w:shd w:val="clear" w:color="auto" w:fill="FFFFFF"/>
            </w:rPr>
            <w:t xml:space="preserve"> </w:t>
          </w:r>
        </w:p>
        <w:p w14:paraId="4F7546AF" w14:textId="77777777" w:rsidR="005B6153" w:rsidRPr="005B6153" w:rsidRDefault="005B6153" w:rsidP="005B6153">
          <w:pPr>
            <w:spacing w:line="360" w:lineRule="auto"/>
            <w:jc w:val="both"/>
            <w:rPr>
              <w:rFonts w:ascii="Times New Roman" w:hAnsi="Times New Roman" w:cs="Times New Roman"/>
              <w:color w:val="222222"/>
              <w:sz w:val="24"/>
              <w:szCs w:val="24"/>
              <w:shd w:val="clear" w:color="auto" w:fill="FFFFFF"/>
            </w:rPr>
          </w:pPr>
          <w:r w:rsidRPr="005B6153">
            <w:rPr>
              <w:rFonts w:ascii="Times New Roman" w:hAnsi="Times New Roman" w:cs="Times New Roman"/>
              <w:color w:val="222222"/>
              <w:sz w:val="24"/>
              <w:szCs w:val="24"/>
              <w:shd w:val="clear" w:color="auto" w:fill="FFFFFF"/>
            </w:rPr>
            <w:t xml:space="preserve">Olesen, O. B., Petersen, N. C., &amp; </w:t>
          </w:r>
          <w:proofErr w:type="spellStart"/>
          <w:r w:rsidRPr="005B6153">
            <w:rPr>
              <w:rFonts w:ascii="Times New Roman" w:hAnsi="Times New Roman" w:cs="Times New Roman"/>
              <w:color w:val="222222"/>
              <w:sz w:val="24"/>
              <w:szCs w:val="24"/>
              <w:shd w:val="clear" w:color="auto" w:fill="FFFFFF"/>
            </w:rPr>
            <w:t>Podinovski</w:t>
          </w:r>
          <w:proofErr w:type="spellEnd"/>
          <w:r w:rsidRPr="005B6153">
            <w:rPr>
              <w:rFonts w:ascii="Times New Roman" w:hAnsi="Times New Roman" w:cs="Times New Roman"/>
              <w:color w:val="222222"/>
              <w:sz w:val="24"/>
              <w:szCs w:val="24"/>
              <w:shd w:val="clear" w:color="auto" w:fill="FFFFFF"/>
            </w:rPr>
            <w:t>, V. V. (2015). Efficiency analysis with ratio measures. </w:t>
          </w:r>
          <w:r w:rsidRPr="005B6153">
            <w:rPr>
              <w:rFonts w:ascii="Times New Roman" w:hAnsi="Times New Roman" w:cs="Times New Roman"/>
              <w:i/>
              <w:iCs/>
              <w:color w:val="222222"/>
              <w:sz w:val="24"/>
              <w:szCs w:val="24"/>
              <w:shd w:val="clear" w:color="auto" w:fill="FFFFFF"/>
            </w:rPr>
            <w:t>European journal of operational research</w:t>
          </w:r>
          <w:r w:rsidRPr="005B6153">
            <w:rPr>
              <w:rFonts w:ascii="Times New Roman" w:hAnsi="Times New Roman" w:cs="Times New Roman"/>
              <w:color w:val="222222"/>
              <w:sz w:val="24"/>
              <w:szCs w:val="24"/>
              <w:shd w:val="clear" w:color="auto" w:fill="FFFFFF"/>
            </w:rPr>
            <w:t>, </w:t>
          </w:r>
          <w:r w:rsidRPr="005B6153">
            <w:rPr>
              <w:rFonts w:ascii="Times New Roman" w:hAnsi="Times New Roman" w:cs="Times New Roman"/>
              <w:i/>
              <w:iCs/>
              <w:color w:val="222222"/>
              <w:sz w:val="24"/>
              <w:szCs w:val="24"/>
              <w:shd w:val="clear" w:color="auto" w:fill="FFFFFF"/>
            </w:rPr>
            <w:t>245</w:t>
          </w:r>
          <w:r w:rsidRPr="005B6153">
            <w:rPr>
              <w:rFonts w:ascii="Times New Roman" w:hAnsi="Times New Roman" w:cs="Times New Roman"/>
              <w:color w:val="222222"/>
              <w:sz w:val="24"/>
              <w:szCs w:val="24"/>
              <w:shd w:val="clear" w:color="auto" w:fill="FFFFFF"/>
            </w:rPr>
            <w:t>(2), 446-462.</w:t>
          </w:r>
          <w:r w:rsidRPr="005B6153">
            <w:rPr>
              <w:rFonts w:ascii="Times New Roman" w:hAnsi="Times New Roman" w:cs="Times New Roman"/>
              <w:sz w:val="24"/>
              <w:szCs w:val="24"/>
            </w:rPr>
            <w:t xml:space="preserve"> </w:t>
          </w:r>
          <w:hyperlink r:id="rId18" w:history="1">
            <w:r w:rsidRPr="005B6153">
              <w:rPr>
                <w:rStyle w:val="Hyperlink"/>
                <w:rFonts w:ascii="Times New Roman" w:hAnsi="Times New Roman" w:cs="Times New Roman"/>
                <w:sz w:val="24"/>
                <w:szCs w:val="24"/>
                <w:shd w:val="clear" w:color="auto" w:fill="FFFFFF"/>
              </w:rPr>
              <w:t>https://repository.lboro.ac.uk/articles/journal_contribution/Efficiency_analysis_with_ratio_measures/9500966/1/files/17127698.pdf</w:t>
            </w:r>
          </w:hyperlink>
          <w:r w:rsidRPr="005B6153">
            <w:rPr>
              <w:rFonts w:ascii="Times New Roman" w:hAnsi="Times New Roman" w:cs="Times New Roman"/>
              <w:color w:val="222222"/>
              <w:sz w:val="24"/>
              <w:szCs w:val="24"/>
              <w:shd w:val="clear" w:color="auto" w:fill="FFFFFF"/>
            </w:rPr>
            <w:t xml:space="preserve"> </w:t>
          </w:r>
        </w:p>
        <w:p w14:paraId="6125998A" w14:textId="77777777" w:rsidR="005B6153" w:rsidRPr="005B6153" w:rsidRDefault="005B6153" w:rsidP="005B6153">
          <w:pPr>
            <w:pStyle w:val="NormalWeb"/>
            <w:spacing w:line="360" w:lineRule="auto"/>
            <w:jc w:val="both"/>
          </w:pPr>
          <w:r w:rsidRPr="005B6153">
            <w:rPr>
              <w:color w:val="222222"/>
              <w:shd w:val="clear" w:color="auto" w:fill="FFFFFF"/>
            </w:rPr>
            <w:t>Porter, M. E. (2008). The five competitive forces that shape strategy. </w:t>
          </w:r>
          <w:r w:rsidRPr="005B6153">
            <w:rPr>
              <w:i/>
              <w:iCs/>
              <w:color w:val="222222"/>
              <w:shd w:val="clear" w:color="auto" w:fill="FFFFFF"/>
            </w:rPr>
            <w:t>Harvard business review</w:t>
          </w:r>
          <w:r w:rsidRPr="005B6153">
            <w:rPr>
              <w:color w:val="222222"/>
              <w:shd w:val="clear" w:color="auto" w:fill="FFFFFF"/>
            </w:rPr>
            <w:t>, </w:t>
          </w:r>
          <w:r w:rsidRPr="005B6153">
            <w:rPr>
              <w:i/>
              <w:iCs/>
              <w:color w:val="222222"/>
              <w:shd w:val="clear" w:color="auto" w:fill="FFFFFF"/>
            </w:rPr>
            <w:t>86</w:t>
          </w:r>
          <w:r w:rsidRPr="005B6153">
            <w:rPr>
              <w:color w:val="222222"/>
              <w:shd w:val="clear" w:color="auto" w:fill="FFFFFF"/>
            </w:rPr>
            <w:t>(1), 78.</w:t>
          </w:r>
          <w:r w:rsidRPr="005B6153">
            <w:rPr>
              <w:color w:val="222222"/>
              <w:shd w:val="clear" w:color="auto" w:fill="FFFFFF"/>
            </w:rPr>
            <w:t xml:space="preserve"> Available at:</w:t>
          </w:r>
          <w:r w:rsidRPr="005B6153">
            <w:t xml:space="preserve"> </w:t>
          </w:r>
          <w:hyperlink r:id="rId19" w:history="1">
            <w:r w:rsidRPr="005B6153">
              <w:rPr>
                <w:rStyle w:val="Hyperlink"/>
                <w:shd w:val="clear" w:color="auto" w:fill="FFFFFF"/>
              </w:rPr>
              <w:t>https://cdn.paynevesht.ir/assets/3_a2b9d3fbc3.pdf#page=25</w:t>
            </w:r>
          </w:hyperlink>
          <w:r w:rsidRPr="005B6153">
            <w:rPr>
              <w:color w:val="222222"/>
              <w:shd w:val="clear" w:color="auto" w:fill="FFFFFF"/>
            </w:rPr>
            <w:t xml:space="preserve"> </w:t>
          </w:r>
        </w:p>
        <w:p w14:paraId="7A802789" w14:textId="77777777" w:rsidR="005B6153" w:rsidRPr="005B6153" w:rsidRDefault="005B6153" w:rsidP="005B6153">
          <w:pPr>
            <w:pStyle w:val="NormalWeb"/>
            <w:spacing w:line="360" w:lineRule="auto"/>
            <w:jc w:val="both"/>
          </w:pPr>
          <w:r w:rsidRPr="005B6153">
            <w:t xml:space="preserve">Rolls-Royce (2026) </w:t>
          </w:r>
          <w:r w:rsidRPr="005B6153">
            <w:rPr>
              <w:i/>
              <w:iCs/>
            </w:rPr>
            <w:t>Annual Report and Financial Statements 2025</w:t>
          </w:r>
          <w:r w:rsidRPr="005B6153">
            <w:t xml:space="preserve">. London: Rolls-Royce Holdings PLC. Available at: </w:t>
          </w:r>
          <w:hyperlink r:id="rId20" w:history="1">
            <w:r w:rsidRPr="005B6153">
              <w:rPr>
                <w:rStyle w:val="Hyperlink"/>
              </w:rPr>
              <w:t>https://www.rolls-royce.com/media/press-releases/2026/26-02-2026-rr-holdings-plc-2025-full-year-results.aspx</w:t>
            </w:r>
          </w:hyperlink>
          <w:r w:rsidRPr="005B6153">
            <w:t xml:space="preserve"> </w:t>
          </w:r>
        </w:p>
        <w:p w14:paraId="21799BE5" w14:textId="77777777" w:rsidR="005B6153" w:rsidRPr="005B6153" w:rsidRDefault="005B6153" w:rsidP="005B6153">
          <w:pPr>
            <w:pStyle w:val="NormalWeb"/>
            <w:spacing w:line="360" w:lineRule="auto"/>
            <w:jc w:val="both"/>
          </w:pPr>
          <w:r w:rsidRPr="005B6153">
            <w:t xml:space="preserve">Statista (2025) </w:t>
          </w:r>
          <w:r w:rsidRPr="005B6153">
            <w:rPr>
              <w:i/>
              <w:iCs/>
            </w:rPr>
            <w:t>Market share of leading aircraft engine manufacturers worldwide</w:t>
          </w:r>
          <w:r w:rsidRPr="005B6153">
            <w:t xml:space="preserve">. Available at: </w:t>
          </w:r>
          <w:hyperlink r:id="rId21" w:history="1">
            <w:r w:rsidRPr="005B6153">
              <w:rPr>
                <w:rStyle w:val="Hyperlink"/>
              </w:rPr>
              <w:t>https://www.statista.com/topics/6331/global-aircraft-engine-market/?srsltid=AfmBOopGKfBvxgqSVXkiZfPFhwaz-cFWDqLweRtrmvtqtmZRnkW8IIYm</w:t>
            </w:r>
          </w:hyperlink>
          <w:r w:rsidRPr="005B6153">
            <w:t xml:space="preserve"> </w:t>
          </w:r>
        </w:p>
        <w:p w14:paraId="7F890C1F" w14:textId="77777777" w:rsidR="00CA09F3" w:rsidRPr="00982351" w:rsidRDefault="00E36F3C" w:rsidP="00A5268C">
          <w:pPr>
            <w:spacing w:line="360" w:lineRule="auto"/>
            <w:rPr>
              <w:rFonts w:ascii="Times New Roman" w:hAnsi="Times New Roman" w:cs="Times New Roman"/>
              <w:sz w:val="24"/>
              <w:szCs w:val="24"/>
            </w:rPr>
          </w:pPr>
        </w:p>
      </w:sdtContent>
    </w:sdt>
    <w:p w14:paraId="1E418EE2" w14:textId="77777777" w:rsidR="00CF0E48" w:rsidRPr="00982351" w:rsidRDefault="00CF0E48" w:rsidP="00A5268C">
      <w:pPr>
        <w:spacing w:line="360" w:lineRule="auto"/>
        <w:rPr>
          <w:rFonts w:ascii="Times New Roman" w:hAnsi="Times New Roman" w:cs="Times New Roman"/>
          <w:sz w:val="24"/>
          <w:szCs w:val="24"/>
        </w:rPr>
      </w:pPr>
    </w:p>
    <w:p w14:paraId="493C784B" w14:textId="77777777" w:rsidR="00CF0E48" w:rsidRPr="00982351" w:rsidRDefault="00CF0E48" w:rsidP="00A5268C">
      <w:pPr>
        <w:spacing w:line="360" w:lineRule="auto"/>
        <w:rPr>
          <w:rFonts w:ascii="Times New Roman" w:hAnsi="Times New Roman" w:cs="Times New Roman"/>
          <w:sz w:val="24"/>
          <w:szCs w:val="24"/>
        </w:rPr>
      </w:pPr>
    </w:p>
    <w:p w14:paraId="35C7F415" w14:textId="77777777" w:rsidR="00CF0E48" w:rsidRPr="00982351" w:rsidRDefault="00CF0E48" w:rsidP="00A5268C">
      <w:pPr>
        <w:spacing w:line="360" w:lineRule="auto"/>
        <w:rPr>
          <w:rFonts w:ascii="Times New Roman" w:hAnsi="Times New Roman" w:cs="Times New Roman"/>
          <w:sz w:val="24"/>
          <w:szCs w:val="24"/>
        </w:rPr>
      </w:pPr>
    </w:p>
    <w:p w14:paraId="365813D8" w14:textId="77777777" w:rsidR="00CF0E48" w:rsidRPr="00982351" w:rsidRDefault="00CF0E48" w:rsidP="00A5268C">
      <w:pPr>
        <w:spacing w:line="360" w:lineRule="auto"/>
        <w:rPr>
          <w:rFonts w:ascii="Times New Roman" w:hAnsi="Times New Roman" w:cs="Times New Roman"/>
          <w:sz w:val="24"/>
          <w:szCs w:val="24"/>
        </w:rPr>
      </w:pPr>
    </w:p>
    <w:p w14:paraId="0B40F6B3" w14:textId="77777777" w:rsidR="00CF0E48" w:rsidRPr="00982351" w:rsidRDefault="00CF0E48" w:rsidP="00A5268C">
      <w:pPr>
        <w:spacing w:line="360" w:lineRule="auto"/>
        <w:rPr>
          <w:rFonts w:ascii="Times New Roman" w:hAnsi="Times New Roman" w:cs="Times New Roman"/>
          <w:sz w:val="24"/>
          <w:szCs w:val="24"/>
        </w:rPr>
      </w:pPr>
    </w:p>
    <w:p w14:paraId="2BDC7C17" w14:textId="77777777" w:rsidR="00CF0E48" w:rsidRPr="00982351" w:rsidRDefault="00CF0E48" w:rsidP="00A5268C">
      <w:pPr>
        <w:spacing w:line="360" w:lineRule="auto"/>
        <w:rPr>
          <w:rFonts w:ascii="Times New Roman" w:hAnsi="Times New Roman" w:cs="Times New Roman"/>
          <w:sz w:val="24"/>
          <w:szCs w:val="24"/>
        </w:rPr>
      </w:pPr>
    </w:p>
    <w:p w14:paraId="12C9B7B1" w14:textId="77777777" w:rsidR="00CF0E48" w:rsidRPr="00982351" w:rsidRDefault="00CF0E48" w:rsidP="00A5268C">
      <w:pPr>
        <w:spacing w:line="360" w:lineRule="auto"/>
        <w:rPr>
          <w:rFonts w:ascii="Times New Roman" w:hAnsi="Times New Roman" w:cs="Times New Roman"/>
          <w:sz w:val="24"/>
          <w:szCs w:val="24"/>
        </w:rPr>
      </w:pPr>
    </w:p>
    <w:p w14:paraId="7ED5198D" w14:textId="77777777" w:rsidR="00CF0E48" w:rsidRPr="00982351" w:rsidRDefault="00CF0E48" w:rsidP="00A5268C">
      <w:pPr>
        <w:spacing w:line="360" w:lineRule="auto"/>
        <w:rPr>
          <w:rFonts w:ascii="Times New Roman" w:hAnsi="Times New Roman" w:cs="Times New Roman"/>
          <w:sz w:val="24"/>
          <w:szCs w:val="24"/>
        </w:rPr>
      </w:pPr>
    </w:p>
    <w:p w14:paraId="456B8F5D" w14:textId="4A67BA27" w:rsidR="00CF0E48" w:rsidRPr="00982351" w:rsidRDefault="007977AF" w:rsidP="007977AF">
      <w:pPr>
        <w:rPr>
          <w:rFonts w:ascii="Times New Roman" w:hAnsi="Times New Roman" w:cs="Times New Roman"/>
          <w:sz w:val="24"/>
          <w:szCs w:val="24"/>
        </w:rPr>
      </w:pPr>
      <w:r>
        <w:rPr>
          <w:rFonts w:ascii="Times New Roman" w:hAnsi="Times New Roman" w:cs="Times New Roman"/>
          <w:sz w:val="24"/>
          <w:szCs w:val="24"/>
        </w:rPr>
        <w:br w:type="page"/>
      </w:r>
    </w:p>
    <w:p w14:paraId="1F4145EA" w14:textId="452E1343" w:rsidR="00CF0E48" w:rsidRDefault="00CF0E48" w:rsidP="00A5268C">
      <w:pPr>
        <w:pStyle w:val="Heading1"/>
        <w:rPr>
          <w:rFonts w:cs="Times New Roman"/>
          <w:sz w:val="24"/>
          <w:szCs w:val="24"/>
        </w:rPr>
      </w:pPr>
      <w:bookmarkStart w:id="7" w:name="_Toc178766399"/>
      <w:r w:rsidRPr="00982351">
        <w:rPr>
          <w:rFonts w:cs="Times New Roman"/>
          <w:sz w:val="24"/>
          <w:szCs w:val="24"/>
        </w:rPr>
        <w:t>Appendix</w:t>
      </w:r>
      <w:bookmarkEnd w:id="7"/>
    </w:p>
    <w:p w14:paraId="7BD6201B" w14:textId="7854DB25" w:rsidR="007977AF" w:rsidRDefault="00E36F3C" w:rsidP="00E36F3C">
      <w:pPr>
        <w:jc w:val="center"/>
      </w:pPr>
      <w:r>
        <w:rPr>
          <w:noProof/>
        </w:rPr>
        <w:drawing>
          <wp:inline distT="0" distB="0" distL="0" distR="0" wp14:anchorId="3E537D32" wp14:editId="0700D289">
            <wp:extent cx="5846445" cy="4441108"/>
            <wp:effectExtent l="0" t="0" r="1905" b="0"/>
            <wp:docPr id="8531778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52291" cy="4445549"/>
                    </a:xfrm>
                    <a:prstGeom prst="rect">
                      <a:avLst/>
                    </a:prstGeom>
                    <a:noFill/>
                  </pic:spPr>
                </pic:pic>
              </a:graphicData>
            </a:graphic>
          </wp:inline>
        </w:drawing>
      </w:r>
    </w:p>
    <w:p w14:paraId="2F0C62E0" w14:textId="6EB4B07F" w:rsidR="00E36F3C" w:rsidRDefault="00E36F3C" w:rsidP="00E36F3C">
      <w:pPr>
        <w:jc w:val="center"/>
      </w:pPr>
      <w:r>
        <w:rPr>
          <w:noProof/>
        </w:rPr>
        <w:drawing>
          <wp:inline distT="0" distB="0" distL="0" distR="0" wp14:anchorId="2588E6C4" wp14:editId="2AFC5AC2">
            <wp:extent cx="5354053" cy="3390900"/>
            <wp:effectExtent l="0" t="0" r="0" b="0"/>
            <wp:docPr id="3051677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55353" cy="3391723"/>
                    </a:xfrm>
                    <a:prstGeom prst="rect">
                      <a:avLst/>
                    </a:prstGeom>
                    <a:noFill/>
                  </pic:spPr>
                </pic:pic>
              </a:graphicData>
            </a:graphic>
          </wp:inline>
        </w:drawing>
      </w:r>
    </w:p>
    <w:p w14:paraId="62E86986" w14:textId="092528BA" w:rsidR="00E36F3C" w:rsidRDefault="00E36F3C">
      <w:r>
        <w:br w:type="page"/>
      </w:r>
    </w:p>
    <w:p w14:paraId="71982263" w14:textId="52D3747E" w:rsidR="00E36F3C" w:rsidRDefault="00E36F3C" w:rsidP="00E36F3C">
      <w:pPr>
        <w:jc w:val="center"/>
      </w:pPr>
      <w:r>
        <w:rPr>
          <w:noProof/>
        </w:rPr>
        <w:drawing>
          <wp:inline distT="0" distB="0" distL="0" distR="0" wp14:anchorId="3F8F5D8D" wp14:editId="7EF5232C">
            <wp:extent cx="5376251" cy="5722620"/>
            <wp:effectExtent l="0" t="0" r="0" b="0"/>
            <wp:docPr id="11007688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79818" cy="5726417"/>
                    </a:xfrm>
                    <a:prstGeom prst="rect">
                      <a:avLst/>
                    </a:prstGeom>
                    <a:noFill/>
                  </pic:spPr>
                </pic:pic>
              </a:graphicData>
            </a:graphic>
          </wp:inline>
        </w:drawing>
      </w:r>
    </w:p>
    <w:p w14:paraId="1528EBC1" w14:textId="77777777" w:rsidR="00E36F3C" w:rsidRDefault="00E36F3C">
      <w:r>
        <w:br w:type="page"/>
      </w:r>
    </w:p>
    <w:p w14:paraId="1FC139CF" w14:textId="6D0E9D1A" w:rsidR="00E36F3C" w:rsidRPr="007977AF" w:rsidRDefault="00E36F3C" w:rsidP="00E36F3C">
      <w:pPr>
        <w:jc w:val="center"/>
      </w:pPr>
      <w:r>
        <w:rPr>
          <w:noProof/>
        </w:rPr>
        <w:drawing>
          <wp:inline distT="0" distB="0" distL="0" distR="0" wp14:anchorId="76D48769" wp14:editId="36C1B47C">
            <wp:extent cx="4921410" cy="5400675"/>
            <wp:effectExtent l="0" t="0" r="0" b="0"/>
            <wp:docPr id="15398780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23871" cy="5403376"/>
                    </a:xfrm>
                    <a:prstGeom prst="rect">
                      <a:avLst/>
                    </a:prstGeom>
                    <a:noFill/>
                  </pic:spPr>
                </pic:pic>
              </a:graphicData>
            </a:graphic>
          </wp:inline>
        </w:drawing>
      </w:r>
    </w:p>
    <w:sectPr w:rsidR="00E36F3C" w:rsidRPr="007977AF" w:rsidSect="007D194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1B4BAB" w14:textId="77777777" w:rsidR="00C06376" w:rsidRDefault="00C06376" w:rsidP="00F33B24">
      <w:pPr>
        <w:spacing w:after="0" w:line="240" w:lineRule="auto"/>
      </w:pPr>
      <w:r>
        <w:separator/>
      </w:r>
    </w:p>
  </w:endnote>
  <w:endnote w:type="continuationSeparator" w:id="0">
    <w:p w14:paraId="7C84D9DC" w14:textId="77777777" w:rsidR="00C06376" w:rsidRDefault="00C06376"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9F8A7D" w14:textId="77777777" w:rsidR="00C06376" w:rsidRDefault="00C06376" w:rsidP="00F33B24">
      <w:pPr>
        <w:spacing w:after="0" w:line="240" w:lineRule="auto"/>
      </w:pPr>
      <w:r>
        <w:separator/>
      </w:r>
    </w:p>
  </w:footnote>
  <w:footnote w:type="continuationSeparator" w:id="0">
    <w:p w14:paraId="3663CE07" w14:textId="77777777" w:rsidR="00C06376" w:rsidRDefault="00C06376" w:rsidP="00F3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4E65"/>
    <w:rsid w:val="00107936"/>
    <w:rsid w:val="00115B96"/>
    <w:rsid w:val="00324CCD"/>
    <w:rsid w:val="003C11E7"/>
    <w:rsid w:val="00480872"/>
    <w:rsid w:val="004A11F6"/>
    <w:rsid w:val="004D519C"/>
    <w:rsid w:val="005B6153"/>
    <w:rsid w:val="007977AF"/>
    <w:rsid w:val="007D1947"/>
    <w:rsid w:val="00814900"/>
    <w:rsid w:val="00931CAA"/>
    <w:rsid w:val="00982351"/>
    <w:rsid w:val="00A11633"/>
    <w:rsid w:val="00A12B58"/>
    <w:rsid w:val="00A5268C"/>
    <w:rsid w:val="00AA2A91"/>
    <w:rsid w:val="00BA4F02"/>
    <w:rsid w:val="00C06376"/>
    <w:rsid w:val="00CA09F3"/>
    <w:rsid w:val="00CF0E48"/>
    <w:rsid w:val="00D05945"/>
    <w:rsid w:val="00D854A5"/>
    <w:rsid w:val="00E36F3C"/>
    <w:rsid w:val="00F33B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FDF8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351"/>
    <w:pPr>
      <w:keepNext/>
      <w:keepLines/>
      <w:spacing w:before="240" w:after="0" w:line="360" w:lineRule="auto"/>
      <w:jc w:val="center"/>
      <w:outlineLvl w:val="0"/>
    </w:pPr>
    <w:rPr>
      <w:rFonts w:ascii="Times New Roman" w:eastAsiaTheme="majorEastAsia" w:hAnsi="Times New Roman" w:cstheme="majorBidi"/>
      <w:b/>
      <w:sz w:val="26"/>
      <w:szCs w:val="32"/>
    </w:rPr>
  </w:style>
  <w:style w:type="paragraph" w:styleId="Heading2">
    <w:name w:val="heading 2"/>
    <w:basedOn w:val="Normal"/>
    <w:next w:val="Normal"/>
    <w:link w:val="Heading2Char"/>
    <w:uiPriority w:val="9"/>
    <w:unhideWhenUsed/>
    <w:qFormat/>
    <w:rsid w:val="00982351"/>
    <w:pPr>
      <w:keepNext/>
      <w:keepLines/>
      <w:spacing w:before="40" w:after="0" w:line="360" w:lineRule="auto"/>
      <w:jc w:val="both"/>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982351"/>
    <w:pPr>
      <w:keepNext/>
      <w:keepLines/>
      <w:spacing w:before="40" w:after="0" w:line="360" w:lineRule="auto"/>
      <w:jc w:val="both"/>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semiHidden/>
    <w:unhideWhenUsed/>
    <w:qFormat/>
    <w:rsid w:val="00814900"/>
    <w:pPr>
      <w:keepNext/>
      <w:keepLines/>
      <w:spacing w:before="40" w:after="0"/>
      <w:outlineLvl w:val="3"/>
    </w:pPr>
    <w:rPr>
      <w:rFonts w:asciiTheme="majorHAnsi" w:eastAsiaTheme="majorEastAsia" w:hAnsiTheme="majorHAnsi" w:cstheme="majorBidi"/>
      <w:i/>
      <w:iCs/>
      <w:color w:val="2E74B5" w:themeColor="accent1" w:themeShade="BF"/>
      <w:kern w:val="2"/>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982351"/>
    <w:rPr>
      <w:rFonts w:ascii="Times New Roman" w:eastAsiaTheme="majorEastAsia" w:hAnsi="Times New Roman" w:cstheme="majorBidi"/>
      <w:b/>
      <w:sz w:val="26"/>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982351"/>
    <w:rPr>
      <w:rFonts w:ascii="Times New Roman" w:eastAsiaTheme="majorEastAsia" w:hAnsi="Times New Roman" w:cstheme="majorBidi"/>
      <w:b/>
      <w:sz w:val="24"/>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customStyle="1" w:styleId="Heading3Char">
    <w:name w:val="Heading 3 Char"/>
    <w:basedOn w:val="DefaultParagraphFont"/>
    <w:link w:val="Heading3"/>
    <w:uiPriority w:val="9"/>
    <w:rsid w:val="00982351"/>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814900"/>
    <w:rPr>
      <w:rFonts w:asciiTheme="majorHAnsi" w:eastAsiaTheme="majorEastAsia" w:hAnsiTheme="majorHAnsi" w:cstheme="majorBidi"/>
      <w:i/>
      <w:iCs/>
      <w:color w:val="2E74B5" w:themeColor="accent1" w:themeShade="BF"/>
      <w:kern w:val="2"/>
      <w:lang w:val="en-IN"/>
      <w14:ligatures w14:val="standardContextual"/>
    </w:rPr>
  </w:style>
  <w:style w:type="paragraph" w:styleId="NormalWeb">
    <w:name w:val="Normal (Web)"/>
    <w:basedOn w:val="Normal"/>
    <w:uiPriority w:val="99"/>
    <w:unhideWhenUsed/>
    <w:rsid w:val="0081490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814900"/>
    <w:rPr>
      <w:b/>
      <w:bCs/>
    </w:rPr>
  </w:style>
  <w:style w:type="character" w:customStyle="1" w:styleId="math-inline">
    <w:name w:val="math-inline"/>
    <w:basedOn w:val="DefaultParagraphFont"/>
    <w:rsid w:val="00814900"/>
  </w:style>
  <w:style w:type="table" w:styleId="TableGrid">
    <w:name w:val="Table Grid"/>
    <w:basedOn w:val="TableNormal"/>
    <w:uiPriority w:val="39"/>
    <w:rsid w:val="00814900"/>
    <w:pPr>
      <w:spacing w:after="0" w:line="240" w:lineRule="auto"/>
    </w:pPr>
    <w:rPr>
      <w:kern w:val="2"/>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5268C"/>
    <w:rPr>
      <w:i/>
      <w:iCs/>
    </w:rPr>
  </w:style>
  <w:style w:type="character" w:styleId="UnresolvedMention">
    <w:name w:val="Unresolved Mention"/>
    <w:basedOn w:val="DefaultParagraphFont"/>
    <w:uiPriority w:val="99"/>
    <w:semiHidden/>
    <w:unhideWhenUsed/>
    <w:rsid w:val="00A526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0044697">
      <w:bodyDiv w:val="1"/>
      <w:marLeft w:val="0"/>
      <w:marRight w:val="0"/>
      <w:marTop w:val="0"/>
      <w:marBottom w:val="0"/>
      <w:divBdr>
        <w:top w:val="none" w:sz="0" w:space="0" w:color="auto"/>
        <w:left w:val="none" w:sz="0" w:space="0" w:color="auto"/>
        <w:bottom w:val="none" w:sz="0" w:space="0" w:color="auto"/>
        <w:right w:val="none" w:sz="0" w:space="0" w:color="auto"/>
      </w:divBdr>
    </w:div>
    <w:div w:id="1270703185">
      <w:bodyDiv w:val="1"/>
      <w:marLeft w:val="0"/>
      <w:marRight w:val="0"/>
      <w:marTop w:val="0"/>
      <w:marBottom w:val="0"/>
      <w:divBdr>
        <w:top w:val="none" w:sz="0" w:space="0" w:color="auto"/>
        <w:left w:val="none" w:sz="0" w:space="0" w:color="auto"/>
        <w:bottom w:val="none" w:sz="0" w:space="0" w:color="auto"/>
        <w:right w:val="none" w:sz="0" w:space="0" w:color="auto"/>
      </w:divBdr>
      <w:divsChild>
        <w:div w:id="2124500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heducation.com/content/dam/mhe/blog/higher-ed/2025/pdfs/brealey-principles-of-corporate-finance-evergreen-2025.pdf" TargetMode="External"/><Relationship Id="rId18" Type="http://schemas.openxmlformats.org/officeDocument/2006/relationships/hyperlink" Target="https://repository.lboro.ac.uk/articles/journal_contribution/Efficiency_analysis_with_ratio_measures/9500966/1/files/17127698.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tatista.com/topics/6331/global-aircraft-engine-market/?srsltid=AfmBOopGKfBvxgqSVXkiZfPFhwaz-cFWDqLweRtrmvtqtmZRnkW8IIYm" TargetMode="External"/><Relationship Id="rId7" Type="http://schemas.openxmlformats.org/officeDocument/2006/relationships/endnotes" Target="endnotes.xml"/><Relationship Id="rId12" Type="http://schemas.openxmlformats.org/officeDocument/2006/relationships/hyperlink" Target="http://journals.iarn.or.id/index.php/ARJ/article/download/208/141" TargetMode="External"/><Relationship Id="rId17" Type="http://schemas.openxmlformats.org/officeDocument/2006/relationships/hyperlink" Target="https://proceeding.umsu.ac.id/index.php/Miceb/article/download/282/303"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www.academia.edu/download/35593708/Corporate_strategy_J_S_W.pdf" TargetMode="External"/><Relationship Id="rId20" Type="http://schemas.openxmlformats.org/officeDocument/2006/relationships/hyperlink" Target="https://www.rolls-royce.com/media/press-releases/2026/26-02-2026-rr-holdings-plc-2025-full-year-results.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ef.org.uk/what-we-do/climate/" TargetMode="Externa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papers.ssrn.com/sol3/Delivery.cfm?abstractid=220251" TargetMode="Externa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cdn.paynevesht.ir/assets/3_a2b9d3fbc3.pdf#page=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olls-royce.com/media/press-releases/2026/26-02-2026-rr-holdings-plc-2025-full-year-results.aspx" TargetMode="External"/><Relationship Id="rId22" Type="http://schemas.openxmlformats.org/officeDocument/2006/relationships/image" Target="media/image3.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2025 Result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Gross Profit Margin</c:v>
                </c:pt>
                <c:pt idx="1">
                  <c:v>Operating Profit Margin</c:v>
                </c:pt>
                <c:pt idx="2">
                  <c:v>Net Profit Margin</c:v>
                </c:pt>
                <c:pt idx="3">
                  <c:v>ROCE</c:v>
                </c:pt>
              </c:strCache>
            </c:strRef>
          </c:cat>
          <c:val>
            <c:numRef>
              <c:f>Sheet1!$B$2:$B$5</c:f>
              <c:numCache>
                <c:formatCode>0.00%</c:formatCode>
                <c:ptCount val="4"/>
                <c:pt idx="0">
                  <c:v>0.29120000000000001</c:v>
                </c:pt>
                <c:pt idx="1">
                  <c:v>0.2107</c:v>
                </c:pt>
                <c:pt idx="2">
                  <c:v>0.2752</c:v>
                </c:pt>
                <c:pt idx="3">
                  <c:v>0.23730000000000001</c:v>
                </c:pt>
              </c:numCache>
            </c:numRef>
          </c:val>
          <c:extLst>
            <c:ext xmlns:c16="http://schemas.microsoft.com/office/drawing/2014/chart" uri="{C3380CC4-5D6E-409C-BE32-E72D297353CC}">
              <c16:uniqueId val="{00000000-687B-40F8-8CC9-4B73575B3C8E}"/>
            </c:ext>
          </c:extLst>
        </c:ser>
        <c:ser>
          <c:idx val="1"/>
          <c:order val="1"/>
          <c:tx>
            <c:strRef>
              <c:f>Sheet1!$C$1</c:f>
              <c:strCache>
                <c:ptCount val="1"/>
                <c:pt idx="0">
                  <c:v>2024 Result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Gross Profit Margin</c:v>
                </c:pt>
                <c:pt idx="1">
                  <c:v>Operating Profit Margin</c:v>
                </c:pt>
                <c:pt idx="2">
                  <c:v>Net Profit Margin</c:v>
                </c:pt>
                <c:pt idx="3">
                  <c:v>ROCE</c:v>
                </c:pt>
              </c:strCache>
            </c:strRef>
          </c:cat>
          <c:val>
            <c:numRef>
              <c:f>Sheet1!$C$2:$C$5</c:f>
              <c:numCache>
                <c:formatCode>0.00%</c:formatCode>
                <c:ptCount val="4"/>
                <c:pt idx="0">
                  <c:v>0.22320000000000001</c:v>
                </c:pt>
                <c:pt idx="1">
                  <c:v>0.1537</c:v>
                </c:pt>
                <c:pt idx="2">
                  <c:v>0.13139999999999999</c:v>
                </c:pt>
                <c:pt idx="3">
                  <c:v>0.15359999999999999</c:v>
                </c:pt>
              </c:numCache>
            </c:numRef>
          </c:val>
          <c:extLst>
            <c:ext xmlns:c16="http://schemas.microsoft.com/office/drawing/2014/chart" uri="{C3380CC4-5D6E-409C-BE32-E72D297353CC}">
              <c16:uniqueId val="{00000001-687B-40F8-8CC9-4B73575B3C8E}"/>
            </c:ext>
          </c:extLst>
        </c:ser>
        <c:dLbls>
          <c:showLegendKey val="0"/>
          <c:showVal val="0"/>
          <c:showCatName val="0"/>
          <c:showSerName val="0"/>
          <c:showPercent val="0"/>
          <c:showBubbleSize val="0"/>
        </c:dLbls>
        <c:gapWidth val="219"/>
        <c:overlap val="-27"/>
        <c:axId val="284571936"/>
        <c:axId val="362825280"/>
      </c:barChart>
      <c:catAx>
        <c:axId val="284571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2825280"/>
        <c:crosses val="autoZero"/>
        <c:auto val="1"/>
        <c:lblAlgn val="ctr"/>
        <c:lblOffset val="100"/>
        <c:noMultiLvlLbl val="0"/>
      </c:catAx>
      <c:valAx>
        <c:axId val="3628252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4571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5565</Words>
  <Characters>31722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2026-03-20T18:59:00Z</dcterms:created>
  <dcterms:modified xsi:type="dcterms:W3CDTF">2026-03-20T18:59:00Z</dcterms:modified>
</cp:coreProperties>
</file>