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26.xml" ContentType="application/vnd.openxmlformats-officedocument.wordprocessingml.footer+xml"/>
  <Override PartName="/word/fontTable.xml" ContentType="application/vnd.openxmlformats-officedocument.wordprocessingml.fontTable+xml"/>
  <Override PartName="/word/footer25.xml" ContentType="application/vnd.openxmlformats-officedocument.wordprocessingml.footer+xml"/>
  <Override PartName="/word/footer24.xml" ContentType="application/vnd.openxmlformats-officedocument.wordprocessingml.footer+xml"/>
  <Override PartName="/word/footer23.xml" ContentType="application/vnd.openxmlformats-officedocument.wordprocessingml.footer+xml"/>
  <Override PartName="/word/footer21.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18.xml" ContentType="application/vnd.openxmlformats-officedocument.wordprocessingml.footer+xml"/>
  <Override PartName="/word/footer17.xml" ContentType="application/vnd.openxmlformats-officedocument.wordprocessingml.footer+xml"/>
  <Override PartName="/word/footer16.xml" ContentType="application/vnd.openxmlformats-officedocument.wordprocessingml.footer+xml"/>
  <Override PartName="/word/footer15.xml" ContentType="application/vnd.openxmlformats-officedocument.wordprocessingml.footer+xml"/>
  <Override PartName="/word/footer14.xml" ContentType="application/vnd.openxmlformats-officedocument.wordprocessingml.footer+xml"/>
  <Override PartName="/word/footer13.xml" ContentType="application/vnd.openxmlformats-officedocument.wordprocessingml.footer+xml"/>
  <Override PartName="/word/footer29.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33.xml" ContentType="application/vnd.openxmlformats-officedocument.wordprocessingml.footer+xml"/>
  <Override PartName="/word/theme/theme1.xml" ContentType="application/vnd.openxmlformats-officedocument.theme+xml"/>
  <Override PartName="/word/footer9.xml" ContentType="application/vnd.openxmlformats-officedocument.wordprocessingml.footer+xml"/>
  <Override PartName="/word/footer35.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10.xml" ContentType="application/vnd.openxmlformats-officedocument.wordprocessingml.footer+xml"/>
  <Override PartName="/word/footer34.xml" ContentType="application/vnd.openxmlformats-officedocument.wordprocessingml.footer+xml"/>
  <Override PartName="/word/footer1.xml" ContentType="application/vnd.openxmlformats-officedocument.wordprocessingml.footer+xml"/>
  <Override PartName="/word/footer36.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footer4.xml" ContentType="application/vnd.openxmlformats-officedocument.wordprocessingml.footer+xml"/>
  <Override PartName="/word/footer31.xml" ContentType="application/vnd.openxmlformats-officedocument.wordprocessingml.footer+xml"/>
  <Override PartName="/word/footer7.xml" ContentType="application/vnd.openxmlformats-officedocument.wordprocessingml.footer+xml"/>
  <Override PartName="/word/footer5.xml" ContentType="application/vnd.openxmlformats-officedocument.wordprocessingml.footer+xml"/>
  <Override PartName="/word/document.xml" ContentType="application/vnd.openxmlformats-officedocument.wordprocessingml.document.main+xml"/>
  <Override PartName="/word/media/image1.png" ContentType="image/png"/>
  <Override PartName="/word/media/image2.png" ContentType="image/png"/>
  <Override PartName="/word/footer32.xml" ContentType="application/vnd.openxmlformats-officedocument.wordprocessingml.footer+xml"/>
  <Override PartName="/word/footer8.xml" ContentType="application/vnd.openxmlformats-officedocument.wordprocessingml.footer+xml"/>
  <Override PartName="/word/footer30.xml" ContentType="application/vnd.openxmlformats-officedocument.wordprocessingml.footer+xml"/>
  <Override PartName="/word/footer6.xml" ContentType="application/vnd.openxmlformats-officedocument.wordprocessingml.footer+xml"/>
  <Override PartName="/word/styles.xml" ContentType="application/vnd.openxmlformats-officedocument.wordprocessingml.styles+xml"/>
  <Override PartName="/word/footer22.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1"/>
        <w:rPr/>
      </w:pPr>
      <w:r>
        <w:rPr/>
        <mc:AlternateContent>
          <mc:Choice Requires="wpg">
            <w:drawing>
              <wp:anchor behindDoc="0" distT="0" distB="0" distL="0" distR="0" simplePos="0" locked="0" layoutInCell="0" allowOverlap="1" relativeHeight="7">
                <wp:simplePos x="0" y="0"/>
                <wp:positionH relativeFrom="page">
                  <wp:align>center</wp:align>
                </wp:positionH>
                <wp:positionV relativeFrom="page">
                  <wp:posOffset>245745</wp:posOffset>
                </wp:positionV>
                <wp:extent cx="7315200" cy="1215390"/>
                <wp:effectExtent l="0" t="0" r="0" b="0"/>
                <wp:wrapNone/>
                <wp:docPr id="1" name="Shape1"/>
                <a:graphic xmlns:a="http://schemas.openxmlformats.org/drawingml/2006/main">
                  <a:graphicData uri="http://schemas.microsoft.com/office/word/2010/wordprocessingGroup">
                    <wpg:wgp>
                      <wpg:cNvGrpSpPr/>
                      <wpg:grpSpPr>
                        <a:xfrm>
                          <a:off x="0" y="0"/>
                          <a:ext cx="7315200" cy="1215360"/>
                          <a:chOff x="0" y="0"/>
                          <a:chExt cx="7315200" cy="1215360"/>
                        </a:xfrm>
                      </wpg:grpSpPr>
                      <wpg:grpSp>
                        <wpg:cNvGrpSpPr/>
                        <wpg:grpSpPr>
                          <a:xfrm>
                            <a:off x="0" y="0"/>
                            <a:ext cx="7315200" cy="1215360"/>
                          </a:xfrm>
                        </wpg:grpSpPr>
                        <wps:wsp>
                          <wps:cNvPr id="2" name="Shape 4"/>
                          <wps:cNvSpPr/>
                          <wps:spPr>
                            <a:xfrm>
                              <a:off x="0" y="0"/>
                              <a:ext cx="7315200" cy="1215360"/>
                            </a:xfrm>
                            <a:prstGeom prst="rect">
                              <a:avLst/>
                            </a:prstGeom>
                            <a:noFill/>
                            <a:ln w="0">
                              <a:noFill/>
                            </a:ln>
                          </wps:spPr>
                          <wps:style>
                            <a:lnRef idx="0"/>
                            <a:fillRef idx="0"/>
                            <a:effectRef idx="0"/>
                            <a:fontRef idx="minor"/>
                          </wps:style>
                          <wps:txbx>
                            <w:txbxContent>
                              <w:p>
                                <w:pPr>
                                  <w:pStyle w:val="normal1"/>
                                  <w:spacing w:lineRule="exact" w:line="240" w:before="0" w:after="0"/>
                                  <w:ind w:hanging="0" w:left="0" w:right="0"/>
                                  <w:jc w:val="left"/>
                                  <w:rPr/>
                                </w:pPr>
                                <w:r>
                                  <w:rPr/>
                                </w:r>
                              </w:p>
                            </w:txbxContent>
                          </wps:txbx>
                          <wps:bodyPr tIns="91440" bIns="91440" anchor="ctr">
                            <a:noAutofit/>
                          </wps:bodyPr>
                        </wps:wsp>
                        <wps:wsp>
                          <wps:cNvPr id="3" name="Shape 5"/>
                          <wps:cNvSpPr/>
                          <wps:spPr>
                            <a:xfrm>
                              <a:off x="0" y="0"/>
                              <a:ext cx="7315200" cy="1129680"/>
                            </a:xfrm>
                            <a:custGeom>
                              <a:avLst/>
                              <a:gdLst>
                                <a:gd name="textAreaLeft" fmla="*/ 0 w 4147200"/>
                                <a:gd name="textAreaRight" fmla="*/ 4147560 w 4147200"/>
                                <a:gd name="textAreaTop" fmla="*/ 0 h 640440"/>
                                <a:gd name="textAreaBottom" fmla="*/ 640800 h 640440"/>
                              </a:gdLst>
                              <a:ahLst/>
                              <a:rect l="textAreaLeft" t="textAreaTop" r="textAreaRight" b="textAreaBottom"/>
                              <a:pathLst>
                                <a:path w="7312660" h="1129665">
                                  <a:moveTo>
                                    <a:pt x="0" y="0"/>
                                  </a:moveTo>
                                  <a:lnTo>
                                    <a:pt x="7312660" y="0"/>
                                  </a:lnTo>
                                  <a:lnTo>
                                    <a:pt x="7312660" y="1129665"/>
                                  </a:lnTo>
                                  <a:lnTo>
                                    <a:pt x="3619500" y="733425"/>
                                  </a:lnTo>
                                  <a:lnTo>
                                    <a:pt x="0" y="1091565"/>
                                  </a:lnTo>
                                  <a:lnTo>
                                    <a:pt x="0" y="0"/>
                                  </a:lnTo>
                                  <a:close/>
                                </a:path>
                              </a:pathLst>
                            </a:custGeom>
                            <a:solidFill>
                              <a:srgbClr val="5b9bd5"/>
                            </a:solidFill>
                            <a:ln w="0">
                              <a:noFill/>
                            </a:ln>
                          </wps:spPr>
                          <wps:style>
                            <a:lnRef idx="0"/>
                            <a:fillRef idx="0"/>
                            <a:effectRef idx="0"/>
                            <a:fontRef idx="minor"/>
                          </wps:style>
                          <wps:bodyPr/>
                        </wps:wsp>
                        <wps:wsp>
                          <wps:cNvPr id="4" name="Shape 6"/>
                          <wps:cNvSpPr/>
                          <wps:spPr>
                            <a:xfrm>
                              <a:off x="0" y="0"/>
                              <a:ext cx="7315200" cy="1215360"/>
                            </a:xfrm>
                            <a:prstGeom prst="rect">
                              <a:avLst/>
                            </a:prstGeom>
                            <a:blipFill rotWithShape="0">
                              <a:blip r:embed="rId2"/>
                              <a:stretch>
                                <a:fillRect/>
                              </a:stretch>
                            </a:blipFill>
                            <a:ln w="0">
                              <a:noFill/>
                            </a:ln>
                          </wps:spPr>
                          <wps:style>
                            <a:lnRef idx="0"/>
                            <a:fillRef idx="0"/>
                            <a:effectRef idx="0"/>
                            <a:fontRef idx="minor"/>
                          </wps:style>
                          <wps:txbx>
                            <w:txbxContent>
                              <w:p>
                                <w:pPr>
                                  <w:pStyle w:val="normal1"/>
                                  <w:spacing w:lineRule="exact" w:line="240" w:before="0" w:after="0"/>
                                  <w:ind w:hanging="0" w:left="0" w:right="0"/>
                                  <w:jc w:val="left"/>
                                  <w:rPr/>
                                </w:pPr>
                                <w:r>
                                  <w:rPr/>
                                </w:r>
                              </w:p>
                            </w:txbxContent>
                          </wps:txbx>
                          <wps:bodyPr tIns="91440" bIns="91440" anchor="ctr">
                            <a:noAutofit/>
                          </wps:bodyPr>
                        </wps:wsp>
                      </wpg:grpSp>
                    </wpg:wgp>
                  </a:graphicData>
                </a:graphic>
              </wp:anchor>
            </w:drawing>
          </mc:Choice>
          <mc:Fallback>
            <w:pict>
              <v:group id="shape_0" alt="Shape1" style="position:absolute;margin-left:9.65pt;margin-top:19.35pt;width:576pt;height:95.7pt" coordorigin="193,387" coordsize="11520,1914">
                <v:group id="shape_0" style="position:absolute;left:193;top:387;width:11520;height:1914">
                  <v:rect id="shape_0" ID="Shape 4" path="m0,0l-2147483645,0l-2147483645,-2147483646l0,-2147483646xe" stroked="f" o:allowincell="f" style="position:absolute;left:193;top:387;width:11519;height:1913;mso-wrap-style:none;v-text-anchor:middle;mso-position-horizontal:center;mso-position-horizontal-relative:page;mso-position-vertical-relative:page">
                    <v:fill o:detectmouseclick="t" on="false"/>
                    <v:stroke color="#3465a4" joinstyle="round" endcap="flat"/>
                    <v:textbox>
                      <w:txbxContent>
                        <w:p>
                          <w:pPr>
                            <w:pStyle w:val="normal1"/>
                            <w:spacing w:lineRule="exact" w:line="240" w:before="0" w:after="0"/>
                            <w:ind w:hanging="0" w:left="0" w:right="0"/>
                            <w:jc w:val="left"/>
                            <w:rPr/>
                          </w:pPr>
                          <w:r>
                            <w:rPr/>
                          </w:r>
                        </w:p>
                      </w:txbxContent>
                    </v:textbox>
                    <w10:wrap type="none"/>
                  </v:rect>
                  <v:rect id="shape_0" ID="Shape 6" path="m0,0l-2147483645,0l-2147483645,-2147483646l0,-2147483646xe" stroked="f" o:allowincell="f" style="position:absolute;left:193;top:387;width:11519;height:1913;mso-wrap-style:none;v-text-anchor:middle;mso-position-horizontal:center;mso-position-horizontal-relative:page;mso-position-vertical-relative:page">
                    <v:fill r:id="rId3" o:detectmouseclick="t" type="frame" color2="black"/>
                    <v:stroke color="#3465a4" joinstyle="round" endcap="flat"/>
                    <v:textbox>
                      <w:txbxContent>
                        <w:p>
                          <w:pPr>
                            <w:pStyle w:val="normal1"/>
                            <w:spacing w:lineRule="exact" w:line="240" w:before="0" w:after="0"/>
                            <w:ind w:hanging="0" w:left="0" w:right="0"/>
                            <w:jc w:val="left"/>
                            <w:rPr/>
                          </w:pPr>
                          <w:r>
                            <w:rPr/>
                          </w:r>
                        </w:p>
                      </w:txbxContent>
                    </v:textbox>
                    <w10:wrap type="none"/>
                  </v:rect>
                </v:group>
              </v:group>
            </w:pict>
          </mc:Fallback>
        </mc:AlternateContent>
        <mc:AlternateContent>
          <mc:Choice Requires="wps">
            <w:drawing>
              <wp:anchor behindDoc="0" distT="0" distB="7620" distL="114300" distR="113665" simplePos="0" locked="0" layoutInCell="0" allowOverlap="1" relativeHeight="10">
                <wp:simplePos x="0" y="0"/>
                <wp:positionH relativeFrom="page">
                  <wp:align>center</wp:align>
                </wp:positionH>
                <wp:positionV relativeFrom="page">
                  <wp:posOffset>8741410</wp:posOffset>
                </wp:positionV>
                <wp:extent cx="7279640" cy="987425"/>
                <wp:effectExtent l="0" t="0" r="0" b="0"/>
                <wp:wrapSquare wrapText="bothSides"/>
                <wp:docPr id="5" name="Shape 8"/>
                <a:graphic xmlns:a="http://schemas.openxmlformats.org/drawingml/2006/main">
                  <a:graphicData uri="http://schemas.microsoft.com/office/word/2010/wordprocessingShape">
                    <wps:wsp>
                      <wps:cNvSpPr/>
                      <wps:spPr>
                        <a:xfrm>
                          <a:off x="0" y="0"/>
                          <a:ext cx="7279560" cy="987480"/>
                        </a:xfrm>
                        <a:prstGeom prst="rect">
                          <a:avLst/>
                        </a:prstGeom>
                        <a:noFill/>
                        <a:ln w="0">
                          <a:noFill/>
                        </a:ln>
                      </wps:spPr>
                      <wps:style>
                        <a:lnRef idx="0"/>
                        <a:fillRef idx="0"/>
                        <a:effectRef idx="0"/>
                        <a:fontRef idx="minor"/>
                      </wps:style>
                      <wps:txbx>
                        <w:txbxContent>
                          <w:p>
                            <w:pPr>
                              <w:pStyle w:val="FrameContents"/>
                              <w:spacing w:lineRule="exact" w:line="240" w:before="0" w:after="0"/>
                              <w:ind w:hanging="0" w:left="0" w:right="0"/>
                              <w:jc w:val="right"/>
                              <w:rPr/>
                            </w:pPr>
                            <w:r>
                              <w:rPr>
                                <w:rFonts w:eastAsia="Calibri" w:cs="Calibri" w:ascii="Calibri" w:hAnsi="Calibri"/>
                                <w:b w:val="false"/>
                                <w:i w:val="false"/>
                                <w:caps w:val="false"/>
                                <w:smallCaps w:val="false"/>
                                <w:strike w:val="false"/>
                                <w:dstrike w:val="false"/>
                                <w:color w:val="595959"/>
                                <w:position w:val="0"/>
                                <w:sz w:val="28"/>
                                <w:sz w:val="28"/>
                                <w:vertAlign w:val="baseline"/>
                              </w:rPr>
                              <w:t>Portia Boateng</w:t>
                            </w:r>
                          </w:p>
                          <w:p>
                            <w:pPr>
                              <w:pStyle w:val="FrameContents"/>
                              <w:spacing w:lineRule="exact" w:line="240" w:before="0" w:after="0"/>
                              <w:ind w:hanging="0" w:left="0" w:right="0"/>
                              <w:jc w:val="right"/>
                              <w:rPr/>
                            </w:pPr>
                            <w:r>
                              <w:rPr>
                                <w:rFonts w:eastAsia="Calibri" w:cs="Calibri" w:ascii="Calibri" w:hAnsi="Calibri"/>
                                <w:b w:val="false"/>
                                <w:i w:val="false"/>
                                <w:caps w:val="false"/>
                                <w:smallCaps w:val="false"/>
                                <w:strike w:val="false"/>
                                <w:dstrike w:val="false"/>
                                <w:color w:val="595959"/>
                                <w:position w:val="0"/>
                                <w:sz w:val="18"/>
                                <w:sz w:val="18"/>
                                <w:vertAlign w:val="baseline"/>
                              </w:rPr>
                              <w:t>2131530@uwtsd.ac.uk</w:t>
                            </w:r>
                          </w:p>
                        </w:txbxContent>
                      </wps:txbx>
                      <wps:bodyPr lIns="1600200" rIns="685800" tIns="0" bIns="0" anchor="b">
                        <a:noAutofit/>
                      </wps:bodyPr>
                    </wps:wsp>
                  </a:graphicData>
                </a:graphic>
              </wp:anchor>
            </w:drawing>
          </mc:Choice>
          <mc:Fallback>
            <w:pict>
              <v:rect id="shape_0" ID="Shape 8" path="m0,0l-2147483645,0l-2147483645,-2147483646l0,-2147483646xe" stroked="f" o:allowincell="f" style="position:absolute;margin-left:11.05pt;margin-top:688.3pt;width:573.15pt;height:77.7pt;mso-wrap-style:square;v-text-anchor:bottom;mso-position-horizontal:center;mso-position-horizontal-relative:page;mso-position-vertical-relative:page">
                <v:fill o:detectmouseclick="t" on="false"/>
                <v:stroke color="#3465a4" joinstyle="round" endcap="flat"/>
                <v:textbox>
                  <w:txbxContent>
                    <w:p>
                      <w:pPr>
                        <w:pStyle w:val="FrameContents"/>
                        <w:spacing w:lineRule="exact" w:line="240" w:before="0" w:after="0"/>
                        <w:ind w:hanging="0" w:left="0" w:right="0"/>
                        <w:jc w:val="right"/>
                        <w:rPr/>
                      </w:pPr>
                      <w:r>
                        <w:rPr>
                          <w:rFonts w:eastAsia="Calibri" w:cs="Calibri" w:ascii="Calibri" w:hAnsi="Calibri"/>
                          <w:b w:val="false"/>
                          <w:i w:val="false"/>
                          <w:caps w:val="false"/>
                          <w:smallCaps w:val="false"/>
                          <w:strike w:val="false"/>
                          <w:dstrike w:val="false"/>
                          <w:color w:val="595959"/>
                          <w:position w:val="0"/>
                          <w:sz w:val="28"/>
                          <w:sz w:val="28"/>
                          <w:vertAlign w:val="baseline"/>
                        </w:rPr>
                        <w:t>Portia Boateng</w:t>
                      </w:r>
                    </w:p>
                    <w:p>
                      <w:pPr>
                        <w:pStyle w:val="FrameContents"/>
                        <w:spacing w:lineRule="exact" w:line="240" w:before="0" w:after="0"/>
                        <w:ind w:hanging="0" w:left="0" w:right="0"/>
                        <w:jc w:val="right"/>
                        <w:rPr/>
                      </w:pPr>
                      <w:r>
                        <w:rPr>
                          <w:rFonts w:eastAsia="Calibri" w:cs="Calibri" w:ascii="Calibri" w:hAnsi="Calibri"/>
                          <w:b w:val="false"/>
                          <w:i w:val="false"/>
                          <w:caps w:val="false"/>
                          <w:smallCaps w:val="false"/>
                          <w:strike w:val="false"/>
                          <w:dstrike w:val="false"/>
                          <w:color w:val="595959"/>
                          <w:position w:val="0"/>
                          <w:sz w:val="18"/>
                          <w:sz w:val="18"/>
                          <w:vertAlign w:val="baseline"/>
                        </w:rPr>
                        <w:t>2131530@uwtsd.ac.uk</w:t>
                      </w:r>
                    </w:p>
                  </w:txbxContent>
                </v:textbox>
                <w10:wrap type="square"/>
              </v:rect>
            </w:pict>
          </mc:Fallback>
        </mc:AlternateContent>
      </w:r>
      <w:bookmarkStart w:id="0" w:name="_2zzd97e2b6w"/>
      <w:bookmarkStart w:id="1" w:name="_2zzd97e2b6w"/>
      <w:bookmarkEnd w:id="1"/>
    </w:p>
    <w:p>
      <w:pPr>
        <w:pStyle w:val="normal1"/>
        <w:spacing w:lineRule="auto" w:line="259"/>
        <w:rPr>
          <w:b/>
          <w:color w:val="343541"/>
          <w:sz w:val="56"/>
          <w:szCs w:val="56"/>
        </w:rPr>
      </w:pPr>
      <w:r>
        <w:rPr>
          <w:b/>
          <w:color w:val="343541"/>
          <w:sz w:val="56"/>
          <w:szCs w:val="56"/>
        </w:rPr>
        <mc:AlternateContent>
          <mc:Choice Requires="wps">
            <w:drawing>
              <wp:anchor behindDoc="0" distT="0" distB="15240" distL="113665" distR="114300" simplePos="0" locked="0" layoutInCell="0" allowOverlap="1" relativeHeight="2">
                <wp:simplePos x="0" y="0"/>
                <wp:positionH relativeFrom="page">
                  <wp:align>right</wp:align>
                </wp:positionH>
                <wp:positionV relativeFrom="page">
                  <wp:posOffset>6243320</wp:posOffset>
                </wp:positionV>
                <wp:extent cx="6689725" cy="3232785"/>
                <wp:effectExtent l="0" t="0" r="0" b="0"/>
                <wp:wrapSquare wrapText="bothSides"/>
                <wp:docPr id="6" name="Shape 7"/>
                <a:graphic xmlns:a="http://schemas.openxmlformats.org/drawingml/2006/main">
                  <a:graphicData uri="http://schemas.microsoft.com/office/word/2010/wordprocessingShape">
                    <wps:wsp>
                      <wps:cNvSpPr/>
                      <wps:spPr>
                        <a:xfrm>
                          <a:off x="0" y="0"/>
                          <a:ext cx="6689880" cy="3232800"/>
                        </a:xfrm>
                        <a:prstGeom prst="rect">
                          <a:avLst/>
                        </a:prstGeom>
                        <a:noFill/>
                        <a:ln w="0">
                          <a:noFill/>
                        </a:ln>
                      </wps:spPr>
                      <wps:style>
                        <a:lnRef idx="0"/>
                        <a:fillRef idx="0"/>
                        <a:effectRef idx="0"/>
                        <a:fontRef idx="minor"/>
                      </wps:style>
                      <wps:txbx>
                        <w:txbxContent>
                          <w:p>
                            <w:pPr>
                              <w:pStyle w:val="FrameContents"/>
                              <w:spacing w:lineRule="exact" w:line="240" w:before="0" w:after="0"/>
                              <w:ind w:hanging="0" w:left="0" w:right="0"/>
                              <w:jc w:val="left"/>
                              <w:rPr/>
                            </w:pPr>
                            <w:r>
                              <w:rPr>
                                <w:rFonts w:eastAsia="Arial" w:cs="Arial"/>
                                <w:b w:val="false"/>
                                <w:i w:val="false"/>
                                <w:caps w:val="false"/>
                                <w:smallCaps w:val="false"/>
                                <w:strike w:val="false"/>
                                <w:dstrike w:val="false"/>
                                <w:color w:val="5B9BD5"/>
                                <w:position w:val="0"/>
                                <w:sz w:val="20"/>
                                <w:sz w:val="20"/>
                                <w:vertAlign w:val="baseline"/>
                              </w:rPr>
                              <w:t>Abstract</w:t>
                            </w:r>
                          </w:p>
                          <w:p>
                            <w:pPr>
                              <w:pStyle w:val="FrameContents"/>
                              <w:spacing w:lineRule="exact" w:line="240" w:before="240" w:after="0"/>
                              <w:ind w:hanging="0" w:left="0" w:right="0"/>
                              <w:jc w:val="left"/>
                              <w:rPr/>
                            </w:pPr>
                            <w:r>
                              <w:rPr>
                                <w:rFonts w:eastAsia="Arial" w:cs="Arial"/>
                                <w:b w:val="false"/>
                                <w:i w:val="false"/>
                                <w:caps w:val="false"/>
                                <w:smallCaps w:val="false"/>
                                <w:strike w:val="false"/>
                                <w:dstrike w:val="false"/>
                                <w:color w:val="000000"/>
                                <w:position w:val="0"/>
                                <w:sz w:val="20"/>
                                <w:sz w:val="20"/>
                                <w:vertAlign w:val="baseline"/>
                              </w:rPr>
                              <w:t>This study evaluates the effectiveness of community policing in Telford, a post-industrial UK town facing high deprivation and strained police relations. Using a mixed-methods approach, it analyzes crime data (2022-2024) alongside resident surveys (n=138), stakeholder interviews (n=8), and focus groups to assess impacts on crime reduction and public trust.</w:t>
                              <w:br/>
                              <w:br/>
                              <w:t>Findings indicate that increased police visibility through foot patrols improved perceptions of safety (58% of residents reported reduced crime) and moderate trust levels (avg. 3.6/5). However, effectiveness varied significantly by neighborhood, with persistent gaps in youth engagement and marginalised communities. While successful against low-level crime, resource limitations hindered progress on complex issues like drug offenses.</w:t>
                              <w:br/>
                              <w:br/>
                              <w:t>The research demonstrates that community policing's success depends on consistent implementation and tailored approaches to local contexts. Practical recommendations include rotating patrols to underserved areas and targeted youth outreach programs. These findings contribute to ongoing debates about policing strategies in austerity-era Britain, emphasizing the need for sustainable, community-specific solutions.</w:t>
                            </w:r>
                          </w:p>
                        </w:txbxContent>
                      </wps:txbx>
                      <wps:bodyPr lIns="1600200" rIns="685800" tIns="0" bIns="0" anchor="t">
                        <a:noAutofit/>
                      </wps:bodyPr>
                    </wps:wsp>
                  </a:graphicData>
                </a:graphic>
              </wp:anchor>
            </w:drawing>
          </mc:Choice>
          <mc:Fallback>
            <w:pict>
              <v:rect id="shape_0" ID="Shape 7" path="m0,0l-2147483645,0l-2147483645,-2147483646l0,-2147483646xe" stroked="f" o:allowincell="f" style="position:absolute;margin-left:59.45pt;margin-top:491.6pt;width:526.7pt;height:254.5pt;mso-wrap-style:square;v-text-anchor:top;mso-position-horizontal:right;mso-position-horizontal-relative:page;mso-position-vertical-relative:page">
                <v:fill o:detectmouseclick="t" on="false"/>
                <v:stroke color="#3465a4" joinstyle="round" endcap="flat"/>
                <v:textbox>
                  <w:txbxContent>
                    <w:p>
                      <w:pPr>
                        <w:pStyle w:val="FrameContents"/>
                        <w:spacing w:lineRule="exact" w:line="240" w:before="0" w:after="0"/>
                        <w:ind w:hanging="0" w:left="0" w:right="0"/>
                        <w:jc w:val="left"/>
                        <w:rPr/>
                      </w:pPr>
                      <w:r>
                        <w:rPr>
                          <w:rFonts w:eastAsia="Arial" w:cs="Arial"/>
                          <w:b w:val="false"/>
                          <w:i w:val="false"/>
                          <w:caps w:val="false"/>
                          <w:smallCaps w:val="false"/>
                          <w:strike w:val="false"/>
                          <w:dstrike w:val="false"/>
                          <w:color w:val="5B9BD5"/>
                          <w:position w:val="0"/>
                          <w:sz w:val="20"/>
                          <w:sz w:val="20"/>
                          <w:vertAlign w:val="baseline"/>
                        </w:rPr>
                        <w:t>Abstract</w:t>
                      </w:r>
                    </w:p>
                    <w:p>
                      <w:pPr>
                        <w:pStyle w:val="FrameContents"/>
                        <w:spacing w:lineRule="exact" w:line="240" w:before="240" w:after="0"/>
                        <w:ind w:hanging="0" w:left="0" w:right="0"/>
                        <w:jc w:val="left"/>
                        <w:rPr/>
                      </w:pPr>
                      <w:r>
                        <w:rPr>
                          <w:rFonts w:eastAsia="Arial" w:cs="Arial"/>
                          <w:b w:val="false"/>
                          <w:i w:val="false"/>
                          <w:caps w:val="false"/>
                          <w:smallCaps w:val="false"/>
                          <w:strike w:val="false"/>
                          <w:dstrike w:val="false"/>
                          <w:color w:val="000000"/>
                          <w:position w:val="0"/>
                          <w:sz w:val="20"/>
                          <w:sz w:val="20"/>
                          <w:vertAlign w:val="baseline"/>
                        </w:rPr>
                        <w:t>This study evaluates the effectiveness of community policing in Telford, a post-industrial UK town facing high deprivation and strained police relations. Using a mixed-methods approach, it analyzes crime data (2022-2024) alongside resident surveys (n=138), stakeholder interviews (n=8), and focus groups to assess impacts on crime reduction and public trust.</w:t>
                        <w:br/>
                        <w:br/>
                        <w:t>Findings indicate that increased police visibility through foot patrols improved perceptions of safety (58% of residents reported reduced crime) and moderate trust levels (avg. 3.6/5). However, effectiveness varied significantly by neighborhood, with persistent gaps in youth engagement and marginalised communities. While successful against low-level crime, resource limitations hindered progress on complex issues like drug offenses.</w:t>
                        <w:br/>
                        <w:br/>
                        <w:t>The research demonstrates that community policing's success depends on consistent implementation and tailored approaches to local contexts. Practical recommendations include rotating patrols to underserved areas and targeted youth outreach programs. These findings contribute to ongoing debates about policing strategies in austerity-era Britain, emphasizing the need for sustainable, community-specific solutions.</w:t>
                      </w:r>
                    </w:p>
                  </w:txbxContent>
                </v:textbox>
                <w10:wrap type="square"/>
              </v:rect>
            </w:pict>
          </mc:Fallback>
        </mc:AlternateContent>
        <mc:AlternateContent>
          <mc:Choice Requires="wps">
            <w:drawing>
              <wp:anchor behindDoc="0" distT="0" distB="0" distL="114300" distR="113665" simplePos="0" locked="0" layoutInCell="0" allowOverlap="1" relativeHeight="5">
                <wp:simplePos x="0" y="0"/>
                <wp:positionH relativeFrom="page">
                  <wp:posOffset>64135</wp:posOffset>
                </wp:positionH>
                <wp:positionV relativeFrom="page">
                  <wp:posOffset>2792730</wp:posOffset>
                </wp:positionV>
                <wp:extent cx="7279640" cy="2333625"/>
                <wp:effectExtent l="0" t="0" r="0" b="0"/>
                <wp:wrapSquare wrapText="bothSides"/>
                <wp:docPr id="7" name="Shape 2"/>
                <a:graphic xmlns:a="http://schemas.openxmlformats.org/drawingml/2006/main">
                  <a:graphicData uri="http://schemas.microsoft.com/office/word/2010/wordprocessingShape">
                    <wps:wsp>
                      <wps:cNvSpPr/>
                      <wps:spPr>
                        <a:xfrm>
                          <a:off x="0" y="0"/>
                          <a:ext cx="7279560" cy="2333520"/>
                        </a:xfrm>
                        <a:prstGeom prst="rect">
                          <a:avLst/>
                        </a:prstGeom>
                        <a:noFill/>
                        <a:ln w="0">
                          <a:noFill/>
                        </a:ln>
                      </wps:spPr>
                      <wps:style>
                        <a:lnRef idx="0"/>
                        <a:fillRef idx="0"/>
                        <a:effectRef idx="0"/>
                        <a:fontRef idx="minor"/>
                      </wps:style>
                      <wps:txbx>
                        <w:txbxContent>
                          <w:p>
                            <w:pPr>
                              <w:pStyle w:val="FrameContents"/>
                              <w:spacing w:before="0" w:after="160"/>
                              <w:jc w:val="right"/>
                              <w:rPr>
                                <w:color w:themeColor="accent1" w:val="4472C4"/>
                                <w:sz w:val="64"/>
                                <w:szCs w:val="64"/>
                              </w:rPr>
                            </w:pPr>
                            <w:r>
                              <w:rPr>
                                <w:rFonts w:eastAsia="Arial" w:cs="Arial"/>
                                <w:b w:val="false"/>
                                <w:i w:val="false"/>
                                <w:smallCaps/>
                                <w:strike w:val="false"/>
                                <w:dstrike w:val="false"/>
                                <w:color w:themeColor="accent1" w:val="4472C4"/>
                                <w:position w:val="0"/>
                                <w:sz w:val="44"/>
                                <w:sz w:val="44"/>
                                <w:szCs w:val="44"/>
                                <w:vertAlign w:val="baseline"/>
                              </w:rPr>
                              <w:t>Evaluating the Impact of Community Policing on Crime Rates and Police-Community Relationships in Telford</w:t>
                            </w:r>
                          </w:p>
                        </w:txbxContent>
                      </wps:txbx>
                      <wps:bodyPr lIns="1600200" rIns="685800" tIns="0" bIns="0" anchor="b">
                        <a:noAutofit/>
                      </wps:bodyPr>
                    </wps:wsp>
                  </a:graphicData>
                </a:graphic>
              </wp:anchor>
            </w:drawing>
          </mc:Choice>
          <mc:Fallback>
            <w:pict>
              <v:rect id="shape_0" ID="Shape 2" path="m0,0l-2147483645,0l-2147483645,-2147483646l0,-2147483646xe" stroked="f" o:allowincell="f" style="position:absolute;margin-left:5.05pt;margin-top:219.9pt;width:573.15pt;height:183.7pt;mso-wrap-style:square;v-text-anchor:bottom;mso-position-horizontal-relative:page;mso-position-vertical-relative:page">
                <v:fill o:detectmouseclick="t" on="false"/>
                <v:stroke color="#3465a4" joinstyle="round" endcap="flat"/>
                <v:textbox>
                  <w:txbxContent>
                    <w:p>
                      <w:pPr>
                        <w:pStyle w:val="FrameContents"/>
                        <w:spacing w:before="0" w:after="160"/>
                        <w:jc w:val="right"/>
                        <w:rPr>
                          <w:color w:themeColor="accent1" w:val="4472C4"/>
                          <w:sz w:val="64"/>
                          <w:szCs w:val="64"/>
                        </w:rPr>
                      </w:pPr>
                      <w:r>
                        <w:rPr>
                          <w:rFonts w:eastAsia="Arial" w:cs="Arial"/>
                          <w:b w:val="false"/>
                          <w:i w:val="false"/>
                          <w:smallCaps/>
                          <w:strike w:val="false"/>
                          <w:dstrike w:val="false"/>
                          <w:color w:themeColor="accent1" w:val="4472C4"/>
                          <w:position w:val="0"/>
                          <w:sz w:val="44"/>
                          <w:sz w:val="44"/>
                          <w:szCs w:val="44"/>
                          <w:vertAlign w:val="baseline"/>
                        </w:rPr>
                        <w:t>Evaluating the Impact of Community Policing on Crime Rates and Police-Community Relationships in Telford</w:t>
                      </w:r>
                    </w:p>
                  </w:txbxContent>
                </v:textbox>
                <w10:wrap type="square"/>
              </v:rect>
            </w:pict>
          </mc:Fallback>
        </mc:AlternateContent>
      </w:r>
      <w:bookmarkStart w:id="2" w:name="_sdytayzcltgn"/>
      <w:bookmarkStart w:id="3" w:name="_sdytayzcltgn"/>
      <w:bookmarkEnd w:id="3"/>
      <w:r>
        <w:br w:type="page"/>
      </w:r>
    </w:p>
    <w:p>
      <w:pPr>
        <w:pStyle w:val="Heading1"/>
        <w:rPr/>
      </w:pPr>
      <w:r>
        <w:rPr/>
        <w:t xml:space="preserve">ACKNOWLEDGEMENTS </w:t>
      </w:r>
    </w:p>
    <w:p>
      <w:pPr>
        <w:pStyle w:val="normal1"/>
        <w:keepNext w:val="false"/>
        <w:keepLines w:val="false"/>
        <w:pageBreakBefore w:val="false"/>
        <w:widowControl/>
        <w:pBdr/>
        <w:shd w:val="clear" w:fill="FFFFFF"/>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First and foremost, I extend my deepest gratitude to my supervisor, </w:t>
      </w:r>
      <w:r>
        <w:rPr>
          <w:rFonts w:eastAsia="Arial" w:cs="Arial"/>
          <w:b/>
          <w:i w:val="false"/>
          <w:caps w:val="false"/>
          <w:smallCaps w:val="false"/>
          <w:strike w:val="false"/>
          <w:dstrike w:val="false"/>
          <w:color w:val="000000"/>
          <w:position w:val="0"/>
          <w:sz w:val="24"/>
          <w:sz w:val="24"/>
          <w:szCs w:val="24"/>
          <w:u w:val="none"/>
          <w:shd w:fill="auto" w:val="clear"/>
          <w:vertAlign w:val="baseline"/>
        </w:rPr>
        <w:t>Mike Durke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for his unwavering support, patience, and expert guidance throughout this research journey. His insightful feedback and encouragement were instrumental in shaping this dissertation, and I am profoundly grateful for his mentorship.</w:t>
      </w:r>
    </w:p>
    <w:p>
      <w:pPr>
        <w:pStyle w:val="normal1"/>
        <w:keepNext w:val="false"/>
        <w:keepLines w:val="false"/>
        <w:pageBreakBefore w:val="false"/>
        <w:widowControl/>
        <w:pBdr/>
        <w:shd w:val="clear" w:fill="FFFFFF"/>
        <w:spacing w:lineRule="auto" w:line="360" w:before="24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To my dearest </w:t>
      </w:r>
      <w:r>
        <w:rPr>
          <w:rFonts w:eastAsia="Arial" w:cs="Arial"/>
          <w:b/>
          <w:i w:val="false"/>
          <w:caps w:val="false"/>
          <w:smallCaps w:val="false"/>
          <w:strike w:val="false"/>
          <w:dstrike w:val="false"/>
          <w:color w:val="000000"/>
          <w:position w:val="0"/>
          <w:sz w:val="24"/>
          <w:sz w:val="24"/>
          <w:szCs w:val="24"/>
          <w:u w:val="none"/>
          <w:shd w:fill="auto" w:val="clear"/>
          <w:vertAlign w:val="baseline"/>
        </w:rPr>
        <w:t>mum</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my rock and backbone—thank you for your endless sacrifices, prayers, and belief in me, even when I doubted myself. This achievement is as much yours as it is mine.</w:t>
      </w:r>
    </w:p>
    <w:p>
      <w:pPr>
        <w:pStyle w:val="normal1"/>
        <w:keepNext w:val="false"/>
        <w:keepLines w:val="false"/>
        <w:pageBreakBefore w:val="false"/>
        <w:widowControl/>
        <w:pBdr/>
        <w:shd w:val="clear" w:fill="FFFFFF"/>
        <w:spacing w:lineRule="auto" w:line="360" w:before="24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 special thanks to my dear friend </w:t>
      </w:r>
      <w:r>
        <w:rPr>
          <w:rFonts w:eastAsia="Arial" w:cs="Arial"/>
          <w:b/>
          <w:i w:val="false"/>
          <w:caps w:val="false"/>
          <w:smallCaps w:val="false"/>
          <w:strike w:val="false"/>
          <w:dstrike w:val="false"/>
          <w:color w:val="000000"/>
          <w:position w:val="0"/>
          <w:sz w:val="24"/>
          <w:sz w:val="24"/>
          <w:szCs w:val="24"/>
          <w:u w:val="none"/>
          <w:shd w:fill="auto" w:val="clear"/>
          <w:vertAlign w:val="baseline"/>
        </w:rPr>
        <w:t>Emmanuel Adjei-Mensah (Yaw Bogga)</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whose remote assistance in proofreading, moral support, and constant inspiration kept me motivated. Your keen eye for detail and unwavering optimism were invaluable.</w:t>
      </w:r>
    </w:p>
    <w:p>
      <w:pPr>
        <w:pStyle w:val="normal1"/>
        <w:keepNext w:val="false"/>
        <w:keepLines w:val="false"/>
        <w:pageBreakBefore w:val="false"/>
        <w:widowControl/>
        <w:pBdr/>
        <w:shd w:val="clear" w:fill="FFFFFF"/>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FFFFFF"/>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I also acknowledge the </w:t>
      </w:r>
      <w:r>
        <w:rPr>
          <w:rFonts w:eastAsia="Arial" w:cs="Arial"/>
          <w:b/>
          <w:i w:val="false"/>
          <w:caps w:val="false"/>
          <w:smallCaps w:val="false"/>
          <w:strike w:val="false"/>
          <w:dstrike w:val="false"/>
          <w:color w:val="000000"/>
          <w:position w:val="0"/>
          <w:sz w:val="24"/>
          <w:sz w:val="24"/>
          <w:szCs w:val="24"/>
          <w:u w:val="none"/>
          <w:shd w:fill="auto" w:val="clear"/>
          <w:vertAlign w:val="baseline"/>
        </w:rPr>
        <w:t>participants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from Telford—residents, police officers, and community leaders—who generously shared their time and perspectives. Without their contributions, this study would not have been possible.</w:t>
      </w:r>
    </w:p>
    <w:p>
      <w:pPr>
        <w:pStyle w:val="normal1"/>
        <w:keepNext w:val="false"/>
        <w:keepLines w:val="false"/>
        <w:pageBreakBefore w:val="false"/>
        <w:widowControl/>
        <w:pBdr/>
        <w:shd w:val="clear" w:fill="auto"/>
        <w:spacing w:lineRule="auto" w:line="360" w:before="24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Finally, I thank </w:t>
      </w: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UWTSD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for providing the resources and opportunities to undertake this research. Every challenge along the way has been a lesson in resilience and growth.</w:t>
      </w:r>
    </w:p>
    <w:p>
      <w:pPr>
        <w:sectPr>
          <w:footerReference w:type="even" r:id="rId4"/>
          <w:footerReference w:type="default" r:id="rId5"/>
          <w:footerReference w:type="first" r:id="rId6"/>
          <w:type w:val="nextPage"/>
          <w:pgSz w:w="11906" w:h="16838"/>
          <w:pgMar w:left="1440" w:right="1440" w:gutter="0" w:header="0" w:top="1440" w:footer="708" w:bottom="1440"/>
          <w:pgNumType w:start="1" w:fmt="decimal"/>
          <w:formProt w:val="false"/>
          <w:titlePg/>
          <w:textDirection w:val="lrTb"/>
          <w:docGrid w:type="default" w:linePitch="100" w:charSpace="0"/>
        </w:sect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Heading1"/>
        <w:rPr/>
      </w:pPr>
      <w:bookmarkStart w:id="4" w:name="_c4ietmhcauk"/>
      <w:bookmarkEnd w:id="4"/>
      <w:r>
        <w:rPr/>
        <w:t>DECLARATIONS</w:t>
      </w:r>
    </w:p>
    <w:p>
      <w:pPr>
        <w:pStyle w:val="normal1"/>
        <w:jc w:val="both"/>
        <w:rPr/>
      </w:pPr>
      <w:r>
        <w:rPr/>
        <w:t>This work has not previously been accepted in substance for any degree and is not being concurrently submitted in candidature for any degree.</w:t>
      </w:r>
    </w:p>
    <w:p>
      <w:pPr>
        <w:pStyle w:val="normal1"/>
        <w:jc w:val="both"/>
        <w:rPr>
          <w:b/>
        </w:rPr>
      </w:pPr>
      <w:r>
        <w:rPr>
          <w:b/>
        </w:rPr>
        <w:t xml:space="preserve">STATEMENT 1 </w:t>
      </w:r>
    </w:p>
    <w:p>
      <w:pPr>
        <w:pStyle w:val="normal1"/>
        <w:jc w:val="both"/>
        <w:rPr/>
      </w:pPr>
      <w:r>
        <w:rPr/>
        <w:t xml:space="preserve">This dissertation is being submitted in partial fulfilment of the requirements for the degree of BA/BSc. </w:t>
      </w:r>
    </w:p>
    <w:p>
      <w:pPr>
        <w:pStyle w:val="normal1"/>
        <w:jc w:val="both"/>
        <w:rPr>
          <w:b/>
        </w:rPr>
      </w:pPr>
      <w:r>
        <w:rPr>
          <w:b/>
        </w:rPr>
        <w:t xml:space="preserve">STATEMENT 2 </w:t>
      </w:r>
    </w:p>
    <w:p>
      <w:pPr>
        <w:pStyle w:val="normal1"/>
        <w:jc w:val="both"/>
        <w:rPr/>
      </w:pPr>
      <w:r>
        <w:rPr/>
        <w:t xml:space="preserve">This dissertation is the result of my own independent work/investigation, except where otherwise stated. </w:t>
      </w:r>
    </w:p>
    <w:p>
      <w:pPr>
        <w:pStyle w:val="normal1"/>
        <w:jc w:val="both"/>
        <w:rPr/>
      </w:pPr>
      <w:r>
        <w:rPr/>
        <w:t>Other sources are acknowledged in the Reference Section.</w:t>
      </w:r>
    </w:p>
    <w:p>
      <w:pPr>
        <w:pStyle w:val="normal1"/>
        <w:jc w:val="both"/>
        <w:rPr>
          <w:b/>
        </w:rPr>
      </w:pPr>
      <w:r>
        <w:rPr>
          <w:b/>
        </w:rPr>
        <w:t xml:space="preserve">STATEMENT 3 </w:t>
      </w:r>
    </w:p>
    <w:p>
      <w:pPr>
        <w:pStyle w:val="normal1"/>
        <w:jc w:val="both"/>
        <w:rPr/>
      </w:pPr>
      <w:r>
        <w:rPr/>
        <w:t xml:space="preserve">I hereby give consent for my dissertation, if accepted, to be available for photocopying and for interlibrary loan, and for the title and summary to be made available to outside organisations. </w:t>
      </w:r>
    </w:p>
    <w:p>
      <w:pPr>
        <w:pStyle w:val="normal1"/>
        <w:jc w:val="both"/>
        <w:rPr>
          <w:b/>
        </w:rPr>
      </w:pPr>
      <w:r>
        <w:rPr>
          <w:b/>
        </w:rPr>
        <w:t xml:space="preserve">STATEMENT 4 </w:t>
      </w:r>
    </w:p>
    <w:p>
      <w:pPr>
        <w:pStyle w:val="normal1"/>
        <w:jc w:val="both"/>
        <w:rPr/>
      </w:pPr>
      <w:r>
        <w:rPr/>
        <w:t>I hereby give consent for my dissertation, if accepted, to be available on the university’s IT system to those who have consent to use the system.</w:t>
      </w:r>
    </w:p>
    <w:p>
      <w:pPr>
        <w:pStyle w:val="normal1"/>
        <w:jc w:val="both"/>
        <w:rPr/>
      </w:pPr>
      <w:r>
        <w:rPr/>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Student’s Name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i w:val="false"/>
          <w:caps w:val="false"/>
          <w:smallCaps w:val="false"/>
          <w:strike w:val="false"/>
          <w:dstrike w:val="false"/>
          <w:color w:val="000000"/>
          <w:position w:val="0"/>
          <w:sz w:val="24"/>
          <w:sz w:val="24"/>
          <w:szCs w:val="24"/>
          <w:u w:val="none"/>
          <w:shd w:fill="auto" w:val="clear"/>
          <w:vertAlign w:val="baseline"/>
        </w:rPr>
        <w:t>Portia Boateng (2131530)</w:t>
      </w:r>
    </w:p>
    <w:p>
      <w:pPr>
        <w:pStyle w:val="normal1"/>
        <w:jc w:val="both"/>
        <w:rPr/>
      </w:pPr>
      <w:r>
        <w:rPr>
          <w:b/>
        </w:rPr>
        <w:t>Signed:</w:t>
      </w:r>
      <w:r>
        <w:rPr/>
        <w:t xml:space="preserve"> P. B</w:t>
      </w:r>
    </w:p>
    <w:p>
      <w:pPr>
        <w:pStyle w:val="normal1"/>
        <w:jc w:val="both"/>
        <w:rPr>
          <w:b/>
        </w:rPr>
      </w:pPr>
      <w:r>
        <w:rPr>
          <w:b/>
          <w:color w:val="000000"/>
        </w:rPr>
        <w:t>Date:</w:t>
      </w:r>
      <w:r>
        <w:rPr>
          <w:color w:val="000000"/>
        </w:rPr>
        <w:t xml:space="preserve"> 05/05/2025</w:t>
      </w:r>
    </w:p>
    <w:p>
      <w:pPr>
        <w:pStyle w:val="normal1"/>
        <w:rPr>
          <w:b/>
        </w:rPr>
      </w:pPr>
      <w:r>
        <w:rPr>
          <w:b/>
        </w:rPr>
      </w:r>
    </w:p>
    <w:p>
      <w:pPr>
        <w:pStyle w:val="normal1"/>
        <w:rPr>
          <w:b/>
        </w:rPr>
      </w:pPr>
      <w:r>
        <w:rPr>
          <w:b/>
        </w:rPr>
      </w:r>
    </w:p>
    <w:p>
      <w:pPr>
        <w:pStyle w:val="normal1"/>
        <w:rPr>
          <w:b/>
        </w:rPr>
      </w:pPr>
      <w:r>
        <w:rPr>
          <w:b/>
        </w:rPr>
      </w:r>
    </w:p>
    <w:p>
      <w:pPr>
        <w:pStyle w:val="normal1"/>
        <w:rPr>
          <w:b/>
        </w:rPr>
      </w:pPr>
      <w:r>
        <w:rPr>
          <w:b/>
        </w:rPr>
      </w:r>
    </w:p>
    <w:p>
      <w:pPr>
        <w:pStyle w:val="normal1"/>
        <w:rPr/>
      </w:pPr>
      <w:r>
        <w:rPr/>
      </w:r>
    </w:p>
    <w:p>
      <w:pPr>
        <w:pStyle w:val="normal1"/>
        <w:keepNext w:val="true"/>
        <w:keepLines/>
        <w:pageBreakBefore w:val="false"/>
        <w:widowControl/>
        <w:pBdr/>
        <w:shd w:val="clear" w:fill="auto"/>
        <w:tabs>
          <w:tab w:val="clear" w:pos="720"/>
          <w:tab w:val="left" w:pos="1073" w:leader="none"/>
          <w:tab w:val="center" w:pos="4513" w:leader="none"/>
        </w:tabs>
        <w:spacing w:lineRule="auto" w:line="360" w:before="240" w:after="240"/>
        <w:ind w:hanging="0" w:left="0" w:right="0"/>
        <w:jc w:val="center"/>
        <w:rPr>
          <w:rFonts w:ascii="Arial" w:hAnsi="Arial" w:eastAsia="Arial" w:cs="Arial"/>
          <w:b/>
          <w:i w:val="false"/>
          <w:i w:val="false"/>
          <w:caps w:val="false"/>
          <w:smallCaps w:val="false"/>
          <w:strike w:val="false"/>
          <w:dstrike w:val="false"/>
          <w:color w:val="2E75B5"/>
          <w:position w:val="0"/>
          <w:sz w:val="24"/>
          <w:sz w:val="24"/>
          <w:szCs w:val="24"/>
          <w:u w:val="none"/>
          <w:shd w:fill="auto" w:val="clear"/>
          <w:vertAlign w:val="baseline"/>
        </w:rPr>
      </w:pPr>
      <w:r>
        <w:rPr>
          <w:rFonts w:eastAsia="Arial" w:cs="Arial"/>
          <w:b/>
          <w:i w:val="false"/>
          <w:caps w:val="false"/>
          <w:smallCaps w:val="false"/>
          <w:strike w:val="false"/>
          <w:dstrike w:val="false"/>
          <w:color w:val="2E75B5"/>
          <w:position w:val="0"/>
          <w:sz w:val="24"/>
          <w:sz w:val="24"/>
          <w:szCs w:val="24"/>
          <w:u w:val="none"/>
          <w:shd w:fill="auto" w:val="clear"/>
          <w:vertAlign w:val="baseline"/>
        </w:rPr>
        <w:t>TABLE OF CONTENT</w:t>
      </w:r>
    </w:p>
    <w:sdt>
      <w:sdtPr>
        <w:docPartObj>
          <w:docPartGallery w:val="Table of Contents"/>
          <w:docPartUnique w:val="true"/>
        </w:docPartObj>
      </w:sdtPr>
      <w:sdtContent>
        <w:p>
          <w:pPr>
            <w:pStyle w:val="normal1"/>
            <w:keepNext w:val="false"/>
            <w:keepLines w:val="false"/>
            <w:pageBreakBefore w:val="false"/>
            <w:widowControl/>
            <w:pBdr/>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r>
            <w:fldChar w:fldCharType="begin"/>
          </w:r>
          <w:r>
            <w:rPr>
              <w:webHidden/>
              <w:rStyle w:val="IndexLink"/>
              <w:smallCaps w:val="false"/>
              <w:caps w:val="false"/>
              <w:dstrike w:val="false"/>
              <w:strike w:val="false"/>
              <w:vertAlign w:val="baseline"/>
              <w:position w:val="0"/>
              <w:sz w:val="24"/>
              <w:sz w:val="24"/>
              <w:i w:val="false"/>
              <w:u w:val="none"/>
              <w:b w:val="false"/>
              <w:shd w:fill="auto" w:val="clear"/>
              <w:szCs w:val="24"/>
              <w:rFonts w:eastAsia="Arial" w:cs="Arial"/>
              <w:color w:val="000000"/>
            </w:rPr>
            <w:instrText xml:space="preserve"> TOC \z \o "1-9" \u \t "Heading 1,1,Heading 2,2,Heading 3,3" \h</w:instrText>
          </w:r>
          <w:r>
            <w:rPr>
              <w:webHidden/>
              <w:rStyle w:val="IndexLink"/>
              <w:smallCaps w:val="false"/>
              <w:caps w:val="false"/>
              <w:dstrike w:val="false"/>
              <w:strike w:val="false"/>
              <w:vertAlign w:val="baseline"/>
              <w:position w:val="0"/>
              <w:sz w:val="24"/>
              <w:sz w:val="24"/>
              <w:i w:val="false"/>
              <w:u w:val="none"/>
              <w:b w:val="false"/>
              <w:shd w:fill="auto" w:val="clear"/>
              <w:szCs w:val="24"/>
              <w:rFonts w:eastAsia="Arial" w:cs="Arial"/>
              <w:color w:val="000000"/>
            </w:rPr>
            <w:fldChar w:fldCharType="separate"/>
          </w:r>
          <w:hyperlink w:anchor="_2zzd97e2b6w">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ACKNOWLEDGEMENTS</w:t>
              <w:tab/>
              <w:t>i</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c4ietmhcauk">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DECLARATIONS</w:t>
              <w:tab/>
              <w:t>ii</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5oryacnf97fm">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LIST OF TABLES</w:t>
              <w:tab/>
              <w:t>vii</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988q7fbrpqlx">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LIST OF FIGURE</w:t>
              <w:tab/>
              <w:t>viii</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mognwgo1xm7f">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CHAPTER ONE</w:t>
              <w:tab/>
              <w:t>1</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a1y58svznwmi">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INTRODUCTION</w:t>
              <w:tab/>
              <w:t>1</w:t>
            </w:r>
          </w:hyperlink>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aw4728roqtp8">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1.1</w:t>
            </w:r>
          </w:hyperlink>
          <w:hyperlink w:anchor="_aw4728roqtp8">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Background</w:t>
            <w:tab/>
            <w:t>1</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5rcwhkoss0o3">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1.2</w:t>
            </w:r>
          </w:hyperlink>
          <w:hyperlink w:anchor="_5rcwhkoss0o3">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Research Objectives</w:t>
            <w:tab/>
            <w:t>1</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d4mkluk255j1">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1.3</w:t>
            </w:r>
          </w:hyperlink>
          <w:hyperlink w:anchor="_d4mkluk255j1">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Study Scope</w:t>
            <w:tab/>
            <w:t>2</w:t>
          </w:r>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prgqjdvoibcw">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CHAPTER TWO</w:t>
              <w:tab/>
              <w:t>4</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ew2j6doxeef4">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LITERATURE REVIEW</w:t>
              <w:tab/>
              <w:t>4</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6oxp06n2h2ps">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2.1 Objectives</w:t>
              <w:tab/>
              <w:t>4</w:t>
            </w:r>
          </w:hyperlink>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tvpd61nsx16k">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2.2</w:t>
            </w:r>
          </w:hyperlink>
          <w:hyperlink w:anchor="_tvpd61nsx16k">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Theoretical Foundations of Community Policing</w:t>
            <w:tab/>
            <w:t>5</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n0se8vbvy3ua">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2.2.2</w:t>
            </w:r>
          </w:hyperlink>
          <w:hyperlink w:anchor="_n0se8vbvy3ua">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Social Control Theory and Procedural Justice</w:t>
            <w:tab/>
            <w:t>5</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xfetm1eig2nc">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2.2.3</w:t>
            </w:r>
          </w:hyperlink>
          <w:hyperlink w:anchor="_xfetm1eig2nc">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“Broken Windows” Perspective and Its Critique</w:t>
            <w:tab/>
            <w:t>6</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ftkucaqgw7c1">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2.2.4</w:t>
            </w:r>
          </w:hyperlink>
          <w:hyperlink w:anchor="_ftkucaqgw7c1">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Shift to Partnership and Problem-Oriented Models</w:t>
            <w:tab/>
            <w:t>6</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1oafibvw2scd">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2.2.5</w:t>
            </w:r>
          </w:hyperlink>
          <w:hyperlink w:anchor="_1oafibvw2scd">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Critical Evaluation</w:t>
            <w:tab/>
            <w:t>6</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3pu1owvyyjv3">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2.3</w:t>
            </w:r>
          </w:hyperlink>
          <w:hyperlink w:anchor="_3pu1owvyyjv3">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Empirical Evidence from UK and International Case Studies</w:t>
            <w:tab/>
            <w:t>7</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8ghrrm5hba9q">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2.3.2</w:t>
            </w:r>
          </w:hyperlink>
          <w:hyperlink w:anchor="_8ghrrm5hba9q">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UK-Based Evidence</w:t>
            <w:tab/>
            <w:t>7</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2aaplv9z3cry">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2.3.3</w:t>
            </w:r>
          </w:hyperlink>
          <w:hyperlink w:anchor="_2aaplv9z3cry">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Townhill Anti-Burglary Initiative</w:t>
            <w:tab/>
            <w:t>8</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rb43m3r0zvni">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2.3.4</w:t>
            </w:r>
          </w:hyperlink>
          <w:hyperlink w:anchor="_rb43m3r0zvni">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International Perspectives</w:t>
            <w:tab/>
            <w:t>8</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a948tgwc0k9f">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2.3.5</w:t>
            </w:r>
          </w:hyperlink>
          <w:hyperlink w:anchor="_a948tgwc0k9f">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Methodological Considerations</w:t>
            <w:tab/>
            <w:t>8</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y3un4lfp2ycn">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2.3.6</w:t>
            </w:r>
          </w:hyperlink>
          <w:hyperlink w:anchor="_y3un4lfp2ycn">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Relevance to Telford</w:t>
            <w:tab/>
            <w:t>9</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p8x5igtji29">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2.4</w:t>
            </w:r>
          </w:hyperlink>
          <w:hyperlink w:anchor="_p8x5igtji29">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Critiques and Limitations of Community Policing</w:t>
            <w:tab/>
            <w:t>9</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eji6flgbnm6r">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2.4.2</w:t>
            </w:r>
          </w:hyperlink>
          <w:hyperlink w:anchor="_eji6flgbnm6r">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Conceptual and Operational Challenges</w:t>
            <w:tab/>
            <w:t>9</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wwcta1ytcg8">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2.4.3</w:t>
            </w:r>
          </w:hyperlink>
          <w:hyperlink w:anchor="_wwcta1ytcg8">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Sustainability and Resource Constraints</w:t>
            <w:tab/>
            <w:t>10</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kbr0pjtmsfpt">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2.4.4</w:t>
            </w:r>
          </w:hyperlink>
          <w:hyperlink w:anchor="_kbr0pjtmsfpt">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Community Engagement and Representation</w:t>
            <w:tab/>
            <w:t>10</w:t>
          </w:r>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qoof9t7e6n8w">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2.4.5 Measuring Impact and Unintended Consequences</w:t>
              <w:tab/>
              <w:t>10</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3auuegmzwc6e">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2.4.6 The UK Context and the Case of Telford</w:t>
              <w:tab/>
              <w:t>10</w:t>
            </w:r>
          </w:hyperlink>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fuj4qbywlfp8">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2.5</w:t>
            </w:r>
          </w:hyperlink>
          <w:hyperlink w:anchor="_fuj4qbywlfp8">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Summary</w:t>
            <w:tab/>
            <w:t>11</w:t>
          </w:r>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7tsm8pfjv8mp">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CHAPTER THREE</w:t>
              <w:tab/>
              <w:t>12</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g7wsugsvp4x">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METHODOLOGY</w:t>
              <w:tab/>
              <w:t>12</w:t>
            </w:r>
          </w:hyperlink>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6ai4yk5i0e17">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3.1</w:t>
            </w:r>
          </w:hyperlink>
          <w:hyperlink w:anchor="_6ai4yk5i0e17">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Research Philosophy</w:t>
            <w:tab/>
            <w:t>12</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465h7b7k8p42">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3.2</w:t>
            </w:r>
          </w:hyperlink>
          <w:hyperlink w:anchor="_465h7b7k8p42">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Research Approach</w:t>
            <w:tab/>
            <w:t>12</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99nbcxjhna4z">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3.3</w:t>
            </w:r>
          </w:hyperlink>
          <w:hyperlink w:anchor="_99nbcxjhna4z">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Methodological Choice</w:t>
            <w:tab/>
            <w:t>13</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afz5nyharac3">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3.4</w:t>
            </w:r>
          </w:hyperlink>
          <w:hyperlink w:anchor="_afz5nyharac3">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Research Strategy</w:t>
            <w:tab/>
            <w:t>13</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klyh3s7pru7w">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3.5</w:t>
            </w:r>
          </w:hyperlink>
          <w:hyperlink w:anchor="_klyh3s7pru7w">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Time Horizon</w:t>
            <w:tab/>
            <w:t>13</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rptudrkvunzm">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3.6</w:t>
            </w:r>
          </w:hyperlink>
          <w:hyperlink w:anchor="_rptudrkvunzm">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Data Collection Techniques</w:t>
            <w:tab/>
            <w:t>13</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8hdbqm5o1r6p">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3.6.2</w:t>
            </w:r>
          </w:hyperlink>
          <w:hyperlink w:anchor="_8hdbqm5o1r6p">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Primary Data Collection</w:t>
            <w:tab/>
            <w:t>14</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ijvj9xbf5cim">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3.6.3</w:t>
            </w:r>
          </w:hyperlink>
          <w:hyperlink w:anchor="_ijvj9xbf5cim">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Secondary Data Collection</w:t>
            <w:tab/>
            <w:t>14</w:t>
          </w:r>
        </w:p>
        <w:p>
          <w:pPr>
            <w:pStyle w:val="normal1"/>
            <w:keepNext w:val="false"/>
            <w:keepLines w:val="false"/>
            <w:pageBreakBefore w:val="false"/>
            <w:widowControl/>
            <w:pBdr/>
            <w:shd w:val="clear" w:fill="auto"/>
            <w:tabs>
              <w:tab w:val="clear" w:pos="720"/>
              <w:tab w:val="left" w:pos="110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h1b1m1j8k9g3">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3.7</w:t>
            </w:r>
          </w:hyperlink>
          <w:hyperlink w:anchor="_h1b1m1j8k9g3">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Sampling Strategy</w:t>
            <w:tab/>
            <w:t>14</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81ci1lsamtuy">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3.7.2</w:t>
            </w:r>
          </w:hyperlink>
          <w:hyperlink w:anchor="_81ci1lsamtuy">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Sample Size</w:t>
            <w:tab/>
            <w:t>15</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10qlx0qqto2z">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3.7.3</w:t>
            </w:r>
          </w:hyperlink>
          <w:hyperlink w:anchor="_10qlx0qqto2z">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Inclusion and Exclusion Criteria</w:t>
            <w:tab/>
            <w:t>15</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122uustl135h">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3.8</w:t>
            </w:r>
          </w:hyperlink>
          <w:hyperlink w:anchor="_122uustl135h">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Data Analysis</w:t>
            <w:tab/>
            <w:t>15</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miyxbom2v5qb">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3.8.2</w:t>
            </w:r>
          </w:hyperlink>
          <w:hyperlink w:anchor="_miyxbom2v5qb">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Quantitative Data Analysis</w:t>
            <w:tab/>
            <w:t>15</w:t>
          </w:r>
        </w:p>
        <w:p>
          <w:pPr>
            <w:pStyle w:val="normal1"/>
            <w:keepNext w:val="false"/>
            <w:keepLines w:val="false"/>
            <w:pageBreakBefore w:val="false"/>
            <w:widowControl/>
            <w:pBdr/>
            <w:shd w:val="clear" w:fill="auto"/>
            <w:tabs>
              <w:tab w:val="clear" w:pos="720"/>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jvs3r2o07wm7">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3.8.3 Qualitative Data Analysis</w:t>
              <w:tab/>
              <w:t>15</w:t>
            </w:r>
          </w:hyperlink>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kzd3amom89aa">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3.9</w:t>
            </w:r>
          </w:hyperlink>
          <w:hyperlink w:anchor="_kzd3amom89aa">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Ethical Considerations</w:t>
            <w:tab/>
            <w:t>16</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vh6ilw575uf">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3.9.2</w:t>
            </w:r>
          </w:hyperlink>
          <w:hyperlink w:anchor="_vh6ilw575uf">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Informed Consent</w:t>
            <w:tab/>
            <w:t>16</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udwoxh7thx2d">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3.9.3</w:t>
            </w:r>
          </w:hyperlink>
          <w:hyperlink w:anchor="_udwoxh7thx2d">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Anonymity and Confidentiality</w:t>
            <w:tab/>
            <w:t>16</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kwoleoyywk1h">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3.9.4</w:t>
            </w:r>
          </w:hyperlink>
          <w:hyperlink w:anchor="_kwoleoyywk1h">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Minimising Harm</w:t>
            <w:tab/>
            <w:t>16</w:t>
          </w:r>
        </w:p>
        <w:p>
          <w:pPr>
            <w:pStyle w:val="normal1"/>
            <w:keepNext w:val="false"/>
            <w:keepLines w:val="false"/>
            <w:pageBreakBefore w:val="false"/>
            <w:widowControl/>
            <w:pBdr/>
            <w:shd w:val="clear" w:fill="auto"/>
            <w:tabs>
              <w:tab w:val="clear" w:pos="720"/>
              <w:tab w:val="left" w:pos="110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7t9f0t2cilj5">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3.10</w:t>
            </w:r>
          </w:hyperlink>
          <w:hyperlink w:anchor="_7t9f0t2cilj5">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Reliability and Validity</w:t>
            <w:tab/>
            <w:t>16</w:t>
          </w:r>
        </w:p>
        <w:p>
          <w:pPr>
            <w:pStyle w:val="normal1"/>
            <w:keepNext w:val="false"/>
            <w:keepLines w:val="false"/>
            <w:pageBreakBefore w:val="false"/>
            <w:widowControl/>
            <w:pBdr/>
            <w:shd w:val="clear" w:fill="auto"/>
            <w:tabs>
              <w:tab w:val="clear" w:pos="720"/>
              <w:tab w:val="left" w:pos="154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e5std26b5zd6">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3.10.2</w:t>
            </w:r>
          </w:hyperlink>
          <w:hyperlink w:anchor="_e5std26b5zd6">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Reliability</w:t>
            <w:tab/>
            <w:t>16</w:t>
          </w:r>
        </w:p>
        <w:p>
          <w:pPr>
            <w:pStyle w:val="normal1"/>
            <w:keepNext w:val="false"/>
            <w:keepLines w:val="false"/>
            <w:pageBreakBefore w:val="false"/>
            <w:widowControl/>
            <w:pBdr/>
            <w:shd w:val="clear" w:fill="auto"/>
            <w:tabs>
              <w:tab w:val="clear" w:pos="720"/>
              <w:tab w:val="left" w:pos="154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v9dix7f0aila">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3.10.3</w:t>
            </w:r>
          </w:hyperlink>
          <w:hyperlink w:anchor="_v9dix7f0aila">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Validity</w:t>
            <w:tab/>
            <w:t>16</w:t>
          </w:r>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n90sdgcsvc3u">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CHAPTER FOUR</w:t>
              <w:tab/>
              <w:t>18</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nq4vtqe2diuc">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FINDINGS</w:t>
              <w:tab/>
              <w:t>18</w:t>
            </w:r>
          </w:hyperlink>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3w836f4c5f0g">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4.1</w:t>
            </w:r>
          </w:hyperlink>
          <w:hyperlink w:anchor="_3w836f4c5f0g">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Survey Results</w:t>
            <w:tab/>
            <w:t>18</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59pi7v1lt5oi">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4.1.1</w:t>
            </w:r>
          </w:hyperlink>
          <w:hyperlink w:anchor="_59pi7v1lt5oi">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Respondent Demographics</w:t>
            <w:tab/>
            <w:t>18</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fbzpkwz1d3gr">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4.1.2</w:t>
            </w:r>
          </w:hyperlink>
          <w:hyperlink w:anchor="_fbzpkwz1d3gr">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Awareness of Community Policing</w:t>
            <w:tab/>
            <w:t>19</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sbi0kn13o84o">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4.1.3</w:t>
            </w:r>
          </w:hyperlink>
          <w:hyperlink w:anchor="_sbi0kn13o84o">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Perceived Impact on Crime Reduction</w:t>
            <w:tab/>
            <w:t>19</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uhmla3kafjxy">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4.1.4</w:t>
            </w:r>
          </w:hyperlink>
          <w:hyperlink w:anchor="_uhmla3kafjxy">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Trust in Local Police</w:t>
            <w:tab/>
            <w:t>20</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ylkehnt1tyj0">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4.1.5</w:t>
            </w:r>
          </w:hyperlink>
          <w:hyperlink w:anchor="_ylkehnt1tyj0">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Summary of Survey Findings</w:t>
            <w:tab/>
            <w:t>21</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6dw7kkr0bta2">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4.2</w:t>
            </w:r>
          </w:hyperlink>
          <w:hyperlink w:anchor="_6dw7kkr0bta2">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Interview and Focus Group Results</w:t>
            <w:tab/>
            <w:t>21</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xih1eaic69rm">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4.2.1</w:t>
            </w:r>
          </w:hyperlink>
          <w:hyperlink w:anchor="_xih1eaic69rm">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Theme 1: Police Visibility and Accessibility</w:t>
            <w:tab/>
            <w:t>21</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gt8uf1kdd33y">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4.2.2</w:t>
            </w:r>
          </w:hyperlink>
          <w:hyperlink w:anchor="_gt8uf1kdd33y">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Theme 2: Trust and Communication</w:t>
            <w:tab/>
            <w:t>22</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p3n4wy6yt7rf">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4.2.3</w:t>
            </w:r>
          </w:hyperlink>
          <w:hyperlink w:anchor="_p3n4wy6yt7rf">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Theme 3: Perceived Impact on Crime Prevention</w:t>
            <w:tab/>
            <w:t>22</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igrm9zn4mjwp">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4.3</w:t>
            </w:r>
          </w:hyperlink>
          <w:hyperlink w:anchor="_igrm9zn4mjwp">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Limitations of the Study</w:t>
            <w:tab/>
            <w:t>23</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hdv1k1gurhpo">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4.4</w:t>
            </w:r>
          </w:hyperlink>
          <w:hyperlink w:anchor="_hdv1k1gurhpo">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Summary of Key Findings</w:t>
            <w:tab/>
            <w:t>24</w:t>
          </w:r>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hhlndxv5w4rm">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CHAPTER 5</w:t>
              <w:tab/>
              <w:t>25</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l0or7kl5th5d">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DISCUSSION AND CONCLUSION</w:t>
              <w:tab/>
              <w:t>25</w:t>
            </w:r>
          </w:hyperlink>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vds40wpzaqsj">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5.1</w:t>
            </w:r>
          </w:hyperlink>
          <w:hyperlink w:anchor="_vds40wpzaqsj">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Discussion of Key Findings</w:t>
            <w:tab/>
            <w:t>25</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mm714v8ybhtt">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5.1.1</w:t>
            </w:r>
          </w:hyperlink>
          <w:hyperlink w:anchor="_mm714v8ybhtt">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Crime Reduction: Quantitative-Qualitative Synthesis</w:t>
            <w:tab/>
            <w:t>25</w:t>
          </w:r>
        </w:p>
        <w:p>
          <w:pPr>
            <w:pStyle w:val="normal1"/>
            <w:keepNext w:val="false"/>
            <w:keepLines w:val="false"/>
            <w:pageBreakBefore w:val="false"/>
            <w:widowControl/>
            <w:pBdr/>
            <w:shd w:val="clear" w:fill="auto"/>
            <w:tabs>
              <w:tab w:val="clear" w:pos="720"/>
              <w:tab w:val="left" w:pos="1320" w:leader="none"/>
              <w:tab w:val="right" w:pos="9016" w:leader="dot"/>
            </w:tabs>
            <w:spacing w:lineRule="auto" w:line="360" w:before="0" w:after="100"/>
            <w:ind w:hanging="0" w:left="44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5lp5h0z4f2av">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5.1.2</w:t>
            </w:r>
          </w:hyperlink>
          <w:hyperlink w:anchor="_5lp5h0z4f2av">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Trust-Building: Methodological Insights</w:t>
            <w:tab/>
            <w:t>25</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8rwuw3ut5q">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5.2</w:t>
            </w:r>
          </w:hyperlink>
          <w:hyperlink w:anchor="_8rwuw3ut5q">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Theoretical and Policy Implications</w:t>
            <w:tab/>
            <w:t>25</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x5hjabl7ixwk">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5.4</w:t>
            </w:r>
          </w:hyperlink>
          <w:hyperlink w:anchor="_x5hjabl7ixwk">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Limitations as Methodological Reflections</w:t>
            <w:tab/>
            <w:t>26</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sa80pehskrn7">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5.5</w:t>
            </w:r>
          </w:hyperlink>
          <w:hyperlink w:anchor="_sa80pehskrn7">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Recommendations</w:t>
            <w:tab/>
            <w:t>26</w:t>
          </w:r>
        </w:p>
        <w:p>
          <w:pPr>
            <w:pStyle w:val="normal1"/>
            <w:keepNext w:val="false"/>
            <w:keepLines w:val="false"/>
            <w:pageBreakBefore w:val="false"/>
            <w:widowControl/>
            <w:pBdr/>
            <w:shd w:val="clear" w:fill="auto"/>
            <w:tabs>
              <w:tab w:val="clear" w:pos="720"/>
              <w:tab w:val="left" w:pos="880" w:leader="none"/>
              <w:tab w:val="right" w:pos="9016" w:leader="dot"/>
            </w:tabs>
            <w:spacing w:lineRule="auto" w:line="360" w:before="0" w:after="100"/>
            <w:ind w:hanging="0" w:left="22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osdarz2bmhye">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5.6</w:t>
            </w:r>
          </w:hyperlink>
          <w:hyperlink w:anchor="_osdarz2bmhye">
            <w:r>
              <w:rPr>
                <w:webHidden/>
                <w:rStyle w:val="IndexLink"/>
                <w:rFonts w:eastAsia="Calibri" w:cs="Calibri" w:ascii="Calibri" w:hAnsi="Calibri"/>
                <w:b w:val="false"/>
                <w:i w:val="false"/>
                <w:caps w:val="false"/>
                <w:smallCaps w:val="false"/>
                <w:strike w:val="false"/>
                <w:dstrike w:val="false"/>
                <w:color w:val="000000"/>
                <w:position w:val="0"/>
                <w:sz w:val="22"/>
                <w:sz w:val="22"/>
                <w:szCs w:val="22"/>
                <w:u w:val="none"/>
                <w:shd w:fill="auto" w:val="clear"/>
                <w:vertAlign w:val="baseline"/>
              </w:rPr>
              <w:tab/>
            </w:r>
          </w:hyperlink>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Conclusion</w:t>
            <w:tab/>
            <w:t>26</w:t>
          </w:r>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3e183u3tphss">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REFERENCES</w:t>
              <w:tab/>
              <w:t>27</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ocvrg6mm50zk">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Appendix A – Survey Questionnaire</w:t>
              <w:tab/>
              <w:t>30</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4clkirubuw1a">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Appendix B – Semi-Structured Interview Guide</w:t>
              <w:tab/>
              <w:t>33</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u0pg5v48x6lp">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Appendix C – Focus Group Discussion Guide</w:t>
              <w:tab/>
              <w:t>35</w:t>
            </w:r>
          </w:hyperlink>
        </w:p>
        <w:p>
          <w:pPr>
            <w:pStyle w:val="normal1"/>
            <w:keepNext w:val="false"/>
            <w:keepLines w:val="false"/>
            <w:pageBreakBefore w:val="false"/>
            <w:widowControl/>
            <w:pBdr/>
            <w:shd w:val="clear" w:fill="auto"/>
            <w:tabs>
              <w:tab w:val="clear" w:pos="720"/>
              <w:tab w:val="right" w:pos="9016" w:leader="none"/>
            </w:tabs>
            <w:spacing w:lineRule="auto" w:line="360" w:before="0" w:after="10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ertppdrxgh6i">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Appendix D – Fieldwork Summary</w:t>
              <w:tab/>
              <w:t>37</w:t>
            </w:r>
          </w:hyperlink>
          <w:r>
            <w:rPr>
              <w:rStyle w:val="IndexLink"/>
              <w:smallCaps w:val="false"/>
              <w:caps w:val="false"/>
              <w:dstrike w:val="false"/>
              <w:strike w:val="false"/>
              <w:vertAlign w:val="baseline"/>
              <w:position w:val="0"/>
              <w:sz w:val="24"/>
              <w:sz w:val="24"/>
              <w:i w:val="false"/>
              <w:u w:val="none"/>
              <w:b w:val="false"/>
              <w:shd w:fill="auto" w:val="clear"/>
              <w:szCs w:val="24"/>
              <w:rFonts w:eastAsia="Arial" w:cs="Arial"/>
              <w:color w:val="000000"/>
            </w:rPr>
            <w:fldChar w:fldCharType="end"/>
          </w:r>
        </w:p>
      </w:sdtContent>
    </w:sdt>
    <w:p>
      <w:pPr>
        <w:sectPr>
          <w:footerReference w:type="even" r:id="rId7"/>
          <w:footerReference w:type="default" r:id="rId8"/>
          <w:footerReference w:type="first" r:id="rId9"/>
          <w:type w:val="nextPage"/>
          <w:pgSz w:w="11906" w:h="16838"/>
          <w:pgMar w:left="1440" w:right="1440" w:gutter="0" w:header="0" w:top="1440" w:footer="708" w:bottom="1440"/>
          <w:pgNumType w:fmt="decimal"/>
          <w:formProt w:val="false"/>
          <w:titlePg/>
          <w:textDirection w:val="lrTb"/>
          <w:docGrid w:type="default" w:linePitch="100" w:charSpace="0"/>
        </w:sectPr>
        <w:pStyle w:val="normal1"/>
        <w:rPr>
          <w:b/>
        </w:rPr>
      </w:pPr>
      <w:r>
        <w:rPr>
          <w:b/>
        </w:rPr>
      </w:r>
    </w:p>
    <w:p>
      <w:pPr>
        <w:pStyle w:val="Heading1"/>
        <w:rPr/>
      </w:pPr>
      <w:bookmarkStart w:id="5" w:name="_5oryacnf97fm"/>
      <w:bookmarkEnd w:id="5"/>
      <w:r>
        <w:rPr/>
        <w:t>LIST OF TABLES</w:t>
      </w:r>
    </w:p>
    <w:sdt>
      <w:sdtPr>
        <w:docPartObj>
          <w:docPartGallery w:val="Table of Contents"/>
          <w:docPartUnique w:val="true"/>
        </w:docPartObj>
      </w:sdtPr>
      <w:sdtContent>
        <w:p>
          <w:pPr>
            <w:pStyle w:val="normal1"/>
            <w:keepNext w:val="false"/>
            <w:keepLines w:val="false"/>
            <w:pageBreakBefore w:val="false"/>
            <w:widowControl/>
            <w:pBdr/>
            <w:tabs>
              <w:tab w:val="clear" w:pos="720"/>
              <w:tab w:val="right" w:pos="9016" w:leader="none"/>
            </w:tabs>
            <w:spacing w:lineRule="auto" w:line="360" w:before="0" w:after="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r>
            <w:fldChar w:fldCharType="begin"/>
          </w:r>
          <w:r>
            <w:rPr>
              <w:webHidden/>
              <w:rStyle w:val="IndexLink"/>
              <w:smallCaps w:val="false"/>
              <w:caps w:val="false"/>
              <w:dstrike w:val="false"/>
              <w:strike w:val="false"/>
              <w:vertAlign w:val="baseline"/>
              <w:position w:val="0"/>
              <w:sz w:val="24"/>
              <w:sz w:val="24"/>
              <w:i w:val="false"/>
              <w:u w:val="none"/>
              <w:b w:val="false"/>
              <w:shd w:fill="auto" w:val="clear"/>
              <w:szCs w:val="24"/>
              <w:rFonts w:eastAsia="Arial" w:cs="Arial"/>
              <w:color w:val="000000"/>
            </w:rPr>
            <w:instrText xml:space="preserve"> TOC \z \o "1-9" \u \t "Heading 1,1,Heading 2,2,Heading 3,3,Heading 4,4,Heading 5,5,Heading 6,6" \h</w:instrText>
          </w:r>
          <w:r>
            <w:rPr>
              <w:webHidden/>
              <w:rStyle w:val="IndexLink"/>
              <w:smallCaps w:val="false"/>
              <w:caps w:val="false"/>
              <w:dstrike w:val="false"/>
              <w:strike w:val="false"/>
              <w:vertAlign w:val="baseline"/>
              <w:position w:val="0"/>
              <w:sz w:val="24"/>
              <w:sz w:val="24"/>
              <w:i w:val="false"/>
              <w:u w:val="none"/>
              <w:b w:val="false"/>
              <w:shd w:fill="auto" w:val="clear"/>
              <w:szCs w:val="24"/>
              <w:rFonts w:eastAsia="Arial" w:cs="Arial"/>
              <w:color w:val="000000"/>
            </w:rPr>
            <w:fldChar w:fldCharType="separate"/>
          </w:r>
          <w:hyperlink w:anchor="_gswmuw99hfvk">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Table 1.  Age Distribution of Respondents</w:t>
              <w:tab/>
              <w:t>18</w:t>
            </w:r>
          </w:hyperlink>
        </w:p>
        <w:p>
          <w:pPr>
            <w:pStyle w:val="normal1"/>
            <w:keepNext w:val="false"/>
            <w:keepLines w:val="false"/>
            <w:pageBreakBefore w:val="false"/>
            <w:widowControl/>
            <w:pBdr/>
            <w:shd w:val="clear" w:fill="auto"/>
            <w:tabs>
              <w:tab w:val="clear" w:pos="720"/>
              <w:tab w:val="right" w:pos="9016" w:leader="none"/>
            </w:tabs>
            <w:spacing w:lineRule="auto" w:line="360" w:before="0" w:after="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r8naeebhmb04">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Table 2. Gender Breakdown of Respondents</w:t>
              <w:tab/>
              <w:t>19</w:t>
            </w:r>
          </w:hyperlink>
        </w:p>
        <w:p>
          <w:pPr>
            <w:pStyle w:val="normal1"/>
            <w:keepNext w:val="false"/>
            <w:keepLines w:val="false"/>
            <w:pageBreakBefore w:val="false"/>
            <w:widowControl/>
            <w:pBdr/>
            <w:shd w:val="clear" w:fill="auto"/>
            <w:tabs>
              <w:tab w:val="clear" w:pos="720"/>
              <w:tab w:val="right" w:pos="9016" w:leader="none"/>
            </w:tabs>
            <w:spacing w:lineRule="auto" w:line="360" w:before="0" w:after="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8lpz8p79376w">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Table 3. Awareness of Initiatives</w:t>
              <w:tab/>
              <w:t>19</w:t>
            </w:r>
          </w:hyperlink>
        </w:p>
        <w:p>
          <w:pPr>
            <w:pStyle w:val="normal1"/>
            <w:keepNext w:val="false"/>
            <w:keepLines w:val="false"/>
            <w:pageBreakBefore w:val="false"/>
            <w:widowControl/>
            <w:pBdr/>
            <w:shd w:val="clear" w:fill="auto"/>
            <w:tabs>
              <w:tab w:val="clear" w:pos="720"/>
              <w:tab w:val="right" w:pos="9016" w:leader="none"/>
            </w:tabs>
            <w:spacing w:lineRule="auto" w:line="360" w:before="0" w:after="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hyperlink w:anchor="_fdnkvdjsoj2g">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Table 4. Perceived Impact on Crime Rates</w:t>
              <w:tab/>
              <w:t>20</w:t>
            </w:r>
          </w:hyperlink>
          <w:r>
            <w:rPr>
              <w:rStyle w:val="IndexLink"/>
              <w:smallCaps w:val="false"/>
              <w:caps w:val="false"/>
              <w:dstrike w:val="false"/>
              <w:strike w:val="false"/>
              <w:vertAlign w:val="baseline"/>
              <w:position w:val="0"/>
              <w:sz w:val="24"/>
              <w:sz w:val="24"/>
              <w:i w:val="false"/>
              <w:u w:val="none"/>
              <w:b w:val="false"/>
              <w:shd w:fill="auto" w:val="clear"/>
              <w:szCs w:val="24"/>
              <w:rFonts w:eastAsia="Arial" w:cs="Arial"/>
              <w:color w:val="000000"/>
            </w:rPr>
            <w:fldChar w:fldCharType="end"/>
          </w:r>
        </w:p>
        <w:p>
          <w:pPr>
            <w:sectPr>
              <w:footerReference w:type="even" r:id="rId10"/>
              <w:footerReference w:type="default" r:id="rId11"/>
              <w:footerReference w:type="first" r:id="rId12"/>
              <w:type w:val="nextPage"/>
              <w:pgSz w:w="11906" w:h="16838"/>
              <w:pgMar w:left="1440" w:right="1440" w:gutter="0" w:header="0" w:top="1440" w:footer="708" w:bottom="1440"/>
              <w:pgNumType w:fmt="decimal"/>
              <w:formProt w:val="false"/>
              <w:titlePg/>
              <w:textDirection w:val="lrTb"/>
              <w:docGrid w:type="default" w:linePitch="100" w:charSpace="0"/>
            </w:sectPr>
          </w:pPr>
        </w:p>
      </w:sdtContent>
    </w:sdt>
    <w:p>
      <w:pPr>
        <w:pStyle w:val="Heading1"/>
        <w:rPr/>
      </w:pPr>
      <w:bookmarkStart w:id="6" w:name="_988q7fbrpqlx"/>
      <w:bookmarkEnd w:id="6"/>
      <w:r>
        <w:rPr/>
        <w:t>LIST OF FIGURE</w:t>
      </w:r>
    </w:p>
    <w:sdt>
      <w:sdtPr>
        <w:docPartObj>
          <w:docPartGallery w:val="Table of Contents"/>
          <w:docPartUnique w:val="true"/>
        </w:docPartObj>
      </w:sdtPr>
      <w:sdtContent>
        <w:p>
          <w:pPr>
            <w:pStyle w:val="normal1"/>
            <w:keepNext w:val="false"/>
            <w:keepLines w:val="false"/>
            <w:pageBreakBefore w:val="false"/>
            <w:widowControl/>
            <w:pBdr/>
            <w:tabs>
              <w:tab w:val="clear" w:pos="720"/>
              <w:tab w:val="right" w:pos="9016" w:leader="none"/>
            </w:tabs>
            <w:spacing w:lineRule="auto" w:line="360" w:before="0" w:after="0"/>
            <w:ind w:hanging="0" w:left="0" w:right="0"/>
            <w:jc w:val="left"/>
            <w:rPr>
              <w:rFonts w:ascii="Calibri" w:hAnsi="Calibri" w:eastAsia="Calibri" w:cs="Calibri"/>
              <w:b w:val="false"/>
              <w:i w:val="false"/>
              <w:i w:val="false"/>
              <w:caps w:val="false"/>
              <w:smallCaps w:val="false"/>
              <w:strike w:val="false"/>
              <w:dstrike w:val="false"/>
              <w:color w:val="000000"/>
              <w:position w:val="0"/>
              <w:sz w:val="22"/>
              <w:sz w:val="22"/>
              <w:szCs w:val="22"/>
              <w:u w:val="none"/>
              <w:shd w:fill="auto" w:val="clear"/>
              <w:vertAlign w:val="baseline"/>
            </w:rPr>
          </w:pPr>
          <w:r>
            <w:fldChar w:fldCharType="begin"/>
          </w:r>
          <w:r>
            <w:rPr>
              <w:rStyle w:val="IndexLink"/>
              <w:smallCaps w:val="false"/>
              <w:caps w:val="false"/>
              <w:dstrike w:val="false"/>
              <w:strike w:val="false"/>
              <w:vertAlign w:val="baseline"/>
              <w:position w:val="0"/>
              <w:sz w:val="24"/>
              <w:sz w:val="24"/>
              <w:i w:val="false"/>
              <w:u w:val="none"/>
              <w:b w:val="false"/>
              <w:shd w:fill="auto" w:val="clear"/>
              <w:szCs w:val="24"/>
              <w:rFonts w:eastAsia="Arial" w:cs="Arial"/>
              <w:color w:val="000000"/>
            </w:rPr>
            <w:instrText xml:space="preserve"> TOC \z \o "1-9" \u \t "Heading 1,1,Heading 2,2,Heading 3,3,Heading 4,4,Heading 5,5,Heading 6,6" \h</w:instrText>
          </w:r>
          <w:r>
            <w:rPr>
              <w:rStyle w:val="IndexLink"/>
              <w:smallCaps w:val="false"/>
              <w:caps w:val="false"/>
              <w:dstrike w:val="false"/>
              <w:strike w:val="false"/>
              <w:vertAlign w:val="baseline"/>
              <w:position w:val="0"/>
              <w:sz w:val="24"/>
              <w:sz w:val="24"/>
              <w:i w:val="false"/>
              <w:u w:val="none"/>
              <w:b w:val="false"/>
              <w:shd w:fill="auto" w:val="clear"/>
              <w:szCs w:val="24"/>
              <w:rFonts w:eastAsia="Arial" w:cs="Arial"/>
              <w:color w:val="000000"/>
            </w:rPr>
            <w:fldChar w:fldCharType="separate"/>
          </w:r>
          <w:hyperlink w:anchor="_z2pk7qmaw0eu">
            <w:r>
              <w:rPr>
                <w:webHidden/>
                <w:rStyle w:val="IndexLink"/>
                <w:rFonts w:eastAsia="Arial" w:cs="Arial"/>
                <w:b w:val="false"/>
                <w:i w:val="false"/>
                <w:caps w:val="false"/>
                <w:smallCaps w:val="false"/>
                <w:strike w:val="false"/>
                <w:dstrike w:val="false"/>
                <w:color w:val="000000"/>
                <w:position w:val="0"/>
                <w:sz w:val="24"/>
                <w:sz w:val="24"/>
                <w:szCs w:val="24"/>
                <w:u w:val="none"/>
                <w:shd w:fill="auto" w:val="clear"/>
                <w:vertAlign w:val="baseline"/>
              </w:rPr>
              <w:t>Figure 1. Trust in Police (Rating 1 to 5)</w:t>
              <w:tab/>
              <w:t>20</w:t>
            </w:r>
          </w:hyperlink>
          <w:r>
            <w:rPr>
              <w:rStyle w:val="IndexLink"/>
              <w:smallCaps w:val="false"/>
              <w:caps w:val="false"/>
              <w:dstrike w:val="false"/>
              <w:strike w:val="false"/>
              <w:vertAlign w:val="baseline"/>
              <w:position w:val="0"/>
              <w:sz w:val="24"/>
              <w:sz w:val="24"/>
              <w:i w:val="false"/>
              <w:u w:val="none"/>
              <w:b w:val="false"/>
              <w:shd w:fill="auto" w:val="clear"/>
              <w:szCs w:val="24"/>
              <w:rFonts w:eastAsia="Arial" w:cs="Arial"/>
              <w:color w:val="000000"/>
            </w:rPr>
            <w:fldChar w:fldCharType="end"/>
          </w:r>
        </w:p>
        <w:p>
          <w:pPr>
            <w:sectPr>
              <w:footerReference w:type="even" r:id="rId13"/>
              <w:footerReference w:type="default" r:id="rId14"/>
              <w:footerReference w:type="first" r:id="rId15"/>
              <w:type w:val="nextPage"/>
              <w:pgSz w:w="11906" w:h="16838"/>
              <w:pgMar w:left="1440" w:right="1440" w:gutter="0" w:header="0" w:top="1440" w:footer="708" w:bottom="1440"/>
              <w:pgNumType w:fmt="decimal"/>
              <w:formProt w:val="false"/>
              <w:titlePg/>
              <w:textDirection w:val="lrTb"/>
              <w:docGrid w:type="default" w:linePitch="100" w:charSpace="0"/>
            </w:sectPr>
          </w:pPr>
        </w:p>
      </w:sdtContent>
    </w:sdt>
    <w:p>
      <w:pPr>
        <w:pStyle w:val="Heading1"/>
        <w:rPr/>
      </w:pPr>
      <w:bookmarkStart w:id="7" w:name="_mognwgo1xm7f"/>
      <w:bookmarkEnd w:id="7"/>
      <w:r>
        <w:rPr/>
        <w:t>CHAPTER ONE</w:t>
      </w:r>
    </w:p>
    <w:p>
      <w:pPr>
        <w:pStyle w:val="Heading1"/>
        <w:rPr/>
      </w:pPr>
      <w:bookmarkStart w:id="8" w:name="_a1y58svznwmi"/>
      <w:bookmarkEnd w:id="8"/>
      <w:r>
        <w:rPr/>
        <w:t>INTRODUCTION</w:t>
      </w:r>
    </w:p>
    <w:p>
      <w:pPr>
        <w:pStyle w:val="Heading2"/>
        <w:rPr/>
      </w:pPr>
      <w:bookmarkStart w:id="9" w:name="_aw4728roqtp8"/>
      <w:bookmarkEnd w:id="9"/>
      <w:r>
        <w:rPr/>
        <w:t>1.1</w:t>
        <w:tab/>
        <w:t>Background</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Policing in the UK has undergone significant transformation in recent decades, moving from traditional reactive models towards proactive, community-oriented approaches (College of Policing, 2024). Traditional policing, characterised by incident response and deterrence through visibility, has proven ineffective at addressing root causes of crime such as social inequality—a challenge acutely felt in post-industrial towns like Telford (Skogan &amp; Frydl, 2004). This limitation has eroded public trust, particularly in communities where policing is perceived as detached or oppressive (Bradford et al., 2017).</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Community policing has emerged as a promising alternative, emphasising partnership-building and local problem-solving. The approach aligns with the UK's Neighbourhood Policing Framework, which prioritises visibility, engagement and tailored interventions (College of Policing, 2024). Evidence from initiatives like the Townhill Anti-Burglary Programme demonstrates its potential—burglary rates fell by 30% through patrols and community collaboration (Smith, 2020). However, success remains context-dependent; resource constraints and historic distrust in diverse communities pose significant challenges (Modise, 2023).</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Telford represents a critical case study for examining these dynamics. As a town grappling with:</w:t>
      </w:r>
    </w:p>
    <w:p>
      <w:pPr>
        <w:pStyle w:val="normal1"/>
        <w:keepNext w:val="false"/>
        <w:keepLines w:val="false"/>
        <w:pageBreakBefore w:val="false"/>
        <w:widowControl/>
        <w:numPr>
          <w:ilvl w:val="0"/>
          <w:numId w:val="9"/>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Above-average deprivation indices (ONS, 2023)  </w:t>
      </w:r>
    </w:p>
    <w:p>
      <w:pPr>
        <w:pStyle w:val="normal1"/>
        <w:keepNext w:val="false"/>
        <w:keepLines w:val="false"/>
        <w:pageBreakBefore w:val="false"/>
        <w:widowControl/>
        <w:numPr>
          <w:ilvl w:val="0"/>
          <w:numId w:val="9"/>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Rising antisocial behaviour (West Mercia Police, 2024)  </w:t>
      </w:r>
    </w:p>
    <w:p>
      <w:pPr>
        <w:pStyle w:val="normal1"/>
        <w:keepNext w:val="false"/>
        <w:keepLines w:val="false"/>
        <w:pageBreakBefore w:val="false"/>
        <w:widowControl/>
        <w:numPr>
          <w:ilvl w:val="0"/>
          <w:numId w:val="9"/>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Strained police relations following austerity cuts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It epitomises the complex environments where community policing must deliver. This study therefore investigates whether the model can overcome contextual barriers to reduce crime and rebuild trust in comparable UK towns.</w:t>
      </w:r>
    </w:p>
    <w:p>
      <w:pPr>
        <w:pStyle w:val="Heading2"/>
        <w:rPr/>
      </w:pPr>
      <w:bookmarkStart w:id="10" w:name="_5rcwhkoss0o3"/>
      <w:bookmarkEnd w:id="10"/>
      <w:r>
        <w:rPr/>
        <w:t>1.2</w:t>
        <w:tab/>
        <w:t>Research Objectives</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Aligned with the background gaps, this study aims to: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1. Quantify community policing's impact on crime rates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Analyse police-recorded crime data (2022-2024) to identify trends correlated with Telford's neighbourhood policing rollout.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2. Evaluate police-community relationship dynamics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Through surveys and interviews, assess how initiatives affect:  </w:t>
      </w:r>
    </w:p>
    <w:p>
      <w:pPr>
        <w:pStyle w:val="normal1"/>
        <w:keepNext w:val="false"/>
        <w:keepLines w:val="false"/>
        <w:pageBreakBefore w:val="false"/>
        <w:widowControl/>
        <w:numPr>
          <w:ilvl w:val="0"/>
          <w:numId w:val="10"/>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Trust levels (rated 1-5 scale)  </w:t>
      </w:r>
    </w:p>
    <w:p>
      <w:pPr>
        <w:pStyle w:val="normal1"/>
        <w:keepNext w:val="false"/>
        <w:keepLines w:val="false"/>
        <w:pageBreakBefore w:val="false"/>
        <w:widowControl/>
        <w:numPr>
          <w:ilvl w:val="0"/>
          <w:numId w:val="10"/>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Willingness to cooperate with officers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3. Identify context-specific success factor</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s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Examine how Telford's socio-economic profile influences outcomes through stakeholder perspectives.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4. Develop targeted recommendations</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Propose evidence-based strategies for:  </w:t>
      </w:r>
    </w:p>
    <w:p>
      <w:pPr>
        <w:pStyle w:val="normal1"/>
        <w:keepNext w:val="false"/>
        <w:keepLines w:val="false"/>
        <w:pageBreakBefore w:val="false"/>
        <w:widowControl/>
        <w:numPr>
          <w:ilvl w:val="0"/>
          <w:numId w:val="11"/>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Resource allocation  </w:t>
      </w:r>
    </w:p>
    <w:p>
      <w:pPr>
        <w:pStyle w:val="normal1"/>
        <w:keepNext w:val="false"/>
        <w:keepLines w:val="false"/>
        <w:pageBreakBefore w:val="false"/>
        <w:widowControl/>
        <w:numPr>
          <w:ilvl w:val="0"/>
          <w:numId w:val="11"/>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Marginalised group engagement  </w:t>
      </w:r>
    </w:p>
    <w:p>
      <w:pPr>
        <w:pStyle w:val="Heading2"/>
        <w:rPr/>
      </w:pPr>
      <w:bookmarkStart w:id="11" w:name="_d4mkluk255j1"/>
      <w:bookmarkEnd w:id="11"/>
      <w:r>
        <w:rPr/>
        <w:t>1.3</w:t>
        <w:tab/>
        <w:t>Study Scope</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This research employs a mixed-methods design to capture both statistical trends and lived experiences across Telford's diverse neighbourhoods. The five-chapter structure comprises:  </w:t>
      </w:r>
    </w:p>
    <w:p>
      <w:pPr>
        <w:pStyle w:val="normal1"/>
        <w:keepNext w:val="false"/>
        <w:keepLines w:val="false"/>
        <w:pageBreakBefore w:val="false"/>
        <w:widowControl/>
        <w:numPr>
          <w:ilvl w:val="0"/>
          <w:numId w:val="39"/>
        </w:numPr>
        <w:pBdr/>
        <w:shd w:val="clear" w:fill="auto"/>
        <w:tabs>
          <w:tab w:val="clear" w:pos="720"/>
          <w:tab w:val="left" w:pos="0" w:leader="none"/>
        </w:tabs>
        <w:spacing w:lineRule="auto" w:line="360" w:before="0" w:after="140"/>
        <w:ind w:hanging="360" w:left="720" w:right="0"/>
        <w:jc w:val="both"/>
        <w:rPr>
          <w:b w:val="false"/>
          <w:i/>
          <w:i/>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Chapter 2: Literature Review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Critically analyses community policing's theoretical foundations and global evidence, focusing on UK policy adaptations.  </w:t>
      </w:r>
    </w:p>
    <w:p>
      <w:pPr>
        <w:pStyle w:val="normal1"/>
        <w:keepNext w:val="false"/>
        <w:keepLines w:val="false"/>
        <w:pageBreakBefore w:val="false"/>
        <w:widowControl/>
        <w:numPr>
          <w:ilvl w:val="0"/>
          <w:numId w:val="39"/>
        </w:numPr>
        <w:pBdr/>
        <w:shd w:val="clear" w:fill="auto"/>
        <w:tabs>
          <w:tab w:val="clear" w:pos="720"/>
          <w:tab w:val="left" w:pos="0" w:leader="none"/>
        </w:tabs>
        <w:spacing w:lineRule="auto" w:line="360" w:before="0" w:after="140"/>
        <w:ind w:hanging="360" w:left="720" w:right="0"/>
        <w:jc w:val="both"/>
        <w:rPr>
          <w:b w:val="false"/>
          <w:i/>
          <w:i/>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Chapter 3: Methodology</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Details the sequential explanatory design:  </w:t>
      </w:r>
    </w:p>
    <w:p>
      <w:pPr>
        <w:pStyle w:val="normal1"/>
        <w:keepNext w:val="false"/>
        <w:keepLines w:val="false"/>
        <w:pageBreakBefore w:val="false"/>
        <w:widowControl/>
        <w:numPr>
          <w:ilvl w:val="0"/>
          <w:numId w:val="13"/>
        </w:numPr>
        <w:pBdr/>
        <w:shd w:val="clear" w:fill="auto"/>
        <w:tabs>
          <w:tab w:val="clear" w:pos="720"/>
          <w:tab w:val="left" w:pos="0" w:leader="none"/>
        </w:tabs>
        <w:spacing w:lineRule="auto" w:line="360" w:before="0" w:after="140"/>
        <w:ind w:hanging="360" w:left="72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Crime data analysis (quantitative)  </w:t>
      </w:r>
    </w:p>
    <w:p>
      <w:pPr>
        <w:pStyle w:val="normal1"/>
        <w:keepNext w:val="false"/>
        <w:keepLines w:val="false"/>
        <w:pageBreakBefore w:val="false"/>
        <w:widowControl/>
        <w:numPr>
          <w:ilvl w:val="0"/>
          <w:numId w:val="13"/>
        </w:numPr>
        <w:pBdr/>
        <w:shd w:val="clear" w:fill="auto"/>
        <w:tabs>
          <w:tab w:val="clear" w:pos="720"/>
          <w:tab w:val="left" w:pos="0" w:leader="none"/>
        </w:tabs>
        <w:spacing w:lineRule="auto" w:line="360" w:before="0" w:after="140"/>
        <w:ind w:hanging="360" w:left="72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Resident surveys (n=138)  </w:t>
      </w:r>
    </w:p>
    <w:p>
      <w:pPr>
        <w:pStyle w:val="normal1"/>
        <w:keepNext w:val="false"/>
        <w:keepLines w:val="false"/>
        <w:pageBreakBefore w:val="false"/>
        <w:widowControl/>
        <w:numPr>
          <w:ilvl w:val="0"/>
          <w:numId w:val="13"/>
        </w:numPr>
        <w:pBdr/>
        <w:shd w:val="clear" w:fill="auto"/>
        <w:tabs>
          <w:tab w:val="clear" w:pos="720"/>
          <w:tab w:val="left" w:pos="0" w:leader="none"/>
        </w:tabs>
        <w:spacing w:lineRule="auto" w:line="360" w:before="0" w:after="140"/>
        <w:ind w:hanging="360" w:left="72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Stakeholder interviews (n=8)  </w:t>
      </w:r>
    </w:p>
    <w:p>
      <w:pPr>
        <w:pStyle w:val="normal1"/>
        <w:keepNext w:val="false"/>
        <w:keepLines w:val="false"/>
        <w:pageBreakBefore w:val="false"/>
        <w:widowControl/>
        <w:numPr>
          <w:ilvl w:val="0"/>
          <w:numId w:val="39"/>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Chapters 4-5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Present findings, discuss implications for UK policing policy, and provide locally-grounded recommendations.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Geographic Focus</w:t>
      </w:r>
    </w:p>
    <w:p>
      <w:pPr>
        <w:pStyle w:val="normal1"/>
        <w:keepNext w:val="false"/>
        <w:keepLines w:val="false"/>
        <w:pageBreakBefore w:val="false"/>
        <w:widowControl/>
        <w:numPr>
          <w:ilvl w:val="0"/>
          <w:numId w:val="37"/>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Primary research covers 5 wards (Brookside, Dawley, Hadley, Wellington, Woodside)  </w:t>
      </w:r>
    </w:p>
    <w:p>
      <w:pPr>
        <w:pStyle w:val="normal1"/>
        <w:keepNext w:val="false"/>
        <w:keepLines w:val="false"/>
        <w:pageBreakBefore w:val="false"/>
        <w:widowControl/>
        <w:numPr>
          <w:ilvl w:val="0"/>
          <w:numId w:val="37"/>
        </w:numPr>
        <w:pBdr/>
        <w:shd w:val="clear" w:fill="auto"/>
        <w:tabs>
          <w:tab w:val="clear" w:pos="720"/>
          <w:tab w:val="left" w:pos="0" w:leader="none"/>
        </w:tabs>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Comparative references to similar UK towns (e.g., Stoke-on-Trent)  </w:t>
      </w:r>
    </w:p>
    <w:p>
      <w:pPr>
        <w:pStyle w:val="normal1"/>
        <w:keepNext w:val="false"/>
        <w:keepLines w:val="false"/>
        <w:pageBreakBefore w:val="false"/>
        <w:widowControl/>
        <w:pBdr/>
        <w:shd w:val="clear" w:fill="auto"/>
        <w:tabs>
          <w:tab w:val="clear" w:pos="720"/>
          <w:tab w:val="left" w:pos="0" w:leader="none"/>
        </w:tabs>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sectPr>
          <w:footerReference w:type="even" r:id="rId16"/>
          <w:footerReference w:type="default" r:id="rId17"/>
          <w:footerReference w:type="first" r:id="rId18"/>
          <w:type w:val="nextPage"/>
          <w:pgSz w:w="11906" w:h="16838"/>
          <w:pgMar w:left="1440" w:right="1440" w:gutter="0" w:header="0" w:top="1440" w:footer="708" w:bottom="1440"/>
          <w:pgNumType w:start="1" w:fmt="decimal"/>
          <w:formProt w:val="false"/>
          <w:titlePg/>
          <w:textDirection w:val="lrTb"/>
          <w:docGrid w:type="default" w:linePitch="100" w:charSpace="0"/>
        </w:sect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Heading1"/>
        <w:rPr/>
      </w:pPr>
      <w:bookmarkStart w:id="12" w:name="_prgqjdvoibcw"/>
      <w:bookmarkEnd w:id="12"/>
      <w:r>
        <w:rPr/>
        <w:t>CHAPTER TWO</w:t>
      </w:r>
    </w:p>
    <w:p>
      <w:pPr>
        <w:pStyle w:val="Heading1"/>
        <w:rPr/>
      </w:pPr>
      <w:bookmarkStart w:id="13" w:name="_ew2j6doxeef4"/>
      <w:bookmarkEnd w:id="13"/>
      <w:r>
        <w:rPr/>
        <w:t>LITERATURE REVIEW</w:t>
      </w:r>
      <w:bookmarkStart w:id="14" w:name="ijgonm3699qc"/>
    </w:p>
    <w:p>
      <w:pPr>
        <w:pStyle w:val="Heading2"/>
        <w:rPr/>
      </w:pPr>
      <w:bookmarkStart w:id="15" w:name="_6oxp06n2h2ps"/>
      <w:bookmarkEnd w:id="14"/>
      <w:bookmarkEnd w:id="15"/>
      <w:r>
        <w:rPr/>
        <w:t>2.1 Objectives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Community policing has become a cornerstone of contemporary law enforcement in the United Kingdom, reflecting a broader shift from traditional, reactive policing models to more proactive, partnership-based strategies (College of Policing, 2024). This evolution is driven by increasing public demand for police accountability, transparency, and community engagement, particularly in areas facing complex socio-economic challenges and diverse crime patterns, such as Telford (Office for National Statistics, 2023). The effectiveness of community policing in reducing crime and improving police-community relationships is widely debated in academic and policy circles, with recent research highlighting both its potential benefits and its practical limitations (Gill et al., 2014; Braga &amp; Weisburd, 2018).</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 robust literature review is essential to critically assess the theoretical foundations, empirical evidence, and ongoing debates surrounding community policing. Such a review provides the analytical groundwork for evaluating the impact of community policing in Telford and ensures that the research is informed by the latest scholarship and policy developments (Skogan &amp; Frydl, 2004; Modise, 2023). By systematically engaging with the literature, this chapter aims to identify the key mechanisms through which community policing operates, the conditions that facilitate or hinder its success, and the implications for policing practice in the UK context.</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To achieve this, the literature review is structured around three interrelated objectives: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First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it will critically evaluate the criminological theories underpinning community policing. This includes examining the historical development of policing models, the philosophical principles guiding community engagement, and the theoretical debates that shape current practice (Kelling &amp; Moore, 1988; Skogan &amp; Frydl, 2004). Special attention will be paid to how these theories have been adapted to the UK context and their relevance to the specific challenges faced in Telford.</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Second</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the review will assess empirical evidence on the effectiveness of community policing, focusing primarily on recent UK-based studies and official evaluations. This analysis will consider both quantitative outcomes-such as reductions in crime rates-and qualitative impacts, including changes in public trust and perceptions of legitimacy (Gill et al., 2014; Office for National Statistics, 2023). Case studies such as the Townhill Anti-Burglary Initiative will be examined to identify critical success factors and lessons applicable to Telford (Smith, 2020).</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Third</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the chapter will analyse the critiques and limitations of community policing approaches. This objective encompasses an exploration of the barriers to effective implementation, including organisational, cultural, and resource-related challenges, as well as broader criticisms concerning the sustainability and long-term impact of community policing in the context of austerity and evolving public expectations (Braga &amp; Weisburd, 2018; Modise, 2023).</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By addressing these objectives, the literature review will provide a comprehensive and critical foundation for subsequent analysis, supporting a nuanced assessment of community policing in Telford and informing evidence-based recommendations for policy and practice.</w:t>
      </w:r>
      <w:bookmarkStart w:id="16" w:name="hehdt6ug4ayx"/>
    </w:p>
    <w:p>
      <w:pPr>
        <w:pStyle w:val="Heading2"/>
        <w:rPr/>
      </w:pPr>
      <w:bookmarkStart w:id="17" w:name="_tvpd61nsx16k"/>
      <w:bookmarkEnd w:id="16"/>
      <w:bookmarkEnd w:id="17"/>
      <w:r>
        <w:rPr/>
        <w:t>2.2</w:t>
        <w:tab/>
        <w:t>Theoretical Foundations of Community Policing</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Community policing is grounded in a range of criminological theories that have shaped both its philosophical underpinnings and practical implementation. Understanding these theoretical foundations is essential for critically assessing the effectiveness of community policing, particularly within the UK context where historical and social factors have influenced the evolution of policing strategies (Loader &amp; Mulcahy, 2003).</w:t>
      </w:r>
    </w:p>
    <w:p>
      <w:pPr>
        <w:pStyle w:val="Heading3"/>
        <w:rPr>
          <w:rFonts w:ascii="Arial" w:hAnsi="Arial" w:eastAsia="Arial" w:cs="Arial"/>
        </w:rPr>
      </w:pPr>
      <w:bookmarkStart w:id="18" w:name="_n0se8vbvy3ua"/>
      <w:bookmarkEnd w:id="18"/>
      <w:r>
        <w:rPr>
          <w:rFonts w:eastAsia="Arial" w:cs="Arial" w:ascii="Arial" w:hAnsi="Arial"/>
        </w:rPr>
        <w:t>2.2.2</w:t>
        <w:tab/>
        <w:t>Social Control Theory and Procedural Justice</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One of the earliest influences on community policing is social control theory, which posits that strong social bonds and community networks act as informal mechanisms for regulating behaviour and preventing crime (Hirschi, 1969). In the context of policing, this theory supports the idea that fostering trust and cooperation between police and the public can enhance collective efficacy and reduce criminal activity. However, critics have argued that social control theory may oversimplify the complexities of modern urban environments, where community cohesion is often fragmented (Sampson, 2012).</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Procedural justice theory further refines the rationale for community policing by emphasising the importance of fairness, transparency, and respect in police interactions (Tyler, 2004). Research in the UK has demonstrated that when police officers are perceived as procedurally just, public trust increases and the willingness to cooperate with law enforcement improves (Bradford et al., 2017). This theoretical perspective has been influential in shaping contemporary community policing policies, as reflected in the College of Policing’s emphasis on legitimacy and public confidence (College of Policing, 2024).</w:t>
      </w:r>
    </w:p>
    <w:p>
      <w:pPr>
        <w:pStyle w:val="Heading3"/>
        <w:rPr>
          <w:rFonts w:ascii="Arial" w:hAnsi="Arial" w:eastAsia="Arial" w:cs="Arial"/>
        </w:rPr>
      </w:pPr>
      <w:bookmarkStart w:id="19" w:name="_xfetm1eig2nc"/>
      <w:bookmarkEnd w:id="19"/>
      <w:r>
        <w:rPr>
          <w:rFonts w:eastAsia="Arial" w:cs="Arial" w:ascii="Arial" w:hAnsi="Arial"/>
        </w:rPr>
        <w:t>2.2.3</w:t>
        <w:tab/>
        <w:t>The “Broken Windows” Perspective and Its Critique</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“broken windows” theory, first articulated by Wilson and Kelling (1982), argues that visible signs of disorder and neglect in a community can lead to an escalation of crime. This theory has informed neighbourhood policing strategies that prioritise early intervention and problem-solving approaches. In the UK, the adoption of neighbourhood policing teams and targeted anti-social behaviour initiatives can be traced back to this theoretical framework (Innes, 2004). Nevertheless, the “broken windows” approach has been criticised for potentially leading to over-policing of minor infractions and for its limited attention to underlying social inequalities (Gorringe &amp; Rosie, 2020).</w:t>
      </w:r>
    </w:p>
    <w:p>
      <w:pPr>
        <w:pStyle w:val="Heading3"/>
        <w:rPr>
          <w:rFonts w:ascii="Arial" w:hAnsi="Arial" w:eastAsia="Arial" w:cs="Arial"/>
        </w:rPr>
      </w:pPr>
      <w:bookmarkStart w:id="20" w:name="_ftkucaqgw7c1"/>
      <w:bookmarkEnd w:id="20"/>
      <w:r>
        <w:rPr>
          <w:rFonts w:eastAsia="Arial" w:cs="Arial" w:ascii="Arial" w:hAnsi="Arial"/>
        </w:rPr>
        <w:t>2.2.4</w:t>
        <w:tab/>
        <w:t>The Shift to Partnership and Problem-Oriented Models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Contemporary community policing in the UK has increasingly embraced partnership and problem-oriented models, drawing on theories of collective efficacy and situational crime prevention (Tilley &amp; Laycock, 2018). These models advocate for multi-agency collaboration, data-driven decision-making, and the active involvement of local stakeholders in identifying and addressing crime problems. The Townhill Anti-Burglary Initiative, for example, demonstrated the value of coordinated action between police, local authorities, and residents in achieving significant reductions in burglary rates (Smith, 2020). However, the success of such initiatives often depends on sustained commitment and resource allocation, which can be challenging in the current climate of public sector austerity (Bullock &amp; Sindall, 2014).</w:t>
      </w:r>
    </w:p>
    <w:p>
      <w:pPr>
        <w:pStyle w:val="Heading3"/>
        <w:rPr>
          <w:rFonts w:ascii="Arial" w:hAnsi="Arial" w:eastAsia="Arial" w:cs="Arial"/>
        </w:rPr>
      </w:pPr>
      <w:bookmarkStart w:id="21" w:name="_1oafibvw2scd"/>
      <w:bookmarkEnd w:id="21"/>
      <w:r>
        <w:rPr>
          <w:rFonts w:eastAsia="Arial" w:cs="Arial" w:ascii="Arial" w:hAnsi="Arial"/>
        </w:rPr>
        <w:t>2.2.5</w:t>
        <w:tab/>
        <w:t>Critical Evaluation</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While these theories provide a robust framework for understanding the rationale behind community policing, their practical application is not without challenges. The UK context, marked by diverse communities and varying levels of trust in the police, requires a nuanced approach that balances enforcement with engagement (Loader &amp; Mulcahy, 2003). Moreover, the effectiveness of community policing is contingent on the ability of police forces to adapt theoretical principles to local realities, as well as to address criticisms related to inclusivity, accountability, and long-term sustainability (Bradford et al., 2017; Tilley &amp; Laycock, 2018).</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In summary, the theoretical foundations of community policing in the UK are multifaceted, drawing on social control, procedural justice, and problem-oriented frameworks. A critical understanding of these theories is essential for evaluating both the strengths and limitations of community policing strategies, particularly as they are implemented in towns such as Telford.</w:t>
      </w:r>
      <w:bookmarkStart w:id="22" w:name="6k5imewjongm"/>
    </w:p>
    <w:p>
      <w:pPr>
        <w:pStyle w:val="Heading2"/>
        <w:rPr/>
      </w:pPr>
      <w:bookmarkStart w:id="23" w:name="_3pu1owvyyjv3"/>
      <w:bookmarkEnd w:id="22"/>
      <w:bookmarkEnd w:id="23"/>
      <w:r>
        <w:rPr/>
        <w:t>2.3</w:t>
        <w:tab/>
        <w:t>Empirical Evidence from UK and International Case Studies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Empirical research on community policing has expanded considerably in recent years, providing a nuanced understanding of its effectiveness in reducing crime and improving police-community relations. While the origins of community policing can be traced to international contexts, the bulk of relevant evidence for this study comes from the UK, where neighbourhood policing has become a central tenet of law enforcement policy (College of Policing, 2024).</w:t>
      </w:r>
    </w:p>
    <w:p>
      <w:pPr>
        <w:pStyle w:val="Heading3"/>
        <w:rPr>
          <w:rFonts w:ascii="Arial" w:hAnsi="Arial" w:eastAsia="Arial" w:cs="Arial"/>
        </w:rPr>
      </w:pPr>
      <w:bookmarkStart w:id="24" w:name="_8ghrrm5hba9q"/>
      <w:bookmarkEnd w:id="24"/>
      <w:r>
        <w:rPr>
          <w:rFonts w:eastAsia="Arial" w:cs="Arial" w:ascii="Arial" w:hAnsi="Arial"/>
        </w:rPr>
        <w:t>2.3.2</w:t>
        <w:tab/>
        <w:t>UK-Based Evidence</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Recent systematic reviews and meta-analyses have found that community policing can have a positive, albeit sometimes modest, impact on crime rates and public trust. Gill et al. (2014), in a comprehensive review of community policing interventions, concluded that such strategies are associated with reductions in crime and disorder, as well as improvements in citizen satisfaction and perceptions of police legitimacy. However, the authors caution that the magnitude of these effects often depends on local context, the nature of police-community partnerships, and the consistency of implementation.</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UK’s focus on neighbourhood policing teams, established following the National Reassurance Policing Programme (NRPP) in the early 2000s, has been evaluated in multiple studies. Myhill (2012) found that visible, accessible, and locally engaged police officers were correlated with higher levels of public confidence, particularly in areas with previously low trust in law enforcement. More recently, the Office for National Statistics (2023) reported that areas with sustained community policing initiatives experienced lower levels of anti-social behaviour and greater reporting of crime, suggesting increased public willingness to engage with the police.</w:t>
      </w:r>
    </w:p>
    <w:p>
      <w:pPr>
        <w:pStyle w:val="Heading3"/>
        <w:rPr>
          <w:rFonts w:ascii="Arial" w:hAnsi="Arial" w:eastAsia="Arial" w:cs="Arial"/>
        </w:rPr>
      </w:pPr>
      <w:bookmarkStart w:id="25" w:name="_2aaplv9z3cry"/>
      <w:bookmarkEnd w:id="25"/>
      <w:r>
        <w:rPr>
          <w:rFonts w:eastAsia="Arial" w:cs="Arial" w:ascii="Arial" w:hAnsi="Arial"/>
        </w:rPr>
        <w:t>2.3.3</w:t>
        <w:tab/>
        <w:t>The Townhill Anti-Burglary Initiative</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 compelling example of the practical application of community policing in the UK is the Townhill Anti-Burglary Initiative. In response to rising burglary rates, local police collaborated with the council, housing associations, and community groups to develop a multi-faceted strategy. This included increased foot patrols, the use of local intelligence, property marking schemes, and public awareness campaigns (Smith, 2020). The initiative achieved a significant reduction in burglary rates-over 30% within the first year-demonstrating the value of coordinated, community-led efforts.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Critical analysis of the Townhill case reveals several key success factors:</w:t>
      </w:r>
    </w:p>
    <w:p>
      <w:pPr>
        <w:pStyle w:val="normal1"/>
        <w:keepNext w:val="false"/>
        <w:keepLines w:val="false"/>
        <w:pageBreakBefore w:val="false"/>
        <w:widowControl/>
        <w:numPr>
          <w:ilvl w:val="0"/>
          <w:numId w:val="1"/>
        </w:numPr>
        <w:pBdr/>
        <w:shd w:val="clear" w:fill="auto"/>
        <w:tabs>
          <w:tab w:val="clear" w:pos="720"/>
          <w:tab w:val="left" w:pos="1418" w:leader="none"/>
        </w:tabs>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Multi-agency collaboration</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ensured that interventions addressed not only crime but also underlying social issues, such as housing insecurity and youth disengagement.</w:t>
      </w:r>
    </w:p>
    <w:p>
      <w:pPr>
        <w:pStyle w:val="normal1"/>
        <w:keepNext w:val="false"/>
        <w:keepLines w:val="false"/>
        <w:pageBreakBefore w:val="false"/>
        <w:widowControl/>
        <w:numPr>
          <w:ilvl w:val="0"/>
          <w:numId w:val="1"/>
        </w:numPr>
        <w:pBdr/>
        <w:shd w:val="clear" w:fill="auto"/>
        <w:tabs>
          <w:tab w:val="clear" w:pos="720"/>
          <w:tab w:val="left" w:pos="1418" w:leader="none"/>
        </w:tabs>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Community involvement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fostered trust and encouraged residents to share information, which improved the police’s ability to target hotspots.</w:t>
      </w:r>
    </w:p>
    <w:p>
      <w:pPr>
        <w:pStyle w:val="normal1"/>
        <w:keepNext w:val="false"/>
        <w:keepLines w:val="false"/>
        <w:pageBreakBefore w:val="false"/>
        <w:widowControl/>
        <w:numPr>
          <w:ilvl w:val="0"/>
          <w:numId w:val="1"/>
        </w:numPr>
        <w:pBdr/>
        <w:shd w:val="clear" w:fill="auto"/>
        <w:tabs>
          <w:tab w:val="clear" w:pos="720"/>
          <w:tab w:val="left" w:pos="1418" w:leader="none"/>
        </w:tabs>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Sustained engagement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and feedback loops allowed for the adaptation of strategies in response to changing local needs.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However, the initiative also faced challenges. Maintaining momentum required ongoing resources and leadership commitment, and there were concerns about the sustainability of crime reductions once the initial funding ended (Smith, 2020).</w:t>
      </w:r>
    </w:p>
    <w:p>
      <w:pPr>
        <w:pStyle w:val="Heading3"/>
        <w:rPr>
          <w:rFonts w:ascii="Arial" w:hAnsi="Arial" w:eastAsia="Arial" w:cs="Arial"/>
        </w:rPr>
      </w:pPr>
      <w:bookmarkStart w:id="26" w:name="_rb43m3r0zvni"/>
      <w:bookmarkEnd w:id="26"/>
      <w:r>
        <w:rPr>
          <w:rFonts w:eastAsia="Arial" w:cs="Arial" w:ascii="Arial" w:hAnsi="Arial"/>
        </w:rPr>
        <w:t>2.3.4</w:t>
        <w:tab/>
        <w:t>International Perspectives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While the primary focus is on UK evidence, international studies offer useful comparative insights. For example, Braga and Weisburd (2018) found in their review of problem-oriented policing in the United States and elsewhere that community policing can be effective, but only when strategies are tailored to local contexts and supported by robust evaluation mechanisms. Yet, as your supervisor noted, caution is needed in generalising these findings to the UK, given differences in policing structures, legal frameworks, and community dynamics.</w:t>
      </w:r>
    </w:p>
    <w:p>
      <w:pPr>
        <w:pStyle w:val="Heading3"/>
        <w:rPr>
          <w:rFonts w:ascii="Arial" w:hAnsi="Arial" w:eastAsia="Arial" w:cs="Arial"/>
        </w:rPr>
      </w:pPr>
      <w:bookmarkStart w:id="27" w:name="_a948tgwc0k9f"/>
      <w:bookmarkEnd w:id="27"/>
      <w:r>
        <w:rPr>
          <w:rFonts w:eastAsia="Arial" w:cs="Arial" w:ascii="Arial" w:hAnsi="Arial"/>
        </w:rPr>
        <w:t>2.3.5</w:t>
        <w:tab/>
        <w:t>Methodological Considerations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 recurring theme in the literature is the methodological challenge of isolating the effects of community policing from other factors influencing crime and public perceptions. Many studies rely on quasi-experimental designs or before-and-after comparisons, which can be vulnerable to confounding variables (Gill et al., 2014; Myhill, 2012). There is also a tendency for evaluations to focus on short-term outcomes, with less attention paid to long-term sustainability or unintended consequences, such as the risk of displacement or over-policing of marginalised groups (Gorringe &amp; Rosie, 2020).</w:t>
      </w:r>
    </w:p>
    <w:p>
      <w:pPr>
        <w:pStyle w:val="Heading3"/>
        <w:rPr>
          <w:rFonts w:ascii="Arial" w:hAnsi="Arial" w:eastAsia="Arial" w:cs="Arial"/>
        </w:rPr>
      </w:pPr>
      <w:bookmarkStart w:id="28" w:name="_y3un4lfp2ycn"/>
      <w:bookmarkEnd w:id="28"/>
      <w:r>
        <w:rPr>
          <w:rFonts w:eastAsia="Arial" w:cs="Arial" w:ascii="Arial" w:hAnsi="Arial"/>
        </w:rPr>
        <w:t>2.3.6</w:t>
        <w:tab/>
        <w:t>Relevance to Telford</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evidence reviewed suggests that community policing, when well-resourced and genuinely collaborative, can contribute to reductions in crime and improvements in police-community relationships. However, the success of such initiatives is highly context-dependent. For towns like Telford, with diverse populations and varying levels of trust in the police, the lessons from UK case studies-particularly the importance of sustained engagement and partnership working-are especially pertinent. Future research should therefore focus on adapting and evaluating community policing models to fit the specific needs and challenges of the Telford context.</w:t>
      </w:r>
      <w:bookmarkStart w:id="29" w:name="awmjp1lrw58s"/>
    </w:p>
    <w:p>
      <w:pPr>
        <w:pStyle w:val="Heading2"/>
        <w:rPr/>
      </w:pPr>
      <w:bookmarkStart w:id="30" w:name="_p8x5igtji29"/>
      <w:bookmarkEnd w:id="29"/>
      <w:bookmarkEnd w:id="30"/>
      <w:r>
        <w:rPr/>
        <w:t>2.4</w:t>
        <w:tab/>
        <w:t>Critiques and Limitations of Community Policing</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While community policing is widely promoted as a progressive strategy for crime reduction and improved police-community relations, its implementation and outcomes are subject to significant critique. Academic and policy literature highlight a range of limitations, from conceptual ambiguities to practical challenges in sustaining meaningful engagement and delivering measurable results, particularly within the UK context (Bullock &amp; Sindall, 2014; Tilley &amp; Laycock, 2018).</w:t>
      </w:r>
    </w:p>
    <w:p>
      <w:pPr>
        <w:pStyle w:val="Heading3"/>
        <w:rPr>
          <w:rFonts w:ascii="Arial" w:hAnsi="Arial" w:eastAsia="Arial" w:cs="Arial"/>
        </w:rPr>
      </w:pPr>
      <w:bookmarkStart w:id="31" w:name="_eji6flgbnm6r"/>
      <w:bookmarkEnd w:id="31"/>
      <w:r>
        <w:rPr>
          <w:rFonts w:eastAsia="Arial" w:cs="Arial" w:ascii="Arial" w:hAnsi="Arial"/>
        </w:rPr>
        <w:t>2.4.2</w:t>
        <w:tab/>
        <w:t>Conceptual and Operational Challenges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One of the most persistent critiques concerns the lack of a clear, universally accepted definition of community policing. As Myhill (2012) notes, the term is often used to describe a broad array of activities, ranging from neighbourhood patrols to multi-agency problem-solving, making it difficult to evaluate effectiveness or compare outcomes across different settings. This conceptual vagueness can lead to inconsistent implementation, where the core principles of partnership and problem-solving are diluted or replaced by superficial community engagement efforts (Loader &amp; Mulcahy, 2003).</w:t>
      </w:r>
    </w:p>
    <w:p>
      <w:pPr>
        <w:pStyle w:val="Heading3"/>
        <w:rPr>
          <w:rFonts w:ascii="Arial" w:hAnsi="Arial" w:eastAsia="Arial" w:cs="Arial"/>
        </w:rPr>
      </w:pPr>
      <w:bookmarkStart w:id="32" w:name="_wwcta1ytcg8"/>
      <w:bookmarkEnd w:id="32"/>
      <w:r>
        <w:rPr>
          <w:rFonts w:eastAsia="Arial" w:cs="Arial" w:ascii="Arial" w:hAnsi="Arial"/>
        </w:rPr>
        <w:t>2.4.3</w:t>
        <w:tab/>
        <w:t>Sustainability and Resource Constraints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sustainability of community policing initiatives is another major concern. Many successful schemes, such as the Townhill Anti-Burglary Initiative, have depended on short-term funding, dedicated personnel, and strong leadership (Smith, 2020). However, austerity measures and competing demands on police resources have made it increasingly difficult to maintain the level of investment required for long-term impact (Bullock &amp; Sindall, 2014; College of Policing, 2024). In some cases, neighbourhood policing teams have been reduced or merged, undermining the continuity and local knowledge that are essential for building trust and effective partnerships (Office for National Statistics, 2023).</w:t>
      </w:r>
    </w:p>
    <w:p>
      <w:pPr>
        <w:pStyle w:val="Heading3"/>
        <w:rPr>
          <w:rFonts w:ascii="Arial" w:hAnsi="Arial" w:eastAsia="Arial" w:cs="Arial"/>
        </w:rPr>
      </w:pPr>
      <w:bookmarkStart w:id="33" w:name="_kbr0pjtmsfpt"/>
      <w:bookmarkEnd w:id="33"/>
      <w:r>
        <w:rPr>
          <w:rFonts w:eastAsia="Arial" w:cs="Arial" w:ascii="Arial" w:hAnsi="Arial"/>
        </w:rPr>
        <w:t>2.4.4</w:t>
        <w:tab/>
        <w:t>Community Engagement and Representation</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Critics also question the extent to which community policing truly empowers local residents, particularly in diverse or marginalised communities. Research has shown that engagement efforts often attract participation from more affluent or vocal groups, while the views and needs of less visible populations may be overlooked (Gorringe &amp; Rosie, 2020). This raises concerns about the representativeness and inclusivity of community policing, as well as the risk of reinforcing existing inequalities rather than addressing them (Bradford et al., 2017). In Telford, where there are marked differences in socio-economic status and ethnic diversity across neighbourhoods, these issues are particularly salient.</w:t>
      </w:r>
    </w:p>
    <w:p>
      <w:pPr>
        <w:pStyle w:val="Heading2"/>
        <w:rPr/>
      </w:pPr>
      <w:bookmarkStart w:id="34" w:name="_qoof9t7e6n8w"/>
      <w:bookmarkEnd w:id="34"/>
      <w:r>
        <w:rPr/>
        <w:t>2.4.5 Measuring Impact and Unintended Consequences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 further limitation relates to the challenges of measuring the true impact of community policing. Many evaluations rely on short-term crime statistics or public satisfaction surveys, which may not capture deeper or longer-term changes in trust, cooperation, or social cohesion (Gill et al., 2014). Additionally, there is a risk of unintended consequences, such as the displacement of crime to neighbouring areas or the over-policing of minor infractions under the guise of community engagement (Gorringe &amp; Rosie, 2020; Braga &amp; Weisburd, 2018). These issues underscore the need for more robust and nuanced evaluation frameworks, as well as a critical awareness of the potential trade-offs involved in community policing strategies.</w:t>
      </w:r>
    </w:p>
    <w:p>
      <w:pPr>
        <w:pStyle w:val="Heading2"/>
        <w:rPr/>
      </w:pPr>
      <w:bookmarkStart w:id="35" w:name="_3auuegmzwc6e"/>
      <w:bookmarkEnd w:id="35"/>
      <w:r>
        <w:rPr/>
        <w:t>2.4.6 The UK Context and the Case of Telford</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In the UK, the effectiveness of community policing is further complicated by ongoing debates about police legitimacy, institutional racism, and the appropriate balance between enforcement and engagement (Loader &amp; Mulcahy, 2003; Bradford et al., 2017). For towns like Telford, the challenge lies in adapting community policing models to local realities, ensuring that initiatives are genuinely collaborative, and addressing the structural barriers that can limit their reach and impact. The literature suggests that without sustained commitment, adequate resources, and a focus on inclusivity, community policing risks becoming a rhetorical device rather than a transformative practice (Tilley &amp; Laycock, 2018).</w:t>
      </w:r>
    </w:p>
    <w:p>
      <w:pPr>
        <w:pStyle w:val="Heading2"/>
        <w:rPr/>
      </w:pPr>
      <w:bookmarkStart w:id="36" w:name="_fuj4qbywlfp8"/>
      <w:bookmarkEnd w:id="36"/>
      <w:r>
        <w:rPr>
          <w:b/>
        </w:rPr>
        <w:t>2.5</w:t>
        <w:tab/>
        <w:t>Summary</w:t>
      </w:r>
    </w:p>
    <w:p>
      <w:pPr>
        <w:sectPr>
          <w:footerReference w:type="even" r:id="rId19"/>
          <w:footerReference w:type="default" r:id="rId20"/>
          <w:footerReference w:type="first" r:id="rId21"/>
          <w:type w:val="nextPage"/>
          <w:pgSz w:w="11906" w:h="16838"/>
          <w:pgMar w:left="1440" w:right="1440" w:gutter="0" w:header="0" w:top="1440" w:footer="708" w:bottom="1440"/>
          <w:pgNumType w:fmt="decimal"/>
          <w:formProt w:val="false"/>
          <w:titlePg/>
          <w:textDirection w:val="lrTb"/>
          <w:docGrid w:type="default" w:linePitch="100" w:charSpace="0"/>
        </w:sect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This chapter has provided a critical examination of the theoretical and empirical foundations of community policing, with a particular focus on the UK context and the case of Telford. The review has demonstrated that while community policing is underpinned by robust criminological theories and supported by evidence of positive outcomes in crime reduction and public trust, its practical implementation is often challenged by conceptual ambiguities, resource constraints, and issues of inclusivity. Notably, the success of initiatives such as the Townhill Anti-Burglary Initiative highlights the importance of genuine partnership, sustained engagement, and adaptability to local needs. However, persistent critiques regarding sustainability, representation, and the measurement of long-term impact suggest that community policing is not a panacea, but rather a complex and evolving strategy. These insights provide a necessary foundation for the subsequent analysis of community policing in Telford, informing both the methodological approach and the interpretation of research findings.</w:t>
      </w:r>
    </w:p>
    <w:p>
      <w:pPr>
        <w:pStyle w:val="Heading1"/>
        <w:rPr/>
      </w:pPr>
      <w:bookmarkStart w:id="37" w:name="_7tsm8pfjv8mp"/>
      <w:bookmarkEnd w:id="37"/>
      <w:r>
        <w:rPr/>
        <w:t>CHAPTER THREE</w:t>
      </w:r>
    </w:p>
    <w:p>
      <w:pPr>
        <w:pStyle w:val="Heading1"/>
        <w:rPr/>
      </w:pPr>
      <w:bookmarkStart w:id="38" w:name="_g7wsugsvp4x"/>
      <w:bookmarkEnd w:id="38"/>
      <w:r>
        <w:rPr/>
        <w:t>METHODOLOGY</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This chapter outlines the research methodology adopted to explore the impact of community policing on crime rates and police-community relationships in Telford. It details the philosophical underpinnings, research approach, and methodological choices made to guide data collection and analysis. The chapter also explains the sampling strategy, data collection tools, ethical considerations, and measures taken to ensure the reliability and validity of the findings.</w:t>
      </w:r>
    </w:p>
    <w:p>
      <w:pPr>
        <w:pStyle w:val="Heading2"/>
        <w:rPr/>
      </w:pPr>
      <w:bookmarkStart w:id="39" w:name="_6ai4yk5i0e17"/>
      <w:bookmarkEnd w:id="39"/>
      <w:r>
        <w:rPr/>
        <w:t>3.1</w:t>
        <w:tab/>
        <w:t>Research Philosophy</w:t>
      </w:r>
    </w:p>
    <w:p>
      <w:pPr>
        <w:pStyle w:val="normal1"/>
        <w:jc w:val="both"/>
        <w:rPr/>
      </w:pPr>
      <w:r>
        <w:rPr/>
        <w:t>This study adopts an interpretivist philosophy, which prioritizes understanding how individuals construct meaning within their social contexts (Alharahsheh &amp; Pius, 2020). Given the research aim—to explore the impact of community policing on crime rates and police-community relationships in Telford—interpretivism is appropriate because it focuses on subjective experiences, such as trust and cooperation, rather than universal laws. Unlike positivism, which seeks objective truths through quantitative data alone, interpretivism acknowledges that residents’ and officers’ perceptions of policing are shaped by personal interactions and cultural norms (Saunders et al., 2019). This philosophy aligns with the study’s qualitative methods (interviews, focus groups) and its goal of uncovering nuanced insights into how community policing operates in practice.</w:t>
      </w:r>
    </w:p>
    <w:p>
      <w:pPr>
        <w:pStyle w:val="Heading2"/>
        <w:rPr/>
      </w:pPr>
      <w:bookmarkStart w:id="40" w:name="_465h7b7k8p42"/>
      <w:bookmarkEnd w:id="40"/>
      <w:r>
        <w:rPr/>
        <w:t>3.2</w:t>
        <w:tab/>
        <w:t>Research Approach</w:t>
      </w:r>
    </w:p>
    <w:p>
      <w:pPr>
        <w:pStyle w:val="normal1"/>
        <w:jc w:val="both"/>
        <w:rPr/>
      </w:pPr>
      <w:r>
        <w:rPr/>
        <w:t>An inductive approach guides this research, allowing themes and conclusions to emerge from the data rather than testing pre-existing hypotheses (Steefkerk, 2022). This is suitable because the study seeks to understand how community policing functions in Telford—a context where local dynamics (e.g., crime patterns, community diversity) may shape outcomes unpredictably. For example, interview responses from residents and police officers will be analyzed to identify recurring patterns (e.g., trust-building strategies or challenges), which will then inform broader conclusions about the initiative’s impact. Inductive reasoning complements the interpretivist philosophy by prioritizing participants’ lived experiences over theoretical assumptions (Klauer &amp; Phye, 2008).</w:t>
      </w:r>
    </w:p>
    <w:p>
      <w:pPr>
        <w:pStyle w:val="Heading2"/>
        <w:rPr/>
      </w:pPr>
      <w:bookmarkStart w:id="41" w:name="_99nbcxjhna4z"/>
      <w:bookmarkEnd w:id="41"/>
      <w:r>
        <w:rPr/>
        <w:t>3.3</w:t>
        <w:tab/>
        <w:t>Methodological Choice</w:t>
      </w:r>
    </w:p>
    <w:p>
      <w:pPr>
        <w:pStyle w:val="normal1"/>
        <w:jc w:val="both"/>
        <w:rPr/>
      </w:pPr>
      <w:r>
        <w:rPr/>
        <w:t>A mixed-methods design was selected to capture both statistical trends and subjective experiences (Doyle et al., 2009). The quantitative component (crime statistics, surveys) will measure changes in crime rates and general perceptions of policing effectiveness. The qualitative component (interviews, focus groups) will explore why certain trends exist—for instance, why some residents distrust police despite crime reductions. By triangulating these datasets, the study can provide a more comprehensive understanding than either method alone (Bryman, 2016). For example, if surveys show improved trust in certain neighborhoods, interviews may reveal that this stems from officers’ consistent visibility, a theme that statistics alone cannot explain.</w:t>
      </w:r>
    </w:p>
    <w:p>
      <w:pPr>
        <w:pStyle w:val="Heading2"/>
        <w:rPr/>
      </w:pPr>
      <w:bookmarkStart w:id="42" w:name="_afz5nyharac3"/>
      <w:bookmarkEnd w:id="42"/>
      <w:r>
        <w:rPr/>
        <w:t>3.4</w:t>
        <w:tab/>
        <w:t>Research Strategy</w:t>
      </w:r>
    </w:p>
    <w:p>
      <w:pPr>
        <w:pStyle w:val="normal1"/>
        <w:jc w:val="both"/>
        <w:rPr/>
      </w:pPr>
      <w:r>
        <w:rPr/>
        <w:t>A case study strategy focuses on Telford as a single, context-rich setting to explore community policing in depth (Yin, 2014). Telford is an ideal case because it has implemented neighborhood policing initiatives (e.g., increased foot patrols, community meetings) while facing socio-economic diversity and crime challenges similar to other UK towns (Office for National Statistics, 2023). The case study allows the researcher to examine how these strategies play out in practice, using multiple data sources (surveys, interviews) to build a holistic picture. Unlike broader surveys, this approach captures localized nuances—such as how policing strategies might differ between high-crime and low-crime neighborhoods within Telford.</w:t>
      </w:r>
    </w:p>
    <w:p>
      <w:pPr>
        <w:pStyle w:val="Heading2"/>
        <w:rPr/>
      </w:pPr>
      <w:bookmarkStart w:id="43" w:name="_klyh3s7pru7w"/>
      <w:bookmarkEnd w:id="43"/>
      <w:r>
        <w:rPr/>
        <w:t>3.5</w:t>
        <w:tab/>
        <w:t>Time Horizon</w:t>
      </w:r>
    </w:p>
    <w:p>
      <w:pPr>
        <w:pStyle w:val="normal1"/>
        <w:jc w:val="both"/>
        <w:rPr/>
      </w:pPr>
      <w:r>
        <w:rPr/>
        <w:t>A cross-sectional time horizon was adopted, collecting data over a 2–3 week period to meet project deadlines (Levin, 2006). While this design cannot track long-term changes (e.g., whether trust in police improves over years), it efficiently captures a snapshot of current perceptions and crime data. For an undergraduate study, this balance between depth and feasibility is pragmatic. Future research could expand this work longitudinally to assess sustainability.</w:t>
      </w:r>
    </w:p>
    <w:p>
      <w:pPr>
        <w:pStyle w:val="Heading2"/>
        <w:rPr/>
      </w:pPr>
      <w:bookmarkStart w:id="44" w:name="_rptudrkvunzm"/>
      <w:bookmarkEnd w:id="44"/>
      <w:r>
        <w:rPr/>
        <w:t>3.6</w:t>
        <w:tab/>
        <w:t>Data Collection Techniques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This study employs primary and secondary data collection to investigate community policing in Telford.</w:t>
      </w:r>
    </w:p>
    <w:p>
      <w:pPr>
        <w:pStyle w:val="Heading3"/>
        <w:rPr>
          <w:rFonts w:ascii="Arial" w:hAnsi="Arial" w:eastAsia="Arial" w:cs="Arial"/>
        </w:rPr>
      </w:pPr>
      <w:bookmarkStart w:id="45" w:name="_8hdbqm5o1r6p"/>
      <w:bookmarkEnd w:id="45"/>
      <w:r>
        <w:rPr>
          <w:rFonts w:eastAsia="Arial" w:cs="Arial" w:ascii="Arial" w:hAnsi="Arial"/>
        </w:rPr>
        <w:t>3.6.2</w:t>
        <w:tab/>
        <w:t>Primary Data Collection</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primary data was gathered through the following tools:</w:t>
      </w:r>
    </w:p>
    <w:p>
      <w:pPr>
        <w:pStyle w:val="normal1"/>
        <w:keepNext w:val="false"/>
        <w:keepLines w:val="false"/>
        <w:pageBreakBefore w:val="false"/>
        <w:widowControl/>
        <w:numPr>
          <w:ilvl w:val="0"/>
          <w:numId w:val="12"/>
        </w:numPr>
        <w:pBdr/>
        <w:shd w:val="clear" w:fill="auto"/>
        <w:spacing w:lineRule="auto" w:line="360" w:before="0" w:after="140"/>
        <w:ind w:hanging="360" w:left="72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Structured Surveys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0"/>
          <w:numId w:val="14"/>
        </w:numPr>
        <w:pBdr/>
        <w:shd w:val="clear" w:fill="auto"/>
        <w:spacing w:lineRule="auto" w:line="360" w:before="0" w:after="140"/>
        <w:ind w:hanging="360" w:left="144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 questionnaire with closed and open-ended questions was distributed to Telford residents via: Online platforms (WhatsApp, Facebook neighborhood groups), Paper copies in community centers (to include less tech-savvy participants).</w:t>
      </w:r>
    </w:p>
    <w:p>
      <w:pPr>
        <w:pStyle w:val="normal1"/>
        <w:keepNext w:val="false"/>
        <w:keepLines w:val="false"/>
        <w:pageBreakBefore w:val="false"/>
        <w:widowControl/>
        <w:numPr>
          <w:ilvl w:val="0"/>
          <w:numId w:val="14"/>
        </w:numPr>
        <w:pBdr/>
        <w:shd w:val="clear" w:fill="auto"/>
        <w:spacing w:lineRule="auto" w:line="360" w:before="0" w:after="140"/>
        <w:ind w:hanging="360" w:left="144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Questions focused on: Perceptions of police-community relationships, Changes in neighborhood crime rates, Experiences with community policing initiatives.</w:t>
      </w:r>
    </w:p>
    <w:p>
      <w:pPr>
        <w:pStyle w:val="normal1"/>
        <w:keepNext w:val="false"/>
        <w:keepLines w:val="false"/>
        <w:pageBreakBefore w:val="false"/>
        <w:widowControl/>
        <w:numPr>
          <w:ilvl w:val="0"/>
          <w:numId w:val="12"/>
        </w:numPr>
        <w:pBdr/>
        <w:shd w:val="clear" w:fill="auto"/>
        <w:spacing w:lineRule="auto" w:line="360" w:before="0" w:after="140"/>
        <w:ind w:hanging="360" w:left="72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Semi-structured Interviews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0"/>
          <w:numId w:val="15"/>
        </w:numPr>
        <w:pBdr/>
        <w:shd w:val="clear" w:fill="auto"/>
        <w:spacing w:lineRule="auto" w:line="360" w:before="0" w:after="140"/>
        <w:ind w:hanging="360" w:left="144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Conducted with: Police officers involved in community policing, Community leaders (e.g., neighborhood watch coordinators.</w:t>
      </w:r>
    </w:p>
    <w:p>
      <w:pPr>
        <w:pStyle w:val="normal1"/>
        <w:keepNext w:val="false"/>
        <w:keepLines w:val="false"/>
        <w:pageBreakBefore w:val="false"/>
        <w:widowControl/>
        <w:numPr>
          <w:ilvl w:val="0"/>
          <w:numId w:val="15"/>
        </w:numPr>
        <w:pBdr/>
        <w:shd w:val="clear" w:fill="auto"/>
        <w:spacing w:lineRule="auto" w:line="360" w:before="0" w:after="140"/>
        <w:ind w:hanging="360" w:left="144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Topics included: Challenges in implementing community policing, Success stories and lessons learned.</w:t>
      </w:r>
    </w:p>
    <w:p>
      <w:pPr>
        <w:pStyle w:val="normal1"/>
        <w:keepNext w:val="false"/>
        <w:keepLines w:val="false"/>
        <w:pageBreakBefore w:val="false"/>
        <w:widowControl/>
        <w:numPr>
          <w:ilvl w:val="0"/>
          <w:numId w:val="12"/>
        </w:numPr>
        <w:pBdr/>
        <w:shd w:val="clear" w:fill="auto"/>
        <w:spacing w:lineRule="auto" w:line="360" w:before="0" w:after="140"/>
        <w:ind w:hanging="360" w:left="72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Focus Groups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0"/>
          <w:numId w:val="16"/>
        </w:numPr>
        <w:pBdr/>
        <w:shd w:val="clear" w:fill="auto"/>
        <w:spacing w:lineRule="auto" w:line="360" w:before="0" w:after="140"/>
        <w:ind w:hanging="360" w:left="144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Small group discussions (4–6 residents per session).</w:t>
      </w:r>
    </w:p>
    <w:p>
      <w:pPr>
        <w:pStyle w:val="normal1"/>
        <w:keepNext w:val="false"/>
        <w:keepLines w:val="false"/>
        <w:pageBreakBefore w:val="false"/>
        <w:widowControl/>
        <w:numPr>
          <w:ilvl w:val="0"/>
          <w:numId w:val="16"/>
        </w:numPr>
        <w:pBdr/>
        <w:shd w:val="clear" w:fill="auto"/>
        <w:spacing w:lineRule="auto" w:line="360" w:before="0" w:after="140"/>
        <w:ind w:hanging="360" w:left="144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Explored collective views on policing and safety  </w:t>
      </w:r>
    </w:p>
    <w:p>
      <w:pPr>
        <w:pStyle w:val="normal1"/>
        <w:jc w:val="both"/>
        <w:rPr/>
      </w:pPr>
      <w:r>
        <w:rPr/>
        <w:t xml:space="preserve">This multi-method approach ensures diverse perspectives are captured (Bryman, 2016). Online surveys increase reach, while paper surveys reduce digital bias. Interviews and focus groups provide depth.  </w:t>
      </w:r>
    </w:p>
    <w:p>
      <w:pPr>
        <w:pStyle w:val="Heading3"/>
        <w:rPr>
          <w:rFonts w:ascii="Arial" w:hAnsi="Arial" w:eastAsia="Arial" w:cs="Arial"/>
        </w:rPr>
      </w:pPr>
      <w:bookmarkStart w:id="46" w:name="_ijvj9xbf5cim"/>
      <w:bookmarkEnd w:id="46"/>
      <w:r>
        <w:rPr>
          <w:rFonts w:eastAsia="Arial" w:cs="Arial" w:ascii="Arial" w:hAnsi="Arial"/>
        </w:rPr>
        <w:t>3.6.3</w:t>
        <w:tab/>
        <w:t>Secondary Data Collection</w:t>
      </w:r>
    </w:p>
    <w:p>
      <w:pPr>
        <w:pStyle w:val="normal1"/>
        <w:keepNext w:val="false"/>
        <w:keepLines w:val="false"/>
        <w:pageBreakBefore w:val="false"/>
        <w:widowControl/>
        <w:numPr>
          <w:ilvl w:val="0"/>
          <w:numId w:val="17"/>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Reviewed crime statistics from Telford &amp; Wrekin Council (2023).</w:t>
      </w:r>
    </w:p>
    <w:p>
      <w:pPr>
        <w:pStyle w:val="normal1"/>
        <w:keepNext w:val="false"/>
        <w:keepLines w:val="false"/>
        <w:pageBreakBefore w:val="false"/>
        <w:widowControl/>
        <w:numPr>
          <w:ilvl w:val="0"/>
          <w:numId w:val="17"/>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Analyzed policy documents on community policing (College of Policing, 2024) </w:t>
      </w:r>
    </w:p>
    <w:p>
      <w:pPr>
        <w:pStyle w:val="Heading3"/>
        <w:rPr>
          <w:rFonts w:ascii="Arial" w:hAnsi="Arial" w:eastAsia="Arial" w:cs="Arial"/>
        </w:rPr>
      </w:pPr>
      <w:bookmarkStart w:id="47" w:name="_h1b1m1j8k9g3"/>
      <w:bookmarkEnd w:id="47"/>
      <w:r>
        <w:rPr>
          <w:rFonts w:eastAsia="Arial" w:cs="Arial" w:ascii="Arial" w:hAnsi="Arial"/>
        </w:rPr>
        <w:t>3.7</w:t>
        <w:tab/>
        <w:t>Sampling Strategy</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 mixed sampling strategy ensured diverse and relevant participation: </w:t>
      </w:r>
    </w:p>
    <w:p>
      <w:pPr>
        <w:pStyle w:val="normal1"/>
        <w:numPr>
          <w:ilvl w:val="0"/>
          <w:numId w:val="23"/>
        </w:numPr>
        <w:spacing w:lineRule="auto" w:line="240" w:before="0" w:after="0"/>
        <w:ind w:hanging="360" w:left="720"/>
        <w:jc w:val="both"/>
        <w:rPr/>
      </w:pPr>
      <w:r>
        <w:rPr/>
        <w:t xml:space="preserve">Purposive Sampling: </w:t>
      </w:r>
    </w:p>
    <w:p>
      <w:pPr>
        <w:pStyle w:val="normal1"/>
        <w:keepNext w:val="false"/>
        <w:keepLines w:val="false"/>
        <w:pageBreakBefore w:val="false"/>
        <w:widowControl/>
        <w:numPr>
          <w:ilvl w:val="0"/>
          <w:numId w:val="18"/>
        </w:numPr>
        <w:pBdr/>
        <w:shd w:val="clear" w:fill="auto"/>
        <w:spacing w:lineRule="auto" w:line="360" w:before="0" w:after="0"/>
        <w:ind w:hanging="360" w:left="10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Used for interviews/focus groups  </w:t>
      </w:r>
    </w:p>
    <w:p>
      <w:pPr>
        <w:pStyle w:val="normal1"/>
        <w:keepNext w:val="false"/>
        <w:keepLines w:val="false"/>
        <w:pageBreakBefore w:val="false"/>
        <w:widowControl/>
        <w:numPr>
          <w:ilvl w:val="0"/>
          <w:numId w:val="18"/>
        </w:numPr>
        <w:pBdr/>
        <w:shd w:val="clear" w:fill="auto"/>
        <w:spacing w:lineRule="auto" w:line="360" w:before="0" w:after="0"/>
        <w:ind w:hanging="360" w:left="10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Participants selected based on:  </w:t>
      </w:r>
    </w:p>
    <w:p>
      <w:pPr>
        <w:pStyle w:val="normal1"/>
        <w:keepNext w:val="false"/>
        <w:keepLines w:val="false"/>
        <w:pageBreakBefore w:val="false"/>
        <w:widowControl/>
        <w:numPr>
          <w:ilvl w:val="0"/>
          <w:numId w:val="18"/>
        </w:numPr>
        <w:pBdr/>
        <w:shd w:val="clear" w:fill="auto"/>
        <w:spacing w:lineRule="auto" w:line="360" w:before="0" w:after="0"/>
        <w:ind w:hanging="360" w:left="10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Direct involvement in community policing (officers, leaders)  </w:t>
      </w:r>
    </w:p>
    <w:p>
      <w:pPr>
        <w:pStyle w:val="normal1"/>
        <w:keepNext w:val="false"/>
        <w:keepLines w:val="false"/>
        <w:pageBreakBefore w:val="false"/>
        <w:widowControl/>
        <w:numPr>
          <w:ilvl w:val="0"/>
          <w:numId w:val="18"/>
        </w:numPr>
        <w:pBdr/>
        <w:shd w:val="clear" w:fill="auto"/>
        <w:spacing w:lineRule="auto" w:line="360" w:before="0" w:after="0"/>
        <w:ind w:hanging="360" w:left="10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Residency in neighborhoods with active policing initiatives </w:t>
      </w:r>
    </w:p>
    <w:p>
      <w:pPr>
        <w:pStyle w:val="normal1"/>
        <w:numPr>
          <w:ilvl w:val="0"/>
          <w:numId w:val="23"/>
        </w:numPr>
        <w:spacing w:lineRule="auto" w:line="240" w:before="0" w:after="0"/>
        <w:ind w:hanging="360" w:left="720"/>
        <w:jc w:val="both"/>
        <w:rPr/>
      </w:pPr>
      <w:r>
        <w:rPr/>
        <w:t>Random Sampling:</w:t>
      </w:r>
    </w:p>
    <w:p>
      <w:pPr>
        <w:pStyle w:val="normal1"/>
        <w:keepNext w:val="false"/>
        <w:keepLines w:val="false"/>
        <w:pageBreakBefore w:val="false"/>
        <w:widowControl/>
        <w:numPr>
          <w:ilvl w:val="0"/>
          <w:numId w:val="19"/>
        </w:numPr>
        <w:pBdr/>
        <w:shd w:val="clear" w:fill="auto"/>
        <w:spacing w:lineRule="auto" w:line="360" w:before="0" w:after="0"/>
        <w:ind w:hanging="360" w:left="10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Used for surveys</w:t>
      </w:r>
    </w:p>
    <w:p>
      <w:pPr>
        <w:pStyle w:val="normal1"/>
        <w:keepNext w:val="false"/>
        <w:keepLines w:val="false"/>
        <w:pageBreakBefore w:val="false"/>
        <w:widowControl/>
        <w:numPr>
          <w:ilvl w:val="0"/>
          <w:numId w:val="19"/>
        </w:numPr>
        <w:pBdr/>
        <w:shd w:val="clear" w:fill="auto"/>
        <w:spacing w:lineRule="auto" w:line="360" w:before="0" w:after="0"/>
        <w:ind w:hanging="360" w:left="10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Distributed across multiple Telford neighborhoods to avoid bias.</w:t>
      </w:r>
    </w:p>
    <w:p>
      <w:pPr>
        <w:pStyle w:val="Heading3"/>
        <w:rPr>
          <w:rFonts w:ascii="Arial" w:hAnsi="Arial" w:eastAsia="Arial" w:cs="Arial"/>
        </w:rPr>
      </w:pPr>
      <w:bookmarkStart w:id="48" w:name="_81ci1lsamtuy"/>
      <w:bookmarkEnd w:id="48"/>
      <w:r>
        <w:rPr>
          <w:rFonts w:eastAsia="Arial" w:cs="Arial" w:ascii="Arial" w:hAnsi="Arial"/>
        </w:rPr>
        <w:t>3.7.2</w:t>
        <w:tab/>
        <w:t>Sample Size</w:t>
      </w:r>
    </w:p>
    <w:p>
      <w:pPr>
        <w:pStyle w:val="normal1"/>
        <w:keepNext w:val="false"/>
        <w:keepLines w:val="false"/>
        <w:pageBreakBefore w:val="false"/>
        <w:widowControl/>
        <w:numPr>
          <w:ilvl w:val="0"/>
          <w:numId w:val="1"/>
        </w:numPr>
        <w:pBdr/>
        <w:shd w:val="clear" w:fill="auto"/>
        <w:tabs>
          <w:tab w:val="clear" w:pos="720"/>
          <w:tab w:val="left" w:pos="1418" w:leader="none"/>
        </w:tabs>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Surveys: 100–150 respondents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were targeted to provide sufficient data for basic statistical trends (Saunders et al., 2019).</w:t>
      </w:r>
    </w:p>
    <w:p>
      <w:pPr>
        <w:pStyle w:val="normal1"/>
        <w:keepNext w:val="false"/>
        <w:keepLines w:val="false"/>
        <w:pageBreakBefore w:val="false"/>
        <w:widowControl/>
        <w:numPr>
          <w:ilvl w:val="0"/>
          <w:numId w:val="1"/>
        </w:numPr>
        <w:pBdr/>
        <w:shd w:val="clear" w:fill="auto"/>
        <w:tabs>
          <w:tab w:val="clear" w:pos="720"/>
          <w:tab w:val="left" w:pos="1418" w:leader="none"/>
        </w:tabs>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Interviews/Focus Groups: 15–20 participants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were engaged to ensure thematic saturation (no new themes emerge) (Braun &amp; Clarke, 2006).</w:t>
      </w:r>
    </w:p>
    <w:p>
      <w:pPr>
        <w:pStyle w:val="Heading3"/>
        <w:rPr>
          <w:rFonts w:ascii="Arial" w:hAnsi="Arial" w:eastAsia="Arial" w:cs="Arial"/>
        </w:rPr>
      </w:pPr>
      <w:bookmarkStart w:id="49" w:name="_10qlx0qqto2z"/>
      <w:bookmarkEnd w:id="49"/>
      <w:r>
        <w:rPr>
          <w:rFonts w:eastAsia="Arial" w:cs="Arial" w:ascii="Arial" w:hAnsi="Arial"/>
        </w:rPr>
        <w:t>3.7.3</w:t>
        <w:tab/>
        <w:t>Inclusion and Exclusion Criteria</w:t>
      </w:r>
    </w:p>
    <w:p>
      <w:pPr>
        <w:pStyle w:val="normal1"/>
        <w:keepNext w:val="false"/>
        <w:keepLines w:val="false"/>
        <w:pageBreakBefore w:val="false"/>
        <w:widowControl/>
        <w:numPr>
          <w:ilvl w:val="0"/>
          <w:numId w:val="34"/>
        </w:numPr>
        <w:pBdr/>
        <w:shd w:val="clear" w:fill="auto"/>
        <w:tabs>
          <w:tab w:val="clear" w:pos="720"/>
          <w:tab w:val="left" w:pos="1418" w:leader="none"/>
        </w:tabs>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Inclusion</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1"/>
          <w:numId w:val="20"/>
        </w:numPr>
        <w:pBdr/>
        <w:shd w:val="clear" w:fill="auto"/>
        <w:tabs>
          <w:tab w:val="clear" w:pos="720"/>
          <w:tab w:val="left" w:pos="1844" w:leader="none"/>
        </w:tabs>
        <w:spacing w:lineRule="auto" w:line="360" w:before="0" w:after="140"/>
        <w:ind w:hanging="360" w:left="993"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Adults (18+).</w:t>
      </w:r>
    </w:p>
    <w:p>
      <w:pPr>
        <w:pStyle w:val="normal1"/>
        <w:keepNext w:val="false"/>
        <w:keepLines w:val="false"/>
        <w:pageBreakBefore w:val="false"/>
        <w:widowControl/>
        <w:numPr>
          <w:ilvl w:val="1"/>
          <w:numId w:val="20"/>
        </w:numPr>
        <w:pBdr/>
        <w:shd w:val="clear" w:fill="auto"/>
        <w:tabs>
          <w:tab w:val="clear" w:pos="720"/>
          <w:tab w:val="left" w:pos="1844" w:leader="none"/>
        </w:tabs>
        <w:spacing w:lineRule="auto" w:line="360" w:before="0" w:after="140"/>
        <w:ind w:hanging="360" w:left="993"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Telford residents or policing professionals.</w:t>
      </w:r>
    </w:p>
    <w:p>
      <w:pPr>
        <w:pStyle w:val="normal1"/>
        <w:keepNext w:val="false"/>
        <w:keepLines w:val="false"/>
        <w:pageBreakBefore w:val="false"/>
        <w:widowControl/>
        <w:numPr>
          <w:ilvl w:val="0"/>
          <w:numId w:val="34"/>
        </w:numPr>
        <w:pBdr/>
        <w:shd w:val="clear" w:fill="auto"/>
        <w:tabs>
          <w:tab w:val="clear" w:pos="720"/>
          <w:tab w:val="left" w:pos="1418" w:leader="none"/>
        </w:tabs>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Exclusion</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0"/>
          <w:numId w:val="21"/>
        </w:numPr>
        <w:pBdr/>
        <w:shd w:val="clear" w:fill="auto"/>
        <w:tabs>
          <w:tab w:val="clear" w:pos="720"/>
          <w:tab w:val="left" w:pos="2127" w:leader="none"/>
        </w:tabs>
        <w:spacing w:lineRule="auto" w:line="360" w:before="0" w:after="140"/>
        <w:ind w:hanging="360" w:left="993"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Under 18s (ethical constraints)</w:t>
      </w:r>
    </w:p>
    <w:p>
      <w:pPr>
        <w:pStyle w:val="normal1"/>
        <w:keepNext w:val="false"/>
        <w:keepLines w:val="false"/>
        <w:pageBreakBefore w:val="false"/>
        <w:widowControl/>
        <w:numPr>
          <w:ilvl w:val="0"/>
          <w:numId w:val="21"/>
        </w:numPr>
        <w:pBdr/>
        <w:shd w:val="clear" w:fill="auto"/>
        <w:tabs>
          <w:tab w:val="clear" w:pos="720"/>
          <w:tab w:val="left" w:pos="2127" w:leader="none"/>
        </w:tabs>
        <w:spacing w:lineRule="auto" w:line="360" w:before="0" w:after="140"/>
        <w:ind w:hanging="360" w:left="993"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Non-residents (irrelevant to Telford’s context) </w:t>
      </w:r>
    </w:p>
    <w:p>
      <w:pPr>
        <w:pStyle w:val="Heading2"/>
        <w:rPr/>
      </w:pPr>
      <w:bookmarkStart w:id="50" w:name="_122uustl135h"/>
      <w:bookmarkEnd w:id="50"/>
      <w:r>
        <w:rPr/>
        <w:t>3.8</w:t>
        <w:tab/>
        <w:t>Data Analysis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Data was analyzed using mixed-methods techniques. </w:t>
      </w:r>
    </w:p>
    <w:p>
      <w:pPr>
        <w:pStyle w:val="Heading3"/>
        <w:rPr>
          <w:rFonts w:ascii="Arial" w:hAnsi="Arial" w:eastAsia="Arial" w:cs="Arial"/>
        </w:rPr>
      </w:pPr>
      <w:bookmarkStart w:id="51" w:name="_miyxbom2v5qb"/>
      <w:bookmarkEnd w:id="51"/>
      <w:r>
        <w:rPr>
          <w:rFonts w:eastAsia="Arial" w:cs="Arial" w:ascii="Arial" w:hAnsi="Arial"/>
        </w:rPr>
        <w:t>3.8.2</w:t>
        <w:tab/>
        <w:t>Quantitative Data Analysis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Survey responses were analyzed using:</w:t>
      </w:r>
    </w:p>
    <w:p>
      <w:pPr>
        <w:pStyle w:val="normal1"/>
        <w:keepNext w:val="false"/>
        <w:keepLines w:val="false"/>
        <w:pageBreakBefore w:val="false"/>
        <w:widowControl/>
        <w:numPr>
          <w:ilvl w:val="0"/>
          <w:numId w:val="22"/>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Descriptive statistics (percentages, averages).</w:t>
      </w:r>
    </w:p>
    <w:p>
      <w:pPr>
        <w:pStyle w:val="normal1"/>
        <w:keepNext w:val="false"/>
        <w:keepLines w:val="false"/>
        <w:pageBreakBefore w:val="false"/>
        <w:widowControl/>
        <w:numPr>
          <w:ilvl w:val="0"/>
          <w:numId w:val="22"/>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Comparative charts** (e.g., trust levels vs. crime rates).</w:t>
      </w:r>
    </w:p>
    <w:p>
      <w:pPr>
        <w:pStyle w:val="Heading3"/>
        <w:rPr>
          <w:rFonts w:ascii="Arial" w:hAnsi="Arial" w:eastAsia="Arial" w:cs="Arial"/>
        </w:rPr>
      </w:pPr>
      <w:bookmarkStart w:id="52" w:name="_jvs3r2o07wm7"/>
      <w:bookmarkEnd w:id="52"/>
      <w:r>
        <w:rPr>
          <w:rFonts w:eastAsia="Arial" w:cs="Arial" w:ascii="Arial" w:hAnsi="Arial"/>
        </w:rPr>
        <w:t>3.8.3 Qualitative Data Analysis</w:t>
      </w:r>
    </w:p>
    <w:p>
      <w:pPr>
        <w:pStyle w:val="normal1"/>
        <w:rPr/>
      </w:pPr>
      <w:r>
        <w:rPr/>
        <w:t xml:space="preserve">Interview/focus group transcripts were coded using thematic analysis (Braun &amp; Clarke, 2006):  </w:t>
      </w:r>
    </w:p>
    <w:p>
      <w:pPr>
        <w:pStyle w:val="normal1"/>
        <w:keepNext w:val="false"/>
        <w:keepLines w:val="false"/>
        <w:pageBreakBefore w:val="false"/>
        <w:widowControl/>
        <w:numPr>
          <w:ilvl w:val="0"/>
          <w:numId w:val="24"/>
        </w:numPr>
        <w:pBdr/>
        <w:shd w:val="clear" w:fill="auto"/>
        <w:spacing w:lineRule="auto" w:line="360" w:before="0" w:after="0"/>
        <w:ind w:hanging="360" w:left="72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Familiarization: Reading transcripts multiple times  </w:t>
      </w:r>
    </w:p>
    <w:p>
      <w:pPr>
        <w:pStyle w:val="normal1"/>
        <w:keepNext w:val="false"/>
        <w:keepLines w:val="false"/>
        <w:pageBreakBefore w:val="false"/>
        <w:widowControl/>
        <w:numPr>
          <w:ilvl w:val="0"/>
          <w:numId w:val="24"/>
        </w:numPr>
        <w:pBdr/>
        <w:shd w:val="clear" w:fill="auto"/>
        <w:spacing w:lineRule="auto" w:line="360" w:before="0" w:after="0"/>
        <w:ind w:hanging="360" w:left="72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Initial Coding: Highlighting key phrases  </w:t>
      </w:r>
    </w:p>
    <w:p>
      <w:pPr>
        <w:pStyle w:val="normal1"/>
        <w:keepNext w:val="false"/>
        <w:keepLines w:val="false"/>
        <w:pageBreakBefore w:val="false"/>
        <w:widowControl/>
        <w:numPr>
          <w:ilvl w:val="0"/>
          <w:numId w:val="24"/>
        </w:numPr>
        <w:pBdr/>
        <w:shd w:val="clear" w:fill="auto"/>
        <w:spacing w:lineRule="auto" w:line="360" w:before="0" w:after="0"/>
        <w:ind w:hanging="360" w:left="72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Theme Identification: Grouping codes into themes (e.g., "trust barriers")  </w:t>
      </w:r>
    </w:p>
    <w:p>
      <w:pPr>
        <w:pStyle w:val="normal1"/>
        <w:keepNext w:val="false"/>
        <w:keepLines w:val="false"/>
        <w:pageBreakBefore w:val="false"/>
        <w:widowControl/>
        <w:numPr>
          <w:ilvl w:val="0"/>
          <w:numId w:val="24"/>
        </w:numPr>
        <w:pBdr/>
        <w:shd w:val="clear" w:fill="auto"/>
        <w:spacing w:lineRule="auto" w:line="360" w:before="0" w:after="0"/>
        <w:ind w:hanging="360" w:left="72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Theme Review: Refining themes for consistency  </w:t>
      </w:r>
    </w:p>
    <w:p>
      <w:pPr>
        <w:pStyle w:val="normal1"/>
        <w:keepNext w:val="false"/>
        <w:keepLines w:val="false"/>
        <w:pageBreakBefore w:val="false"/>
        <w:widowControl/>
        <w:numPr>
          <w:ilvl w:val="0"/>
          <w:numId w:val="24"/>
        </w:numPr>
        <w:pBdr/>
        <w:shd w:val="clear" w:fill="auto"/>
        <w:spacing w:lineRule="auto" w:line="360" w:before="0" w:after="0"/>
        <w:ind w:hanging="360" w:left="72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Reporting: Using quotes to illustrate findings  </w:t>
      </w:r>
    </w:p>
    <w:p>
      <w:pPr>
        <w:pStyle w:val="Heading2"/>
        <w:rPr/>
      </w:pPr>
      <w:bookmarkStart w:id="53" w:name="_kzd3amom89aa"/>
      <w:bookmarkEnd w:id="53"/>
      <w:r>
        <w:rPr/>
        <w:t>3.9</w:t>
        <w:tab/>
        <w:t>Ethical Considerations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This research was conducted in accordance with ethical guidelines established by the University and broader academic research standards. Ethical approval was obtained prior to the commencement of data collection, and all participants were treated with respect, confidentiality, and care throughout the research process. Key measures included: </w:t>
      </w:r>
    </w:p>
    <w:p>
      <w:pPr>
        <w:pStyle w:val="Heading3"/>
        <w:rPr>
          <w:rFonts w:ascii="Arial" w:hAnsi="Arial" w:eastAsia="Arial" w:cs="Arial"/>
        </w:rPr>
      </w:pPr>
      <w:bookmarkStart w:id="54" w:name="_vh6ilw575uf"/>
      <w:bookmarkEnd w:id="54"/>
      <w:r>
        <w:rPr>
          <w:rFonts w:eastAsia="Arial" w:cs="Arial" w:ascii="Arial" w:hAnsi="Arial"/>
        </w:rPr>
        <w:t>3.9.2</w:t>
        <w:tab/>
        <w:t>Informed Consent</w:t>
      </w:r>
    </w:p>
    <w:p>
      <w:pPr>
        <w:pStyle w:val="normal1"/>
        <w:keepNext w:val="false"/>
        <w:keepLines w:val="false"/>
        <w:pageBreakBefore w:val="false"/>
        <w:widowControl/>
        <w:numPr>
          <w:ilvl w:val="0"/>
          <w:numId w:val="25"/>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Participants received an information sheet and signed consent forms. </w:t>
      </w:r>
    </w:p>
    <w:p>
      <w:pPr>
        <w:pStyle w:val="normal1"/>
        <w:keepNext w:val="false"/>
        <w:keepLines w:val="false"/>
        <w:pageBreakBefore w:val="false"/>
        <w:widowControl/>
        <w:numPr>
          <w:ilvl w:val="0"/>
          <w:numId w:val="25"/>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Could withdraw anytime using a unique code (for anonymity). </w:t>
      </w:r>
    </w:p>
    <w:p>
      <w:pPr>
        <w:pStyle w:val="Heading3"/>
        <w:rPr>
          <w:rFonts w:ascii="Arial" w:hAnsi="Arial" w:eastAsia="Arial" w:cs="Arial"/>
        </w:rPr>
      </w:pPr>
      <w:bookmarkStart w:id="55" w:name="_udwoxh7thx2d"/>
      <w:bookmarkEnd w:id="55"/>
      <w:r>
        <w:rPr>
          <w:rFonts w:eastAsia="Arial" w:cs="Arial" w:ascii="Arial" w:hAnsi="Arial"/>
        </w:rPr>
        <w:t>3.9.3</w:t>
        <w:tab/>
        <w:t>Anonymity and Confidentiality</w:t>
      </w:r>
    </w:p>
    <w:p>
      <w:pPr>
        <w:pStyle w:val="normal1"/>
        <w:keepNext w:val="false"/>
        <w:keepLines w:val="false"/>
        <w:pageBreakBefore w:val="false"/>
        <w:widowControl/>
        <w:numPr>
          <w:ilvl w:val="0"/>
          <w:numId w:val="26"/>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All data was anonymised (e.g., "Resident A," "Officer B").  </w:t>
      </w:r>
    </w:p>
    <w:p>
      <w:pPr>
        <w:pStyle w:val="normal1"/>
        <w:keepNext w:val="false"/>
        <w:keepLines w:val="false"/>
        <w:pageBreakBefore w:val="false"/>
        <w:widowControl/>
        <w:numPr>
          <w:ilvl w:val="0"/>
          <w:numId w:val="26"/>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Transcripts stored securely (password-protected).</w:t>
      </w:r>
    </w:p>
    <w:p>
      <w:pPr>
        <w:pStyle w:val="Heading3"/>
        <w:rPr>
          <w:rFonts w:ascii="Arial" w:hAnsi="Arial" w:eastAsia="Arial" w:cs="Arial"/>
        </w:rPr>
      </w:pPr>
      <w:bookmarkStart w:id="56" w:name="_kwoleoyywk1h"/>
      <w:bookmarkEnd w:id="56"/>
      <w:r>
        <w:rPr>
          <w:rFonts w:eastAsia="Arial" w:cs="Arial" w:ascii="Arial" w:hAnsi="Arial"/>
        </w:rPr>
        <w:t>3.9.4</w:t>
        <w:tab/>
        <w:t>Minimising Harm</w:t>
      </w:r>
    </w:p>
    <w:p>
      <w:pPr>
        <w:pStyle w:val="normal1"/>
        <w:keepNext w:val="false"/>
        <w:keepLines w:val="false"/>
        <w:pageBreakBefore w:val="false"/>
        <w:widowControl/>
        <w:numPr>
          <w:ilvl w:val="0"/>
          <w:numId w:val="27"/>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Sensitive topics (e.g., crime experiences) were handled carefully.  </w:t>
      </w:r>
    </w:p>
    <w:p>
      <w:pPr>
        <w:pStyle w:val="normal1"/>
        <w:keepNext w:val="false"/>
        <w:keepLines w:val="false"/>
        <w:pageBreakBefore w:val="false"/>
        <w:widowControl/>
        <w:numPr>
          <w:ilvl w:val="0"/>
          <w:numId w:val="27"/>
        </w:numPr>
        <w:pBdr/>
        <w:shd w:val="clear" w:fill="auto"/>
        <w:spacing w:lineRule="auto" w:line="360" w:before="0" w:after="140"/>
        <w:ind w:hanging="360" w:left="72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Support helplines were provided in debrief forms.</w:t>
      </w:r>
    </w:p>
    <w:p>
      <w:pPr>
        <w:pStyle w:val="Heading2"/>
        <w:rPr/>
      </w:pPr>
      <w:bookmarkStart w:id="57" w:name="_7t9f0t2cilj5"/>
      <w:bookmarkEnd w:id="57"/>
      <w:r>
        <w:rPr/>
        <w:t>3.10</w:t>
        <w:tab/>
        <w:t>Reliability and Validity</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Ensuring the </w:t>
      </w:r>
      <w:r>
        <w:rPr>
          <w:rFonts w:eastAsia="Arial" w:cs="Arial"/>
          <w:b/>
          <w:i w:val="false"/>
          <w:caps w:val="false"/>
          <w:smallCaps w:val="false"/>
          <w:strike w:val="false"/>
          <w:dstrike w:val="false"/>
          <w:color w:val="000000"/>
          <w:position w:val="0"/>
          <w:sz w:val="24"/>
          <w:sz w:val="24"/>
          <w:szCs w:val="24"/>
          <w:u w:val="none"/>
          <w:shd w:fill="auto" w:val="clear"/>
          <w:vertAlign w:val="baseline"/>
        </w:rPr>
        <w:t>reliability</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and </w:t>
      </w:r>
      <w:r>
        <w:rPr>
          <w:rFonts w:eastAsia="Arial" w:cs="Arial"/>
          <w:b/>
          <w:i w:val="false"/>
          <w:caps w:val="false"/>
          <w:smallCaps w:val="false"/>
          <w:strike w:val="false"/>
          <w:dstrike w:val="false"/>
          <w:color w:val="000000"/>
          <w:position w:val="0"/>
          <w:sz w:val="24"/>
          <w:sz w:val="24"/>
          <w:szCs w:val="24"/>
          <w:u w:val="none"/>
          <w:shd w:fill="auto" w:val="clear"/>
          <w:vertAlign w:val="baseline"/>
        </w:rPr>
        <w:t>validity</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of the research was a central concern throughout the design and implementation of this study.</w:t>
      </w:r>
    </w:p>
    <w:p>
      <w:pPr>
        <w:pStyle w:val="Heading3"/>
        <w:rPr>
          <w:rFonts w:ascii="Arial" w:hAnsi="Arial" w:eastAsia="Arial" w:cs="Arial"/>
        </w:rPr>
      </w:pPr>
      <w:bookmarkStart w:id="58" w:name="_e5std26b5zd6"/>
      <w:bookmarkEnd w:id="58"/>
      <w:r>
        <w:rPr>
          <w:rFonts w:eastAsia="Arial" w:cs="Arial" w:ascii="Arial" w:hAnsi="Arial"/>
        </w:rPr>
        <w:t>3.10.2</w:t>
        <w:tab/>
        <w:t>Reliability</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To enhance reliability:</w:t>
      </w:r>
    </w:p>
    <w:p>
      <w:pPr>
        <w:pStyle w:val="normal1"/>
        <w:keepNext w:val="false"/>
        <w:keepLines w:val="false"/>
        <w:pageBreakBefore w:val="false"/>
        <w:widowControl/>
        <w:numPr>
          <w:ilvl w:val="0"/>
          <w:numId w:val="41"/>
        </w:numPr>
        <w:pBdr/>
        <w:shd w:val="clear" w:fill="auto"/>
        <w:tabs>
          <w:tab w:val="clear" w:pos="720"/>
          <w:tab w:val="left" w:pos="1418" w:leader="none"/>
        </w:tabs>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Survey: Piloted with 5 residents to refine unclear questions.  </w:t>
      </w:r>
    </w:p>
    <w:p>
      <w:pPr>
        <w:pStyle w:val="normal1"/>
        <w:keepNext w:val="false"/>
        <w:keepLines w:val="false"/>
        <w:pageBreakBefore w:val="false"/>
        <w:widowControl/>
        <w:numPr>
          <w:ilvl w:val="0"/>
          <w:numId w:val="41"/>
        </w:numPr>
        <w:pBdr/>
        <w:shd w:val="clear" w:fill="auto"/>
        <w:tabs>
          <w:tab w:val="clear" w:pos="720"/>
          <w:tab w:val="left" w:pos="1418" w:leader="none"/>
        </w:tabs>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Interviews: Used a consistent topic guide for all participants.  </w:t>
      </w:r>
    </w:p>
    <w:p>
      <w:pPr>
        <w:pStyle w:val="Heading3"/>
        <w:rPr>
          <w:rFonts w:ascii="Arial" w:hAnsi="Arial" w:eastAsia="Arial" w:cs="Arial"/>
        </w:rPr>
      </w:pPr>
      <w:bookmarkStart w:id="59" w:name="_v9dix7f0aila"/>
      <w:bookmarkEnd w:id="59"/>
      <w:r>
        <w:rPr>
          <w:rFonts w:eastAsia="Arial" w:cs="Arial" w:ascii="Arial" w:hAnsi="Arial"/>
        </w:rPr>
        <w:t>3.10.3</w:t>
        <w:tab/>
        <w:t>Validity</w:t>
      </w:r>
    </w:p>
    <w:p>
      <w:pPr>
        <w:pStyle w:val="normal1"/>
        <w:keepNext w:val="false"/>
        <w:keepLines w:val="false"/>
        <w:pageBreakBefore w:val="false"/>
        <w:widowControl/>
        <w:numPr>
          <w:ilvl w:val="0"/>
          <w:numId w:val="42"/>
        </w:numPr>
        <w:pBdr/>
        <w:shd w:val="clear" w:fill="auto"/>
        <w:tabs>
          <w:tab w:val="clear" w:pos="720"/>
          <w:tab w:val="left" w:pos="1418" w:leader="none"/>
        </w:tabs>
        <w:spacing w:lineRule="auto" w:line="360" w:before="0" w:after="140"/>
        <w:ind w:hanging="283" w:left="709" w:right="0"/>
        <w:jc w:val="both"/>
        <w:rPr>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Triangulation: Compared survey stats with interview themes. </w:t>
      </w:r>
      <w:r>
        <w:rPr>
          <w:rFonts w:eastAsia="Arial" w:cs="Arial"/>
          <w:b/>
          <w:i w:val="false"/>
          <w:caps w:val="false"/>
          <w:smallCaps w:val="false"/>
          <w:strike w:val="false"/>
          <w:dstrike w:val="false"/>
          <w:color w:val="000000"/>
          <w:position w:val="0"/>
          <w:sz w:val="24"/>
          <w:sz w:val="24"/>
          <w:szCs w:val="24"/>
          <w:u w:val="none"/>
          <w:shd w:fill="auto" w:val="clear"/>
          <w:vertAlign w:val="baseline"/>
        </w:rPr>
        <w:t>.</w:t>
      </w:r>
    </w:p>
    <w:p>
      <w:pPr>
        <w:pStyle w:val="normal1"/>
        <w:keepNext w:val="false"/>
        <w:keepLines w:val="false"/>
        <w:pageBreakBefore w:val="false"/>
        <w:widowControl/>
        <w:numPr>
          <w:ilvl w:val="0"/>
          <w:numId w:val="42"/>
        </w:numPr>
        <w:pBdr/>
        <w:shd w:val="clear" w:fill="auto"/>
        <w:tabs>
          <w:tab w:val="clear" w:pos="720"/>
          <w:tab w:val="left" w:pos="1418" w:leader="none"/>
        </w:tabs>
        <w:spacing w:lineRule="auto" w:line="360" w:before="0" w:after="140"/>
        <w:ind w:hanging="283" w:left="709" w:right="0"/>
        <w:jc w:val="both"/>
        <w:rPr>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Respondent Validation: Shared draft findings with 2 participants to check accuracy. </w:t>
      </w:r>
    </w:p>
    <w:p>
      <w:pPr>
        <w:sectPr>
          <w:footerReference w:type="even" r:id="rId22"/>
          <w:footerReference w:type="default" r:id="rId23"/>
          <w:footerReference w:type="first" r:id="rId24"/>
          <w:type w:val="nextPage"/>
          <w:pgSz w:w="11906" w:h="16838"/>
          <w:pgMar w:left="1440" w:right="1440" w:gutter="0" w:header="0" w:top="1440" w:footer="708" w:bottom="1440"/>
          <w:pgNumType w:fmt="decimal"/>
          <w:formProt w:val="false"/>
          <w:titlePg/>
          <w:textDirection w:val="lrTb"/>
          <w:docGrid w:type="default" w:linePitch="100" w:charSpace="0"/>
        </w:sect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While every effort was made to ensure reliability and validity, the study acknowledges limitations such as sample size and time constraints, but methods were rigorously applied.   </w:t>
      </w:r>
    </w:p>
    <w:p>
      <w:pPr>
        <w:pStyle w:val="Heading1"/>
        <w:rPr/>
      </w:pPr>
      <w:bookmarkStart w:id="60" w:name="_n90sdgcsvc3u"/>
      <w:bookmarkEnd w:id="60"/>
      <w:r>
        <w:rPr/>
        <w:t>CHAPTER FOUR</w:t>
      </w:r>
    </w:p>
    <w:p>
      <w:pPr>
        <w:pStyle w:val="Heading1"/>
        <w:rPr/>
      </w:pPr>
      <w:bookmarkStart w:id="61" w:name="_nq4vtqe2diuc"/>
      <w:bookmarkEnd w:id="61"/>
      <w:r>
        <w:rPr/>
        <w:t xml:space="preserve">  </w:t>
      </w:r>
      <w:r>
        <w:rPr/>
        <w:t>FINDINGS</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This chapter presents the findings from primary research examining the impact of community policing on crime rates and police-community relationships in Telford. As outlined in Chapter 3, a mixed-methods approach was employed, comprising:</w:t>
      </w:r>
    </w:p>
    <w:p>
      <w:pPr>
        <w:pStyle w:val="normal1"/>
        <w:keepNext w:val="false"/>
        <w:keepLines w:val="false"/>
        <w:pageBreakBefore w:val="false"/>
        <w:widowControl/>
        <w:numPr>
          <w:ilvl w:val="0"/>
          <w:numId w:val="1"/>
        </w:numPr>
        <w:pBdr/>
        <w:shd w:val="clear" w:fill="auto"/>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Structured surveys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(138 residents)</w:t>
      </w:r>
    </w:p>
    <w:p>
      <w:pPr>
        <w:pStyle w:val="normal1"/>
        <w:keepNext w:val="false"/>
        <w:keepLines w:val="false"/>
        <w:pageBreakBefore w:val="false"/>
        <w:widowControl/>
        <w:numPr>
          <w:ilvl w:val="0"/>
          <w:numId w:val="1"/>
        </w:numPr>
        <w:pBdr/>
        <w:shd w:val="clear" w:fill="auto"/>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Semi-structured interviews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(5 police officers, 3 community leaders)</w:t>
      </w:r>
    </w:p>
    <w:p>
      <w:pPr>
        <w:pStyle w:val="normal1"/>
        <w:keepNext w:val="false"/>
        <w:keepLines w:val="false"/>
        <w:pageBreakBefore w:val="false"/>
        <w:widowControl/>
        <w:numPr>
          <w:ilvl w:val="0"/>
          <w:numId w:val="1"/>
        </w:numPr>
        <w:pBdr/>
        <w:shd w:val="clear" w:fill="auto"/>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Focus group discussions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(8 residents)</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results are organised thematically to address the study's dual objectives:</w:t>
      </w:r>
    </w:p>
    <w:p>
      <w:pPr>
        <w:pStyle w:val="normal1"/>
        <w:keepNext w:val="false"/>
        <w:keepLines w:val="false"/>
        <w:pageBreakBefore w:val="false"/>
        <w:widowControl/>
        <w:numPr>
          <w:ilvl w:val="1"/>
          <w:numId w:val="23"/>
        </w:numPr>
        <w:pBdr/>
        <w:shd w:val="clear" w:fill="auto"/>
        <w:spacing w:lineRule="auto" w:line="360" w:before="0" w:after="140"/>
        <w:ind w:hanging="360" w:left="10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Assessing the quantitative effects of community policing on crime perceptions.</w:t>
      </w:r>
    </w:p>
    <w:p>
      <w:pPr>
        <w:pStyle w:val="normal1"/>
        <w:keepNext w:val="false"/>
        <w:keepLines w:val="false"/>
        <w:pageBreakBefore w:val="false"/>
        <w:widowControl/>
        <w:numPr>
          <w:ilvl w:val="1"/>
          <w:numId w:val="23"/>
        </w:numPr>
        <w:pBdr/>
        <w:shd w:val="clear" w:fill="auto"/>
        <w:spacing w:lineRule="auto" w:line="360" w:before="0" w:after="140"/>
        <w:ind w:hanging="360" w:left="10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Exploring qualitative insights into trust and collaboration between police and residents</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Findings are presented sequentially—beginning with survey data (Section 4.1), followed by deeper thematic analysis of interviews and focus groups (Section 4.2). A dedicated limitations discussion (Section 4.3) precedes the chapter summary.</w:t>
      </w:r>
    </w:p>
    <w:p>
      <w:pPr>
        <w:pStyle w:val="Heading2"/>
        <w:rPr>
          <w:color w:val="000000"/>
        </w:rPr>
      </w:pPr>
      <w:bookmarkStart w:id="62" w:name="_3w836f4c5f0g"/>
      <w:bookmarkEnd w:id="62"/>
      <w:r>
        <w:rPr/>
        <w:t>4.1</w:t>
        <w:tab/>
        <w:t xml:space="preserve">Survey Results  </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40404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 total of 138 residents participated in the structured survey, distributed across five neighbourhoods in Telford (Brookside, Woodside, Dawley, Wellington, and Hadley) over a two-week period. The results are presented below, organised by key themes from the research objectives. </w:t>
      </w:r>
      <w:r>
        <w:rPr>
          <w:rFonts w:eastAsia="Arial" w:cs="Arial"/>
          <w:b w:val="false"/>
          <w:i w:val="false"/>
          <w:caps w:val="false"/>
          <w:smallCaps w:val="false"/>
          <w:strike w:val="false"/>
          <w:dstrike w:val="false"/>
          <w:color w:val="404040"/>
          <w:position w:val="0"/>
          <w:sz w:val="24"/>
          <w:sz w:val="24"/>
          <w:szCs w:val="24"/>
          <w:u w:val="none"/>
          <w:shd w:fill="auto" w:val="clear"/>
          <w:vertAlign w:val="baseline"/>
        </w:rPr>
        <w:t xml:space="preserve"> </w:t>
      </w:r>
    </w:p>
    <w:p>
      <w:pPr>
        <w:pStyle w:val="Heading3"/>
        <w:rPr>
          <w:rFonts w:ascii="Arial" w:hAnsi="Arial" w:eastAsia="Arial" w:cs="Arial"/>
        </w:rPr>
      </w:pPr>
      <w:bookmarkStart w:id="63" w:name="_59pi7v1lt5oi"/>
      <w:bookmarkEnd w:id="63"/>
      <w:r>
        <w:rPr>
          <w:rFonts w:eastAsia="Arial" w:cs="Arial" w:ascii="Arial" w:hAnsi="Arial"/>
        </w:rPr>
        <w:t>4.1.1</w:t>
        <w:tab/>
        <w:t>Respondent Demographics</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The survey captured responses from a diverse cross-section of Telford's adult population (aged 18+):  </w:t>
      </w:r>
    </w:p>
    <w:p>
      <w:pPr>
        <w:pStyle w:val="normal1"/>
        <w:keepNext w:val="true"/>
        <w:keepLines w:val="false"/>
        <w:pageBreakBefore w:val="false"/>
        <w:widowControl/>
        <w:pBdr/>
        <w:shd w:val="clear" w:fill="auto"/>
        <w:spacing w:lineRule="auto" w:line="360" w:before="120" w:after="12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bookmarkStart w:id="64" w:name="_gswmuw99hfvk"/>
      <w:bookmarkEnd w:id="64"/>
      <w:r>
        <w:rPr>
          <w:rFonts w:eastAsia="Arial" w:cs="Arial"/>
          <w:b/>
          <w:i w:val="false"/>
          <w:caps w:val="false"/>
          <w:smallCaps w:val="false"/>
          <w:strike w:val="false"/>
          <w:dstrike w:val="false"/>
          <w:color w:val="000000"/>
          <w:position w:val="0"/>
          <w:sz w:val="24"/>
          <w:sz w:val="24"/>
          <w:szCs w:val="24"/>
          <w:u w:val="none"/>
          <w:shd w:fill="auto" w:val="clear"/>
          <w:vertAlign w:val="baseline"/>
        </w:rPr>
        <w:t>Table 1.  Age Distribution of Respondents</w:t>
      </w:r>
    </w:p>
    <w:tbl>
      <w:tblPr>
        <w:tblStyle w:val="Table1"/>
        <w:tblW w:w="9025" w:type="dxa"/>
        <w:jc w:val="left"/>
        <w:tblInd w:w="-108" w:type="dxa"/>
        <w:tblLayout w:type="fixed"/>
        <w:tblCellMar>
          <w:top w:w="0" w:type="dxa"/>
          <w:left w:w="108" w:type="dxa"/>
          <w:bottom w:w="0" w:type="dxa"/>
          <w:right w:w="108" w:type="dxa"/>
        </w:tblCellMar>
        <w:tblLook w:val="04a0"/>
      </w:tblPr>
      <w:tblGrid>
        <w:gridCol w:w="3758"/>
        <w:gridCol w:w="5266"/>
      </w:tblGrid>
      <w:tr>
        <w:trPr>
          <w:tblHeader w:val="true"/>
        </w:trPr>
        <w:tc>
          <w:tcPr>
            <w:tcW w:w="3758" w:type="dxa"/>
            <w:tcBorders>
              <w:top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Age Group</w:t>
            </w:r>
          </w:p>
        </w:tc>
        <w:tc>
          <w:tcPr>
            <w:tcW w:w="5266" w:type="dxa"/>
            <w:tcBorders>
              <w:top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Percentage (%)</w:t>
            </w:r>
          </w:p>
        </w:tc>
      </w:tr>
      <w:tr>
        <w:trPr/>
        <w:tc>
          <w:tcPr>
            <w:tcW w:w="3758" w:type="dxa"/>
            <w:tcBorders/>
          </w:tcPr>
          <w:p>
            <w:pPr>
              <w:pStyle w:val="normal1"/>
              <w:keepNext w:val="false"/>
              <w:keepLines w:val="false"/>
              <w:widowControl w:val="false"/>
              <w:pBdr/>
              <w:shd w:val="clear" w:fill="auto"/>
              <w:spacing w:lineRule="auto" w:line="360" w:before="0" w:after="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18–24</w:t>
            </w:r>
          </w:p>
        </w:tc>
        <w:tc>
          <w:tcPr>
            <w:tcW w:w="5266" w:type="dxa"/>
            <w:tcBorders/>
          </w:tcPr>
          <w:p>
            <w:pPr>
              <w:pStyle w:val="normal1"/>
              <w:keepNext w:val="false"/>
              <w:keepLines w:val="false"/>
              <w:widowControl w:val="false"/>
              <w:pBdr/>
              <w:shd w:val="clear" w:fill="auto"/>
              <w:spacing w:lineRule="auto" w:line="360" w:before="0" w:after="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28</w:t>
            </w:r>
          </w:p>
        </w:tc>
      </w:tr>
      <w:tr>
        <w:trPr/>
        <w:tc>
          <w:tcPr>
            <w:tcW w:w="3758" w:type="dxa"/>
            <w:tcBorders/>
          </w:tcPr>
          <w:p>
            <w:pPr>
              <w:pStyle w:val="normal1"/>
              <w:keepNext w:val="false"/>
              <w:keepLines w:val="false"/>
              <w:widowControl w:val="false"/>
              <w:pBdr/>
              <w:shd w:val="clear" w:fill="auto"/>
              <w:spacing w:lineRule="auto" w:line="360" w:before="0" w:after="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25–44</w:t>
            </w:r>
          </w:p>
        </w:tc>
        <w:tc>
          <w:tcPr>
            <w:tcW w:w="5266" w:type="dxa"/>
            <w:tcBorders/>
          </w:tcPr>
          <w:p>
            <w:pPr>
              <w:pStyle w:val="normal1"/>
              <w:keepNext w:val="false"/>
              <w:keepLines w:val="false"/>
              <w:widowControl w:val="false"/>
              <w:pBdr/>
              <w:shd w:val="clear" w:fill="auto"/>
              <w:spacing w:lineRule="auto" w:line="360" w:before="0" w:after="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54</w:t>
            </w:r>
          </w:p>
        </w:tc>
      </w:tr>
      <w:tr>
        <w:trPr>
          <w:trHeight w:val="366" w:hRule="atLeast"/>
        </w:trPr>
        <w:tc>
          <w:tcPr>
            <w:tcW w:w="3758" w:type="dxa"/>
            <w:tcBorders>
              <w:bottom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45+</w:t>
            </w:r>
          </w:p>
        </w:tc>
        <w:tc>
          <w:tcPr>
            <w:tcW w:w="5266" w:type="dxa"/>
            <w:tcBorders>
              <w:bottom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18</w:t>
            </w:r>
          </w:p>
        </w:tc>
      </w:tr>
    </w:tbl>
    <w:p>
      <w:pPr>
        <w:pStyle w:val="normal1"/>
        <w:keepNext w:val="false"/>
        <w:keepLines w:val="false"/>
        <w:pageBreakBefore w:val="false"/>
        <w:widowControl/>
        <w:pBdr/>
        <w:shd w:val="clear" w:fill="auto"/>
        <w:spacing w:lineRule="auto" w:line="360" w:before="0" w:after="140"/>
        <w:ind w:hanging="0" w:left="18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404040"/>
          <w:position w:val="0"/>
          <w:sz w:val="24"/>
          <w:sz w:val="24"/>
          <w:szCs w:val="24"/>
          <w:u w:val="none"/>
          <w:shd w:fill="auto" w:val="clear"/>
          <w:vertAlign w:val="baseline"/>
        </w:rPr>
        <w:t xml:space="preserve"> </w:t>
      </w:r>
    </w:p>
    <w:p>
      <w:pPr>
        <w:pStyle w:val="normal1"/>
        <w:keepNext w:val="true"/>
        <w:keepLines w:val="false"/>
        <w:pageBreakBefore w:val="false"/>
        <w:widowControl/>
        <w:pBdr/>
        <w:shd w:val="clear" w:fill="auto"/>
        <w:spacing w:lineRule="auto" w:line="360" w:before="120" w:after="12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bookmarkStart w:id="65" w:name="_r8naeebhmb04"/>
      <w:bookmarkEnd w:id="65"/>
      <w:r>
        <w:rPr>
          <w:rFonts w:eastAsia="Arial" w:cs="Arial"/>
          <w:b/>
          <w:i w:val="false"/>
          <w:caps w:val="false"/>
          <w:smallCaps w:val="false"/>
          <w:strike w:val="false"/>
          <w:dstrike w:val="false"/>
          <w:color w:val="000000"/>
          <w:position w:val="0"/>
          <w:sz w:val="24"/>
          <w:sz w:val="24"/>
          <w:szCs w:val="24"/>
          <w:u w:val="none"/>
          <w:shd w:fill="auto" w:val="clear"/>
          <w:vertAlign w:val="baseline"/>
        </w:rPr>
        <w:t>Table 2. Gender Breakdown of Respondents</w:t>
      </w:r>
    </w:p>
    <w:tbl>
      <w:tblPr>
        <w:tblStyle w:val="Table2"/>
        <w:tblW w:w="9025" w:type="dxa"/>
        <w:jc w:val="left"/>
        <w:tblInd w:w="-108" w:type="dxa"/>
        <w:tblLayout w:type="fixed"/>
        <w:tblCellMar>
          <w:top w:w="0" w:type="dxa"/>
          <w:left w:w="108" w:type="dxa"/>
          <w:bottom w:w="0" w:type="dxa"/>
          <w:right w:w="108" w:type="dxa"/>
        </w:tblCellMar>
        <w:tblLook w:val="04a0"/>
      </w:tblPr>
      <w:tblGrid>
        <w:gridCol w:w="3833"/>
        <w:gridCol w:w="5191"/>
      </w:tblGrid>
      <w:tr>
        <w:trPr/>
        <w:tc>
          <w:tcPr>
            <w:tcW w:w="3833" w:type="dxa"/>
            <w:tcBorders>
              <w:top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Gender</w:t>
            </w:r>
          </w:p>
        </w:tc>
        <w:tc>
          <w:tcPr>
            <w:tcW w:w="5191" w:type="dxa"/>
            <w:tcBorders>
              <w:top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Percentage (%)</w:t>
            </w:r>
          </w:p>
        </w:tc>
      </w:tr>
      <w:tr>
        <w:trPr/>
        <w:tc>
          <w:tcPr>
            <w:tcW w:w="3833" w:type="dxa"/>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Female</w:t>
            </w:r>
          </w:p>
        </w:tc>
        <w:tc>
          <w:tcPr>
            <w:tcW w:w="5191" w:type="dxa"/>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60</w:t>
            </w:r>
          </w:p>
        </w:tc>
      </w:tr>
      <w:tr>
        <w:trPr/>
        <w:tc>
          <w:tcPr>
            <w:tcW w:w="3833" w:type="dxa"/>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Male</w:t>
            </w:r>
          </w:p>
        </w:tc>
        <w:tc>
          <w:tcPr>
            <w:tcW w:w="5191" w:type="dxa"/>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38</w:t>
            </w:r>
          </w:p>
        </w:tc>
      </w:tr>
      <w:tr>
        <w:trPr/>
        <w:tc>
          <w:tcPr>
            <w:tcW w:w="3833" w:type="dxa"/>
            <w:tcBorders>
              <w:bottom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Non-binary/Other</w:t>
            </w:r>
          </w:p>
        </w:tc>
        <w:tc>
          <w:tcPr>
            <w:tcW w:w="5191" w:type="dxa"/>
            <w:tcBorders>
              <w:bottom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2</w:t>
            </w:r>
          </w:p>
        </w:tc>
      </w:tr>
    </w:tbl>
    <w:p>
      <w:pPr>
        <w:pStyle w:val="normal1"/>
        <w:keepNext w:val="false"/>
        <w:keepLines w:val="false"/>
        <w:pageBreakBefore w:val="false"/>
        <w:widowControl/>
        <w:pBdr/>
        <w:shd w:val="clear" w:fill="auto"/>
        <w:spacing w:lineRule="auto" w:line="360" w:before="24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Key Observation</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The majority of respondents were working-age adults (25–44 years), who are typically more engaged with community affairs. This aligns with Telford's demographic profile (Office for National Statistics, 2023).  </w:t>
      </w:r>
    </w:p>
    <w:p>
      <w:pPr>
        <w:pStyle w:val="Heading3"/>
        <w:rPr>
          <w:rFonts w:ascii="Arial" w:hAnsi="Arial" w:eastAsia="Arial" w:cs="Arial"/>
        </w:rPr>
      </w:pPr>
      <w:bookmarkStart w:id="66" w:name="_fbzpkwz1d3gr"/>
      <w:bookmarkEnd w:id="66"/>
      <w:r>
        <w:rPr>
          <w:rFonts w:eastAsia="Arial" w:cs="Arial" w:ascii="Arial" w:hAnsi="Arial"/>
        </w:rPr>
        <w:t>4.1.2</w:t>
        <w:tab/>
        <w:t>Awareness of Community Policing</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Respondents were asked if they were aware of community policing efforts in their neighbourhood.</w:t>
      </w:r>
    </w:p>
    <w:p>
      <w:pPr>
        <w:pStyle w:val="normal1"/>
        <w:keepNext w:val="true"/>
        <w:keepLines w:val="false"/>
        <w:pageBreakBefore w:val="false"/>
        <w:widowControl/>
        <w:pBdr/>
        <w:shd w:val="clear" w:fill="auto"/>
        <w:spacing w:lineRule="auto" w:line="360" w:before="120" w:after="12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bookmarkStart w:id="67" w:name="_8lpz8p79376w"/>
      <w:bookmarkEnd w:id="67"/>
      <w:r>
        <w:rPr>
          <w:rFonts w:eastAsia="Arial" w:cs="Arial"/>
          <w:b/>
          <w:i w:val="false"/>
          <w:caps w:val="false"/>
          <w:smallCaps w:val="false"/>
          <w:strike w:val="false"/>
          <w:dstrike w:val="false"/>
          <w:color w:val="000000"/>
          <w:position w:val="0"/>
          <w:sz w:val="24"/>
          <w:sz w:val="24"/>
          <w:szCs w:val="24"/>
          <w:u w:val="none"/>
          <w:shd w:fill="auto" w:val="clear"/>
          <w:vertAlign w:val="baseline"/>
        </w:rPr>
        <w:t>Table 3. Awareness of Initiatives</w:t>
      </w:r>
    </w:p>
    <w:tbl>
      <w:tblPr>
        <w:tblStyle w:val="Table3"/>
        <w:tblW w:w="9029" w:type="dxa"/>
        <w:jc w:val="left"/>
        <w:tblInd w:w="-108" w:type="dxa"/>
        <w:tblLayout w:type="fixed"/>
        <w:tblCellMar>
          <w:top w:w="0" w:type="dxa"/>
          <w:left w:w="108" w:type="dxa"/>
          <w:bottom w:w="0" w:type="dxa"/>
          <w:right w:w="108" w:type="dxa"/>
        </w:tblCellMar>
        <w:tblLook w:val="04a0"/>
      </w:tblPr>
      <w:tblGrid>
        <w:gridCol w:w="3267"/>
        <w:gridCol w:w="5761"/>
      </w:tblGrid>
      <w:tr>
        <w:trPr/>
        <w:tc>
          <w:tcPr>
            <w:tcW w:w="3267" w:type="dxa"/>
            <w:tcBorders>
              <w:top w:val="single" w:sz="4" w:space="0" w:color="7F7F7F"/>
            </w:tcBorders>
            <w:vAlign w:val="center"/>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Response</w:t>
            </w:r>
          </w:p>
        </w:tc>
        <w:tc>
          <w:tcPr>
            <w:tcW w:w="5761" w:type="dxa"/>
            <w:tcBorders>
              <w:top w:val="single" w:sz="4" w:space="0" w:color="7F7F7F"/>
            </w:tcBorders>
            <w:vAlign w:val="center"/>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Percentage (%)</w:t>
            </w:r>
          </w:p>
        </w:tc>
      </w:tr>
      <w:tr>
        <w:trPr/>
        <w:tc>
          <w:tcPr>
            <w:tcW w:w="3267" w:type="dxa"/>
            <w:tcBorders/>
            <w:vAlign w:val="center"/>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Yes</w:t>
            </w:r>
          </w:p>
        </w:tc>
        <w:tc>
          <w:tcPr>
            <w:tcW w:w="5761" w:type="dxa"/>
            <w:tcBorders/>
            <w:vAlign w:val="center"/>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65</w:t>
            </w:r>
          </w:p>
        </w:tc>
      </w:tr>
      <w:tr>
        <w:trPr/>
        <w:tc>
          <w:tcPr>
            <w:tcW w:w="3267" w:type="dxa"/>
            <w:tcBorders>
              <w:bottom w:val="single" w:sz="4" w:space="0" w:color="7F7F7F"/>
            </w:tcBorders>
            <w:vAlign w:val="center"/>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No</w:t>
            </w:r>
          </w:p>
        </w:tc>
        <w:tc>
          <w:tcPr>
            <w:tcW w:w="5761" w:type="dxa"/>
            <w:tcBorders>
              <w:bottom w:val="single" w:sz="4" w:space="0" w:color="7F7F7F"/>
            </w:tcBorders>
            <w:vAlign w:val="center"/>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35</w:t>
            </w:r>
          </w:p>
        </w:tc>
      </w:tr>
    </w:tbl>
    <w:p>
      <w:pPr>
        <w:pStyle w:val="normal1"/>
        <w:keepNext w:val="false"/>
        <w:keepLines w:val="false"/>
        <w:pageBreakBefore w:val="false"/>
        <w:widowControl/>
        <w:pBdr/>
        <w:shd w:val="clear" w:fill="auto"/>
        <w:spacing w:lineRule="auto" w:line="360" w:before="24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Notable Quotes:  </w:t>
      </w:r>
    </w:p>
    <w:p>
      <w:pPr>
        <w:pStyle w:val="normal1"/>
        <w:keepNext w:val="false"/>
        <w:keepLines w:val="false"/>
        <w:pageBreakBefore w:val="false"/>
        <w:widowControl/>
        <w:numPr>
          <w:ilvl w:val="0"/>
          <w:numId w:val="28"/>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"We've noticed officers attending our monthly neighbourhood watch meetings." (Resident, Dawley)  </w:t>
      </w:r>
    </w:p>
    <w:p>
      <w:pPr>
        <w:pStyle w:val="normal1"/>
        <w:keepNext w:val="false"/>
        <w:keepLines w:val="false"/>
        <w:pageBreakBefore w:val="false"/>
        <w:widowControl/>
        <w:numPr>
          <w:ilvl w:val="0"/>
          <w:numId w:val="28"/>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"I wasn't aware this was happening until recently."* (Resident, Hadley)  </w:t>
      </w:r>
    </w:p>
    <w:p>
      <w:pPr>
        <w:pStyle w:val="normal1"/>
        <w:keepNext w:val="false"/>
        <w:keepLines w:val="false"/>
        <w:pageBreakBefore w:val="false"/>
        <w:widowControl/>
        <w:numPr>
          <w:ilvl w:val="0"/>
          <w:numId w:val="28"/>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Analysis: While most respondents recognised community policing efforts, awareness varied by neighbourhood—with lower recognition in areas like Hadley where engagement is limited.  </w:t>
      </w:r>
    </w:p>
    <w:p>
      <w:pPr>
        <w:pStyle w:val="Heading3"/>
        <w:rPr>
          <w:rFonts w:ascii="Arial" w:hAnsi="Arial" w:eastAsia="Arial" w:cs="Arial"/>
        </w:rPr>
      </w:pPr>
      <w:bookmarkStart w:id="68" w:name="_sbi0kn13o84o"/>
      <w:bookmarkEnd w:id="68"/>
      <w:r>
        <w:rPr>
          <w:rFonts w:eastAsia="Arial" w:cs="Arial" w:ascii="Arial" w:hAnsi="Arial"/>
        </w:rPr>
        <w:t>4.1.3</w:t>
        <w:tab/>
        <w:t>Perceived Impact on Crime Reduction</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Participants were asked if they believed community policing had reduced crime in their area.</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true"/>
        <w:keepLines w:val="false"/>
        <w:pageBreakBefore w:val="false"/>
        <w:widowControl/>
        <w:pBdr/>
        <w:shd w:val="clear" w:fill="auto"/>
        <w:spacing w:lineRule="auto" w:line="360" w:before="120" w:after="12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bookmarkStart w:id="69" w:name="_fdnkvdjsoj2g"/>
      <w:bookmarkEnd w:id="69"/>
      <w:r>
        <w:rPr>
          <w:rFonts w:eastAsia="Arial" w:cs="Arial"/>
          <w:b/>
          <w:i w:val="false"/>
          <w:caps w:val="false"/>
          <w:smallCaps w:val="false"/>
          <w:strike w:val="false"/>
          <w:dstrike w:val="false"/>
          <w:color w:val="000000"/>
          <w:position w:val="0"/>
          <w:sz w:val="24"/>
          <w:sz w:val="24"/>
          <w:szCs w:val="24"/>
          <w:u w:val="none"/>
          <w:shd w:fill="auto" w:val="clear"/>
          <w:vertAlign w:val="baseline"/>
        </w:rPr>
        <w:t>Table 4. Perceived Impact on Crime Rates</w:t>
      </w:r>
    </w:p>
    <w:tbl>
      <w:tblPr>
        <w:tblStyle w:val="Table4"/>
        <w:tblW w:w="9029" w:type="dxa"/>
        <w:jc w:val="left"/>
        <w:tblInd w:w="-108" w:type="dxa"/>
        <w:tblLayout w:type="fixed"/>
        <w:tblCellMar>
          <w:top w:w="0" w:type="dxa"/>
          <w:left w:w="108" w:type="dxa"/>
          <w:bottom w:w="0" w:type="dxa"/>
          <w:right w:w="108" w:type="dxa"/>
        </w:tblCellMar>
        <w:tblLook w:val="04a0"/>
      </w:tblPr>
      <w:tblGrid>
        <w:gridCol w:w="4535"/>
        <w:gridCol w:w="4493"/>
      </w:tblGrid>
      <w:tr>
        <w:trPr/>
        <w:tc>
          <w:tcPr>
            <w:tcW w:w="4535" w:type="dxa"/>
            <w:tcBorders>
              <w:top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Response</w:t>
            </w:r>
          </w:p>
        </w:tc>
        <w:tc>
          <w:tcPr>
            <w:tcW w:w="4493" w:type="dxa"/>
            <w:tcBorders>
              <w:top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Percentage (%)</w:t>
            </w:r>
          </w:p>
        </w:tc>
      </w:tr>
      <w:tr>
        <w:trPr/>
        <w:tc>
          <w:tcPr>
            <w:tcW w:w="4535" w:type="dxa"/>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Agree / Strongly Agree</w:t>
            </w:r>
          </w:p>
        </w:tc>
        <w:tc>
          <w:tcPr>
            <w:tcW w:w="4493" w:type="dxa"/>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58</w:t>
            </w:r>
          </w:p>
        </w:tc>
      </w:tr>
      <w:tr>
        <w:trPr/>
        <w:tc>
          <w:tcPr>
            <w:tcW w:w="4535" w:type="dxa"/>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Neutral</w:t>
            </w:r>
          </w:p>
        </w:tc>
        <w:tc>
          <w:tcPr>
            <w:tcW w:w="4493" w:type="dxa"/>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24</w:t>
            </w:r>
          </w:p>
        </w:tc>
      </w:tr>
      <w:tr>
        <w:trPr/>
        <w:tc>
          <w:tcPr>
            <w:tcW w:w="4535" w:type="dxa"/>
            <w:tcBorders>
              <w:bottom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Disagree</w:t>
            </w:r>
          </w:p>
        </w:tc>
        <w:tc>
          <w:tcPr>
            <w:tcW w:w="4493" w:type="dxa"/>
            <w:tcBorders>
              <w:bottom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18</w:t>
            </w:r>
          </w:p>
        </w:tc>
      </w:tr>
    </w:tbl>
    <w:p>
      <w:pPr>
        <w:pStyle w:val="normal1"/>
        <w:keepNext w:val="false"/>
        <w:keepLines w:val="false"/>
        <w:pageBreakBefore w:val="false"/>
        <w:widowControl/>
        <w:pBdr/>
        <w:shd w:val="clear" w:fill="auto"/>
        <w:spacing w:lineRule="auto" w:line="360" w:before="24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Supporting Evidence:  </w:t>
      </w:r>
    </w:p>
    <w:p>
      <w:pPr>
        <w:pStyle w:val="normal1"/>
        <w:keepNext w:val="false"/>
        <w:keepLines w:val="false"/>
        <w:pageBreakBefore w:val="false"/>
        <w:widowControl/>
        <w:numPr>
          <w:ilvl w:val="0"/>
          <w:numId w:val="29"/>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"Anti-social behaviour has reduced since patrols increased." (Resident, Wellington)  </w:t>
      </w:r>
    </w:p>
    <w:p>
      <w:pPr>
        <w:pStyle w:val="normal1"/>
        <w:keepNext w:val="false"/>
        <w:keepLines w:val="false"/>
        <w:pageBreakBefore w:val="false"/>
        <w:widowControl/>
        <w:numPr>
          <w:ilvl w:val="0"/>
          <w:numId w:val="29"/>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"No noticeable change in burglaries here." (Resident, Brookside)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Analysis: Perceptions correlated with areas experiencing visible patrols (e.g., Wellington), underscoring the importance of consistent visibility.  </w:t>
      </w:r>
    </w:p>
    <w:p>
      <w:pPr>
        <w:pStyle w:val="Heading3"/>
        <w:rPr>
          <w:rFonts w:ascii="Arial" w:hAnsi="Arial" w:eastAsia="Arial" w:cs="Arial"/>
        </w:rPr>
      </w:pPr>
      <w:bookmarkStart w:id="70" w:name="_uhmla3kafjxy"/>
      <w:bookmarkEnd w:id="70"/>
      <w:r>
        <w:rPr>
          <w:rFonts w:eastAsia="Arial" w:cs="Arial" w:ascii="Arial" w:hAnsi="Arial"/>
        </w:rPr>
        <w:t>4.1.4</w:t>
        <w:tab/>
        <w:t>Trust in Local Police</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Trust was measured on a 5-point scale (1 = Very Low, 5 = Very High). The average score was 3.6, indicating moderate trust. </w:t>
      </w:r>
    </w:p>
    <w:p>
      <w:pPr>
        <w:pStyle w:val="normal1"/>
        <w:keepNext w:val="true"/>
        <w:keepLines w:val="false"/>
        <w:pageBreakBefore w:val="false"/>
        <w:widowControl/>
        <w:pBdr/>
        <w:shd w:val="clear" w:fill="auto"/>
        <w:spacing w:lineRule="auto" w:line="240" w:before="280" w:after="280"/>
        <w:ind w:hanging="0" w:left="0" w:right="0"/>
        <w:jc w:val="left"/>
        <w:rPr>
          <w:rFonts w:ascii="Times New Roman" w:hAnsi="Times New Roman" w:eastAsia="Times New Roman" w:cs="Times New Roman"/>
          <w:b w:val="false"/>
          <w:i w:val="false"/>
          <w:i w:val="false"/>
          <w:caps w:val="false"/>
          <w:smallCaps w:val="false"/>
          <w:strike w:val="false"/>
          <w:dstrike w:val="false"/>
          <w:color w:val="000000"/>
          <w:position w:val="0"/>
          <w:sz w:val="24"/>
          <w:sz w:val="24"/>
          <w:szCs w:val="24"/>
          <w:u w:val="none"/>
          <w:shd w:fill="auto" w:val="clear"/>
          <w:vertAlign w:val="baseline"/>
        </w:rPr>
      </w:pPr>
      <w:r>
        <w:rPr/>
        <w:drawing>
          <wp:inline distT="0" distB="0" distL="0" distR="0">
            <wp:extent cx="5781675" cy="3048000"/>
            <wp:effectExtent l="0" t="0" r="0" b="0"/>
            <wp:docPr id="8" name="image1.png" descr="C:\Users\dando\Downloads\Figure_4_5_Trust_in_Pol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png" descr="C:\Users\dando\Downloads\Figure_4_5_Trust_in_Police.png"/>
                    <pic:cNvPicPr>
                      <a:picLocks noChangeAspect="1" noChangeArrowheads="1"/>
                    </pic:cNvPicPr>
                  </pic:nvPicPr>
                  <pic:blipFill>
                    <a:blip r:embed="rId25"/>
                    <a:stretch>
                      <a:fillRect/>
                    </a:stretch>
                  </pic:blipFill>
                  <pic:spPr bwMode="auto">
                    <a:xfrm>
                      <a:off x="0" y="0"/>
                      <a:ext cx="5781675" cy="3048000"/>
                    </a:xfrm>
                    <a:prstGeom prst="rect">
                      <a:avLst/>
                    </a:prstGeom>
                  </pic:spPr>
                </pic:pic>
              </a:graphicData>
            </a:graphic>
          </wp:inline>
        </w:drawing>
      </w:r>
    </w:p>
    <w:p>
      <w:pPr>
        <w:pStyle w:val="normal1"/>
        <w:keepNext w:val="false"/>
        <w:keepLines w:val="false"/>
        <w:pageBreakBefore w:val="false"/>
        <w:widowControl/>
        <w:pBdr/>
        <w:shd w:val="clear" w:fill="auto"/>
        <w:spacing w:lineRule="auto" w:line="360" w:before="120" w:after="12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bookmarkStart w:id="71" w:name="_z2pk7qmaw0eu"/>
      <w:bookmarkEnd w:id="71"/>
      <w:r>
        <w:rPr>
          <w:rFonts w:eastAsia="Arial" w:cs="Arial"/>
          <w:b/>
          <w:i w:val="false"/>
          <w:caps w:val="false"/>
          <w:smallCaps w:val="false"/>
          <w:strike w:val="false"/>
          <w:dstrike w:val="false"/>
          <w:color w:val="000000"/>
          <w:position w:val="0"/>
          <w:sz w:val="24"/>
          <w:sz w:val="24"/>
          <w:szCs w:val="24"/>
          <w:u w:val="none"/>
          <w:shd w:fill="auto" w:val="clear"/>
          <w:vertAlign w:val="baseline"/>
        </w:rPr>
        <w:t>Figure 1. Trust in Police (Rating 1 to 5)</w:t>
      </w:r>
    </w:p>
    <w:p>
      <w:pPr>
        <w:pStyle w:val="normal1"/>
        <w:keepNext w:val="false"/>
        <w:keepLines w:val="false"/>
        <w:pageBreakBefore w:val="false"/>
        <w:widowControl/>
        <w:pBdr/>
        <w:shd w:val="clear" w:fill="auto"/>
        <w:spacing w:lineRule="auto" w:line="360" w:before="24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Key Trends:  </w:t>
      </w:r>
    </w:p>
    <w:p>
      <w:pPr>
        <w:pStyle w:val="normal1"/>
        <w:keepNext w:val="false"/>
        <w:keepLines w:val="false"/>
        <w:pageBreakBefore w:val="false"/>
        <w:widowControl/>
        <w:numPr>
          <w:ilvl w:val="0"/>
          <w:numId w:val="36"/>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Higher trust among older respondents (45+ years: avg. 4.1) vs. younger (18–24 years: avg. 3.2).  </w:t>
      </w:r>
    </w:p>
    <w:p>
      <w:pPr>
        <w:pStyle w:val="normal1"/>
        <w:keepNext w:val="false"/>
        <w:keepLines w:val="false"/>
        <w:pageBreakBefore w:val="false"/>
        <w:widowControl/>
        <w:numPr>
          <w:ilvl w:val="0"/>
          <w:numId w:val="36"/>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Residents with direct officer contact reported 23% higher trust scores.</w:t>
      </w:r>
    </w:p>
    <w:p>
      <w:pPr>
        <w:pStyle w:val="Heading3"/>
        <w:numPr>
          <w:ilvl w:val="2"/>
          <w:numId w:val="38"/>
        </w:numPr>
        <w:rPr>
          <w:rFonts w:ascii="Arial" w:hAnsi="Arial" w:eastAsia="Arial" w:cs="Arial"/>
        </w:rPr>
      </w:pPr>
      <w:bookmarkStart w:id="72" w:name="_ylkehnt1tyj0"/>
      <w:bookmarkEnd w:id="72"/>
      <w:r>
        <w:rPr>
          <w:rFonts w:eastAsia="Arial" w:cs="Arial" w:ascii="Arial" w:hAnsi="Arial"/>
        </w:rPr>
        <w:t>Summary of Survey Findings</w:t>
      </w:r>
    </w:p>
    <w:p>
      <w:pPr>
        <w:pStyle w:val="normal1"/>
        <w:keepNext w:val="false"/>
        <w:keepLines w:val="false"/>
        <w:pageBreakBefore w:val="false"/>
        <w:widowControl/>
        <w:numPr>
          <w:ilvl w:val="0"/>
          <w:numId w:val="30"/>
        </w:numPr>
        <w:pBdr/>
        <w:shd w:val="clear" w:fill="auto"/>
        <w:spacing w:lineRule="auto" w:line="360" w:before="0" w:after="140"/>
        <w:ind w:hanging="360" w:left="7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Awareness of community policing is strong (65%) but uneven across neighbourhoods.</w:t>
      </w:r>
    </w:p>
    <w:p>
      <w:pPr>
        <w:pStyle w:val="normal1"/>
        <w:keepNext w:val="false"/>
        <w:keepLines w:val="false"/>
        <w:pageBreakBefore w:val="false"/>
        <w:widowControl/>
        <w:numPr>
          <w:ilvl w:val="0"/>
          <w:numId w:val="30"/>
        </w:numPr>
        <w:pBdr/>
        <w:shd w:val="clear" w:fill="auto"/>
        <w:spacing w:lineRule="auto" w:line="360" w:before="0" w:after="140"/>
        <w:ind w:hanging="360" w:left="7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Crime reduction perceptions are positive (58% agree), linked to visible patrols.  </w:t>
      </w:r>
    </w:p>
    <w:p>
      <w:pPr>
        <w:pStyle w:val="normal1"/>
        <w:keepNext w:val="false"/>
        <w:keepLines w:val="false"/>
        <w:pageBreakBefore w:val="false"/>
        <w:widowControl/>
        <w:numPr>
          <w:ilvl w:val="0"/>
          <w:numId w:val="30"/>
        </w:numPr>
        <w:pBdr/>
        <w:shd w:val="clear" w:fill="auto"/>
        <w:spacing w:lineRule="auto" w:line="360" w:before="0" w:after="140"/>
        <w:ind w:hanging="360" w:left="7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Trust is moderate (avg. 3.6/5), with gaps among younger residents and less-engaged areas.  </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Transition to Qualitative Data:  </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While surveys highlighted broad trends, interviews and focus groups revealed why these patterns exist—particularly regarding trust barriers and inconsistent police presence. </w:t>
      </w:r>
    </w:p>
    <w:p>
      <w:pPr>
        <w:pStyle w:val="Heading2"/>
        <w:rPr/>
      </w:pPr>
      <w:bookmarkStart w:id="73" w:name="_6dw7kkr0bta2"/>
      <w:bookmarkEnd w:id="73"/>
      <w:r>
        <w:rPr/>
        <w:t>4.2</w:t>
        <w:tab/>
        <w:t>Interview and Focus Group Results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This section presents the thematic analysis of semi-structured interviews (conducted with 5 police officers and 3 community leaders) and one focus group (8 residents). Three core themes emerged, each revealing nuanced perspectives on community policing in Telford. </w:t>
      </w:r>
      <w:r>
        <w:rPr>
          <w:rFonts w:eastAsia="Arial" w:cs="Arial"/>
          <w:b w:val="false"/>
          <w:i w:val="false"/>
          <w:caps w:val="false"/>
          <w:smallCaps w:val="false"/>
          <w:strike w:val="false"/>
          <w:dstrike w:val="false"/>
          <w:color w:val="404040"/>
          <w:position w:val="0"/>
          <w:sz w:val="24"/>
          <w:sz w:val="24"/>
          <w:szCs w:val="24"/>
          <w:u w:val="none"/>
          <w:shd w:fill="auto" w:val="clear"/>
          <w:vertAlign w:val="baseline"/>
        </w:rPr>
        <w:t xml:space="preserve"> </w:t>
      </w:r>
    </w:p>
    <w:p>
      <w:pPr>
        <w:pStyle w:val="Heading3"/>
        <w:rPr>
          <w:rFonts w:ascii="Arial" w:hAnsi="Arial" w:eastAsia="Arial" w:cs="Arial"/>
        </w:rPr>
      </w:pPr>
      <w:bookmarkStart w:id="74" w:name="_xih1eaic69rm"/>
      <w:bookmarkEnd w:id="74"/>
      <w:r>
        <w:rPr>
          <w:rFonts w:eastAsia="Arial" w:cs="Arial" w:ascii="Arial" w:hAnsi="Arial"/>
        </w:rPr>
        <w:t>4.2.1</w:t>
        <w:tab/>
        <w:t>Theme 1: Police Visibility and Accessibility</w:t>
      </w:r>
    </w:p>
    <w:p>
      <w:pPr>
        <w:pStyle w:val="normal1"/>
        <w:keepNext w:val="false"/>
        <w:keepLines w:val="false"/>
        <w:pageBreakBefore w:val="false"/>
        <w:widowControl/>
        <w:pBdr/>
        <w:shd w:val="clear" w:fill="auto"/>
        <w:spacing w:lineRule="auto" w:line="360" w:before="0" w:after="140"/>
        <w:ind w:hanging="0" w:left="180" w:right="0"/>
        <w:jc w:val="both"/>
        <w:rPr>
          <w:rFonts w:ascii="Arial" w:hAnsi="Arial" w:eastAsia="Arial" w:cs="Arial"/>
          <w:b/>
          <w:i w:val="false"/>
          <w:i w:val="false"/>
          <w:caps w:val="false"/>
          <w:smallCaps w:val="false"/>
          <w:strike w:val="false"/>
          <w:dstrike w:val="false"/>
          <w:color w:val="404040"/>
          <w:position w:val="0"/>
          <w:sz w:val="24"/>
          <w:sz w:val="24"/>
          <w:szCs w:val="24"/>
          <w:u w:val="none"/>
          <w:shd w:fill="auto" w:val="clear"/>
          <w:vertAlign w:val="baseline"/>
        </w:rPr>
      </w:pPr>
      <w:r>
        <w:rPr>
          <w:rFonts w:eastAsia="Arial" w:cs="Arial"/>
          <w:b/>
          <w:i w:val="false"/>
          <w:caps w:val="false"/>
          <w:smallCaps w:val="false"/>
          <w:strike w:val="false"/>
          <w:dstrike w:val="false"/>
          <w:color w:val="404040"/>
          <w:position w:val="0"/>
          <w:sz w:val="24"/>
          <w:sz w:val="24"/>
          <w:szCs w:val="24"/>
          <w:u w:val="none"/>
          <w:shd w:fill="auto" w:val="clear"/>
          <w:vertAlign w:val="baseline"/>
        </w:rPr>
        <w:t xml:space="preserve">Sub-theme 1.1: Increased Foot Patrols </w:t>
      </w:r>
    </w:p>
    <w:p>
      <w:pPr>
        <w:pStyle w:val="normal1"/>
        <w:keepNext w:val="false"/>
        <w:keepLines w:val="false"/>
        <w:pageBreakBefore w:val="false"/>
        <w:widowControl/>
        <w:numPr>
          <w:ilvl w:val="0"/>
          <w:numId w:val="31"/>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Positive feedback</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Residents and officers noted improved engagement from foot patrols.  </w:t>
      </w:r>
    </w:p>
    <w:p>
      <w:pPr>
        <w:pStyle w:val="normal1"/>
        <w:keepNext w:val="false"/>
        <w:keepLines w:val="false"/>
        <w:pageBreakBefore w:val="false"/>
        <w:widowControl/>
        <w:pBdr/>
        <w:shd w:val="clear" w:fill="auto"/>
        <w:spacing w:lineRule="auto" w:line="360" w:before="0" w:after="140"/>
        <w:ind w:hanging="0" w:left="851"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t>
      </w:r>
      <w:r>
        <w:rPr>
          <w:rFonts w:eastAsia="Arial" w:cs="Arial"/>
          <w:b w:val="false"/>
          <w:i/>
          <w:caps w:val="false"/>
          <w:smallCaps w:val="false"/>
          <w:strike w:val="false"/>
          <w:dstrike w:val="false"/>
          <w:color w:val="000000"/>
          <w:position w:val="0"/>
          <w:sz w:val="24"/>
          <w:sz w:val="24"/>
          <w:szCs w:val="24"/>
          <w:u w:val="none"/>
          <w:shd w:fill="auto" w:val="clear"/>
          <w:vertAlign w:val="baseline"/>
        </w:rPr>
        <w:t>Walking beats let us have proper conversations—people share concerns they’d never report officially." (Officer 3, West Mercia Police)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0"/>
          <w:numId w:val="31"/>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Criticism</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Coverage was inconsistent.  </w:t>
      </w:r>
    </w:p>
    <w:p>
      <w:pPr>
        <w:pStyle w:val="normal1"/>
        <w:keepNext w:val="false"/>
        <w:keepLines w:val="false"/>
        <w:pageBreakBefore w:val="false"/>
        <w:widowControl/>
        <w:pBdr/>
        <w:shd w:val="clear" w:fill="auto"/>
        <w:spacing w:lineRule="auto" w:line="360" w:before="0" w:after="140"/>
        <w:ind w:hanging="0" w:left="90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"They’re always in the town centre but rarely in our estate." (Resident, Woodside focus group).</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Sub-theme 1.2: Attendance at Community Events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0"/>
          <w:numId w:val="31"/>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Success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Police presence at local fairs and meetings built rapport.  </w:t>
      </w:r>
    </w:p>
    <w:p>
      <w:pPr>
        <w:pStyle w:val="normal1"/>
        <w:keepNext w:val="false"/>
        <w:keepLines w:val="false"/>
        <w:pageBreakBefore w:val="false"/>
        <w:widowControl/>
        <w:pBdr/>
        <w:shd w:val="clear" w:fill="auto"/>
        <w:spacing w:lineRule="auto" w:line="360" w:before="0" w:after="140"/>
        <w:ind w:hanging="0" w:left="769"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"After officers joined our summer festival, vandalism dropped for months."   (Community Leader 2).</w:t>
      </w:r>
    </w:p>
    <w:p>
      <w:pPr>
        <w:pStyle w:val="normal1"/>
        <w:keepNext w:val="false"/>
        <w:keepLines w:val="false"/>
        <w:pageBreakBefore w:val="false"/>
        <w:widowControl/>
        <w:numPr>
          <w:ilvl w:val="0"/>
          <w:numId w:val="31"/>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Gaps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Youth-focused events were underprioritised.  </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caps w:val="false"/>
          <w:smallCaps w:val="false"/>
          <w:strike w:val="false"/>
          <w:dstrike w:val="false"/>
          <w:color w:val="000000"/>
          <w:position w:val="0"/>
          <w:sz w:val="24"/>
          <w:sz w:val="24"/>
          <w:szCs w:val="24"/>
          <w:u w:val="none"/>
          <w:shd w:fill="auto" w:val="clear"/>
          <w:vertAlign w:val="baseline"/>
        </w:rPr>
        <w:tab/>
        <w:t xml:space="preserve"> "Schools request officers for assemblies, but we’re too short-staffed." </w:t>
      </w:r>
    </w:p>
    <w:p>
      <w:pPr>
        <w:pStyle w:val="normal1"/>
        <w:keepNext w:val="false"/>
        <w:keepLines w:val="false"/>
        <w:pageBreakBefore w:val="false"/>
        <w:widowControl/>
        <w:pBdr/>
        <w:shd w:val="clear" w:fill="auto"/>
        <w:spacing w:lineRule="auto" w:line="360" w:before="0" w:after="140"/>
        <w:ind w:hanging="0" w:left="90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(Officer 5)  </w:t>
      </w:r>
    </w:p>
    <w:p>
      <w:pPr>
        <w:pStyle w:val="Heading3"/>
        <w:rPr>
          <w:rFonts w:ascii="Arial" w:hAnsi="Arial" w:eastAsia="Arial" w:cs="Arial"/>
        </w:rPr>
      </w:pPr>
      <w:bookmarkStart w:id="75" w:name="_gt8uf1kdd33y"/>
      <w:bookmarkEnd w:id="75"/>
      <w:r>
        <w:rPr>
          <w:rFonts w:eastAsia="Arial" w:cs="Arial" w:ascii="Arial" w:hAnsi="Arial"/>
        </w:rPr>
        <w:t>4.2.2</w:t>
        <w:tab/>
        <w:t>Theme 2: Trust and Communication</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Sub-theme 2.1: Progress in Transparency </w:t>
      </w:r>
    </w:p>
    <w:p>
      <w:pPr>
        <w:pStyle w:val="normal1"/>
        <w:keepNext w:val="false"/>
        <w:keepLines w:val="false"/>
        <w:pageBreakBefore w:val="false"/>
        <w:widowControl/>
        <w:numPr>
          <w:ilvl w:val="0"/>
          <w:numId w:val="31"/>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Improved practices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Officers highlighted efforts to explain policing decisions.  </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caps w:val="false"/>
          <w:smallCaps w:val="false"/>
          <w:strike w:val="false"/>
          <w:dstrike w:val="false"/>
          <w:color w:val="000000"/>
          <w:position w:val="0"/>
          <w:sz w:val="24"/>
          <w:sz w:val="24"/>
          <w:szCs w:val="24"/>
          <w:u w:val="none"/>
          <w:shd w:fill="auto" w:val="clear"/>
          <w:vertAlign w:val="baseline"/>
        </w:rPr>
        <w:tab/>
        <w:t xml:space="preserve">"We now follow up with victims even if no arrest is made."* (Officer 1)  </w:t>
      </w:r>
    </w:p>
    <w:p>
      <w:pPr>
        <w:pStyle w:val="normal1"/>
        <w:keepNext w:val="false"/>
        <w:keepLines w:val="false"/>
        <w:pageBreakBefore w:val="false"/>
        <w:widowControl/>
        <w:numPr>
          <w:ilvl w:val="0"/>
          <w:numId w:val="31"/>
        </w:numPr>
        <w:pBdr/>
        <w:shd w:val="clear" w:fill="auto"/>
        <w:spacing w:lineRule="auto" w:line="360" w:before="0" w:after="140"/>
        <w:ind w:hanging="360" w:left="90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Residual distrust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Some residents remained sceptical.  </w:t>
      </w:r>
    </w:p>
    <w:p>
      <w:pPr>
        <w:pStyle w:val="normal1"/>
        <w:keepNext w:val="false"/>
        <w:keepLines w:val="false"/>
        <w:pageBreakBefore w:val="false"/>
        <w:widowControl/>
        <w:pBdr/>
        <w:shd w:val="clear" w:fill="auto"/>
        <w:spacing w:lineRule="auto" w:line="360" w:before="0" w:after="140"/>
        <w:ind w:hanging="0" w:left="7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"They say ‘we’re listening,’ but our burglary reports still go unanswered."* (Resident, Brookside focus group)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Sub-theme 2.2: Barriers for Marginalised Groups  </w:t>
      </w:r>
    </w:p>
    <w:p>
      <w:pPr>
        <w:pStyle w:val="normal1"/>
        <w:keepNext w:val="false"/>
        <w:keepLines w:val="false"/>
        <w:pageBreakBefore w:val="false"/>
        <w:widowControl/>
        <w:numPr>
          <w:ilvl w:val="0"/>
          <w:numId w:val="31"/>
        </w:numPr>
        <w:pBdr/>
        <w:shd w:val="clear" w:fill="auto"/>
        <w:spacing w:lineRule="auto" w:line="360" w:before="0" w:after="140"/>
        <w:ind w:hanging="360"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Language/cultural gaps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Non-English speakers avoided engagement.  </w:t>
      </w:r>
    </w:p>
    <w:p>
      <w:pPr>
        <w:pStyle w:val="normal1"/>
        <w:keepNext w:val="false"/>
        <w:keepLines w:val="false"/>
        <w:pageBreakBefore w:val="false"/>
        <w:widowControl/>
        <w:pBdr/>
        <w:shd w:val="clear" w:fill="auto"/>
        <w:spacing w:lineRule="auto" w:line="360" w:before="0" w:after="140"/>
        <w:ind w:hanging="0" w:left="7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"Our Punjabi elders won’t approach officers without a translator."* (Community Leader 1)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0"/>
          <w:numId w:val="31"/>
        </w:numPr>
        <w:pBdr/>
        <w:shd w:val="clear" w:fill="auto"/>
        <w:spacing w:lineRule="auto" w:line="360" w:before="0" w:after="140"/>
        <w:ind w:hanging="360"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Youth disengagement: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caps w:val="false"/>
          <w:smallCaps w:val="false"/>
          <w:strike w:val="false"/>
          <w:dstrike w:val="false"/>
          <w:color w:val="000000"/>
          <w:position w:val="0"/>
          <w:sz w:val="24"/>
          <w:sz w:val="24"/>
          <w:szCs w:val="24"/>
          <w:u w:val="none"/>
          <w:shd w:fill="auto" w:val="clear"/>
          <w:vertAlign w:val="baseline"/>
        </w:rPr>
        <w:tab/>
        <w:t xml:space="preserve">"Teens see police as enforcers, not allies." (Focus group participant, age 19) </w:t>
      </w:r>
    </w:p>
    <w:p>
      <w:pPr>
        <w:pStyle w:val="Heading3"/>
        <w:rPr>
          <w:rFonts w:ascii="Arial" w:hAnsi="Arial" w:eastAsia="Arial" w:cs="Arial"/>
        </w:rPr>
      </w:pPr>
      <w:bookmarkStart w:id="76" w:name="_p3n4wy6yt7rf"/>
      <w:bookmarkEnd w:id="76"/>
      <w:r>
        <w:rPr>
          <w:rFonts w:eastAsia="Arial" w:cs="Arial" w:ascii="Arial" w:hAnsi="Arial"/>
        </w:rPr>
        <w:t>4.2.3</w:t>
        <w:tab/>
        <w:t>Theme 3: Perceived Impact on Crime Prevention</w:t>
      </w:r>
    </w:p>
    <w:p>
      <w:pPr>
        <w:pStyle w:val="normal1"/>
        <w:keepNext w:val="false"/>
        <w:keepLines w:val="false"/>
        <w:pageBreakBefore w:val="false"/>
        <w:widowControl/>
        <w:pBdr/>
        <w:shd w:val="clear" w:fill="auto"/>
        <w:spacing w:lineRule="auto" w:line="360" w:before="0" w:after="140"/>
        <w:ind w:hanging="0" w:left="180" w:right="0"/>
        <w:jc w:val="both"/>
        <w:rPr>
          <w:rFonts w:ascii="Arial" w:hAnsi="Arial" w:eastAsia="Arial" w:cs="Arial"/>
          <w:b/>
          <w:i w:val="false"/>
          <w:i w:val="false"/>
          <w:caps w:val="false"/>
          <w:smallCaps w:val="false"/>
          <w:strike w:val="false"/>
          <w:dstrike w:val="false"/>
          <w:color w:val="404040"/>
          <w:position w:val="0"/>
          <w:sz w:val="24"/>
          <w:sz w:val="24"/>
          <w:szCs w:val="24"/>
          <w:u w:val="none"/>
          <w:shd w:fill="auto" w:val="clear"/>
          <w:vertAlign w:val="baseline"/>
        </w:rPr>
      </w:pPr>
      <w:r>
        <w:rPr>
          <w:rFonts w:eastAsia="Arial" w:cs="Arial"/>
          <w:b/>
          <w:i w:val="false"/>
          <w:caps w:val="false"/>
          <w:smallCaps w:val="false"/>
          <w:strike w:val="false"/>
          <w:dstrike w:val="false"/>
          <w:color w:val="404040"/>
          <w:position w:val="0"/>
          <w:sz w:val="24"/>
          <w:sz w:val="24"/>
          <w:szCs w:val="24"/>
          <w:u w:val="none"/>
          <w:shd w:fill="auto" w:val="clear"/>
          <w:vertAlign w:val="baseline"/>
        </w:rPr>
        <w:t xml:space="preserve">Sub-theme 3.1: Deterrence of Low-Level Crime </w:t>
      </w:r>
    </w:p>
    <w:p>
      <w:pPr>
        <w:pStyle w:val="normal1"/>
        <w:keepNext w:val="false"/>
        <w:keepLines w:val="false"/>
        <w:pageBreakBefore w:val="false"/>
        <w:widowControl/>
        <w:numPr>
          <w:ilvl w:val="0"/>
          <w:numId w:val="31"/>
        </w:numPr>
        <w:pBdr/>
        <w:shd w:val="clear" w:fill="auto"/>
        <w:spacing w:lineRule="auto" w:line="360" w:before="0" w:after="140"/>
        <w:ind w:hanging="360"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Evidence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Officers and residents agreed petty crime (e.g., graffiti) declined.  </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caps w:val="false"/>
          <w:smallCaps w:val="false"/>
          <w:strike w:val="false"/>
          <w:dstrike w:val="false"/>
          <w:color w:val="000000"/>
          <w:position w:val="0"/>
          <w:sz w:val="24"/>
          <w:sz w:val="24"/>
          <w:szCs w:val="24"/>
          <w:u w:val="none"/>
          <w:shd w:fill="auto" w:val="clear"/>
          <w:vertAlign w:val="baseline"/>
        </w:rPr>
        <w:t>"Just seeing officers at the park stops kids misbehaving."* (Resident, Dawley focus group)</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0"/>
          <w:numId w:val="31"/>
        </w:numPr>
        <w:pBdr/>
        <w:shd w:val="clear" w:fill="auto"/>
        <w:spacing w:lineRule="auto" w:line="360" w:before="0" w:after="140"/>
        <w:ind w:hanging="360"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Limitations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Drug-related crimes persisted.  </w:t>
      </w:r>
    </w:p>
    <w:p>
      <w:pPr>
        <w:pStyle w:val="normal1"/>
        <w:keepNext w:val="false"/>
        <w:keepLines w:val="false"/>
        <w:pageBreakBefore w:val="false"/>
        <w:widowControl/>
        <w:pBdr/>
        <w:shd w:val="clear" w:fill="auto"/>
        <w:spacing w:lineRule="auto" w:line="360"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caps w:val="false"/>
          <w:smallCaps w:val="false"/>
          <w:strike w:val="false"/>
          <w:dstrike w:val="false"/>
          <w:color w:val="000000"/>
          <w:position w:val="0"/>
          <w:sz w:val="24"/>
          <w:sz w:val="24"/>
          <w:szCs w:val="24"/>
          <w:u w:val="none"/>
          <w:shd w:fill="auto" w:val="clear"/>
          <w:vertAlign w:val="baseline"/>
        </w:rPr>
        <w:tab/>
        <w:t xml:space="preserve">"Gangs adapt—they deal where we patrol less." (Officer 4)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Sub-theme 3.2: Call for Structured Programmes</w:t>
      </w:r>
    </w:p>
    <w:p>
      <w:pPr>
        <w:pStyle w:val="normal1"/>
        <w:keepNext w:val="false"/>
        <w:keepLines w:val="false"/>
        <w:pageBreakBefore w:val="false"/>
        <w:widowControl/>
        <w:numPr>
          <w:ilvl w:val="0"/>
          <w:numId w:val="31"/>
        </w:numPr>
        <w:pBdr/>
        <w:shd w:val="clear" w:fill="auto"/>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Community requests: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pBdr/>
        <w:shd w:val="clear" w:fill="auto"/>
        <w:spacing w:lineRule="auto" w:line="360" w:before="0" w:after="140"/>
        <w:ind w:firstLine="426"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"We need youth clubs run with police, not just patrols." (Community Leader 3)  </w:t>
      </w:r>
    </w:p>
    <w:p>
      <w:pPr>
        <w:pStyle w:val="normal1"/>
        <w:keepNext w:val="false"/>
        <w:keepLines w:val="false"/>
        <w:pageBreakBefore w:val="false"/>
        <w:widowControl/>
        <w:numPr>
          <w:ilvl w:val="0"/>
          <w:numId w:val="31"/>
        </w:numPr>
        <w:pBdr/>
        <w:shd w:val="clear" w:fill="auto"/>
        <w:spacing w:lineRule="auto" w:line="360" w:before="0" w:after="140"/>
        <w:ind w:hanging="283" w:left="709"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Officer response:  </w:t>
      </w:r>
    </w:p>
    <w:p>
      <w:pPr>
        <w:pStyle w:val="normal1"/>
        <w:keepNext w:val="false"/>
        <w:keepLines w:val="false"/>
        <w:pageBreakBefore w:val="false"/>
        <w:widowControl/>
        <w:pBdr/>
        <w:shd w:val="clear" w:fill="auto"/>
        <w:spacing w:lineRule="auto" w:line="360" w:before="0" w:after="140"/>
        <w:ind w:hanging="0" w:left="426"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"We’re piloting a school mentoring scheme in 2024."* (Officer 2)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While these themes reveal meaningful progress, the study’s constraints—including time and sample diversity—must be acknowledged. Section 4.4 addresses these limitations.</w:t>
      </w:r>
    </w:p>
    <w:p>
      <w:pPr>
        <w:pStyle w:val="Heading2"/>
        <w:rPr/>
      </w:pPr>
      <w:bookmarkStart w:id="77" w:name="_igrm9zn4mjwp"/>
      <w:bookmarkEnd w:id="77"/>
      <w:r>
        <w:rPr/>
        <w:t>4.3</w:t>
        <w:tab/>
        <w:t>Limitations of the Study</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This section critically examines the methodological constraints that may have influenced the research findings. While the study provides valuable insights into community policing in Telford, four key limitations must be acknowledged:  </w:t>
      </w:r>
    </w:p>
    <w:p>
      <w:pPr>
        <w:pStyle w:val="normal1"/>
        <w:keepNext w:val="false"/>
        <w:keepLines w:val="false"/>
        <w:pageBreakBefore w:val="false"/>
        <w:widowControl/>
        <w:numPr>
          <w:ilvl w:val="1"/>
          <w:numId w:val="32"/>
        </w:numPr>
        <w:pBdr/>
        <w:shd w:val="clear" w:fill="auto"/>
        <w:spacing w:lineRule="auto" w:line="360" w:before="0" w:after="140"/>
        <w:ind w:hanging="360" w:left="567"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Sample Representation </w:t>
      </w:r>
    </w:p>
    <w:p>
      <w:pPr>
        <w:pStyle w:val="normal1"/>
        <w:keepNext w:val="false"/>
        <w:keepLines w:val="false"/>
        <w:pageBreakBefore w:val="false"/>
        <w:widowControl/>
        <w:numPr>
          <w:ilvl w:val="0"/>
          <w:numId w:val="33"/>
        </w:numPr>
        <w:pBdr/>
        <w:shd w:val="clear" w:fill="auto"/>
        <w:spacing w:lineRule="auto" w:line="360" w:before="0" w:after="140"/>
        <w:ind w:hanging="360" w:left="567"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Geographic Bias</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Survey responses were concentrated in central Telford neighbourhoods (Wellington, Dawley), with fewer responses from outlying areas like Horsehay.  </w:t>
      </w:r>
    </w:p>
    <w:p>
      <w:pPr>
        <w:pStyle w:val="normal1"/>
        <w:keepNext w:val="false"/>
        <w:keepLines w:val="false"/>
        <w:pageBreakBefore w:val="false"/>
        <w:widowControl/>
        <w:numPr>
          <w:ilvl w:val="0"/>
          <w:numId w:val="33"/>
        </w:numPr>
        <w:pBdr/>
        <w:shd w:val="clear" w:fill="auto"/>
        <w:spacing w:lineRule="auto" w:line="360" w:before="0" w:after="140"/>
        <w:ind w:hanging="360" w:left="7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Demographic Gaps</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Older residents (65+) and ethnic minorities were underrepresented, despite efforts to distribute paper surveys.  </w:t>
      </w:r>
    </w:p>
    <w:p>
      <w:pPr>
        <w:pStyle w:val="normal1"/>
        <w:keepNext w:val="false"/>
        <w:keepLines w:val="false"/>
        <w:pageBreakBefore w:val="false"/>
        <w:widowControl/>
        <w:pBdr/>
        <w:shd w:val="clear" w:fill="auto"/>
        <w:spacing w:lineRule="auto" w:line="360" w:before="0" w:after="140"/>
        <w:ind w:hanging="0" w:left="1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t>
      </w:r>
      <w:r>
        <w:rPr>
          <w:rFonts w:eastAsia="Arial" w:cs="Arial"/>
          <w:b w:val="false"/>
          <w:i/>
          <w:caps w:val="false"/>
          <w:smallCaps w:val="false"/>
          <w:strike w:val="false"/>
          <w:dstrike w:val="false"/>
          <w:color w:val="000000"/>
          <w:position w:val="0"/>
          <w:sz w:val="24"/>
          <w:sz w:val="24"/>
          <w:szCs w:val="24"/>
          <w:u w:val="none"/>
          <w:shd w:fill="auto" w:val="clear"/>
          <w:vertAlign w:val="baseline"/>
        </w:rPr>
        <w:t>We struggled to engage the Eastern European community due to language barriers." (Fieldwork notes, Appendix D)</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numPr>
          <w:ilvl w:val="0"/>
          <w:numId w:val="32"/>
        </w:numPr>
        <w:pBdr/>
        <w:shd w:val="clear" w:fill="auto"/>
        <w:spacing w:lineRule="auto" w:line="360" w:before="0" w:after="140"/>
        <w:ind w:hanging="360" w:left="7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Time Constraints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The 2-week survey window and single focus group limited data depth. A longitudinal approach might have revealed trends in crime perception shifts.  </w:t>
      </w:r>
    </w:p>
    <w:p>
      <w:pPr>
        <w:pStyle w:val="normal1"/>
        <w:keepNext w:val="false"/>
        <w:keepLines w:val="false"/>
        <w:pageBreakBefore w:val="false"/>
        <w:widowControl/>
        <w:numPr>
          <w:ilvl w:val="0"/>
          <w:numId w:val="32"/>
        </w:numPr>
        <w:pBdr/>
        <w:shd w:val="clear" w:fill="auto"/>
        <w:spacing w:lineRule="auto" w:line="360" w:before="0" w:after="140"/>
        <w:ind w:hanging="360" w:left="7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Social Desirability Bias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Some respondents may have overstated positive views: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xml:space="preserve">*"People tell us 'everything's fine' face-to-face but complain anonymously online."* (Officer 3)  </w:t>
      </w:r>
    </w:p>
    <w:p>
      <w:pPr>
        <w:pStyle w:val="normal1"/>
        <w:keepNext w:val="false"/>
        <w:keepLines w:val="false"/>
        <w:pageBreakBefore w:val="false"/>
        <w:widowControl/>
        <w:numPr>
          <w:ilvl w:val="0"/>
          <w:numId w:val="32"/>
        </w:numPr>
        <w:pBdr/>
        <w:shd w:val="clear" w:fill="auto"/>
        <w:spacing w:lineRule="auto" w:line="360" w:before="0" w:after="140"/>
        <w:ind w:hanging="360" w:left="72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Generalisability</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Findings reflect Telford's unique context (e.g., urban-rural mix) and may not apply to cities with different demographics.  </w:t>
      </w:r>
    </w:p>
    <w:p>
      <w:pPr>
        <w:pStyle w:val="Heading2"/>
        <w:rPr/>
      </w:pPr>
      <w:bookmarkStart w:id="78" w:name="_hdv1k1gurhpo"/>
      <w:bookmarkEnd w:id="78"/>
      <w:r>
        <w:rPr/>
        <w:t>4.4</w:t>
        <w:tab/>
        <w:t>Summary of Key Findings</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This study yields three principal conclusions about community policing in Telford: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1. Visibility Breeds Trust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Foot patrols and event attendance improved perceptions, but inconsistent coverage left some areas feeling neglected.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2. Trust Remains Conditional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While average trust scored 3.6/5, gaps persist among youth and non-English speakers due to communication failures.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3. Crime Impact is Nuanced</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Petty crime decreased, but resource limitations hindered progress on complex issues (e.g., drug networks).  </w:t>
      </w:r>
    </w:p>
    <w:p>
      <w:pPr>
        <w:sectPr>
          <w:footerReference w:type="even" r:id="rId26"/>
          <w:footerReference w:type="default" r:id="rId27"/>
          <w:footerReference w:type="first" r:id="rId28"/>
          <w:type w:val="nextPage"/>
          <w:pgSz w:w="11906" w:h="16838"/>
          <w:pgMar w:left="1440" w:right="1440" w:gutter="0" w:header="0" w:top="1440" w:footer="708" w:bottom="1440"/>
          <w:pgNumType w:fmt="decimal"/>
          <w:formProt w:val="false"/>
          <w:titlePg/>
          <w:textDirection w:val="lrTb"/>
          <w:docGrid w:type="default" w:linePitch="100" w:charSpace="0"/>
        </w:sect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 "The police are trying, but they're spread too thin to be everywhere we need them." (Resident, final focus group comment).</w:t>
      </w:r>
    </w:p>
    <w:p>
      <w:pPr>
        <w:pStyle w:val="Heading1"/>
        <w:rPr/>
      </w:pPr>
      <w:bookmarkStart w:id="79" w:name="_hhlndxv5w4rm"/>
      <w:bookmarkEnd w:id="79"/>
      <w:r>
        <w:rPr>
          <w:b/>
        </w:rPr>
        <w:t>CHAPTER 5</w:t>
      </w:r>
    </w:p>
    <w:p>
      <w:pPr>
        <w:pStyle w:val="Heading1"/>
        <w:rPr>
          <w:b/>
        </w:rPr>
      </w:pPr>
      <w:bookmarkStart w:id="80" w:name="_l0or7kl5th5d"/>
      <w:bookmarkEnd w:id="80"/>
      <w:r>
        <w:rPr>
          <w:b/>
        </w:rPr>
        <w:t>DISCUSSION AND CONCLUSION</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Building on the mixed-methods findings from Telford (Chapter 4), this chapter evaluates how the results address the original research objectives (Chapter 3): (1) assessing crime reduction impacts and (2) analysing police-community relationships. It then positions these insights within wider policing literature, acknowledges methodological constraints, and proposes evidence-based recommendations—prioritising solutions grounded in participant voices.</w:t>
      </w:r>
    </w:p>
    <w:p>
      <w:pPr>
        <w:pStyle w:val="Heading2"/>
        <w:rPr/>
      </w:pPr>
      <w:bookmarkStart w:id="81" w:name="_vds40wpzaqsj"/>
      <w:bookmarkEnd w:id="81"/>
      <w:r>
        <w:rPr/>
        <w:t>5.1</w:t>
        <w:tab/>
        <w:t>Discussion of Key Findings</w:t>
      </w:r>
    </w:p>
    <w:p>
      <w:pPr>
        <w:pStyle w:val="Heading3"/>
        <w:rPr>
          <w:rFonts w:ascii="Arial" w:hAnsi="Arial" w:eastAsia="Arial" w:cs="Arial"/>
          <w:b w:val="false"/>
        </w:rPr>
      </w:pPr>
      <w:bookmarkStart w:id="82" w:name="_mm714v8ybhtt"/>
      <w:bookmarkEnd w:id="82"/>
      <w:r>
        <w:rPr>
          <w:rFonts w:eastAsia="Arial" w:cs="Arial" w:ascii="Arial" w:hAnsi="Arial"/>
        </w:rPr>
        <w:t>5.1.1</w:t>
        <w:tab/>
        <w:t>Crime Reduction: Quantitative-Qualitative Synthesis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survey's 58% agreement on crime reduction (Figure 4.4) aligns with police-reported declines in antisocial behaviour (-22% in central Telford, 2024). However, qualitative data reveal this impact is neighbourhood-specific. While Wellington residents cited fewer graffiti incidents ('The park is cleaner now,' FG2), Brookside's persistent drug issues ('Dealers just move corners,' Officer 4) mirror Skogan and Frydl's (2004) finding that hotspot policing requires adaptive strategies.</w:t>
      </w:r>
    </w:p>
    <w:p>
      <w:pPr>
        <w:pStyle w:val="Heading3"/>
        <w:rPr>
          <w:rFonts w:ascii="Arial" w:hAnsi="Arial" w:eastAsia="Arial" w:cs="Arial"/>
          <w:b w:val="false"/>
        </w:rPr>
      </w:pPr>
      <w:bookmarkStart w:id="83" w:name="_5lp5h0z4f2av"/>
      <w:bookmarkEnd w:id="83"/>
      <w:r>
        <w:rPr>
          <w:rFonts w:eastAsia="Arial" w:cs="Arial" w:ascii="Arial" w:hAnsi="Arial"/>
        </w:rPr>
        <w:t>5.1.2</w:t>
        <w:tab/>
        <w:t xml:space="preserve">Trust-Building: Methodological Insights  </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Unicode MS" w:cs="Arial Unicode MS" w:ascii="Arial Unicode MS" w:hAnsi="Arial Unicode MS"/>
          <w:b w:val="false"/>
          <w:i w:val="false"/>
          <w:caps w:val="false"/>
          <w:smallCaps w:val="false"/>
          <w:strike w:val="false"/>
          <w:dstrike w:val="false"/>
          <w:color w:val="000000"/>
          <w:position w:val="0"/>
          <w:sz w:val="24"/>
          <w:sz w:val="24"/>
          <w:szCs w:val="24"/>
          <w:u w:val="none"/>
          <w:shd w:fill="auto" w:val="clear"/>
          <w:vertAlign w:val="baseline"/>
        </w:rPr>
        <w:t>Moderate trust (3.6/5) reflects partial success of engagement tactics like foot patrols—a priority identified in our purposive sampling of officers (Chapter 3). Yet younger respondents (avg. 3.2) felt excluded, underscoring Modise's (2023) warning that 'visibility ≠ inclusion.' This gap emerged clearly through focus groups (Chapter 4), where under-25s requested school outreach over patrols.</w:t>
      </w:r>
    </w:p>
    <w:p>
      <w:pPr>
        <w:pStyle w:val="Heading2"/>
        <w:rPr>
          <w:b w:val="false"/>
        </w:rPr>
      </w:pPr>
      <w:bookmarkStart w:id="84" w:name="_8rwuw3ut5q"/>
      <w:bookmarkEnd w:id="84"/>
      <w:r>
        <w:rPr/>
        <w:t>5.2</w:t>
        <w:tab/>
        <w:t>Theoretical and Policy Implications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Structure:  </w:t>
      </w:r>
    </w:p>
    <w:p>
      <w:pPr>
        <w:pStyle w:val="normal1"/>
        <w:keepNext w:val="false"/>
        <w:keepLines w:val="false"/>
        <w:pageBreakBefore w:val="false"/>
        <w:widowControl/>
        <w:numPr>
          <w:ilvl w:val="1"/>
          <w:numId w:val="35"/>
        </w:numPr>
        <w:pBdr/>
        <w:shd w:val="clear" w:fill="auto"/>
        <w:spacing w:lineRule="auto" w:line="360" w:before="0" w:after="140"/>
        <w:ind w:hanging="360" w:left="426"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Consistencies with Literature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The visibility-trust correlation supports Gill et al. (2014), but our resident-defined 'visibility' (foot patrols, not cars) refines their model.</w:t>
      </w:r>
    </w:p>
    <w:p>
      <w:pPr>
        <w:pStyle w:val="normal1"/>
        <w:keepNext w:val="false"/>
        <w:keepLines w:val="false"/>
        <w:pageBreakBefore w:val="false"/>
        <w:widowControl/>
        <w:numPr>
          <w:ilvl w:val="0"/>
          <w:numId w:val="35"/>
        </w:numPr>
        <w:pBdr/>
        <w:shd w:val="clear" w:fill="auto"/>
        <w:spacing w:lineRule="auto" w:line="360" w:before="0" w:after="140"/>
        <w:ind w:hanging="360" w:left="426"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Contradictions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Unlike Braga and Weisburd (2015), Telford's youth associated patrols with surveillance, not safety—a tension needing cultural competency training. </w:t>
      </w:r>
    </w:p>
    <w:p>
      <w:pPr>
        <w:pStyle w:val="normal1"/>
        <w:keepNext w:val="false"/>
        <w:keepLines w:val="false"/>
        <w:pageBreakBefore w:val="false"/>
        <w:widowControl/>
        <w:numPr>
          <w:ilvl w:val="0"/>
          <w:numId w:val="35"/>
        </w:numPr>
        <w:pBdr/>
        <w:shd w:val="clear" w:fill="auto"/>
        <w:spacing w:lineRule="auto" w:line="360" w:before="0" w:after="140"/>
        <w:ind w:hanging="360" w:left="709"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Policy Recommendations  </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College of Policing (2024) guidelines should emphasise neighbourhood-specific adaptations, as pilot-tested in our methodology (Section 3.4).</w:t>
      </w:r>
    </w:p>
    <w:p>
      <w:pPr>
        <w:pStyle w:val="Heading2"/>
        <w:rPr>
          <w:b w:val="false"/>
        </w:rPr>
      </w:pPr>
      <w:bookmarkStart w:id="85" w:name="_x5hjabl7ixwk"/>
      <w:bookmarkEnd w:id="85"/>
      <w:r>
        <w:rPr/>
        <w:t>5.4</w:t>
        <w:tab/>
        <w:t>Limitations as Methodological Reflections</w:t>
      </w:r>
    </w:p>
    <w:p>
      <w:pPr>
        <w:pStyle w:val="normal1"/>
        <w:keepNext w:val="false"/>
        <w:keepLines w:val="false"/>
        <w:pageBreakBefore w:val="false"/>
        <w:widowControl/>
        <w:pBdr/>
        <w:shd w:val="clear" w:fill="auto"/>
        <w:spacing w:lineRule="auto" w:line="360"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While the 2-week survey window (Chapter 3) enabled rapid data collection, it precluded analysis of seasonal crime variations—a limitation also noted in Smith's (2020) Townhill study. Similarly, our focus group's urban bias (6/8 participants from central wards) mirrors Modise's (2023) rural underrepresentation challenge.</w:t>
      </w:r>
    </w:p>
    <w:p>
      <w:pPr>
        <w:pStyle w:val="Heading2"/>
        <w:rPr>
          <w:b w:val="false"/>
        </w:rPr>
      </w:pPr>
      <w:bookmarkStart w:id="86" w:name="_sa80pehskrn7"/>
      <w:bookmarkEnd w:id="86"/>
      <w:r>
        <w:rPr/>
        <w:t>5.5</w:t>
        <w:tab/>
        <w:t>Recommendations</w:t>
      </w:r>
    </w:p>
    <w:p>
      <w:p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Figure 5.5</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 </w:t>
      </w:r>
      <w:r>
        <w:rPr>
          <w:rFonts w:eastAsia="Arial" w:cs="Arial"/>
          <w:b w:val="false"/>
          <w:i/>
          <w:caps w:val="false"/>
          <w:smallCaps w:val="false"/>
          <w:strike w:val="false"/>
          <w:dstrike w:val="false"/>
          <w:color w:val="000000"/>
          <w:position w:val="0"/>
          <w:sz w:val="24"/>
          <w:sz w:val="24"/>
          <w:szCs w:val="24"/>
          <w:u w:val="none"/>
          <w:shd w:fill="auto" w:val="clear"/>
          <w:vertAlign w:val="baseline"/>
        </w:rPr>
        <w:t>Evidence-Based Actions</w:t>
      </w:r>
    </w:p>
    <w:tbl>
      <w:tblPr>
        <w:tblStyle w:val="Table5"/>
        <w:tblW w:w="9030" w:type="dxa"/>
        <w:jc w:val="left"/>
        <w:tblInd w:w="-108" w:type="dxa"/>
        <w:tblLayout w:type="fixed"/>
        <w:tblCellMar>
          <w:top w:w="0" w:type="dxa"/>
          <w:left w:w="108" w:type="dxa"/>
          <w:bottom w:w="0" w:type="dxa"/>
          <w:right w:w="108" w:type="dxa"/>
        </w:tblCellMar>
        <w:tblLook w:val="04a0"/>
      </w:tblPr>
      <w:tblGrid>
        <w:gridCol w:w="2550"/>
        <w:gridCol w:w="3510"/>
        <w:gridCol w:w="2970"/>
      </w:tblGrid>
      <w:tr>
        <w:trPr/>
        <w:tc>
          <w:tcPr>
            <w:tcW w:w="2550" w:type="dxa"/>
            <w:tcBorders>
              <w:top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Stakeholder</w:t>
            </w:r>
          </w:p>
        </w:tc>
        <w:tc>
          <w:tcPr>
            <w:tcW w:w="3510" w:type="dxa"/>
            <w:tcBorders>
              <w:top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Recommendation</w:t>
            </w:r>
          </w:p>
        </w:tc>
        <w:tc>
          <w:tcPr>
            <w:tcW w:w="2970" w:type="dxa"/>
            <w:tcBorders>
              <w:top w:val="single" w:sz="4" w:space="0" w:color="7F7F7F"/>
            </w:tcBorders>
          </w:tcPr>
          <w:p>
            <w:pPr>
              <w:pStyle w:val="normal1"/>
              <w:keepNext w:val="false"/>
              <w:keepLines w:val="false"/>
              <w:widowControl w:val="false"/>
              <w:pBdr/>
              <w:shd w:val="clear" w:fill="auto"/>
              <w:spacing w:lineRule="auto" w:line="360" w:before="0" w:after="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Data Source</w:t>
            </w:r>
          </w:p>
        </w:tc>
      </w:tr>
      <w:tr>
        <w:trPr/>
        <w:tc>
          <w:tcPr>
            <w:tcW w:w="2550" w:type="dxa"/>
            <w:tcBorders/>
          </w:tcPr>
          <w:p>
            <w:pPr>
              <w:pStyle w:val="normal1"/>
              <w:keepNext w:val="false"/>
              <w:keepLines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Police</w:t>
            </w:r>
          </w:p>
        </w:tc>
        <w:tc>
          <w:tcPr>
            <w:tcW w:w="3510" w:type="dxa"/>
            <w:tcBorders/>
          </w:tcPr>
          <w:p>
            <w:pPr>
              <w:pStyle w:val="normal1"/>
              <w:keepNext w:val="false"/>
              <w:keepLines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Rotate patrols weekly to cover 'coldspots' </w:t>
            </w:r>
          </w:p>
        </w:tc>
        <w:tc>
          <w:tcPr>
            <w:tcW w:w="2970" w:type="dxa"/>
            <w:tcBorders/>
          </w:tcPr>
          <w:p>
            <w:pPr>
              <w:pStyle w:val="normal1"/>
              <w:keepNext w:val="false"/>
              <w:keepLines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Resident quotes (4.3.1) + crime maps</w:t>
            </w:r>
          </w:p>
        </w:tc>
      </w:tr>
      <w:tr>
        <w:trPr/>
        <w:tc>
          <w:tcPr>
            <w:tcW w:w="2550" w:type="dxa"/>
            <w:tcBorders/>
          </w:tcPr>
          <w:p>
            <w:pPr>
              <w:pStyle w:val="normal1"/>
              <w:keepNext w:val="false"/>
              <w:keepLines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Council</w:t>
            </w:r>
          </w:p>
        </w:tc>
        <w:tc>
          <w:tcPr>
            <w:tcW w:w="3510" w:type="dxa"/>
            <w:tcBorders/>
          </w:tcPr>
          <w:p>
            <w:pPr>
              <w:pStyle w:val="normal1"/>
              <w:keepNext w:val="false"/>
              <w:keepLines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Fund youth-officer liaison roles in schools</w:t>
            </w:r>
          </w:p>
        </w:tc>
        <w:tc>
          <w:tcPr>
            <w:tcW w:w="2970" w:type="dxa"/>
            <w:tcBorders/>
          </w:tcPr>
          <w:p>
            <w:pPr>
              <w:pStyle w:val="normal1"/>
              <w:keepNext w:val="false"/>
              <w:keepLines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Under-25s' trust scores (4.2.4)</w:t>
            </w:r>
          </w:p>
        </w:tc>
      </w:tr>
      <w:tr>
        <w:trPr/>
        <w:tc>
          <w:tcPr>
            <w:tcW w:w="2550" w:type="dxa"/>
            <w:tcBorders>
              <w:bottom w:val="single" w:sz="4" w:space="0" w:color="7F7F7F"/>
            </w:tcBorders>
          </w:tcPr>
          <w:p>
            <w:pPr>
              <w:pStyle w:val="normal1"/>
              <w:keepNext w:val="false"/>
              <w:keepLines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Researchers</w:t>
            </w:r>
          </w:p>
        </w:tc>
        <w:tc>
          <w:tcPr>
            <w:tcW w:w="3510" w:type="dxa"/>
            <w:tcBorders>
              <w:bottom w:val="single" w:sz="4" w:space="0" w:color="7F7F7F"/>
            </w:tcBorders>
          </w:tcPr>
          <w:p>
            <w:pPr>
              <w:pStyle w:val="normal1"/>
              <w:keepNext w:val="false"/>
              <w:keepLines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Replicate study with rural cohorts</w:t>
            </w:r>
          </w:p>
        </w:tc>
        <w:tc>
          <w:tcPr>
            <w:tcW w:w="2970" w:type="dxa"/>
            <w:tcBorders>
              <w:bottom w:val="single" w:sz="4" w:space="0" w:color="7F7F7F"/>
            </w:tcBorders>
          </w:tcPr>
          <w:p>
            <w:pPr>
              <w:pStyle w:val="normal1"/>
              <w:keepNext w:val="false"/>
              <w:keepLines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Limitation 5.4</w:t>
            </w:r>
          </w:p>
        </w:tc>
      </w:tr>
    </w:tbl>
    <w:p>
      <w:pPr>
        <w:pStyle w:val="Heading2"/>
        <w:rPr>
          <w:b w:val="false"/>
        </w:rPr>
      </w:pPr>
      <w:bookmarkStart w:id="87" w:name="_osdarz2bmhye"/>
      <w:bookmarkEnd w:id="87"/>
      <w:r>
        <w:rPr/>
        <w:t>5.6</w:t>
        <w:tab/>
        <w:t>Conclusion</w:t>
      </w:r>
    </w:p>
    <w:p>
      <w:pPr>
        <w:sectPr>
          <w:footerReference w:type="even" r:id="rId29"/>
          <w:footerReference w:type="default" r:id="rId30"/>
          <w:footerReference w:type="first" r:id="rId31"/>
          <w:type w:val="nextPage"/>
          <w:pgSz w:w="11906" w:h="16838"/>
          <w:pgMar w:left="1440" w:right="1440" w:gutter="0" w:header="0" w:top="1440" w:footer="708" w:bottom="1440"/>
          <w:pgNumType w:fmt="decimal"/>
          <w:formProt w:val="false"/>
          <w:titlePg/>
          <w:textDirection w:val="lrTb"/>
          <w:docGrid w:type="default" w:linePitch="100" w:charSpace="0"/>
        </w:sectPr>
        <w:pStyle w:val="normal1"/>
        <w:keepNext w:val="false"/>
        <w:keepLines w:val="false"/>
        <w:pageBreakBefore w:val="false"/>
        <w:widowControl/>
        <w:pBdr/>
        <w:shd w:val="clear" w:fill="auto"/>
        <w:spacing w:lineRule="auto" w:line="360" w:before="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This study demonstrates that community policing in Telford has improved safety perceptions but reveals a trust gap among youth—a finding made possible by our mixed-methods design (Chapter 3). While resource constraints limit generalisability, the actionable framework in Table 5.1 offers a template for towns with similar industrial heritage. Future research should pair longitudinal crime stats with resident diaries to capture evolving dynamics.</w:t>
      </w:r>
    </w:p>
    <w:p>
      <w:pPr>
        <w:pStyle w:val="Heading1"/>
        <w:rPr/>
      </w:pPr>
      <w:bookmarkStart w:id="88" w:name="_3e183u3tphss"/>
      <w:bookmarkEnd w:id="88"/>
      <w:r>
        <w:rPr>
          <w:b/>
        </w:rPr>
        <w:t>REFERENCES</w:t>
      </w:r>
    </w:p>
    <w:p>
      <w:pPr>
        <w:pStyle w:val="normal1"/>
        <w:spacing w:lineRule="auto" w:line="240" w:before="240" w:after="160"/>
        <w:jc w:val="both"/>
        <w:rPr>
          <w:b/>
          <w:i/>
          <w:i/>
        </w:rPr>
      </w:pPr>
      <w:r>
        <w:rPr>
          <w:b/>
          <w:i/>
        </w:rPr>
        <w:t>Academic Books and Journal Articles</w:t>
      </w:r>
    </w:p>
    <w:p>
      <w:pPr>
        <w:pStyle w:val="normal1"/>
        <w:shd w:val="clear" w:fill="FFFFFF"/>
        <w:ind w:hanging="720" w:left="720"/>
        <w:jc w:val="both"/>
        <w:rPr/>
      </w:pPr>
      <w:r>
        <w:rPr/>
        <w:t xml:space="preserve">Alharahsheh, H.H. and Pius, A. (2020) ‘A review of key paradigms: Positivism VS interpretivism’, </w:t>
      </w:r>
      <w:r>
        <w:rPr>
          <w:i/>
        </w:rPr>
        <w:t>Global Academic Journal of Humanities and Social Sciences</w:t>
      </w:r>
      <w:r>
        <w:rPr/>
        <w:t>, 2(3), pp. 39–43.</w:t>
      </w:r>
    </w:p>
    <w:p>
      <w:pPr>
        <w:pStyle w:val="normal1"/>
        <w:shd w:val="clear" w:fill="FFFFFF"/>
        <w:spacing w:lineRule="auto" w:line="240" w:before="60" w:after="160"/>
        <w:ind w:hanging="720" w:left="720"/>
        <w:jc w:val="both"/>
        <w:rPr/>
      </w:pPr>
      <w:r>
        <w:rPr/>
        <w:t xml:space="preserve">Bradford, B., Jackson, J. and Stanko, E.A. (2017) ‘Police legitimacy among immigrants in Europe: Institutional frames and group position’, </w:t>
      </w:r>
      <w:r>
        <w:rPr>
          <w:i/>
        </w:rPr>
        <w:t>European Journal of Criminology</w:t>
      </w:r>
      <w:r>
        <w:rPr/>
        <w:t>, 14(1), pp. 35–56.</w:t>
      </w:r>
    </w:p>
    <w:p>
      <w:pPr>
        <w:pStyle w:val="normal1"/>
        <w:shd w:val="clear" w:fill="FFFFFF"/>
        <w:spacing w:lineRule="auto" w:line="240" w:before="60" w:after="160"/>
        <w:ind w:hanging="720" w:left="720"/>
        <w:jc w:val="both"/>
        <w:rPr/>
      </w:pPr>
      <w:r>
        <w:rPr/>
        <w:t xml:space="preserve">Braga, A.A. and Weisburd, D.L. (2018) ‘Does hot spots policing have meaningful impacts on crime? Findings from an alternative approach to estimating effect sizes’, </w:t>
      </w:r>
      <w:r>
        <w:rPr>
          <w:i/>
        </w:rPr>
        <w:t>Journal of Quantitative Criminology</w:t>
      </w:r>
      <w:r>
        <w:rPr/>
        <w:t>, 34(1), pp. 1–22.</w:t>
      </w:r>
    </w:p>
    <w:p>
      <w:pPr>
        <w:pStyle w:val="normal1"/>
        <w:shd w:val="clear" w:fill="FFFFFF"/>
        <w:spacing w:lineRule="auto" w:line="240" w:before="60" w:after="160"/>
        <w:ind w:hanging="720" w:left="720"/>
        <w:jc w:val="both"/>
        <w:rPr/>
      </w:pPr>
      <w:r>
        <w:rPr/>
        <w:t xml:space="preserve">Braun, V. and Clarke, V. (2006) ‘Using thematic analysis in psychology’, </w:t>
      </w:r>
      <w:r>
        <w:rPr>
          <w:i/>
        </w:rPr>
        <w:t>Qualitative Research in Psychology</w:t>
      </w:r>
      <w:r>
        <w:rPr/>
        <w:t>, 3(2), pp. 77–101.</w:t>
      </w:r>
    </w:p>
    <w:p>
      <w:pPr>
        <w:pStyle w:val="normal1"/>
        <w:shd w:val="clear" w:fill="FFFFFF"/>
        <w:spacing w:lineRule="auto" w:line="240" w:before="60" w:after="160"/>
        <w:ind w:hanging="720" w:left="720"/>
        <w:jc w:val="both"/>
        <w:rPr/>
      </w:pPr>
      <w:r>
        <w:rPr/>
        <w:t xml:space="preserve">Bryman, A. (2016) </w:t>
      </w:r>
      <w:r>
        <w:rPr>
          <w:i/>
        </w:rPr>
        <w:t>Social research methods</w:t>
      </w:r>
      <w:r>
        <w:rPr/>
        <w:t>, 5th edn. Oxford: Oxford University Press.</w:t>
      </w:r>
    </w:p>
    <w:p>
      <w:pPr>
        <w:pStyle w:val="normal1"/>
        <w:shd w:val="clear" w:fill="FFFFFF"/>
        <w:spacing w:lineRule="auto" w:line="240" w:before="60" w:after="160"/>
        <w:ind w:hanging="720" w:left="720"/>
        <w:jc w:val="both"/>
        <w:rPr/>
      </w:pPr>
      <w:r>
        <w:rPr/>
        <w:t xml:space="preserve">Bullock, K. and Sindall, K. (2014) ‘The nature and extent of police crime in England and Wales’, </w:t>
      </w:r>
      <w:r>
        <w:rPr>
          <w:i/>
        </w:rPr>
        <w:t>Policing and Society</w:t>
      </w:r>
      <w:r>
        <w:rPr/>
        <w:t>, 24(4), pp. 411–425.</w:t>
      </w:r>
    </w:p>
    <w:p>
      <w:pPr>
        <w:pStyle w:val="normal1"/>
        <w:shd w:val="clear" w:fill="FFFFFF"/>
        <w:spacing w:lineRule="auto" w:line="240" w:before="60" w:after="160"/>
        <w:ind w:hanging="720" w:left="720"/>
        <w:jc w:val="both"/>
        <w:rPr/>
      </w:pPr>
      <w:r>
        <w:rPr/>
        <w:t xml:space="preserve">Gill, C., Weisburd, D. and Telep, C.W. (2014) ‘Community-oriented policing to reduce crime, disorder and fear and increase satisfaction and legitimacy among citizens: A systematic review’, </w:t>
      </w:r>
      <w:r>
        <w:rPr>
          <w:i/>
        </w:rPr>
        <w:t>Journal of Experimental Criminology</w:t>
      </w:r>
      <w:r>
        <w:rPr/>
        <w:t>, 10(4), pp. 399–428.</w:t>
      </w:r>
    </w:p>
    <w:p>
      <w:pPr>
        <w:pStyle w:val="normal1"/>
        <w:shd w:val="clear" w:fill="FFFFFF"/>
        <w:spacing w:lineRule="auto" w:line="240" w:before="60" w:after="160"/>
        <w:ind w:hanging="720" w:left="720"/>
        <w:jc w:val="both"/>
        <w:rPr/>
      </w:pPr>
      <w:r>
        <w:rPr/>
        <w:t xml:space="preserve">Gorringe, H. and Rosie, M. (2020) ‘“It’s a war!”: The policing of protest in Scotland’, </w:t>
      </w:r>
      <w:r>
        <w:rPr>
          <w:i/>
        </w:rPr>
        <w:t>British Journal of Criminology</w:t>
      </w:r>
      <w:r>
        <w:rPr/>
        <w:t>, 60(2), pp. 375–393.</w:t>
      </w:r>
    </w:p>
    <w:p>
      <w:pPr>
        <w:pStyle w:val="normal1"/>
        <w:shd w:val="clear" w:fill="FFFFFF"/>
        <w:spacing w:lineRule="auto" w:line="240" w:before="60" w:after="160"/>
        <w:ind w:hanging="720" w:left="720"/>
        <w:jc w:val="both"/>
        <w:rPr/>
      </w:pPr>
      <w:r>
        <w:rPr/>
        <w:t xml:space="preserve">Hirschi, T. (1969) </w:t>
      </w:r>
      <w:r>
        <w:rPr>
          <w:i/>
        </w:rPr>
        <w:t>Causes of delinquency</w:t>
      </w:r>
      <w:r>
        <w:rPr/>
        <w:t>. Berkeley: University of California Press.</w:t>
      </w:r>
    </w:p>
    <w:p>
      <w:pPr>
        <w:pStyle w:val="normal1"/>
        <w:shd w:val="clear" w:fill="FFFFFF"/>
        <w:spacing w:lineRule="auto" w:line="240" w:before="60" w:after="160"/>
        <w:ind w:hanging="720" w:left="720"/>
        <w:jc w:val="both"/>
        <w:rPr/>
      </w:pPr>
      <w:r>
        <w:rPr/>
        <w:t xml:space="preserve">Innes, M. (2004) ‘Signal crimes and signal disorders: Notes on deviance as communicative action’, </w:t>
      </w:r>
      <w:r>
        <w:rPr>
          <w:i/>
        </w:rPr>
        <w:t>British Journal of Sociology</w:t>
      </w:r>
      <w:r>
        <w:rPr/>
        <w:t>, 55(3), pp. 335–355.</w:t>
      </w:r>
    </w:p>
    <w:p>
      <w:pPr>
        <w:pStyle w:val="normal1"/>
        <w:shd w:val="clear" w:fill="FFFFFF"/>
        <w:spacing w:lineRule="auto" w:line="240" w:before="60" w:after="160"/>
        <w:ind w:hanging="720" w:left="720"/>
        <w:jc w:val="both"/>
        <w:rPr/>
      </w:pPr>
      <w:r>
        <w:rPr/>
        <w:t xml:space="preserve">Kelling, G.L. and Moore, M.H. (1988) </w:t>
      </w:r>
      <w:r>
        <w:rPr>
          <w:i/>
        </w:rPr>
        <w:t>The evolving strategy of policing</w:t>
      </w:r>
      <w:r>
        <w:rPr/>
        <w:t>. Washington, DC: US Department of Justice.</w:t>
      </w:r>
    </w:p>
    <w:p>
      <w:pPr>
        <w:pStyle w:val="normal1"/>
        <w:shd w:val="clear" w:fill="FFFFFF"/>
        <w:spacing w:lineRule="auto" w:line="240" w:before="60" w:after="160"/>
        <w:ind w:hanging="720" w:left="720"/>
        <w:jc w:val="both"/>
        <w:rPr/>
      </w:pPr>
      <w:r>
        <w:rPr/>
        <w:t xml:space="preserve">Klauer, K.J. and Phye, G.D. (2008) ‘Inductive reasoning: A training approach’, </w:t>
      </w:r>
      <w:r>
        <w:rPr>
          <w:i/>
        </w:rPr>
        <w:t>Review of Educational Research</w:t>
      </w:r>
      <w:r>
        <w:rPr/>
        <w:t>, 78(1), pp. 85–123.</w:t>
      </w:r>
    </w:p>
    <w:p>
      <w:pPr>
        <w:pStyle w:val="normal1"/>
        <w:shd w:val="clear" w:fill="FFFFFF"/>
        <w:spacing w:lineRule="auto" w:line="240" w:before="60" w:after="160"/>
        <w:ind w:hanging="720" w:left="720"/>
        <w:jc w:val="both"/>
        <w:rPr/>
      </w:pPr>
      <w:r>
        <w:rPr/>
        <w:t xml:space="preserve">Levin, K.A. (2006) ‘Study design III: Cross-sectional studies’, </w:t>
      </w:r>
      <w:r>
        <w:rPr>
          <w:i/>
        </w:rPr>
        <w:t>Evidence-Based Dentistry</w:t>
      </w:r>
      <w:r>
        <w:rPr/>
        <w:t>, 7(1), pp. 24–25.</w:t>
      </w:r>
    </w:p>
    <w:p>
      <w:pPr>
        <w:pStyle w:val="normal1"/>
        <w:shd w:val="clear" w:fill="FFFFFF"/>
        <w:spacing w:lineRule="auto" w:line="240" w:before="60" w:after="160"/>
        <w:ind w:hanging="720" w:left="720"/>
        <w:jc w:val="both"/>
        <w:rPr/>
      </w:pPr>
      <w:r>
        <w:rPr/>
        <w:t xml:space="preserve">Loader, I. and Mulcahy, A. (2003) </w:t>
      </w:r>
      <w:r>
        <w:rPr>
          <w:i/>
        </w:rPr>
        <w:t>Policing and the condition of England: Memory, politics and culture</w:t>
      </w:r>
      <w:r>
        <w:rPr/>
        <w:t>. Oxford: Oxford University Press.</w:t>
      </w:r>
    </w:p>
    <w:p>
      <w:pPr>
        <w:pStyle w:val="normal1"/>
        <w:shd w:val="clear" w:fill="FFFFFF"/>
        <w:spacing w:lineRule="auto" w:line="240" w:before="60" w:after="160"/>
        <w:ind w:hanging="720" w:left="720"/>
        <w:jc w:val="both"/>
        <w:rPr/>
      </w:pPr>
      <w:r>
        <w:rPr/>
        <w:t xml:space="preserve">Modise, L. (2023) ‘Community policing in diverse societies: Challenges and opportunities’, </w:t>
      </w:r>
      <w:r>
        <w:rPr>
          <w:i/>
        </w:rPr>
        <w:t>Policing: A Journal of Policy and Practice</w:t>
      </w:r>
      <w:r>
        <w:rPr/>
        <w:t>, 17(1), pp. 1–15.</w:t>
      </w:r>
    </w:p>
    <w:p>
      <w:pPr>
        <w:pStyle w:val="normal1"/>
        <w:shd w:val="clear" w:fill="FFFFFF"/>
        <w:spacing w:lineRule="auto" w:line="240" w:before="60" w:after="160"/>
        <w:ind w:hanging="720" w:left="720"/>
        <w:jc w:val="both"/>
        <w:rPr/>
      </w:pPr>
      <w:r>
        <w:rPr/>
        <w:t xml:space="preserve">Myhill, A. (2012) </w:t>
      </w:r>
      <w:r>
        <w:rPr>
          <w:i/>
        </w:rPr>
        <w:t>Community engagement in policing: Lessons from the literature</w:t>
      </w:r>
      <w:r>
        <w:rPr/>
        <w:t>. London: College of Policing.</w:t>
      </w:r>
    </w:p>
    <w:p>
      <w:pPr>
        <w:pStyle w:val="normal1"/>
        <w:shd w:val="clear" w:fill="FFFFFF"/>
        <w:spacing w:lineRule="auto" w:line="240" w:before="60" w:after="160"/>
        <w:ind w:hanging="720" w:left="720"/>
        <w:jc w:val="both"/>
        <w:rPr/>
      </w:pPr>
      <w:r>
        <w:rPr/>
        <w:t xml:space="preserve">Sampson, R.J. (2012) </w:t>
      </w:r>
      <w:r>
        <w:rPr>
          <w:i/>
        </w:rPr>
        <w:t>Great American city: Chicago and the enduring neighborhood effect</w:t>
      </w:r>
      <w:r>
        <w:rPr/>
        <w:t>. Chicago: University of Chicago Press.</w:t>
      </w:r>
    </w:p>
    <w:p>
      <w:pPr>
        <w:pStyle w:val="normal1"/>
        <w:shd w:val="clear" w:fill="FFFFFF"/>
        <w:spacing w:lineRule="auto" w:line="240" w:before="60" w:after="160"/>
        <w:ind w:hanging="720" w:left="720"/>
        <w:jc w:val="both"/>
        <w:rPr/>
      </w:pPr>
      <w:r>
        <w:rPr/>
        <w:t xml:space="preserve">Saunders, M., Lewis, P. and Thornhill, A. (2019) </w:t>
      </w:r>
      <w:r>
        <w:rPr>
          <w:i/>
        </w:rPr>
        <w:t>Research methods for business students</w:t>
      </w:r>
      <w:r>
        <w:rPr/>
        <w:t>, 8th edn. Harlow: Pearson.</w:t>
      </w:r>
    </w:p>
    <w:p>
      <w:pPr>
        <w:pStyle w:val="normal1"/>
        <w:shd w:val="clear" w:fill="FFFFFF"/>
        <w:spacing w:lineRule="auto" w:line="240" w:before="60" w:after="160"/>
        <w:ind w:hanging="720" w:left="720"/>
        <w:jc w:val="both"/>
        <w:rPr/>
      </w:pPr>
      <w:r>
        <w:rPr/>
        <w:t xml:space="preserve">Skogan, W.G. and Frydl, K. (2004) </w:t>
      </w:r>
      <w:r>
        <w:rPr>
          <w:i/>
        </w:rPr>
        <w:t>Fairness and effectiveness in policing: The evidence</w:t>
      </w:r>
      <w:r>
        <w:rPr/>
        <w:t>. Washington, DC: National Academies Press.</w:t>
      </w:r>
    </w:p>
    <w:p>
      <w:pPr>
        <w:pStyle w:val="normal1"/>
        <w:shd w:val="clear" w:fill="FFFFFF"/>
        <w:spacing w:lineRule="auto" w:line="240" w:before="60" w:after="160"/>
        <w:ind w:hanging="720" w:left="720"/>
        <w:jc w:val="both"/>
        <w:rPr/>
      </w:pPr>
      <w:r>
        <w:rPr/>
        <w:t xml:space="preserve">Smith, R. (2020) ‘Evaluating the Townhill anti-burglary initiative: Lessons for community policing’, </w:t>
      </w:r>
      <w:r>
        <w:rPr>
          <w:i/>
        </w:rPr>
        <w:t>Crime Prevention and Community Safety</w:t>
      </w:r>
      <w:r>
        <w:rPr/>
        <w:t>, 22(3), pp. 189–205.</w:t>
      </w:r>
    </w:p>
    <w:p>
      <w:pPr>
        <w:pStyle w:val="normal1"/>
        <w:shd w:val="clear" w:fill="FFFFFF"/>
        <w:spacing w:lineRule="auto" w:line="240" w:before="60" w:after="160"/>
        <w:ind w:hanging="720" w:left="720"/>
        <w:jc w:val="both"/>
        <w:rPr/>
      </w:pPr>
      <w:r>
        <w:rPr/>
        <w:t xml:space="preserve">Steefkerk, R. (2022) </w:t>
      </w:r>
      <w:r>
        <w:rPr>
          <w:i/>
        </w:rPr>
        <w:t>Inductive research: Principles and practices</w:t>
      </w:r>
      <w:r>
        <w:rPr/>
        <w:t>. London: SAGE Publications.</w:t>
      </w:r>
    </w:p>
    <w:p>
      <w:pPr>
        <w:pStyle w:val="normal1"/>
        <w:shd w:val="clear" w:fill="FFFFFF"/>
        <w:spacing w:lineRule="auto" w:line="240" w:before="60" w:after="160"/>
        <w:ind w:hanging="720" w:left="720"/>
        <w:jc w:val="both"/>
        <w:rPr/>
      </w:pPr>
      <w:r>
        <w:rPr/>
        <w:t xml:space="preserve">Tilley, N. and Laycock, G. (2018) </w:t>
      </w:r>
      <w:r>
        <w:rPr>
          <w:i/>
        </w:rPr>
        <w:t>The why, what, when and how of evidence-based policing</w:t>
      </w:r>
      <w:r>
        <w:rPr/>
        <w:t>. London: Routledge.</w:t>
      </w:r>
    </w:p>
    <w:p>
      <w:pPr>
        <w:pStyle w:val="normal1"/>
        <w:shd w:val="clear" w:fill="FFFFFF"/>
        <w:spacing w:lineRule="auto" w:line="240" w:before="60" w:after="160"/>
        <w:ind w:hanging="720" w:left="720"/>
        <w:jc w:val="both"/>
        <w:rPr/>
      </w:pPr>
      <w:r>
        <w:rPr/>
        <w:t xml:space="preserve">Tyler, T.R. (2004) ‘Enhancing police legitimacy’, </w:t>
      </w:r>
      <w:r>
        <w:rPr>
          <w:i/>
        </w:rPr>
        <w:t>The Annals of the American Academy of Political and Social Science</w:t>
      </w:r>
      <w:r>
        <w:rPr/>
        <w:t>, 593(1), pp. 84–99.</w:t>
      </w:r>
    </w:p>
    <w:p>
      <w:pPr>
        <w:pStyle w:val="normal1"/>
        <w:shd w:val="clear" w:fill="FFFFFF"/>
        <w:spacing w:lineRule="auto" w:line="240" w:before="60" w:after="160"/>
        <w:ind w:hanging="720" w:left="720"/>
        <w:jc w:val="both"/>
        <w:rPr/>
      </w:pPr>
      <w:r>
        <w:rPr/>
        <w:t xml:space="preserve">Wilson, J.Q. and Kelling, G.L. (1982) ‘Broken windows: The police and neighborhood safety’, </w:t>
      </w:r>
      <w:r>
        <w:rPr>
          <w:i/>
        </w:rPr>
        <w:t>The Atlantic Monthly</w:t>
      </w:r>
      <w:r>
        <w:rPr/>
        <w:t>, 249(3), pp. 29–38.</w:t>
      </w:r>
    </w:p>
    <w:p>
      <w:pPr>
        <w:pStyle w:val="normal1"/>
        <w:shd w:val="clear" w:fill="FFFFFF"/>
        <w:spacing w:lineRule="auto" w:line="240" w:before="60" w:after="160"/>
        <w:ind w:hanging="720" w:left="720"/>
        <w:jc w:val="both"/>
        <w:rPr/>
      </w:pPr>
      <w:r>
        <w:rPr/>
        <w:t xml:space="preserve">Yin, R.K. (2014) </w:t>
      </w:r>
      <w:r>
        <w:rPr>
          <w:i/>
        </w:rPr>
        <w:t>Case study research: Design and methods</w:t>
      </w:r>
      <w:r>
        <w:rPr/>
        <w:t>, 5th edn. London: SAGE.</w:t>
      </w:r>
    </w:p>
    <w:p>
      <w:pPr>
        <w:pStyle w:val="normal1"/>
        <w:jc w:val="both"/>
        <w:rPr/>
      </w:pPr>
      <w:bookmarkStart w:id="89" w:name="_echwtrn092mf"/>
      <w:bookmarkEnd w:id="89"/>
      <w:r>
        <w:rPr/>
        <w:t>Government and Policy Documents</w:t>
      </w:r>
    </w:p>
    <w:p>
      <w:pPr>
        <w:pStyle w:val="normal1"/>
        <w:shd w:val="clear" w:fill="FFFFFF"/>
        <w:ind w:hanging="720" w:left="720"/>
        <w:jc w:val="both"/>
        <w:rPr/>
      </w:pPr>
      <w:r>
        <w:rPr/>
        <w:t xml:space="preserve">College of Policing (2024) </w:t>
      </w:r>
      <w:r>
        <w:rPr>
          <w:i/>
        </w:rPr>
        <w:t>Neighbourhood policing guidelines</w:t>
      </w:r>
      <w:r>
        <w:rPr/>
        <w:t>. Coventry: College of Policing.</w:t>
      </w:r>
    </w:p>
    <w:p>
      <w:pPr>
        <w:pStyle w:val="normal1"/>
        <w:shd w:val="clear" w:fill="FFFFFF"/>
        <w:spacing w:lineRule="auto" w:line="240" w:before="60" w:after="160"/>
        <w:ind w:hanging="720" w:left="720"/>
        <w:jc w:val="both"/>
        <w:rPr/>
      </w:pPr>
      <w:r>
        <w:rPr/>
        <w:t xml:space="preserve">Office for National Statistics (ONS) (2023) </w:t>
      </w:r>
      <w:r>
        <w:rPr>
          <w:i/>
        </w:rPr>
        <w:t>Crime and deprivation in England and Wales: Statistical bulletin</w:t>
      </w:r>
      <w:r>
        <w:rPr/>
        <w:t>. London: ONS.</w:t>
      </w:r>
    </w:p>
    <w:p>
      <w:pPr>
        <w:pStyle w:val="normal1"/>
        <w:shd w:val="clear" w:fill="FFFFFF"/>
        <w:spacing w:lineRule="auto" w:line="240" w:before="60" w:after="160"/>
        <w:ind w:hanging="720" w:left="720"/>
        <w:jc w:val="both"/>
        <w:rPr/>
      </w:pPr>
      <w:r>
        <w:rPr/>
        <w:t xml:space="preserve">West Mercia Police (2024) </w:t>
      </w:r>
      <w:r>
        <w:rPr>
          <w:i/>
        </w:rPr>
        <w:t>Annual crime report: Telford and Wrekin</w:t>
      </w:r>
      <w:r>
        <w:rPr/>
        <w:t>. Telford: West Mercia Police.</w:t>
      </w:r>
    </w:p>
    <w:p>
      <w:pPr>
        <w:pStyle w:val="Heading4"/>
        <w:rPr>
          <w:rFonts w:ascii="Arial" w:hAnsi="Arial" w:eastAsia="Arial" w:cs="Arial"/>
          <w:b/>
          <w:color w:val="000000"/>
        </w:rPr>
      </w:pPr>
      <w:bookmarkStart w:id="90" w:name="_lu9h1baxs6xa"/>
      <w:bookmarkEnd w:id="90"/>
      <w:r>
        <w:rPr>
          <w:rFonts w:eastAsia="Arial" w:cs="Arial" w:ascii="Arial" w:hAnsi="Arial"/>
          <w:b/>
          <w:color w:val="000000"/>
        </w:rPr>
        <w:t>Dissertation Appendices (Self-citations)</w:t>
      </w:r>
    </w:p>
    <w:p>
      <w:pPr>
        <w:pStyle w:val="normal1"/>
        <w:shd w:val="clear" w:fill="FFFFFF"/>
        <w:jc w:val="both"/>
        <w:rPr>
          <w:i/>
          <w:i/>
        </w:rPr>
      </w:pPr>
      <w:r>
        <w:rPr/>
        <w:t xml:space="preserve">Appendix A: </w:t>
      </w:r>
      <w:r>
        <w:rPr>
          <w:i/>
        </w:rPr>
        <w:t>Survey questionnaire</w:t>
      </w:r>
    </w:p>
    <w:p>
      <w:pPr>
        <w:pStyle w:val="normal1"/>
        <w:shd w:val="clear" w:fill="FFFFFF"/>
        <w:spacing w:lineRule="auto" w:line="240" w:before="60" w:after="160"/>
        <w:jc w:val="both"/>
        <w:rPr>
          <w:i/>
          <w:i/>
        </w:rPr>
      </w:pPr>
      <w:r>
        <w:rPr/>
        <w:t xml:space="preserve">Appendix B: </w:t>
      </w:r>
      <w:r>
        <w:rPr>
          <w:i/>
        </w:rPr>
        <w:t>Semi-structured interview guide</w:t>
      </w:r>
    </w:p>
    <w:p>
      <w:pPr>
        <w:pStyle w:val="normal1"/>
        <w:shd w:val="clear" w:fill="FFFFFF"/>
        <w:spacing w:lineRule="auto" w:line="240" w:before="60" w:after="160"/>
        <w:jc w:val="both"/>
        <w:rPr>
          <w:i/>
          <w:i/>
        </w:rPr>
      </w:pPr>
      <w:r>
        <w:rPr/>
        <w:t xml:space="preserve">Appendix C: </w:t>
      </w:r>
      <w:r>
        <w:rPr>
          <w:i/>
        </w:rPr>
        <w:t>Focus group discussion guide</w:t>
      </w:r>
    </w:p>
    <w:p>
      <w:pPr>
        <w:pStyle w:val="normal1"/>
        <w:shd w:val="clear" w:fill="FFFFFF"/>
        <w:spacing w:lineRule="auto" w:line="240" w:before="60" w:after="160"/>
        <w:jc w:val="both"/>
        <w:rPr>
          <w:i/>
          <w:i/>
        </w:rPr>
      </w:pPr>
      <w:r>
        <w:rPr/>
        <w:t xml:space="preserve">Appendix D: </w:t>
      </w:r>
      <w:r>
        <w:rPr>
          <w:i/>
        </w:rPr>
        <w:t>Fieldwork summary</w:t>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sectPr>
          <w:footerReference w:type="even" r:id="rId32"/>
          <w:footerReference w:type="default" r:id="rId33"/>
          <w:footerReference w:type="first" r:id="rId34"/>
          <w:type w:val="nextPage"/>
          <w:pgSz w:w="11906" w:h="16838"/>
          <w:pgMar w:left="1440" w:right="1440" w:gutter="0" w:header="0" w:top="1440" w:footer="708" w:bottom="1440"/>
          <w:pgNumType w:fmt="decimal"/>
          <w:formProt w:val="false"/>
          <w:titlePg/>
          <w:textDirection w:val="lrTb"/>
          <w:docGrid w:type="default" w:linePitch="100" w:charSpace="0"/>
        </w:sect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r>
    </w:p>
    <w:p>
      <w:pPr>
        <w:pStyle w:val="Heading1"/>
        <w:rPr/>
      </w:pPr>
      <w:bookmarkStart w:id="91" w:name="_ocvrg6mm50zk"/>
      <w:bookmarkEnd w:id="91"/>
      <w:r>
        <w:rPr>
          <w:b/>
        </w:rPr>
        <w:t>Appendix A – Survey Questionnaire</w:t>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Title: Resident Perceptions of Community Policing in Telford</w:t>
      </w:r>
    </w:p>
    <w:p>
      <w:pPr>
        <w:pStyle w:val="normal1"/>
        <w:keepNext w:val="false"/>
        <w:keepLines w:val="false"/>
        <w:pageBreakBefore w:val="false"/>
        <w:widowControl/>
        <w:pBdr/>
        <w:shd w:val="clear" w:fill="auto"/>
        <w:spacing w:lineRule="auto" w:line="276" w:before="24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Introduction and Consent Statement:</w:t>
      </w:r>
    </w:p>
    <w:p>
      <w:pPr>
        <w:pStyle w:val="normal1"/>
        <w:keepNext w:val="false"/>
        <w:keepLines w:val="false"/>
        <w:pageBreakBefore w:val="false"/>
        <w:widowControl/>
        <w:pBdr/>
        <w:shd w:val="clear" w:fill="auto"/>
        <w:spacing w:lineRule="auto" w:line="276" w:before="240" w:after="140"/>
        <w:ind w:hanging="0" w:left="0" w:right="0"/>
        <w:jc w:val="both"/>
        <w:rPr>
          <w:rFonts w:ascii="Arial" w:hAnsi="Arial" w:eastAsia="Arial" w:cs="Arial"/>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You are invited to participate in a research study on the impact of community policing in Telford. This survey is part of an undergraduate dissertation project. Your responses will remain anonymous and confidential, stored securely in compliance with GDPR (General Data Protection Regulation). Participation is voluntary, and you may skip any question or withdraw at any time using a unique withdrawal code (provided at the end). The survey takes approximately 5–10 minutes to complete.  </w:t>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By continuing, you confirm that you are 18 years or older and consent to participate. </w:t>
      </w:r>
    </w:p>
    <w:p>
      <w:pPr>
        <w:pStyle w:val="normal1"/>
        <w:shd w:val="clear" w:fill="BDD7EE"/>
        <w:rPr>
          <w:b/>
        </w:rPr>
      </w:pPr>
      <w:r>
        <w:rPr>
          <w:b/>
        </w:rPr>
        <w:t>Section 1: Background Information</w:t>
      </w:r>
    </w:p>
    <w:p>
      <w:pPr>
        <w:pStyle w:val="normal1"/>
        <w:keepNext w:val="false"/>
        <w:keepLines w:val="false"/>
        <w:pageBreakBefore w:val="false"/>
        <w:widowControl/>
        <w:numPr>
          <w:ilvl w:val="0"/>
          <w:numId w:val="1"/>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Age:</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18–24</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25–34</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35–44</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45–54</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55+</w:t>
      </w:r>
    </w:p>
    <w:p>
      <w:pPr>
        <w:pStyle w:val="normal1"/>
        <w:keepNext w:val="false"/>
        <w:keepLines w:val="false"/>
        <w:pageBreakBefore w:val="false"/>
        <w:widowControl/>
        <w:numPr>
          <w:ilvl w:val="0"/>
          <w:numId w:val="1"/>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Gender:</w:t>
      </w:r>
    </w:p>
    <w:p>
      <w:pPr>
        <w:pStyle w:val="normal1"/>
        <w:keepNext w:val="false"/>
        <w:keepLines w:val="false"/>
        <w:pageBreakBefore w:val="false"/>
        <w:widowControl/>
        <w:pBdr/>
        <w:shd w:val="clear" w:fill="auto"/>
        <w:tabs>
          <w:tab w:val="clear" w:pos="720"/>
          <w:tab w:val="left" w:pos="2836" w:leader="none"/>
        </w:tabs>
        <w:spacing w:lineRule="auto" w:line="276" w:before="0" w:after="140"/>
        <w:ind w:hanging="0" w:left="1418"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Male</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Female</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Non-binary / Other</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Prefer not to say</w:t>
      </w:r>
    </w:p>
    <w:p>
      <w:pPr>
        <w:pStyle w:val="normal1"/>
        <w:keepNext w:val="false"/>
        <w:keepLines w:val="false"/>
        <w:pageBreakBefore w:val="false"/>
        <w:widowControl/>
        <w:numPr>
          <w:ilvl w:val="0"/>
          <w:numId w:val="1"/>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Area of residence in Telford:</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[Open text box]</w:t>
      </w:r>
    </w:p>
    <w:p>
      <w:pPr>
        <w:pStyle w:val="normal1"/>
        <w:keepNext w:val="false"/>
        <w:keepLines w:val="false"/>
        <w:pageBreakBefore w:val="false"/>
        <w:widowControl/>
        <w:numPr>
          <w:ilvl w:val="0"/>
          <w:numId w:val="1"/>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How long have you lived in Telford?</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Less than 1 year</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1–5 years</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6–10 years</w:t>
      </w:r>
    </w:p>
    <w:p>
      <w:pPr>
        <w:pStyle w:val="normal1"/>
        <w:keepNext w:val="false"/>
        <w:keepLines w:val="false"/>
        <w:pageBreakBefore w:val="false"/>
        <w:widowControl/>
        <w:numPr>
          <w:ilvl w:val="1"/>
          <w:numId w:val="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More than 10 years</w:t>
      </w:r>
    </w:p>
    <w:p>
      <w:pPr>
        <w:pStyle w:val="normal1"/>
        <w:keepNext w:val="false"/>
        <w:keepLines w:val="false"/>
        <w:pageBreakBefore w:val="false"/>
        <w:widowControl/>
        <w:pBdr/>
        <w:shd w:val="clear" w:fill="auto"/>
        <w:tabs>
          <w:tab w:val="clear" w:pos="720"/>
          <w:tab w:val="left" w:pos="2836" w:leader="none"/>
        </w:tabs>
        <w:spacing w:lineRule="auto" w:line="276" w:before="0" w:after="140"/>
        <w:ind w:hanging="0" w:left="1418"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tabs>
          <w:tab w:val="clear" w:pos="720"/>
          <w:tab w:val="left" w:pos="2836" w:leader="none"/>
        </w:tabs>
        <w:spacing w:lineRule="auto" w:line="276" w:before="0" w:after="140"/>
        <w:ind w:hanging="0" w:left="1418"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shd w:val="clear" w:fill="BDD7EE"/>
        <w:rPr>
          <w:b/>
        </w:rPr>
      </w:pPr>
      <w:r>
        <w:rPr>
          <w:b/>
        </w:rPr>
        <w:t>Section 2: Awareness of Community Policing</w:t>
      </w:r>
    </w:p>
    <w:p>
      <w:pPr>
        <w:pStyle w:val="normal1"/>
        <w:keepNext w:val="false"/>
        <w:keepLines w:val="false"/>
        <w:pageBreakBefore w:val="false"/>
        <w:widowControl/>
        <w:numPr>
          <w:ilvl w:val="0"/>
          <w:numId w:val="34"/>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Are you aware of any community policing initiatives in your area?</w:t>
      </w:r>
    </w:p>
    <w:p>
      <w:pPr>
        <w:pStyle w:val="normal1"/>
        <w:keepNext w:val="false"/>
        <w:keepLines w:val="false"/>
        <w:pageBreakBefore w:val="false"/>
        <w:widowControl/>
        <w:numPr>
          <w:ilvl w:val="1"/>
          <w:numId w:val="34"/>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Yes</w:t>
      </w:r>
    </w:p>
    <w:p>
      <w:pPr>
        <w:pStyle w:val="normal1"/>
        <w:keepNext w:val="false"/>
        <w:keepLines w:val="false"/>
        <w:pageBreakBefore w:val="false"/>
        <w:widowControl/>
        <w:numPr>
          <w:ilvl w:val="1"/>
          <w:numId w:val="34"/>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w:t>
      </w:r>
    </w:p>
    <w:p>
      <w:pPr>
        <w:pStyle w:val="normal1"/>
        <w:keepNext w:val="false"/>
        <w:keepLines w:val="false"/>
        <w:pageBreakBefore w:val="false"/>
        <w:widowControl/>
        <w:numPr>
          <w:ilvl w:val="1"/>
          <w:numId w:val="34"/>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Not sure</w:t>
      </w:r>
    </w:p>
    <w:p>
      <w:pPr>
        <w:pStyle w:val="normal1"/>
        <w:keepNext w:val="false"/>
        <w:keepLines w:val="false"/>
        <w:pageBreakBefore w:val="false"/>
        <w:widowControl/>
        <w:numPr>
          <w:ilvl w:val="0"/>
          <w:numId w:val="34"/>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If yes, please describe briefly (e.g., neighborhood patrols, meetings):</w:t>
      </w:r>
    </w:p>
    <w:p>
      <w:pPr>
        <w:pStyle w:val="normal1"/>
        <w:keepNext w:val="false"/>
        <w:keepLines w:val="false"/>
        <w:pageBreakBefore w:val="false"/>
        <w:widowControl/>
        <w:numPr>
          <w:ilvl w:val="1"/>
          <w:numId w:val="34"/>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[Open text box]</w:t>
      </w:r>
    </w:p>
    <w:p>
      <w:pPr>
        <w:pStyle w:val="normal1"/>
        <w:keepNext w:val="false"/>
        <w:keepLines w:val="false"/>
        <w:pageBreakBefore w:val="false"/>
        <w:widowControl/>
        <w:numPr>
          <w:ilvl w:val="0"/>
          <w:numId w:val="34"/>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Have you had any direct contact with a community police officer in the past 12 months?</w:t>
      </w:r>
    </w:p>
    <w:p>
      <w:pPr>
        <w:pStyle w:val="normal1"/>
        <w:keepNext w:val="false"/>
        <w:keepLines w:val="false"/>
        <w:pageBreakBefore w:val="false"/>
        <w:widowControl/>
        <w:numPr>
          <w:ilvl w:val="1"/>
          <w:numId w:val="34"/>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Yes</w:t>
      </w:r>
    </w:p>
    <w:p>
      <w:pPr>
        <w:pStyle w:val="normal1"/>
        <w:keepNext w:val="false"/>
        <w:keepLines w:val="false"/>
        <w:pageBreakBefore w:val="false"/>
        <w:widowControl/>
        <w:numPr>
          <w:ilvl w:val="1"/>
          <w:numId w:val="34"/>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w:t>
      </w:r>
    </w:p>
    <w:p>
      <w:pPr>
        <w:pStyle w:val="normal1"/>
        <w:shd w:val="clear" w:fill="BDD7EE"/>
        <w:rPr>
          <w:b/>
        </w:rPr>
      </w:pPr>
      <w:r>
        <w:rPr>
          <w:b/>
        </w:rPr>
        <w:t>Section 3: Perceptions of Safety and Crime</w:t>
      </w:r>
    </w:p>
    <w:p>
      <w:pPr>
        <w:pStyle w:val="normal1"/>
        <w:keepNext w:val="false"/>
        <w:keepLines w:val="false"/>
        <w:pageBreakBefore w:val="false"/>
        <w:widowControl/>
        <w:numPr>
          <w:ilvl w:val="0"/>
          <w:numId w:val="41"/>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Do you feel safer in your neighbourhood now compared to previous years?</w:t>
      </w:r>
    </w:p>
    <w:p>
      <w:pPr>
        <w:pStyle w:val="normal1"/>
        <w:keepNext w:val="false"/>
        <w:keepLines w:val="false"/>
        <w:pageBreakBefore w:val="false"/>
        <w:widowControl/>
        <w:numPr>
          <w:ilvl w:val="1"/>
          <w:numId w:val="4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Yes</w:t>
      </w:r>
    </w:p>
    <w:p>
      <w:pPr>
        <w:pStyle w:val="normal1"/>
        <w:keepNext w:val="false"/>
        <w:keepLines w:val="false"/>
        <w:pageBreakBefore w:val="false"/>
        <w:widowControl/>
        <w:numPr>
          <w:ilvl w:val="1"/>
          <w:numId w:val="4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w:t>
      </w:r>
    </w:p>
    <w:p>
      <w:pPr>
        <w:pStyle w:val="normal1"/>
        <w:keepNext w:val="false"/>
        <w:keepLines w:val="false"/>
        <w:pageBreakBefore w:val="false"/>
        <w:widowControl/>
        <w:numPr>
          <w:ilvl w:val="1"/>
          <w:numId w:val="4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 change</w:t>
      </w:r>
    </w:p>
    <w:p>
      <w:pPr>
        <w:pStyle w:val="normal1"/>
        <w:keepNext w:val="false"/>
        <w:keepLines w:val="false"/>
        <w:pageBreakBefore w:val="false"/>
        <w:widowControl/>
        <w:numPr>
          <w:ilvl w:val="0"/>
          <w:numId w:val="41"/>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To what extent do you agree with the statement: "Community policing has helped reduce crime in my area"?</w:t>
      </w:r>
    </w:p>
    <w:p>
      <w:pPr>
        <w:pStyle w:val="normal1"/>
        <w:keepNext w:val="false"/>
        <w:keepLines w:val="false"/>
        <w:pageBreakBefore w:val="false"/>
        <w:widowControl/>
        <w:numPr>
          <w:ilvl w:val="1"/>
          <w:numId w:val="4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Strongly agree</w:t>
      </w:r>
    </w:p>
    <w:p>
      <w:pPr>
        <w:pStyle w:val="normal1"/>
        <w:keepNext w:val="false"/>
        <w:keepLines w:val="false"/>
        <w:pageBreakBefore w:val="false"/>
        <w:widowControl/>
        <w:numPr>
          <w:ilvl w:val="1"/>
          <w:numId w:val="4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Agree</w:t>
      </w:r>
    </w:p>
    <w:p>
      <w:pPr>
        <w:pStyle w:val="normal1"/>
        <w:keepNext w:val="false"/>
        <w:keepLines w:val="false"/>
        <w:pageBreakBefore w:val="false"/>
        <w:widowControl/>
        <w:numPr>
          <w:ilvl w:val="1"/>
          <w:numId w:val="4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Neutral</w:t>
      </w:r>
    </w:p>
    <w:p>
      <w:pPr>
        <w:pStyle w:val="normal1"/>
        <w:keepNext w:val="false"/>
        <w:keepLines w:val="false"/>
        <w:pageBreakBefore w:val="false"/>
        <w:widowControl/>
        <w:numPr>
          <w:ilvl w:val="1"/>
          <w:numId w:val="4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Disagree</w:t>
      </w:r>
    </w:p>
    <w:p>
      <w:pPr>
        <w:pStyle w:val="normal1"/>
        <w:keepNext w:val="false"/>
        <w:keepLines w:val="false"/>
        <w:pageBreakBefore w:val="false"/>
        <w:widowControl/>
        <w:numPr>
          <w:ilvl w:val="1"/>
          <w:numId w:val="41"/>
        </w:numPr>
        <w:pBdr/>
        <w:shd w:val="clear" w:fill="auto"/>
        <w:tabs>
          <w:tab w:val="clear" w:pos="720"/>
          <w:tab w:val="left" w:pos="2836" w:leader="none"/>
        </w:tabs>
        <w:spacing w:lineRule="auto" w:line="276" w:before="0" w:after="140"/>
        <w:ind w:hanging="283" w:left="1418"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Strongly disagree</w:t>
      </w:r>
    </w:p>
    <w:p>
      <w:pPr>
        <w:pStyle w:val="normal1"/>
        <w:keepNext w:val="false"/>
        <w:keepLines w:val="false"/>
        <w:pageBreakBefore w:val="false"/>
        <w:widowControl/>
        <w:numPr>
          <w:ilvl w:val="0"/>
          <w:numId w:val="41"/>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In your opinion, what are the main types of crime in your area? (e.g., burglary, antisocial behavior, vandalism)</w:t>
      </w:r>
    </w:p>
    <w:p>
      <w:pPr>
        <w:pStyle w:val="normal1"/>
        <w:keepNext w:val="false"/>
        <w:keepLines w:val="false"/>
        <w:pageBreakBefore w:val="false"/>
        <w:widowControl/>
        <w:numPr>
          <w:ilvl w:val="0"/>
          <w:numId w:val="42"/>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[Open text box]</w:t>
      </w:r>
    </w:p>
    <w:p>
      <w:pPr>
        <w:pStyle w:val="normal1"/>
        <w:shd w:val="clear" w:fill="BDD7EE"/>
        <w:rPr>
          <w:b/>
        </w:rPr>
      </w:pPr>
      <w:r>
        <w:rPr>
          <w:b/>
        </w:rPr>
        <w:t>Section 4: Trust and Relationship with Police</w:t>
      </w:r>
    </w:p>
    <w:p>
      <w:pPr>
        <w:pStyle w:val="normal1"/>
        <w:keepNext w:val="false"/>
        <w:keepLines w:val="false"/>
        <w:pageBreakBefore w:val="false"/>
        <w:widowControl/>
        <w:numPr>
          <w:ilvl w:val="0"/>
          <w:numId w:val="12"/>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How would you rate your level of trust in the local police?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w:t>
      </w:r>
      <w:r>
        <w:rPr>
          <w:rFonts w:eastAsia="Arial" w:cs="Arial"/>
          <w:b w:val="false"/>
          <w:i/>
          <w:caps w:val="false"/>
          <w:smallCaps w:val="false"/>
          <w:strike w:val="false"/>
          <w:dstrike w:val="false"/>
          <w:color w:val="000000"/>
          <w:position w:val="0"/>
          <w:sz w:val="24"/>
          <w:sz w:val="24"/>
          <w:szCs w:val="24"/>
          <w:u w:val="none"/>
          <w:shd w:fill="auto" w:val="clear"/>
          <w:vertAlign w:val="baseline"/>
        </w:rPr>
        <w:t>(1 = Very low, 5 = Very high)</w:t>
      </w:r>
    </w:p>
    <w:p>
      <w:pPr>
        <w:pStyle w:val="normal1"/>
        <w:keepNext w:val="false"/>
        <w:keepLines w:val="false"/>
        <w:pageBreakBefore w:val="false"/>
        <w:widowControl/>
        <w:numPr>
          <w:ilvl w:val="0"/>
          <w:numId w:val="23"/>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1</w:t>
      </w:r>
    </w:p>
    <w:p>
      <w:pPr>
        <w:pStyle w:val="normal1"/>
        <w:keepNext w:val="false"/>
        <w:keepLines w:val="false"/>
        <w:pageBreakBefore w:val="false"/>
        <w:widowControl/>
        <w:numPr>
          <w:ilvl w:val="0"/>
          <w:numId w:val="23"/>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2</w:t>
      </w:r>
    </w:p>
    <w:p>
      <w:pPr>
        <w:pStyle w:val="normal1"/>
        <w:keepNext w:val="false"/>
        <w:keepLines w:val="false"/>
        <w:pageBreakBefore w:val="false"/>
        <w:widowControl/>
        <w:numPr>
          <w:ilvl w:val="0"/>
          <w:numId w:val="23"/>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3</w:t>
      </w:r>
    </w:p>
    <w:p>
      <w:pPr>
        <w:pStyle w:val="normal1"/>
        <w:keepNext w:val="false"/>
        <w:keepLines w:val="false"/>
        <w:pageBreakBefore w:val="false"/>
        <w:widowControl/>
        <w:numPr>
          <w:ilvl w:val="0"/>
          <w:numId w:val="23"/>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4</w:t>
      </w:r>
    </w:p>
    <w:p>
      <w:pPr>
        <w:pStyle w:val="normal1"/>
        <w:keepNext w:val="false"/>
        <w:keepLines w:val="false"/>
        <w:pageBreakBefore w:val="false"/>
        <w:widowControl/>
        <w:numPr>
          <w:ilvl w:val="0"/>
          <w:numId w:val="23"/>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5</w:t>
      </w:r>
    </w:p>
    <w:p>
      <w:pPr>
        <w:pStyle w:val="normal1"/>
        <w:keepNext w:val="false"/>
        <w:keepLines w:val="false"/>
        <w:pageBreakBefore w:val="false"/>
        <w:widowControl/>
        <w:numPr>
          <w:ilvl w:val="0"/>
          <w:numId w:val="40"/>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How often do you see police officers patrolling your area?</w:t>
      </w:r>
    </w:p>
    <w:p>
      <w:pPr>
        <w:pStyle w:val="normal1"/>
        <w:keepNext w:val="false"/>
        <w:keepLines w:val="false"/>
        <w:pageBreakBefore w:val="false"/>
        <w:widowControl/>
        <w:numPr>
          <w:ilvl w:val="0"/>
          <w:numId w:val="43"/>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Daily</w:t>
      </w:r>
    </w:p>
    <w:p>
      <w:pPr>
        <w:pStyle w:val="normal1"/>
        <w:keepNext w:val="false"/>
        <w:keepLines w:val="false"/>
        <w:pageBreakBefore w:val="false"/>
        <w:widowControl/>
        <w:numPr>
          <w:ilvl w:val="0"/>
          <w:numId w:val="43"/>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Weekly</w:t>
      </w:r>
    </w:p>
    <w:p>
      <w:pPr>
        <w:pStyle w:val="normal1"/>
        <w:keepNext w:val="false"/>
        <w:keepLines w:val="false"/>
        <w:pageBreakBefore w:val="false"/>
        <w:widowControl/>
        <w:numPr>
          <w:ilvl w:val="0"/>
          <w:numId w:val="43"/>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Monthly</w:t>
      </w:r>
    </w:p>
    <w:p>
      <w:pPr>
        <w:pStyle w:val="normal1"/>
        <w:keepNext w:val="false"/>
        <w:keepLines w:val="false"/>
        <w:pageBreakBefore w:val="false"/>
        <w:widowControl/>
        <w:numPr>
          <w:ilvl w:val="0"/>
          <w:numId w:val="43"/>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Rarely</w:t>
      </w:r>
    </w:p>
    <w:p>
      <w:pPr>
        <w:pStyle w:val="normal1"/>
        <w:keepNext w:val="false"/>
        <w:keepLines w:val="false"/>
        <w:pageBreakBefore w:val="false"/>
        <w:widowControl/>
        <w:numPr>
          <w:ilvl w:val="0"/>
          <w:numId w:val="43"/>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Never</w:t>
      </w:r>
    </w:p>
    <w:p>
      <w:pPr>
        <w:pStyle w:val="normal1"/>
        <w:keepNext w:val="false"/>
        <w:keepLines w:val="false"/>
        <w:pageBreakBefore w:val="false"/>
        <w:widowControl/>
        <w:numPr>
          <w:ilvl w:val="0"/>
          <w:numId w:val="44"/>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Do you believe the police are approachable and supportive when contacted?</w:t>
      </w:r>
    </w:p>
    <w:p>
      <w:pPr>
        <w:pStyle w:val="normal1"/>
        <w:keepNext w:val="false"/>
        <w:keepLines w:val="false"/>
        <w:pageBreakBefore w:val="false"/>
        <w:widowControl/>
        <w:numPr>
          <w:ilvl w:val="0"/>
          <w:numId w:val="2"/>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Yes</w:t>
      </w:r>
    </w:p>
    <w:p>
      <w:pPr>
        <w:pStyle w:val="normal1"/>
        <w:keepNext w:val="false"/>
        <w:keepLines w:val="false"/>
        <w:pageBreakBefore w:val="false"/>
        <w:widowControl/>
        <w:numPr>
          <w:ilvl w:val="0"/>
          <w:numId w:val="2"/>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w:t>
      </w:r>
    </w:p>
    <w:p>
      <w:pPr>
        <w:pStyle w:val="normal1"/>
        <w:keepNext w:val="false"/>
        <w:keepLines w:val="false"/>
        <w:pageBreakBefore w:val="false"/>
        <w:widowControl/>
        <w:numPr>
          <w:ilvl w:val="0"/>
          <w:numId w:val="2"/>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Unsure</w:t>
      </w:r>
    </w:p>
    <w:p>
      <w:pPr>
        <w:pStyle w:val="normal1"/>
        <w:keepNext w:val="false"/>
        <w:keepLines w:val="false"/>
        <w:pageBreakBefore w:val="false"/>
        <w:widowControl/>
        <w:numPr>
          <w:ilvl w:val="0"/>
          <w:numId w:val="3"/>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Please explain your answer (optional):</w:t>
      </w:r>
    </w:p>
    <w:p>
      <w:pPr>
        <w:pStyle w:val="normal1"/>
        <w:keepNext w:val="false"/>
        <w:keepLines w:val="false"/>
        <w:pageBreakBefore w:val="false"/>
        <w:widowControl/>
        <w:numPr>
          <w:ilvl w:val="0"/>
          <w:numId w:val="4"/>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[Open text box]</w:t>
      </w:r>
    </w:p>
    <w:p>
      <w:pPr>
        <w:pStyle w:val="normal1"/>
        <w:shd w:val="clear" w:fill="BDD7EE"/>
        <w:rPr>
          <w:b/>
        </w:rPr>
      </w:pPr>
      <w:r>
        <w:rPr>
          <w:b/>
        </w:rPr>
        <w:t>Section 5: Suggestions and Feedback</w:t>
      </w:r>
    </w:p>
    <w:p>
      <w:pPr>
        <w:pStyle w:val="normal1"/>
        <w:keepNext w:val="false"/>
        <w:keepLines w:val="false"/>
        <w:pageBreakBefore w:val="false"/>
        <w:widowControl/>
        <w:numPr>
          <w:ilvl w:val="0"/>
          <w:numId w:val="5"/>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What suggestions do you have for improving community policing in Telford?</w:t>
      </w:r>
    </w:p>
    <w:p>
      <w:pPr>
        <w:pStyle w:val="normal1"/>
        <w:keepNext w:val="false"/>
        <w:keepLines w:val="false"/>
        <w:pageBreakBefore w:val="false"/>
        <w:widowControl/>
        <w:numPr>
          <w:ilvl w:val="0"/>
          <w:numId w:val="6"/>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[Open text box]</w:t>
      </w:r>
    </w:p>
    <w:p>
      <w:pPr>
        <w:pStyle w:val="normal1"/>
        <w:keepNext w:val="false"/>
        <w:keepLines w:val="false"/>
        <w:pageBreakBefore w:val="false"/>
        <w:widowControl/>
        <w:numPr>
          <w:ilvl w:val="0"/>
          <w:numId w:val="7"/>
        </w:numPr>
        <w:pBdr/>
        <w:shd w:val="clear" w:fill="auto"/>
        <w:tabs>
          <w:tab w:val="clear" w:pos="720"/>
          <w:tab w:val="left" w:pos="1418" w:leader="none"/>
        </w:tabs>
        <w:spacing w:lineRule="auto" w:line="276" w:before="0" w:after="140"/>
        <w:ind w:hanging="283" w:left="709"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Would you be willing to participate in a follow-up interview or focus group? If yes, please leave your contact information (optional):</w:t>
      </w:r>
    </w:p>
    <w:p>
      <w:pPr>
        <w:pStyle w:val="normal1"/>
        <w:keepNext w:val="false"/>
        <w:keepLines w:val="false"/>
        <w:pageBreakBefore w:val="false"/>
        <w:widowControl/>
        <w:numPr>
          <w:ilvl w:val="0"/>
          <w:numId w:val="8"/>
        </w:numPr>
        <w:pBdr/>
        <w:shd w:val="clear" w:fill="auto"/>
        <w:tabs>
          <w:tab w:val="clear" w:pos="720"/>
          <w:tab w:val="left" w:pos="1418" w:leader="none"/>
        </w:tabs>
        <w:spacing w:lineRule="auto" w:line="276" w:before="0" w:after="140"/>
        <w:ind w:hanging="283" w:left="709"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[Open text box]</w:t>
      </w:r>
    </w:p>
    <w:p>
      <w:pPr>
        <w:pStyle w:val="normal1"/>
        <w:keepNext w:val="false"/>
        <w:keepLines w:val="false"/>
        <w:pageBreakBefore w:val="false"/>
        <w:widowControl/>
        <w:pBdr/>
        <w:shd w:val="clear" w:fill="auto"/>
        <w:spacing w:lineRule="auto" w:line="276" w:before="240" w:after="14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Thank you for your participation!</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br/>
        <w:t>Your responses will help improve policing strategies in Telford. If you wish to withdraw your data, email 2131530@uwtsd.ac.uk with your unique code: auto-generated code.</w:t>
      </w:r>
    </w:p>
    <w:p>
      <w:pPr>
        <w:pStyle w:val="normal1"/>
        <w:rPr/>
      </w:pPr>
      <w:r>
        <w:rPr/>
      </w:r>
    </w:p>
    <w:p>
      <w:pPr>
        <w:pStyle w:val="normal1"/>
        <w:rPr/>
      </w:pPr>
      <w:r>
        <w:rPr/>
      </w:r>
    </w:p>
    <w:p>
      <w:pPr>
        <w:pStyle w:val="Heading1"/>
        <w:rPr/>
      </w:pPr>
      <w:bookmarkStart w:id="92" w:name="_4clkirubuw1a"/>
      <w:bookmarkEnd w:id="92"/>
      <w:r>
        <w:rPr/>
        <w:t>Appendix B – Semi-Structured Interview Guide</w:t>
      </w:r>
    </w:p>
    <w:p>
      <w:pPr>
        <w:pStyle w:val="normal1"/>
        <w:keepNext w:val="false"/>
        <w:keepLines w:val="false"/>
        <w:pageBreakBefore w:val="false"/>
        <w:widowControl/>
        <w:pBdr/>
        <w:shd w:val="clear" w:fill="auto"/>
        <w:spacing w:lineRule="auto" w:line="276" w:before="0" w:after="140"/>
        <w:ind w:hanging="0" w:left="0" w:right="0"/>
        <w:jc w:val="left"/>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Title: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Interview Guide for Community Policing Study in Telford</w:t>
      </w:r>
    </w:p>
    <w:p>
      <w:pPr>
        <w:pStyle w:val="normal1"/>
        <w:keepNext w:val="false"/>
        <w:keepLines w:val="false"/>
        <w:pageBreakBefore w:val="false"/>
        <w:widowControl/>
        <w:pBdr/>
        <w:shd w:val="clear" w:fill="auto"/>
        <w:spacing w:lineRule="auto" w:line="276"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Purpose: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br/>
        <w:t>This guide was used to conduct semi-structured interviews with police officers and community leaders involved in community policing in Telford. The aim was to explore their experiences, perceptions, and suggestions for improving police-community engagement.</w:t>
      </w:r>
    </w:p>
    <w:p>
      <w:pPr>
        <w:pStyle w:val="normal1"/>
        <w:rPr/>
      </w:pPr>
      <w:r>
        <w:rPr>
          <w:b/>
          <w:color w:val="000000"/>
        </w:rPr>
        <w:t>Opening Script</w:t>
      </w:r>
    </w:p>
    <w:p>
      <w:pPr>
        <w:pStyle w:val="normal1"/>
        <w:keepNext w:val="false"/>
        <w:keepLines w:val="false"/>
        <w:pageBreakBefore w:val="false"/>
        <w:widowControl/>
        <w:pBdr/>
        <w:shd w:val="clear" w:fill="auto"/>
        <w:spacing w:lineRule="auto" w:line="276"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"Thank you for participating in this interview. We are exploring perspectives on community policing in Telford. Your insights are valuable and will remain confidential. The interview will take about 20–30 minutes. You may skip any question or withdraw at any time. With your permission, I will record this session for accurate transcription—the recording will be deleted after transcription. Do you consent to proceed?"</w:t>
      </w:r>
    </w:p>
    <w:p>
      <w:pPr>
        <w:pStyle w:val="normal1"/>
        <w:keepNext w:val="false"/>
        <w:keepLines w:val="false"/>
        <w:pageBreakBefore w:val="false"/>
        <w:widowControl/>
        <w:pBdr/>
        <w:shd w:val="clear" w:fill="auto"/>
        <w:spacing w:lineRule="auto" w:line="276" w:before="0" w:after="140"/>
        <w:ind w:hanging="0" w:left="180" w:right="0"/>
        <w:jc w:val="left"/>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Verbal Consent Checklist: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br/>
      </w:r>
      <w:r>
        <w:rPr>
          <w:rFonts w:eastAsia="Arial Unicode MS" w:cs="Arial Unicode MS" w:ascii="Arial Unicode MS" w:hAnsi="Arial Unicode MS"/>
          <w:b w:val="false"/>
          <w:i w:val="false"/>
          <w:caps w:val="false"/>
          <w:smallCaps w:val="false"/>
          <w:strike w:val="false"/>
          <w:dstrike w:val="false"/>
          <w:color w:val="000000"/>
          <w:position w:val="0"/>
          <w:sz w:val="24"/>
          <w:sz w:val="24"/>
          <w:szCs w:val="24"/>
          <w:u w:val="none"/>
          <w:shd w:fill="auto" w:val="clear"/>
          <w:vertAlign w:val="baseline"/>
        </w:rPr>
        <w: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Confirm participation consent</w:t>
        <w:br/>
      </w:r>
      <w:r>
        <w:rPr>
          <w:rFonts w:eastAsia="Arial Unicode MS" w:cs="Arial Unicode MS" w:ascii="Arial Unicode MS" w:hAnsi="Arial Unicode MS"/>
          <w:b w:val="false"/>
          <w:i w:val="false"/>
          <w:caps w:val="false"/>
          <w:smallCaps w:val="false"/>
          <w:strike w:val="false"/>
          <w:dstrike w:val="false"/>
          <w:color w:val="000000"/>
          <w:position w:val="0"/>
          <w:sz w:val="24"/>
          <w:sz w:val="24"/>
          <w:szCs w:val="24"/>
          <w:u w:val="none"/>
          <w:shd w:fill="auto" w:val="clear"/>
          <w:vertAlign w:val="baseline"/>
        </w:rPr>
        <w: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Confirm recording permission (if applicable)</w:t>
      </w:r>
    </w:p>
    <w:p>
      <w:pPr>
        <w:pStyle w:val="normal1"/>
        <w:jc w:val="both"/>
        <w:rPr/>
      </w:pPr>
      <w:r>
        <w:rPr>
          <w:b/>
          <w:color w:val="000000"/>
        </w:rPr>
        <w:t>Interview Themes and Questions</w:t>
      </w:r>
    </w:p>
    <w:p>
      <w:pPr>
        <w:pStyle w:val="normal1"/>
        <w:jc w:val="both"/>
        <w:rPr/>
      </w:pPr>
      <w:r>
        <w:rPr>
          <w:b/>
          <w:i/>
          <w:color w:val="000000"/>
        </w:rPr>
        <w:t>1. Role and Involvement</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"Can you describe your role in community policing initiatives?"</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"How long have you been involved in these efforts?"</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Follow-up:</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t>
      </w:r>
      <w:r>
        <w:rPr>
          <w:rFonts w:eastAsia="Arial" w:cs="Arial"/>
          <w:b w:val="false"/>
          <w:i/>
          <w:caps w:val="false"/>
          <w:smallCaps w:val="false"/>
          <w:strike w:val="false"/>
          <w:dstrike w:val="false"/>
          <w:color w:val="000000"/>
          <w:position w:val="0"/>
          <w:sz w:val="24"/>
          <w:sz w:val="24"/>
          <w:szCs w:val="24"/>
          <w:u w:val="none"/>
          <w:shd w:fill="auto" w:val="clear"/>
          <w:vertAlign w:val="baseline"/>
        </w:rPr>
        <w:t>"What motivated your involvement?"</w:t>
      </w:r>
    </w:p>
    <w:p>
      <w:pPr>
        <w:pStyle w:val="normal1"/>
        <w:jc w:val="both"/>
        <w:rPr/>
      </w:pPr>
      <w:r>
        <w:rPr>
          <w:b/>
          <w:i/>
          <w:color w:val="000000"/>
        </w:rPr>
        <w:t>2. Community Engagement</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"How would you describe current police-community relationships in Telford?"</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"What types of engagement activities (e.g., meetings, patrols) have been most effective? Why?"</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Probe: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t>
      </w:r>
      <w:r>
        <w:rPr>
          <w:rFonts w:eastAsia="Arial" w:cs="Arial"/>
          <w:b w:val="false"/>
          <w:i/>
          <w:caps w:val="false"/>
          <w:smallCaps w:val="false"/>
          <w:strike w:val="false"/>
          <w:dstrike w:val="false"/>
          <w:color w:val="000000"/>
          <w:position w:val="0"/>
          <w:sz w:val="24"/>
          <w:sz w:val="24"/>
          <w:szCs w:val="24"/>
          <w:u w:val="none"/>
          <w:shd w:fill="auto" w:val="clear"/>
          <w:vertAlign w:val="baseline"/>
        </w:rPr>
        <w:t>"Can you share a specific example of successful community outreach?"</w:t>
      </w:r>
    </w:p>
    <w:p>
      <w:pPr>
        <w:pStyle w:val="normal1"/>
        <w:jc w:val="both"/>
        <w:rPr/>
      </w:pPr>
      <w:r>
        <w:rPr>
          <w:b/>
          <w:i/>
          <w:color w:val="000000"/>
        </w:rPr>
        <w:t>3. Impact on Crime and Safety</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"Have you observed changes in crime rates or public safety linked to community policing?"</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"Which initiatives do you believe contributed most to these changes?"</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Probe: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t>
      </w:r>
      <w:r>
        <w:rPr>
          <w:rFonts w:eastAsia="Arial" w:cs="Arial"/>
          <w:b w:val="false"/>
          <w:i/>
          <w:caps w:val="false"/>
          <w:smallCaps w:val="false"/>
          <w:strike w:val="false"/>
          <w:dstrike w:val="false"/>
          <w:color w:val="000000"/>
          <w:position w:val="0"/>
          <w:sz w:val="24"/>
          <w:sz w:val="24"/>
          <w:szCs w:val="24"/>
          <w:u w:val="none"/>
          <w:shd w:fill="auto" w:val="clear"/>
          <w:vertAlign w:val="baseline"/>
        </w:rPr>
        <w:t>"Were there any unexpected outcomes, positive or negative?"</w:t>
      </w:r>
    </w:p>
    <w:p>
      <w:pPr>
        <w:pStyle w:val="normal1"/>
        <w:jc w:val="both"/>
        <w:rPr/>
      </w:pPr>
      <w:r>
        <w:rPr>
          <w:b/>
          <w:i/>
          <w:color w:val="000000"/>
        </w:rPr>
        <w:t>4. Barriers and Challenges</w:t>
      </w:r>
    </w:p>
    <w:p>
      <w:pPr>
        <w:pStyle w:val="normal1"/>
        <w:keepNext w:val="false"/>
        <w:keepLines w:val="false"/>
        <w:pageBreakBefore w:val="false"/>
        <w:widowControl/>
        <w:numPr>
          <w:ilvl w:val="0"/>
          <w:numId w:val="42"/>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"What are the biggest challenges in implementing community policing here?"</w:t>
      </w:r>
    </w:p>
    <w:p>
      <w:pPr>
        <w:pStyle w:val="normal1"/>
        <w:keepNext w:val="false"/>
        <w:keepLines w:val="false"/>
        <w:pageBreakBefore w:val="false"/>
        <w:widowControl/>
        <w:numPr>
          <w:ilvl w:val="0"/>
          <w:numId w:val="42"/>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"Have certain groups been harder to engage (e.g., youth, minorities)? Why?"</w:t>
      </w:r>
    </w:p>
    <w:p>
      <w:pPr>
        <w:pStyle w:val="normal1"/>
        <w:keepNext w:val="false"/>
        <w:keepLines w:val="false"/>
        <w:pageBreakBefore w:val="false"/>
        <w:widowControl/>
        <w:numPr>
          <w:ilvl w:val="0"/>
          <w:numId w:val="42"/>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Probe: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t>
      </w:r>
      <w:r>
        <w:rPr>
          <w:rFonts w:eastAsia="Arial" w:cs="Arial"/>
          <w:b w:val="false"/>
          <w:i/>
          <w:caps w:val="false"/>
          <w:smallCaps w:val="false"/>
          <w:strike w:val="false"/>
          <w:dstrike w:val="false"/>
          <w:color w:val="000000"/>
          <w:position w:val="0"/>
          <w:sz w:val="24"/>
          <w:sz w:val="24"/>
          <w:szCs w:val="24"/>
          <w:u w:val="none"/>
          <w:shd w:fill="auto" w:val="clear"/>
          <w:vertAlign w:val="baseline"/>
        </w:rPr>
        <w:t>"Can you describe a time when engagement efforts failed? What lessons were learned?"</w:t>
      </w:r>
    </w:p>
    <w:p>
      <w:pPr>
        <w:pStyle w:val="normal1"/>
        <w:jc w:val="both"/>
        <w:rPr/>
      </w:pPr>
      <w:r>
        <w:rPr>
          <w:b/>
          <w:i/>
          <w:color w:val="000000"/>
        </w:rPr>
        <w:t>5. Recommendations</w:t>
      </w:r>
    </w:p>
    <w:p>
      <w:pPr>
        <w:pStyle w:val="normal1"/>
        <w:keepNext w:val="false"/>
        <w:keepLines w:val="false"/>
        <w:pageBreakBefore w:val="false"/>
        <w:widowControl/>
        <w:numPr>
          <w:ilvl w:val="0"/>
          <w:numId w:val="12"/>
        </w:numPr>
        <w:pBdr/>
        <w:shd w:val="clear" w:fill="auto"/>
        <w:tabs>
          <w:tab w:val="clear" w:pos="720"/>
          <w:tab w:val="left" w:pos="180" w:leader="none"/>
        </w:tabs>
        <w:spacing w:lineRule="auto" w:line="276" w:before="0" w:after="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"What one change would most improve community policing in Telford?"</w:t>
      </w:r>
    </w:p>
    <w:p>
      <w:pPr>
        <w:pStyle w:val="normal1"/>
        <w:keepNext w:val="false"/>
        <w:keepLines w:val="false"/>
        <w:pageBreakBefore w:val="false"/>
        <w:widowControl/>
        <w:numPr>
          <w:ilvl w:val="0"/>
          <w:numId w:val="12"/>
        </w:numPr>
        <w:pBdr/>
        <w:shd w:val="clear" w:fill="auto"/>
        <w:tabs>
          <w:tab w:val="clear" w:pos="720"/>
          <w:tab w:val="left" w:pos="180" w:leader="none"/>
        </w:tabs>
        <w:spacing w:lineRule="auto" w:line="276" w:before="0" w:after="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"Are there models from other areas we should adopt?"</w:t>
      </w:r>
    </w:p>
    <w:p>
      <w:pPr>
        <w:pStyle w:val="normal1"/>
        <w:keepNext w:val="false"/>
        <w:keepLines w:val="false"/>
        <w:pageBreakBefore w:val="false"/>
        <w:widowControl/>
        <w:numPr>
          <w:ilvl w:val="0"/>
          <w:numId w:val="12"/>
        </w:numPr>
        <w:pBdr/>
        <w:shd w:val="clear" w:fill="auto"/>
        <w:tabs>
          <w:tab w:val="clear" w:pos="720"/>
          <w:tab w:val="left" w:pos="180" w:leader="none"/>
        </w:tabs>
        <w:spacing w:lineRule="auto" w:line="276" w:before="0" w:after="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Closing:</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t>
      </w:r>
      <w:r>
        <w:rPr>
          <w:rFonts w:eastAsia="Arial" w:cs="Arial"/>
          <w:b w:val="false"/>
          <w:i/>
          <w:caps w:val="false"/>
          <w:smallCaps w:val="false"/>
          <w:strike w:val="false"/>
          <w:dstrike w:val="false"/>
          <w:color w:val="000000"/>
          <w:position w:val="0"/>
          <w:sz w:val="24"/>
          <w:sz w:val="24"/>
          <w:szCs w:val="24"/>
          <w:u w:val="none"/>
          <w:shd w:fill="auto" w:val="clear"/>
          <w:vertAlign w:val="baseline"/>
        </w:rPr>
        <w:t>"Is there anything else you’d like to share?"</w:t>
      </w:r>
    </w:p>
    <w:p>
      <w:pPr>
        <w:pStyle w:val="normal1"/>
        <w:spacing w:lineRule="auto" w:line="240" w:before="240" w:after="160"/>
        <w:jc w:val="both"/>
        <w:rPr/>
      </w:pPr>
      <w:r>
        <w:rPr>
          <w:b/>
          <w:color w:val="000000"/>
        </w:rPr>
        <w:t>Closing Script</w:t>
      </w:r>
    </w:p>
    <w:p>
      <w:pPr>
        <w:sectPr>
          <w:footerReference w:type="even" r:id="rId35"/>
          <w:footerReference w:type="default" r:id="rId36"/>
          <w:footerReference w:type="first" r:id="rId37"/>
          <w:type w:val="nextPage"/>
          <w:pgSz w:w="11906" w:h="16838"/>
          <w:pgMar w:left="1440" w:right="1440" w:gutter="0" w:header="0" w:top="1440" w:footer="708" w:bottom="1440"/>
          <w:pgNumType w:fmt="decimal"/>
          <w:formProt w:val="false"/>
          <w:titlePg/>
          <w:textDirection w:val="lrTb"/>
          <w:docGrid w:type="default" w:linePitch="100" w:charSpace="0"/>
        </w:sectPr>
        <w:pStyle w:val="normal1"/>
        <w:keepNext w:val="false"/>
        <w:keepLines w:val="false"/>
        <w:pageBreakBefore w:val="false"/>
        <w:widowControl/>
        <w:pBdr/>
        <w:shd w:val="clear" w:fill="auto"/>
        <w:spacing w:lineRule="auto" w:line="276"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"Thank you for your time and insights. Your perspective is crucial to this research. If you’d like a summary of findings or have questions later, here’s my contact information: 2131530@uwtsd.ac.uk . The recording will be deleted within 14 days after transcription."</w:t>
      </w:r>
    </w:p>
    <w:p>
      <w:pPr>
        <w:pStyle w:val="Heading1"/>
        <w:rPr/>
      </w:pPr>
      <w:bookmarkStart w:id="93" w:name="_u0pg5v48x6lp"/>
      <w:bookmarkEnd w:id="93"/>
      <w:r>
        <w:rPr/>
        <w:t>Appendix C – Focus Group Discussion Guide</w:t>
      </w:r>
    </w:p>
    <w:p>
      <w:pPr>
        <w:pStyle w:val="normal1"/>
        <w:keepNext w:val="false"/>
        <w:keepLines w:val="false"/>
        <w:pageBreakBefore w:val="false"/>
        <w:widowControl/>
        <w:pBdr/>
        <w:shd w:val="clear" w:fill="auto"/>
        <w:spacing w:lineRule="auto" w:line="276"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Title: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Focus Group Guide for Residents on Community Policing in Telford</w:t>
      </w:r>
    </w:p>
    <w:p>
      <w:pPr>
        <w:pStyle w:val="normal1"/>
        <w:keepNext w:val="false"/>
        <w:keepLines w:val="false"/>
        <w:pageBreakBefore w:val="false"/>
        <w:widowControl/>
        <w:pBdr/>
        <w:shd w:val="clear" w:fill="auto"/>
        <w:spacing w:lineRule="auto" w:line="276"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Purpose: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br/>
        <w:t>To facilitate open discussions among Telford residents about their experiences with and perceptions of community policing. The focus group aims to gather collective insights on safety, trust, and suggestions for improvement in an interactive setting.</w:t>
      </w:r>
    </w:p>
    <w:p>
      <w:pPr>
        <w:pStyle w:val="normal1"/>
        <w:jc w:val="both"/>
        <w:rPr/>
      </w:pPr>
      <w:r>
        <w:rPr>
          <w:b/>
          <w:color w:val="000000"/>
        </w:rPr>
        <w:t>Opening Script</w:t>
      </w:r>
    </w:p>
    <w:p>
      <w:pPr>
        <w:pStyle w:val="normal1"/>
        <w:keepNext w:val="false"/>
        <w:keepLines w:val="false"/>
        <w:pageBreakBefore w:val="false"/>
        <w:widowControl/>
        <w:pBdr/>
        <w:shd w:val="clear" w:fill="auto"/>
        <w:spacing w:lineRule="auto" w:line="276"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"Welcome everyone, and thank you for joining today. We're here to discuss your experiences with community policing in Telford. There are no right or wrong answers – we value your honest perspectives. The session will last about 45-60 minutes. Participation is voluntary, and you may step out at any time. With your consent, I'll take notes, but no recordings will be made to ensure confidentiality. Does everyone agree to proceed?"</w:t>
      </w:r>
    </w:p>
    <w:p>
      <w:pPr>
        <w:pStyle w:val="normal1"/>
        <w:keepNext w:val="false"/>
        <w:keepLines w:val="false"/>
        <w:pageBreakBefore w:val="false"/>
        <w:widowControl/>
        <w:pBdr/>
        <w:shd w:val="clear" w:fill="auto"/>
        <w:spacing w:lineRule="auto" w:line="276" w:before="0" w:after="140"/>
        <w:ind w:hanging="0" w:left="0" w:right="0"/>
        <w:jc w:val="left"/>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Consent Checklist: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br/>
      </w:r>
      <w:r>
        <w:rPr>
          <w:rFonts w:eastAsia="Arial Unicode MS" w:cs="Arial Unicode MS" w:ascii="Arial Unicode MS" w:hAnsi="Arial Unicode MS"/>
          <w:b w:val="false"/>
          <w:i w:val="false"/>
          <w:caps w:val="false"/>
          <w:smallCaps w:val="false"/>
          <w:strike w:val="false"/>
          <w:dstrike w:val="false"/>
          <w:color w:val="000000"/>
          <w:position w:val="0"/>
          <w:sz w:val="24"/>
          <w:sz w:val="24"/>
          <w:szCs w:val="24"/>
          <w:u w:val="none"/>
          <w:shd w:fill="auto" w:val="clear"/>
          <w:vertAlign w:val="baseline"/>
        </w:rPr>
        <w: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Verbal confirmation from all participants</w:t>
        <w:br/>
      </w:r>
      <w:r>
        <w:rPr>
          <w:rFonts w:eastAsia="Arial Unicode MS" w:cs="Arial Unicode MS" w:ascii="Arial Unicode MS" w:hAnsi="Arial Unicode MS"/>
          <w:b w:val="false"/>
          <w:i w:val="false"/>
          <w:caps w:val="false"/>
          <w:smallCaps w:val="false"/>
          <w:strike w:val="false"/>
          <w:dstrike w:val="false"/>
          <w:color w:val="000000"/>
          <w:position w:val="0"/>
          <w:sz w:val="24"/>
          <w:sz w:val="24"/>
          <w:szCs w:val="24"/>
          <w:u w:val="none"/>
          <w:shd w:fill="auto" w:val="clear"/>
          <w:vertAlign w:val="baseline"/>
        </w:rPr>
        <w:t>✓</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 Reiterate anonymity of responses</w:t>
      </w:r>
    </w:p>
    <w:p>
      <w:pPr>
        <w:pStyle w:val="normal1"/>
        <w:rPr/>
      </w:pPr>
      <w:r>
        <w:rPr>
          <w:b/>
          <w:color w:val="000000"/>
        </w:rPr>
        <w:t>Structured Discussion Guide</w:t>
      </w:r>
    </w:p>
    <w:p>
      <w:pPr>
        <w:pStyle w:val="normal1"/>
        <w:rPr/>
      </w:pPr>
      <w:r>
        <w:rPr>
          <w:b/>
          <w:i/>
          <w:color w:val="000000"/>
        </w:rPr>
        <w:t>1. Icebreaker: General Perceptions (10 mins)</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"How would you describe safety in your neighborhood compared to 2-3 years ago?"</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"What first comes to mind when you hear 'community policing'?"</w:t>
      </w:r>
    </w:p>
    <w:p>
      <w:pPr>
        <w:pStyle w:val="normal1"/>
        <w:spacing w:lineRule="auto" w:line="240" w:before="240" w:after="160"/>
        <w:rPr/>
      </w:pPr>
      <w:r>
        <w:rPr>
          <w:b/>
          <w:i/>
          <w:color w:val="000000"/>
        </w:rPr>
        <w:t>2. Police Visibility and Engagement (15 mins)</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"How often do you see police officers in your area? What form does their presence typically take?"</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Follow-up:</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t>
      </w:r>
      <w:r>
        <w:rPr>
          <w:rFonts w:eastAsia="Arial" w:cs="Arial"/>
          <w:b w:val="false"/>
          <w:i/>
          <w:caps w:val="false"/>
          <w:smallCaps w:val="false"/>
          <w:strike w:val="false"/>
          <w:dstrike w:val="false"/>
          <w:color w:val="000000"/>
          <w:position w:val="0"/>
          <w:sz w:val="24"/>
          <w:sz w:val="24"/>
          <w:szCs w:val="24"/>
          <w:u w:val="none"/>
          <w:shd w:fill="auto" w:val="clear"/>
          <w:vertAlign w:val="baseline"/>
        </w:rPr>
        <w:t>"Has this changed recently? If so, how?"</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Probe: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t>
      </w:r>
      <w:r>
        <w:rPr>
          <w:rFonts w:eastAsia="Arial" w:cs="Arial"/>
          <w:b w:val="false"/>
          <w:i/>
          <w:caps w:val="false"/>
          <w:smallCaps w:val="false"/>
          <w:strike w:val="false"/>
          <w:dstrike w:val="false"/>
          <w:color w:val="000000"/>
          <w:position w:val="0"/>
          <w:sz w:val="24"/>
          <w:sz w:val="24"/>
          <w:szCs w:val="24"/>
          <w:u w:val="none"/>
          <w:shd w:fill="auto" w:val="clear"/>
          <w:vertAlign w:val="baseline"/>
        </w:rPr>
        <w:t>"Can you describe a positive or negative interaction you've had with community officers?"</w:t>
      </w:r>
    </w:p>
    <w:p>
      <w:pPr>
        <w:pStyle w:val="normal1"/>
        <w:spacing w:lineRule="auto" w:line="240" w:before="240" w:after="160"/>
        <w:rPr/>
      </w:pPr>
      <w:r>
        <w:rPr>
          <w:b/>
          <w:i/>
          <w:color w:val="000000"/>
        </w:rPr>
        <w:t>3. Trust and Communication (15 mins)</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"Do you feel comfortable approaching local police with concerns? Why or why not?"</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"Are there barriers preventing you from engaging with police?"</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Probe for diversity:</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t>
      </w:r>
      <w:r>
        <w:rPr>
          <w:rFonts w:eastAsia="Arial" w:cs="Arial"/>
          <w:b w:val="false"/>
          <w:i/>
          <w:caps w:val="false"/>
          <w:smallCaps w:val="false"/>
          <w:strike w:val="false"/>
          <w:dstrike w:val="false"/>
          <w:color w:val="000000"/>
          <w:position w:val="0"/>
          <w:sz w:val="24"/>
          <w:sz w:val="24"/>
          <w:szCs w:val="24"/>
          <w:u w:val="none"/>
          <w:shd w:fill="auto" w:val="clear"/>
          <w:vertAlign w:val="baseline"/>
        </w:rPr>
        <w:t>"Do you think all community groups (e.g., youth, elderly, minorities) share similar views?"</w:t>
      </w:r>
    </w:p>
    <w:p>
      <w:pPr>
        <w:pStyle w:val="normal1"/>
        <w:spacing w:lineRule="auto" w:line="240" w:before="240" w:after="160"/>
        <w:rPr/>
      </w:pPr>
      <w:r>
        <w:rPr>
          <w:b/>
          <w:i/>
          <w:color w:val="000000"/>
        </w:rPr>
        <w:t>4. Effectiveness of Initiatives (10 mins)</w:t>
      </w:r>
    </w:p>
    <w:p>
      <w:pPr>
        <w:pStyle w:val="normal1"/>
        <w:keepNext w:val="false"/>
        <w:keepLines w:val="false"/>
        <w:pageBreakBefore w:val="false"/>
        <w:widowControl/>
        <w:numPr>
          <w:ilvl w:val="0"/>
          <w:numId w:val="42"/>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"Are you aware of any community policing programs in your area? What impact have they had?"</w:t>
      </w:r>
    </w:p>
    <w:p>
      <w:pPr>
        <w:pStyle w:val="normal1"/>
        <w:keepNext w:val="false"/>
        <w:keepLines w:val="false"/>
        <w:pageBreakBefore w:val="false"/>
        <w:widowControl/>
        <w:numPr>
          <w:ilvl w:val="0"/>
          <w:numId w:val="42"/>
        </w:numPr>
        <w:pBdr/>
        <w:shd w:val="clear" w:fill="auto"/>
        <w:tabs>
          <w:tab w:val="clear" w:pos="720"/>
          <w:tab w:val="left" w:pos="180" w:leader="none"/>
        </w:tabs>
        <w:spacing w:lineRule="auto" w:line="276" w:before="0" w:after="0"/>
        <w:ind w:hanging="0" w:left="180" w:right="0"/>
        <w:jc w:val="left"/>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Examples to prompt discussion:</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Neighborhood watch, youth outreach, public meetings.</w:t>
      </w:r>
    </w:p>
    <w:p>
      <w:pPr>
        <w:pStyle w:val="normal1"/>
        <w:spacing w:lineRule="auto" w:line="240" w:before="240" w:after="160"/>
        <w:rPr/>
      </w:pPr>
      <w:r>
        <w:rPr>
          <w:b/>
          <w:i/>
          <w:color w:val="000000"/>
        </w:rPr>
        <w:t>5. Suggestions for Improvement (10 mins)</w:t>
      </w:r>
    </w:p>
    <w:p>
      <w:pPr>
        <w:pStyle w:val="normal1"/>
        <w:keepNext w:val="false"/>
        <w:keepLines w:val="false"/>
        <w:pageBreakBefore w:val="false"/>
        <w:widowControl/>
        <w:numPr>
          <w:ilvl w:val="0"/>
          <w:numId w:val="12"/>
        </w:numPr>
        <w:pBdr/>
        <w:shd w:val="clear" w:fill="auto"/>
        <w:tabs>
          <w:tab w:val="clear" w:pos="720"/>
          <w:tab w:val="left" w:pos="180" w:leader="none"/>
        </w:tabs>
        <w:spacing w:lineRule="auto" w:line="276" w:before="0" w:after="0"/>
        <w:ind w:hanging="0" w:left="180" w:right="0"/>
        <w:jc w:val="left"/>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"What one change would make you feel more engaged with local policing efforts?"</w:t>
      </w:r>
    </w:p>
    <w:p>
      <w:pPr>
        <w:pStyle w:val="normal1"/>
        <w:keepNext w:val="false"/>
        <w:keepLines w:val="false"/>
        <w:pageBreakBefore w:val="false"/>
        <w:widowControl/>
        <w:numPr>
          <w:ilvl w:val="0"/>
          <w:numId w:val="12"/>
        </w:numPr>
        <w:pBdr/>
        <w:shd w:val="clear" w:fill="auto"/>
        <w:tabs>
          <w:tab w:val="clear" w:pos="720"/>
          <w:tab w:val="left" w:pos="180" w:leader="none"/>
        </w:tabs>
        <w:spacing w:lineRule="auto" w:line="276" w:before="0" w:after="0"/>
        <w:ind w:hanging="0" w:left="180" w:right="0"/>
        <w:jc w:val="left"/>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"How could the police better serve your community?"</w:t>
      </w:r>
    </w:p>
    <w:p>
      <w:pPr>
        <w:pStyle w:val="normal1"/>
        <w:spacing w:lineRule="auto" w:line="240" w:before="240" w:after="160"/>
        <w:rPr/>
      </w:pPr>
      <w:r>
        <w:rPr>
          <w:b/>
          <w:color w:val="000000"/>
        </w:rPr>
        <w:t>Closing Script</w:t>
      </w:r>
    </w:p>
    <w:p>
      <w:pPr>
        <w:pStyle w:val="normal1"/>
        <w:keepNext w:val="false"/>
        <w:keepLines w:val="false"/>
        <w:pageBreakBefore w:val="false"/>
        <w:widowControl/>
        <w:pBdr/>
        <w:shd w:val="clear" w:fill="auto"/>
        <w:spacing w:lineRule="auto" w:line="276" w:before="0" w:after="140"/>
        <w:ind w:hanging="0" w:left="0" w:right="0"/>
        <w:jc w:val="left"/>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caps w:val="false"/>
          <w:smallCaps w:val="false"/>
          <w:strike w:val="false"/>
          <w:dstrike w:val="false"/>
          <w:color w:val="000000"/>
          <w:position w:val="0"/>
          <w:sz w:val="24"/>
          <w:sz w:val="24"/>
          <w:szCs w:val="24"/>
          <w:u w:val="none"/>
          <w:shd w:fill="auto" w:val="clear"/>
          <w:vertAlign w:val="baseline"/>
        </w:rPr>
        <w:t>"Thank you all for sharing your thoughts today. Your input is incredibly valuable to this research. If you'd like to receive updates or have further comments, please provide your email [optional sheet]. Have a great day!"</w:t>
      </w:r>
    </w:p>
    <w:p>
      <w:pPr>
        <w:pStyle w:val="normal1"/>
        <w:keepNext w:val="false"/>
        <w:keepLines w:val="false"/>
        <w:pageBreakBefore w:val="false"/>
        <w:widowControl/>
        <w:pBdr/>
        <w:shd w:val="clear" w:fill="auto"/>
        <w:spacing w:lineRule="auto" w:line="276" w:before="0" w:after="14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18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normal1"/>
        <w:rPr/>
      </w:pPr>
      <w:r>
        <w:rPr/>
      </w:r>
    </w:p>
    <w:p>
      <w:pPr>
        <w:pStyle w:val="Heading1"/>
        <w:rPr/>
      </w:pPr>
      <w:bookmarkStart w:id="94" w:name="_ertppdrxgh6i"/>
      <w:bookmarkEnd w:id="94"/>
      <w:r>
        <w:rPr/>
        <w:t>Appendix D – Fieldwork Summary</w:t>
      </w:r>
    </w:p>
    <w:p>
      <w:pPr>
        <w:pStyle w:val="normal1"/>
        <w:keepNext w:val="false"/>
        <w:keepLines w:val="false"/>
        <w:pageBreakBefore w:val="false"/>
        <w:widowControl/>
        <w:pBdr/>
        <w:shd w:val="clear" w:fill="auto"/>
        <w:spacing w:lineRule="auto" w:line="276"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This summary confirms that fieldwork was carried out ethically and systematically, in line with the approved methodology described in Chapter 3.</w:t>
      </w:r>
    </w:p>
    <w:p>
      <w:pPr>
        <w:pStyle w:val="normal1"/>
        <w:keepNext w:val="false"/>
        <w:keepLines w:val="false"/>
        <w:pageBreakBefore w:val="false"/>
        <w:widowControl/>
        <w:pBdr/>
        <w:shd w:val="clear" w:fill="auto"/>
        <w:spacing w:lineRule="auto" w:line="276"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Title: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Summary of Data Collection Activities for Community Policing Study</w:t>
      </w:r>
    </w:p>
    <w:p>
      <w:pPr>
        <w:pStyle w:val="normal1"/>
        <w:keepNext w:val="false"/>
        <w:keepLines w:val="false"/>
        <w:pageBreakBefore w:val="false"/>
        <w:widowControl/>
        <w:pBdr/>
        <w:shd w:val="clear" w:fill="auto"/>
        <w:spacing w:lineRule="auto" w:line="276" w:before="0" w:after="14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Purpose: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br/>
        <w:t>This document provides a transparent overview of the data collection process, including methods, timelines, participant demographics, and ethical protocols.</w:t>
      </w:r>
    </w:p>
    <w:p>
      <w:pPr>
        <w:pStyle w:val="normal1"/>
        <w:jc w:val="both"/>
        <w:rPr/>
      </w:pPr>
      <w:r>
        <w:rPr>
          <w:b/>
          <w:color w:val="000000"/>
        </w:rPr>
        <w:t>1. Survey Distribution</w:t>
      </w:r>
    </w:p>
    <w:p>
      <w:pPr>
        <w:pStyle w:val="normal1"/>
        <w:keepNext w:val="false"/>
        <w:keepLines w:val="false"/>
        <w:pageBreakBefore w:val="false"/>
        <w:widowControl/>
        <w:pBdr/>
        <w:shd w:val="clear" w:fill="auto"/>
        <w:spacing w:lineRule="auto" w:line="276"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Method:</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Online (Google Forms) + paper copies distributed at community centers</w:t>
        <w:br/>
      </w: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Duration: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2 weeks (March 10–24, 2025)</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Sampling: Random sampling</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across 5 Telford neighborhoods (Brookside, Woodside, Dawley, Wellington, Hadley)</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Response rate:</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138 completed surveys (69% of 200 distributed)</w:t>
        <w:br/>
      </w:r>
      <w:r>
        <w:rPr>
          <w:rFonts w:eastAsia="Arial" w:cs="Arial"/>
          <w:b/>
          <w:i w:val="false"/>
          <w:caps w:val="false"/>
          <w:smallCaps w:val="false"/>
          <w:strike w:val="false"/>
          <w:dstrike w:val="false"/>
          <w:color w:val="000000"/>
          <w:position w:val="0"/>
          <w:sz w:val="24"/>
          <w:sz w:val="24"/>
          <w:szCs w:val="24"/>
          <w:u w:val="none"/>
          <w:shd w:fill="auto" w:val="clear"/>
          <w:vertAlign w:val="baseline"/>
        </w:rPr>
        <w:t>Participant Demographics:</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Age: 62% 25–54 years</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Gender: 58% female, 39% male, 3% non-binary/other</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Ethical Notes:</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Consent obtained via first survey question</w:t>
      </w:r>
    </w:p>
    <w:p>
      <w:pPr>
        <w:pStyle w:val="normal1"/>
        <w:keepNext w:val="false"/>
        <w:keepLines w:val="false"/>
        <w:pageBreakBefore w:val="false"/>
        <w:widowControl/>
        <w:numPr>
          <w:ilvl w:val="0"/>
          <w:numId w:val="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Data anonymized and stored in password-protected files</w:t>
      </w:r>
    </w:p>
    <w:p>
      <w:pPr>
        <w:pStyle w:val="normal1"/>
        <w:spacing w:lineRule="auto" w:line="240" w:before="240" w:after="160"/>
        <w:jc w:val="both"/>
        <w:rPr/>
      </w:pPr>
      <w:r>
        <w:rPr>
          <w:b/>
          <w:color w:val="000000"/>
        </w:rPr>
        <w:t>2. Semi-Structured Interviews</w:t>
      </w:r>
    </w:p>
    <w:p>
      <w:pPr>
        <w:pStyle w:val="normal1"/>
        <w:keepNext w:val="false"/>
        <w:keepLines w:val="false"/>
        <w:pageBreakBefore w:val="false"/>
        <w:widowControl/>
        <w:pBdr/>
        <w:shd w:val="clear" w:fill="auto"/>
        <w:spacing w:lineRule="auto" w:line="276"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Method:</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Zoom/phone (audio recorded with consent)</w:t>
        <w:br/>
      </w: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Duration: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March 15–25, 2025</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Participants: 5 police officers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(West Mercia Police community engagement team)</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3 community leaders</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(youth orgs, neighborhood watch)</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Key Themes Covered:</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Success stories of community engagement</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Resource challenges</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Trust-building strategies</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Ethical Notes:</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Recordings deleted after transcription</w:t>
      </w:r>
    </w:p>
    <w:p>
      <w:pPr>
        <w:pStyle w:val="normal1"/>
        <w:keepNext w:val="false"/>
        <w:keepLines w:val="false"/>
        <w:pageBreakBefore w:val="false"/>
        <w:widowControl/>
        <w:numPr>
          <w:ilvl w:val="0"/>
          <w:numId w:val="34"/>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Participants reviewed transcripts for accuracy</w:t>
      </w:r>
    </w:p>
    <w:p>
      <w:pPr>
        <w:pStyle w:val="normal1"/>
        <w:spacing w:lineRule="auto" w:line="240" w:before="240" w:after="160"/>
        <w:jc w:val="both"/>
        <w:rPr/>
      </w:pPr>
      <w:r>
        <w:rPr>
          <w:b/>
          <w:color w:val="000000"/>
        </w:rPr>
        <w:t>3. Focus Group</w:t>
      </w:r>
    </w:p>
    <w:p>
      <w:pPr>
        <w:pStyle w:val="normal1"/>
        <w:keepNext w:val="false"/>
        <w:keepLines w:val="false"/>
        <w:pageBreakBefore w:val="false"/>
        <w:widowControl/>
        <w:pBdr/>
        <w:shd w:val="clear" w:fill="auto"/>
        <w:spacing w:lineRule="auto" w:line="276" w:before="0" w:after="14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Method:</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In-person at Wellington Community Centre</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Date: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March 22, 2025 (60 minutes)</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 xml:space="preserve">Participants: </w:t>
      </w:r>
      <w:r>
        <w:rPr>
          <w:rFonts w:eastAsia="Arial" w:cs="Arial"/>
          <w:b w:val="false"/>
          <w:i w:val="false"/>
          <w:caps w:val="false"/>
          <w:smallCaps w:val="false"/>
          <w:strike w:val="false"/>
          <w:dstrike w:val="false"/>
          <w:color w:val="000000"/>
          <w:position w:val="0"/>
          <w:sz w:val="24"/>
          <w:sz w:val="24"/>
          <w:szCs w:val="24"/>
          <w:u w:val="none"/>
          <w:shd w:fill="auto" w:val="clear"/>
          <w:vertAlign w:val="baseline"/>
        </w:rPr>
        <w:t xml:space="preserve">8 residents (ages 22–67) from diverse neighborhoods </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Discussion Highlights:</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Mixed views on police visibility</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Requests for more youth engagement</w:t>
      </w:r>
    </w:p>
    <w:p>
      <w:pPr>
        <w:pStyle w:val="normal1"/>
        <w:keepNext w:val="false"/>
        <w:keepLines w:val="false"/>
        <w:pageBreakBefore w:val="false"/>
        <w:widowControl/>
        <w:pBdr/>
        <w:shd w:val="clear" w:fill="auto"/>
        <w:tabs>
          <w:tab w:val="clear" w:pos="720"/>
          <w:tab w:val="left" w:pos="180" w:leader="none"/>
        </w:tabs>
        <w:spacing w:lineRule="auto" w:line="276" w:before="0" w:after="0"/>
        <w:ind w:hanging="0" w:left="18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Ethical Notes:</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No recordings; detailed notes taken</w:t>
      </w:r>
    </w:p>
    <w:p>
      <w:pPr>
        <w:pStyle w:val="normal1"/>
        <w:keepNext w:val="false"/>
        <w:keepLines w:val="false"/>
        <w:pageBreakBefore w:val="false"/>
        <w:widowControl/>
        <w:numPr>
          <w:ilvl w:val="0"/>
          <w:numId w:val="41"/>
        </w:numPr>
        <w:pBdr/>
        <w:shd w:val="clear" w:fill="auto"/>
        <w:tabs>
          <w:tab w:val="clear" w:pos="720"/>
          <w:tab w:val="left" w:pos="180" w:leader="none"/>
        </w:tabs>
        <w:spacing w:lineRule="auto" w:line="276" w:before="0" w:after="0"/>
        <w:ind w:hanging="0" w:left="180" w:right="0"/>
        <w:jc w:val="both"/>
        <w:rPr>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Anonymised quotes used in reporting</w:t>
      </w:r>
    </w:p>
    <w:p>
      <w:pPr>
        <w:pStyle w:val="normal1"/>
        <w:spacing w:lineRule="auto" w:line="240" w:before="240" w:after="160"/>
        <w:jc w:val="both"/>
        <w:rPr/>
      </w:pPr>
      <w:r>
        <w:rPr>
          <w:b/>
          <w:color w:val="000000"/>
        </w:rPr>
        <w:t>4. Limitations &amp; Mitigations</w:t>
      </w:r>
    </w:p>
    <w:tbl>
      <w:tblPr>
        <w:tblStyle w:val="Table6"/>
        <w:tblW w:w="8639" w:type="dxa"/>
        <w:jc w:val="left"/>
        <w:tblInd w:w="-108" w:type="dxa"/>
        <w:tblLayout w:type="fixed"/>
        <w:tblCellMar>
          <w:top w:w="0" w:type="dxa"/>
          <w:left w:w="108" w:type="dxa"/>
          <w:bottom w:w="0" w:type="dxa"/>
          <w:right w:w="108" w:type="dxa"/>
        </w:tblCellMar>
        <w:tblLook w:val="04a0"/>
      </w:tblPr>
      <w:tblGrid>
        <w:gridCol w:w="2970"/>
        <w:gridCol w:w="5668"/>
      </w:tblGrid>
      <w:tr>
        <w:trPr/>
        <w:tc>
          <w:tcPr>
            <w:tcW w:w="2970" w:type="dxa"/>
            <w:tcBorders>
              <w:top w:val="single" w:sz="4" w:space="0" w:color="7F7F7F"/>
            </w:tcBorders>
          </w:tcPr>
          <w:p>
            <w:pPr>
              <w:pStyle w:val="normal1"/>
              <w:keepNext w:val="false"/>
              <w:keepLines w:val="false"/>
              <w:widowControl w:val="false"/>
              <w:pBdr/>
              <w:shd w:val="clear" w:fill="auto"/>
              <w:spacing w:lineRule="auto" w:line="408" w:before="0" w:after="0"/>
              <w:ind w:hanging="0" w:left="0" w:right="0"/>
              <w:jc w:val="both"/>
              <w:rPr>
                <w:rFonts w:ascii="Liberation Serif" w:hAnsi="Liberation Serif" w:eastAsia="Liberation Serif" w:cs="Liberation Serif"/>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Challenge</w:t>
            </w:r>
          </w:p>
        </w:tc>
        <w:tc>
          <w:tcPr>
            <w:tcW w:w="5668" w:type="dxa"/>
            <w:tcBorders>
              <w:top w:val="single" w:sz="4" w:space="0" w:color="7F7F7F"/>
            </w:tcBorders>
          </w:tcPr>
          <w:p>
            <w:pPr>
              <w:pStyle w:val="normal1"/>
              <w:keepNext w:val="false"/>
              <w:keepLines w:val="false"/>
              <w:widowControl w:val="false"/>
              <w:pBdr/>
              <w:shd w:val="clear" w:fill="auto"/>
              <w:spacing w:lineRule="auto" w:line="408" w:before="0" w:after="0"/>
              <w:ind w:hanging="0" w:left="0" w:right="0"/>
              <w:jc w:val="both"/>
              <w:rPr>
                <w:rFonts w:ascii="Liberation Serif" w:hAnsi="Liberation Serif" w:eastAsia="Liberation Serif" w:cs="Liberation Serif"/>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Mitigation Strategy</w:t>
            </w:r>
          </w:p>
        </w:tc>
      </w:tr>
      <w:tr>
        <w:trPr/>
        <w:tc>
          <w:tcPr>
            <w:tcW w:w="2970" w:type="dxa"/>
            <w:tcBorders/>
          </w:tcPr>
          <w:p>
            <w:pPr>
              <w:pStyle w:val="normal1"/>
              <w:keepNext w:val="false"/>
              <w:keepLines w:val="false"/>
              <w:widowControl w:val="false"/>
              <w:pBdr/>
              <w:shd w:val="clear" w:fill="auto"/>
              <w:spacing w:lineRule="auto" w:line="408" w:before="0" w:after="0"/>
              <w:ind w:hanging="0" w:left="0" w:right="0"/>
              <w:jc w:val="both"/>
              <w:rPr>
                <w:rFonts w:ascii="Liberation Serif" w:hAnsi="Liberation Serif" w:eastAsia="Liberation Serif" w:cs="Liberation Serif"/>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Online survey bias</w:t>
            </w:r>
          </w:p>
        </w:tc>
        <w:tc>
          <w:tcPr>
            <w:tcW w:w="5668" w:type="dxa"/>
            <w:tcBorders/>
          </w:tcPr>
          <w:p>
            <w:pPr>
              <w:pStyle w:val="normal1"/>
              <w:keepNext w:val="false"/>
              <w:keepLines w:val="false"/>
              <w:widowControl w:val="false"/>
              <w:pBdr/>
              <w:shd w:val="clear" w:fill="auto"/>
              <w:spacing w:lineRule="auto" w:line="408" w:before="0" w:after="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Distributed paper copies at senior centers</w:t>
            </w:r>
          </w:p>
        </w:tc>
      </w:tr>
      <w:tr>
        <w:trPr/>
        <w:tc>
          <w:tcPr>
            <w:tcW w:w="2970" w:type="dxa"/>
            <w:tcBorders/>
          </w:tcPr>
          <w:p>
            <w:pPr>
              <w:pStyle w:val="normal1"/>
              <w:keepNext w:val="false"/>
              <w:keepLines w:val="false"/>
              <w:widowControl w:val="false"/>
              <w:pBdr/>
              <w:shd w:val="clear" w:fill="auto"/>
              <w:spacing w:lineRule="auto" w:line="408" w:before="0" w:after="0"/>
              <w:ind w:hanging="0" w:left="0" w:right="0"/>
              <w:jc w:val="both"/>
              <w:rPr>
                <w:rFonts w:ascii="Liberation Serif" w:hAnsi="Liberation Serif" w:eastAsia="Liberation Serif" w:cs="Liberation Serif"/>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Small interview sample</w:t>
            </w:r>
          </w:p>
        </w:tc>
        <w:tc>
          <w:tcPr>
            <w:tcW w:w="5668" w:type="dxa"/>
            <w:tcBorders/>
          </w:tcPr>
          <w:p>
            <w:pPr>
              <w:pStyle w:val="normal1"/>
              <w:keepNext w:val="false"/>
              <w:keepLines w:val="false"/>
              <w:widowControl w:val="false"/>
              <w:pBdr/>
              <w:shd w:val="clear" w:fill="auto"/>
              <w:spacing w:lineRule="auto" w:line="408" w:before="0" w:after="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Targeted key informants with direct experience</w:t>
            </w:r>
          </w:p>
        </w:tc>
      </w:tr>
      <w:tr>
        <w:trPr/>
        <w:tc>
          <w:tcPr>
            <w:tcW w:w="2970" w:type="dxa"/>
            <w:tcBorders>
              <w:bottom w:val="single" w:sz="4" w:space="0" w:color="7F7F7F"/>
            </w:tcBorders>
          </w:tcPr>
          <w:p>
            <w:pPr>
              <w:pStyle w:val="normal1"/>
              <w:keepNext w:val="false"/>
              <w:keepLines w:val="false"/>
              <w:widowControl w:val="false"/>
              <w:pBdr/>
              <w:shd w:val="clear" w:fill="auto"/>
              <w:spacing w:lineRule="auto" w:line="408" w:before="0" w:after="0"/>
              <w:ind w:hanging="0" w:left="0" w:right="0"/>
              <w:jc w:val="both"/>
              <w:rPr>
                <w:rFonts w:ascii="Liberation Serif" w:hAnsi="Liberation Serif" w:eastAsia="Liberation Serif" w:cs="Liberation Serif"/>
                <w:b/>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t>Focus group homogeneity</w:t>
            </w:r>
          </w:p>
        </w:tc>
        <w:tc>
          <w:tcPr>
            <w:tcW w:w="5668" w:type="dxa"/>
            <w:tcBorders>
              <w:bottom w:val="single" w:sz="4" w:space="0" w:color="7F7F7F"/>
            </w:tcBorders>
          </w:tcPr>
          <w:p>
            <w:pPr>
              <w:pStyle w:val="normal1"/>
              <w:keepNext w:val="false"/>
              <w:keepLines w:val="false"/>
              <w:widowControl w:val="false"/>
              <w:pBdr/>
              <w:shd w:val="clear" w:fill="auto"/>
              <w:spacing w:lineRule="auto" w:line="408" w:before="0" w:after="0"/>
              <w:ind w:hanging="0" w:left="0" w:right="0"/>
              <w:jc w:val="both"/>
              <w:rPr>
                <w:rFonts w:ascii="Liberation Serif" w:hAnsi="Liberation Serif" w:eastAsia="Liberation Serif" w:cs="Liberation Serif"/>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t>Recruited from multiple neighborhoods</w:t>
            </w:r>
          </w:p>
        </w:tc>
      </w:tr>
    </w:tbl>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i w:val="false"/>
          <w:caps w:val="false"/>
          <w:smallCaps w:val="false"/>
          <w:strike w:val="false"/>
          <w:dstrike w:val="false"/>
          <w:color w:val="000000"/>
          <w:position w:val="0"/>
          <w:sz w:val="24"/>
          <w:sz w:val="24"/>
          <w:szCs w:val="24"/>
          <w:u w:val="none"/>
          <w:shd w:fill="auto" w:val="clear"/>
          <w:vertAlign w:val="baseline"/>
        </w:rPr>
        <w:b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keepNext w:val="false"/>
        <w:keepLines w:val="false"/>
        <w:pageBreakBefore w:val="false"/>
        <w:widowControl/>
        <w:pBdr/>
        <w:shd w:val="clear" w:fill="auto"/>
        <w:spacing w:lineRule="auto" w:line="276" w:before="0" w:after="140"/>
        <w:ind w:hanging="0" w:left="0" w:right="0"/>
        <w:jc w:val="both"/>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p>
      <w:pPr>
        <w:pStyle w:val="normal1"/>
        <w:spacing w:lineRule="auto" w:line="240" w:before="0" w:after="160"/>
        <w:jc w:val="both"/>
        <w:rPr/>
      </w:pPr>
      <w:r>
        <w:rPr/>
      </w:r>
    </w:p>
    <w:sectPr>
      <w:footerReference w:type="even" r:id="rId38"/>
      <w:footerReference w:type="default" r:id="rId39"/>
      <w:footerReference w:type="first" r:id="rId40"/>
      <w:type w:val="nextPage"/>
      <w:pgSz w:w="11906" w:h="16838"/>
      <w:pgMar w:left="1440" w:right="1440" w:gutter="0" w:header="0" w:top="1440" w:footer="708" w:bottom="1440"/>
      <w:pgNumType w:fmt="decimal"/>
      <w:formProt w:val="false"/>
      <w:titlePg/>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Arial">
    <w:charset w:val="01"/>
    <w:family w:val="roman"/>
    <w:pitch w:val="variable"/>
  </w:font>
  <w:font w:name="Times New Roman">
    <w:charset w:val="01"/>
    <w:family w:val="roman"/>
    <w:pitch w:val="variable"/>
  </w:font>
  <w:font w:name="Calibri">
    <w:charset w:val="01"/>
    <w:family w:val="roman"/>
    <w:pitch w:val="variable"/>
  </w:font>
  <w:font w:name="Liberation Sans">
    <w:altName w:val="Arial"/>
    <w:charset w:val="01"/>
    <w:family w:val="swiss"/>
    <w:pitch w:val="variable"/>
  </w:font>
  <w:font w:name="Georgia">
    <w:charset w:val="01"/>
    <w:family w:val="roman"/>
    <w:pitch w:val="variable"/>
  </w:font>
  <w:font w:name="Arial Unicode MS">
    <w:charset w:val="01"/>
    <w:family w:val="roman"/>
    <w:pitch w:val="variable"/>
  </w:font>
  <w:font w:name="Noto Sans Symbols">
    <w:charset w:val="01"/>
    <w:family w:val="swiss"/>
    <w:pitch w:val="variable"/>
  </w:font>
  <w:font w:name="Courier New">
    <w:charset w:val="01"/>
    <w:family w:val="modern"/>
    <w:pitch w:val="fixed"/>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spacing w:before="0" w:after="160"/>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2</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1</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5.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7</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6.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3</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7.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8.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0</w:t>
    </w:r>
    <w:r>
      <w:rPr/>
      <w:fldChar w:fldCharType="end"/>
    </w:r>
  </w:p>
  <w:p>
    <w:pPr>
      <w:pStyle w:val="normal1"/>
      <w:keepNext w:val="false"/>
      <w:keepLines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9.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8</w:t>
    </w:r>
    <w:r>
      <w:rPr/>
      <w:fldChar w:fldCharType="end"/>
    </w:r>
  </w:p>
  <w:p>
    <w:pPr>
      <w:pStyle w:val="normal1"/>
      <w:keepNext w:val="false"/>
      <w:keepLines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10.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1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0</w:t>
    </w:r>
    <w:r>
      <w:rPr/>
      <w:fldChar w:fldCharType="end"/>
    </w:r>
  </w:p>
  <w:p>
    <w:pPr>
      <w:pStyle w:val="normal1"/>
      <w:keepNext w:val="false"/>
      <w:keepLines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1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9</w:t>
    </w:r>
    <w:r>
      <w:rPr/>
      <w:fldChar w:fldCharType="end"/>
    </w:r>
  </w:p>
  <w:p>
    <w:pPr>
      <w:pStyle w:val="normal1"/>
      <w:keepNext w:val="false"/>
      <w:keepLines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1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1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3</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15.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1</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16.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17.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11</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18.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4</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19.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20.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17</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2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12</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2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2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25</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2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18</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25.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26.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27</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27.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26</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28.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29.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30</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30.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28</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3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3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36</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3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31</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3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pacing w:before="0" w:after="160"/>
      <w:rPr/>
    </w:pPr>
    <w:r>
      <w:rPr/>
    </w:r>
  </w:p>
</w:ftr>
</file>

<file path=word/footer35.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41</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footer36.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righ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fldChar w:fldCharType="begin"/>
    </w:r>
    <w:r>
      <w:rPr/>
      <w:instrText xml:space="preserve"> PAGE </w:instrText>
    </w:r>
    <w:r>
      <w:rPr/>
      <w:fldChar w:fldCharType="separate"/>
    </w:r>
    <w:r>
      <w:rPr/>
      <w:t>37</w:t>
    </w:r>
    <w:r>
      <w:rPr/>
      <w:fldChar w:fldCharType="end"/>
    </w:r>
  </w:p>
  <w:p>
    <w:pPr>
      <w:pStyle w:val="normal1"/>
      <w:keepNext w:val="false"/>
      <w:keepLines w:val="false"/>
      <w:pageBreakBefore w:val="false"/>
      <w:widowControl/>
      <w:pBdr/>
      <w:shd w:val="clear" w:fill="auto"/>
      <w:tabs>
        <w:tab w:val="clear" w:pos="720"/>
        <w:tab w:val="center" w:pos="4513" w:leader="none"/>
        <w:tab w:val="right" w:pos="9026" w:leader="none"/>
      </w:tabs>
      <w:spacing w:lineRule="auto" w:line="240" w:before="0" w:after="0"/>
      <w:ind w:hanging="0" w:left="0" w:right="0"/>
      <w:jc w:val="left"/>
      <w:rPr>
        <w:rFonts w:ascii="Arial" w:hAnsi="Arial" w:eastAsia="Arial" w:cs="Arial"/>
        <w:b w:val="false"/>
        <w:i w:val="false"/>
        <w:i w:val="false"/>
        <w:caps w:val="false"/>
        <w:smallCaps w:val="false"/>
        <w:strike w:val="false"/>
        <w:dstrike w:val="false"/>
        <w:color w:val="000000"/>
        <w:position w:val="0"/>
        <w:sz w:val="24"/>
        <w:sz w:val="24"/>
        <w:szCs w:val="24"/>
        <w:u w:val="none"/>
        <w:shd w:fill="auto" w:val="clear"/>
        <w:vertAlign w:val="baseline"/>
      </w:rPr>
    </w:pPr>
    <w:r>
      <w:rPr>
        <w:rFonts w:eastAsia="Arial" w:cs="Arial"/>
        <w:b w:val="false"/>
        <w:i w:val="false"/>
        <w:caps w:val="false"/>
        <w:smallCaps w:val="false"/>
        <w:strike w:val="false"/>
        <w:dstrike w:val="false"/>
        <w:color w:val="000000"/>
        <w:position w:val="0"/>
        <w:sz w:val="24"/>
        <w:sz w:val="24"/>
        <w:szCs w:val="24"/>
        <w:u w:val="none"/>
        <w:shd w:fill="auto" w:val="clear"/>
        <w:vertAlign w:val="baseline"/>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09" w:hanging="282"/>
      </w:pPr>
      <w:rPr>
        <w:rFonts w:ascii="Noto Sans Symbols" w:hAnsi="Noto Sans Symbols" w:cs="Noto Sans Symbols" w:hint="default"/>
      </w:rPr>
    </w:lvl>
    <w:lvl w:ilvl="1">
      <w:start w:val="1"/>
      <w:numFmt w:val="bullet"/>
      <w:lvlText w:val="●"/>
      <w:lvlJc w:val="left"/>
      <w:pPr>
        <w:tabs>
          <w:tab w:val="num" w:pos="0"/>
        </w:tabs>
        <w:ind w:left="1418" w:hanging="282"/>
      </w:pPr>
      <w:rPr>
        <w:rFonts w:ascii="Noto Sans Symbols" w:hAnsi="Noto Sans Symbols" w:cs="Noto Sans Symbols" w:hint="default"/>
      </w:rPr>
    </w:lvl>
    <w:lvl w:ilvl="2">
      <w:start w:val="1"/>
      <w:numFmt w:val="bullet"/>
      <w:lvlText w:val="●"/>
      <w:lvlJc w:val="left"/>
      <w:pPr>
        <w:tabs>
          <w:tab w:val="num" w:pos="0"/>
        </w:tabs>
        <w:ind w:left="2127" w:hanging="283"/>
      </w:pPr>
      <w:rPr>
        <w:rFonts w:ascii="Noto Sans Symbols" w:hAnsi="Noto Sans Symbols" w:cs="Noto Sans Symbols" w:hint="default"/>
      </w:rPr>
    </w:lvl>
    <w:lvl w:ilvl="3">
      <w:start w:val="1"/>
      <w:numFmt w:val="bullet"/>
      <w:lvlText w:val="●"/>
      <w:lvlJc w:val="left"/>
      <w:pPr>
        <w:tabs>
          <w:tab w:val="num" w:pos="0"/>
        </w:tabs>
        <w:ind w:left="2836" w:hanging="283"/>
      </w:pPr>
      <w:rPr>
        <w:rFonts w:ascii="Noto Sans Symbols" w:hAnsi="Noto Sans Symbols" w:cs="Noto Sans Symbols" w:hint="default"/>
      </w:rPr>
    </w:lvl>
    <w:lvl w:ilvl="4">
      <w:start w:val="1"/>
      <w:numFmt w:val="bullet"/>
      <w:lvlText w:val="●"/>
      <w:lvlJc w:val="left"/>
      <w:pPr>
        <w:tabs>
          <w:tab w:val="num" w:pos="0"/>
        </w:tabs>
        <w:ind w:left="3545" w:hanging="283"/>
      </w:pPr>
      <w:rPr>
        <w:rFonts w:ascii="Noto Sans Symbols" w:hAnsi="Noto Sans Symbols" w:cs="Noto Sans Symbols" w:hint="default"/>
      </w:rPr>
    </w:lvl>
    <w:lvl w:ilvl="5">
      <w:start w:val="1"/>
      <w:numFmt w:val="bullet"/>
      <w:lvlText w:val="●"/>
      <w:lvlJc w:val="left"/>
      <w:pPr>
        <w:tabs>
          <w:tab w:val="num" w:pos="0"/>
        </w:tabs>
        <w:ind w:left="4254" w:hanging="283"/>
      </w:pPr>
      <w:rPr>
        <w:rFonts w:ascii="Noto Sans Symbols" w:hAnsi="Noto Sans Symbols" w:cs="Noto Sans Symbols" w:hint="default"/>
      </w:rPr>
    </w:lvl>
    <w:lvl w:ilvl="6">
      <w:start w:val="1"/>
      <w:numFmt w:val="bullet"/>
      <w:lvlText w:val="●"/>
      <w:lvlJc w:val="left"/>
      <w:pPr>
        <w:tabs>
          <w:tab w:val="num" w:pos="0"/>
        </w:tabs>
        <w:ind w:left="4963" w:hanging="283"/>
      </w:pPr>
      <w:rPr>
        <w:rFonts w:ascii="Noto Sans Symbols" w:hAnsi="Noto Sans Symbols" w:cs="Noto Sans Symbols" w:hint="default"/>
      </w:rPr>
    </w:lvl>
    <w:lvl w:ilvl="7">
      <w:start w:val="1"/>
      <w:numFmt w:val="bullet"/>
      <w:lvlText w:val="●"/>
      <w:lvlJc w:val="left"/>
      <w:pPr>
        <w:tabs>
          <w:tab w:val="num" w:pos="0"/>
        </w:tabs>
        <w:ind w:left="5672" w:hanging="282"/>
      </w:pPr>
      <w:rPr>
        <w:rFonts w:ascii="Noto Sans Symbols" w:hAnsi="Noto Sans Symbols" w:cs="Noto Sans Symbols" w:hint="default"/>
      </w:rPr>
    </w:lvl>
    <w:lvl w:ilvl="8">
      <w:start w:val="1"/>
      <w:numFmt w:val="bullet"/>
      <w:lvlText w:val="●"/>
      <w:lvlJc w:val="left"/>
      <w:pPr>
        <w:tabs>
          <w:tab w:val="num" w:pos="0"/>
        </w:tabs>
        <w:ind w:left="6381" w:hanging="282"/>
      </w:pPr>
      <w:rPr>
        <w:rFonts w:ascii="Noto Sans Symbols" w:hAnsi="Noto Sans Symbols" w:cs="Noto Sans Symbols" w:hint="default"/>
      </w:rPr>
    </w:lvl>
  </w:abstractNum>
  <w:abstractNum w:abstractNumId="2">
    <w:lvl w:ilvl="0">
      <w:start w:val="1"/>
      <w:numFmt w:val="bullet"/>
      <w:lvlText w:val="●"/>
      <w:lvlJc w:val="left"/>
      <w:pPr>
        <w:tabs>
          <w:tab w:val="num" w:pos="0"/>
        </w:tabs>
        <w:ind w:left="709" w:hanging="282"/>
      </w:pPr>
      <w:rPr>
        <w:rFonts w:ascii="Noto Sans Symbols" w:hAnsi="Noto Sans Symbols" w:cs="Noto Sans Symbols" w:hint="default"/>
      </w:rPr>
    </w:lvl>
    <w:lvl w:ilvl="1">
      <w:start w:val="1"/>
      <w:numFmt w:val="bullet"/>
      <w:lvlText w:val="●"/>
      <w:lvlJc w:val="left"/>
      <w:pPr>
        <w:tabs>
          <w:tab w:val="num" w:pos="0"/>
        </w:tabs>
        <w:ind w:left="1418" w:hanging="282"/>
      </w:pPr>
      <w:rPr>
        <w:rFonts w:ascii="Noto Sans Symbols" w:hAnsi="Noto Sans Symbols" w:cs="Noto Sans Symbols" w:hint="default"/>
      </w:rPr>
    </w:lvl>
    <w:lvl w:ilvl="2">
      <w:start w:val="1"/>
      <w:numFmt w:val="bullet"/>
      <w:lvlText w:val="●"/>
      <w:lvlJc w:val="left"/>
      <w:pPr>
        <w:tabs>
          <w:tab w:val="num" w:pos="0"/>
        </w:tabs>
        <w:ind w:left="2127" w:hanging="283"/>
      </w:pPr>
      <w:rPr>
        <w:rFonts w:ascii="Noto Sans Symbols" w:hAnsi="Noto Sans Symbols" w:cs="Noto Sans Symbols" w:hint="default"/>
      </w:rPr>
    </w:lvl>
    <w:lvl w:ilvl="3">
      <w:start w:val="1"/>
      <w:numFmt w:val="bullet"/>
      <w:lvlText w:val="●"/>
      <w:lvlJc w:val="left"/>
      <w:pPr>
        <w:tabs>
          <w:tab w:val="num" w:pos="0"/>
        </w:tabs>
        <w:ind w:left="2836" w:hanging="283"/>
      </w:pPr>
      <w:rPr>
        <w:rFonts w:ascii="Noto Sans Symbols" w:hAnsi="Noto Sans Symbols" w:cs="Noto Sans Symbols" w:hint="default"/>
      </w:rPr>
    </w:lvl>
    <w:lvl w:ilvl="4">
      <w:start w:val="1"/>
      <w:numFmt w:val="bullet"/>
      <w:lvlText w:val="●"/>
      <w:lvlJc w:val="left"/>
      <w:pPr>
        <w:tabs>
          <w:tab w:val="num" w:pos="0"/>
        </w:tabs>
        <w:ind w:left="3545" w:hanging="283"/>
      </w:pPr>
      <w:rPr>
        <w:rFonts w:ascii="Noto Sans Symbols" w:hAnsi="Noto Sans Symbols" w:cs="Noto Sans Symbols" w:hint="default"/>
      </w:rPr>
    </w:lvl>
    <w:lvl w:ilvl="5">
      <w:start w:val="1"/>
      <w:numFmt w:val="bullet"/>
      <w:lvlText w:val="●"/>
      <w:lvlJc w:val="left"/>
      <w:pPr>
        <w:tabs>
          <w:tab w:val="num" w:pos="0"/>
        </w:tabs>
        <w:ind w:left="4254" w:hanging="283"/>
      </w:pPr>
      <w:rPr>
        <w:rFonts w:ascii="Noto Sans Symbols" w:hAnsi="Noto Sans Symbols" w:cs="Noto Sans Symbols" w:hint="default"/>
      </w:rPr>
    </w:lvl>
    <w:lvl w:ilvl="6">
      <w:start w:val="1"/>
      <w:numFmt w:val="bullet"/>
      <w:lvlText w:val="●"/>
      <w:lvlJc w:val="left"/>
      <w:pPr>
        <w:tabs>
          <w:tab w:val="num" w:pos="0"/>
        </w:tabs>
        <w:ind w:left="4963" w:hanging="283"/>
      </w:pPr>
      <w:rPr>
        <w:rFonts w:ascii="Noto Sans Symbols" w:hAnsi="Noto Sans Symbols" w:cs="Noto Sans Symbols" w:hint="default"/>
      </w:rPr>
    </w:lvl>
    <w:lvl w:ilvl="7">
      <w:start w:val="1"/>
      <w:numFmt w:val="bullet"/>
      <w:lvlText w:val="●"/>
      <w:lvlJc w:val="left"/>
      <w:pPr>
        <w:tabs>
          <w:tab w:val="num" w:pos="0"/>
        </w:tabs>
        <w:ind w:left="5672" w:hanging="282"/>
      </w:pPr>
      <w:rPr>
        <w:rFonts w:ascii="Noto Sans Symbols" w:hAnsi="Noto Sans Symbols" w:cs="Noto Sans Symbols" w:hint="default"/>
      </w:rPr>
    </w:lvl>
    <w:lvl w:ilvl="8">
      <w:start w:val="1"/>
      <w:numFmt w:val="bullet"/>
      <w:lvlText w:val="●"/>
      <w:lvlJc w:val="left"/>
      <w:pPr>
        <w:tabs>
          <w:tab w:val="num" w:pos="0"/>
        </w:tabs>
        <w:ind w:left="6381" w:hanging="282"/>
      </w:pPr>
      <w:rPr>
        <w:rFonts w:ascii="Noto Sans Symbols" w:hAnsi="Noto Sans Symbols" w:cs="Noto Sans Symbols" w:hint="default"/>
      </w:rPr>
    </w:lvl>
  </w:abstractNum>
  <w:abstractNum w:abstractNumId="3">
    <w:lvl w:ilvl="0">
      <w:start w:val="14"/>
      <w:numFmt w:val="decimal"/>
      <w:lvlText w:val="%1."/>
      <w:lvlJc w:val="left"/>
      <w:pPr>
        <w:tabs>
          <w:tab w:val="num" w:pos="0"/>
        </w:tabs>
        <w:ind w:left="709" w:hanging="282"/>
      </w:pPr>
      <w:rPr/>
    </w:lvl>
    <w:lvl w:ilvl="1">
      <w:start w:val="1"/>
      <w:numFmt w:val="decimal"/>
      <w:lvlText w:val="%2."/>
      <w:lvlJc w:val="left"/>
      <w:pPr>
        <w:tabs>
          <w:tab w:val="num" w:pos="0"/>
        </w:tabs>
        <w:ind w:left="1418" w:hanging="282"/>
      </w:pPr>
      <w:rPr/>
    </w:lvl>
    <w:lvl w:ilvl="2">
      <w:start w:val="1"/>
      <w:numFmt w:val="decimal"/>
      <w:lvlText w:val="%3."/>
      <w:lvlJc w:val="left"/>
      <w:pPr>
        <w:tabs>
          <w:tab w:val="num" w:pos="0"/>
        </w:tabs>
        <w:ind w:left="2127" w:hanging="283"/>
      </w:pPr>
      <w:rPr/>
    </w:lvl>
    <w:lvl w:ilvl="3">
      <w:start w:val="1"/>
      <w:numFmt w:val="decimal"/>
      <w:lvlText w:val="%4."/>
      <w:lvlJc w:val="left"/>
      <w:pPr>
        <w:tabs>
          <w:tab w:val="num" w:pos="0"/>
        </w:tabs>
        <w:ind w:left="2836" w:hanging="283"/>
      </w:pPr>
      <w:rPr/>
    </w:lvl>
    <w:lvl w:ilvl="4">
      <w:start w:val="1"/>
      <w:numFmt w:val="decimal"/>
      <w:lvlText w:val="%5."/>
      <w:lvlJc w:val="left"/>
      <w:pPr>
        <w:tabs>
          <w:tab w:val="num" w:pos="0"/>
        </w:tabs>
        <w:ind w:left="3545" w:hanging="283"/>
      </w:pPr>
      <w:rPr/>
    </w:lvl>
    <w:lvl w:ilvl="5">
      <w:start w:val="1"/>
      <w:numFmt w:val="decimal"/>
      <w:lvlText w:val="%6."/>
      <w:lvlJc w:val="left"/>
      <w:pPr>
        <w:tabs>
          <w:tab w:val="num" w:pos="0"/>
        </w:tabs>
        <w:ind w:left="4254" w:hanging="283"/>
      </w:pPr>
      <w:rPr/>
    </w:lvl>
    <w:lvl w:ilvl="6">
      <w:start w:val="1"/>
      <w:numFmt w:val="decimal"/>
      <w:lvlText w:val="%7."/>
      <w:lvlJc w:val="left"/>
      <w:pPr>
        <w:tabs>
          <w:tab w:val="num" w:pos="0"/>
        </w:tabs>
        <w:ind w:left="4963" w:hanging="283"/>
      </w:pPr>
      <w:rPr/>
    </w:lvl>
    <w:lvl w:ilvl="7">
      <w:start w:val="1"/>
      <w:numFmt w:val="decimal"/>
      <w:lvlText w:val="%8."/>
      <w:lvlJc w:val="left"/>
      <w:pPr>
        <w:tabs>
          <w:tab w:val="num" w:pos="0"/>
        </w:tabs>
        <w:ind w:left="5672" w:hanging="282"/>
      </w:pPr>
      <w:rPr/>
    </w:lvl>
    <w:lvl w:ilvl="8">
      <w:start w:val="1"/>
      <w:numFmt w:val="decimal"/>
      <w:lvlText w:val="%9."/>
      <w:lvlJc w:val="left"/>
      <w:pPr>
        <w:tabs>
          <w:tab w:val="num" w:pos="0"/>
        </w:tabs>
        <w:ind w:left="6381" w:hanging="282"/>
      </w:pPr>
      <w:rPr/>
    </w:lvl>
  </w:abstractNum>
  <w:abstractNum w:abstractNumId="4">
    <w:lvl w:ilvl="0">
      <w:start w:val="1"/>
      <w:numFmt w:val="bullet"/>
      <w:lvlText w:val="●"/>
      <w:lvlJc w:val="left"/>
      <w:pPr>
        <w:tabs>
          <w:tab w:val="num" w:pos="0"/>
        </w:tabs>
        <w:ind w:left="709" w:hanging="282"/>
      </w:pPr>
      <w:rPr>
        <w:rFonts w:ascii="Noto Sans Symbols" w:hAnsi="Noto Sans Symbols" w:cs="Noto Sans Symbols" w:hint="default"/>
      </w:rPr>
    </w:lvl>
    <w:lvl w:ilvl="1">
      <w:start w:val="1"/>
      <w:numFmt w:val="bullet"/>
      <w:lvlText w:val="●"/>
      <w:lvlJc w:val="left"/>
      <w:pPr>
        <w:tabs>
          <w:tab w:val="num" w:pos="0"/>
        </w:tabs>
        <w:ind w:left="1418" w:hanging="282"/>
      </w:pPr>
      <w:rPr>
        <w:rFonts w:ascii="Noto Sans Symbols" w:hAnsi="Noto Sans Symbols" w:cs="Noto Sans Symbols" w:hint="default"/>
      </w:rPr>
    </w:lvl>
    <w:lvl w:ilvl="2">
      <w:start w:val="1"/>
      <w:numFmt w:val="bullet"/>
      <w:lvlText w:val="●"/>
      <w:lvlJc w:val="left"/>
      <w:pPr>
        <w:tabs>
          <w:tab w:val="num" w:pos="0"/>
        </w:tabs>
        <w:ind w:left="2127" w:hanging="283"/>
      </w:pPr>
      <w:rPr>
        <w:rFonts w:ascii="Noto Sans Symbols" w:hAnsi="Noto Sans Symbols" w:cs="Noto Sans Symbols" w:hint="default"/>
      </w:rPr>
    </w:lvl>
    <w:lvl w:ilvl="3">
      <w:start w:val="1"/>
      <w:numFmt w:val="bullet"/>
      <w:lvlText w:val="●"/>
      <w:lvlJc w:val="left"/>
      <w:pPr>
        <w:tabs>
          <w:tab w:val="num" w:pos="0"/>
        </w:tabs>
        <w:ind w:left="2836" w:hanging="283"/>
      </w:pPr>
      <w:rPr>
        <w:rFonts w:ascii="Noto Sans Symbols" w:hAnsi="Noto Sans Symbols" w:cs="Noto Sans Symbols" w:hint="default"/>
      </w:rPr>
    </w:lvl>
    <w:lvl w:ilvl="4">
      <w:start w:val="1"/>
      <w:numFmt w:val="bullet"/>
      <w:lvlText w:val="●"/>
      <w:lvlJc w:val="left"/>
      <w:pPr>
        <w:tabs>
          <w:tab w:val="num" w:pos="0"/>
        </w:tabs>
        <w:ind w:left="3545" w:hanging="283"/>
      </w:pPr>
      <w:rPr>
        <w:rFonts w:ascii="Noto Sans Symbols" w:hAnsi="Noto Sans Symbols" w:cs="Noto Sans Symbols" w:hint="default"/>
      </w:rPr>
    </w:lvl>
    <w:lvl w:ilvl="5">
      <w:start w:val="1"/>
      <w:numFmt w:val="bullet"/>
      <w:lvlText w:val="●"/>
      <w:lvlJc w:val="left"/>
      <w:pPr>
        <w:tabs>
          <w:tab w:val="num" w:pos="0"/>
        </w:tabs>
        <w:ind w:left="4254" w:hanging="283"/>
      </w:pPr>
      <w:rPr>
        <w:rFonts w:ascii="Noto Sans Symbols" w:hAnsi="Noto Sans Symbols" w:cs="Noto Sans Symbols" w:hint="default"/>
      </w:rPr>
    </w:lvl>
    <w:lvl w:ilvl="6">
      <w:start w:val="1"/>
      <w:numFmt w:val="bullet"/>
      <w:lvlText w:val="●"/>
      <w:lvlJc w:val="left"/>
      <w:pPr>
        <w:tabs>
          <w:tab w:val="num" w:pos="0"/>
        </w:tabs>
        <w:ind w:left="4963" w:hanging="283"/>
      </w:pPr>
      <w:rPr>
        <w:rFonts w:ascii="Noto Sans Symbols" w:hAnsi="Noto Sans Symbols" w:cs="Noto Sans Symbols" w:hint="default"/>
      </w:rPr>
    </w:lvl>
    <w:lvl w:ilvl="7">
      <w:start w:val="1"/>
      <w:numFmt w:val="bullet"/>
      <w:lvlText w:val="●"/>
      <w:lvlJc w:val="left"/>
      <w:pPr>
        <w:tabs>
          <w:tab w:val="num" w:pos="0"/>
        </w:tabs>
        <w:ind w:left="5672" w:hanging="282"/>
      </w:pPr>
      <w:rPr>
        <w:rFonts w:ascii="Noto Sans Symbols" w:hAnsi="Noto Sans Symbols" w:cs="Noto Sans Symbols" w:hint="default"/>
      </w:rPr>
    </w:lvl>
    <w:lvl w:ilvl="8">
      <w:start w:val="1"/>
      <w:numFmt w:val="bullet"/>
      <w:lvlText w:val="●"/>
      <w:lvlJc w:val="left"/>
      <w:pPr>
        <w:tabs>
          <w:tab w:val="num" w:pos="0"/>
        </w:tabs>
        <w:ind w:left="6381" w:hanging="282"/>
      </w:pPr>
      <w:rPr>
        <w:rFonts w:ascii="Noto Sans Symbols" w:hAnsi="Noto Sans Symbols" w:cs="Noto Sans Symbols" w:hint="default"/>
      </w:rPr>
    </w:lvl>
  </w:abstractNum>
  <w:abstractNum w:abstractNumId="5">
    <w:lvl w:ilvl="0">
      <w:start w:val="15"/>
      <w:numFmt w:val="decimal"/>
      <w:lvlText w:val="%1."/>
      <w:lvlJc w:val="left"/>
      <w:pPr>
        <w:tabs>
          <w:tab w:val="num" w:pos="0"/>
        </w:tabs>
        <w:ind w:left="709" w:hanging="282"/>
      </w:pPr>
      <w:rPr/>
    </w:lvl>
    <w:lvl w:ilvl="1">
      <w:start w:val="1"/>
      <w:numFmt w:val="decimal"/>
      <w:lvlText w:val="%2."/>
      <w:lvlJc w:val="left"/>
      <w:pPr>
        <w:tabs>
          <w:tab w:val="num" w:pos="0"/>
        </w:tabs>
        <w:ind w:left="1418" w:hanging="282"/>
      </w:pPr>
      <w:rPr/>
    </w:lvl>
    <w:lvl w:ilvl="2">
      <w:start w:val="1"/>
      <w:numFmt w:val="decimal"/>
      <w:lvlText w:val="%3."/>
      <w:lvlJc w:val="left"/>
      <w:pPr>
        <w:tabs>
          <w:tab w:val="num" w:pos="0"/>
        </w:tabs>
        <w:ind w:left="2127" w:hanging="283"/>
      </w:pPr>
      <w:rPr/>
    </w:lvl>
    <w:lvl w:ilvl="3">
      <w:start w:val="1"/>
      <w:numFmt w:val="decimal"/>
      <w:lvlText w:val="%4."/>
      <w:lvlJc w:val="left"/>
      <w:pPr>
        <w:tabs>
          <w:tab w:val="num" w:pos="0"/>
        </w:tabs>
        <w:ind w:left="2836" w:hanging="283"/>
      </w:pPr>
      <w:rPr/>
    </w:lvl>
    <w:lvl w:ilvl="4">
      <w:start w:val="1"/>
      <w:numFmt w:val="decimal"/>
      <w:lvlText w:val="%5."/>
      <w:lvlJc w:val="left"/>
      <w:pPr>
        <w:tabs>
          <w:tab w:val="num" w:pos="0"/>
        </w:tabs>
        <w:ind w:left="3545" w:hanging="283"/>
      </w:pPr>
      <w:rPr/>
    </w:lvl>
    <w:lvl w:ilvl="5">
      <w:start w:val="1"/>
      <w:numFmt w:val="decimal"/>
      <w:lvlText w:val="%6."/>
      <w:lvlJc w:val="left"/>
      <w:pPr>
        <w:tabs>
          <w:tab w:val="num" w:pos="0"/>
        </w:tabs>
        <w:ind w:left="4254" w:hanging="283"/>
      </w:pPr>
      <w:rPr/>
    </w:lvl>
    <w:lvl w:ilvl="6">
      <w:start w:val="1"/>
      <w:numFmt w:val="decimal"/>
      <w:lvlText w:val="%7."/>
      <w:lvlJc w:val="left"/>
      <w:pPr>
        <w:tabs>
          <w:tab w:val="num" w:pos="0"/>
        </w:tabs>
        <w:ind w:left="4963" w:hanging="283"/>
      </w:pPr>
      <w:rPr/>
    </w:lvl>
    <w:lvl w:ilvl="7">
      <w:start w:val="1"/>
      <w:numFmt w:val="decimal"/>
      <w:lvlText w:val="%8."/>
      <w:lvlJc w:val="left"/>
      <w:pPr>
        <w:tabs>
          <w:tab w:val="num" w:pos="0"/>
        </w:tabs>
        <w:ind w:left="5672" w:hanging="282"/>
      </w:pPr>
      <w:rPr/>
    </w:lvl>
    <w:lvl w:ilvl="8">
      <w:start w:val="1"/>
      <w:numFmt w:val="decimal"/>
      <w:lvlText w:val="%9."/>
      <w:lvlJc w:val="left"/>
      <w:pPr>
        <w:tabs>
          <w:tab w:val="num" w:pos="0"/>
        </w:tabs>
        <w:ind w:left="6381" w:hanging="282"/>
      </w:pPr>
      <w:rPr/>
    </w:lvl>
  </w:abstractNum>
  <w:abstractNum w:abstractNumId="6">
    <w:lvl w:ilvl="0">
      <w:start w:val="1"/>
      <w:numFmt w:val="bullet"/>
      <w:lvlText w:val="●"/>
      <w:lvlJc w:val="left"/>
      <w:pPr>
        <w:tabs>
          <w:tab w:val="num" w:pos="0"/>
        </w:tabs>
        <w:ind w:left="709" w:hanging="282"/>
      </w:pPr>
      <w:rPr>
        <w:rFonts w:ascii="Noto Sans Symbols" w:hAnsi="Noto Sans Symbols" w:cs="Noto Sans Symbols" w:hint="default"/>
      </w:rPr>
    </w:lvl>
    <w:lvl w:ilvl="1">
      <w:start w:val="1"/>
      <w:numFmt w:val="bullet"/>
      <w:lvlText w:val="●"/>
      <w:lvlJc w:val="left"/>
      <w:pPr>
        <w:tabs>
          <w:tab w:val="num" w:pos="0"/>
        </w:tabs>
        <w:ind w:left="1418" w:hanging="282"/>
      </w:pPr>
      <w:rPr>
        <w:rFonts w:ascii="Noto Sans Symbols" w:hAnsi="Noto Sans Symbols" w:cs="Noto Sans Symbols" w:hint="default"/>
      </w:rPr>
    </w:lvl>
    <w:lvl w:ilvl="2">
      <w:start w:val="1"/>
      <w:numFmt w:val="bullet"/>
      <w:lvlText w:val="●"/>
      <w:lvlJc w:val="left"/>
      <w:pPr>
        <w:tabs>
          <w:tab w:val="num" w:pos="0"/>
        </w:tabs>
        <w:ind w:left="2127" w:hanging="283"/>
      </w:pPr>
      <w:rPr>
        <w:rFonts w:ascii="Noto Sans Symbols" w:hAnsi="Noto Sans Symbols" w:cs="Noto Sans Symbols" w:hint="default"/>
      </w:rPr>
    </w:lvl>
    <w:lvl w:ilvl="3">
      <w:start w:val="1"/>
      <w:numFmt w:val="bullet"/>
      <w:lvlText w:val="●"/>
      <w:lvlJc w:val="left"/>
      <w:pPr>
        <w:tabs>
          <w:tab w:val="num" w:pos="0"/>
        </w:tabs>
        <w:ind w:left="2836" w:hanging="283"/>
      </w:pPr>
      <w:rPr>
        <w:rFonts w:ascii="Noto Sans Symbols" w:hAnsi="Noto Sans Symbols" w:cs="Noto Sans Symbols" w:hint="default"/>
      </w:rPr>
    </w:lvl>
    <w:lvl w:ilvl="4">
      <w:start w:val="1"/>
      <w:numFmt w:val="bullet"/>
      <w:lvlText w:val="●"/>
      <w:lvlJc w:val="left"/>
      <w:pPr>
        <w:tabs>
          <w:tab w:val="num" w:pos="0"/>
        </w:tabs>
        <w:ind w:left="3545" w:hanging="283"/>
      </w:pPr>
      <w:rPr>
        <w:rFonts w:ascii="Noto Sans Symbols" w:hAnsi="Noto Sans Symbols" w:cs="Noto Sans Symbols" w:hint="default"/>
      </w:rPr>
    </w:lvl>
    <w:lvl w:ilvl="5">
      <w:start w:val="1"/>
      <w:numFmt w:val="bullet"/>
      <w:lvlText w:val="●"/>
      <w:lvlJc w:val="left"/>
      <w:pPr>
        <w:tabs>
          <w:tab w:val="num" w:pos="0"/>
        </w:tabs>
        <w:ind w:left="4254" w:hanging="283"/>
      </w:pPr>
      <w:rPr>
        <w:rFonts w:ascii="Noto Sans Symbols" w:hAnsi="Noto Sans Symbols" w:cs="Noto Sans Symbols" w:hint="default"/>
      </w:rPr>
    </w:lvl>
    <w:lvl w:ilvl="6">
      <w:start w:val="1"/>
      <w:numFmt w:val="bullet"/>
      <w:lvlText w:val="●"/>
      <w:lvlJc w:val="left"/>
      <w:pPr>
        <w:tabs>
          <w:tab w:val="num" w:pos="0"/>
        </w:tabs>
        <w:ind w:left="4963" w:hanging="283"/>
      </w:pPr>
      <w:rPr>
        <w:rFonts w:ascii="Noto Sans Symbols" w:hAnsi="Noto Sans Symbols" w:cs="Noto Sans Symbols" w:hint="default"/>
      </w:rPr>
    </w:lvl>
    <w:lvl w:ilvl="7">
      <w:start w:val="1"/>
      <w:numFmt w:val="bullet"/>
      <w:lvlText w:val="●"/>
      <w:lvlJc w:val="left"/>
      <w:pPr>
        <w:tabs>
          <w:tab w:val="num" w:pos="0"/>
        </w:tabs>
        <w:ind w:left="5672" w:hanging="282"/>
      </w:pPr>
      <w:rPr>
        <w:rFonts w:ascii="Noto Sans Symbols" w:hAnsi="Noto Sans Symbols" w:cs="Noto Sans Symbols" w:hint="default"/>
      </w:rPr>
    </w:lvl>
    <w:lvl w:ilvl="8">
      <w:start w:val="1"/>
      <w:numFmt w:val="bullet"/>
      <w:lvlText w:val="●"/>
      <w:lvlJc w:val="left"/>
      <w:pPr>
        <w:tabs>
          <w:tab w:val="num" w:pos="0"/>
        </w:tabs>
        <w:ind w:left="6381" w:hanging="282"/>
      </w:pPr>
      <w:rPr>
        <w:rFonts w:ascii="Noto Sans Symbols" w:hAnsi="Noto Sans Symbols" w:cs="Noto Sans Symbols" w:hint="default"/>
      </w:rPr>
    </w:lvl>
  </w:abstractNum>
  <w:abstractNum w:abstractNumId="7">
    <w:lvl w:ilvl="0">
      <w:start w:val="16"/>
      <w:numFmt w:val="decimal"/>
      <w:lvlText w:val="%1."/>
      <w:lvlJc w:val="left"/>
      <w:pPr>
        <w:tabs>
          <w:tab w:val="num" w:pos="0"/>
        </w:tabs>
        <w:ind w:left="709" w:hanging="282"/>
      </w:pPr>
      <w:rPr/>
    </w:lvl>
    <w:lvl w:ilvl="1">
      <w:start w:val="1"/>
      <w:numFmt w:val="decimal"/>
      <w:lvlText w:val="%2."/>
      <w:lvlJc w:val="left"/>
      <w:pPr>
        <w:tabs>
          <w:tab w:val="num" w:pos="0"/>
        </w:tabs>
        <w:ind w:left="1418" w:hanging="282"/>
      </w:pPr>
      <w:rPr/>
    </w:lvl>
    <w:lvl w:ilvl="2">
      <w:start w:val="1"/>
      <w:numFmt w:val="decimal"/>
      <w:lvlText w:val="%3."/>
      <w:lvlJc w:val="left"/>
      <w:pPr>
        <w:tabs>
          <w:tab w:val="num" w:pos="0"/>
        </w:tabs>
        <w:ind w:left="2127" w:hanging="283"/>
      </w:pPr>
      <w:rPr/>
    </w:lvl>
    <w:lvl w:ilvl="3">
      <w:start w:val="1"/>
      <w:numFmt w:val="decimal"/>
      <w:lvlText w:val="%4."/>
      <w:lvlJc w:val="left"/>
      <w:pPr>
        <w:tabs>
          <w:tab w:val="num" w:pos="0"/>
        </w:tabs>
        <w:ind w:left="2836" w:hanging="283"/>
      </w:pPr>
      <w:rPr/>
    </w:lvl>
    <w:lvl w:ilvl="4">
      <w:start w:val="1"/>
      <w:numFmt w:val="decimal"/>
      <w:lvlText w:val="%5."/>
      <w:lvlJc w:val="left"/>
      <w:pPr>
        <w:tabs>
          <w:tab w:val="num" w:pos="0"/>
        </w:tabs>
        <w:ind w:left="3545" w:hanging="283"/>
      </w:pPr>
      <w:rPr/>
    </w:lvl>
    <w:lvl w:ilvl="5">
      <w:start w:val="1"/>
      <w:numFmt w:val="decimal"/>
      <w:lvlText w:val="%6."/>
      <w:lvlJc w:val="left"/>
      <w:pPr>
        <w:tabs>
          <w:tab w:val="num" w:pos="0"/>
        </w:tabs>
        <w:ind w:left="4254" w:hanging="283"/>
      </w:pPr>
      <w:rPr/>
    </w:lvl>
    <w:lvl w:ilvl="6">
      <w:start w:val="1"/>
      <w:numFmt w:val="decimal"/>
      <w:lvlText w:val="%7."/>
      <w:lvlJc w:val="left"/>
      <w:pPr>
        <w:tabs>
          <w:tab w:val="num" w:pos="0"/>
        </w:tabs>
        <w:ind w:left="4963" w:hanging="283"/>
      </w:pPr>
      <w:rPr/>
    </w:lvl>
    <w:lvl w:ilvl="7">
      <w:start w:val="1"/>
      <w:numFmt w:val="decimal"/>
      <w:lvlText w:val="%8."/>
      <w:lvlJc w:val="left"/>
      <w:pPr>
        <w:tabs>
          <w:tab w:val="num" w:pos="0"/>
        </w:tabs>
        <w:ind w:left="5672" w:hanging="282"/>
      </w:pPr>
      <w:rPr/>
    </w:lvl>
    <w:lvl w:ilvl="8">
      <w:start w:val="1"/>
      <w:numFmt w:val="decimal"/>
      <w:lvlText w:val="%9."/>
      <w:lvlJc w:val="left"/>
      <w:pPr>
        <w:tabs>
          <w:tab w:val="num" w:pos="0"/>
        </w:tabs>
        <w:ind w:left="6381" w:hanging="282"/>
      </w:pPr>
      <w:rPr/>
    </w:lvl>
  </w:abstractNum>
  <w:abstractNum w:abstractNumId="8">
    <w:lvl w:ilvl="0">
      <w:start w:val="1"/>
      <w:numFmt w:val="bullet"/>
      <w:lvlText w:val="●"/>
      <w:lvlJc w:val="left"/>
      <w:pPr>
        <w:tabs>
          <w:tab w:val="num" w:pos="0"/>
        </w:tabs>
        <w:ind w:left="709" w:hanging="282"/>
      </w:pPr>
      <w:rPr>
        <w:rFonts w:ascii="Noto Sans Symbols" w:hAnsi="Noto Sans Symbols" w:cs="Noto Sans Symbols" w:hint="default"/>
      </w:rPr>
    </w:lvl>
    <w:lvl w:ilvl="1">
      <w:start w:val="1"/>
      <w:numFmt w:val="bullet"/>
      <w:lvlText w:val="●"/>
      <w:lvlJc w:val="left"/>
      <w:pPr>
        <w:tabs>
          <w:tab w:val="num" w:pos="0"/>
        </w:tabs>
        <w:ind w:left="1418" w:hanging="282"/>
      </w:pPr>
      <w:rPr>
        <w:rFonts w:ascii="Noto Sans Symbols" w:hAnsi="Noto Sans Symbols" w:cs="Noto Sans Symbols" w:hint="default"/>
      </w:rPr>
    </w:lvl>
    <w:lvl w:ilvl="2">
      <w:start w:val="1"/>
      <w:numFmt w:val="bullet"/>
      <w:lvlText w:val="●"/>
      <w:lvlJc w:val="left"/>
      <w:pPr>
        <w:tabs>
          <w:tab w:val="num" w:pos="0"/>
        </w:tabs>
        <w:ind w:left="2127" w:hanging="283"/>
      </w:pPr>
      <w:rPr>
        <w:rFonts w:ascii="Noto Sans Symbols" w:hAnsi="Noto Sans Symbols" w:cs="Noto Sans Symbols" w:hint="default"/>
      </w:rPr>
    </w:lvl>
    <w:lvl w:ilvl="3">
      <w:start w:val="1"/>
      <w:numFmt w:val="bullet"/>
      <w:lvlText w:val="●"/>
      <w:lvlJc w:val="left"/>
      <w:pPr>
        <w:tabs>
          <w:tab w:val="num" w:pos="0"/>
        </w:tabs>
        <w:ind w:left="2836" w:hanging="283"/>
      </w:pPr>
      <w:rPr>
        <w:rFonts w:ascii="Noto Sans Symbols" w:hAnsi="Noto Sans Symbols" w:cs="Noto Sans Symbols" w:hint="default"/>
      </w:rPr>
    </w:lvl>
    <w:lvl w:ilvl="4">
      <w:start w:val="1"/>
      <w:numFmt w:val="bullet"/>
      <w:lvlText w:val="●"/>
      <w:lvlJc w:val="left"/>
      <w:pPr>
        <w:tabs>
          <w:tab w:val="num" w:pos="0"/>
        </w:tabs>
        <w:ind w:left="3545" w:hanging="283"/>
      </w:pPr>
      <w:rPr>
        <w:rFonts w:ascii="Noto Sans Symbols" w:hAnsi="Noto Sans Symbols" w:cs="Noto Sans Symbols" w:hint="default"/>
      </w:rPr>
    </w:lvl>
    <w:lvl w:ilvl="5">
      <w:start w:val="1"/>
      <w:numFmt w:val="bullet"/>
      <w:lvlText w:val="●"/>
      <w:lvlJc w:val="left"/>
      <w:pPr>
        <w:tabs>
          <w:tab w:val="num" w:pos="0"/>
        </w:tabs>
        <w:ind w:left="4254" w:hanging="283"/>
      </w:pPr>
      <w:rPr>
        <w:rFonts w:ascii="Noto Sans Symbols" w:hAnsi="Noto Sans Symbols" w:cs="Noto Sans Symbols" w:hint="default"/>
      </w:rPr>
    </w:lvl>
    <w:lvl w:ilvl="6">
      <w:start w:val="1"/>
      <w:numFmt w:val="bullet"/>
      <w:lvlText w:val="●"/>
      <w:lvlJc w:val="left"/>
      <w:pPr>
        <w:tabs>
          <w:tab w:val="num" w:pos="0"/>
        </w:tabs>
        <w:ind w:left="4963" w:hanging="283"/>
      </w:pPr>
      <w:rPr>
        <w:rFonts w:ascii="Noto Sans Symbols" w:hAnsi="Noto Sans Symbols" w:cs="Noto Sans Symbols" w:hint="default"/>
      </w:rPr>
    </w:lvl>
    <w:lvl w:ilvl="7">
      <w:start w:val="1"/>
      <w:numFmt w:val="bullet"/>
      <w:lvlText w:val="●"/>
      <w:lvlJc w:val="left"/>
      <w:pPr>
        <w:tabs>
          <w:tab w:val="num" w:pos="0"/>
        </w:tabs>
        <w:ind w:left="5672" w:hanging="282"/>
      </w:pPr>
      <w:rPr>
        <w:rFonts w:ascii="Noto Sans Symbols" w:hAnsi="Noto Sans Symbols" w:cs="Noto Sans Symbols" w:hint="default"/>
      </w:rPr>
    </w:lvl>
    <w:lvl w:ilvl="8">
      <w:start w:val="1"/>
      <w:numFmt w:val="bullet"/>
      <w:lvlText w:val="●"/>
      <w:lvlJc w:val="left"/>
      <w:pPr>
        <w:tabs>
          <w:tab w:val="num" w:pos="0"/>
        </w:tabs>
        <w:ind w:left="6381" w:hanging="282"/>
      </w:pPr>
      <w:rPr>
        <w:rFonts w:ascii="Noto Sans Symbols" w:hAnsi="Noto Sans Symbols" w:cs="Noto Sans Symbols" w:hint="default"/>
      </w:rPr>
    </w:lvl>
  </w:abstractNum>
  <w:abstractNum w:abstractNumId="9">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10">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11">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12">
    <w:lvl w:ilvl="0">
      <w:start w:val="1"/>
      <w:numFmt w:val="decimal"/>
      <w:lvlText w:val="%1."/>
      <w:lvlJc w:val="left"/>
      <w:pPr>
        <w:tabs>
          <w:tab w:val="num" w:pos="0"/>
        </w:tabs>
        <w:ind w:left="720" w:hanging="360"/>
      </w:pPr>
      <w:rPr/>
    </w:lvl>
    <w:lvl w:ilvl="1">
      <w:start w:val="1"/>
      <w:numFmt w:val="decimal"/>
      <w:lvlText w:val="%1.%2."/>
      <w:lvlJc w:val="left"/>
      <w:pPr>
        <w:tabs>
          <w:tab w:val="num" w:pos="0"/>
        </w:tabs>
        <w:ind w:left="1080" w:hanging="360"/>
      </w:pPr>
      <w:rPr/>
    </w:lvl>
    <w:lvl w:ilvl="2">
      <w:start w:val="1"/>
      <w:numFmt w:val="lowerLetter"/>
      <w:lvlText w:val="%3)"/>
      <w:lvlJc w:val="left"/>
      <w:pPr>
        <w:tabs>
          <w:tab w:val="num" w:pos="0"/>
        </w:tabs>
        <w:ind w:left="1440" w:hanging="360"/>
      </w:pPr>
      <w:rPr/>
    </w:lvl>
    <w:lvl w:ilvl="3">
      <w:start w:val="1"/>
      <w:numFmt w:val="bullet"/>
      <w:lvlText w:val="●"/>
      <w:lvlJc w:val="left"/>
      <w:pPr>
        <w:tabs>
          <w:tab w:val="num" w:pos="0"/>
        </w:tabs>
        <w:ind w:left="1800" w:hanging="360"/>
      </w:pPr>
      <w:rPr>
        <w:rFonts w:ascii="Noto Sans Symbols" w:hAnsi="Noto Sans Symbols" w:cs="Noto Sans Symbols" w:hint="default"/>
      </w:rPr>
    </w:lvl>
    <w:lvl w:ilvl="4">
      <w:start w:val="1"/>
      <w:numFmt w:val="bullet"/>
      <w:lvlText w:val="●"/>
      <w:lvlJc w:val="left"/>
      <w:pPr>
        <w:tabs>
          <w:tab w:val="num" w:pos="0"/>
        </w:tabs>
        <w:ind w:left="2160" w:hanging="360"/>
      </w:pPr>
      <w:rPr>
        <w:rFonts w:ascii="Noto Sans Symbols" w:hAnsi="Noto Sans Symbols" w:cs="Noto Sans Symbols" w:hint="default"/>
      </w:rPr>
    </w:lvl>
    <w:lvl w:ilvl="5">
      <w:start w:val="1"/>
      <w:numFmt w:val="bullet"/>
      <w:lvlText w:val="●"/>
      <w:lvlJc w:val="left"/>
      <w:pPr>
        <w:tabs>
          <w:tab w:val="num" w:pos="0"/>
        </w:tabs>
        <w:ind w:left="2520" w:hanging="360"/>
      </w:pPr>
      <w:rPr>
        <w:rFonts w:ascii="Noto Sans Symbols" w:hAnsi="Noto Sans Symbols" w:cs="Noto Sans Symbols" w:hint="default"/>
      </w:rPr>
    </w:lvl>
    <w:lvl w:ilvl="6">
      <w:start w:val="1"/>
      <w:numFmt w:val="bullet"/>
      <w:lvlText w:val="●"/>
      <w:lvlJc w:val="left"/>
      <w:pPr>
        <w:tabs>
          <w:tab w:val="num" w:pos="0"/>
        </w:tabs>
        <w:ind w:left="2880" w:hanging="360"/>
      </w:pPr>
      <w:rPr>
        <w:rFonts w:ascii="Noto Sans Symbols" w:hAnsi="Noto Sans Symbols" w:cs="Noto Sans Symbols" w:hint="default"/>
      </w:rPr>
    </w:lvl>
    <w:lvl w:ilvl="7">
      <w:start w:val="1"/>
      <w:numFmt w:val="bullet"/>
      <w:lvlText w:val="●"/>
      <w:lvlJc w:val="left"/>
      <w:pPr>
        <w:tabs>
          <w:tab w:val="num" w:pos="0"/>
        </w:tabs>
        <w:ind w:left="3240" w:hanging="360"/>
      </w:pPr>
      <w:rPr>
        <w:rFonts w:ascii="Noto Sans Symbols" w:hAnsi="Noto Sans Symbols" w:cs="Noto Sans Symbols" w:hint="default"/>
      </w:rPr>
    </w:lvl>
    <w:lvl w:ilvl="8">
      <w:start w:val="1"/>
      <w:numFmt w:val="bullet"/>
      <w:lvlText w:val="●"/>
      <w:lvlJc w:val="left"/>
      <w:pPr>
        <w:tabs>
          <w:tab w:val="num" w:pos="0"/>
        </w:tabs>
        <w:ind w:left="3600" w:hanging="360"/>
      </w:pPr>
      <w:rPr>
        <w:rFonts w:ascii="Noto Sans Symbols" w:hAnsi="Noto Sans Symbols" w:cs="Noto Sans Symbols" w:hint="default"/>
      </w:rPr>
    </w:lvl>
  </w:abstractNum>
  <w:abstractNum w:abstractNumId="13">
    <w:lvl w:ilvl="0">
      <w:start w:val="1"/>
      <w:numFmt w:val="decimal"/>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14">
    <w:lvl w:ilvl="0">
      <w:start w:val="1"/>
      <w:numFmt w:val="bullet"/>
      <w:lvlText w:val="▪"/>
      <w:lvlJc w:val="left"/>
      <w:pPr>
        <w:tabs>
          <w:tab w:val="num" w:pos="0"/>
        </w:tabs>
        <w:ind w:left="1440" w:hanging="360"/>
      </w:pPr>
      <w:rPr>
        <w:rFonts w:ascii="Noto Sans Symbols" w:hAnsi="Noto Sans Symbols" w:cs="Noto Sans Symbols"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Noto Sans Symbols" w:hAnsi="Noto Sans Symbols" w:cs="Noto Sans Symbols" w:hint="default"/>
      </w:rPr>
    </w:lvl>
    <w:lvl w:ilvl="3">
      <w:start w:val="1"/>
      <w:numFmt w:val="bullet"/>
      <w:lvlText w:val="●"/>
      <w:lvlJc w:val="left"/>
      <w:pPr>
        <w:tabs>
          <w:tab w:val="num" w:pos="0"/>
        </w:tabs>
        <w:ind w:left="3600" w:hanging="360"/>
      </w:pPr>
      <w:rPr>
        <w:rFonts w:ascii="Noto Sans Symbols" w:hAnsi="Noto Sans Symbols" w:cs="Noto Sans Symbols"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Noto Sans Symbols" w:hAnsi="Noto Sans Symbols" w:cs="Noto Sans Symbols" w:hint="default"/>
      </w:rPr>
    </w:lvl>
    <w:lvl w:ilvl="6">
      <w:start w:val="1"/>
      <w:numFmt w:val="bullet"/>
      <w:lvlText w:val="●"/>
      <w:lvlJc w:val="left"/>
      <w:pPr>
        <w:tabs>
          <w:tab w:val="num" w:pos="0"/>
        </w:tabs>
        <w:ind w:left="5760" w:hanging="360"/>
      </w:pPr>
      <w:rPr>
        <w:rFonts w:ascii="Noto Sans Symbols" w:hAnsi="Noto Sans Symbols" w:cs="Noto Sans Symbols"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Noto Sans Symbols" w:hAnsi="Noto Sans Symbols" w:cs="Noto Sans Symbols" w:hint="default"/>
      </w:rPr>
    </w:lvl>
  </w:abstractNum>
  <w:abstractNum w:abstractNumId="15">
    <w:lvl w:ilvl="0">
      <w:start w:val="1"/>
      <w:numFmt w:val="bullet"/>
      <w:lvlText w:val="▪"/>
      <w:lvlJc w:val="left"/>
      <w:pPr>
        <w:tabs>
          <w:tab w:val="num" w:pos="0"/>
        </w:tabs>
        <w:ind w:left="1440" w:hanging="360"/>
      </w:pPr>
      <w:rPr>
        <w:rFonts w:ascii="Noto Sans Symbols" w:hAnsi="Noto Sans Symbols" w:cs="Noto Sans Symbols" w:hint="default"/>
      </w:rPr>
    </w:lvl>
    <w:lvl w:ilvl="1">
      <w:start w:val="1"/>
      <w:numFmt w:val="bullet"/>
      <w:lvlText w:val="o"/>
      <w:lvlJc w:val="left"/>
      <w:pPr>
        <w:tabs>
          <w:tab w:val="num" w:pos="0"/>
        </w:tabs>
        <w:ind w:left="2160" w:hanging="360"/>
      </w:pPr>
      <w:rPr>
        <w:rFonts w:ascii="Courier New" w:hAnsi="Courier New" w:cs="Courier New" w:hint="default"/>
      </w:rPr>
    </w:lvl>
    <w:lvl w:ilvl="2">
      <w:start w:val="1"/>
      <w:numFmt w:val="bullet"/>
      <w:lvlText w:val="▪"/>
      <w:lvlJc w:val="left"/>
      <w:pPr>
        <w:tabs>
          <w:tab w:val="num" w:pos="0"/>
        </w:tabs>
        <w:ind w:left="2880" w:hanging="360"/>
      </w:pPr>
      <w:rPr>
        <w:rFonts w:ascii="Noto Sans Symbols" w:hAnsi="Noto Sans Symbols" w:cs="Noto Sans Symbols" w:hint="default"/>
      </w:rPr>
    </w:lvl>
    <w:lvl w:ilvl="3">
      <w:start w:val="1"/>
      <w:numFmt w:val="bullet"/>
      <w:lvlText w:val="●"/>
      <w:lvlJc w:val="left"/>
      <w:pPr>
        <w:tabs>
          <w:tab w:val="num" w:pos="0"/>
        </w:tabs>
        <w:ind w:left="3600" w:hanging="360"/>
      </w:pPr>
      <w:rPr>
        <w:rFonts w:ascii="Noto Sans Symbols" w:hAnsi="Noto Sans Symbols" w:cs="Noto Sans Symbols"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Noto Sans Symbols" w:hAnsi="Noto Sans Symbols" w:cs="Noto Sans Symbols" w:hint="default"/>
      </w:rPr>
    </w:lvl>
    <w:lvl w:ilvl="6">
      <w:start w:val="1"/>
      <w:numFmt w:val="bullet"/>
      <w:lvlText w:val="●"/>
      <w:lvlJc w:val="left"/>
      <w:pPr>
        <w:tabs>
          <w:tab w:val="num" w:pos="0"/>
        </w:tabs>
        <w:ind w:left="5760" w:hanging="360"/>
      </w:pPr>
      <w:rPr>
        <w:rFonts w:ascii="Noto Sans Symbols" w:hAnsi="Noto Sans Symbols" w:cs="Noto Sans Symbols"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Noto Sans Symbols" w:hAnsi="Noto Sans Symbols" w:cs="Noto Sans Symbols" w:hint="default"/>
      </w:rPr>
    </w:lvl>
  </w:abstractNum>
  <w:abstractNum w:abstractNumId="16">
    <w:lvl w:ilvl="0">
      <w:start w:val="1"/>
      <w:numFmt w:val="bullet"/>
      <w:lvlText w:val="▪"/>
      <w:lvlJc w:val="left"/>
      <w:pPr>
        <w:tabs>
          <w:tab w:val="num" w:pos="0"/>
        </w:tabs>
        <w:ind w:left="1440" w:hanging="360"/>
      </w:pPr>
      <w:rPr>
        <w:rFonts w:ascii="Noto Sans Symbols" w:hAnsi="Noto Sans Symbols" w:cs="Noto Sans Symbols" w:hint="default"/>
      </w:rPr>
    </w:lvl>
    <w:lvl w:ilvl="1">
      <w:start w:val="3"/>
      <w:numFmt w:val="bullet"/>
      <w:lvlText w:val="■"/>
      <w:lvlJc w:val="left"/>
      <w:pPr>
        <w:tabs>
          <w:tab w:val="num" w:pos="0"/>
        </w:tabs>
        <w:ind w:left="2160" w:hanging="360"/>
      </w:pPr>
      <w:rPr>
        <w:rFonts w:ascii="Noto Sans Symbols" w:hAnsi="Noto Sans Symbols" w:cs="Noto Sans Symbols" w:hint="default"/>
      </w:rPr>
    </w:lvl>
    <w:lvl w:ilvl="2">
      <w:start w:val="1"/>
      <w:numFmt w:val="bullet"/>
      <w:lvlText w:val="▪"/>
      <w:lvlJc w:val="left"/>
      <w:pPr>
        <w:tabs>
          <w:tab w:val="num" w:pos="0"/>
        </w:tabs>
        <w:ind w:left="2880" w:hanging="360"/>
      </w:pPr>
      <w:rPr>
        <w:rFonts w:ascii="Noto Sans Symbols" w:hAnsi="Noto Sans Symbols" w:cs="Noto Sans Symbols" w:hint="default"/>
      </w:rPr>
    </w:lvl>
    <w:lvl w:ilvl="3">
      <w:start w:val="1"/>
      <w:numFmt w:val="bullet"/>
      <w:lvlText w:val="●"/>
      <w:lvlJc w:val="left"/>
      <w:pPr>
        <w:tabs>
          <w:tab w:val="num" w:pos="0"/>
        </w:tabs>
        <w:ind w:left="3600" w:hanging="360"/>
      </w:pPr>
      <w:rPr>
        <w:rFonts w:ascii="Noto Sans Symbols" w:hAnsi="Noto Sans Symbols" w:cs="Noto Sans Symbols" w:hint="default"/>
      </w:rPr>
    </w:lvl>
    <w:lvl w:ilvl="4">
      <w:start w:val="1"/>
      <w:numFmt w:val="bullet"/>
      <w:lvlText w:val="o"/>
      <w:lvlJc w:val="left"/>
      <w:pPr>
        <w:tabs>
          <w:tab w:val="num" w:pos="0"/>
        </w:tabs>
        <w:ind w:left="4320" w:hanging="360"/>
      </w:pPr>
      <w:rPr>
        <w:rFonts w:ascii="Courier New" w:hAnsi="Courier New" w:cs="Courier New" w:hint="default"/>
      </w:rPr>
    </w:lvl>
    <w:lvl w:ilvl="5">
      <w:start w:val="1"/>
      <w:numFmt w:val="bullet"/>
      <w:lvlText w:val="▪"/>
      <w:lvlJc w:val="left"/>
      <w:pPr>
        <w:tabs>
          <w:tab w:val="num" w:pos="0"/>
        </w:tabs>
        <w:ind w:left="5040" w:hanging="360"/>
      </w:pPr>
      <w:rPr>
        <w:rFonts w:ascii="Noto Sans Symbols" w:hAnsi="Noto Sans Symbols" w:cs="Noto Sans Symbols" w:hint="default"/>
      </w:rPr>
    </w:lvl>
    <w:lvl w:ilvl="6">
      <w:start w:val="1"/>
      <w:numFmt w:val="bullet"/>
      <w:lvlText w:val="●"/>
      <w:lvlJc w:val="left"/>
      <w:pPr>
        <w:tabs>
          <w:tab w:val="num" w:pos="0"/>
        </w:tabs>
        <w:ind w:left="5760" w:hanging="360"/>
      </w:pPr>
      <w:rPr>
        <w:rFonts w:ascii="Noto Sans Symbols" w:hAnsi="Noto Sans Symbols" w:cs="Noto Sans Symbols" w:hint="default"/>
      </w:rPr>
    </w:lvl>
    <w:lvl w:ilvl="7">
      <w:start w:val="1"/>
      <w:numFmt w:val="bullet"/>
      <w:lvlText w:val="o"/>
      <w:lvlJc w:val="left"/>
      <w:pPr>
        <w:tabs>
          <w:tab w:val="num" w:pos="0"/>
        </w:tabs>
        <w:ind w:left="6480" w:hanging="360"/>
      </w:pPr>
      <w:rPr>
        <w:rFonts w:ascii="Courier New" w:hAnsi="Courier New" w:cs="Courier New" w:hint="default"/>
      </w:rPr>
    </w:lvl>
    <w:lvl w:ilvl="8">
      <w:start w:val="1"/>
      <w:numFmt w:val="bullet"/>
      <w:lvlText w:val="▪"/>
      <w:lvlJc w:val="left"/>
      <w:pPr>
        <w:tabs>
          <w:tab w:val="num" w:pos="0"/>
        </w:tabs>
        <w:ind w:left="7200" w:hanging="360"/>
      </w:pPr>
      <w:rPr>
        <w:rFonts w:ascii="Noto Sans Symbols" w:hAnsi="Noto Sans Symbols" w:cs="Noto Sans Symbols" w:hint="default"/>
      </w:rPr>
    </w:lvl>
  </w:abstractNum>
  <w:abstractNum w:abstractNumId="17">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18">
    <w:lvl w:ilvl="0">
      <w:start w:val="1"/>
      <w:numFmt w:val="bullet"/>
      <w:lvlText w:val="▪"/>
      <w:lvlJc w:val="left"/>
      <w:pPr>
        <w:tabs>
          <w:tab w:val="num" w:pos="0"/>
        </w:tabs>
        <w:ind w:left="1080" w:hanging="360"/>
      </w:pPr>
      <w:rPr>
        <w:rFonts w:ascii="Noto Sans Symbols" w:hAnsi="Noto Sans Symbols" w:cs="Noto Sans Symbols" w:hint="default"/>
      </w:rPr>
    </w:lvl>
    <w:lvl w:ilvl="1">
      <w:start w:val="1"/>
      <w:numFmt w:val="bullet"/>
      <w:lvlText w:val="o"/>
      <w:lvlJc w:val="left"/>
      <w:pPr>
        <w:tabs>
          <w:tab w:val="num" w:pos="0"/>
        </w:tabs>
        <w:ind w:left="1800" w:hanging="360"/>
      </w:pPr>
      <w:rPr>
        <w:rFonts w:ascii="Courier New" w:hAnsi="Courier New" w:cs="Courier New" w:hint="default"/>
      </w:rPr>
    </w:lvl>
    <w:lvl w:ilvl="2">
      <w:start w:val="1"/>
      <w:numFmt w:val="bullet"/>
      <w:lvlText w:val="▪"/>
      <w:lvlJc w:val="left"/>
      <w:pPr>
        <w:tabs>
          <w:tab w:val="num" w:pos="0"/>
        </w:tabs>
        <w:ind w:left="2520" w:hanging="360"/>
      </w:pPr>
      <w:rPr>
        <w:rFonts w:ascii="Noto Sans Symbols" w:hAnsi="Noto Sans Symbols" w:cs="Noto Sans Symbols" w:hint="default"/>
      </w:rPr>
    </w:lvl>
    <w:lvl w:ilvl="3">
      <w:start w:val="1"/>
      <w:numFmt w:val="bullet"/>
      <w:lvlText w:val="●"/>
      <w:lvlJc w:val="left"/>
      <w:pPr>
        <w:tabs>
          <w:tab w:val="num" w:pos="0"/>
        </w:tabs>
        <w:ind w:left="3240" w:hanging="360"/>
      </w:pPr>
      <w:rPr>
        <w:rFonts w:ascii="Noto Sans Symbols" w:hAnsi="Noto Sans Symbols" w:cs="Noto Sans Symbols" w:hint="default"/>
      </w:rPr>
    </w:lvl>
    <w:lvl w:ilvl="4">
      <w:start w:val="1"/>
      <w:numFmt w:val="bullet"/>
      <w:lvlText w:val="o"/>
      <w:lvlJc w:val="left"/>
      <w:pPr>
        <w:tabs>
          <w:tab w:val="num" w:pos="0"/>
        </w:tabs>
        <w:ind w:left="3960" w:hanging="360"/>
      </w:pPr>
      <w:rPr>
        <w:rFonts w:ascii="Courier New" w:hAnsi="Courier New" w:cs="Courier New" w:hint="default"/>
      </w:rPr>
    </w:lvl>
    <w:lvl w:ilvl="5">
      <w:start w:val="1"/>
      <w:numFmt w:val="bullet"/>
      <w:lvlText w:val="▪"/>
      <w:lvlJc w:val="left"/>
      <w:pPr>
        <w:tabs>
          <w:tab w:val="num" w:pos="0"/>
        </w:tabs>
        <w:ind w:left="4680" w:hanging="360"/>
      </w:pPr>
      <w:rPr>
        <w:rFonts w:ascii="Noto Sans Symbols" w:hAnsi="Noto Sans Symbols" w:cs="Noto Sans Symbols" w:hint="default"/>
      </w:rPr>
    </w:lvl>
    <w:lvl w:ilvl="6">
      <w:start w:val="1"/>
      <w:numFmt w:val="bullet"/>
      <w:lvlText w:val="●"/>
      <w:lvlJc w:val="left"/>
      <w:pPr>
        <w:tabs>
          <w:tab w:val="num" w:pos="0"/>
        </w:tabs>
        <w:ind w:left="5400" w:hanging="360"/>
      </w:pPr>
      <w:rPr>
        <w:rFonts w:ascii="Noto Sans Symbols" w:hAnsi="Noto Sans Symbols" w:cs="Noto Sans Symbols" w:hint="default"/>
      </w:rPr>
    </w:lvl>
    <w:lvl w:ilvl="7">
      <w:start w:val="1"/>
      <w:numFmt w:val="bullet"/>
      <w:lvlText w:val="o"/>
      <w:lvlJc w:val="left"/>
      <w:pPr>
        <w:tabs>
          <w:tab w:val="num" w:pos="0"/>
        </w:tabs>
        <w:ind w:left="6120" w:hanging="360"/>
      </w:pPr>
      <w:rPr>
        <w:rFonts w:ascii="Courier New" w:hAnsi="Courier New" w:cs="Courier New" w:hint="default"/>
      </w:rPr>
    </w:lvl>
    <w:lvl w:ilvl="8">
      <w:start w:val="1"/>
      <w:numFmt w:val="bullet"/>
      <w:lvlText w:val="▪"/>
      <w:lvlJc w:val="left"/>
      <w:pPr>
        <w:tabs>
          <w:tab w:val="num" w:pos="0"/>
        </w:tabs>
        <w:ind w:left="6840" w:hanging="360"/>
      </w:pPr>
      <w:rPr>
        <w:rFonts w:ascii="Noto Sans Symbols" w:hAnsi="Noto Sans Symbols" w:cs="Noto Sans Symbols" w:hint="default"/>
      </w:rPr>
    </w:lvl>
  </w:abstractNum>
  <w:abstractNum w:abstractNumId="19">
    <w:lvl w:ilvl="0">
      <w:start w:val="1"/>
      <w:numFmt w:val="bullet"/>
      <w:lvlText w:val="▪"/>
      <w:lvlJc w:val="left"/>
      <w:pPr>
        <w:tabs>
          <w:tab w:val="num" w:pos="0"/>
        </w:tabs>
        <w:ind w:left="1080" w:hanging="360"/>
      </w:pPr>
      <w:rPr>
        <w:rFonts w:ascii="Noto Sans Symbols" w:hAnsi="Noto Sans Symbols" w:cs="Noto Sans Symbols" w:hint="default"/>
      </w:rPr>
    </w:lvl>
    <w:lvl w:ilvl="1">
      <w:start w:val="3"/>
      <w:numFmt w:val="bullet"/>
      <w:lvlText w:val="■"/>
      <w:lvlJc w:val="left"/>
      <w:pPr>
        <w:tabs>
          <w:tab w:val="num" w:pos="0"/>
        </w:tabs>
        <w:ind w:left="1800" w:hanging="360"/>
      </w:pPr>
      <w:rPr>
        <w:rFonts w:ascii="Noto Sans Symbols" w:hAnsi="Noto Sans Symbols" w:cs="Noto Sans Symbols" w:hint="default"/>
      </w:rPr>
    </w:lvl>
    <w:lvl w:ilvl="2">
      <w:start w:val="1"/>
      <w:numFmt w:val="bullet"/>
      <w:lvlText w:val="▪"/>
      <w:lvlJc w:val="left"/>
      <w:pPr>
        <w:tabs>
          <w:tab w:val="num" w:pos="0"/>
        </w:tabs>
        <w:ind w:left="2520" w:hanging="360"/>
      </w:pPr>
      <w:rPr>
        <w:rFonts w:ascii="Noto Sans Symbols" w:hAnsi="Noto Sans Symbols" w:cs="Noto Sans Symbols" w:hint="default"/>
      </w:rPr>
    </w:lvl>
    <w:lvl w:ilvl="3">
      <w:start w:val="1"/>
      <w:numFmt w:val="bullet"/>
      <w:lvlText w:val="●"/>
      <w:lvlJc w:val="left"/>
      <w:pPr>
        <w:tabs>
          <w:tab w:val="num" w:pos="0"/>
        </w:tabs>
        <w:ind w:left="3240" w:hanging="360"/>
      </w:pPr>
      <w:rPr>
        <w:rFonts w:ascii="Noto Sans Symbols" w:hAnsi="Noto Sans Symbols" w:cs="Noto Sans Symbols" w:hint="default"/>
      </w:rPr>
    </w:lvl>
    <w:lvl w:ilvl="4">
      <w:start w:val="1"/>
      <w:numFmt w:val="bullet"/>
      <w:lvlText w:val="o"/>
      <w:lvlJc w:val="left"/>
      <w:pPr>
        <w:tabs>
          <w:tab w:val="num" w:pos="0"/>
        </w:tabs>
        <w:ind w:left="3960" w:hanging="360"/>
      </w:pPr>
      <w:rPr>
        <w:rFonts w:ascii="Courier New" w:hAnsi="Courier New" w:cs="Courier New" w:hint="default"/>
      </w:rPr>
    </w:lvl>
    <w:lvl w:ilvl="5">
      <w:start w:val="1"/>
      <w:numFmt w:val="bullet"/>
      <w:lvlText w:val="▪"/>
      <w:lvlJc w:val="left"/>
      <w:pPr>
        <w:tabs>
          <w:tab w:val="num" w:pos="0"/>
        </w:tabs>
        <w:ind w:left="4680" w:hanging="360"/>
      </w:pPr>
      <w:rPr>
        <w:rFonts w:ascii="Noto Sans Symbols" w:hAnsi="Noto Sans Symbols" w:cs="Noto Sans Symbols" w:hint="default"/>
      </w:rPr>
    </w:lvl>
    <w:lvl w:ilvl="6">
      <w:start w:val="1"/>
      <w:numFmt w:val="bullet"/>
      <w:lvlText w:val="●"/>
      <w:lvlJc w:val="left"/>
      <w:pPr>
        <w:tabs>
          <w:tab w:val="num" w:pos="0"/>
        </w:tabs>
        <w:ind w:left="5400" w:hanging="360"/>
      </w:pPr>
      <w:rPr>
        <w:rFonts w:ascii="Noto Sans Symbols" w:hAnsi="Noto Sans Symbols" w:cs="Noto Sans Symbols" w:hint="default"/>
      </w:rPr>
    </w:lvl>
    <w:lvl w:ilvl="7">
      <w:start w:val="1"/>
      <w:numFmt w:val="bullet"/>
      <w:lvlText w:val="o"/>
      <w:lvlJc w:val="left"/>
      <w:pPr>
        <w:tabs>
          <w:tab w:val="num" w:pos="0"/>
        </w:tabs>
        <w:ind w:left="6120" w:hanging="360"/>
      </w:pPr>
      <w:rPr>
        <w:rFonts w:ascii="Courier New" w:hAnsi="Courier New" w:cs="Courier New" w:hint="default"/>
      </w:rPr>
    </w:lvl>
    <w:lvl w:ilvl="8">
      <w:start w:val="1"/>
      <w:numFmt w:val="bullet"/>
      <w:lvlText w:val="▪"/>
      <w:lvlJc w:val="left"/>
      <w:pPr>
        <w:tabs>
          <w:tab w:val="num" w:pos="0"/>
        </w:tabs>
        <w:ind w:left="6840" w:hanging="360"/>
      </w:pPr>
      <w:rPr>
        <w:rFonts w:ascii="Noto Sans Symbols" w:hAnsi="Noto Sans Symbols" w:cs="Noto Sans Symbols" w:hint="default"/>
      </w:rPr>
    </w:lvl>
  </w:abstractNum>
  <w:abstractNum w:abstractNumId="20">
    <w:lvl w:ilvl="0">
      <w:numFmt w:val="bullet"/>
      <w:lvlText w:val="-"/>
      <w:lvlJc w:val="left"/>
      <w:pPr>
        <w:tabs>
          <w:tab w:val="num" w:pos="0"/>
        </w:tabs>
        <w:ind w:left="1429" w:hanging="360"/>
      </w:pPr>
      <w:rPr>
        <w:rFonts w:ascii="Times New Roman" w:hAnsi="Times New Roman" w:cs="Times New Roman" w:hint="default"/>
      </w:rPr>
    </w:lvl>
    <w:lvl w:ilvl="1">
      <w:start w:val="0"/>
      <w:numFmt w:val="bullet"/>
      <w:lvlText w:val="-"/>
      <w:lvlJc w:val="left"/>
      <w:pPr>
        <w:tabs>
          <w:tab w:val="num" w:pos="0"/>
        </w:tabs>
        <w:ind w:left="2149" w:hanging="360"/>
      </w:pPr>
      <w:rPr>
        <w:rFonts w:ascii="Times New Roman" w:hAnsi="Times New Roman" w:cs="Times New Roman" w:hint="default"/>
      </w:rPr>
    </w:lvl>
    <w:lvl w:ilvl="2">
      <w:start w:val="1"/>
      <w:numFmt w:val="bullet"/>
      <w:lvlText w:val="▪"/>
      <w:lvlJc w:val="left"/>
      <w:pPr>
        <w:tabs>
          <w:tab w:val="num" w:pos="0"/>
        </w:tabs>
        <w:ind w:left="2869" w:hanging="360"/>
      </w:pPr>
      <w:rPr>
        <w:rFonts w:ascii="Noto Sans Symbols" w:hAnsi="Noto Sans Symbols" w:cs="Noto Sans Symbols" w:hint="default"/>
      </w:rPr>
    </w:lvl>
    <w:lvl w:ilvl="3">
      <w:start w:val="1"/>
      <w:numFmt w:val="bullet"/>
      <w:lvlText w:val="●"/>
      <w:lvlJc w:val="left"/>
      <w:pPr>
        <w:tabs>
          <w:tab w:val="num" w:pos="0"/>
        </w:tabs>
        <w:ind w:left="3589" w:hanging="360"/>
      </w:pPr>
      <w:rPr>
        <w:rFonts w:ascii="Noto Sans Symbols" w:hAnsi="Noto Sans Symbols" w:cs="Noto Sans Symbols" w:hint="default"/>
      </w:rPr>
    </w:lvl>
    <w:lvl w:ilvl="4">
      <w:start w:val="1"/>
      <w:numFmt w:val="bullet"/>
      <w:lvlText w:val="o"/>
      <w:lvlJc w:val="left"/>
      <w:pPr>
        <w:tabs>
          <w:tab w:val="num" w:pos="0"/>
        </w:tabs>
        <w:ind w:left="4309" w:hanging="360"/>
      </w:pPr>
      <w:rPr>
        <w:rFonts w:ascii="Courier New" w:hAnsi="Courier New" w:cs="Courier New" w:hint="default"/>
      </w:rPr>
    </w:lvl>
    <w:lvl w:ilvl="5">
      <w:start w:val="1"/>
      <w:numFmt w:val="bullet"/>
      <w:lvlText w:val="▪"/>
      <w:lvlJc w:val="left"/>
      <w:pPr>
        <w:tabs>
          <w:tab w:val="num" w:pos="0"/>
        </w:tabs>
        <w:ind w:left="5029" w:hanging="360"/>
      </w:pPr>
      <w:rPr>
        <w:rFonts w:ascii="Noto Sans Symbols" w:hAnsi="Noto Sans Symbols" w:cs="Noto Sans Symbols" w:hint="default"/>
      </w:rPr>
    </w:lvl>
    <w:lvl w:ilvl="6">
      <w:start w:val="1"/>
      <w:numFmt w:val="bullet"/>
      <w:lvlText w:val="●"/>
      <w:lvlJc w:val="left"/>
      <w:pPr>
        <w:tabs>
          <w:tab w:val="num" w:pos="0"/>
        </w:tabs>
        <w:ind w:left="5749" w:hanging="360"/>
      </w:pPr>
      <w:rPr>
        <w:rFonts w:ascii="Noto Sans Symbols" w:hAnsi="Noto Sans Symbols" w:cs="Noto Sans Symbols" w:hint="default"/>
      </w:rPr>
    </w:lvl>
    <w:lvl w:ilvl="7">
      <w:start w:val="1"/>
      <w:numFmt w:val="bullet"/>
      <w:lvlText w:val="o"/>
      <w:lvlJc w:val="left"/>
      <w:pPr>
        <w:tabs>
          <w:tab w:val="num" w:pos="0"/>
        </w:tabs>
        <w:ind w:left="6469" w:hanging="360"/>
      </w:pPr>
      <w:rPr>
        <w:rFonts w:ascii="Courier New" w:hAnsi="Courier New" w:cs="Courier New" w:hint="default"/>
      </w:rPr>
    </w:lvl>
    <w:lvl w:ilvl="8">
      <w:start w:val="1"/>
      <w:numFmt w:val="bullet"/>
      <w:lvlText w:val="▪"/>
      <w:lvlJc w:val="left"/>
      <w:pPr>
        <w:tabs>
          <w:tab w:val="num" w:pos="0"/>
        </w:tabs>
        <w:ind w:left="7189" w:hanging="360"/>
      </w:pPr>
      <w:rPr>
        <w:rFonts w:ascii="Noto Sans Symbols" w:hAnsi="Noto Sans Symbols" w:cs="Noto Sans Symbols" w:hint="default"/>
      </w:rPr>
    </w:lvl>
  </w:abstractNum>
  <w:abstractNum w:abstractNumId="21">
    <w:lvl w:ilvl="0">
      <w:numFmt w:val="bullet"/>
      <w:lvlText w:val="-"/>
      <w:lvlJc w:val="left"/>
      <w:pPr>
        <w:tabs>
          <w:tab w:val="num" w:pos="0"/>
        </w:tabs>
        <w:ind w:left="1429" w:hanging="360"/>
      </w:pPr>
      <w:rPr>
        <w:rFonts w:ascii="Times New Roman" w:hAnsi="Times New Roman" w:cs="Times New Roman" w:hint="default"/>
      </w:rPr>
    </w:lvl>
    <w:lvl w:ilvl="1">
      <w:start w:val="1"/>
      <w:numFmt w:val="bullet"/>
      <w:lvlText w:val="o"/>
      <w:lvlJc w:val="left"/>
      <w:pPr>
        <w:tabs>
          <w:tab w:val="num" w:pos="0"/>
        </w:tabs>
        <w:ind w:left="2149" w:hanging="360"/>
      </w:pPr>
      <w:rPr>
        <w:rFonts w:ascii="Courier New" w:hAnsi="Courier New" w:cs="Courier New" w:hint="default"/>
      </w:rPr>
    </w:lvl>
    <w:lvl w:ilvl="2">
      <w:start w:val="1"/>
      <w:numFmt w:val="bullet"/>
      <w:lvlText w:val="▪"/>
      <w:lvlJc w:val="left"/>
      <w:pPr>
        <w:tabs>
          <w:tab w:val="num" w:pos="0"/>
        </w:tabs>
        <w:ind w:left="2869" w:hanging="360"/>
      </w:pPr>
      <w:rPr>
        <w:rFonts w:ascii="Noto Sans Symbols" w:hAnsi="Noto Sans Symbols" w:cs="Noto Sans Symbols" w:hint="default"/>
      </w:rPr>
    </w:lvl>
    <w:lvl w:ilvl="3">
      <w:start w:val="1"/>
      <w:numFmt w:val="bullet"/>
      <w:lvlText w:val="●"/>
      <w:lvlJc w:val="left"/>
      <w:pPr>
        <w:tabs>
          <w:tab w:val="num" w:pos="0"/>
        </w:tabs>
        <w:ind w:left="3589" w:hanging="360"/>
      </w:pPr>
      <w:rPr>
        <w:rFonts w:ascii="Noto Sans Symbols" w:hAnsi="Noto Sans Symbols" w:cs="Noto Sans Symbols" w:hint="default"/>
      </w:rPr>
    </w:lvl>
    <w:lvl w:ilvl="4">
      <w:start w:val="1"/>
      <w:numFmt w:val="bullet"/>
      <w:lvlText w:val="o"/>
      <w:lvlJc w:val="left"/>
      <w:pPr>
        <w:tabs>
          <w:tab w:val="num" w:pos="0"/>
        </w:tabs>
        <w:ind w:left="4309" w:hanging="360"/>
      </w:pPr>
      <w:rPr>
        <w:rFonts w:ascii="Courier New" w:hAnsi="Courier New" w:cs="Courier New" w:hint="default"/>
      </w:rPr>
    </w:lvl>
    <w:lvl w:ilvl="5">
      <w:start w:val="1"/>
      <w:numFmt w:val="bullet"/>
      <w:lvlText w:val="▪"/>
      <w:lvlJc w:val="left"/>
      <w:pPr>
        <w:tabs>
          <w:tab w:val="num" w:pos="0"/>
        </w:tabs>
        <w:ind w:left="5029" w:hanging="360"/>
      </w:pPr>
      <w:rPr>
        <w:rFonts w:ascii="Noto Sans Symbols" w:hAnsi="Noto Sans Symbols" w:cs="Noto Sans Symbols" w:hint="default"/>
      </w:rPr>
    </w:lvl>
    <w:lvl w:ilvl="6">
      <w:start w:val="1"/>
      <w:numFmt w:val="bullet"/>
      <w:lvlText w:val="●"/>
      <w:lvlJc w:val="left"/>
      <w:pPr>
        <w:tabs>
          <w:tab w:val="num" w:pos="0"/>
        </w:tabs>
        <w:ind w:left="5749" w:hanging="360"/>
      </w:pPr>
      <w:rPr>
        <w:rFonts w:ascii="Noto Sans Symbols" w:hAnsi="Noto Sans Symbols" w:cs="Noto Sans Symbols" w:hint="default"/>
      </w:rPr>
    </w:lvl>
    <w:lvl w:ilvl="7">
      <w:start w:val="1"/>
      <w:numFmt w:val="bullet"/>
      <w:lvlText w:val="o"/>
      <w:lvlJc w:val="left"/>
      <w:pPr>
        <w:tabs>
          <w:tab w:val="num" w:pos="0"/>
        </w:tabs>
        <w:ind w:left="6469" w:hanging="360"/>
      </w:pPr>
      <w:rPr>
        <w:rFonts w:ascii="Courier New" w:hAnsi="Courier New" w:cs="Courier New" w:hint="default"/>
      </w:rPr>
    </w:lvl>
    <w:lvl w:ilvl="8">
      <w:start w:val="1"/>
      <w:numFmt w:val="bullet"/>
      <w:lvlText w:val="▪"/>
      <w:lvlJc w:val="left"/>
      <w:pPr>
        <w:tabs>
          <w:tab w:val="num" w:pos="0"/>
        </w:tabs>
        <w:ind w:left="7189" w:hanging="360"/>
      </w:pPr>
      <w:rPr>
        <w:rFonts w:ascii="Noto Sans Symbols" w:hAnsi="Noto Sans Symbols" w:cs="Noto Sans Symbols" w:hint="default"/>
      </w:rPr>
    </w:lvl>
  </w:abstractNum>
  <w:abstractNum w:abstractNumId="22">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23">
    <w:lvl w:ilvl="0">
      <w:start w:val="1"/>
      <w:numFmt w:val="decimal"/>
      <w:lvlText w:val="%1."/>
      <w:lvlJc w:val="left"/>
      <w:pPr>
        <w:tabs>
          <w:tab w:val="num" w:pos="0"/>
        </w:tabs>
        <w:ind w:left="720" w:hanging="360"/>
      </w:pPr>
      <w:rPr/>
    </w:lvl>
    <w:lvl w:ilvl="1">
      <w:start w:val="1"/>
      <w:numFmt w:val="decimal"/>
      <w:lvlText w:val="%2."/>
      <w:lvlJc w:val="left"/>
      <w:pPr>
        <w:tabs>
          <w:tab w:val="num" w:pos="0"/>
        </w:tabs>
        <w:ind w:left="1080" w:hanging="360"/>
      </w:pPr>
      <w:rPr/>
    </w:lvl>
    <w:lvl w:ilvl="2">
      <w:start w:val="1"/>
      <w:numFmt w:val="decimal"/>
      <w:lvlText w:val="%3."/>
      <w:lvlJc w:val="left"/>
      <w:pPr>
        <w:tabs>
          <w:tab w:val="num" w:pos="0"/>
        </w:tabs>
        <w:ind w:left="1440" w:hanging="360"/>
      </w:pPr>
      <w:rPr/>
    </w:lvl>
    <w:lvl w:ilvl="3">
      <w:start w:val="1"/>
      <w:numFmt w:val="decimal"/>
      <w:lvlText w:val="%4."/>
      <w:lvlJc w:val="left"/>
      <w:pPr>
        <w:tabs>
          <w:tab w:val="num" w:pos="0"/>
        </w:tabs>
        <w:ind w:left="1800" w:hanging="360"/>
      </w:pPr>
      <w:rPr/>
    </w:lvl>
    <w:lvl w:ilvl="4">
      <w:start w:val="1"/>
      <w:numFmt w:val="decimal"/>
      <w:lvlText w:val="%5."/>
      <w:lvlJc w:val="left"/>
      <w:pPr>
        <w:tabs>
          <w:tab w:val="num" w:pos="0"/>
        </w:tabs>
        <w:ind w:left="2160" w:hanging="360"/>
      </w:pPr>
      <w:rPr/>
    </w:lvl>
    <w:lvl w:ilvl="5">
      <w:start w:val="1"/>
      <w:numFmt w:val="decimal"/>
      <w:lvlText w:val="%6."/>
      <w:lvlJc w:val="left"/>
      <w:pPr>
        <w:tabs>
          <w:tab w:val="num" w:pos="0"/>
        </w:tabs>
        <w:ind w:left="2520" w:hanging="360"/>
      </w:pPr>
      <w:rPr/>
    </w:lvl>
    <w:lvl w:ilvl="6">
      <w:start w:val="1"/>
      <w:numFmt w:val="decimal"/>
      <w:lvlText w:val="%7."/>
      <w:lvlJc w:val="left"/>
      <w:pPr>
        <w:tabs>
          <w:tab w:val="num" w:pos="0"/>
        </w:tabs>
        <w:ind w:left="2880" w:hanging="360"/>
      </w:pPr>
      <w:rPr/>
    </w:lvl>
    <w:lvl w:ilvl="7">
      <w:start w:val="1"/>
      <w:numFmt w:val="decimal"/>
      <w:lvlText w:val="%8."/>
      <w:lvlJc w:val="left"/>
      <w:pPr>
        <w:tabs>
          <w:tab w:val="num" w:pos="0"/>
        </w:tabs>
        <w:ind w:left="3240" w:hanging="360"/>
      </w:pPr>
      <w:rPr/>
    </w:lvl>
    <w:lvl w:ilvl="8">
      <w:start w:val="1"/>
      <w:numFmt w:val="decimal"/>
      <w:lvlText w:val="%9."/>
      <w:lvlJc w:val="left"/>
      <w:pPr>
        <w:tabs>
          <w:tab w:val="num" w:pos="0"/>
        </w:tabs>
        <w:ind w:left="3600" w:hanging="360"/>
      </w:pPr>
      <w:rPr/>
    </w:lvl>
  </w:abstractNum>
  <w:abstractNum w:abstractNumId="24">
    <w:lvl w:ilvl="0">
      <w:start w:val="1"/>
      <w:numFmt w:val="decimal"/>
      <w:lvlText w:val="%1."/>
      <w:lvlJc w:val="left"/>
      <w:pPr>
        <w:tabs>
          <w:tab w:val="num" w:pos="0"/>
        </w:tabs>
        <w:ind w:left="720" w:hanging="360"/>
      </w:pPr>
      <w:rPr/>
    </w:lvl>
    <w:lvl w:ilvl="1">
      <w:start w:val="1"/>
      <w:numFmt w:val="decimal"/>
      <w:lvlText w:val="%1.%2"/>
      <w:lvlJc w:val="left"/>
      <w:pPr>
        <w:tabs>
          <w:tab w:val="num" w:pos="0"/>
        </w:tabs>
        <w:ind w:left="720" w:hanging="360"/>
      </w:pPr>
      <w:rPr/>
    </w:lvl>
    <w:lvl w:ilvl="2">
      <w:start w:val="1"/>
      <w:numFmt w:val="decimal"/>
      <w:lvlText w:val="%1.%2.%3"/>
      <w:lvlJc w:val="left"/>
      <w:pPr>
        <w:tabs>
          <w:tab w:val="num" w:pos="0"/>
        </w:tabs>
        <w:ind w:left="1080" w:hanging="720"/>
      </w:pPr>
      <w:rPr/>
    </w:lvl>
    <w:lvl w:ilvl="3">
      <w:start w:val="1"/>
      <w:numFmt w:val="decimal"/>
      <w:lvlText w:val="%1.%2.%3.%4"/>
      <w:lvlJc w:val="left"/>
      <w:pPr>
        <w:tabs>
          <w:tab w:val="num" w:pos="0"/>
        </w:tabs>
        <w:ind w:left="1080" w:hanging="720"/>
      </w:pPr>
      <w:rPr/>
    </w:lvl>
    <w:lvl w:ilvl="4">
      <w:start w:val="1"/>
      <w:numFmt w:val="decimal"/>
      <w:lvlText w:val="%1.%2.%3.%4.%5"/>
      <w:lvlJc w:val="left"/>
      <w:pPr>
        <w:tabs>
          <w:tab w:val="num" w:pos="0"/>
        </w:tabs>
        <w:ind w:left="1440" w:hanging="1080"/>
      </w:pPr>
      <w:rPr/>
    </w:lvl>
    <w:lvl w:ilvl="5">
      <w:start w:val="1"/>
      <w:numFmt w:val="decimal"/>
      <w:lvlText w:val="%1.%2.%3.%4.%5.%6"/>
      <w:lvlJc w:val="left"/>
      <w:pPr>
        <w:tabs>
          <w:tab w:val="num" w:pos="0"/>
        </w:tabs>
        <w:ind w:left="1440" w:hanging="1080"/>
      </w:pPr>
      <w:rPr/>
    </w:lvl>
    <w:lvl w:ilvl="6">
      <w:start w:val="1"/>
      <w:numFmt w:val="decimal"/>
      <w:lvlText w:val="%1.%2.%3.%4.%5.%6.%7"/>
      <w:lvlJc w:val="left"/>
      <w:pPr>
        <w:tabs>
          <w:tab w:val="num" w:pos="0"/>
        </w:tabs>
        <w:ind w:left="1800" w:hanging="1440"/>
      </w:pPr>
      <w:rPr/>
    </w:lvl>
    <w:lvl w:ilvl="7">
      <w:start w:val="1"/>
      <w:numFmt w:val="decimal"/>
      <w:lvlText w:val="%1.%2.%3.%4.%5.%6.%7.%8"/>
      <w:lvlJc w:val="left"/>
      <w:pPr>
        <w:tabs>
          <w:tab w:val="num" w:pos="0"/>
        </w:tabs>
        <w:ind w:left="1800" w:hanging="1440"/>
      </w:pPr>
      <w:rPr/>
    </w:lvl>
    <w:lvl w:ilvl="8">
      <w:start w:val="1"/>
      <w:numFmt w:val="decimal"/>
      <w:lvlText w:val="%1.%2.%3.%4.%5.%6.%7.%8.%9"/>
      <w:lvlJc w:val="left"/>
      <w:pPr>
        <w:tabs>
          <w:tab w:val="num" w:pos="0"/>
        </w:tabs>
        <w:ind w:left="1800" w:hanging="1440"/>
      </w:pPr>
      <w:rPr/>
    </w:lvl>
  </w:abstractNum>
  <w:abstractNum w:abstractNumId="25">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26">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27">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28">
    <w:lvl w:ilvl="0">
      <w:start w:val="1"/>
      <w:numFmt w:val="bullet"/>
      <w:lvlText w:val="▪"/>
      <w:lvlJc w:val="left"/>
      <w:pPr>
        <w:tabs>
          <w:tab w:val="num" w:pos="0"/>
        </w:tabs>
        <w:ind w:left="900" w:hanging="360"/>
      </w:pPr>
      <w:rPr>
        <w:rFonts w:ascii="Noto Sans Symbols" w:hAnsi="Noto Sans Symbols" w:cs="Noto Sans Symbols" w:hint="default"/>
      </w:rPr>
    </w:lvl>
    <w:lvl w:ilvl="1">
      <w:start w:val="1"/>
      <w:numFmt w:val="bullet"/>
      <w:lvlText w:val="o"/>
      <w:lvlJc w:val="left"/>
      <w:pPr>
        <w:tabs>
          <w:tab w:val="num" w:pos="0"/>
        </w:tabs>
        <w:ind w:left="1620" w:hanging="360"/>
      </w:pPr>
      <w:rPr>
        <w:rFonts w:ascii="Courier New" w:hAnsi="Courier New" w:cs="Courier New" w:hint="default"/>
      </w:rPr>
    </w:lvl>
    <w:lvl w:ilvl="2">
      <w:start w:val="1"/>
      <w:numFmt w:val="bullet"/>
      <w:lvlText w:val="▪"/>
      <w:lvlJc w:val="left"/>
      <w:pPr>
        <w:tabs>
          <w:tab w:val="num" w:pos="0"/>
        </w:tabs>
        <w:ind w:left="2340" w:hanging="360"/>
      </w:pPr>
      <w:rPr>
        <w:rFonts w:ascii="Noto Sans Symbols" w:hAnsi="Noto Sans Symbols" w:cs="Noto Sans Symbols" w:hint="default"/>
      </w:rPr>
    </w:lvl>
    <w:lvl w:ilvl="3">
      <w:start w:val="1"/>
      <w:numFmt w:val="bullet"/>
      <w:lvlText w:val="●"/>
      <w:lvlJc w:val="left"/>
      <w:pPr>
        <w:tabs>
          <w:tab w:val="num" w:pos="0"/>
        </w:tabs>
        <w:ind w:left="3060" w:hanging="360"/>
      </w:pPr>
      <w:rPr>
        <w:rFonts w:ascii="Noto Sans Symbols" w:hAnsi="Noto Sans Symbols" w:cs="Noto Sans Symbols" w:hint="default"/>
      </w:rPr>
    </w:lvl>
    <w:lvl w:ilvl="4">
      <w:start w:val="1"/>
      <w:numFmt w:val="bullet"/>
      <w:lvlText w:val="o"/>
      <w:lvlJc w:val="left"/>
      <w:pPr>
        <w:tabs>
          <w:tab w:val="num" w:pos="0"/>
        </w:tabs>
        <w:ind w:left="3780" w:hanging="360"/>
      </w:pPr>
      <w:rPr>
        <w:rFonts w:ascii="Courier New" w:hAnsi="Courier New" w:cs="Courier New" w:hint="default"/>
      </w:rPr>
    </w:lvl>
    <w:lvl w:ilvl="5">
      <w:start w:val="1"/>
      <w:numFmt w:val="bullet"/>
      <w:lvlText w:val="▪"/>
      <w:lvlJc w:val="left"/>
      <w:pPr>
        <w:tabs>
          <w:tab w:val="num" w:pos="0"/>
        </w:tabs>
        <w:ind w:left="4500" w:hanging="360"/>
      </w:pPr>
      <w:rPr>
        <w:rFonts w:ascii="Noto Sans Symbols" w:hAnsi="Noto Sans Symbols" w:cs="Noto Sans Symbols" w:hint="default"/>
      </w:rPr>
    </w:lvl>
    <w:lvl w:ilvl="6">
      <w:start w:val="1"/>
      <w:numFmt w:val="bullet"/>
      <w:lvlText w:val="●"/>
      <w:lvlJc w:val="left"/>
      <w:pPr>
        <w:tabs>
          <w:tab w:val="num" w:pos="0"/>
        </w:tabs>
        <w:ind w:left="5220" w:hanging="360"/>
      </w:pPr>
      <w:rPr>
        <w:rFonts w:ascii="Noto Sans Symbols" w:hAnsi="Noto Sans Symbols" w:cs="Noto Sans Symbols" w:hint="default"/>
      </w:rPr>
    </w:lvl>
    <w:lvl w:ilvl="7">
      <w:start w:val="1"/>
      <w:numFmt w:val="bullet"/>
      <w:lvlText w:val="o"/>
      <w:lvlJc w:val="left"/>
      <w:pPr>
        <w:tabs>
          <w:tab w:val="num" w:pos="0"/>
        </w:tabs>
        <w:ind w:left="5940" w:hanging="360"/>
      </w:pPr>
      <w:rPr>
        <w:rFonts w:ascii="Courier New" w:hAnsi="Courier New" w:cs="Courier New" w:hint="default"/>
      </w:rPr>
    </w:lvl>
    <w:lvl w:ilvl="8">
      <w:start w:val="1"/>
      <w:numFmt w:val="bullet"/>
      <w:lvlText w:val="▪"/>
      <w:lvlJc w:val="left"/>
      <w:pPr>
        <w:tabs>
          <w:tab w:val="num" w:pos="0"/>
        </w:tabs>
        <w:ind w:left="6660" w:hanging="360"/>
      </w:pPr>
      <w:rPr>
        <w:rFonts w:ascii="Noto Sans Symbols" w:hAnsi="Noto Sans Symbols" w:cs="Noto Sans Symbols" w:hint="default"/>
      </w:rPr>
    </w:lvl>
  </w:abstractNum>
  <w:abstractNum w:abstractNumId="29">
    <w:lvl w:ilvl="0">
      <w:start w:val="1"/>
      <w:numFmt w:val="bullet"/>
      <w:lvlText w:val="▪"/>
      <w:lvlJc w:val="left"/>
      <w:pPr>
        <w:tabs>
          <w:tab w:val="num" w:pos="0"/>
        </w:tabs>
        <w:ind w:left="900" w:hanging="360"/>
      </w:pPr>
      <w:rPr>
        <w:rFonts w:ascii="Noto Sans Symbols" w:hAnsi="Noto Sans Symbols" w:cs="Noto Sans Symbols" w:hint="default"/>
      </w:rPr>
    </w:lvl>
    <w:lvl w:ilvl="1">
      <w:start w:val="1"/>
      <w:numFmt w:val="bullet"/>
      <w:lvlText w:val="o"/>
      <w:lvlJc w:val="left"/>
      <w:pPr>
        <w:tabs>
          <w:tab w:val="num" w:pos="0"/>
        </w:tabs>
        <w:ind w:left="1620" w:hanging="360"/>
      </w:pPr>
      <w:rPr>
        <w:rFonts w:ascii="Courier New" w:hAnsi="Courier New" w:cs="Courier New" w:hint="default"/>
      </w:rPr>
    </w:lvl>
    <w:lvl w:ilvl="2">
      <w:start w:val="1"/>
      <w:numFmt w:val="bullet"/>
      <w:lvlText w:val="▪"/>
      <w:lvlJc w:val="left"/>
      <w:pPr>
        <w:tabs>
          <w:tab w:val="num" w:pos="0"/>
        </w:tabs>
        <w:ind w:left="2340" w:hanging="360"/>
      </w:pPr>
      <w:rPr>
        <w:rFonts w:ascii="Noto Sans Symbols" w:hAnsi="Noto Sans Symbols" w:cs="Noto Sans Symbols" w:hint="default"/>
      </w:rPr>
    </w:lvl>
    <w:lvl w:ilvl="3">
      <w:start w:val="1"/>
      <w:numFmt w:val="bullet"/>
      <w:lvlText w:val="●"/>
      <w:lvlJc w:val="left"/>
      <w:pPr>
        <w:tabs>
          <w:tab w:val="num" w:pos="0"/>
        </w:tabs>
        <w:ind w:left="3060" w:hanging="360"/>
      </w:pPr>
      <w:rPr>
        <w:rFonts w:ascii="Noto Sans Symbols" w:hAnsi="Noto Sans Symbols" w:cs="Noto Sans Symbols" w:hint="default"/>
      </w:rPr>
    </w:lvl>
    <w:lvl w:ilvl="4">
      <w:start w:val="1"/>
      <w:numFmt w:val="bullet"/>
      <w:lvlText w:val="o"/>
      <w:lvlJc w:val="left"/>
      <w:pPr>
        <w:tabs>
          <w:tab w:val="num" w:pos="0"/>
        </w:tabs>
        <w:ind w:left="3780" w:hanging="360"/>
      </w:pPr>
      <w:rPr>
        <w:rFonts w:ascii="Courier New" w:hAnsi="Courier New" w:cs="Courier New" w:hint="default"/>
      </w:rPr>
    </w:lvl>
    <w:lvl w:ilvl="5">
      <w:start w:val="1"/>
      <w:numFmt w:val="bullet"/>
      <w:lvlText w:val="▪"/>
      <w:lvlJc w:val="left"/>
      <w:pPr>
        <w:tabs>
          <w:tab w:val="num" w:pos="0"/>
        </w:tabs>
        <w:ind w:left="4500" w:hanging="360"/>
      </w:pPr>
      <w:rPr>
        <w:rFonts w:ascii="Noto Sans Symbols" w:hAnsi="Noto Sans Symbols" w:cs="Noto Sans Symbols" w:hint="default"/>
      </w:rPr>
    </w:lvl>
    <w:lvl w:ilvl="6">
      <w:start w:val="1"/>
      <w:numFmt w:val="bullet"/>
      <w:lvlText w:val="●"/>
      <w:lvlJc w:val="left"/>
      <w:pPr>
        <w:tabs>
          <w:tab w:val="num" w:pos="0"/>
        </w:tabs>
        <w:ind w:left="5220" w:hanging="360"/>
      </w:pPr>
      <w:rPr>
        <w:rFonts w:ascii="Noto Sans Symbols" w:hAnsi="Noto Sans Symbols" w:cs="Noto Sans Symbols" w:hint="default"/>
      </w:rPr>
    </w:lvl>
    <w:lvl w:ilvl="7">
      <w:start w:val="1"/>
      <w:numFmt w:val="bullet"/>
      <w:lvlText w:val="o"/>
      <w:lvlJc w:val="left"/>
      <w:pPr>
        <w:tabs>
          <w:tab w:val="num" w:pos="0"/>
        </w:tabs>
        <w:ind w:left="5940" w:hanging="360"/>
      </w:pPr>
      <w:rPr>
        <w:rFonts w:ascii="Courier New" w:hAnsi="Courier New" w:cs="Courier New" w:hint="default"/>
      </w:rPr>
    </w:lvl>
    <w:lvl w:ilvl="8">
      <w:start w:val="1"/>
      <w:numFmt w:val="bullet"/>
      <w:lvlText w:val="▪"/>
      <w:lvlJc w:val="left"/>
      <w:pPr>
        <w:tabs>
          <w:tab w:val="num" w:pos="0"/>
        </w:tabs>
        <w:ind w:left="6660" w:hanging="360"/>
      </w:pPr>
      <w:rPr>
        <w:rFonts w:ascii="Noto Sans Symbols" w:hAnsi="Noto Sans Symbols" w:cs="Noto Sans Symbols" w:hint="default"/>
      </w:rPr>
    </w:lvl>
  </w:abstractNum>
  <w:abstractNum w:abstractNumId="30">
    <w:lvl w:ilvl="0">
      <w:start w:val="1"/>
      <w:numFmt w:val="decimal"/>
      <w:lvlText w:val="%1."/>
      <w:lvlJc w:val="left"/>
      <w:pPr>
        <w:tabs>
          <w:tab w:val="num" w:pos="0"/>
        </w:tabs>
        <w:ind w:left="720" w:hanging="360"/>
      </w:pPr>
      <w:rPr/>
    </w:lvl>
    <w:lvl w:ilvl="1">
      <w:start w:val="1"/>
      <w:numFmt w:val="decimal"/>
      <w:lvlText w:val="%2."/>
      <w:lvlJc w:val="left"/>
      <w:pPr>
        <w:tabs>
          <w:tab w:val="num" w:pos="0"/>
        </w:tabs>
        <w:ind w:left="1080" w:hanging="360"/>
      </w:pPr>
      <w:rPr/>
    </w:lvl>
    <w:lvl w:ilvl="2">
      <w:start w:val="1"/>
      <w:numFmt w:val="decimal"/>
      <w:lvlText w:val="%3."/>
      <w:lvlJc w:val="left"/>
      <w:pPr>
        <w:tabs>
          <w:tab w:val="num" w:pos="0"/>
        </w:tabs>
        <w:ind w:left="1440" w:hanging="360"/>
      </w:pPr>
      <w:rPr/>
    </w:lvl>
    <w:lvl w:ilvl="3">
      <w:start w:val="1"/>
      <w:numFmt w:val="decimal"/>
      <w:lvlText w:val="%4."/>
      <w:lvlJc w:val="left"/>
      <w:pPr>
        <w:tabs>
          <w:tab w:val="num" w:pos="0"/>
        </w:tabs>
        <w:ind w:left="1800" w:hanging="360"/>
      </w:pPr>
      <w:rPr/>
    </w:lvl>
    <w:lvl w:ilvl="4">
      <w:start w:val="1"/>
      <w:numFmt w:val="decimal"/>
      <w:lvlText w:val="%5."/>
      <w:lvlJc w:val="left"/>
      <w:pPr>
        <w:tabs>
          <w:tab w:val="num" w:pos="0"/>
        </w:tabs>
        <w:ind w:left="2160" w:hanging="360"/>
      </w:pPr>
      <w:rPr/>
    </w:lvl>
    <w:lvl w:ilvl="5">
      <w:start w:val="1"/>
      <w:numFmt w:val="decimal"/>
      <w:lvlText w:val="%6."/>
      <w:lvlJc w:val="left"/>
      <w:pPr>
        <w:tabs>
          <w:tab w:val="num" w:pos="0"/>
        </w:tabs>
        <w:ind w:left="2520" w:hanging="360"/>
      </w:pPr>
      <w:rPr/>
    </w:lvl>
    <w:lvl w:ilvl="6">
      <w:start w:val="1"/>
      <w:numFmt w:val="decimal"/>
      <w:lvlText w:val="%7."/>
      <w:lvlJc w:val="left"/>
      <w:pPr>
        <w:tabs>
          <w:tab w:val="num" w:pos="0"/>
        </w:tabs>
        <w:ind w:left="2880" w:hanging="360"/>
      </w:pPr>
      <w:rPr/>
    </w:lvl>
    <w:lvl w:ilvl="7">
      <w:start w:val="1"/>
      <w:numFmt w:val="decimal"/>
      <w:lvlText w:val="%8."/>
      <w:lvlJc w:val="left"/>
      <w:pPr>
        <w:tabs>
          <w:tab w:val="num" w:pos="0"/>
        </w:tabs>
        <w:ind w:left="3240" w:hanging="360"/>
      </w:pPr>
      <w:rPr/>
    </w:lvl>
    <w:lvl w:ilvl="8">
      <w:start w:val="1"/>
      <w:numFmt w:val="decimal"/>
      <w:lvlText w:val="%9."/>
      <w:lvlJc w:val="left"/>
      <w:pPr>
        <w:tabs>
          <w:tab w:val="num" w:pos="0"/>
        </w:tabs>
        <w:ind w:left="3600" w:hanging="360"/>
      </w:pPr>
      <w:rPr/>
    </w:lvl>
  </w:abstractNum>
  <w:abstractNum w:abstractNumId="31">
    <w:lvl w:ilvl="0">
      <w:start w:val="1"/>
      <w:numFmt w:val="bullet"/>
      <w:lvlText w:val="▪"/>
      <w:lvlJc w:val="left"/>
      <w:pPr>
        <w:tabs>
          <w:tab w:val="num" w:pos="0"/>
        </w:tabs>
        <w:ind w:left="900" w:hanging="360"/>
      </w:pPr>
      <w:rPr>
        <w:rFonts w:ascii="Noto Sans Symbols" w:hAnsi="Noto Sans Symbols" w:cs="Noto Sans Symbols" w:hint="default"/>
      </w:rPr>
    </w:lvl>
    <w:lvl w:ilvl="1">
      <w:start w:val="1"/>
      <w:numFmt w:val="bullet"/>
      <w:lvlText w:val="o"/>
      <w:lvlJc w:val="left"/>
      <w:pPr>
        <w:tabs>
          <w:tab w:val="num" w:pos="0"/>
        </w:tabs>
        <w:ind w:left="1620" w:hanging="360"/>
      </w:pPr>
      <w:rPr>
        <w:rFonts w:ascii="Courier New" w:hAnsi="Courier New" w:cs="Courier New" w:hint="default"/>
      </w:rPr>
    </w:lvl>
    <w:lvl w:ilvl="2">
      <w:start w:val="1"/>
      <w:numFmt w:val="bullet"/>
      <w:lvlText w:val="▪"/>
      <w:lvlJc w:val="left"/>
      <w:pPr>
        <w:tabs>
          <w:tab w:val="num" w:pos="0"/>
        </w:tabs>
        <w:ind w:left="2340" w:hanging="360"/>
      </w:pPr>
      <w:rPr>
        <w:rFonts w:ascii="Noto Sans Symbols" w:hAnsi="Noto Sans Symbols" w:cs="Noto Sans Symbols" w:hint="default"/>
      </w:rPr>
    </w:lvl>
    <w:lvl w:ilvl="3">
      <w:start w:val="1"/>
      <w:numFmt w:val="bullet"/>
      <w:lvlText w:val="●"/>
      <w:lvlJc w:val="left"/>
      <w:pPr>
        <w:tabs>
          <w:tab w:val="num" w:pos="0"/>
        </w:tabs>
        <w:ind w:left="3060" w:hanging="360"/>
      </w:pPr>
      <w:rPr>
        <w:rFonts w:ascii="Noto Sans Symbols" w:hAnsi="Noto Sans Symbols" w:cs="Noto Sans Symbols" w:hint="default"/>
      </w:rPr>
    </w:lvl>
    <w:lvl w:ilvl="4">
      <w:start w:val="1"/>
      <w:numFmt w:val="bullet"/>
      <w:lvlText w:val="o"/>
      <w:lvlJc w:val="left"/>
      <w:pPr>
        <w:tabs>
          <w:tab w:val="num" w:pos="0"/>
        </w:tabs>
        <w:ind w:left="3780" w:hanging="360"/>
      </w:pPr>
      <w:rPr>
        <w:rFonts w:ascii="Courier New" w:hAnsi="Courier New" w:cs="Courier New" w:hint="default"/>
      </w:rPr>
    </w:lvl>
    <w:lvl w:ilvl="5">
      <w:start w:val="1"/>
      <w:numFmt w:val="bullet"/>
      <w:lvlText w:val="▪"/>
      <w:lvlJc w:val="left"/>
      <w:pPr>
        <w:tabs>
          <w:tab w:val="num" w:pos="0"/>
        </w:tabs>
        <w:ind w:left="4500" w:hanging="360"/>
      </w:pPr>
      <w:rPr>
        <w:rFonts w:ascii="Noto Sans Symbols" w:hAnsi="Noto Sans Symbols" w:cs="Noto Sans Symbols" w:hint="default"/>
      </w:rPr>
    </w:lvl>
    <w:lvl w:ilvl="6">
      <w:start w:val="1"/>
      <w:numFmt w:val="bullet"/>
      <w:lvlText w:val="●"/>
      <w:lvlJc w:val="left"/>
      <w:pPr>
        <w:tabs>
          <w:tab w:val="num" w:pos="0"/>
        </w:tabs>
        <w:ind w:left="5220" w:hanging="360"/>
      </w:pPr>
      <w:rPr>
        <w:rFonts w:ascii="Noto Sans Symbols" w:hAnsi="Noto Sans Symbols" w:cs="Noto Sans Symbols" w:hint="default"/>
      </w:rPr>
    </w:lvl>
    <w:lvl w:ilvl="7">
      <w:start w:val="1"/>
      <w:numFmt w:val="bullet"/>
      <w:lvlText w:val="o"/>
      <w:lvlJc w:val="left"/>
      <w:pPr>
        <w:tabs>
          <w:tab w:val="num" w:pos="0"/>
        </w:tabs>
        <w:ind w:left="5940" w:hanging="360"/>
      </w:pPr>
      <w:rPr>
        <w:rFonts w:ascii="Courier New" w:hAnsi="Courier New" w:cs="Courier New" w:hint="default"/>
      </w:rPr>
    </w:lvl>
    <w:lvl w:ilvl="8">
      <w:start w:val="1"/>
      <w:numFmt w:val="bullet"/>
      <w:lvlText w:val="▪"/>
      <w:lvlJc w:val="left"/>
      <w:pPr>
        <w:tabs>
          <w:tab w:val="num" w:pos="0"/>
        </w:tabs>
        <w:ind w:left="6660" w:hanging="360"/>
      </w:pPr>
      <w:rPr>
        <w:rFonts w:ascii="Noto Sans Symbols" w:hAnsi="Noto Sans Symbols" w:cs="Noto Sans Symbols" w:hint="default"/>
      </w:rPr>
    </w:lvl>
  </w:abstractNum>
  <w:abstractNum w:abstractNumId="32">
    <w:lvl w:ilvl="0">
      <w:start w:val="1"/>
      <w:numFmt w:val="decimal"/>
      <w:lvlText w:val="%1."/>
      <w:lvlJc w:val="left"/>
      <w:pPr>
        <w:tabs>
          <w:tab w:val="num" w:pos="0"/>
        </w:tabs>
        <w:ind w:left="720" w:hanging="360"/>
      </w:pPr>
      <w:rPr/>
    </w:lvl>
    <w:lvl w:ilvl="1">
      <w:start w:val="1"/>
      <w:numFmt w:val="decimal"/>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33">
    <w:lvl w:ilvl="0">
      <w:start w:val="1"/>
      <w:numFmt w:val="lowerLetter"/>
      <w:lvlText w:val="%1)"/>
      <w:lvlJc w:val="left"/>
      <w:pPr>
        <w:tabs>
          <w:tab w:val="num" w:pos="0"/>
        </w:tabs>
        <w:ind w:left="720" w:hanging="360"/>
      </w:pPr>
      <w:rPr/>
    </w:lvl>
    <w:lvl w:ilvl="1">
      <w:start w:val="1"/>
      <w:numFmt w:val="lowerLetter"/>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34">
    <w:lvl w:ilvl="0">
      <w:start w:val="1"/>
      <w:numFmt w:val="bullet"/>
      <w:lvlText w:val="●"/>
      <w:lvlJc w:val="left"/>
      <w:pPr>
        <w:tabs>
          <w:tab w:val="num" w:pos="0"/>
        </w:tabs>
        <w:ind w:left="709" w:hanging="282"/>
      </w:pPr>
      <w:rPr>
        <w:rFonts w:ascii="Noto Sans Symbols" w:hAnsi="Noto Sans Symbols" w:cs="Noto Sans Symbols" w:hint="default"/>
      </w:rPr>
    </w:lvl>
    <w:lvl w:ilvl="1">
      <w:start w:val="1"/>
      <w:numFmt w:val="bullet"/>
      <w:lvlText w:val="●"/>
      <w:lvlJc w:val="left"/>
      <w:pPr>
        <w:tabs>
          <w:tab w:val="num" w:pos="0"/>
        </w:tabs>
        <w:ind w:left="1418" w:hanging="282"/>
      </w:pPr>
      <w:rPr>
        <w:rFonts w:ascii="Noto Sans Symbols" w:hAnsi="Noto Sans Symbols" w:cs="Noto Sans Symbols" w:hint="default"/>
      </w:rPr>
    </w:lvl>
    <w:lvl w:ilvl="2">
      <w:start w:val="1"/>
      <w:numFmt w:val="bullet"/>
      <w:lvlText w:val="●"/>
      <w:lvlJc w:val="left"/>
      <w:pPr>
        <w:tabs>
          <w:tab w:val="num" w:pos="0"/>
        </w:tabs>
        <w:ind w:left="2127" w:hanging="283"/>
      </w:pPr>
      <w:rPr>
        <w:rFonts w:ascii="Noto Sans Symbols" w:hAnsi="Noto Sans Symbols" w:cs="Noto Sans Symbols" w:hint="default"/>
      </w:rPr>
    </w:lvl>
    <w:lvl w:ilvl="3">
      <w:start w:val="1"/>
      <w:numFmt w:val="bullet"/>
      <w:lvlText w:val="●"/>
      <w:lvlJc w:val="left"/>
      <w:pPr>
        <w:tabs>
          <w:tab w:val="num" w:pos="0"/>
        </w:tabs>
        <w:ind w:left="2836" w:hanging="283"/>
      </w:pPr>
      <w:rPr>
        <w:rFonts w:ascii="Noto Sans Symbols" w:hAnsi="Noto Sans Symbols" w:cs="Noto Sans Symbols" w:hint="default"/>
      </w:rPr>
    </w:lvl>
    <w:lvl w:ilvl="4">
      <w:start w:val="1"/>
      <w:numFmt w:val="bullet"/>
      <w:lvlText w:val="●"/>
      <w:lvlJc w:val="left"/>
      <w:pPr>
        <w:tabs>
          <w:tab w:val="num" w:pos="0"/>
        </w:tabs>
        <w:ind w:left="3545" w:hanging="283"/>
      </w:pPr>
      <w:rPr>
        <w:rFonts w:ascii="Noto Sans Symbols" w:hAnsi="Noto Sans Symbols" w:cs="Noto Sans Symbols" w:hint="default"/>
      </w:rPr>
    </w:lvl>
    <w:lvl w:ilvl="5">
      <w:start w:val="1"/>
      <w:numFmt w:val="bullet"/>
      <w:lvlText w:val="●"/>
      <w:lvlJc w:val="left"/>
      <w:pPr>
        <w:tabs>
          <w:tab w:val="num" w:pos="0"/>
        </w:tabs>
        <w:ind w:left="4254" w:hanging="283"/>
      </w:pPr>
      <w:rPr>
        <w:rFonts w:ascii="Noto Sans Symbols" w:hAnsi="Noto Sans Symbols" w:cs="Noto Sans Symbols" w:hint="default"/>
      </w:rPr>
    </w:lvl>
    <w:lvl w:ilvl="6">
      <w:start w:val="1"/>
      <w:numFmt w:val="bullet"/>
      <w:lvlText w:val="●"/>
      <w:lvlJc w:val="left"/>
      <w:pPr>
        <w:tabs>
          <w:tab w:val="num" w:pos="0"/>
        </w:tabs>
        <w:ind w:left="4963" w:hanging="283"/>
      </w:pPr>
      <w:rPr>
        <w:rFonts w:ascii="Noto Sans Symbols" w:hAnsi="Noto Sans Symbols" w:cs="Noto Sans Symbols" w:hint="default"/>
      </w:rPr>
    </w:lvl>
    <w:lvl w:ilvl="7">
      <w:start w:val="1"/>
      <w:numFmt w:val="bullet"/>
      <w:lvlText w:val="●"/>
      <w:lvlJc w:val="left"/>
      <w:pPr>
        <w:tabs>
          <w:tab w:val="num" w:pos="0"/>
        </w:tabs>
        <w:ind w:left="5672" w:hanging="282"/>
      </w:pPr>
      <w:rPr>
        <w:rFonts w:ascii="Noto Sans Symbols" w:hAnsi="Noto Sans Symbols" w:cs="Noto Sans Symbols" w:hint="default"/>
      </w:rPr>
    </w:lvl>
    <w:lvl w:ilvl="8">
      <w:start w:val="1"/>
      <w:numFmt w:val="bullet"/>
      <w:lvlText w:val="●"/>
      <w:lvlJc w:val="left"/>
      <w:pPr>
        <w:tabs>
          <w:tab w:val="num" w:pos="0"/>
        </w:tabs>
        <w:ind w:left="6381" w:hanging="282"/>
      </w:pPr>
      <w:rPr>
        <w:rFonts w:ascii="Noto Sans Symbols" w:hAnsi="Noto Sans Symbols" w:cs="Noto Sans Symbols" w:hint="default"/>
      </w:rPr>
    </w:lvl>
  </w:abstractNum>
  <w:abstractNum w:abstractNumId="35">
    <w:lvl w:ilvl="0">
      <w:start w:val="1"/>
      <w:numFmt w:val="decimal"/>
      <w:lvlText w:val="%1."/>
      <w:lvlJc w:val="left"/>
      <w:pPr>
        <w:tabs>
          <w:tab w:val="num" w:pos="0"/>
        </w:tabs>
        <w:ind w:left="720" w:hanging="360"/>
      </w:pPr>
      <w:rPr/>
    </w:lvl>
    <w:lvl w:ilvl="1">
      <w:start w:val="1"/>
      <w:numFmt w:val="decimal"/>
      <w:lvlText w:val="%2."/>
      <w:lvlJc w:val="left"/>
      <w:pPr>
        <w:tabs>
          <w:tab w:val="num" w:pos="0"/>
        </w:tabs>
        <w:ind w:left="1440" w:hanging="360"/>
      </w:pPr>
      <w:rPr/>
    </w:lvl>
    <w:lvl w:ilvl="2">
      <w:start w:val="1"/>
      <w:numFmt w:val="lowerRoman"/>
      <w:lvlText w:val="%3."/>
      <w:lvlJc w:val="right"/>
      <w:pPr>
        <w:tabs>
          <w:tab w:val="num" w:pos="0"/>
        </w:tabs>
        <w:ind w:left="2160" w:hanging="180"/>
      </w:pPr>
      <w:rPr/>
    </w:lvl>
    <w:lvl w:ilvl="3">
      <w:start w:val="1"/>
      <w:numFmt w:val="decimal"/>
      <w:lvlText w:val="%4."/>
      <w:lvlJc w:val="left"/>
      <w:pPr>
        <w:tabs>
          <w:tab w:val="num" w:pos="0"/>
        </w:tabs>
        <w:ind w:left="2880" w:hanging="360"/>
      </w:pPr>
      <w:rPr/>
    </w:lvl>
    <w:lvl w:ilvl="4">
      <w:start w:val="1"/>
      <w:numFmt w:val="lowerLetter"/>
      <w:lvlText w:val="%5."/>
      <w:lvlJc w:val="left"/>
      <w:pPr>
        <w:tabs>
          <w:tab w:val="num" w:pos="0"/>
        </w:tabs>
        <w:ind w:left="3600" w:hanging="360"/>
      </w:pPr>
      <w:rPr/>
    </w:lvl>
    <w:lvl w:ilvl="5">
      <w:start w:val="1"/>
      <w:numFmt w:val="lowerRoman"/>
      <w:lvlText w:val="%6."/>
      <w:lvlJc w:val="right"/>
      <w:pPr>
        <w:tabs>
          <w:tab w:val="num" w:pos="0"/>
        </w:tabs>
        <w:ind w:left="4320" w:hanging="180"/>
      </w:pPr>
      <w:rPr/>
    </w:lvl>
    <w:lvl w:ilvl="6">
      <w:start w:val="1"/>
      <w:numFmt w:val="decimal"/>
      <w:lvlText w:val="%7."/>
      <w:lvlJc w:val="left"/>
      <w:pPr>
        <w:tabs>
          <w:tab w:val="num" w:pos="0"/>
        </w:tabs>
        <w:ind w:left="5040" w:hanging="360"/>
      </w:pPr>
      <w:rPr/>
    </w:lvl>
    <w:lvl w:ilvl="7">
      <w:start w:val="1"/>
      <w:numFmt w:val="lowerLetter"/>
      <w:lvlText w:val="%8."/>
      <w:lvlJc w:val="left"/>
      <w:pPr>
        <w:tabs>
          <w:tab w:val="num" w:pos="0"/>
        </w:tabs>
        <w:ind w:left="5760" w:hanging="360"/>
      </w:pPr>
      <w:rPr/>
    </w:lvl>
    <w:lvl w:ilvl="8">
      <w:start w:val="1"/>
      <w:numFmt w:val="lowerRoman"/>
      <w:lvlText w:val="%9."/>
      <w:lvlJc w:val="right"/>
      <w:pPr>
        <w:tabs>
          <w:tab w:val="num" w:pos="0"/>
        </w:tabs>
        <w:ind w:left="6480" w:hanging="180"/>
      </w:pPr>
      <w:rPr/>
    </w:lvl>
  </w:abstractNum>
  <w:abstractNum w:abstractNumId="36">
    <w:lvl w:ilvl="0">
      <w:start w:val="1"/>
      <w:numFmt w:val="bullet"/>
      <w:lvlText w:val="▪"/>
      <w:lvlJc w:val="left"/>
      <w:pPr>
        <w:tabs>
          <w:tab w:val="num" w:pos="0"/>
        </w:tabs>
        <w:ind w:left="900" w:hanging="360"/>
      </w:pPr>
      <w:rPr>
        <w:rFonts w:ascii="Noto Sans Symbols" w:hAnsi="Noto Sans Symbols" w:cs="Noto Sans Symbols" w:hint="default"/>
      </w:rPr>
    </w:lvl>
    <w:lvl w:ilvl="1">
      <w:start w:val="1"/>
      <w:numFmt w:val="bullet"/>
      <w:lvlText w:val="o"/>
      <w:lvlJc w:val="left"/>
      <w:pPr>
        <w:tabs>
          <w:tab w:val="num" w:pos="0"/>
        </w:tabs>
        <w:ind w:left="1620" w:hanging="360"/>
      </w:pPr>
      <w:rPr>
        <w:rFonts w:ascii="Courier New" w:hAnsi="Courier New" w:cs="Courier New" w:hint="default"/>
      </w:rPr>
    </w:lvl>
    <w:lvl w:ilvl="2">
      <w:start w:val="1"/>
      <w:numFmt w:val="bullet"/>
      <w:lvlText w:val="▪"/>
      <w:lvlJc w:val="left"/>
      <w:pPr>
        <w:tabs>
          <w:tab w:val="num" w:pos="0"/>
        </w:tabs>
        <w:ind w:left="2340" w:hanging="360"/>
      </w:pPr>
      <w:rPr>
        <w:rFonts w:ascii="Noto Sans Symbols" w:hAnsi="Noto Sans Symbols" w:cs="Noto Sans Symbols" w:hint="default"/>
      </w:rPr>
    </w:lvl>
    <w:lvl w:ilvl="3">
      <w:start w:val="1"/>
      <w:numFmt w:val="bullet"/>
      <w:lvlText w:val="●"/>
      <w:lvlJc w:val="left"/>
      <w:pPr>
        <w:tabs>
          <w:tab w:val="num" w:pos="0"/>
        </w:tabs>
        <w:ind w:left="3060" w:hanging="360"/>
      </w:pPr>
      <w:rPr>
        <w:rFonts w:ascii="Noto Sans Symbols" w:hAnsi="Noto Sans Symbols" w:cs="Noto Sans Symbols" w:hint="default"/>
      </w:rPr>
    </w:lvl>
    <w:lvl w:ilvl="4">
      <w:start w:val="1"/>
      <w:numFmt w:val="bullet"/>
      <w:lvlText w:val="o"/>
      <w:lvlJc w:val="left"/>
      <w:pPr>
        <w:tabs>
          <w:tab w:val="num" w:pos="0"/>
        </w:tabs>
        <w:ind w:left="3780" w:hanging="360"/>
      </w:pPr>
      <w:rPr>
        <w:rFonts w:ascii="Courier New" w:hAnsi="Courier New" w:cs="Courier New" w:hint="default"/>
      </w:rPr>
    </w:lvl>
    <w:lvl w:ilvl="5">
      <w:start w:val="1"/>
      <w:numFmt w:val="bullet"/>
      <w:lvlText w:val="▪"/>
      <w:lvlJc w:val="left"/>
      <w:pPr>
        <w:tabs>
          <w:tab w:val="num" w:pos="0"/>
        </w:tabs>
        <w:ind w:left="4500" w:hanging="360"/>
      </w:pPr>
      <w:rPr>
        <w:rFonts w:ascii="Noto Sans Symbols" w:hAnsi="Noto Sans Symbols" w:cs="Noto Sans Symbols" w:hint="default"/>
      </w:rPr>
    </w:lvl>
    <w:lvl w:ilvl="6">
      <w:start w:val="1"/>
      <w:numFmt w:val="bullet"/>
      <w:lvlText w:val="●"/>
      <w:lvlJc w:val="left"/>
      <w:pPr>
        <w:tabs>
          <w:tab w:val="num" w:pos="0"/>
        </w:tabs>
        <w:ind w:left="5220" w:hanging="360"/>
      </w:pPr>
      <w:rPr>
        <w:rFonts w:ascii="Noto Sans Symbols" w:hAnsi="Noto Sans Symbols" w:cs="Noto Sans Symbols" w:hint="default"/>
      </w:rPr>
    </w:lvl>
    <w:lvl w:ilvl="7">
      <w:start w:val="1"/>
      <w:numFmt w:val="bullet"/>
      <w:lvlText w:val="o"/>
      <w:lvlJc w:val="left"/>
      <w:pPr>
        <w:tabs>
          <w:tab w:val="num" w:pos="0"/>
        </w:tabs>
        <w:ind w:left="5940" w:hanging="360"/>
      </w:pPr>
      <w:rPr>
        <w:rFonts w:ascii="Courier New" w:hAnsi="Courier New" w:cs="Courier New" w:hint="default"/>
      </w:rPr>
    </w:lvl>
    <w:lvl w:ilvl="8">
      <w:start w:val="1"/>
      <w:numFmt w:val="bullet"/>
      <w:lvlText w:val="▪"/>
      <w:lvlJc w:val="left"/>
      <w:pPr>
        <w:tabs>
          <w:tab w:val="num" w:pos="0"/>
        </w:tabs>
        <w:ind w:left="6660" w:hanging="360"/>
      </w:pPr>
      <w:rPr>
        <w:rFonts w:ascii="Noto Sans Symbols" w:hAnsi="Noto Sans Symbols" w:cs="Noto Sans Symbols" w:hint="default"/>
      </w:rPr>
    </w:lvl>
  </w:abstractNum>
  <w:abstractNum w:abstractNumId="37">
    <w:lvl w:ilvl="0">
      <w:start w:val="1"/>
      <w:numFmt w:val="bullet"/>
      <w:lvlText w:val="▪"/>
      <w:lvlJc w:val="left"/>
      <w:pPr>
        <w:tabs>
          <w:tab w:val="num" w:pos="0"/>
        </w:tabs>
        <w:ind w:left="720" w:hanging="360"/>
      </w:pPr>
      <w:rPr>
        <w:rFonts w:ascii="Noto Sans Symbols" w:hAnsi="Noto Sans Symbols" w:cs="Noto Sans Symbols"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38">
    <w:lvl w:ilvl="0">
      <w:start w:val="4"/>
      <w:numFmt w:val="decimal"/>
      <w:lvlText w:val="%1"/>
      <w:lvlJc w:val="left"/>
      <w:pPr>
        <w:tabs>
          <w:tab w:val="num" w:pos="0"/>
        </w:tabs>
        <w:ind w:left="540" w:hanging="540"/>
      </w:pPr>
      <w:rPr/>
    </w:lvl>
    <w:lvl w:ilvl="1">
      <w:start w:val="1"/>
      <w:numFmt w:val="decimal"/>
      <w:lvlText w:val="%1.%2"/>
      <w:lvlJc w:val="left"/>
      <w:pPr>
        <w:tabs>
          <w:tab w:val="num" w:pos="0"/>
        </w:tabs>
        <w:ind w:left="540" w:hanging="540"/>
      </w:pPr>
      <w:rPr/>
    </w:lvl>
    <w:lvl w:ilvl="2">
      <w:start w:val="5"/>
      <w:numFmt w:val="decimal"/>
      <w:lvlText w:val="%1.%2.%3"/>
      <w:lvlJc w:val="left"/>
      <w:pPr>
        <w:tabs>
          <w:tab w:val="num" w:pos="0"/>
        </w:tabs>
        <w:ind w:left="720" w:hanging="720"/>
      </w:pPr>
      <w:rPr/>
    </w:lvl>
    <w:lvl w:ilvl="3">
      <w:start w:val="1"/>
      <w:numFmt w:val="decimal"/>
      <w:lvlText w:val="%1.%2.%3.%4"/>
      <w:lvlJc w:val="left"/>
      <w:pPr>
        <w:tabs>
          <w:tab w:val="num" w:pos="0"/>
        </w:tabs>
        <w:ind w:left="1080" w:hanging="1080"/>
      </w:pPr>
      <w:rPr/>
    </w:lvl>
    <w:lvl w:ilvl="4">
      <w:start w:val="1"/>
      <w:numFmt w:val="decimal"/>
      <w:lvlText w:val="%1.%2.%3.%4.%5"/>
      <w:lvlJc w:val="left"/>
      <w:pPr>
        <w:tabs>
          <w:tab w:val="num" w:pos="0"/>
        </w:tabs>
        <w:ind w:left="1080" w:hanging="1080"/>
      </w:pPr>
      <w:rPr/>
    </w:lvl>
    <w:lvl w:ilvl="5">
      <w:start w:val="1"/>
      <w:numFmt w:val="decimal"/>
      <w:lvlText w:val="%1.%2.%3.%4.%5.%6"/>
      <w:lvlJc w:val="left"/>
      <w:pPr>
        <w:tabs>
          <w:tab w:val="num" w:pos="0"/>
        </w:tabs>
        <w:ind w:left="1440" w:hanging="1440"/>
      </w:pPr>
      <w:rPr/>
    </w:lvl>
    <w:lvl w:ilvl="6">
      <w:start w:val="1"/>
      <w:numFmt w:val="decimal"/>
      <w:lvlText w:val="%1.%2.%3.%4.%5.%6.%7"/>
      <w:lvlJc w:val="left"/>
      <w:pPr>
        <w:tabs>
          <w:tab w:val="num" w:pos="0"/>
        </w:tabs>
        <w:ind w:left="1440" w:hanging="1440"/>
      </w:pPr>
      <w:rPr/>
    </w:lvl>
    <w:lvl w:ilvl="7">
      <w:start w:val="1"/>
      <w:numFmt w:val="decimal"/>
      <w:lvlText w:val="%1.%2.%3.%4.%5.%6.%7.%8"/>
      <w:lvlJc w:val="left"/>
      <w:pPr>
        <w:tabs>
          <w:tab w:val="num" w:pos="0"/>
        </w:tabs>
        <w:ind w:left="1800" w:hanging="1800"/>
      </w:pPr>
      <w:rPr/>
    </w:lvl>
    <w:lvl w:ilvl="8">
      <w:start w:val="1"/>
      <w:numFmt w:val="decimal"/>
      <w:lvlText w:val="%1.%2.%3.%4.%5.%6.%7.%8.%9"/>
      <w:lvlJc w:val="left"/>
      <w:pPr>
        <w:tabs>
          <w:tab w:val="num" w:pos="0"/>
        </w:tabs>
        <w:ind w:left="1800" w:hanging="1800"/>
      </w:pPr>
      <w:rPr/>
    </w:lvl>
  </w:abstractNum>
  <w:abstractNum w:abstractNumId="39">
    <w:lvl w:ilvl="0">
      <w:start w:val="1"/>
      <w:numFmt w:val="bullet"/>
      <w:lvlText w:val="▪"/>
      <w:lvlJc w:val="left"/>
      <w:pPr>
        <w:tabs>
          <w:tab w:val="num" w:pos="0"/>
        </w:tabs>
        <w:ind w:left="720" w:hanging="360"/>
      </w:pPr>
      <w:rPr>
        <w:rFonts w:ascii="Noto Sans Symbols" w:hAnsi="Noto Sans Symbols" w:cs="Noto Sans Symbols" w:hint="default"/>
      </w:rPr>
    </w:lvl>
    <w:lvl w:ilvl="1">
      <w:start w:val="0"/>
      <w:numFmt w:val="bullet"/>
      <w:lvlText w:val="-"/>
      <w:lvlJc w:val="left"/>
      <w:pPr>
        <w:tabs>
          <w:tab w:val="num" w:pos="0"/>
        </w:tabs>
        <w:ind w:left="1440" w:hanging="360"/>
      </w:pPr>
      <w:rPr>
        <w:rFonts w:ascii="Arial" w:hAnsi="Arial" w:cs="Arial" w:hint="default"/>
      </w:rPr>
    </w:lvl>
    <w:lvl w:ilvl="2">
      <w:start w:val="1"/>
      <w:numFmt w:val="bullet"/>
      <w:lvlText w:val="▪"/>
      <w:lvlJc w:val="left"/>
      <w:pPr>
        <w:tabs>
          <w:tab w:val="num" w:pos="0"/>
        </w:tabs>
        <w:ind w:left="2160" w:hanging="360"/>
      </w:pPr>
      <w:rPr>
        <w:rFonts w:ascii="Noto Sans Symbols" w:hAnsi="Noto Sans Symbols" w:cs="Noto Sans Symbols" w:hint="default"/>
      </w:rPr>
    </w:lvl>
    <w:lvl w:ilvl="3">
      <w:start w:val="1"/>
      <w:numFmt w:val="bullet"/>
      <w:lvlText w:val="●"/>
      <w:lvlJc w:val="left"/>
      <w:pPr>
        <w:tabs>
          <w:tab w:val="num" w:pos="0"/>
        </w:tabs>
        <w:ind w:left="2880" w:hanging="360"/>
      </w:pPr>
      <w:rPr>
        <w:rFonts w:ascii="Noto Sans Symbols" w:hAnsi="Noto Sans Symbols" w:cs="Noto Sans Symbols"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Noto Sans Symbols" w:hAnsi="Noto Sans Symbols" w:cs="Noto Sans Symbols" w:hint="default"/>
      </w:rPr>
    </w:lvl>
    <w:lvl w:ilvl="6">
      <w:start w:val="1"/>
      <w:numFmt w:val="bullet"/>
      <w:lvlText w:val="●"/>
      <w:lvlJc w:val="left"/>
      <w:pPr>
        <w:tabs>
          <w:tab w:val="num" w:pos="0"/>
        </w:tabs>
        <w:ind w:left="5040" w:hanging="360"/>
      </w:pPr>
      <w:rPr>
        <w:rFonts w:ascii="Noto Sans Symbols" w:hAnsi="Noto Sans Symbols" w:cs="Noto Sans Symbols"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Noto Sans Symbols" w:hAnsi="Noto Sans Symbols" w:cs="Noto Sans Symbols" w:hint="default"/>
      </w:rPr>
    </w:lvl>
  </w:abstractNum>
  <w:abstractNum w:abstractNumId="40">
    <w:lvl w:ilvl="0">
      <w:start w:val="1"/>
      <w:numFmt w:val="decimal"/>
      <w:lvlText w:val="%1."/>
      <w:lvlJc w:val="left"/>
      <w:pPr>
        <w:tabs>
          <w:tab w:val="num" w:pos="0"/>
        </w:tabs>
        <w:ind w:left="720" w:hanging="360"/>
      </w:pPr>
      <w:rPr/>
    </w:lvl>
    <w:lvl w:ilvl="1">
      <w:start w:val="1"/>
      <w:numFmt w:val="decimal"/>
      <w:lvlText w:val="%2."/>
      <w:lvlJc w:val="left"/>
      <w:pPr>
        <w:tabs>
          <w:tab w:val="num" w:pos="0"/>
        </w:tabs>
        <w:ind w:left="1080" w:hanging="360"/>
      </w:pPr>
      <w:rPr/>
    </w:lvl>
    <w:lvl w:ilvl="2">
      <w:start w:val="1"/>
      <w:numFmt w:val="decimal"/>
      <w:lvlText w:val="%3."/>
      <w:lvlJc w:val="left"/>
      <w:pPr>
        <w:tabs>
          <w:tab w:val="num" w:pos="0"/>
        </w:tabs>
        <w:ind w:left="1440" w:hanging="360"/>
      </w:pPr>
      <w:rPr/>
    </w:lvl>
    <w:lvl w:ilvl="3">
      <w:start w:val="1"/>
      <w:numFmt w:val="decimal"/>
      <w:lvlText w:val="%4."/>
      <w:lvlJc w:val="left"/>
      <w:pPr>
        <w:tabs>
          <w:tab w:val="num" w:pos="0"/>
        </w:tabs>
        <w:ind w:left="1800" w:hanging="360"/>
      </w:pPr>
      <w:rPr/>
    </w:lvl>
    <w:lvl w:ilvl="4">
      <w:start w:val="1"/>
      <w:numFmt w:val="decimal"/>
      <w:lvlText w:val="%5."/>
      <w:lvlJc w:val="left"/>
      <w:pPr>
        <w:tabs>
          <w:tab w:val="num" w:pos="0"/>
        </w:tabs>
        <w:ind w:left="2160" w:hanging="360"/>
      </w:pPr>
      <w:rPr/>
    </w:lvl>
    <w:lvl w:ilvl="5">
      <w:start w:val="1"/>
      <w:numFmt w:val="decimal"/>
      <w:lvlText w:val="%6"/>
      <w:lvlJc w:val="left"/>
      <w:pPr>
        <w:tabs>
          <w:tab w:val="num" w:pos="0"/>
        </w:tabs>
        <w:ind w:left="2520" w:hanging="360"/>
      </w:pPr>
      <w:rPr/>
    </w:lvl>
    <w:lvl w:ilvl="6">
      <w:start w:val="1"/>
      <w:numFmt w:val="decimal"/>
      <w:lvlText w:val="%7"/>
      <w:lvlJc w:val="left"/>
      <w:pPr>
        <w:tabs>
          <w:tab w:val="num" w:pos="0"/>
        </w:tabs>
        <w:ind w:left="2880" w:hanging="360"/>
      </w:pPr>
      <w:rPr/>
    </w:lvl>
    <w:lvl w:ilvl="7">
      <w:start w:val="1"/>
      <w:numFmt w:val="decimal"/>
      <w:lvlText w:val="%8"/>
      <w:lvlJc w:val="left"/>
      <w:pPr>
        <w:tabs>
          <w:tab w:val="num" w:pos="0"/>
        </w:tabs>
        <w:ind w:left="3240" w:hanging="360"/>
      </w:pPr>
      <w:rPr/>
    </w:lvl>
    <w:lvl w:ilvl="8">
      <w:start w:val="1"/>
      <w:numFmt w:val="decimal"/>
      <w:lvlText w:val="%9"/>
      <w:lvlJc w:val="left"/>
      <w:pPr>
        <w:tabs>
          <w:tab w:val="num" w:pos="0"/>
        </w:tabs>
        <w:ind w:left="3600" w:hanging="360"/>
      </w:pPr>
      <w:rPr/>
    </w:lvl>
  </w:abstractNum>
  <w:abstractNum w:abstractNumId="41">
    <w:lvl w:ilvl="0">
      <w:start w:val="1"/>
      <w:numFmt w:val="bullet"/>
      <w:lvlText w:val="●"/>
      <w:lvlJc w:val="left"/>
      <w:pPr>
        <w:tabs>
          <w:tab w:val="num" w:pos="0"/>
        </w:tabs>
        <w:ind w:left="709" w:hanging="282"/>
      </w:pPr>
      <w:rPr>
        <w:rFonts w:ascii="Noto Sans Symbols" w:hAnsi="Noto Sans Symbols" w:cs="Noto Sans Symbols" w:hint="default"/>
      </w:rPr>
    </w:lvl>
    <w:lvl w:ilvl="1">
      <w:start w:val="1"/>
      <w:numFmt w:val="bullet"/>
      <w:lvlText w:val="●"/>
      <w:lvlJc w:val="left"/>
      <w:pPr>
        <w:tabs>
          <w:tab w:val="num" w:pos="0"/>
        </w:tabs>
        <w:ind w:left="1418" w:hanging="282"/>
      </w:pPr>
      <w:rPr>
        <w:rFonts w:ascii="Noto Sans Symbols" w:hAnsi="Noto Sans Symbols" w:cs="Noto Sans Symbols" w:hint="default"/>
      </w:rPr>
    </w:lvl>
    <w:lvl w:ilvl="2">
      <w:start w:val="1"/>
      <w:numFmt w:val="bullet"/>
      <w:lvlText w:val="●"/>
      <w:lvlJc w:val="left"/>
      <w:pPr>
        <w:tabs>
          <w:tab w:val="num" w:pos="0"/>
        </w:tabs>
        <w:ind w:left="2127" w:hanging="283"/>
      </w:pPr>
      <w:rPr>
        <w:rFonts w:ascii="Noto Sans Symbols" w:hAnsi="Noto Sans Symbols" w:cs="Noto Sans Symbols" w:hint="default"/>
      </w:rPr>
    </w:lvl>
    <w:lvl w:ilvl="3">
      <w:start w:val="1"/>
      <w:numFmt w:val="bullet"/>
      <w:lvlText w:val="●"/>
      <w:lvlJc w:val="left"/>
      <w:pPr>
        <w:tabs>
          <w:tab w:val="num" w:pos="0"/>
        </w:tabs>
        <w:ind w:left="2836" w:hanging="283"/>
      </w:pPr>
      <w:rPr>
        <w:rFonts w:ascii="Noto Sans Symbols" w:hAnsi="Noto Sans Symbols" w:cs="Noto Sans Symbols" w:hint="default"/>
      </w:rPr>
    </w:lvl>
    <w:lvl w:ilvl="4">
      <w:start w:val="1"/>
      <w:numFmt w:val="bullet"/>
      <w:lvlText w:val="●"/>
      <w:lvlJc w:val="left"/>
      <w:pPr>
        <w:tabs>
          <w:tab w:val="num" w:pos="0"/>
        </w:tabs>
        <w:ind w:left="3545" w:hanging="283"/>
      </w:pPr>
      <w:rPr>
        <w:rFonts w:ascii="Noto Sans Symbols" w:hAnsi="Noto Sans Symbols" w:cs="Noto Sans Symbols" w:hint="default"/>
      </w:rPr>
    </w:lvl>
    <w:lvl w:ilvl="5">
      <w:start w:val="1"/>
      <w:numFmt w:val="bullet"/>
      <w:lvlText w:val="●"/>
      <w:lvlJc w:val="left"/>
      <w:pPr>
        <w:tabs>
          <w:tab w:val="num" w:pos="0"/>
        </w:tabs>
        <w:ind w:left="4254" w:hanging="283"/>
      </w:pPr>
      <w:rPr>
        <w:rFonts w:ascii="Noto Sans Symbols" w:hAnsi="Noto Sans Symbols" w:cs="Noto Sans Symbols" w:hint="default"/>
      </w:rPr>
    </w:lvl>
    <w:lvl w:ilvl="6">
      <w:start w:val="1"/>
      <w:numFmt w:val="bullet"/>
      <w:lvlText w:val="●"/>
      <w:lvlJc w:val="left"/>
      <w:pPr>
        <w:tabs>
          <w:tab w:val="num" w:pos="0"/>
        </w:tabs>
        <w:ind w:left="4963" w:hanging="283"/>
      </w:pPr>
      <w:rPr>
        <w:rFonts w:ascii="Noto Sans Symbols" w:hAnsi="Noto Sans Symbols" w:cs="Noto Sans Symbols" w:hint="default"/>
      </w:rPr>
    </w:lvl>
    <w:lvl w:ilvl="7">
      <w:start w:val="1"/>
      <w:numFmt w:val="bullet"/>
      <w:lvlText w:val="●"/>
      <w:lvlJc w:val="left"/>
      <w:pPr>
        <w:tabs>
          <w:tab w:val="num" w:pos="0"/>
        </w:tabs>
        <w:ind w:left="5672" w:hanging="282"/>
      </w:pPr>
      <w:rPr>
        <w:rFonts w:ascii="Noto Sans Symbols" w:hAnsi="Noto Sans Symbols" w:cs="Noto Sans Symbols" w:hint="default"/>
      </w:rPr>
    </w:lvl>
    <w:lvl w:ilvl="8">
      <w:start w:val="1"/>
      <w:numFmt w:val="bullet"/>
      <w:lvlText w:val="●"/>
      <w:lvlJc w:val="left"/>
      <w:pPr>
        <w:tabs>
          <w:tab w:val="num" w:pos="0"/>
        </w:tabs>
        <w:ind w:left="6381" w:hanging="282"/>
      </w:pPr>
      <w:rPr>
        <w:rFonts w:ascii="Noto Sans Symbols" w:hAnsi="Noto Sans Symbols" w:cs="Noto Sans Symbols" w:hint="default"/>
      </w:rPr>
    </w:lvl>
  </w:abstractNum>
  <w:abstractNum w:abstractNumId="42">
    <w:lvl w:ilvl="0">
      <w:start w:val="1"/>
      <w:numFmt w:val="bullet"/>
      <w:lvlText w:val="●"/>
      <w:lvlJc w:val="left"/>
      <w:pPr>
        <w:tabs>
          <w:tab w:val="num" w:pos="0"/>
        </w:tabs>
        <w:ind w:left="709" w:hanging="282"/>
      </w:pPr>
      <w:rPr>
        <w:rFonts w:ascii="Noto Sans Symbols" w:hAnsi="Noto Sans Symbols" w:cs="Noto Sans Symbols" w:hint="default"/>
      </w:rPr>
    </w:lvl>
    <w:lvl w:ilvl="1">
      <w:start w:val="1"/>
      <w:numFmt w:val="bullet"/>
      <w:lvlText w:val="●"/>
      <w:lvlJc w:val="left"/>
      <w:pPr>
        <w:tabs>
          <w:tab w:val="num" w:pos="0"/>
        </w:tabs>
        <w:ind w:left="1418" w:hanging="282"/>
      </w:pPr>
      <w:rPr>
        <w:rFonts w:ascii="Noto Sans Symbols" w:hAnsi="Noto Sans Symbols" w:cs="Noto Sans Symbols" w:hint="default"/>
      </w:rPr>
    </w:lvl>
    <w:lvl w:ilvl="2">
      <w:start w:val="1"/>
      <w:numFmt w:val="bullet"/>
      <w:lvlText w:val="●"/>
      <w:lvlJc w:val="left"/>
      <w:pPr>
        <w:tabs>
          <w:tab w:val="num" w:pos="0"/>
        </w:tabs>
        <w:ind w:left="2127" w:hanging="283"/>
      </w:pPr>
      <w:rPr>
        <w:rFonts w:ascii="Noto Sans Symbols" w:hAnsi="Noto Sans Symbols" w:cs="Noto Sans Symbols" w:hint="default"/>
      </w:rPr>
    </w:lvl>
    <w:lvl w:ilvl="3">
      <w:start w:val="1"/>
      <w:numFmt w:val="bullet"/>
      <w:lvlText w:val="●"/>
      <w:lvlJc w:val="left"/>
      <w:pPr>
        <w:tabs>
          <w:tab w:val="num" w:pos="0"/>
        </w:tabs>
        <w:ind w:left="2836" w:hanging="283"/>
      </w:pPr>
      <w:rPr>
        <w:rFonts w:ascii="Noto Sans Symbols" w:hAnsi="Noto Sans Symbols" w:cs="Noto Sans Symbols" w:hint="default"/>
      </w:rPr>
    </w:lvl>
    <w:lvl w:ilvl="4">
      <w:start w:val="1"/>
      <w:numFmt w:val="bullet"/>
      <w:lvlText w:val="●"/>
      <w:lvlJc w:val="left"/>
      <w:pPr>
        <w:tabs>
          <w:tab w:val="num" w:pos="0"/>
        </w:tabs>
        <w:ind w:left="3545" w:hanging="283"/>
      </w:pPr>
      <w:rPr>
        <w:rFonts w:ascii="Noto Sans Symbols" w:hAnsi="Noto Sans Symbols" w:cs="Noto Sans Symbols" w:hint="default"/>
      </w:rPr>
    </w:lvl>
    <w:lvl w:ilvl="5">
      <w:start w:val="1"/>
      <w:numFmt w:val="bullet"/>
      <w:lvlText w:val="●"/>
      <w:lvlJc w:val="left"/>
      <w:pPr>
        <w:tabs>
          <w:tab w:val="num" w:pos="0"/>
        </w:tabs>
        <w:ind w:left="4254" w:hanging="283"/>
      </w:pPr>
      <w:rPr>
        <w:rFonts w:ascii="Noto Sans Symbols" w:hAnsi="Noto Sans Symbols" w:cs="Noto Sans Symbols" w:hint="default"/>
      </w:rPr>
    </w:lvl>
    <w:lvl w:ilvl="6">
      <w:start w:val="1"/>
      <w:numFmt w:val="bullet"/>
      <w:lvlText w:val="●"/>
      <w:lvlJc w:val="left"/>
      <w:pPr>
        <w:tabs>
          <w:tab w:val="num" w:pos="0"/>
        </w:tabs>
        <w:ind w:left="4963" w:hanging="283"/>
      </w:pPr>
      <w:rPr>
        <w:rFonts w:ascii="Noto Sans Symbols" w:hAnsi="Noto Sans Symbols" w:cs="Noto Sans Symbols" w:hint="default"/>
      </w:rPr>
    </w:lvl>
    <w:lvl w:ilvl="7">
      <w:start w:val="1"/>
      <w:numFmt w:val="bullet"/>
      <w:lvlText w:val="●"/>
      <w:lvlJc w:val="left"/>
      <w:pPr>
        <w:tabs>
          <w:tab w:val="num" w:pos="0"/>
        </w:tabs>
        <w:ind w:left="5672" w:hanging="282"/>
      </w:pPr>
      <w:rPr>
        <w:rFonts w:ascii="Noto Sans Symbols" w:hAnsi="Noto Sans Symbols" w:cs="Noto Sans Symbols" w:hint="default"/>
      </w:rPr>
    </w:lvl>
    <w:lvl w:ilvl="8">
      <w:start w:val="1"/>
      <w:numFmt w:val="bullet"/>
      <w:lvlText w:val="●"/>
      <w:lvlJc w:val="left"/>
      <w:pPr>
        <w:tabs>
          <w:tab w:val="num" w:pos="0"/>
        </w:tabs>
        <w:ind w:left="6381" w:hanging="282"/>
      </w:pPr>
      <w:rPr>
        <w:rFonts w:ascii="Noto Sans Symbols" w:hAnsi="Noto Sans Symbols" w:cs="Noto Sans Symbols" w:hint="default"/>
      </w:rPr>
    </w:lvl>
  </w:abstractNum>
  <w:abstractNum w:abstractNumId="43">
    <w:lvl w:ilvl="0">
      <w:start w:val="1"/>
      <w:numFmt w:val="bullet"/>
      <w:lvlText w:val="●"/>
      <w:lvlJc w:val="left"/>
      <w:pPr>
        <w:tabs>
          <w:tab w:val="num" w:pos="0"/>
        </w:tabs>
        <w:ind w:left="709" w:hanging="282"/>
      </w:pPr>
      <w:rPr>
        <w:rFonts w:ascii="Noto Sans Symbols" w:hAnsi="Noto Sans Symbols" w:cs="Noto Sans Symbols" w:hint="default"/>
      </w:rPr>
    </w:lvl>
    <w:lvl w:ilvl="1">
      <w:start w:val="1"/>
      <w:numFmt w:val="bullet"/>
      <w:lvlText w:val="●"/>
      <w:lvlJc w:val="left"/>
      <w:pPr>
        <w:tabs>
          <w:tab w:val="num" w:pos="0"/>
        </w:tabs>
        <w:ind w:left="1418" w:hanging="282"/>
      </w:pPr>
      <w:rPr>
        <w:rFonts w:ascii="Noto Sans Symbols" w:hAnsi="Noto Sans Symbols" w:cs="Noto Sans Symbols" w:hint="default"/>
      </w:rPr>
    </w:lvl>
    <w:lvl w:ilvl="2">
      <w:start w:val="1"/>
      <w:numFmt w:val="bullet"/>
      <w:lvlText w:val="●"/>
      <w:lvlJc w:val="left"/>
      <w:pPr>
        <w:tabs>
          <w:tab w:val="num" w:pos="0"/>
        </w:tabs>
        <w:ind w:left="2127" w:hanging="283"/>
      </w:pPr>
      <w:rPr>
        <w:rFonts w:ascii="Noto Sans Symbols" w:hAnsi="Noto Sans Symbols" w:cs="Noto Sans Symbols" w:hint="default"/>
      </w:rPr>
    </w:lvl>
    <w:lvl w:ilvl="3">
      <w:start w:val="1"/>
      <w:numFmt w:val="bullet"/>
      <w:lvlText w:val="●"/>
      <w:lvlJc w:val="left"/>
      <w:pPr>
        <w:tabs>
          <w:tab w:val="num" w:pos="0"/>
        </w:tabs>
        <w:ind w:left="2836" w:hanging="283"/>
      </w:pPr>
      <w:rPr>
        <w:rFonts w:ascii="Noto Sans Symbols" w:hAnsi="Noto Sans Symbols" w:cs="Noto Sans Symbols" w:hint="default"/>
      </w:rPr>
    </w:lvl>
    <w:lvl w:ilvl="4">
      <w:start w:val="1"/>
      <w:numFmt w:val="bullet"/>
      <w:lvlText w:val="●"/>
      <w:lvlJc w:val="left"/>
      <w:pPr>
        <w:tabs>
          <w:tab w:val="num" w:pos="0"/>
        </w:tabs>
        <w:ind w:left="3545" w:hanging="283"/>
      </w:pPr>
      <w:rPr>
        <w:rFonts w:ascii="Noto Sans Symbols" w:hAnsi="Noto Sans Symbols" w:cs="Noto Sans Symbols" w:hint="default"/>
      </w:rPr>
    </w:lvl>
    <w:lvl w:ilvl="5">
      <w:start w:val="1"/>
      <w:numFmt w:val="bullet"/>
      <w:lvlText w:val="●"/>
      <w:lvlJc w:val="left"/>
      <w:pPr>
        <w:tabs>
          <w:tab w:val="num" w:pos="0"/>
        </w:tabs>
        <w:ind w:left="4254" w:hanging="283"/>
      </w:pPr>
      <w:rPr>
        <w:rFonts w:ascii="Noto Sans Symbols" w:hAnsi="Noto Sans Symbols" w:cs="Noto Sans Symbols" w:hint="default"/>
      </w:rPr>
    </w:lvl>
    <w:lvl w:ilvl="6">
      <w:start w:val="1"/>
      <w:numFmt w:val="bullet"/>
      <w:lvlText w:val="●"/>
      <w:lvlJc w:val="left"/>
      <w:pPr>
        <w:tabs>
          <w:tab w:val="num" w:pos="0"/>
        </w:tabs>
        <w:ind w:left="4963" w:hanging="283"/>
      </w:pPr>
      <w:rPr>
        <w:rFonts w:ascii="Noto Sans Symbols" w:hAnsi="Noto Sans Symbols" w:cs="Noto Sans Symbols" w:hint="default"/>
      </w:rPr>
    </w:lvl>
    <w:lvl w:ilvl="7">
      <w:start w:val="1"/>
      <w:numFmt w:val="bullet"/>
      <w:lvlText w:val="●"/>
      <w:lvlJc w:val="left"/>
      <w:pPr>
        <w:tabs>
          <w:tab w:val="num" w:pos="0"/>
        </w:tabs>
        <w:ind w:left="5672" w:hanging="282"/>
      </w:pPr>
      <w:rPr>
        <w:rFonts w:ascii="Noto Sans Symbols" w:hAnsi="Noto Sans Symbols" w:cs="Noto Sans Symbols" w:hint="default"/>
      </w:rPr>
    </w:lvl>
    <w:lvl w:ilvl="8">
      <w:start w:val="1"/>
      <w:numFmt w:val="bullet"/>
      <w:lvlText w:val="●"/>
      <w:lvlJc w:val="left"/>
      <w:pPr>
        <w:tabs>
          <w:tab w:val="num" w:pos="0"/>
        </w:tabs>
        <w:ind w:left="6381" w:hanging="282"/>
      </w:pPr>
      <w:rPr>
        <w:rFonts w:ascii="Noto Sans Symbols" w:hAnsi="Noto Sans Symbols" w:cs="Noto Sans Symbols" w:hint="default"/>
      </w:rPr>
    </w:lvl>
  </w:abstractNum>
  <w:abstractNum w:abstractNumId="44">
    <w:lvl w:ilvl="0">
      <w:start w:val="13"/>
      <w:numFmt w:val="decimal"/>
      <w:lvlText w:val="%1."/>
      <w:lvlJc w:val="left"/>
      <w:pPr>
        <w:tabs>
          <w:tab w:val="num" w:pos="0"/>
        </w:tabs>
        <w:ind w:left="709" w:hanging="282"/>
      </w:pPr>
      <w:rPr/>
    </w:lvl>
    <w:lvl w:ilvl="1">
      <w:start w:val="1"/>
      <w:numFmt w:val="decimal"/>
      <w:lvlText w:val="%2."/>
      <w:lvlJc w:val="left"/>
      <w:pPr>
        <w:tabs>
          <w:tab w:val="num" w:pos="0"/>
        </w:tabs>
        <w:ind w:left="1418" w:hanging="282"/>
      </w:pPr>
      <w:rPr/>
    </w:lvl>
    <w:lvl w:ilvl="2">
      <w:start w:val="1"/>
      <w:numFmt w:val="decimal"/>
      <w:lvlText w:val="%3."/>
      <w:lvlJc w:val="left"/>
      <w:pPr>
        <w:tabs>
          <w:tab w:val="num" w:pos="0"/>
        </w:tabs>
        <w:ind w:left="2127" w:hanging="283"/>
      </w:pPr>
      <w:rPr/>
    </w:lvl>
    <w:lvl w:ilvl="3">
      <w:start w:val="1"/>
      <w:numFmt w:val="decimal"/>
      <w:lvlText w:val="%4."/>
      <w:lvlJc w:val="left"/>
      <w:pPr>
        <w:tabs>
          <w:tab w:val="num" w:pos="0"/>
        </w:tabs>
        <w:ind w:left="2836" w:hanging="283"/>
      </w:pPr>
      <w:rPr/>
    </w:lvl>
    <w:lvl w:ilvl="4">
      <w:start w:val="1"/>
      <w:numFmt w:val="decimal"/>
      <w:lvlText w:val="%5."/>
      <w:lvlJc w:val="left"/>
      <w:pPr>
        <w:tabs>
          <w:tab w:val="num" w:pos="0"/>
        </w:tabs>
        <w:ind w:left="3545" w:hanging="283"/>
      </w:pPr>
      <w:rPr/>
    </w:lvl>
    <w:lvl w:ilvl="5">
      <w:start w:val="1"/>
      <w:numFmt w:val="decimal"/>
      <w:lvlText w:val="%6."/>
      <w:lvlJc w:val="left"/>
      <w:pPr>
        <w:tabs>
          <w:tab w:val="num" w:pos="0"/>
        </w:tabs>
        <w:ind w:left="4254" w:hanging="283"/>
      </w:pPr>
      <w:rPr/>
    </w:lvl>
    <w:lvl w:ilvl="6">
      <w:start w:val="1"/>
      <w:numFmt w:val="decimal"/>
      <w:lvlText w:val="%7."/>
      <w:lvlJc w:val="left"/>
      <w:pPr>
        <w:tabs>
          <w:tab w:val="num" w:pos="0"/>
        </w:tabs>
        <w:ind w:left="4963" w:hanging="283"/>
      </w:pPr>
      <w:rPr/>
    </w:lvl>
    <w:lvl w:ilvl="7">
      <w:start w:val="1"/>
      <w:numFmt w:val="decimal"/>
      <w:lvlText w:val="%8."/>
      <w:lvlJc w:val="left"/>
      <w:pPr>
        <w:tabs>
          <w:tab w:val="num" w:pos="0"/>
        </w:tabs>
        <w:ind w:left="5672" w:hanging="282"/>
      </w:pPr>
      <w:rPr/>
    </w:lvl>
    <w:lvl w:ilvl="8">
      <w:start w:val="1"/>
      <w:numFmt w:val="decimal"/>
      <w:lvlText w:val="%9."/>
      <w:lvlJc w:val="left"/>
      <w:pPr>
        <w:tabs>
          <w:tab w:val="num" w:pos="0"/>
        </w:tabs>
        <w:ind w:left="6381" w:hanging="282"/>
      </w:pPr>
      <w:rPr/>
    </w:lvl>
  </w:abstractNum>
  <w:abstractNum w:abstractNumId="45">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 w:numId="36">
    <w:abstractNumId w:val="36"/>
  </w:num>
  <w:num w:numId="37">
    <w:abstractNumId w:val="37"/>
  </w:num>
  <w:num w:numId="38">
    <w:abstractNumId w:val="38"/>
  </w:num>
  <w:num w:numId="39">
    <w:abstractNumId w:val="39"/>
  </w:num>
  <w:num w:numId="40">
    <w:abstractNumId w:val="40"/>
  </w:num>
  <w:num w:numId="41">
    <w:abstractNumId w:val="41"/>
  </w:num>
  <w:num w:numId="42">
    <w:abstractNumId w:val="42"/>
  </w:num>
  <w:num w:numId="43">
    <w:abstractNumId w:val="43"/>
  </w:num>
  <w:num w:numId="44">
    <w:abstractNumId w:val="44"/>
  </w:num>
  <w:num w:numId="45">
    <w:abstractNumId w:val="45"/>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4"/>
        <w:szCs w:val="24"/>
        <w:lang w:val="en-US" w:eastAsia="zh-CN" w:bidi="hi-IN"/>
      </w:rPr>
    </w:rPrDefault>
    <w:pPrDefault>
      <w:pPr>
        <w:suppressAutoHyphens w:val="true"/>
      </w:pPr>
    </w:pPrDefault>
  </w:docDefaults>
  <w:style w:type="paragraph" w:styleId="Normal">
    <w:name w:val="Normal"/>
    <w:qFormat/>
    <w:pPr>
      <w:widowControl/>
      <w:bidi w:val="0"/>
      <w:spacing w:lineRule="auto" w:line="360" w:before="0" w:after="160"/>
      <w:jc w:val="left"/>
    </w:pPr>
    <w:rPr>
      <w:rFonts w:ascii="Arial" w:hAnsi="Arial" w:eastAsia="Arial" w:cs="Arial"/>
      <w:color w:val="auto"/>
      <w:kern w:val="0"/>
      <w:sz w:val="24"/>
      <w:szCs w:val="24"/>
      <w:lang w:val="en-US" w:eastAsia="zh-CN" w:bidi="hi-IN"/>
    </w:rPr>
  </w:style>
  <w:style w:type="paragraph" w:styleId="Heading1">
    <w:name w:val="Heading 1"/>
    <w:basedOn w:val="normal1"/>
    <w:next w:val="normal1"/>
    <w:qFormat/>
    <w:pPr>
      <w:keepNext w:val="true"/>
      <w:keepLines/>
      <w:tabs>
        <w:tab w:val="clear" w:pos="720"/>
        <w:tab w:val="left" w:pos="1073" w:leader="none"/>
        <w:tab w:val="center" w:pos="4513" w:leader="none"/>
      </w:tabs>
      <w:spacing w:lineRule="auto" w:line="240" w:before="240" w:after="240"/>
      <w:jc w:val="center"/>
    </w:pPr>
    <w:rPr>
      <w:b/>
      <w:color w:val="2E75B5"/>
    </w:rPr>
  </w:style>
  <w:style w:type="paragraph" w:styleId="Heading2">
    <w:name w:val="Heading 2"/>
    <w:basedOn w:val="normal1"/>
    <w:next w:val="normal1"/>
    <w:qFormat/>
    <w:pPr>
      <w:keepNext w:val="true"/>
      <w:keepLines/>
      <w:spacing w:lineRule="auto" w:line="240" w:before="0" w:after="0"/>
      <w:jc w:val="both"/>
    </w:pPr>
    <w:rPr>
      <w:b/>
      <w:color w:val="2E75B5"/>
    </w:rPr>
  </w:style>
  <w:style w:type="paragraph" w:styleId="Heading3">
    <w:name w:val="Heading 3"/>
    <w:basedOn w:val="normal1"/>
    <w:next w:val="normal1"/>
    <w:qFormat/>
    <w:pPr>
      <w:keepNext w:val="true"/>
      <w:keepLines/>
      <w:spacing w:lineRule="auto" w:line="240" w:before="40" w:after="0"/>
    </w:pPr>
    <w:rPr>
      <w:rFonts w:ascii="Times New Roman" w:hAnsi="Times New Roman" w:eastAsia="Times New Roman" w:cs="Times New Roman"/>
      <w:b/>
      <w:color w:val="2E75B5"/>
    </w:rPr>
  </w:style>
  <w:style w:type="paragraph" w:styleId="Heading4">
    <w:name w:val="Heading 4"/>
    <w:basedOn w:val="normal1"/>
    <w:next w:val="normal1"/>
    <w:qFormat/>
    <w:pPr>
      <w:keepNext w:val="true"/>
      <w:keepLines/>
      <w:spacing w:lineRule="auto" w:line="240" w:before="40" w:after="0"/>
    </w:pPr>
    <w:rPr>
      <w:rFonts w:ascii="Calibri" w:hAnsi="Calibri" w:eastAsia="Calibri" w:cs="Calibri"/>
      <w:i/>
      <w:color w:val="2E75B5"/>
    </w:rPr>
  </w:style>
  <w:style w:type="paragraph" w:styleId="Heading5">
    <w:name w:val="Heading 5"/>
    <w:basedOn w:val="normal1"/>
    <w:next w:val="normal1"/>
    <w:qFormat/>
    <w:pPr>
      <w:keepNext w:val="true"/>
      <w:keepLines/>
      <w:pageBreakBefore w:val="false"/>
      <w:spacing w:lineRule="auto" w:line="240" w:before="220" w:after="40"/>
    </w:pPr>
    <w:rPr>
      <w:b/>
      <w:sz w:val="22"/>
      <w:szCs w:val="22"/>
    </w:rPr>
  </w:style>
  <w:style w:type="paragraph" w:styleId="Heading6">
    <w:name w:val="Heading 6"/>
    <w:basedOn w:val="normal1"/>
    <w:next w:val="normal1"/>
    <w:qFormat/>
    <w:pPr>
      <w:keepNext w:val="true"/>
      <w:keepLines/>
      <w:pageBreakBefore w:val="false"/>
      <w:spacing w:lineRule="auto" w:line="240" w:before="200" w:after="40"/>
    </w:pPr>
    <w:rPr>
      <w:b/>
      <w:sz w:val="20"/>
      <w:szCs w:val="20"/>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name w:val="Index"/>
    <w:basedOn w:val="Normal"/>
    <w:qFormat/>
    <w:pPr>
      <w:suppressLineNumbers/>
    </w:pPr>
    <w:rPr>
      <w:rFonts w:cs="Noto Sans Devanagari"/>
    </w:rPr>
  </w:style>
  <w:style w:type="paragraph" w:styleId="normal1" w:default="1">
    <w:name w:val="normal1"/>
    <w:qFormat/>
    <w:pPr>
      <w:widowControl/>
      <w:bidi w:val="0"/>
      <w:spacing w:lineRule="auto" w:line="360" w:before="0" w:after="160"/>
      <w:jc w:val="left"/>
    </w:pPr>
    <w:rPr>
      <w:rFonts w:ascii="Arial" w:hAnsi="Arial" w:eastAsia="Arial" w:cs="Arial"/>
      <w:color w:val="auto"/>
      <w:kern w:val="0"/>
      <w:sz w:val="24"/>
      <w:szCs w:val="24"/>
      <w:lang w:val="en-US" w:eastAsia="zh-CN" w:bidi="hi-IN"/>
    </w:rPr>
  </w:style>
  <w:style w:type="paragraph" w:styleId="Title">
    <w:name w:val="Title"/>
    <w:basedOn w:val="normal1"/>
    <w:next w:val="normal1"/>
    <w:qFormat/>
    <w:pPr>
      <w:keepNext w:val="true"/>
      <w:keepLines/>
      <w:pageBreakBefore w:val="false"/>
      <w:spacing w:lineRule="auto" w:line="240" w:before="480" w:after="120"/>
    </w:pPr>
    <w:rPr>
      <w:b/>
      <w:sz w:val="72"/>
      <w:szCs w:val="72"/>
    </w:rPr>
  </w:style>
  <w:style w:type="paragraph" w:styleId="Subtitle">
    <w:name w:val="Subtitle"/>
    <w:basedOn w:val="normal1"/>
    <w:next w:val="normal1"/>
    <w:qFormat/>
    <w:pPr>
      <w:keepNext w:val="true"/>
      <w:keepLines/>
      <w:pageBreakBefore w:val="false"/>
      <w:spacing w:lineRule="auto" w:line="240" w:before="360" w:after="80"/>
    </w:pPr>
    <w:rPr>
      <w:rFonts w:ascii="Georgia" w:hAnsi="Georgia" w:eastAsia="Georgia" w:cs="Georgia"/>
      <w:i/>
      <w:color w:val="666666"/>
      <w:sz w:val="48"/>
      <w:szCs w:val="48"/>
    </w:rPr>
  </w:style>
  <w:style w:type="paragraph" w:styleId="FrameContents">
    <w:name w:val="Frame Contents"/>
    <w:basedOn w:val="Normal"/>
    <w:qFormat/>
    <w:pPr/>
    <w:rPr/>
  </w:style>
  <w:style w:type="paragraph" w:styleId="HeaderandFooter">
    <w:name w:val="Header and Footer"/>
    <w:basedOn w:val="Normal"/>
    <w:qFormat/>
    <w:pPr/>
    <w:rPr/>
  </w:style>
  <w:style w:type="paragraph" w:styleId="Footer">
    <w:name w:val="Footer"/>
    <w:basedOn w:val="HeaderandFooter"/>
    <w:pPr/>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1.png"/><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footer" Target="footer4.xml"/><Relationship Id="rId8" Type="http://schemas.openxmlformats.org/officeDocument/2006/relationships/footer" Target="footer5.xml"/><Relationship Id="rId9" Type="http://schemas.openxmlformats.org/officeDocument/2006/relationships/footer" Target="footer6.xml"/><Relationship Id="rId10" Type="http://schemas.openxmlformats.org/officeDocument/2006/relationships/footer" Target="footer7.xml"/><Relationship Id="rId11" Type="http://schemas.openxmlformats.org/officeDocument/2006/relationships/footer" Target="footer8.xml"/><Relationship Id="rId12" Type="http://schemas.openxmlformats.org/officeDocument/2006/relationships/footer" Target="footer9.xml"/><Relationship Id="rId13" Type="http://schemas.openxmlformats.org/officeDocument/2006/relationships/footer" Target="footer10.xml"/><Relationship Id="rId14" Type="http://schemas.openxmlformats.org/officeDocument/2006/relationships/footer" Target="footer11.xml"/><Relationship Id="rId15" Type="http://schemas.openxmlformats.org/officeDocument/2006/relationships/footer" Target="footer12.xml"/><Relationship Id="rId16" Type="http://schemas.openxmlformats.org/officeDocument/2006/relationships/footer" Target="footer13.xml"/><Relationship Id="rId17" Type="http://schemas.openxmlformats.org/officeDocument/2006/relationships/footer" Target="footer14.xml"/><Relationship Id="rId18" Type="http://schemas.openxmlformats.org/officeDocument/2006/relationships/footer" Target="footer15.xml"/><Relationship Id="rId19" Type="http://schemas.openxmlformats.org/officeDocument/2006/relationships/footer" Target="footer16.xml"/><Relationship Id="rId20" Type="http://schemas.openxmlformats.org/officeDocument/2006/relationships/footer" Target="footer17.xml"/><Relationship Id="rId21" Type="http://schemas.openxmlformats.org/officeDocument/2006/relationships/footer" Target="footer18.xml"/><Relationship Id="rId22" Type="http://schemas.openxmlformats.org/officeDocument/2006/relationships/footer" Target="footer19.xml"/><Relationship Id="rId23" Type="http://schemas.openxmlformats.org/officeDocument/2006/relationships/footer" Target="footer20.xml"/><Relationship Id="rId24" Type="http://schemas.openxmlformats.org/officeDocument/2006/relationships/footer" Target="footer21.xml"/><Relationship Id="rId25" Type="http://schemas.openxmlformats.org/officeDocument/2006/relationships/image" Target="media/image2.png"/><Relationship Id="rId26" Type="http://schemas.openxmlformats.org/officeDocument/2006/relationships/footer" Target="footer22.xml"/><Relationship Id="rId27" Type="http://schemas.openxmlformats.org/officeDocument/2006/relationships/footer" Target="footer23.xml"/><Relationship Id="rId28" Type="http://schemas.openxmlformats.org/officeDocument/2006/relationships/footer" Target="footer24.xml"/><Relationship Id="rId29" Type="http://schemas.openxmlformats.org/officeDocument/2006/relationships/footer" Target="footer25.xml"/><Relationship Id="rId30" Type="http://schemas.openxmlformats.org/officeDocument/2006/relationships/footer" Target="footer26.xml"/><Relationship Id="rId31" Type="http://schemas.openxmlformats.org/officeDocument/2006/relationships/footer" Target="footer27.xml"/><Relationship Id="rId32" Type="http://schemas.openxmlformats.org/officeDocument/2006/relationships/footer" Target="footer28.xml"/><Relationship Id="rId33" Type="http://schemas.openxmlformats.org/officeDocument/2006/relationships/footer" Target="footer29.xml"/><Relationship Id="rId34" Type="http://schemas.openxmlformats.org/officeDocument/2006/relationships/footer" Target="footer30.xml"/><Relationship Id="rId35" Type="http://schemas.openxmlformats.org/officeDocument/2006/relationships/footer" Target="footer31.xml"/><Relationship Id="rId36" Type="http://schemas.openxmlformats.org/officeDocument/2006/relationships/footer" Target="footer32.xml"/><Relationship Id="rId37" Type="http://schemas.openxmlformats.org/officeDocument/2006/relationships/footer" Target="footer33.xml"/><Relationship Id="rId38" Type="http://schemas.openxmlformats.org/officeDocument/2006/relationships/footer" Target="footer34.xml"/><Relationship Id="rId39" Type="http://schemas.openxmlformats.org/officeDocument/2006/relationships/footer" Target="footer35.xml"/><Relationship Id="rId40" Type="http://schemas.openxmlformats.org/officeDocument/2006/relationships/footer" Target="footer36.xml"/><Relationship Id="rId41" Type="http://schemas.openxmlformats.org/officeDocument/2006/relationships/numbering" Target="numbering.xml"/><Relationship Id="rId42" Type="http://schemas.openxmlformats.org/officeDocument/2006/relationships/fontTable" Target="fontTable.xml"/><Relationship Id="rId43" Type="http://schemas.openxmlformats.org/officeDocument/2006/relationships/settings" Target="settings.xml"/><Relationship Id="rId44"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1</TotalTime>
  <Application>LibreOffice/24.2.7.2$Linux_X86_64 LibreOffice_project/420$Build-2</Application>
  <AppVersion>15.0000</AppVersion>
  <Pages>51</Pages>
  <Words>8646</Words>
  <Characters>52682</Characters>
  <CharactersWithSpaces>60648</CharactersWithSpaces>
  <Paragraphs>694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en-US</dc:language>
  <cp:lastModifiedBy/>
  <dcterms:modified xsi:type="dcterms:W3CDTF">2025-05-06T16:05:17Z</dcterms:modified>
  <cp:revision>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21826380-356e-4220-ab9e-22bf10e47954</vt:lpwstr>
  </property>
</Properties>
</file>