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1BE29DD2" w14:textId="77777777" w:rsidR="00B31718" w:rsidRPr="00B31718" w:rsidRDefault="00B31718" w:rsidP="00B31718">
            <w:pPr>
              <w:overflowPunct/>
              <w:autoSpaceDE/>
              <w:autoSpaceDN/>
              <w:adjustRightInd/>
              <w:ind w:right="-957"/>
              <w:textAlignment w:val="auto"/>
              <w:rPr>
                <w:rFonts w:ascii="Times New Roman" w:hAnsi="Times New Roman" w:cs="Times New Roman"/>
                <w:b/>
                <w:color w:val="auto"/>
                <w:sz w:val="48"/>
              </w:rPr>
            </w:pPr>
            <w:r w:rsidRPr="00B31718">
              <w:rPr>
                <w:rFonts w:ascii="Times New Roman" w:hAnsi="Times New Roman" w:cs="Times New Roman"/>
                <w:b/>
                <w:color w:val="auto"/>
                <w:sz w:val="48"/>
              </w:rPr>
              <w:t>Learner’s name: Megan Jones</w:t>
            </w:r>
          </w:p>
          <w:p w14:paraId="5FCD4074" w14:textId="77777777" w:rsidR="00B31718" w:rsidRPr="00B31718" w:rsidRDefault="00B31718" w:rsidP="00B31718">
            <w:pPr>
              <w:overflowPunct/>
              <w:autoSpaceDE/>
              <w:autoSpaceDN/>
              <w:adjustRightInd/>
              <w:ind w:right="-957"/>
              <w:textAlignment w:val="auto"/>
              <w:rPr>
                <w:rFonts w:ascii="Times New Roman" w:hAnsi="Times New Roman" w:cs="Times New Roman"/>
                <w:b/>
                <w:color w:val="auto"/>
                <w:sz w:val="48"/>
              </w:rPr>
            </w:pPr>
          </w:p>
          <w:p w14:paraId="602E80B3" w14:textId="77777777" w:rsidR="00B31718" w:rsidRPr="00B31718" w:rsidRDefault="00B31718" w:rsidP="00B31718">
            <w:pPr>
              <w:overflowPunct/>
              <w:autoSpaceDE/>
              <w:autoSpaceDN/>
              <w:adjustRightInd/>
              <w:ind w:right="-957"/>
              <w:textAlignment w:val="auto"/>
              <w:rPr>
                <w:rFonts w:ascii="Times New Roman" w:hAnsi="Times New Roman" w:cs="Times New Roman"/>
                <w:b/>
                <w:color w:val="auto"/>
                <w:sz w:val="48"/>
              </w:rPr>
            </w:pPr>
            <w:r w:rsidRPr="00B31718">
              <w:rPr>
                <w:rFonts w:ascii="Times New Roman" w:hAnsi="Times New Roman" w:cs="Times New Roman"/>
                <w:b/>
                <w:color w:val="auto"/>
                <w:sz w:val="48"/>
              </w:rPr>
              <w:t xml:space="preserve">Email address: megan.jones@wrexham.gov.uk </w:t>
            </w:r>
          </w:p>
          <w:p w14:paraId="730C35B5" w14:textId="77777777" w:rsidR="00B31718" w:rsidRPr="00B31718" w:rsidRDefault="00B31718" w:rsidP="00B31718">
            <w:pPr>
              <w:overflowPunct/>
              <w:autoSpaceDE/>
              <w:autoSpaceDN/>
              <w:adjustRightInd/>
              <w:ind w:right="-957"/>
              <w:textAlignment w:val="auto"/>
              <w:rPr>
                <w:rFonts w:ascii="Times New Roman" w:hAnsi="Times New Roman" w:cs="Times New Roman"/>
                <w:b/>
                <w:color w:val="auto"/>
                <w:sz w:val="48"/>
              </w:rPr>
            </w:pPr>
          </w:p>
          <w:p w14:paraId="36754310" w14:textId="77777777" w:rsidR="00B31718" w:rsidRPr="00B31718" w:rsidRDefault="00B31718" w:rsidP="00B31718">
            <w:pPr>
              <w:overflowPunct/>
              <w:autoSpaceDE/>
              <w:autoSpaceDN/>
              <w:adjustRightInd/>
              <w:ind w:right="-957"/>
              <w:textAlignment w:val="auto"/>
              <w:rPr>
                <w:rFonts w:ascii="Times New Roman" w:hAnsi="Times New Roman" w:cs="Times New Roman"/>
                <w:b/>
                <w:color w:val="auto"/>
                <w:sz w:val="48"/>
              </w:rPr>
            </w:pPr>
            <w:r w:rsidRPr="00B31718">
              <w:rPr>
                <w:rFonts w:ascii="Times New Roman" w:hAnsi="Times New Roman" w:cs="Times New Roman"/>
                <w:b/>
                <w:color w:val="auto"/>
                <w:sz w:val="48"/>
              </w:rPr>
              <w:t xml:space="preserve">Learner’s University Registration Number: </w:t>
            </w:r>
          </w:p>
          <w:p w14:paraId="4B9A7C47" w14:textId="77777777" w:rsidR="00B31718" w:rsidRPr="00B31718" w:rsidRDefault="00B31718" w:rsidP="00B31718">
            <w:pPr>
              <w:overflowPunct/>
              <w:autoSpaceDE/>
              <w:autoSpaceDN/>
              <w:adjustRightInd/>
              <w:ind w:right="-957"/>
              <w:textAlignment w:val="auto"/>
              <w:rPr>
                <w:rFonts w:ascii="Times New Roman" w:hAnsi="Times New Roman" w:cs="Times New Roman"/>
                <w:b/>
                <w:color w:val="auto"/>
                <w:sz w:val="48"/>
              </w:rPr>
            </w:pPr>
            <w:r w:rsidRPr="00B31718">
              <w:rPr>
                <w:rFonts w:ascii="Times New Roman" w:hAnsi="Times New Roman" w:cs="Times New Roman"/>
                <w:b/>
                <w:color w:val="auto"/>
                <w:sz w:val="48"/>
              </w:rPr>
              <w:t>2521749</w:t>
            </w:r>
          </w:p>
          <w:p w14:paraId="009E83DE" w14:textId="77777777" w:rsidR="00B31718" w:rsidRPr="00B31718" w:rsidRDefault="00B31718" w:rsidP="00B31718">
            <w:pPr>
              <w:overflowPunct/>
              <w:autoSpaceDE/>
              <w:autoSpaceDN/>
              <w:adjustRightInd/>
              <w:ind w:right="-957"/>
              <w:textAlignment w:val="auto"/>
              <w:rPr>
                <w:rFonts w:ascii="Times New Roman" w:hAnsi="Times New Roman" w:cs="Times New Roman"/>
                <w:b/>
                <w:color w:val="auto"/>
                <w:sz w:val="48"/>
              </w:rPr>
            </w:pPr>
          </w:p>
          <w:p w14:paraId="5F84129B" w14:textId="5C35877B" w:rsidR="0085230E" w:rsidRPr="005D3F07" w:rsidRDefault="00B31718" w:rsidP="00B31718">
            <w:pPr>
              <w:overflowPunct/>
              <w:autoSpaceDE/>
              <w:autoSpaceDN/>
              <w:adjustRightInd/>
              <w:ind w:right="-957"/>
              <w:textAlignment w:val="auto"/>
              <w:rPr>
                <w:rFonts w:ascii="Times New Roman" w:hAnsi="Times New Roman" w:cs="Times New Roman"/>
                <w:b/>
                <w:color w:val="auto"/>
                <w:sz w:val="48"/>
              </w:rPr>
            </w:pPr>
            <w:r w:rsidRPr="00B31718">
              <w:rPr>
                <w:rFonts w:ascii="Times New Roman" w:hAnsi="Times New Roman" w:cs="Times New Roman"/>
                <w:b/>
                <w:color w:val="auto"/>
                <w:sz w:val="48"/>
              </w:rPr>
              <w:t>Cohort: 18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5E221CEC" w14:textId="77777777" w:rsidR="00900B2A" w:rsidRDefault="00900B2A" w:rsidP="4EC15626">
      <w:pPr>
        <w:ind w:left="-90"/>
        <w:jc w:val="both"/>
        <w:rPr>
          <w:i/>
          <w:iCs/>
          <w:sz w:val="24"/>
          <w:szCs w:val="24"/>
        </w:rPr>
      </w:pPr>
    </w:p>
    <w:p w14:paraId="7B635A85" w14:textId="77777777" w:rsidR="00900B2A" w:rsidRPr="008B28E7" w:rsidRDefault="00900B2A" w:rsidP="00744931">
      <w:pPr>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15CCC880" w14:textId="77777777" w:rsidR="00744931" w:rsidRPr="00744931" w:rsidRDefault="00744931" w:rsidP="00744931">
            <w:pPr>
              <w:jc w:val="both"/>
              <w:rPr>
                <w:b/>
                <w:sz w:val="24"/>
                <w:szCs w:val="24"/>
              </w:rPr>
            </w:pPr>
            <w:r w:rsidRPr="00744931">
              <w:rPr>
                <w:b/>
                <w:sz w:val="24"/>
                <w:szCs w:val="24"/>
              </w:rPr>
              <w:t>Question a:</w:t>
            </w:r>
          </w:p>
          <w:p w14:paraId="6C34A40C" w14:textId="77777777" w:rsidR="00744931" w:rsidRPr="00744931" w:rsidRDefault="00744931" w:rsidP="00744931">
            <w:pPr>
              <w:jc w:val="both"/>
              <w:rPr>
                <w:b/>
                <w:sz w:val="24"/>
                <w:szCs w:val="24"/>
              </w:rPr>
            </w:pPr>
            <w:r w:rsidRPr="00744931">
              <w:rPr>
                <w:b/>
                <w:sz w:val="24"/>
                <w:szCs w:val="24"/>
              </w:rPr>
              <w:t>In an area that is not your main focus of work (see guidance above), explain the relevant legislation, and the national, local and organisational policies and procedures for safeguarding.</w:t>
            </w:r>
          </w:p>
          <w:p w14:paraId="3A86607D" w14:textId="77777777" w:rsidR="00744931" w:rsidRPr="00744931" w:rsidRDefault="00744931" w:rsidP="00744931">
            <w:pPr>
              <w:jc w:val="both"/>
              <w:rPr>
                <w:b/>
                <w:sz w:val="24"/>
                <w:szCs w:val="24"/>
              </w:rPr>
            </w:pPr>
          </w:p>
          <w:p w14:paraId="50306643" w14:textId="77777777" w:rsidR="00744931" w:rsidRPr="00744931" w:rsidRDefault="00744931" w:rsidP="00744931">
            <w:pPr>
              <w:jc w:val="both"/>
              <w:rPr>
                <w:b/>
                <w:sz w:val="24"/>
                <w:szCs w:val="24"/>
              </w:rPr>
            </w:pPr>
            <w:r w:rsidRPr="00744931">
              <w:rPr>
                <w:b/>
                <w:sz w:val="24"/>
                <w:szCs w:val="24"/>
              </w:rPr>
              <w:t xml:space="preserve"> 500 words (+/- 10%: include your actual word count at the end of each section).</w:t>
            </w:r>
          </w:p>
          <w:p w14:paraId="6BD003C9" w14:textId="77777777" w:rsidR="00744931" w:rsidRPr="00744931" w:rsidRDefault="00744931" w:rsidP="00744931">
            <w:pPr>
              <w:jc w:val="both"/>
              <w:rPr>
                <w:b/>
                <w:sz w:val="24"/>
                <w:szCs w:val="24"/>
              </w:rPr>
            </w:pPr>
          </w:p>
          <w:p w14:paraId="262E21FE" w14:textId="77777777" w:rsidR="00744931" w:rsidRPr="00744931" w:rsidRDefault="00744931" w:rsidP="00744931">
            <w:pPr>
              <w:spacing w:line="360" w:lineRule="auto"/>
              <w:jc w:val="both"/>
              <w:rPr>
                <w:bCs/>
                <w:sz w:val="24"/>
                <w:szCs w:val="24"/>
              </w:rPr>
            </w:pPr>
            <w:r w:rsidRPr="00744931">
              <w:rPr>
                <w:bCs/>
                <w:sz w:val="24"/>
                <w:szCs w:val="24"/>
              </w:rPr>
              <w:t>This will consider safeguarding adults at risk in Wales. The primary legal framework was the Social Services and Well-being (Wales) Act 2014. Section 126 defines adult at risk as someone who is experiencing, or at risk of, abuse or neglect, has care and support needs, and is unable to protect themselves because of those needs. Where there is reasonable cause to suspect this threshold is met, the local authority must make enquiries to identify if protective action is required (Social Services and Well-being (Wales) Act 2014).</w:t>
            </w:r>
          </w:p>
          <w:p w14:paraId="52DADD5F" w14:textId="77777777" w:rsidR="00744931" w:rsidRPr="00744931" w:rsidRDefault="00744931" w:rsidP="00744931">
            <w:pPr>
              <w:spacing w:line="360" w:lineRule="auto"/>
              <w:jc w:val="both"/>
              <w:rPr>
                <w:bCs/>
                <w:sz w:val="24"/>
                <w:szCs w:val="24"/>
              </w:rPr>
            </w:pPr>
          </w:p>
          <w:p w14:paraId="316B6605" w14:textId="77777777" w:rsidR="00744931" w:rsidRPr="00744931" w:rsidRDefault="00744931" w:rsidP="00744931">
            <w:pPr>
              <w:spacing w:line="360" w:lineRule="auto"/>
              <w:jc w:val="both"/>
              <w:rPr>
                <w:bCs/>
                <w:sz w:val="24"/>
                <w:szCs w:val="24"/>
              </w:rPr>
            </w:pPr>
            <w:r w:rsidRPr="00744931">
              <w:rPr>
                <w:bCs/>
                <w:sz w:val="24"/>
                <w:szCs w:val="24"/>
              </w:rPr>
              <w:t>Having care and support needs does not automatically mean that an individual is an adult at risk. Practitioners must consider how those needs affect the person's ability to protect themselves from abuse or neglect. This may involve exploring factors such as disability, mental ill-health, cognitive impairment, substance misuse, social isolation, domestic abuse, dependence on others, or communication difficulties. Indicators of abuse or neglect can include unexplained injuries, fearfulness, behavioural changes, poor hygiene, deteriorating health, unsafe living conditions, financial concerns, or self-neglect. However, these indicators should be considered within the context of the individual's circumstances rather than in isolation.</w:t>
            </w:r>
          </w:p>
          <w:p w14:paraId="0035A5DD" w14:textId="77777777" w:rsidR="00744931" w:rsidRPr="00744931" w:rsidRDefault="00744931" w:rsidP="00744931">
            <w:pPr>
              <w:spacing w:line="360" w:lineRule="auto"/>
              <w:jc w:val="both"/>
              <w:rPr>
                <w:bCs/>
                <w:sz w:val="24"/>
                <w:szCs w:val="24"/>
              </w:rPr>
            </w:pPr>
          </w:p>
          <w:p w14:paraId="2528ACCF" w14:textId="77777777" w:rsidR="00744931" w:rsidRPr="00744931" w:rsidRDefault="00744931" w:rsidP="00744931">
            <w:pPr>
              <w:spacing w:line="360" w:lineRule="auto"/>
              <w:jc w:val="both"/>
              <w:rPr>
                <w:bCs/>
                <w:sz w:val="24"/>
                <w:szCs w:val="24"/>
              </w:rPr>
            </w:pPr>
            <w:r w:rsidRPr="00744931">
              <w:rPr>
                <w:bCs/>
                <w:sz w:val="24"/>
                <w:szCs w:val="24"/>
              </w:rPr>
              <w:t>The Wales Safeguarding Procedures provide a national framework for safeguarding adults at risk and support execution of the Social Services and Well-being (Wales) Act 2014, Working Together to Safeguard People and Working Together to Safeguard People: Volume 6 – Handling Individual Cases to Protect Adults at Risk (Welsh Government, 2026). At a local level, these requirements are implemented through local authority procedures and Regional Safeguarding Boards, including referral pathways, information-sharing arrangements and multi-agency working processes. Organisational policies relating to safeguarding, confidentiality, information sharing, record keeping, whistleblowing and risk assessment further translate statutory duties into day-to-day practice.</w:t>
            </w:r>
          </w:p>
          <w:p w14:paraId="247A4A68" w14:textId="77777777" w:rsidR="00744931" w:rsidRPr="00744931" w:rsidRDefault="00744931" w:rsidP="00744931">
            <w:pPr>
              <w:spacing w:line="360" w:lineRule="auto"/>
              <w:jc w:val="both"/>
              <w:rPr>
                <w:bCs/>
                <w:sz w:val="24"/>
                <w:szCs w:val="24"/>
              </w:rPr>
            </w:pPr>
          </w:p>
          <w:p w14:paraId="02854B68" w14:textId="77777777" w:rsidR="00744931" w:rsidRPr="00744931" w:rsidRDefault="00744931" w:rsidP="00744931">
            <w:pPr>
              <w:spacing w:line="360" w:lineRule="auto"/>
              <w:jc w:val="both"/>
              <w:rPr>
                <w:bCs/>
                <w:sz w:val="24"/>
                <w:szCs w:val="24"/>
              </w:rPr>
            </w:pPr>
            <w:r w:rsidRPr="00744931">
              <w:rPr>
                <w:bCs/>
                <w:sz w:val="24"/>
                <w:szCs w:val="24"/>
              </w:rPr>
              <w:t>The Mental Capacity Act 2005 recognises that capacity and autonomy influences safeguarding intervention; an adults capacity must be presumed unless identified otherwise. Individuals must be supported to make decisions, and making, what is viewed as, unwise decisions do not themselves demonstrate lack of capacity. Where capacity is deemed lacking, the individuals best interests and the least restrictive option must be considered in decision making (Mental Capacity Act 2005).</w:t>
            </w:r>
          </w:p>
          <w:p w14:paraId="4EAA7D2B" w14:textId="77777777" w:rsidR="00744931" w:rsidRPr="00744931" w:rsidRDefault="00744931" w:rsidP="00744931">
            <w:pPr>
              <w:spacing w:line="360" w:lineRule="auto"/>
              <w:jc w:val="both"/>
              <w:rPr>
                <w:bCs/>
                <w:sz w:val="24"/>
                <w:szCs w:val="24"/>
              </w:rPr>
            </w:pPr>
          </w:p>
          <w:p w14:paraId="7D90B0CA" w14:textId="77777777" w:rsidR="00744931" w:rsidRPr="00744931" w:rsidRDefault="00744931" w:rsidP="00744931">
            <w:pPr>
              <w:spacing w:line="360" w:lineRule="auto"/>
              <w:jc w:val="both"/>
              <w:rPr>
                <w:bCs/>
                <w:sz w:val="24"/>
                <w:szCs w:val="24"/>
              </w:rPr>
            </w:pPr>
            <w:r w:rsidRPr="00744931">
              <w:rPr>
                <w:bCs/>
                <w:sz w:val="24"/>
                <w:szCs w:val="24"/>
              </w:rPr>
              <w:t>Adult safeguarding is also influenced by wider legislation, including the Human Rights Act 1998, Equality Act 2010, Violence against Women, Domestic Abuse and Sexual Violence (Wales) Act 2015, and Domestic Abuse Act 2021. Safeguarding does not sit within social care alone and must be considered alongside human rights, equality, health and criminal justice frameworks. Assessment, intervention and decision-making are guided by these legislative duties in practice.</w:t>
            </w:r>
          </w:p>
          <w:p w14:paraId="32DB21E1" w14:textId="77777777" w:rsidR="00744931" w:rsidRPr="00744931" w:rsidRDefault="00744931" w:rsidP="00744931">
            <w:pPr>
              <w:spacing w:line="360" w:lineRule="auto"/>
              <w:jc w:val="both"/>
              <w:rPr>
                <w:bCs/>
                <w:sz w:val="24"/>
                <w:szCs w:val="24"/>
              </w:rPr>
            </w:pPr>
          </w:p>
          <w:p w14:paraId="1BAF8F2E" w14:textId="77777777" w:rsidR="00744931" w:rsidRPr="00744931" w:rsidRDefault="00744931" w:rsidP="00744931">
            <w:pPr>
              <w:spacing w:line="360" w:lineRule="auto"/>
              <w:jc w:val="both"/>
              <w:rPr>
                <w:bCs/>
                <w:sz w:val="24"/>
                <w:szCs w:val="24"/>
              </w:rPr>
            </w:pPr>
            <w:r w:rsidRPr="00744931">
              <w:rPr>
                <w:bCs/>
                <w:sz w:val="24"/>
                <w:szCs w:val="24"/>
              </w:rPr>
              <w:t>The Social Care Wales (2026) Code of Professional Practice requires practitioners to respect people's views and choices, balance rights and risk, and work collaboratively to protect from harm. Effective safeguarding relies on partnership working, with professionals, carers and the individual each contributing information and perspectives while maintaining clear roles and responsibilities.</w:t>
            </w:r>
          </w:p>
          <w:p w14:paraId="39149467" w14:textId="77777777" w:rsidR="00744931" w:rsidRPr="00744931" w:rsidRDefault="00744931" w:rsidP="00744931">
            <w:pPr>
              <w:spacing w:line="360" w:lineRule="auto"/>
              <w:jc w:val="both"/>
              <w:rPr>
                <w:bCs/>
                <w:sz w:val="24"/>
                <w:szCs w:val="24"/>
              </w:rPr>
            </w:pPr>
          </w:p>
          <w:p w14:paraId="658E1233" w14:textId="77777777" w:rsidR="00744931" w:rsidRPr="00744931" w:rsidRDefault="00744931" w:rsidP="00744931">
            <w:pPr>
              <w:spacing w:line="360" w:lineRule="auto"/>
              <w:jc w:val="both"/>
              <w:rPr>
                <w:bCs/>
                <w:sz w:val="24"/>
                <w:szCs w:val="24"/>
              </w:rPr>
            </w:pPr>
            <w:r w:rsidRPr="00744931">
              <w:rPr>
                <w:bCs/>
                <w:sz w:val="24"/>
                <w:szCs w:val="24"/>
              </w:rPr>
              <w:lastRenderedPageBreak/>
              <w:t>Establishing the adult's preferred outcomes is fundamental to safeguarding practice. Practitioners should seek to understand what the adult wants safeguarding intervention to achieve, including situations where a person with capacity chooses an outcome that involves continuing risk. Where appropriate, carers' views and their care and support needs should also be considered, while recognising that these may differ from the adult's wishes. Adult safeguarding therefore requires a balance between protection, autonomy, rights, wellbeing and risk management, rather than assuming eradicating risk is the preferred or proportionate outcome.</w:t>
            </w:r>
          </w:p>
          <w:p w14:paraId="165D261E" w14:textId="77777777" w:rsidR="00744931" w:rsidRPr="00744931" w:rsidRDefault="00744931" w:rsidP="00744931">
            <w:pPr>
              <w:spacing w:line="360" w:lineRule="auto"/>
              <w:jc w:val="both"/>
              <w:rPr>
                <w:bCs/>
                <w:sz w:val="24"/>
                <w:szCs w:val="24"/>
              </w:rPr>
            </w:pPr>
          </w:p>
          <w:p w14:paraId="03BD6D93" w14:textId="0E8BFC7B" w:rsidR="007A628F" w:rsidRPr="00246498" w:rsidRDefault="00744931" w:rsidP="00744931">
            <w:pPr>
              <w:jc w:val="both"/>
              <w:rPr>
                <w:b/>
                <w:bCs/>
                <w:sz w:val="24"/>
                <w:szCs w:val="24"/>
              </w:rPr>
            </w:pPr>
            <w:r w:rsidRPr="00744931">
              <w:rPr>
                <w:b/>
                <w:sz w:val="24"/>
                <w:szCs w:val="24"/>
              </w:rPr>
              <w:t>Word count: 550</w:t>
            </w: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201BB7A9" w14:textId="77777777" w:rsidR="00744931" w:rsidRPr="00744931" w:rsidRDefault="00744931" w:rsidP="00744931">
            <w:pPr>
              <w:jc w:val="both"/>
              <w:rPr>
                <w:b/>
                <w:sz w:val="24"/>
                <w:szCs w:val="24"/>
              </w:rPr>
            </w:pPr>
            <w:r w:rsidRPr="00744931">
              <w:rPr>
                <w:b/>
                <w:sz w:val="24"/>
                <w:szCs w:val="24"/>
              </w:rPr>
              <w:t>Question b:</w:t>
            </w:r>
          </w:p>
          <w:p w14:paraId="6261829E" w14:textId="77777777" w:rsidR="00744931" w:rsidRPr="00744931" w:rsidRDefault="00744931" w:rsidP="00744931">
            <w:pPr>
              <w:jc w:val="both"/>
              <w:rPr>
                <w:b/>
                <w:sz w:val="24"/>
                <w:szCs w:val="24"/>
              </w:rPr>
            </w:pPr>
            <w:r w:rsidRPr="00744931">
              <w:rPr>
                <w:b/>
                <w:sz w:val="24"/>
                <w:szCs w:val="24"/>
              </w:rPr>
              <w:t>Reflect on the difference between safeguarding in adults’ and children’s work</w:t>
            </w:r>
          </w:p>
          <w:p w14:paraId="51DCD864" w14:textId="77777777" w:rsidR="00744931" w:rsidRPr="00744931" w:rsidRDefault="00744931" w:rsidP="00744931">
            <w:pPr>
              <w:jc w:val="both"/>
              <w:rPr>
                <w:b/>
                <w:sz w:val="24"/>
                <w:szCs w:val="24"/>
              </w:rPr>
            </w:pPr>
            <w:r w:rsidRPr="00744931">
              <w:rPr>
                <w:b/>
                <w:sz w:val="24"/>
                <w:szCs w:val="24"/>
              </w:rPr>
              <w:t>Whether safeguarding an adult at risk from abuse or neglect or protecting children from abuse, neglect and harm, the procedures are based on the same principles which reflect the principles underpinning the Social Services and Wellbeing (Wales) Act 2014.</w:t>
            </w:r>
          </w:p>
          <w:p w14:paraId="20664ADF" w14:textId="77777777" w:rsidR="00744931" w:rsidRPr="00744931" w:rsidRDefault="00744931" w:rsidP="00744931">
            <w:pPr>
              <w:jc w:val="both"/>
              <w:rPr>
                <w:b/>
                <w:sz w:val="24"/>
                <w:szCs w:val="24"/>
              </w:rPr>
            </w:pPr>
          </w:p>
          <w:p w14:paraId="0F531EFD" w14:textId="77777777" w:rsidR="00744931" w:rsidRPr="00744931" w:rsidRDefault="00744931" w:rsidP="00744931">
            <w:pPr>
              <w:jc w:val="both"/>
              <w:rPr>
                <w:b/>
                <w:sz w:val="24"/>
                <w:szCs w:val="24"/>
              </w:rPr>
            </w:pPr>
            <w:r w:rsidRPr="00744931">
              <w:rPr>
                <w:b/>
                <w:sz w:val="24"/>
                <w:szCs w:val="24"/>
              </w:rPr>
              <w:t>Commonalities in processes but differences in legislation</w:t>
            </w:r>
          </w:p>
          <w:p w14:paraId="02D87873" w14:textId="77777777" w:rsidR="00744931" w:rsidRPr="00744931" w:rsidRDefault="00744931" w:rsidP="00744931">
            <w:pPr>
              <w:jc w:val="both"/>
              <w:rPr>
                <w:b/>
                <w:sz w:val="24"/>
                <w:szCs w:val="24"/>
              </w:rPr>
            </w:pPr>
            <w:r w:rsidRPr="00744931">
              <w:rPr>
                <w:b/>
                <w:sz w:val="24"/>
                <w:szCs w:val="24"/>
              </w:rPr>
              <w:t>400 words (+/- 10%: include your actual word count at the end of each section).</w:t>
            </w:r>
          </w:p>
          <w:p w14:paraId="45919185" w14:textId="77777777" w:rsidR="00744931" w:rsidRPr="00744931" w:rsidRDefault="00744931" w:rsidP="00744931">
            <w:pPr>
              <w:jc w:val="both"/>
              <w:rPr>
                <w:b/>
                <w:sz w:val="24"/>
                <w:szCs w:val="24"/>
              </w:rPr>
            </w:pPr>
          </w:p>
          <w:p w14:paraId="7C886891" w14:textId="77777777" w:rsidR="00744931" w:rsidRPr="00744931" w:rsidRDefault="00744931" w:rsidP="00744931">
            <w:pPr>
              <w:spacing w:line="360" w:lineRule="auto"/>
              <w:jc w:val="both"/>
              <w:rPr>
                <w:bCs/>
                <w:sz w:val="24"/>
                <w:szCs w:val="24"/>
              </w:rPr>
            </w:pPr>
            <w:r w:rsidRPr="00744931">
              <w:rPr>
                <w:bCs/>
                <w:sz w:val="24"/>
                <w:szCs w:val="24"/>
              </w:rPr>
              <w:t>Exploring adult safeguarding has highlighted both similarities and important differences from my usual practice with children. Both require practitioners to recognise abuse, neglect and harm, analyse information, work collaboratively across agencies and ensure the individual's voice informs decision-making. The Wales Safeguarding Procedures provide a national framework for safeguarding both children and adults at risk.</w:t>
            </w:r>
          </w:p>
          <w:p w14:paraId="18207DF0" w14:textId="77777777" w:rsidR="00744931" w:rsidRPr="00744931" w:rsidRDefault="00744931" w:rsidP="00744931">
            <w:pPr>
              <w:spacing w:line="360" w:lineRule="auto"/>
              <w:jc w:val="both"/>
              <w:rPr>
                <w:bCs/>
                <w:sz w:val="24"/>
                <w:szCs w:val="24"/>
              </w:rPr>
            </w:pPr>
          </w:p>
          <w:p w14:paraId="318C0C06" w14:textId="77777777" w:rsidR="00744931" w:rsidRPr="00744931" w:rsidRDefault="00744931" w:rsidP="00744931">
            <w:pPr>
              <w:spacing w:line="360" w:lineRule="auto"/>
              <w:jc w:val="both"/>
              <w:rPr>
                <w:bCs/>
                <w:sz w:val="24"/>
                <w:szCs w:val="24"/>
              </w:rPr>
            </w:pPr>
            <w:r w:rsidRPr="00744931">
              <w:rPr>
                <w:bCs/>
                <w:sz w:val="24"/>
                <w:szCs w:val="24"/>
              </w:rPr>
              <w:t>The different legal frameworks also influence practice. Children's legislation places welfare and protection at the centre of decision-making, whereas adult safeguarding places greater emphasis on autonomy, capacity and an individual's right to make their own decisions.</w:t>
            </w:r>
          </w:p>
          <w:p w14:paraId="64B5FF9E" w14:textId="77777777" w:rsidR="00744931" w:rsidRPr="00744931" w:rsidRDefault="00744931" w:rsidP="00744931">
            <w:pPr>
              <w:spacing w:line="360" w:lineRule="auto"/>
              <w:jc w:val="both"/>
              <w:rPr>
                <w:bCs/>
                <w:sz w:val="24"/>
                <w:szCs w:val="24"/>
              </w:rPr>
            </w:pPr>
          </w:p>
          <w:p w14:paraId="351C4E81" w14:textId="77777777" w:rsidR="00744931" w:rsidRPr="00744931" w:rsidRDefault="00744931" w:rsidP="00744931">
            <w:pPr>
              <w:spacing w:line="360" w:lineRule="auto"/>
              <w:jc w:val="both"/>
              <w:rPr>
                <w:bCs/>
                <w:sz w:val="24"/>
                <w:szCs w:val="24"/>
              </w:rPr>
            </w:pPr>
            <w:r w:rsidRPr="00744931">
              <w:rPr>
                <w:bCs/>
                <w:sz w:val="24"/>
                <w:szCs w:val="24"/>
              </w:rPr>
              <w:t xml:space="preserve">The most significant difference for me is the weight given to an adult's autonomy, capacity and right to make decisions involving risk. The Mental Capacity Act 2005 begins with a presumption of capacity and establishes that an individual should not be considered unable to </w:t>
            </w:r>
            <w:r w:rsidRPr="00744931">
              <w:rPr>
                <w:bCs/>
                <w:sz w:val="24"/>
                <w:szCs w:val="24"/>
              </w:rPr>
              <w:lastRenderedPageBreak/>
              <w:t>make a decision simply because they make an unwise one. Similarly, the Social Care Wales (2026) Code requires practitioners to respect people's rights to take risks while supporting them to understand and manage those risks.</w:t>
            </w:r>
          </w:p>
          <w:p w14:paraId="19FC793E" w14:textId="77777777" w:rsidR="00744931" w:rsidRPr="00744931" w:rsidRDefault="00744931" w:rsidP="00744931">
            <w:pPr>
              <w:spacing w:line="360" w:lineRule="auto"/>
              <w:jc w:val="both"/>
              <w:rPr>
                <w:bCs/>
                <w:sz w:val="24"/>
                <w:szCs w:val="24"/>
              </w:rPr>
            </w:pPr>
          </w:p>
          <w:p w14:paraId="05C3F2DA" w14:textId="77777777" w:rsidR="00744931" w:rsidRPr="00744931" w:rsidRDefault="00744931" w:rsidP="00744931">
            <w:pPr>
              <w:spacing w:line="360" w:lineRule="auto"/>
              <w:jc w:val="both"/>
              <w:rPr>
                <w:bCs/>
                <w:sz w:val="24"/>
                <w:szCs w:val="24"/>
              </w:rPr>
            </w:pPr>
            <w:r w:rsidRPr="00744931">
              <w:rPr>
                <w:bCs/>
                <w:sz w:val="24"/>
                <w:szCs w:val="24"/>
              </w:rPr>
              <w:t>This made me reflect on my children's practice. Child 2 in Task 3 was clear about what they wanted, and their wishes formed an important part of my assessment. However, I still had a duty to consider welfare, risk, parental capacity and whether their preferred outcome would appropriately meet their needs. In adult safeguarding, where an adult has capacity to make the relevant decision, I may need to support an outcome that involves a level of risk I would not choose myself.</w:t>
            </w:r>
          </w:p>
          <w:p w14:paraId="494858EE" w14:textId="77777777" w:rsidR="00744931" w:rsidRPr="00744931" w:rsidRDefault="00744931" w:rsidP="00744931">
            <w:pPr>
              <w:spacing w:line="360" w:lineRule="auto"/>
              <w:jc w:val="both"/>
              <w:rPr>
                <w:bCs/>
                <w:sz w:val="24"/>
                <w:szCs w:val="24"/>
              </w:rPr>
            </w:pPr>
          </w:p>
          <w:p w14:paraId="77888417" w14:textId="77777777" w:rsidR="00744931" w:rsidRPr="00744931" w:rsidRDefault="00744931" w:rsidP="00744931">
            <w:pPr>
              <w:spacing w:line="360" w:lineRule="auto"/>
              <w:jc w:val="both"/>
              <w:rPr>
                <w:bCs/>
                <w:sz w:val="24"/>
                <w:szCs w:val="24"/>
              </w:rPr>
            </w:pPr>
            <w:r w:rsidRPr="00744931">
              <w:rPr>
                <w:bCs/>
                <w:sz w:val="24"/>
                <w:szCs w:val="24"/>
              </w:rPr>
              <w:t>Initially, I found this challenging because my safeguarding experience has largely been within children's services, where my focus naturally moves towards what action is required to protect a child. Adult safeguarding encouraged me to think more critically about the distinction between enabling people to make their own decisions and intervening to protect them from harm.</w:t>
            </w:r>
          </w:p>
          <w:p w14:paraId="4B405A32" w14:textId="77777777" w:rsidR="00744931" w:rsidRPr="00744931" w:rsidRDefault="00744931" w:rsidP="00744931">
            <w:pPr>
              <w:spacing w:line="360" w:lineRule="auto"/>
              <w:jc w:val="both"/>
              <w:rPr>
                <w:bCs/>
                <w:sz w:val="24"/>
                <w:szCs w:val="24"/>
              </w:rPr>
            </w:pPr>
          </w:p>
          <w:p w14:paraId="7ED1031B" w14:textId="77777777" w:rsidR="00744931" w:rsidRPr="00744931" w:rsidRDefault="00744931" w:rsidP="00744931">
            <w:pPr>
              <w:spacing w:line="360" w:lineRule="auto"/>
              <w:jc w:val="both"/>
              <w:rPr>
                <w:bCs/>
                <w:sz w:val="24"/>
                <w:szCs w:val="24"/>
              </w:rPr>
            </w:pPr>
            <w:r w:rsidRPr="00744931">
              <w:rPr>
                <w:bCs/>
                <w:sz w:val="24"/>
                <w:szCs w:val="24"/>
              </w:rPr>
              <w:t>However, the difference is not simply that children's safeguarding is about protection and adult safeguarding is about choice. Children also have rights to participate in decisions affecting them, while adult safeguarding can involve protective intervention where risks are significant or capacity is in question. The balance depends on the legal framework, individual circumstances and nature of the risk.</w:t>
            </w:r>
          </w:p>
          <w:p w14:paraId="337125EF" w14:textId="77777777" w:rsidR="00744931" w:rsidRPr="00744931" w:rsidRDefault="00744931" w:rsidP="00744931">
            <w:pPr>
              <w:spacing w:line="360" w:lineRule="auto"/>
              <w:jc w:val="both"/>
              <w:rPr>
                <w:bCs/>
                <w:sz w:val="24"/>
                <w:szCs w:val="24"/>
              </w:rPr>
            </w:pPr>
          </w:p>
          <w:p w14:paraId="16C916DF" w14:textId="77777777" w:rsidR="00744931" w:rsidRPr="00744931" w:rsidRDefault="00744931" w:rsidP="00744931">
            <w:pPr>
              <w:spacing w:line="360" w:lineRule="auto"/>
              <w:jc w:val="both"/>
              <w:rPr>
                <w:bCs/>
                <w:sz w:val="24"/>
                <w:szCs w:val="24"/>
              </w:rPr>
            </w:pPr>
            <w:r w:rsidRPr="00744931">
              <w:rPr>
                <w:bCs/>
                <w:sz w:val="24"/>
                <w:szCs w:val="24"/>
              </w:rPr>
              <w:t>This learning has broadened my understanding of safeguarding beyond my primary responsibility towards children. It has reinforced that effective safeguarding requires practitioners to balance protection, participation, rights and risk, rather than assuming that removing all risk is always the best outcome.</w:t>
            </w:r>
          </w:p>
          <w:p w14:paraId="3B7F22B5" w14:textId="77777777" w:rsidR="00744931" w:rsidRPr="00744931" w:rsidRDefault="00744931" w:rsidP="00744931">
            <w:pPr>
              <w:jc w:val="both"/>
              <w:rPr>
                <w:b/>
                <w:sz w:val="24"/>
                <w:szCs w:val="24"/>
              </w:rPr>
            </w:pPr>
          </w:p>
          <w:p w14:paraId="08760B3D" w14:textId="17634E5A" w:rsidR="00425851" w:rsidRPr="00246498" w:rsidRDefault="00744931" w:rsidP="00744931">
            <w:pPr>
              <w:spacing w:line="360" w:lineRule="auto"/>
              <w:jc w:val="both"/>
              <w:rPr>
                <w:b/>
                <w:bCs/>
                <w:sz w:val="24"/>
                <w:szCs w:val="24"/>
              </w:rPr>
            </w:pPr>
            <w:r w:rsidRPr="00744931">
              <w:rPr>
                <w:b/>
                <w:sz w:val="24"/>
                <w:szCs w:val="24"/>
              </w:rPr>
              <w:t>Word count: 405</w:t>
            </w: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D8338" w14:textId="77777777" w:rsidR="00A22B6B" w:rsidRDefault="00A22B6B">
      <w:r>
        <w:separator/>
      </w:r>
    </w:p>
  </w:endnote>
  <w:endnote w:type="continuationSeparator" w:id="0">
    <w:p w14:paraId="2A09F528" w14:textId="77777777" w:rsidR="00A22B6B" w:rsidRDefault="00A22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22917" w14:textId="77777777" w:rsidR="00A22B6B" w:rsidRDefault="00A22B6B">
      <w:r>
        <w:separator/>
      </w:r>
    </w:p>
  </w:footnote>
  <w:footnote w:type="continuationSeparator" w:id="0">
    <w:p w14:paraId="50993195" w14:textId="77777777" w:rsidR="00A22B6B" w:rsidRDefault="00A22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43E2"/>
    <w:rsid w:val="000C6892"/>
    <w:rsid w:val="000C6FFE"/>
    <w:rsid w:val="000D0BB6"/>
    <w:rsid w:val="000D2ED2"/>
    <w:rsid w:val="000D6653"/>
    <w:rsid w:val="000E0D51"/>
    <w:rsid w:val="000E26B0"/>
    <w:rsid w:val="000E37C2"/>
    <w:rsid w:val="000E38C3"/>
    <w:rsid w:val="000F1599"/>
    <w:rsid w:val="000F1769"/>
    <w:rsid w:val="000F1A97"/>
    <w:rsid w:val="000F2473"/>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197"/>
    <w:rsid w:val="0024288B"/>
    <w:rsid w:val="00243DB0"/>
    <w:rsid w:val="00246498"/>
    <w:rsid w:val="00247265"/>
    <w:rsid w:val="00260663"/>
    <w:rsid w:val="002657E9"/>
    <w:rsid w:val="0026665E"/>
    <w:rsid w:val="00266B9A"/>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851"/>
    <w:rsid w:val="00430DE3"/>
    <w:rsid w:val="00432174"/>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4931"/>
    <w:rsid w:val="00745016"/>
    <w:rsid w:val="0075031F"/>
    <w:rsid w:val="00751263"/>
    <w:rsid w:val="007544FC"/>
    <w:rsid w:val="00755427"/>
    <w:rsid w:val="00756548"/>
    <w:rsid w:val="0075673A"/>
    <w:rsid w:val="0075704F"/>
    <w:rsid w:val="007606F7"/>
    <w:rsid w:val="00763B2D"/>
    <w:rsid w:val="00764C84"/>
    <w:rsid w:val="007710AD"/>
    <w:rsid w:val="00772924"/>
    <w:rsid w:val="0078112D"/>
    <w:rsid w:val="007872F2"/>
    <w:rsid w:val="007873F9"/>
    <w:rsid w:val="007908E0"/>
    <w:rsid w:val="00793EB3"/>
    <w:rsid w:val="00794205"/>
    <w:rsid w:val="0079422A"/>
    <w:rsid w:val="007A1F6A"/>
    <w:rsid w:val="007A628F"/>
    <w:rsid w:val="007A6DE1"/>
    <w:rsid w:val="007B0DE3"/>
    <w:rsid w:val="007B1BFD"/>
    <w:rsid w:val="007B7191"/>
    <w:rsid w:val="007C1D94"/>
    <w:rsid w:val="007C556F"/>
    <w:rsid w:val="007C5ABE"/>
    <w:rsid w:val="007C6A87"/>
    <w:rsid w:val="007D0A07"/>
    <w:rsid w:val="007D0F11"/>
    <w:rsid w:val="007D133D"/>
    <w:rsid w:val="007D3EB4"/>
    <w:rsid w:val="007D3F16"/>
    <w:rsid w:val="007E6FA4"/>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0B2A"/>
    <w:rsid w:val="00902A65"/>
    <w:rsid w:val="00903932"/>
    <w:rsid w:val="0090779E"/>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B76B9"/>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4F39"/>
    <w:rsid w:val="009F6801"/>
    <w:rsid w:val="00A00081"/>
    <w:rsid w:val="00A06422"/>
    <w:rsid w:val="00A10D56"/>
    <w:rsid w:val="00A12AAE"/>
    <w:rsid w:val="00A12F22"/>
    <w:rsid w:val="00A16DD1"/>
    <w:rsid w:val="00A22441"/>
    <w:rsid w:val="00A22B6B"/>
    <w:rsid w:val="00A23F3B"/>
    <w:rsid w:val="00A24406"/>
    <w:rsid w:val="00A25F64"/>
    <w:rsid w:val="00A275F6"/>
    <w:rsid w:val="00A303B9"/>
    <w:rsid w:val="00A37416"/>
    <w:rsid w:val="00A40ED6"/>
    <w:rsid w:val="00A47621"/>
    <w:rsid w:val="00A479CD"/>
    <w:rsid w:val="00A50CFC"/>
    <w:rsid w:val="00A54D67"/>
    <w:rsid w:val="00A555F6"/>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416C"/>
    <w:rsid w:val="00AB5518"/>
    <w:rsid w:val="00AC3A0E"/>
    <w:rsid w:val="00AC4A04"/>
    <w:rsid w:val="00AC5679"/>
    <w:rsid w:val="00AD336F"/>
    <w:rsid w:val="00AD6219"/>
    <w:rsid w:val="00AE134C"/>
    <w:rsid w:val="00AE1868"/>
    <w:rsid w:val="00AE2564"/>
    <w:rsid w:val="00AE301F"/>
    <w:rsid w:val="00AE3302"/>
    <w:rsid w:val="00AE5BA6"/>
    <w:rsid w:val="00AE6231"/>
    <w:rsid w:val="00AE7077"/>
    <w:rsid w:val="00AF103B"/>
    <w:rsid w:val="00AF61C2"/>
    <w:rsid w:val="00AF6CC6"/>
    <w:rsid w:val="00B0296A"/>
    <w:rsid w:val="00B07E79"/>
    <w:rsid w:val="00B12295"/>
    <w:rsid w:val="00B137BE"/>
    <w:rsid w:val="00B15998"/>
    <w:rsid w:val="00B17FA0"/>
    <w:rsid w:val="00B2292C"/>
    <w:rsid w:val="00B22C3C"/>
    <w:rsid w:val="00B24344"/>
    <w:rsid w:val="00B24E23"/>
    <w:rsid w:val="00B26769"/>
    <w:rsid w:val="00B2754B"/>
    <w:rsid w:val="00B31718"/>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4F44"/>
    <w:rsid w:val="00BE0F7B"/>
    <w:rsid w:val="00BE10C2"/>
    <w:rsid w:val="00BF0D6C"/>
    <w:rsid w:val="00BF74FB"/>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7CD"/>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1C4A"/>
    <w:rsid w:val="00D3203C"/>
    <w:rsid w:val="00D33491"/>
    <w:rsid w:val="00D3442D"/>
    <w:rsid w:val="00D36F00"/>
    <w:rsid w:val="00D44B67"/>
    <w:rsid w:val="00D44F8E"/>
    <w:rsid w:val="00D51FD5"/>
    <w:rsid w:val="00D55DE0"/>
    <w:rsid w:val="00D6001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B65F9"/>
    <w:rsid w:val="00DC185D"/>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2BA9"/>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17C1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AF10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1722</TotalTime>
  <Pages>5</Pages>
  <Words>1261</Words>
  <Characters>7191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Megan Jones</cp:lastModifiedBy>
  <cp:revision>11</cp:revision>
  <cp:lastPrinted>2020-02-11T19:20:00Z</cp:lastPrinted>
  <dcterms:created xsi:type="dcterms:W3CDTF">2026-08-11T09:20:00Z</dcterms:created>
  <dcterms:modified xsi:type="dcterms:W3CDTF">2026-10-06T22:00:00Z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