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bCs/>
        </w:rPr>
      </w:pPr>
    </w:p>
    <w:p>
      <w:pPr>
        <w:pStyle w:val="style0"/>
        <w:jc w:val="center"/>
        <w:rPr>
          <w:b/>
          <w:bCs/>
        </w:rPr>
      </w:pPr>
    </w:p>
    <w:p>
      <w:pPr>
        <w:pStyle w:val="style0"/>
        <w:jc w:val="center"/>
        <w:rPr>
          <w:b/>
          <w:bCs/>
        </w:rPr>
      </w:pPr>
    </w:p>
    <w:p>
      <w:pPr>
        <w:pStyle w:val="style0"/>
        <w:jc w:val="center"/>
        <w:rPr>
          <w:b/>
          <w:bCs/>
        </w:rPr>
      </w:pPr>
    </w:p>
    <w:p>
      <w:pPr>
        <w:pStyle w:val="style0"/>
        <w:jc w:val="center"/>
        <w:rPr>
          <w:b/>
          <w:bCs/>
        </w:rPr>
      </w:pPr>
    </w:p>
    <w:p>
      <w:pPr>
        <w:pStyle w:val="style0"/>
        <w:jc w:val="center"/>
        <w:rPr>
          <w:b/>
          <w:bCs/>
        </w:rPr>
      </w:pPr>
    </w:p>
    <w:p>
      <w:pPr>
        <w:pStyle w:val="style0"/>
        <w:jc w:val="center"/>
        <w:rPr>
          <w:b/>
          <w:bCs/>
        </w:rPr>
      </w:pPr>
    </w:p>
    <w:p>
      <w:pPr>
        <w:pStyle w:val="style0"/>
        <w:jc w:val="center"/>
        <w:rPr>
          <w:b/>
          <w:bCs/>
        </w:rPr>
      </w:pPr>
    </w:p>
    <w:p>
      <w:pPr>
        <w:pStyle w:val="style0"/>
        <w:jc w:val="center"/>
        <w:rPr>
          <w:b/>
          <w:bCs/>
        </w:rPr>
      </w:pPr>
    </w:p>
    <w:p>
      <w:pPr>
        <w:pStyle w:val="style0"/>
        <w:jc w:val="center"/>
        <w:rPr>
          <w:b/>
          <w:bCs/>
        </w:rPr>
      </w:pPr>
    </w:p>
    <w:p>
      <w:pPr>
        <w:pStyle w:val="style0"/>
        <w:jc w:val="center"/>
        <w:rPr>
          <w:b/>
          <w:bCs/>
        </w:rPr>
      </w:pPr>
    </w:p>
    <w:p>
      <w:pPr>
        <w:pStyle w:val="style0"/>
        <w:jc w:val="center"/>
        <w:rPr>
          <w:b/>
          <w:bCs/>
        </w:rPr>
      </w:pPr>
    </w:p>
    <w:p>
      <w:pPr>
        <w:pStyle w:val="style0"/>
        <w:jc w:val="center"/>
        <w:rPr>
          <w:b/>
          <w:bCs/>
        </w:rPr>
      </w:pPr>
    </w:p>
    <w:p>
      <w:pPr>
        <w:pStyle w:val="style0"/>
        <w:jc w:val="center"/>
        <w:rPr>
          <w:b/>
          <w:bCs/>
        </w:rPr>
      </w:pPr>
    </w:p>
    <w:p>
      <w:pPr>
        <w:pStyle w:val="style0"/>
        <w:jc w:val="center"/>
        <w:rPr>
          <w:b/>
          <w:bCs/>
        </w:rPr>
      </w:pPr>
      <w:r>
        <w:rPr>
          <w:b/>
          <w:bCs/>
        </w:rPr>
        <w:t>Title: Individual Reflection on Professional Career Development</w:t>
      </w:r>
    </w:p>
    <w:p>
      <w:pPr>
        <w:pStyle w:val="style0"/>
        <w:jc w:val="center"/>
        <w:rPr>
          <w:b/>
          <w:bCs/>
        </w:rPr>
      </w:pPr>
    </w:p>
    <w:p>
      <w:pPr>
        <w:pStyle w:val="style0"/>
        <w:spacing w:lineRule="auto" w:line="278"/>
        <w:jc w:val="left"/>
        <w:rPr>
          <w:b/>
          <w:bCs/>
        </w:rPr>
      </w:pPr>
      <w:r>
        <w:rPr>
          <w:b/>
          <w:bCs/>
        </w:rPr>
        <w:br w:type="page"/>
      </w:r>
    </w:p>
    <w:p>
      <w:pPr>
        <w:pStyle w:val="style266"/>
        <w:jc w:val="center"/>
        <w:rPr>
          <w:rFonts w:ascii="Arial" w:cs="Arial" w:hAnsi="Arial"/>
          <w:b/>
          <w:bCs/>
          <w:color w:val="auto"/>
        </w:rPr>
      </w:pPr>
      <w:r>
        <w:rPr>
          <w:rFonts w:ascii="Arial" w:cs="Arial" w:hAnsi="Arial"/>
          <w:b/>
          <w:bCs/>
          <w:color w:val="auto"/>
        </w:rPr>
        <w:t>Table of Contents</w:t>
      </w:r>
    </w:p>
    <w:p>
      <w:pPr>
        <w:pStyle w:val="style19"/>
        <w:tabs>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"_Toc198260693"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_Toc198260693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"_Toc198260694" </w:instrText>
      </w:r>
      <w:r>
        <w:rPr/>
        <w:fldChar w:fldCharType="separate"/>
      </w:r>
      <w:r>
        <w:rPr>
          <w:rStyle w:val="style85"/>
          <w:noProof/>
        </w:rPr>
        <w:t>What? – Description of Experience</w:t>
      </w:r>
      <w:r>
        <w:rPr>
          <w:noProof/>
          <w:webHidden/>
        </w:rPr>
        <w:tab/>
      </w:r>
      <w:r>
        <w:rPr>
          <w:noProof/>
          <w:webHidden/>
        </w:rPr>
        <w:fldChar w:fldCharType="begin"/>
      </w:r>
      <w:r>
        <w:rPr>
          <w:noProof/>
          <w:webHidden/>
        </w:rPr>
        <w:instrText xml:space="preserve"> PAGEREF _Toc198260694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"_Toc198260695" </w:instrText>
      </w:r>
      <w:r>
        <w:rPr/>
        <w:fldChar w:fldCharType="separate"/>
      </w:r>
      <w:r>
        <w:rPr>
          <w:rStyle w:val="style85"/>
          <w:noProof/>
        </w:rPr>
        <w:t>So What? – Analysis and Interpretation</w:t>
      </w:r>
      <w:r>
        <w:rPr>
          <w:noProof/>
          <w:webHidden/>
        </w:rPr>
        <w:tab/>
      </w:r>
      <w:r>
        <w:rPr>
          <w:noProof/>
          <w:webHidden/>
        </w:rPr>
        <w:fldChar w:fldCharType="begin"/>
      </w:r>
      <w:r>
        <w:rPr>
          <w:noProof/>
          <w:webHidden/>
        </w:rPr>
        <w:instrText xml:space="preserve"> PAGEREF _Toc198260695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"_Toc198260696" </w:instrText>
      </w:r>
      <w:r>
        <w:rPr/>
        <w:fldChar w:fldCharType="separate"/>
      </w:r>
      <w:r>
        <w:rPr>
          <w:rStyle w:val="style85"/>
          <w:noProof/>
        </w:rPr>
        <w:t>Now What? – Application and Future Development</w:t>
      </w:r>
      <w:r>
        <w:rPr>
          <w:noProof/>
          <w:webHidden/>
        </w:rPr>
        <w:tab/>
      </w:r>
      <w:r>
        <w:rPr>
          <w:noProof/>
          <w:webHidden/>
        </w:rPr>
        <w:fldChar w:fldCharType="begin"/>
      </w:r>
      <w:r>
        <w:rPr>
          <w:noProof/>
          <w:webHidden/>
        </w:rPr>
        <w:instrText xml:space="preserve"> PAGEREF _Toc198260696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"_Toc198260697"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_Toc198260697 \h </w:instrText>
      </w:r>
      <w:r>
        <w:rPr>
          <w:noProof/>
          <w:webHidden/>
        </w:rPr>
        <w:fldChar w:fldCharType="separate"/>
      </w:r>
      <w:r>
        <w:rPr>
          <w:noProof/>
          <w:webHidden/>
        </w:rPr>
        <w:t>5</w:t>
      </w:r>
      <w:r>
        <w:rPr>
          <w:noProof/>
          <w:webHidden/>
        </w:rPr>
        <w:fldChar w:fldCharType="end"/>
      </w:r>
      <w:r>
        <w:rPr/>
        <w:fldChar w:fldCharType="end"/>
      </w:r>
    </w:p>
    <w:p>
      <w:pPr>
        <w:pStyle w:val="style0"/>
        <w:rPr/>
      </w:pPr>
      <w:r>
        <w:rPr>
          <w:b/>
          <w:bCs/>
          <w:noProof/>
        </w:rPr>
        <w:fldChar w:fldCharType="end"/>
      </w:r>
    </w:p>
    <w:p>
      <w:pPr>
        <w:pStyle w:val="style0"/>
        <w:spacing w:lineRule="auto" w:line="278"/>
        <w:jc w:val="left"/>
        <w:rPr>
          <w:b/>
          <w:bCs/>
        </w:rPr>
      </w:pPr>
      <w:r>
        <w:rPr>
          <w:b/>
          <w:bCs/>
        </w:rPr>
        <w:br w:type="page"/>
      </w:r>
    </w:p>
    <w:bookmarkStart w:id="0" w:name="_Toc198260693"/>
    <w:p>
      <w:pPr>
        <w:pStyle w:val="style1"/>
        <w:rPr/>
      </w:pPr>
      <w:r>
        <w:t>Introduction</w:t>
      </w:r>
      <w:bookmarkEnd w:id="0"/>
    </w:p>
    <w:bookmarkStart w:id="1" w:name="_Toc198260694"/>
    <w:p>
      <w:pPr>
        <w:pStyle w:val="style0"/>
        <w:rPr>
          <w:b/>
        </w:rPr>
      </w:pPr>
      <w:r>
        <w:t>Career development is something people keep working on throughout their lives, and it means they need to think about what they're good at, what they enjoy, and what they hope to achieve so they can plan their career paths. In a rapidly changing job market, it's important to think carefully about what you know and can do, both at work and in your personal life. The Professional Career Development module has given me some useful tips and examples to help me think about what kind of worker I want to be and figure out how I can improve my skills. This reflection will follow the models proposed by Rolfe et al. (2001) by asking questions about what happened, how it changed me, what I would do differently next time, and what I learned. So what? Now what? —which helps people think more about what happened, what it means, and what might happen next. Throughout this essay, I’ll look at important career development models and ways to figure out learning styles, like SWOT analysis, SMART goals, Holland’s RIASEC theory, the Johari Window, and Honey and Mumford’s learning styles, to think about how I’ve grown and planned for my career.</w:t>
      </w:r>
    </w:p>
    <w:p>
      <w:pPr>
        <w:pStyle w:val="style1"/>
        <w:rPr/>
      </w:pPr>
      <w:r>
        <w:t>What? – Description of Experience</w:t>
      </w:r>
      <w:bookmarkEnd w:id="1"/>
    </w:p>
    <w:p>
      <w:pPr>
        <w:pStyle w:val="style0"/>
        <w:rPr/>
      </w:pPr>
      <w:r>
        <w:t xml:space="preserve">During the Professional Career Development module, I engaged in a range of activities and assessments aimed at deepening my understanding of myself as a learner and aspiring professional. One of the first tools I used was the Honey and Mumford Learning Styles Questionnaire, which identified my dominant learning style as a Reflector. This gave me insight into how I prefer to observe and </w:t>
      </w:r>
      <w:r>
        <w:t>analyse</w:t>
      </w:r>
      <w:r>
        <w:t xml:space="preserve"> before taking action, which I had not previously acknowledged (Honey and Mumford, 1986). I also completed a SWOT analysis, which encouraged me to consider my personal strengths—such as effective communication and adaptability—as well as weaknesses like time management and hesitancy in decision-making.</w:t>
      </w:r>
    </w:p>
    <w:p>
      <w:pPr>
        <w:pStyle w:val="style0"/>
        <w:rPr/>
      </w:pPr>
      <w:r>
        <w:t xml:space="preserve">Another key experience was completing the Johari Window exercise, which involved peer feedback. This helped me </w:t>
      </w:r>
      <w:r>
        <w:t>realise</w:t>
      </w:r>
      <w:r>
        <w:t xml:space="preserve"> that some of my perceived strengths were also </w:t>
      </w:r>
      <w:r>
        <w:t>recognised</w:t>
      </w:r>
      <w:r>
        <w:t xml:space="preserve"> by others, such as being approachable and calm under pressure. Additionally, setting SMART goals for short-term and long-term development provided structure and </w:t>
      </w:r>
      <w:r>
        <w:t>clarity to my ambitions, particularly in relation to pursuing a leadership role in the future (Doran, 1981</w:t>
      </w:r>
      <w:r>
        <w:t xml:space="preserve">; </w:t>
      </w:r>
      <w:r>
        <w:t>Ogbeiwi</w:t>
      </w:r>
      <w:r>
        <w:t>, 2021</w:t>
      </w:r>
      <w:r>
        <w:t>). These activities not only encouraged deep self-reflection but also offered a practical foundation for planning a purposeful career path.</w:t>
      </w:r>
    </w:p>
    <w:bookmarkStart w:id="2" w:name="_Toc198260695"/>
    <w:p>
      <w:pPr>
        <w:pStyle w:val="style1"/>
        <w:rPr/>
      </w:pPr>
      <w:r>
        <w:t>So What? – Analysis and Interpretation</w:t>
      </w:r>
      <w:bookmarkEnd w:id="2"/>
    </w:p>
    <w:p>
      <w:pPr>
        <w:pStyle w:val="style0"/>
        <w:rPr/>
      </w:pPr>
      <w:r>
        <w:t xml:space="preserve">Engaging with the various tools and models in the Professional Career Development module has significantly influenced my self-awareness and future career planning. Discovering that I am a Reflector through Honey and Mumford’s learning styles (1986) helped me understand why I often prefer to take time to think through situations before acting. This knowledge is valuable for my professional development as it allows me to </w:t>
      </w:r>
      <w:r>
        <w:t>recognise</w:t>
      </w:r>
      <w:r>
        <w:t xml:space="preserve"> how I learn best—by observing and </w:t>
      </w:r>
      <w:r>
        <w:t>analysing</w:t>
      </w:r>
      <w:r>
        <w:t>—and apply this in workplace scenarios, especially those requiring strategic decision-making.</w:t>
      </w:r>
    </w:p>
    <w:p>
      <w:pPr>
        <w:pStyle w:val="style0"/>
        <w:rPr/>
      </w:pPr>
      <w:r>
        <w:t xml:space="preserve">My SWOT analysis revealed strengths such as adaptability, empathy, and strong verbal communication. </w:t>
      </w:r>
      <w:r>
        <w:t>Recognising</w:t>
      </w:r>
      <w:r>
        <w:t xml:space="preserve"> these traits reinforced my confidence in pursuing a career path that involves teamwork and interpersonal interaction, such as project coordination. On the other hand, identifying weaknesses such as overthinking and time mismanagement made me </w:t>
      </w:r>
      <w:r>
        <w:t>realise</w:t>
      </w:r>
      <w:r>
        <w:t xml:space="preserve"> the importance of developing coping strategies like </w:t>
      </w:r>
      <w:r>
        <w:t>prioritisation</w:t>
      </w:r>
      <w:r>
        <w:t xml:space="preserve"> and delegation (</w:t>
      </w:r>
      <w:r>
        <w:t>Coombe, 2020</w:t>
      </w:r>
      <w:r>
        <w:t>). This form of structured self-assessment helped me see that career development is not just about building on strengths but also acknowledging and addressing limitations.</w:t>
      </w:r>
    </w:p>
    <w:p>
      <w:pPr>
        <w:pStyle w:val="style0"/>
        <w:rPr/>
      </w:pPr>
      <w:r>
        <w:t xml:space="preserve">Completing the Johari Window model was eye-opening as it highlighted the disparity between how I view myself and how others perceive me. One surprising aspect was being described as a “leader” by peers—something I had never </w:t>
      </w:r>
      <w:r>
        <w:t>internalised</w:t>
      </w:r>
      <w:r>
        <w:t>. This supported Holland’s RIASEC career theory, which suggested my dominant type is “Social,” aligned with roles that involve collaboration, support, and leadership (Holland, 1997). It encouraged me to reflect on how I might explore leadership pathways I had not considered previously.</w:t>
      </w:r>
    </w:p>
    <w:p>
      <w:pPr>
        <w:pStyle w:val="style0"/>
        <w:rPr/>
      </w:pPr>
      <w:r>
        <w:t xml:space="preserve">Establishing SMART goals provided structure to my aspirations by transforming vague ambitions into actionable plans (Doran, 1981). For example, instead of vaguely hoping to “improve leadership,” I set a goal to lead a group project within the next semester and </w:t>
      </w:r>
      <w:r>
        <w:t>request feedback afterwards. This approach is grounded in realistic timelines and measurable progress, helping me remain accountable.</w:t>
      </w:r>
    </w:p>
    <w:p>
      <w:pPr>
        <w:pStyle w:val="style0"/>
        <w:rPr/>
      </w:pPr>
      <w:r>
        <w:t>Altogether, these tools worked synergistically to deepen my understanding of my professional identity and to guide my short- and long-term planning with greater clarity and purpose</w:t>
      </w:r>
      <w:r>
        <w:t>.</w:t>
      </w:r>
    </w:p>
    <w:p>
      <w:pPr>
        <w:pStyle w:val="style0"/>
        <w:rPr/>
      </w:pPr>
      <w:r>
        <w:t>Using the MBTI tool enabled me to see my personality traits with regard to my profession. My type was INFJ—Introverted, Intuitive, Feeling and Judging—which made it clear for me that I am good at empathy, planning and deep thinking, but I may avoid conflicts and struggle to decide what to do quickly when things are pressing (Myers &amp; Briggs Foundation, 2020). This connection to the Reflector learning style showed me that I usually ruminate before I decide on a course of action. Noticing this helped me slow down decisions and look for ways to improve my instant responses such as through role play in different situations.</w:t>
      </w:r>
    </w:p>
    <w:bookmarkStart w:id="3" w:name="_Toc198260696"/>
    <w:p>
      <w:pPr>
        <w:pStyle w:val="style0"/>
        <w:rPr>
          <w:b/>
        </w:rPr>
      </w:pPr>
      <w:r>
        <w:t>The module also stressed Personal Branding and how we position ourselves professionally to others. My own review and reflections on LinkedIn made me notice that my digital presence did not highlight what I want to achieve. I chose to improve my profile and CV, adding not only my credentials but also what I believe, my areas of strength and my intentions for my career. I observed that branding clearly shows your achievements and plans for your future, supporting building relationships that fit your career ideas.</w:t>
      </w:r>
    </w:p>
    <w:p>
      <w:pPr>
        <w:pStyle w:val="style1"/>
        <w:rPr/>
      </w:pPr>
      <w:r>
        <w:t>Now What? – Application and Future Development</w:t>
      </w:r>
      <w:bookmarkEnd w:id="3"/>
    </w:p>
    <w:p>
      <w:pPr>
        <w:pStyle w:val="style0"/>
        <w:rPr/>
      </w:pPr>
      <w:r>
        <w:t>Reflecting on my learning journey through the Professional Career Development module has equipped me with practical strategies to enhance my future career trajectory. One key action I intend to take is the creation of a Personal Development Plan (PDP), informed by the insights gained from my SWOT, RIASEC, and SMART goal exercises. This plan will outline specific objectives such as improving time management through the use of digital planning tools, as well as seeking mentorship opportunities to develop leadership capabilities.</w:t>
      </w:r>
    </w:p>
    <w:p>
      <w:pPr>
        <w:pStyle w:val="style0"/>
        <w:rPr/>
      </w:pPr>
      <w:r>
        <w:t xml:space="preserve">I also found value in Maslow’s motivation theory (1943), which </w:t>
      </w:r>
      <w:r>
        <w:t>emphasises</w:t>
      </w:r>
      <w:r>
        <w:t xml:space="preserve"> the importance of self-</w:t>
      </w:r>
      <w:r>
        <w:t>actualisation</w:t>
      </w:r>
      <w:r>
        <w:t xml:space="preserve"> and aligning work with intrinsic values</w:t>
      </w:r>
      <w:r>
        <w:t xml:space="preserve"> (</w:t>
      </w:r>
      <w:r>
        <w:t>Navy, 2020</w:t>
      </w:r>
      <w:r>
        <w:t>)</w:t>
      </w:r>
      <w:r>
        <w:t xml:space="preserve">. This </w:t>
      </w:r>
      <w:r>
        <w:t xml:space="preserve">made me reflect on how crucial it is to pursue a role that not only </w:t>
      </w:r>
      <w:r>
        <w:t>utilises</w:t>
      </w:r>
      <w:r>
        <w:t xml:space="preserve"> my strengths but also gives me a sense of purpose. In this regard, exploring the concept of Ikigai—the intersection between what I love, what I’m good at, what the world needs, and what I can be paid for—will help guide future career decisions (</w:t>
      </w:r>
      <w:r>
        <w:t>Fury,</w:t>
      </w:r>
      <w:r>
        <w:t xml:space="preserve"> </w:t>
      </w:r>
      <w:r>
        <w:t>2024</w:t>
      </w:r>
      <w:r>
        <w:t>).</w:t>
      </w:r>
    </w:p>
    <w:p>
      <w:pPr>
        <w:pStyle w:val="style0"/>
        <w:rPr/>
      </w:pPr>
      <w:r>
        <w:t>Going forward, I will regularly revisit my learning preferences and self-assessment outcomes to ensure that I remain aligned with my evolving goals. This reflective process will serve as an anchor for lifelong personal and professional growth.</w:t>
      </w:r>
    </w:p>
    <w:p>
      <w:pPr>
        <w:pStyle w:val="style0"/>
        <w:rPr/>
      </w:pPr>
      <w:r>
        <w:t>For the future, I plan to write down my professional goals in a Personal Development Plan (PDP). This information will allow me to identify and reach the targets, schedules and duties important for my progress and advancement. One of my aims is to become more confident at public speaking which I plan to achieve by being involved in a workshop at the university and by giving presentations in class at least two times this term. I intend to keep receiving advice from both my fellow students and guidance tutors.</w:t>
      </w:r>
    </w:p>
    <w:p>
      <w:pPr>
        <w:pStyle w:val="style0"/>
        <w:rPr/>
      </w:pPr>
      <w:r>
        <w:t>I will include evaluation sessions in my PDP, rechecking my SWOT, Johari Window and MBTI results every three months to notice how I change. I have come across a mentorship scheme at the university can give me advice and support from people active in my intended fields.</w:t>
      </w:r>
    </w:p>
    <w:bookmarkStart w:id="4" w:name="_Toc198260697"/>
    <w:p>
      <w:pPr>
        <w:pStyle w:val="style0"/>
        <w:rPr>
          <w:b/>
        </w:rPr>
      </w:pPr>
      <w:r>
        <w:t>Adopting a continuous learning approach, I want to rely on the Rolfe et al. (2001) model both for my studies and for assessing myself on the job. Regardless of whether you are still a student or have taken internships or first roles, keep asking “What?” So what? Asking myself “Now what?” turns my experiences into important learnings and lasting progress. Such continuous reflection guarantees that I remain on the right path according to my core values and personal career plan, even as things change at work.</w:t>
      </w:r>
    </w:p>
    <w:p>
      <w:pPr>
        <w:pStyle w:val="style1"/>
        <w:rPr/>
      </w:pPr>
      <w:r>
        <w:t>Conclusion</w:t>
      </w:r>
      <w:bookmarkEnd w:id="4"/>
    </w:p>
    <w:p>
      <w:pPr>
        <w:pStyle w:val="style0"/>
        <w:rPr/>
      </w:pPr>
      <w:r>
        <w:t xml:space="preserve">Engaging in this reflective journey has allowed me to critically assess my personal attributes, learning preferences, and professional aspirations. Through the use of structured tools such as the SWOT analysis, Johari Window, RIASEC model, and SMART goals, I have developed a clearer understanding of my strengths, areas for development, and future direction. The Rolfe et al. (2001) model provided an effective framework for </w:t>
      </w:r>
      <w:r>
        <w:t>translating these insights into meaningful action. As I continue to grow professionally, I will apply this reflective mindset to new experiences, ensuring that I remain adaptable, purposeful, and aligned with my long-term career goals.</w:t>
      </w:r>
    </w:p>
    <w:p>
      <w:pPr>
        <w:pStyle w:val="style0"/>
        <w:rPr/>
      </w:pPr>
      <w:r>
        <w:t>All in all, the reflection has helped me look at my career path in a complete way, joining self-assessment with planning what to do next. My approach has improved thanks to MBTI, Personal Branding and a proper PDP, providing me with extra understanding and tools for my professional future. These tools support the idea that career development is best achieved through regular review and improvements. After using this toolkit, I am sure I will guide myself in my studies and career with a better understanding of who I am, why I strive and what I want to achieve.</w:t>
      </w:r>
      <w:r>
        <w:br w:type="page"/>
      </w:r>
    </w:p>
    <w:p>
      <w:pPr>
        <w:pStyle w:val="style1"/>
        <w:rPr/>
      </w:pPr>
      <w:r>
        <w:t>References</w:t>
      </w:r>
    </w:p>
    <w:p>
      <w:pPr>
        <w:pStyle w:val="style0"/>
        <w:rPr/>
      </w:pPr>
      <w:r>
        <w:t>Coombe, C., 2020. Developing a personal and professional strategic plan. </w:t>
      </w:r>
      <w:r>
        <w:rPr>
          <w:i/>
          <w:iCs/>
        </w:rPr>
        <w:t>Professionalizing your English language teaching</w:t>
      </w:r>
      <w:r>
        <w:t>, pp.115-127.</w:t>
      </w:r>
    </w:p>
    <w:p>
      <w:pPr>
        <w:pStyle w:val="style0"/>
        <w:rPr/>
      </w:pPr>
      <w:r>
        <w:t xml:space="preserve">Doran, G.T., 1981. There's a SMART way to write </w:t>
      </w:r>
      <w:r>
        <w:t>managements's</w:t>
      </w:r>
      <w:r>
        <w:t xml:space="preserve"> goals and objectives. </w:t>
      </w:r>
      <w:r>
        <w:rPr>
          <w:i/>
          <w:iCs/>
        </w:rPr>
        <w:t>Management review</w:t>
      </w:r>
      <w:r>
        <w:t>, </w:t>
      </w:r>
      <w:r>
        <w:rPr>
          <w:i/>
          <w:iCs/>
        </w:rPr>
        <w:t>70</w:t>
      </w:r>
      <w:r>
        <w:t>(11).</w:t>
      </w:r>
    </w:p>
    <w:p>
      <w:pPr>
        <w:pStyle w:val="style0"/>
        <w:rPr/>
      </w:pPr>
      <w:r>
        <w:t>Fury, S., 2024. </w:t>
      </w:r>
      <w:r>
        <w:rPr>
          <w:i/>
          <w:iCs/>
        </w:rPr>
        <w:t>Everyday Ikigai: Japanese Concepts to Transform Your Life</w:t>
      </w:r>
      <w:r>
        <w:t>. SF Nonfiction Books.</w:t>
      </w:r>
    </w:p>
    <w:p>
      <w:pPr>
        <w:pStyle w:val="style0"/>
        <w:rPr/>
      </w:pPr>
      <w:r>
        <w:t>Holland, J.L., 1997. </w:t>
      </w:r>
      <w:r>
        <w:rPr>
          <w:i/>
          <w:iCs/>
        </w:rPr>
        <w:t>Making vocational choices: A theory of vocational personalities and work environments</w:t>
      </w:r>
      <w:r>
        <w:t>. Psychological Assessment Resources.</w:t>
      </w:r>
    </w:p>
    <w:p>
      <w:pPr>
        <w:pStyle w:val="style0"/>
        <w:rPr/>
      </w:pPr>
      <w:r>
        <w:t>Honey, P. and Mumford, A., 1986. </w:t>
      </w:r>
      <w:r>
        <w:rPr>
          <w:i/>
          <w:iCs/>
        </w:rPr>
        <w:t>The manual of learning styles</w:t>
      </w:r>
      <w:r>
        <w:t>. Peter Honey.</w:t>
      </w:r>
    </w:p>
    <w:p>
      <w:pPr>
        <w:pStyle w:val="style0"/>
        <w:rPr/>
      </w:pPr>
      <w:r>
        <w:t>Maslow, A.H., 1943. A theory of human motivation. </w:t>
      </w:r>
      <w:r>
        <w:rPr>
          <w:i/>
          <w:iCs/>
        </w:rPr>
        <w:t>Psychological review</w:t>
      </w:r>
      <w:r>
        <w:t>, </w:t>
      </w:r>
      <w:r>
        <w:rPr>
          <w:i/>
          <w:iCs/>
        </w:rPr>
        <w:t>50</w:t>
      </w:r>
      <w:r>
        <w:t>(4), p.370.</w:t>
      </w:r>
    </w:p>
    <w:p>
      <w:pPr>
        <w:pStyle w:val="style0"/>
        <w:rPr/>
      </w:pPr>
      <w:r>
        <w:t>Navy, S.L., 2020. Theory of human motivation—Abraham Maslow. </w:t>
      </w:r>
      <w:r>
        <w:rPr>
          <w:i/>
          <w:iCs/>
        </w:rPr>
        <w:t>Science education in theory and practice: An introductory guide to learning theory</w:t>
      </w:r>
      <w:r>
        <w:t>, pp.17-28.</w:t>
      </w:r>
    </w:p>
    <w:p>
      <w:pPr>
        <w:pStyle w:val="style0"/>
        <w:rPr/>
      </w:pPr>
      <w:r>
        <w:t>Ogbeiwi</w:t>
      </w:r>
      <w:r>
        <w:t>, O., 2021. General concepts of goals and goal-setting in healthcare: A narrative review. </w:t>
      </w:r>
      <w:r>
        <w:rPr>
          <w:i/>
          <w:iCs/>
        </w:rPr>
        <w:t>Journal of Management &amp; Organization</w:t>
      </w:r>
      <w:r>
        <w:t>, </w:t>
      </w:r>
      <w:r>
        <w:rPr>
          <w:i/>
          <w:iCs/>
        </w:rPr>
        <w:t>27</w:t>
      </w:r>
      <w:r>
        <w:t>(2), pp.324-341.</w:t>
      </w:r>
    </w:p>
    <w:p>
      <w:pPr>
        <w:pStyle w:val="style0"/>
        <w:rPr/>
      </w:pPr>
      <w:r>
        <w:t>Rolfe, G., Freshwater, D. and Jasper, M., 2001. Critical reflection for nursing and the helping professions: A user's guide.</w:t>
      </w:r>
    </w:p>
    <w:p>
      <w:pPr>
        <w:pStyle w:val="style0"/>
        <w:rPr/>
      </w:pPr>
      <w:r>
        <w:t>Stephen, J.S., 2024. Career Planning, Professional Development, and Lifelong Learning. In </w:t>
      </w:r>
      <w:r>
        <w:rPr>
          <w:i/>
          <w:iCs/>
        </w:rPr>
        <w:t>Academic Success in Online Programs: A Resource for College Students</w:t>
      </w:r>
      <w:r>
        <w:t> (pp. 199-212). Cham: Springer Nature Switzerland.</w:t>
      </w:r>
    </w:p>
    <w:p>
      <w:pPr>
        <w:pStyle w:val="style0"/>
        <w:rPr/>
      </w:pPr>
      <w:r>
        <w:t xml:space="preserve">Myers &amp; Briggs Foundation (2020). </w:t>
      </w:r>
      <w:r>
        <w:rPr>
          <w:i/>
          <w:iCs/>
        </w:rPr>
        <w:t>The Myers &amp; Briggs Foundation - My MBTI® Personality Type</w:t>
      </w:r>
      <w:r>
        <w:t>. [online] Myersbriggs.org. Available at: https://www.myersbriggs.org/my-mbti-personality-type/.</w:t>
      </w:r>
    </w:p>
    <w:p>
      <w:pPr>
        <w:pStyle w:val="style0"/>
        <w:rPr/>
      </w:pPr>
    </w:p>
    <w:p>
      <w:pPr>
        <w:pStyle w:val="style0"/>
        <w:rPr/>
      </w:pPr>
    </w:p>
    <w:sectPr>
      <w:footerReference w:type="default" r:id="rId2"/>
      <w:pgSz w:w="12240" w:h="15840"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0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4"/>
        <w:szCs w:val="24"/>
        <w:lang w:val="en-US"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pacing w:lineRule="auto" w:line="360"/>
      <w:jc w:val="both"/>
    </w:pPr>
    <w:rPr>
      <w:rFonts w:ascii="Arial" w:hAnsi="Arial"/>
    </w:rPr>
  </w:style>
  <w:style w:type="paragraph" w:styleId="style1">
    <w:name w:val="heading 1"/>
    <w:basedOn w:val="style0"/>
    <w:next w:val="style0"/>
    <w:link w:val="style4097"/>
    <w:qFormat/>
    <w:uiPriority w:val="9"/>
    <w:pPr>
      <w:keepNext/>
      <w:keepLines/>
      <w:spacing w:before="360" w:after="80"/>
      <w:outlineLvl w:val="0"/>
    </w:pPr>
    <w:rPr>
      <w:rFonts w:cs="宋体" w:eastAsia="宋体"/>
      <w:b/>
      <w:szCs w:val="40"/>
    </w:rPr>
  </w:style>
  <w:style w:type="paragraph" w:styleId="style2">
    <w:name w:val="heading 2"/>
    <w:basedOn w:val="style0"/>
    <w:next w:val="style0"/>
    <w:link w:val="style4098"/>
    <w:qFormat/>
    <w:uiPriority w:val="9"/>
    <w:pPr>
      <w:keepNext/>
      <w:keepLines/>
      <w:spacing w:before="160" w:after="80"/>
      <w:outlineLvl w:val="1"/>
    </w:pPr>
    <w:rPr>
      <w:rFonts w:cs="宋体" w:eastAsia="宋体"/>
      <w:b/>
      <w:i/>
      <w:szCs w:val="32"/>
    </w:rPr>
  </w:style>
  <w:style w:type="paragraph" w:styleId="style3">
    <w:name w:val="heading 3"/>
    <w:basedOn w:val="style0"/>
    <w:next w:val="style0"/>
    <w:link w:val="style4099"/>
    <w:qFormat/>
    <w:uiPriority w:val="9"/>
    <w:pPr>
      <w:keepNext/>
      <w:keepLines/>
      <w:spacing w:before="160" w:after="80"/>
      <w:outlineLvl w:val="2"/>
    </w:pPr>
    <w:rPr>
      <w:rFonts w:cs="宋体" w:eastAsia="宋体"/>
      <w:color w:val="2e74b5"/>
      <w:sz w:val="28"/>
      <w:szCs w:val="28"/>
    </w:rPr>
  </w:style>
  <w:style w:type="paragraph" w:styleId="style4">
    <w:name w:val="heading 4"/>
    <w:basedOn w:val="style0"/>
    <w:next w:val="style0"/>
    <w:link w:val="style4100"/>
    <w:qFormat/>
    <w:uiPriority w:val="9"/>
    <w:pPr>
      <w:keepNext/>
      <w:keepLines/>
      <w:spacing w:before="80" w:after="40"/>
      <w:outlineLvl w:val="3"/>
    </w:pPr>
    <w:rPr>
      <w:rFonts w:cs="宋体" w:eastAsia="宋体"/>
      <w:i/>
      <w:iCs/>
      <w:color w:val="2e74b5"/>
    </w:rPr>
  </w:style>
  <w:style w:type="paragraph" w:styleId="style5">
    <w:name w:val="heading 5"/>
    <w:basedOn w:val="style0"/>
    <w:next w:val="style0"/>
    <w:link w:val="style4101"/>
    <w:qFormat/>
    <w:uiPriority w:val="9"/>
    <w:pPr>
      <w:keepNext/>
      <w:keepLines/>
      <w:spacing w:before="80" w:after="40"/>
      <w:outlineLvl w:val="4"/>
    </w:pPr>
    <w:rPr>
      <w:rFonts w:cs="宋体" w:eastAsia="宋体"/>
      <w:color w:val="2e74b5"/>
    </w:rPr>
  </w:style>
  <w:style w:type="paragraph" w:styleId="style6">
    <w:name w:val="heading 6"/>
    <w:basedOn w:val="style0"/>
    <w:next w:val="style0"/>
    <w:link w:val="style4102"/>
    <w:qFormat/>
    <w:uiPriority w:val="9"/>
    <w:pPr>
      <w:keepNext/>
      <w:keepLines/>
      <w:spacing w:before="40" w:after="0"/>
      <w:outlineLvl w:val="5"/>
    </w:pPr>
    <w:rPr>
      <w:rFonts w:cs="宋体" w:eastAsia="宋体"/>
      <w:i/>
      <w:iCs/>
      <w:color w:val="595959"/>
    </w:rPr>
  </w:style>
  <w:style w:type="paragraph" w:styleId="style7">
    <w:name w:val="heading 7"/>
    <w:basedOn w:val="style0"/>
    <w:next w:val="style0"/>
    <w:link w:val="style4103"/>
    <w:qFormat/>
    <w:uiPriority w:val="9"/>
    <w:pPr>
      <w:keepNext/>
      <w:keepLines/>
      <w:spacing w:before="40" w:after="0"/>
      <w:outlineLvl w:val="6"/>
    </w:pPr>
    <w:rPr>
      <w:rFonts w:cs="宋体" w:eastAsia="宋体"/>
      <w:color w:val="595959"/>
    </w:rPr>
  </w:style>
  <w:style w:type="paragraph" w:styleId="style8">
    <w:name w:val="heading 8"/>
    <w:basedOn w:val="style0"/>
    <w:next w:val="style0"/>
    <w:link w:val="style4104"/>
    <w:qFormat/>
    <w:uiPriority w:val="9"/>
    <w:pPr>
      <w:keepNext/>
      <w:keepLines/>
      <w:spacing w:after="0"/>
      <w:outlineLvl w:val="7"/>
    </w:pPr>
    <w:rPr>
      <w:rFonts w:cs="宋体" w:eastAsia="宋体"/>
      <w:i/>
      <w:iCs/>
      <w:color w:val="272727"/>
    </w:rPr>
  </w:style>
  <w:style w:type="paragraph" w:styleId="style9">
    <w:name w:val="heading 9"/>
    <w:basedOn w:val="style0"/>
    <w:next w:val="style0"/>
    <w:link w:val="style4105"/>
    <w:qFormat/>
    <w:uiPriority w:val="9"/>
    <w:pPr>
      <w:keepNext/>
      <w:keepLines/>
      <w:spacing w:after="0"/>
      <w:outlineLvl w:val="8"/>
    </w:pPr>
    <w:rPr>
      <w:rFonts w:cs="宋体" w:eastAsia="宋体"/>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a46ed89d-7b59-4922-8598-e21d5fe385a7"/>
    <w:basedOn w:val="style65"/>
    <w:next w:val="style4097"/>
    <w:link w:val="style1"/>
    <w:uiPriority w:val="9"/>
    <w:rPr>
      <w:rFonts w:ascii="Arial" w:cs="宋体" w:eastAsia="宋体" w:hAnsi="Arial"/>
      <w:b/>
      <w:szCs w:val="40"/>
    </w:rPr>
  </w:style>
  <w:style w:type="character" w:customStyle="1" w:styleId="style4098">
    <w:name w:val="Heading 2 Char_0cc4d566-5677-483d-8853-89f379e20e40"/>
    <w:basedOn w:val="style65"/>
    <w:next w:val="style4098"/>
    <w:link w:val="style2"/>
    <w:uiPriority w:val="9"/>
    <w:rPr>
      <w:rFonts w:ascii="Arial" w:cs="宋体" w:eastAsia="宋体" w:hAnsi="Arial"/>
      <w:b/>
      <w:i/>
      <w:szCs w:val="32"/>
    </w:rPr>
  </w:style>
  <w:style w:type="character" w:customStyle="1" w:styleId="style4099">
    <w:name w:val="Heading 3 Char_d88c60ef-14f1-48f9-9594-468c3e4666c6"/>
    <w:basedOn w:val="style65"/>
    <w:next w:val="style4099"/>
    <w:link w:val="style3"/>
    <w:uiPriority w:val="9"/>
    <w:rPr>
      <w:rFonts w:cs="宋体" w:eastAsia="宋体"/>
      <w:color w:val="2e74b5"/>
      <w:sz w:val="28"/>
      <w:szCs w:val="28"/>
    </w:rPr>
  </w:style>
  <w:style w:type="character" w:customStyle="1" w:styleId="style4100">
    <w:name w:val="Heading 4 Char_4ced7363-612f-49bf-bd35-b8fbb9faf10d"/>
    <w:basedOn w:val="style65"/>
    <w:next w:val="style4100"/>
    <w:link w:val="style4"/>
    <w:uiPriority w:val="9"/>
    <w:rPr>
      <w:rFonts w:cs="宋体" w:eastAsia="宋体"/>
      <w:i/>
      <w:iCs/>
      <w:color w:val="2e74b5"/>
    </w:rPr>
  </w:style>
  <w:style w:type="character" w:customStyle="1" w:styleId="style4101">
    <w:name w:val="Heading 5 Char_1917a520-56bc-4c0b-9bf6-f9c12c7284b8"/>
    <w:basedOn w:val="style65"/>
    <w:next w:val="style4101"/>
    <w:link w:val="style5"/>
    <w:uiPriority w:val="9"/>
    <w:rPr>
      <w:rFonts w:cs="宋体" w:eastAsia="宋体"/>
      <w:color w:val="2e74b5"/>
    </w:rPr>
  </w:style>
  <w:style w:type="character" w:customStyle="1" w:styleId="style4102">
    <w:name w:val="Heading 6 Char_692a1a4a-d617-468e-a6fa-9eb34669f2b1"/>
    <w:basedOn w:val="style65"/>
    <w:next w:val="style4102"/>
    <w:link w:val="style6"/>
    <w:uiPriority w:val="9"/>
    <w:rPr>
      <w:rFonts w:cs="宋体" w:eastAsia="宋体"/>
      <w:i/>
      <w:iCs/>
      <w:color w:val="595959"/>
    </w:rPr>
  </w:style>
  <w:style w:type="character" w:customStyle="1" w:styleId="style4103">
    <w:name w:val="Heading 7 Char_b2d46944-624b-4d7f-ad6c-af4bfa3efc60"/>
    <w:basedOn w:val="style65"/>
    <w:next w:val="style4103"/>
    <w:link w:val="style7"/>
    <w:uiPriority w:val="9"/>
    <w:rPr>
      <w:rFonts w:cs="宋体" w:eastAsia="宋体"/>
      <w:color w:val="595959"/>
    </w:rPr>
  </w:style>
  <w:style w:type="character" w:customStyle="1" w:styleId="style4104">
    <w:name w:val="Heading 8 Char_29156742-f38d-4d20-94ae-bcfa54364f98"/>
    <w:basedOn w:val="style65"/>
    <w:next w:val="style4104"/>
    <w:link w:val="style8"/>
    <w:uiPriority w:val="9"/>
    <w:rPr>
      <w:rFonts w:cs="宋体" w:eastAsia="宋体"/>
      <w:i/>
      <w:iCs/>
      <w:color w:val="272727"/>
    </w:rPr>
  </w:style>
  <w:style w:type="character" w:customStyle="1" w:styleId="style4105">
    <w:name w:val="Heading 9 Char_319fc974-8675-44fc-8bc7-da6bd246ac0f"/>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Calibri Light" w:cs="宋体" w:eastAsia="宋体" w:hAnsi="Calibri Light"/>
      <w:spacing w:val="-10"/>
      <w:kern w:val="28"/>
      <w:sz w:val="56"/>
      <w:szCs w:val="56"/>
    </w:rPr>
  </w:style>
  <w:style w:type="character" w:customStyle="1" w:styleId="style4106">
    <w:name w:val="Title Char_7901a4e5-a137-4abd-af0a-ba5236da2d5e"/>
    <w:basedOn w:val="style65"/>
    <w:next w:val="style4106"/>
    <w:link w:val="style62"/>
    <w:uiPriority w:val="10"/>
    <w:rPr>
      <w:rFonts w:ascii="Calibri Light" w:cs="宋体" w:eastAsia="宋体" w:hAnsi="Calibri Light"/>
      <w:spacing w:val="-10"/>
      <w:kern w:val="28"/>
      <w:sz w:val="56"/>
      <w:szCs w:val="56"/>
    </w:rPr>
  </w:style>
  <w:style w:type="paragraph" w:styleId="style74">
    <w:name w:val="Subtitle"/>
    <w:basedOn w:val="style0"/>
    <w:next w:val="style0"/>
    <w:link w:val="style4107"/>
    <w:qFormat/>
    <w:uiPriority w:val="11"/>
    <w:pPr>
      <w:numPr>
        <w:ilvl w:val="1"/>
        <w:numId w:val="0"/>
      </w:numPr>
    </w:pPr>
    <w:rPr>
      <w:rFonts w:cs="宋体" w:eastAsia="宋体"/>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a5767485-0ecd-44d4-b800-eafb2483848f"/>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e74b5"/>
    </w:rPr>
  </w:style>
  <w:style w:type="paragraph" w:styleId="style181">
    <w:name w:val="Intense Quote"/>
    <w:basedOn w:val="style0"/>
    <w:next w:val="style0"/>
    <w:link w:val="style4109"/>
    <w:qFormat/>
    <w:uiPriority w:val="30"/>
    <w:pPr>
      <w:pBdr>
        <w:top w:val="single" w:sz="4" w:space="10" w:color="2e74b5"/>
        <w:bottom w:val="single" w:sz="4" w:space="10" w:color="2e74b5"/>
      </w:pBdr>
      <w:spacing w:before="360" w:after="360"/>
      <w:ind w:left="864" w:right="864"/>
      <w:jc w:val="center"/>
    </w:pPr>
    <w:rPr>
      <w:i/>
      <w:iCs/>
      <w:color w:val="2e74b5"/>
    </w:rPr>
  </w:style>
  <w:style w:type="character" w:customStyle="1" w:styleId="style4109">
    <w:name w:val="Intense Quote Char_d3a4203d-7274-4af9-a842-326efc0a628e"/>
    <w:basedOn w:val="style65"/>
    <w:next w:val="style4109"/>
    <w:link w:val="style181"/>
    <w:uiPriority w:val="30"/>
    <w:rPr>
      <w:i/>
      <w:iCs/>
      <w:color w:val="2e74b5"/>
    </w:rPr>
  </w:style>
  <w:style w:type="character" w:styleId="style263">
    <w:name w:val="Intense Reference"/>
    <w:basedOn w:val="style65"/>
    <w:next w:val="style263"/>
    <w:qFormat/>
    <w:uiPriority w:val="32"/>
    <w:rPr>
      <w:b/>
      <w:bCs/>
      <w:smallCaps/>
      <w:color w:val="2e74b5"/>
      <w:spacing w:val="5"/>
    </w:rPr>
  </w:style>
  <w:style w:type="paragraph" w:styleId="style266">
    <w:name w:val="TOC Heading"/>
    <w:basedOn w:val="style1"/>
    <w:next w:val="style0"/>
    <w:qFormat/>
    <w:uiPriority w:val="39"/>
    <w:pPr>
      <w:spacing w:before="240" w:after="0" w:lineRule="auto" w:line="259"/>
      <w:jc w:val="left"/>
      <w:outlineLvl w:val="9"/>
    </w:pPr>
    <w:rPr>
      <w:rFonts w:ascii="Calibri Light" w:hAnsi="Calibri Light"/>
      <w:b w:val="false"/>
      <w:color w:val="2e74b5"/>
      <w:kern w:val="0"/>
      <w:sz w:val="32"/>
      <w:szCs w:val="32"/>
      <w14:ligatures xmlns:w14="http://schemas.microsoft.com/office/word/2010/wordml" w14:val="none"/>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110"/>
    <w:uiPriority w:val="99"/>
    <w:pPr>
      <w:tabs>
        <w:tab w:val="center" w:leader="none" w:pos="4680"/>
        <w:tab w:val="right" w:leader="none" w:pos="9360"/>
      </w:tabs>
      <w:spacing w:after="0" w:lineRule="auto" w:line="240"/>
    </w:pPr>
    <w:rPr/>
  </w:style>
  <w:style w:type="character" w:customStyle="1" w:styleId="style4110">
    <w:name w:val="Header Char_0e174cdb-ac50-402f-96ed-f54919023330"/>
    <w:basedOn w:val="style65"/>
    <w:next w:val="style4110"/>
    <w:link w:val="style31"/>
    <w:uiPriority w:val="99"/>
    <w:rPr>
      <w:rFonts w:ascii="Arial" w:hAnsi="Arial"/>
    </w:rPr>
  </w:style>
  <w:style w:type="paragraph" w:styleId="style32">
    <w:name w:val="footer"/>
    <w:basedOn w:val="style0"/>
    <w:next w:val="style32"/>
    <w:link w:val="style4111"/>
    <w:uiPriority w:val="99"/>
    <w:pPr>
      <w:tabs>
        <w:tab w:val="center" w:leader="none" w:pos="4680"/>
        <w:tab w:val="right" w:leader="none" w:pos="9360"/>
      </w:tabs>
      <w:spacing w:after="0" w:lineRule="auto" w:line="240"/>
    </w:pPr>
    <w:rPr/>
  </w:style>
  <w:style w:type="character" w:customStyle="1" w:styleId="style4111">
    <w:name w:val="Footer Char_c1c8bde1-6ca3-4797-9f8e-d3c253b4b074"/>
    <w:basedOn w:val="style65"/>
    <w:next w:val="style4111"/>
    <w:link w:val="style32"/>
    <w:uiPriority w:val="99"/>
    <w:rPr>
      <w:rFonts w:ascii="Arial" w:hAnsi="Arial"/>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1980C5-A3F0-4FAC-BF38-C5A719C13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Words>1784</Words>
  <Pages>8</Pages>
  <Characters>9779</Characters>
  <Application>WPS Office</Application>
  <DocSecurity>0</DocSecurity>
  <Paragraphs>65</Paragraphs>
  <ScaleCrop>false</ScaleCrop>
  <LinksUpToDate>false</LinksUpToDate>
  <CharactersWithSpaces>11516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2025-05-16T11:01:00Z</dcterms:created>
  <dc:creator>WPS Office</dc:creator>
  <lastModifiedBy>RMO-NX1</lastModifiedBy>
  <dcterms:modified xsi:type="dcterms:W3CDTF">2025-06-15T17:36:58Z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665e2b8748674c369105ee89142276ff</vt:lpwstr>
  </property>
</Properties>
</file>