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2137A" w14:textId="77777777" w:rsidR="00085177" w:rsidRDefault="00085177" w:rsidP="00085177">
      <w:pPr>
        <w:rPr>
          <w:rFonts w:cstheme="minorHAnsi"/>
          <w:b/>
          <w:sz w:val="24"/>
          <w:szCs w:val="24"/>
          <w:u w:val="single"/>
        </w:rPr>
      </w:pPr>
    </w:p>
    <w:p w14:paraId="56363B91" w14:textId="11ABEF3A" w:rsidR="007F0704" w:rsidRDefault="00AC6414" w:rsidP="00AC6414">
      <w:pPr>
        <w:rPr>
          <w:b/>
          <w:bCs/>
          <w:sz w:val="24"/>
          <w:szCs w:val="24"/>
        </w:rPr>
      </w:pPr>
      <w:r w:rsidRPr="00AC6414">
        <w:rPr>
          <w:b/>
          <w:bCs/>
          <w:sz w:val="24"/>
          <w:szCs w:val="24"/>
        </w:rPr>
        <w:t xml:space="preserve">Write a </w:t>
      </w:r>
      <w:r>
        <w:rPr>
          <w:b/>
          <w:bCs/>
          <w:sz w:val="24"/>
          <w:szCs w:val="24"/>
        </w:rPr>
        <w:t>C</w:t>
      </w:r>
      <w:r w:rsidRPr="00AC6414">
        <w:rPr>
          <w:b/>
          <w:bCs/>
          <w:sz w:val="24"/>
          <w:szCs w:val="24"/>
        </w:rPr>
        <w:t xml:space="preserve">ritical </w:t>
      </w:r>
      <w:r>
        <w:rPr>
          <w:b/>
          <w:bCs/>
          <w:sz w:val="24"/>
          <w:szCs w:val="24"/>
        </w:rPr>
        <w:t>A</w:t>
      </w:r>
      <w:r w:rsidRPr="00AC6414">
        <w:rPr>
          <w:b/>
          <w:bCs/>
          <w:sz w:val="24"/>
          <w:szCs w:val="24"/>
        </w:rPr>
        <w:t>nalysis of one of the following pieces of ancient evidence:</w:t>
      </w:r>
      <w:r w:rsidRPr="00AC6414">
        <w:rPr>
          <w:b/>
          <w:bCs/>
          <w:sz w:val="24"/>
          <w:szCs w:val="24"/>
        </w:rPr>
        <w:t xml:space="preserve"> </w:t>
      </w:r>
      <w:r w:rsidRPr="00AC6414">
        <w:rPr>
          <w:b/>
          <w:bCs/>
          <w:sz w:val="24"/>
          <w:szCs w:val="24"/>
        </w:rPr>
        <w:t>Arrian, Anabasis, 1.16.</w:t>
      </w:r>
    </w:p>
    <w:p w14:paraId="7FF9CC6A" w14:textId="77777777" w:rsidR="00AC6414" w:rsidRPr="00AC6414" w:rsidRDefault="00AC6414" w:rsidP="00AC6414">
      <w:pPr>
        <w:rPr>
          <w:b/>
          <w:bCs/>
          <w:sz w:val="24"/>
          <w:szCs w:val="24"/>
        </w:rPr>
      </w:pPr>
    </w:p>
    <w:p w14:paraId="79980310" w14:textId="1052B6B8" w:rsidR="00166D8C" w:rsidRDefault="00000000" w:rsidP="000031FD">
      <w:pPr>
        <w:spacing w:after="0"/>
        <w:rPr>
          <w:rFonts w:cstheme="minorHAnsi"/>
          <w:sz w:val="24"/>
          <w:szCs w:val="24"/>
        </w:rPr>
      </w:pPr>
      <w:r w:rsidRPr="007F0704">
        <w:rPr>
          <w:rFonts w:cstheme="minorHAnsi"/>
          <w:bCs/>
          <w:color w:val="202124"/>
          <w:sz w:val="24"/>
          <w:szCs w:val="24"/>
          <w:lang w:val="el-GR"/>
        </w:rPr>
        <w:t>Ανάβασις</w:t>
      </w:r>
      <w:r w:rsidRPr="007F0704">
        <w:rPr>
          <w:rFonts w:cstheme="minorHAnsi"/>
          <w:bCs/>
          <w:color w:val="202124"/>
          <w:sz w:val="24"/>
          <w:szCs w:val="24"/>
        </w:rPr>
        <w:t>, Anabasis</w:t>
      </w:r>
      <w:r w:rsidRPr="000031FD">
        <w:rPr>
          <w:rFonts w:cstheme="minorHAnsi"/>
          <w:color w:val="202124"/>
          <w:sz w:val="24"/>
          <w:szCs w:val="24"/>
        </w:rPr>
        <w:t xml:space="preserve"> may be translated as an “expedition up from</w:t>
      </w:r>
      <w:r w:rsidR="007F0704">
        <w:rPr>
          <w:rFonts w:cstheme="minorHAnsi"/>
          <w:color w:val="202124"/>
          <w:sz w:val="24"/>
          <w:szCs w:val="24"/>
        </w:rPr>
        <w:t>.</w:t>
      </w:r>
      <w:r w:rsidRPr="000031FD">
        <w:rPr>
          <w:rFonts w:cstheme="minorHAnsi"/>
          <w:color w:val="202124"/>
          <w:sz w:val="24"/>
          <w:szCs w:val="24"/>
        </w:rPr>
        <w:t>”</w:t>
      </w:r>
      <w:r>
        <w:rPr>
          <w:rStyle w:val="FootnoteReference"/>
          <w:rFonts w:cstheme="minorHAnsi"/>
          <w:color w:val="202124"/>
          <w:sz w:val="24"/>
          <w:szCs w:val="24"/>
        </w:rPr>
        <w:footnoteReference w:id="1"/>
      </w:r>
      <w:r w:rsidRPr="000031FD">
        <w:rPr>
          <w:rFonts w:cstheme="minorHAnsi"/>
          <w:color w:val="202124"/>
          <w:sz w:val="24"/>
          <w:szCs w:val="24"/>
        </w:rPr>
        <w:t xml:space="preserve">   There are two classical texts with this title; Xenophon’s </w:t>
      </w:r>
      <w:r w:rsidRPr="000031FD">
        <w:rPr>
          <w:rFonts w:cstheme="minorHAnsi"/>
          <w:i/>
          <w:color w:val="202124"/>
          <w:sz w:val="24"/>
          <w:szCs w:val="24"/>
        </w:rPr>
        <w:t>Anabasis of Cyrus</w:t>
      </w:r>
      <w:r w:rsidRPr="000031FD">
        <w:rPr>
          <w:rFonts w:cstheme="minorHAnsi"/>
          <w:color w:val="202124"/>
          <w:sz w:val="24"/>
          <w:szCs w:val="24"/>
        </w:rPr>
        <w:t xml:space="preserve"> and Arrian’s </w:t>
      </w:r>
      <w:r w:rsidRPr="000031FD">
        <w:rPr>
          <w:rFonts w:cstheme="minorHAnsi"/>
          <w:i/>
          <w:color w:val="202124"/>
          <w:sz w:val="24"/>
          <w:szCs w:val="24"/>
        </w:rPr>
        <w:t xml:space="preserve">Anabasis </w:t>
      </w:r>
      <w:proofErr w:type="spellStart"/>
      <w:r w:rsidRPr="000031FD">
        <w:rPr>
          <w:rFonts w:cstheme="minorHAnsi"/>
          <w:i/>
          <w:color w:val="202124"/>
          <w:sz w:val="24"/>
          <w:szCs w:val="24"/>
        </w:rPr>
        <w:t>Alexandri</w:t>
      </w:r>
      <w:proofErr w:type="spellEnd"/>
      <w:r w:rsidRPr="000031FD">
        <w:rPr>
          <w:rFonts w:cstheme="minorHAnsi"/>
          <w:color w:val="202124"/>
          <w:sz w:val="24"/>
          <w:szCs w:val="24"/>
        </w:rPr>
        <w:t xml:space="preserve">. </w:t>
      </w:r>
      <w:r w:rsidR="007F0704">
        <w:rPr>
          <w:rFonts w:cstheme="minorHAnsi"/>
          <w:color w:val="202124"/>
          <w:sz w:val="24"/>
          <w:szCs w:val="24"/>
        </w:rPr>
        <w:t xml:space="preserve"> </w:t>
      </w:r>
      <w:r w:rsidRPr="000031FD">
        <w:rPr>
          <w:rFonts w:cstheme="minorHAnsi"/>
          <w:color w:val="202124"/>
          <w:sz w:val="24"/>
          <w:szCs w:val="24"/>
        </w:rPr>
        <w:t>Both recount military expeditions, and it is from the latter that this pas</w:t>
      </w:r>
      <w:r w:rsidR="007F0704">
        <w:rPr>
          <w:rFonts w:cstheme="minorHAnsi"/>
          <w:color w:val="202124"/>
          <w:sz w:val="24"/>
          <w:szCs w:val="24"/>
        </w:rPr>
        <w:t>s</w:t>
      </w:r>
      <w:r w:rsidRPr="000031FD">
        <w:rPr>
          <w:rFonts w:cstheme="minorHAnsi"/>
          <w:color w:val="202124"/>
          <w:sz w:val="24"/>
          <w:szCs w:val="24"/>
        </w:rPr>
        <w:t xml:space="preserve">age is taken. </w:t>
      </w:r>
      <w:r w:rsidR="007F0704">
        <w:rPr>
          <w:rFonts w:cstheme="minorHAnsi"/>
          <w:color w:val="202124"/>
          <w:sz w:val="24"/>
          <w:szCs w:val="24"/>
        </w:rPr>
        <w:t xml:space="preserve"> </w:t>
      </w:r>
      <w:r w:rsidRPr="000031FD">
        <w:rPr>
          <w:rFonts w:cstheme="minorHAnsi"/>
          <w:color w:val="202124"/>
          <w:sz w:val="24"/>
          <w:szCs w:val="24"/>
        </w:rPr>
        <w:t xml:space="preserve">Hammond described Arrian as </w:t>
      </w:r>
      <w:r w:rsidRPr="000031FD">
        <w:rPr>
          <w:rFonts w:cstheme="minorHAnsi"/>
          <w:sz w:val="24"/>
          <w:szCs w:val="24"/>
        </w:rPr>
        <w:t xml:space="preserve">“one of the foremost writers of the Greek renaissance in the </w:t>
      </w:r>
      <w:r w:rsidR="00467DF1">
        <w:rPr>
          <w:rFonts w:cstheme="minorHAnsi"/>
          <w:sz w:val="24"/>
          <w:szCs w:val="24"/>
        </w:rPr>
        <w:t xml:space="preserve">second </w:t>
      </w:r>
      <w:r w:rsidRPr="000031FD">
        <w:rPr>
          <w:rFonts w:cstheme="minorHAnsi"/>
          <w:sz w:val="24"/>
          <w:szCs w:val="24"/>
        </w:rPr>
        <w:t>century AD</w:t>
      </w:r>
      <w:r w:rsidRPr="005021C3">
        <w:rPr>
          <w:rFonts w:cstheme="minorHAnsi"/>
          <w:sz w:val="24"/>
          <w:szCs w:val="24"/>
        </w:rPr>
        <w:t>."</w:t>
      </w:r>
      <w:r>
        <w:rPr>
          <w:rStyle w:val="FootnoteReference"/>
          <w:rFonts w:cstheme="minorHAnsi"/>
          <w:sz w:val="24"/>
          <w:szCs w:val="24"/>
        </w:rPr>
        <w:footnoteReference w:id="2"/>
      </w:r>
      <w:r w:rsidRPr="000031FD">
        <w:rPr>
          <w:rFonts w:cstheme="minorHAnsi"/>
          <w:sz w:val="24"/>
          <w:szCs w:val="24"/>
        </w:rPr>
        <w:t xml:space="preserve"> and whilst much debate surrounds exactly when he wrote his </w:t>
      </w:r>
      <w:r w:rsidRPr="000031FD">
        <w:rPr>
          <w:rFonts w:cstheme="minorHAnsi"/>
          <w:i/>
          <w:sz w:val="24"/>
          <w:szCs w:val="24"/>
        </w:rPr>
        <w:t>Anabasis</w:t>
      </w:r>
      <w:r w:rsidRPr="000031FD">
        <w:rPr>
          <w:rFonts w:cstheme="minorHAnsi"/>
          <w:sz w:val="24"/>
          <w:szCs w:val="24"/>
        </w:rPr>
        <w:t>, it was around 500 years afte</w:t>
      </w:r>
      <w:r w:rsidR="008C1C95">
        <w:rPr>
          <w:rFonts w:cstheme="minorHAnsi"/>
          <w:sz w:val="24"/>
          <w:szCs w:val="24"/>
        </w:rPr>
        <w:t>r</w:t>
      </w:r>
      <w:r w:rsidRPr="000031FD">
        <w:rPr>
          <w:rFonts w:cstheme="minorHAnsi"/>
          <w:sz w:val="24"/>
          <w:szCs w:val="24"/>
        </w:rPr>
        <w:t xml:space="preserve"> Alexander</w:t>
      </w:r>
      <w:r w:rsidR="008C1C95">
        <w:rPr>
          <w:rFonts w:cstheme="minorHAnsi"/>
          <w:sz w:val="24"/>
          <w:szCs w:val="24"/>
        </w:rPr>
        <w:t xml:space="preserve"> </w:t>
      </w:r>
      <w:r w:rsidRPr="000031FD">
        <w:rPr>
          <w:rFonts w:cstheme="minorHAnsi"/>
          <w:sz w:val="24"/>
          <w:szCs w:val="24"/>
        </w:rPr>
        <w:t>died.</w:t>
      </w:r>
      <w:r>
        <w:rPr>
          <w:rStyle w:val="FootnoteReference"/>
          <w:rFonts w:cstheme="minorHAnsi"/>
          <w:sz w:val="24"/>
          <w:szCs w:val="24"/>
        </w:rPr>
        <w:footnoteReference w:id="3"/>
      </w:r>
      <w:r w:rsidR="007F0704">
        <w:rPr>
          <w:rFonts w:cstheme="minorHAnsi"/>
          <w:sz w:val="24"/>
          <w:szCs w:val="24"/>
        </w:rPr>
        <w:t xml:space="preserve"> </w:t>
      </w:r>
      <w:r w:rsidRPr="000031FD">
        <w:rPr>
          <w:rFonts w:cstheme="minorHAnsi"/>
          <w:sz w:val="24"/>
          <w:szCs w:val="24"/>
        </w:rPr>
        <w:t xml:space="preserve"> This particular section is an account of the concluding phase of the Battle of Granicus, the opening engagement of Alexander's campaign, and was translated by</w:t>
      </w:r>
      <w:r w:rsidRPr="000031FD">
        <w:rPr>
          <w:rFonts w:cstheme="minorHAnsi"/>
          <w:b/>
          <w:sz w:val="24"/>
          <w:szCs w:val="24"/>
        </w:rPr>
        <w:t xml:space="preserve"> </w:t>
      </w:r>
      <w:r w:rsidRPr="000031FD">
        <w:rPr>
          <w:rFonts w:cstheme="minorHAnsi"/>
          <w:sz w:val="24"/>
          <w:szCs w:val="24"/>
        </w:rPr>
        <w:t xml:space="preserve">Chinnock in 1884. </w:t>
      </w:r>
      <w:r w:rsidR="003B413D">
        <w:rPr>
          <w:rFonts w:cstheme="minorHAnsi"/>
          <w:sz w:val="24"/>
          <w:szCs w:val="24"/>
        </w:rPr>
        <w:t xml:space="preserve"> </w:t>
      </w:r>
      <w:r w:rsidRPr="000031FD">
        <w:rPr>
          <w:rFonts w:cstheme="minorHAnsi"/>
          <w:sz w:val="24"/>
          <w:szCs w:val="24"/>
        </w:rPr>
        <w:t xml:space="preserve">According to Chinnock, publication was an afterthought, considered when he realised </w:t>
      </w:r>
      <w:r w:rsidRPr="008C1C95">
        <w:rPr>
          <w:rFonts w:cstheme="minorHAnsi"/>
          <w:sz w:val="24"/>
          <w:szCs w:val="24"/>
        </w:rPr>
        <w:t>th</w:t>
      </w:r>
      <w:r w:rsidRPr="000031FD">
        <w:rPr>
          <w:rFonts w:cstheme="minorHAnsi"/>
          <w:sz w:val="24"/>
          <w:szCs w:val="24"/>
        </w:rPr>
        <w:t>ere had been no prior English translation</w:t>
      </w:r>
      <w:r w:rsidR="007F0704">
        <w:rPr>
          <w:rFonts w:cstheme="minorHAnsi"/>
          <w:sz w:val="24"/>
          <w:szCs w:val="24"/>
        </w:rPr>
        <w:t>.</w:t>
      </w:r>
      <w:r>
        <w:rPr>
          <w:rStyle w:val="FootnoteReference"/>
          <w:rFonts w:cstheme="minorHAnsi"/>
          <w:sz w:val="24"/>
          <w:szCs w:val="24"/>
        </w:rPr>
        <w:footnoteReference w:id="4"/>
      </w:r>
      <w:r w:rsidRPr="000031FD">
        <w:rPr>
          <w:rFonts w:cstheme="minorHAnsi"/>
          <w:sz w:val="24"/>
          <w:szCs w:val="24"/>
        </w:rPr>
        <w:t xml:space="preserve">  </w:t>
      </w:r>
      <w:proofErr w:type="spellStart"/>
      <w:r w:rsidRPr="000031FD">
        <w:rPr>
          <w:rFonts w:cstheme="minorHAnsi"/>
          <w:sz w:val="24"/>
          <w:szCs w:val="24"/>
        </w:rPr>
        <w:t>Chinnock</w:t>
      </w:r>
      <w:proofErr w:type="spellEnd"/>
      <w:r w:rsidRPr="000031FD">
        <w:rPr>
          <w:rFonts w:cstheme="minorHAnsi"/>
          <w:sz w:val="24"/>
          <w:szCs w:val="24"/>
        </w:rPr>
        <w:t xml:space="preserve"> states his intent to provide an </w:t>
      </w:r>
      <w:r w:rsidRPr="000031FD">
        <w:rPr>
          <w:rFonts w:cstheme="minorHAnsi"/>
          <w:i/>
          <w:sz w:val="24"/>
          <w:szCs w:val="24"/>
        </w:rPr>
        <w:t>ipissima verba</w:t>
      </w:r>
      <w:r w:rsidR="007F0704">
        <w:rPr>
          <w:rFonts w:cstheme="minorHAnsi"/>
          <w:i/>
          <w:sz w:val="24"/>
          <w:szCs w:val="24"/>
        </w:rPr>
        <w:t xml:space="preserve">, </w:t>
      </w:r>
      <w:r>
        <w:rPr>
          <w:rStyle w:val="FootnoteReference"/>
          <w:rFonts w:cstheme="minorHAnsi"/>
          <w:i/>
          <w:sz w:val="24"/>
          <w:szCs w:val="24"/>
        </w:rPr>
        <w:footnoteReference w:id="5"/>
      </w:r>
      <w:r w:rsidRPr="000031FD">
        <w:rPr>
          <w:rFonts w:cstheme="minorHAnsi"/>
          <w:sz w:val="24"/>
          <w:szCs w:val="24"/>
        </w:rPr>
        <w:t xml:space="preserve"> a literal translation, and yet it is interesting that he entitles Spithridates not as satrap but as “viceroy of Lydia</w:t>
      </w:r>
      <w:r w:rsidR="007F0704">
        <w:rPr>
          <w:rFonts w:cstheme="minorHAnsi"/>
          <w:sz w:val="24"/>
          <w:szCs w:val="24"/>
        </w:rPr>
        <w:t>,</w:t>
      </w:r>
      <w:r w:rsidRPr="000031FD">
        <w:rPr>
          <w:rFonts w:cstheme="minorHAnsi"/>
          <w:sz w:val="24"/>
          <w:szCs w:val="24"/>
        </w:rPr>
        <w:t>”</w:t>
      </w:r>
      <w:r>
        <w:rPr>
          <w:rStyle w:val="FootnoteReference"/>
          <w:rFonts w:cstheme="minorHAnsi"/>
          <w:sz w:val="24"/>
          <w:szCs w:val="24"/>
        </w:rPr>
        <w:footnoteReference w:id="6"/>
      </w:r>
      <w:r w:rsidRPr="000031FD">
        <w:rPr>
          <w:rFonts w:cstheme="minorHAnsi"/>
          <w:sz w:val="24"/>
          <w:szCs w:val="24"/>
        </w:rPr>
        <w:t xml:space="preserve"> more indicative of his era than Alexander’s</w:t>
      </w:r>
      <w:r w:rsidR="007F0704">
        <w:rPr>
          <w:rFonts w:cstheme="minorHAnsi"/>
          <w:sz w:val="24"/>
          <w:szCs w:val="24"/>
        </w:rPr>
        <w:t>.</w:t>
      </w:r>
      <w:r>
        <w:rPr>
          <w:rStyle w:val="FootnoteReference"/>
          <w:rFonts w:cstheme="minorHAnsi"/>
          <w:sz w:val="24"/>
          <w:szCs w:val="24"/>
        </w:rPr>
        <w:footnoteReference w:id="7"/>
      </w:r>
    </w:p>
    <w:p w14:paraId="57BA7166" w14:textId="77777777" w:rsidR="000031FD" w:rsidRPr="000031FD" w:rsidRDefault="000031FD" w:rsidP="000031FD">
      <w:pPr>
        <w:spacing w:after="0"/>
        <w:rPr>
          <w:rFonts w:cstheme="minorHAnsi"/>
          <w:sz w:val="24"/>
          <w:szCs w:val="24"/>
        </w:rPr>
      </w:pPr>
    </w:p>
    <w:p w14:paraId="269D482C" w14:textId="0ADBA7CC" w:rsidR="00166D8C" w:rsidRPr="000031FD" w:rsidRDefault="00000000" w:rsidP="000031FD">
      <w:pPr>
        <w:shd w:val="clear" w:color="auto" w:fill="FFFFFF"/>
        <w:spacing w:after="0"/>
        <w:rPr>
          <w:rFonts w:eastAsia="Times New Roman" w:cstheme="minorHAnsi"/>
          <w:bCs/>
          <w:color w:val="000000"/>
          <w:sz w:val="24"/>
          <w:szCs w:val="24"/>
          <w:lang w:eastAsia="en-GB"/>
        </w:rPr>
      </w:pPr>
      <w:r w:rsidRPr="000031FD">
        <w:rPr>
          <w:rFonts w:cstheme="minorHAnsi"/>
          <w:sz w:val="24"/>
          <w:szCs w:val="24"/>
        </w:rPr>
        <w:t xml:space="preserve">According to Bosworth, the established view had been that Arrian wrote the </w:t>
      </w:r>
      <w:r w:rsidRPr="000031FD">
        <w:rPr>
          <w:rFonts w:cstheme="minorHAnsi"/>
          <w:i/>
          <w:sz w:val="24"/>
          <w:szCs w:val="24"/>
        </w:rPr>
        <w:t xml:space="preserve">Anabasis </w:t>
      </w:r>
      <w:r w:rsidRPr="000031FD">
        <w:rPr>
          <w:rFonts w:cstheme="minorHAnsi"/>
          <w:sz w:val="24"/>
          <w:szCs w:val="24"/>
        </w:rPr>
        <w:t>in his later years and had therefore acquired some literary expertise, the military know-how of a</w:t>
      </w:r>
      <w:r w:rsidRPr="000031FD">
        <w:rPr>
          <w:rFonts w:eastAsia="Times New Roman" w:cstheme="minorHAnsi"/>
          <w:bCs/>
          <w:i/>
          <w:color w:val="000000"/>
          <w:sz w:val="24"/>
          <w:szCs w:val="24"/>
          <w:lang w:eastAsia="en-GB"/>
        </w:rPr>
        <w:t xml:space="preserve"> </w:t>
      </w:r>
      <w:proofErr w:type="spellStart"/>
      <w:r w:rsidRPr="000031FD">
        <w:rPr>
          <w:rFonts w:eastAsia="Times New Roman" w:cstheme="minorHAnsi"/>
          <w:bCs/>
          <w:i/>
          <w:color w:val="000000"/>
          <w:sz w:val="24"/>
          <w:szCs w:val="24"/>
          <w:lang w:eastAsia="en-GB"/>
        </w:rPr>
        <w:t>vir</w:t>
      </w:r>
      <w:proofErr w:type="spellEnd"/>
      <w:r w:rsidRPr="000031FD">
        <w:rPr>
          <w:rFonts w:eastAsia="Times New Roman" w:cstheme="minorHAnsi"/>
          <w:bCs/>
          <w:i/>
          <w:color w:val="000000"/>
          <w:sz w:val="24"/>
          <w:szCs w:val="24"/>
          <w:lang w:eastAsia="en-GB"/>
        </w:rPr>
        <w:t xml:space="preserve"> </w:t>
      </w:r>
      <w:proofErr w:type="spellStart"/>
      <w:r w:rsidRPr="000031FD">
        <w:rPr>
          <w:rFonts w:eastAsia="Times New Roman" w:cstheme="minorHAnsi"/>
          <w:bCs/>
          <w:i/>
          <w:color w:val="000000"/>
          <w:sz w:val="24"/>
          <w:szCs w:val="24"/>
          <w:lang w:eastAsia="en-GB"/>
        </w:rPr>
        <w:t>militaris</w:t>
      </w:r>
      <w:proofErr w:type="spellEnd"/>
      <w:r w:rsidRPr="000031FD">
        <w:rPr>
          <w:rFonts w:eastAsia="Times New Roman" w:cstheme="minorHAnsi"/>
          <w:bCs/>
          <w:i/>
          <w:color w:val="000000"/>
          <w:sz w:val="24"/>
          <w:szCs w:val="24"/>
          <w:lang w:eastAsia="en-GB"/>
        </w:rPr>
        <w:t>,</w:t>
      </w:r>
      <w:r w:rsidRPr="000031FD">
        <w:rPr>
          <w:rFonts w:eastAsia="Times New Roman" w:cstheme="minorHAnsi"/>
          <w:bCs/>
          <w:color w:val="000000"/>
          <w:sz w:val="24"/>
          <w:szCs w:val="24"/>
          <w:lang w:eastAsia="en-GB"/>
        </w:rPr>
        <w:t xml:space="preserve"> a philosopher</w:t>
      </w:r>
      <w:r w:rsidR="008C1C95">
        <w:rPr>
          <w:rFonts w:eastAsia="Times New Roman" w:cstheme="minorHAnsi"/>
          <w:bCs/>
          <w:color w:val="000000"/>
          <w:sz w:val="24"/>
          <w:szCs w:val="24"/>
          <w:lang w:eastAsia="en-GB"/>
        </w:rPr>
        <w:t>s analytical ability</w:t>
      </w:r>
      <w:r w:rsidRPr="000031FD">
        <w:rPr>
          <w:rFonts w:eastAsia="Times New Roman" w:cstheme="minorHAnsi"/>
          <w:bCs/>
          <w:color w:val="000000"/>
          <w:sz w:val="24"/>
          <w:szCs w:val="24"/>
          <w:lang w:eastAsia="en-GB"/>
        </w:rPr>
        <w:t xml:space="preserve"> and the strategic appreciation of an adlected</w:t>
      </w:r>
      <w:r w:rsidRPr="000031FD">
        <w:rPr>
          <w:rFonts w:eastAsia="Times New Roman" w:cstheme="minorHAnsi"/>
          <w:bCs/>
          <w:i/>
          <w:color w:val="000000"/>
          <w:sz w:val="24"/>
          <w:szCs w:val="24"/>
          <w:lang w:eastAsia="en-GB"/>
        </w:rPr>
        <w:t xml:space="preserve"> consul sufflectus</w:t>
      </w:r>
      <w:r w:rsidR="00A4729F">
        <w:rPr>
          <w:rFonts w:eastAsia="Times New Roman" w:cstheme="minorHAnsi"/>
          <w:bCs/>
          <w:i/>
          <w:color w:val="000000"/>
          <w:sz w:val="24"/>
          <w:szCs w:val="24"/>
          <w:lang w:eastAsia="en-GB"/>
        </w:rPr>
        <w:t>.</w:t>
      </w:r>
      <w:r>
        <w:rPr>
          <w:rStyle w:val="FootnoteReference"/>
          <w:rFonts w:eastAsia="Times New Roman" w:cstheme="minorHAnsi"/>
          <w:bCs/>
          <w:i/>
          <w:color w:val="000000"/>
          <w:sz w:val="24"/>
          <w:szCs w:val="24"/>
          <w:lang w:eastAsia="en-GB"/>
        </w:rPr>
        <w:footnoteReference w:id="8"/>
      </w:r>
      <w:r w:rsidRPr="000031FD">
        <w:rPr>
          <w:rFonts w:eastAsia="Times New Roman" w:cstheme="minorHAnsi"/>
          <w:bCs/>
          <w:i/>
          <w:color w:val="000000"/>
          <w:sz w:val="24"/>
          <w:szCs w:val="24"/>
          <w:lang w:eastAsia="en-GB"/>
        </w:rPr>
        <w:t xml:space="preserve"> </w:t>
      </w:r>
      <w:r w:rsidRPr="000031FD">
        <w:rPr>
          <w:rFonts w:eastAsia="Times New Roman" w:cstheme="minorHAnsi"/>
          <w:bCs/>
          <w:color w:val="000000"/>
          <w:sz w:val="24"/>
          <w:szCs w:val="24"/>
          <w:lang w:eastAsia="en-GB"/>
        </w:rPr>
        <w:t xml:space="preserve"> However, Bosworth concluded that “the evidence is unanimous that it was an early work, written before the start of Arrian’s senatorial career</w:t>
      </w:r>
      <w:r w:rsidR="00A4729F">
        <w:rPr>
          <w:rFonts w:eastAsia="Times New Roman" w:cstheme="minorHAnsi"/>
          <w:bCs/>
          <w:color w:val="000000"/>
          <w:sz w:val="24"/>
          <w:szCs w:val="24"/>
          <w:lang w:eastAsia="en-GB"/>
        </w:rPr>
        <w:t>.</w:t>
      </w:r>
      <w:r w:rsidRPr="000031FD">
        <w:rPr>
          <w:rFonts w:eastAsia="Times New Roman" w:cstheme="minorHAnsi"/>
          <w:bCs/>
          <w:color w:val="000000"/>
          <w:sz w:val="24"/>
          <w:szCs w:val="24"/>
          <w:lang w:eastAsia="en-GB"/>
        </w:rPr>
        <w:t>”</w:t>
      </w:r>
      <w:r>
        <w:rPr>
          <w:rStyle w:val="FootnoteReference"/>
          <w:rFonts w:eastAsia="Times New Roman" w:cstheme="minorHAnsi"/>
          <w:bCs/>
          <w:color w:val="000000"/>
          <w:sz w:val="24"/>
          <w:szCs w:val="24"/>
          <w:lang w:eastAsia="en-GB"/>
        </w:rPr>
        <w:footnoteReference w:id="9"/>
      </w:r>
      <w:r w:rsidRPr="000031FD">
        <w:rPr>
          <w:rFonts w:eastAsia="Times New Roman" w:cstheme="minorHAnsi"/>
          <w:bCs/>
          <w:color w:val="000000"/>
          <w:sz w:val="24"/>
          <w:szCs w:val="24"/>
          <w:lang w:eastAsia="en-GB"/>
        </w:rPr>
        <w:t xml:space="preserve">  Nevertheless, it appears that before his literary apogee, the </w:t>
      </w:r>
      <w:r w:rsidRPr="000031FD">
        <w:rPr>
          <w:rFonts w:eastAsia="Times New Roman" w:cstheme="minorHAnsi"/>
          <w:bCs/>
          <w:i/>
          <w:color w:val="000000"/>
          <w:sz w:val="24"/>
          <w:szCs w:val="24"/>
          <w:lang w:eastAsia="en-GB"/>
        </w:rPr>
        <w:t>Bithyniaca,</w:t>
      </w:r>
      <w:r w:rsidRPr="000031FD">
        <w:rPr>
          <w:rFonts w:eastAsia="Times New Roman" w:cstheme="minorHAnsi"/>
          <w:bCs/>
          <w:color w:val="000000"/>
          <w:sz w:val="24"/>
          <w:szCs w:val="24"/>
          <w:lang w:eastAsia="en-GB"/>
        </w:rPr>
        <w:t xml:space="preserve"> he strove to establish himself as "preeminent in Hellenic letters as Alexander was preeminent in the art of war</w:t>
      </w:r>
      <w:r w:rsidR="00A4729F">
        <w:rPr>
          <w:rFonts w:eastAsia="Times New Roman" w:cstheme="minorHAnsi"/>
          <w:bCs/>
          <w:color w:val="000000"/>
          <w:sz w:val="24"/>
          <w:szCs w:val="24"/>
          <w:lang w:eastAsia="en-GB"/>
        </w:rPr>
        <w:t>.</w:t>
      </w:r>
      <w:r w:rsidRPr="000031FD">
        <w:rPr>
          <w:rFonts w:eastAsia="Times New Roman" w:cstheme="minorHAnsi"/>
          <w:bCs/>
          <w:color w:val="000000"/>
          <w:sz w:val="24"/>
          <w:szCs w:val="24"/>
          <w:lang w:eastAsia="en-GB"/>
        </w:rPr>
        <w:t>”</w:t>
      </w:r>
      <w:r>
        <w:rPr>
          <w:rStyle w:val="FootnoteReference"/>
          <w:rFonts w:eastAsia="Times New Roman" w:cstheme="minorHAnsi"/>
          <w:bCs/>
          <w:color w:val="000000"/>
          <w:sz w:val="24"/>
          <w:szCs w:val="24"/>
          <w:lang w:eastAsia="en-GB"/>
        </w:rPr>
        <w:footnoteReference w:id="10"/>
      </w:r>
      <w:r w:rsidRPr="000031FD">
        <w:rPr>
          <w:rFonts w:eastAsia="Times New Roman" w:cstheme="minorHAnsi"/>
          <w:bCs/>
          <w:color w:val="000000"/>
          <w:sz w:val="24"/>
          <w:szCs w:val="24"/>
          <w:lang w:eastAsia="en-GB"/>
        </w:rPr>
        <w:t xml:space="preserve">  According to Stadter, “the patriarch Photius” referred to Arrian as “the new Xenophon”</w:t>
      </w:r>
      <w:r>
        <w:rPr>
          <w:rStyle w:val="FootnoteReference"/>
          <w:rFonts w:eastAsia="Times New Roman" w:cstheme="minorHAnsi"/>
          <w:bCs/>
          <w:color w:val="000000"/>
          <w:sz w:val="24"/>
          <w:szCs w:val="24"/>
          <w:lang w:eastAsia="en-GB"/>
        </w:rPr>
        <w:footnoteReference w:id="11"/>
      </w:r>
      <w:r w:rsidRPr="000031FD">
        <w:rPr>
          <w:rFonts w:eastAsia="Times New Roman" w:cstheme="minorHAnsi"/>
          <w:bCs/>
          <w:color w:val="000000"/>
          <w:sz w:val="24"/>
          <w:szCs w:val="24"/>
          <w:lang w:eastAsia="en-GB"/>
        </w:rPr>
        <w:t xml:space="preserve"> and it may have been his desire to eclipse his predecessor's </w:t>
      </w:r>
      <w:r w:rsidRPr="000031FD">
        <w:rPr>
          <w:rFonts w:eastAsia="Times New Roman" w:cstheme="minorHAnsi"/>
          <w:bCs/>
          <w:i/>
          <w:color w:val="000000"/>
          <w:sz w:val="24"/>
          <w:szCs w:val="24"/>
          <w:lang w:eastAsia="en-GB"/>
        </w:rPr>
        <w:t>Anabasis</w:t>
      </w:r>
      <w:r w:rsidRPr="000031FD">
        <w:rPr>
          <w:rFonts w:eastAsia="Times New Roman" w:cstheme="minorHAnsi"/>
          <w:bCs/>
          <w:color w:val="000000"/>
          <w:sz w:val="24"/>
          <w:szCs w:val="24"/>
          <w:lang w:eastAsia="en-GB"/>
        </w:rPr>
        <w:t xml:space="preserve"> that made him less objective. </w:t>
      </w:r>
    </w:p>
    <w:p w14:paraId="7AE68BF5" w14:textId="77777777" w:rsidR="00166D8C" w:rsidRPr="000031FD" w:rsidRDefault="00166D8C" w:rsidP="000031FD">
      <w:pPr>
        <w:spacing w:after="0"/>
        <w:rPr>
          <w:rFonts w:cstheme="minorHAnsi"/>
          <w:b/>
          <w:sz w:val="24"/>
          <w:szCs w:val="24"/>
          <w:u w:val="single"/>
        </w:rPr>
      </w:pPr>
    </w:p>
    <w:p w14:paraId="79943D3F" w14:textId="14B7ABB5" w:rsidR="00166D8C" w:rsidRDefault="00000000" w:rsidP="000031FD">
      <w:pPr>
        <w:shd w:val="clear" w:color="auto" w:fill="FFFFFF"/>
        <w:spacing w:after="0"/>
        <w:rPr>
          <w:rFonts w:eastAsia="Times New Roman" w:cstheme="minorHAnsi"/>
          <w:color w:val="000000"/>
          <w:sz w:val="24"/>
          <w:szCs w:val="24"/>
          <w:lang w:eastAsia="en-GB"/>
        </w:rPr>
      </w:pPr>
      <w:r w:rsidRPr="000031FD">
        <w:rPr>
          <w:rFonts w:cstheme="minorHAnsi"/>
          <w:bCs/>
          <w:sz w:val="24"/>
          <w:szCs w:val="24"/>
        </w:rPr>
        <w:t>Hammond s</w:t>
      </w:r>
      <w:r w:rsidR="003B413D">
        <w:rPr>
          <w:rFonts w:cstheme="minorHAnsi"/>
          <w:bCs/>
          <w:sz w:val="24"/>
          <w:szCs w:val="24"/>
        </w:rPr>
        <w:t xml:space="preserve">tates </w:t>
      </w:r>
      <w:r w:rsidRPr="000031FD">
        <w:rPr>
          <w:rFonts w:cstheme="minorHAnsi"/>
          <w:sz w:val="24"/>
          <w:szCs w:val="24"/>
        </w:rPr>
        <w:t>Arrian’s work is “based on the most reliable accounts</w:t>
      </w:r>
      <w:r w:rsidR="00A4729F">
        <w:rPr>
          <w:rFonts w:cstheme="minorHAnsi"/>
          <w:sz w:val="24"/>
          <w:szCs w:val="24"/>
        </w:rPr>
        <w:t>.</w:t>
      </w:r>
      <w:r w:rsidRPr="000031FD">
        <w:rPr>
          <w:rFonts w:cstheme="minorHAnsi"/>
          <w:sz w:val="24"/>
          <w:szCs w:val="24"/>
        </w:rPr>
        <w:t>”</w:t>
      </w:r>
      <w:r>
        <w:rPr>
          <w:rStyle w:val="FootnoteReference"/>
          <w:rFonts w:cstheme="minorHAnsi"/>
          <w:sz w:val="24"/>
          <w:szCs w:val="24"/>
        </w:rPr>
        <w:footnoteReference w:id="12"/>
      </w:r>
      <w:r w:rsidRPr="000031FD">
        <w:rPr>
          <w:rFonts w:cstheme="minorHAnsi"/>
          <w:sz w:val="24"/>
          <w:szCs w:val="24"/>
        </w:rPr>
        <w:t xml:space="preserve"> </w:t>
      </w:r>
      <w:r w:rsidRPr="000031FD">
        <w:rPr>
          <w:rFonts w:eastAsia="Times New Roman" w:cstheme="minorHAnsi"/>
          <w:color w:val="000000"/>
          <w:sz w:val="24"/>
          <w:szCs w:val="24"/>
          <w:lang w:eastAsia="en-GB"/>
        </w:rPr>
        <w:t xml:space="preserve"> Purportedly, most information was drawn from </w:t>
      </w:r>
      <w:proofErr w:type="spellStart"/>
      <w:r w:rsidRPr="000031FD">
        <w:rPr>
          <w:rFonts w:eastAsia="Times New Roman" w:cstheme="minorHAnsi"/>
          <w:color w:val="000000"/>
          <w:sz w:val="24"/>
          <w:szCs w:val="24"/>
          <w:lang w:eastAsia="en-GB"/>
        </w:rPr>
        <w:t>Aristobulus</w:t>
      </w:r>
      <w:proofErr w:type="spellEnd"/>
      <w:r w:rsidRPr="000031FD">
        <w:rPr>
          <w:rFonts w:eastAsia="Times New Roman" w:cstheme="minorHAnsi"/>
          <w:color w:val="000000"/>
          <w:sz w:val="24"/>
          <w:szCs w:val="24"/>
          <w:lang w:eastAsia="en-GB"/>
        </w:rPr>
        <w:t xml:space="preserve"> and Ptolemy, both contemporaries</w:t>
      </w:r>
      <w:r w:rsidR="00A4729F">
        <w:rPr>
          <w:rFonts w:eastAsia="Times New Roman" w:cstheme="minorHAnsi"/>
          <w:color w:val="000000"/>
          <w:sz w:val="24"/>
          <w:szCs w:val="24"/>
          <w:lang w:eastAsia="en-GB"/>
        </w:rPr>
        <w:t>.</w:t>
      </w:r>
      <w:r>
        <w:rPr>
          <w:rStyle w:val="FootnoteReference"/>
          <w:rFonts w:eastAsia="Times New Roman" w:cstheme="minorHAnsi"/>
          <w:color w:val="000000"/>
          <w:sz w:val="24"/>
          <w:szCs w:val="24"/>
          <w:lang w:eastAsia="en-GB"/>
        </w:rPr>
        <w:footnoteReference w:id="13"/>
      </w:r>
      <w:r w:rsidRPr="000031FD">
        <w:rPr>
          <w:rFonts w:eastAsia="Times New Roman" w:cstheme="minorHAnsi"/>
          <w:color w:val="000000"/>
          <w:sz w:val="24"/>
          <w:szCs w:val="24"/>
          <w:lang w:eastAsia="en-GB"/>
        </w:rPr>
        <w:t xml:space="preserve">  </w:t>
      </w:r>
      <w:r w:rsidRPr="000031FD">
        <w:rPr>
          <w:rFonts w:eastAsia="Times New Roman" w:cstheme="minorHAnsi"/>
          <w:color w:val="000000"/>
          <w:sz w:val="24"/>
          <w:szCs w:val="24"/>
          <w:lang w:eastAsia="en-GB"/>
        </w:rPr>
        <w:lastRenderedPageBreak/>
        <w:t>However, some controversy surrounds Arrian</w:t>
      </w:r>
      <w:r w:rsidR="008C1C95">
        <w:rPr>
          <w:rFonts w:eastAsia="Times New Roman" w:cstheme="minorHAnsi"/>
          <w:color w:val="000000"/>
          <w:sz w:val="24"/>
          <w:szCs w:val="24"/>
          <w:lang w:eastAsia="en-GB"/>
        </w:rPr>
        <w:t>’s Persian casualty figures</w:t>
      </w:r>
      <w:r w:rsidRPr="000031FD">
        <w:rPr>
          <w:rFonts w:eastAsia="Times New Roman" w:cstheme="minorHAnsi"/>
          <w:color w:val="000000"/>
          <w:sz w:val="24"/>
          <w:szCs w:val="24"/>
          <w:lang w:eastAsia="en-GB"/>
        </w:rPr>
        <w:t>.  Chinnock’s translation says that 1000 were killed whilst acknowledging in his notes that Diodorus lists 2000</w:t>
      </w:r>
      <w:r w:rsidR="00A4729F">
        <w:rPr>
          <w:rFonts w:eastAsia="Times New Roman" w:cstheme="minorHAnsi"/>
          <w:color w:val="000000"/>
          <w:sz w:val="24"/>
          <w:szCs w:val="24"/>
          <w:lang w:eastAsia="en-GB"/>
        </w:rPr>
        <w:t>.</w:t>
      </w:r>
      <w:r>
        <w:rPr>
          <w:rStyle w:val="FootnoteReference"/>
          <w:rFonts w:eastAsia="Times New Roman" w:cstheme="minorHAnsi"/>
          <w:color w:val="000000"/>
          <w:sz w:val="24"/>
          <w:szCs w:val="24"/>
          <w:lang w:eastAsia="en-GB"/>
        </w:rPr>
        <w:footnoteReference w:id="14"/>
      </w:r>
      <w:r w:rsidRPr="000031FD">
        <w:rPr>
          <w:rFonts w:eastAsia="Times New Roman" w:cstheme="minorHAnsi"/>
          <w:color w:val="000000"/>
          <w:sz w:val="24"/>
          <w:szCs w:val="24"/>
          <w:lang w:eastAsia="en-GB"/>
        </w:rPr>
        <w:t xml:space="preserve">  However, a translation of Diodorus reveals that what he actually said was</w:t>
      </w:r>
      <w:r w:rsidRPr="000031FD">
        <w:rPr>
          <w:rFonts w:cstheme="minorHAnsi"/>
          <w:sz w:val="24"/>
          <w:szCs w:val="24"/>
        </w:rPr>
        <w:t xml:space="preserve"> “not less than 2000 horsemen</w:t>
      </w:r>
      <w:r w:rsidR="00A4729F">
        <w:rPr>
          <w:rFonts w:cstheme="minorHAnsi"/>
          <w:sz w:val="24"/>
          <w:szCs w:val="24"/>
        </w:rPr>
        <w:t>.</w:t>
      </w:r>
      <w:r w:rsidRPr="000031FD">
        <w:rPr>
          <w:rFonts w:cstheme="minorHAnsi"/>
          <w:sz w:val="24"/>
          <w:szCs w:val="24"/>
        </w:rPr>
        <w:t>”</w:t>
      </w:r>
      <w:r>
        <w:rPr>
          <w:rStyle w:val="FootnoteReference"/>
          <w:rFonts w:cstheme="minorHAnsi"/>
          <w:sz w:val="24"/>
          <w:szCs w:val="24"/>
        </w:rPr>
        <w:footnoteReference w:id="15"/>
      </w:r>
      <w:r w:rsidRPr="000031FD">
        <w:rPr>
          <w:rFonts w:cstheme="minorHAnsi"/>
          <w:sz w:val="24"/>
          <w:szCs w:val="24"/>
        </w:rPr>
        <w:t xml:space="preserve"> </w:t>
      </w:r>
      <w:r w:rsidRPr="000031FD">
        <w:rPr>
          <w:rFonts w:eastAsia="Times New Roman" w:cstheme="minorHAnsi"/>
          <w:color w:val="000000"/>
          <w:sz w:val="24"/>
          <w:szCs w:val="24"/>
          <w:lang w:eastAsia="en-GB"/>
        </w:rPr>
        <w:t xml:space="preserve">Bosworth states that Plutarch, mirroring one of Arrian’s reputed sources, </w:t>
      </w:r>
      <w:r w:rsidRPr="000031FD">
        <w:rPr>
          <w:rFonts w:cstheme="minorHAnsi"/>
          <w:sz w:val="24"/>
          <w:szCs w:val="24"/>
        </w:rPr>
        <w:t>Aristobulus,</w:t>
      </w:r>
      <w:r w:rsidRPr="000031FD">
        <w:rPr>
          <w:rFonts w:eastAsia="Times New Roman" w:cstheme="minorHAnsi"/>
          <w:color w:val="000000"/>
          <w:sz w:val="24"/>
          <w:szCs w:val="24"/>
          <w:lang w:eastAsia="en-GB"/>
        </w:rPr>
        <w:t xml:space="preserve"> puts this figure at 2500</w:t>
      </w:r>
      <w:r w:rsidR="00A4729F">
        <w:rPr>
          <w:rFonts w:eastAsia="Times New Roman" w:cstheme="minorHAnsi"/>
          <w:color w:val="000000"/>
          <w:sz w:val="24"/>
          <w:szCs w:val="24"/>
          <w:lang w:eastAsia="en-GB"/>
        </w:rPr>
        <w:t>.</w:t>
      </w:r>
      <w:r>
        <w:rPr>
          <w:rStyle w:val="FootnoteReference"/>
          <w:rFonts w:eastAsia="Times New Roman" w:cstheme="minorHAnsi"/>
          <w:color w:val="000000"/>
          <w:sz w:val="24"/>
          <w:szCs w:val="24"/>
          <w:lang w:eastAsia="en-GB"/>
        </w:rPr>
        <w:footnoteReference w:id="16"/>
      </w:r>
      <w:r w:rsidRPr="000031FD">
        <w:rPr>
          <w:rFonts w:eastAsia="Times New Roman" w:cstheme="minorHAnsi"/>
          <w:color w:val="000000"/>
          <w:sz w:val="24"/>
          <w:szCs w:val="24"/>
          <w:lang w:eastAsia="en-GB"/>
        </w:rPr>
        <w:t xml:space="preserve"> </w:t>
      </w:r>
      <w:r w:rsidR="00A4729F">
        <w:rPr>
          <w:rFonts w:eastAsia="Times New Roman" w:cstheme="minorHAnsi"/>
          <w:color w:val="000000"/>
          <w:sz w:val="24"/>
          <w:szCs w:val="24"/>
          <w:lang w:eastAsia="en-GB"/>
        </w:rPr>
        <w:t xml:space="preserve"> </w:t>
      </w:r>
      <w:r w:rsidRPr="000031FD">
        <w:rPr>
          <w:rFonts w:eastAsia="Times New Roman" w:cstheme="minorHAnsi"/>
          <w:color w:val="000000"/>
          <w:sz w:val="24"/>
          <w:szCs w:val="24"/>
          <w:lang w:eastAsia="en-GB"/>
        </w:rPr>
        <w:t xml:space="preserve"> Whilst Arrian appears to have under-reported Persian casualties, the opposite applies to those suffered by the Greek mercenaries. </w:t>
      </w:r>
      <w:r w:rsidR="00A4729F">
        <w:rPr>
          <w:rFonts w:eastAsia="Times New Roman" w:cstheme="minorHAnsi"/>
          <w:color w:val="000000"/>
          <w:sz w:val="24"/>
          <w:szCs w:val="24"/>
          <w:lang w:eastAsia="en-GB"/>
        </w:rPr>
        <w:t xml:space="preserve"> </w:t>
      </w:r>
      <w:r w:rsidRPr="000031FD">
        <w:rPr>
          <w:rFonts w:eastAsia="Times New Roman" w:cstheme="minorHAnsi"/>
          <w:color w:val="000000"/>
          <w:sz w:val="24"/>
          <w:szCs w:val="24"/>
          <w:lang w:eastAsia="en-GB"/>
        </w:rPr>
        <w:t>Arrian claims that "About 2,000 were taken, prisoners</w:t>
      </w:r>
      <w:r w:rsidR="00A4729F">
        <w:rPr>
          <w:rFonts w:eastAsia="Times New Roman" w:cstheme="minorHAnsi"/>
          <w:color w:val="000000"/>
          <w:sz w:val="24"/>
          <w:szCs w:val="24"/>
          <w:lang w:eastAsia="en-GB"/>
        </w:rPr>
        <w:t>.</w:t>
      </w:r>
      <w:r w:rsidRPr="000031FD">
        <w:rPr>
          <w:rFonts w:eastAsia="Times New Roman" w:cstheme="minorHAnsi"/>
          <w:color w:val="000000"/>
          <w:sz w:val="24"/>
          <w:szCs w:val="24"/>
          <w:lang w:eastAsia="en-GB"/>
        </w:rPr>
        <w:t>”</w:t>
      </w:r>
      <w:r>
        <w:rPr>
          <w:rStyle w:val="FootnoteReference"/>
          <w:rFonts w:eastAsia="Times New Roman" w:cstheme="minorHAnsi"/>
          <w:color w:val="000000"/>
          <w:sz w:val="24"/>
          <w:szCs w:val="24"/>
          <w:lang w:eastAsia="en-GB"/>
        </w:rPr>
        <w:footnoteReference w:id="17"/>
      </w:r>
      <w:r w:rsidRPr="000031FD">
        <w:rPr>
          <w:rFonts w:eastAsia="Times New Roman" w:cstheme="minorHAnsi"/>
          <w:color w:val="000000"/>
          <w:sz w:val="24"/>
          <w:szCs w:val="24"/>
          <w:lang w:eastAsia="en-GB"/>
        </w:rPr>
        <w:t xml:space="preserve">  Earlier, he wrote, "The Persian cavalry were about 20,000 in number and their infantry, consisting of Grecian mercenaries, fell a little short of that number</w:t>
      </w:r>
      <w:r w:rsidR="008B5038">
        <w:rPr>
          <w:rFonts w:eastAsia="Times New Roman" w:cstheme="minorHAnsi"/>
          <w:color w:val="000000"/>
          <w:sz w:val="24"/>
          <w:szCs w:val="24"/>
          <w:lang w:eastAsia="en-GB"/>
        </w:rPr>
        <w:t>.</w:t>
      </w:r>
      <w:r w:rsidRPr="000031FD">
        <w:rPr>
          <w:rFonts w:eastAsia="Times New Roman" w:cstheme="minorHAnsi"/>
          <w:color w:val="000000"/>
          <w:sz w:val="24"/>
          <w:szCs w:val="24"/>
          <w:lang w:eastAsia="en-GB"/>
        </w:rPr>
        <w:t>”</w:t>
      </w:r>
      <w:r>
        <w:rPr>
          <w:rStyle w:val="FootnoteReference"/>
          <w:rFonts w:eastAsia="Times New Roman" w:cstheme="minorHAnsi"/>
          <w:color w:val="000000"/>
          <w:sz w:val="24"/>
          <w:szCs w:val="24"/>
          <w:lang w:eastAsia="en-GB"/>
        </w:rPr>
        <w:footnoteReference w:id="18"/>
      </w:r>
      <w:r w:rsidRPr="000031FD">
        <w:rPr>
          <w:rFonts w:eastAsia="Times New Roman" w:cstheme="minorHAnsi"/>
          <w:color w:val="000000"/>
          <w:sz w:val="24"/>
          <w:szCs w:val="24"/>
          <w:lang w:eastAsia="en-GB"/>
        </w:rPr>
        <w:t xml:space="preserve">  The reader must therefore deduce that 18000 were killed, a number </w:t>
      </w:r>
      <w:r w:rsidR="008B5038">
        <w:rPr>
          <w:rFonts w:eastAsia="Times New Roman" w:cstheme="minorHAnsi"/>
          <w:color w:val="000000"/>
          <w:sz w:val="24"/>
          <w:szCs w:val="24"/>
          <w:lang w:eastAsia="en-GB"/>
        </w:rPr>
        <w:t>L</w:t>
      </w:r>
      <w:r w:rsidRPr="000031FD">
        <w:rPr>
          <w:rFonts w:eastAsia="Times New Roman" w:cstheme="minorHAnsi"/>
          <w:color w:val="000000"/>
          <w:sz w:val="24"/>
          <w:szCs w:val="24"/>
          <w:lang w:eastAsia="en-GB"/>
        </w:rPr>
        <w:t>evine considers to reside in “the realm of sensationalist fiction</w:t>
      </w:r>
      <w:r w:rsidR="008B5038">
        <w:rPr>
          <w:rFonts w:eastAsia="Times New Roman" w:cstheme="minorHAnsi"/>
          <w:color w:val="000000"/>
          <w:sz w:val="24"/>
          <w:szCs w:val="24"/>
          <w:lang w:eastAsia="en-GB"/>
        </w:rPr>
        <w:t>.</w:t>
      </w:r>
      <w:r w:rsidRPr="000031FD">
        <w:rPr>
          <w:rFonts w:eastAsia="Times New Roman" w:cstheme="minorHAnsi"/>
          <w:color w:val="000000"/>
          <w:sz w:val="24"/>
          <w:szCs w:val="24"/>
          <w:lang w:eastAsia="en-GB"/>
        </w:rPr>
        <w:t>”</w:t>
      </w:r>
      <w:r>
        <w:rPr>
          <w:rStyle w:val="FootnoteReference"/>
          <w:rFonts w:eastAsia="Times New Roman" w:cstheme="minorHAnsi"/>
          <w:color w:val="000000"/>
          <w:sz w:val="24"/>
          <w:szCs w:val="24"/>
          <w:lang w:eastAsia="en-GB"/>
        </w:rPr>
        <w:footnoteReference w:id="19"/>
      </w:r>
      <w:r w:rsidRPr="000031FD">
        <w:rPr>
          <w:rFonts w:eastAsia="Times New Roman" w:cstheme="minorHAnsi"/>
          <w:color w:val="000000"/>
          <w:sz w:val="24"/>
          <w:szCs w:val="24"/>
          <w:lang w:eastAsia="en-GB"/>
        </w:rPr>
        <w:t xml:space="preserve"> Granicus is the first of Alexander's non-domestic battles and, as such, was an important building block in the creation of the Alexander legend</w:t>
      </w:r>
      <w:r w:rsidR="008B5038">
        <w:rPr>
          <w:rFonts w:eastAsia="Times New Roman" w:cstheme="minorHAnsi"/>
          <w:color w:val="000000"/>
          <w:sz w:val="24"/>
          <w:szCs w:val="24"/>
          <w:lang w:eastAsia="en-GB"/>
        </w:rPr>
        <w:t>.</w:t>
      </w:r>
      <w:r>
        <w:rPr>
          <w:rStyle w:val="FootnoteReference"/>
          <w:rFonts w:eastAsia="Times New Roman" w:cstheme="minorHAnsi"/>
          <w:color w:val="000000"/>
          <w:sz w:val="24"/>
          <w:szCs w:val="24"/>
          <w:lang w:eastAsia="en-GB"/>
        </w:rPr>
        <w:footnoteReference w:id="20"/>
      </w:r>
      <w:r w:rsidRPr="000031FD">
        <w:rPr>
          <w:rFonts w:eastAsia="Times New Roman" w:cstheme="minorHAnsi"/>
          <w:color w:val="000000"/>
          <w:sz w:val="24"/>
          <w:szCs w:val="24"/>
          <w:lang w:eastAsia="en-GB"/>
        </w:rPr>
        <w:t xml:space="preserve"> </w:t>
      </w:r>
    </w:p>
    <w:p w14:paraId="46FE94D8" w14:textId="77777777" w:rsidR="00166D8C" w:rsidRPr="000031FD" w:rsidRDefault="00166D8C" w:rsidP="000031FD">
      <w:pPr>
        <w:shd w:val="clear" w:color="auto" w:fill="FFFFFF"/>
        <w:spacing w:after="0"/>
        <w:rPr>
          <w:rFonts w:eastAsia="Times New Roman" w:cstheme="minorHAnsi"/>
          <w:color w:val="000000"/>
          <w:sz w:val="24"/>
          <w:szCs w:val="24"/>
          <w:lang w:eastAsia="en-GB"/>
        </w:rPr>
      </w:pPr>
    </w:p>
    <w:p w14:paraId="2FA0FF28" w14:textId="4FE0B767" w:rsidR="00166D8C" w:rsidRDefault="00000000" w:rsidP="000031FD">
      <w:pPr>
        <w:shd w:val="clear" w:color="auto" w:fill="FFFFFF"/>
        <w:spacing w:after="0"/>
        <w:rPr>
          <w:rFonts w:eastAsia="Times New Roman" w:cstheme="minorHAnsi"/>
          <w:color w:val="000000"/>
          <w:sz w:val="24"/>
          <w:szCs w:val="24"/>
          <w:lang w:eastAsia="en-GB"/>
        </w:rPr>
      </w:pPr>
      <w:r w:rsidRPr="000031FD">
        <w:rPr>
          <w:rFonts w:eastAsia="Times New Roman" w:cstheme="minorHAnsi"/>
          <w:color w:val="000000"/>
          <w:sz w:val="24"/>
          <w:szCs w:val="24"/>
          <w:lang w:eastAsia="en-GB"/>
        </w:rPr>
        <w:t xml:space="preserve">Whilst Arrian may have been guilty of some </w:t>
      </w:r>
      <w:r w:rsidRPr="000031FD">
        <w:rPr>
          <w:rFonts w:eastAsia="Times New Roman" w:cstheme="minorHAnsi"/>
          <w:i/>
          <w:color w:val="000000"/>
          <w:sz w:val="24"/>
          <w:szCs w:val="24"/>
          <w:lang w:eastAsia="en-GB"/>
        </w:rPr>
        <w:t xml:space="preserve">arristea, </w:t>
      </w:r>
      <w:r w:rsidRPr="000031FD">
        <w:rPr>
          <w:rFonts w:eastAsia="Times New Roman" w:cstheme="minorHAnsi"/>
          <w:color w:val="000000"/>
          <w:sz w:val="24"/>
          <w:szCs w:val="24"/>
          <w:lang w:eastAsia="en-GB"/>
        </w:rPr>
        <w:t xml:space="preserve">he is also the victim of faulty source material, in this case, Ptolemy or Calisthenes. </w:t>
      </w:r>
      <w:r w:rsidR="008B5038">
        <w:rPr>
          <w:rFonts w:eastAsia="Times New Roman" w:cstheme="minorHAnsi"/>
          <w:color w:val="000000"/>
          <w:sz w:val="24"/>
          <w:szCs w:val="24"/>
          <w:lang w:eastAsia="en-GB"/>
        </w:rPr>
        <w:t xml:space="preserve"> </w:t>
      </w:r>
      <w:r w:rsidRPr="000031FD">
        <w:rPr>
          <w:rFonts w:eastAsia="Times New Roman" w:cstheme="minorHAnsi"/>
          <w:color w:val="000000"/>
          <w:sz w:val="24"/>
          <w:szCs w:val="24"/>
          <w:lang w:eastAsia="en-GB"/>
        </w:rPr>
        <w:t>Calisthenes, not a soldier, might have found collating such numbers problematic</w:t>
      </w:r>
      <w:r w:rsidR="008B5038">
        <w:rPr>
          <w:rFonts w:eastAsia="Times New Roman" w:cstheme="minorHAnsi"/>
          <w:color w:val="000000"/>
          <w:sz w:val="24"/>
          <w:szCs w:val="24"/>
          <w:lang w:eastAsia="en-GB"/>
        </w:rPr>
        <w:t>.</w:t>
      </w:r>
      <w:r>
        <w:rPr>
          <w:rStyle w:val="FootnoteReference"/>
          <w:rFonts w:eastAsia="Times New Roman" w:cstheme="minorHAnsi"/>
          <w:color w:val="000000"/>
          <w:sz w:val="24"/>
          <w:szCs w:val="24"/>
          <w:lang w:eastAsia="en-GB"/>
        </w:rPr>
        <w:footnoteReference w:id="21"/>
      </w:r>
      <w:r w:rsidRPr="000031FD">
        <w:rPr>
          <w:rFonts w:eastAsia="Times New Roman" w:cstheme="minorHAnsi"/>
          <w:color w:val="000000"/>
          <w:sz w:val="24"/>
          <w:szCs w:val="24"/>
          <w:lang w:eastAsia="en-GB"/>
        </w:rPr>
        <w:t xml:space="preserve">  Ptolemy, Bosworth argues, may well have exaggerated elements to make him appear better and his opponents worse</w:t>
      </w:r>
      <w:r w:rsidR="008B5038">
        <w:rPr>
          <w:rFonts w:eastAsia="Times New Roman" w:cstheme="minorHAnsi"/>
          <w:color w:val="000000"/>
          <w:sz w:val="24"/>
          <w:szCs w:val="24"/>
          <w:lang w:eastAsia="en-GB"/>
        </w:rPr>
        <w:t>.</w:t>
      </w:r>
      <w:r>
        <w:rPr>
          <w:rStyle w:val="FootnoteReference"/>
          <w:rFonts w:eastAsia="Times New Roman" w:cstheme="minorHAnsi"/>
          <w:color w:val="000000"/>
          <w:sz w:val="24"/>
          <w:szCs w:val="24"/>
          <w:lang w:eastAsia="en-GB"/>
        </w:rPr>
        <w:footnoteReference w:id="22"/>
      </w:r>
      <w:r w:rsidRPr="000031FD">
        <w:rPr>
          <w:rFonts w:eastAsia="Times New Roman" w:cstheme="minorHAnsi"/>
          <w:color w:val="000000"/>
          <w:sz w:val="24"/>
          <w:szCs w:val="24"/>
          <w:lang w:eastAsia="en-GB"/>
        </w:rPr>
        <w:t xml:space="preserve">  Ironically Arrian is the victim of his own statistics. </w:t>
      </w:r>
      <w:r w:rsidR="008B6CBC">
        <w:rPr>
          <w:rFonts w:eastAsia="Times New Roman" w:cstheme="minorHAnsi"/>
          <w:color w:val="000000"/>
          <w:sz w:val="24"/>
          <w:szCs w:val="24"/>
          <w:lang w:eastAsia="en-GB"/>
        </w:rPr>
        <w:t xml:space="preserve"> </w:t>
      </w:r>
      <w:r w:rsidRPr="000031FD">
        <w:rPr>
          <w:rFonts w:eastAsia="Times New Roman" w:cstheme="minorHAnsi"/>
          <w:color w:val="000000"/>
          <w:sz w:val="24"/>
          <w:szCs w:val="24"/>
          <w:lang w:eastAsia="en-GB"/>
        </w:rPr>
        <w:t>Of the Greek mercenaries, he says that Alexander "soon cut them up</w:t>
      </w:r>
      <w:r w:rsidR="008B6CBC">
        <w:rPr>
          <w:rFonts w:eastAsia="Times New Roman" w:cstheme="minorHAnsi"/>
          <w:color w:val="000000"/>
          <w:sz w:val="24"/>
          <w:szCs w:val="24"/>
          <w:lang w:eastAsia="en-GB"/>
        </w:rPr>
        <w:t>.</w:t>
      </w:r>
      <w:r w:rsidRPr="000031FD">
        <w:rPr>
          <w:rFonts w:eastAsia="Times New Roman" w:cstheme="minorHAnsi"/>
          <w:color w:val="000000"/>
          <w:sz w:val="24"/>
          <w:szCs w:val="24"/>
          <w:lang w:eastAsia="en-GB"/>
        </w:rPr>
        <w:t>”</w:t>
      </w:r>
      <w:r>
        <w:rPr>
          <w:rStyle w:val="FootnoteReference"/>
          <w:rFonts w:eastAsia="Times New Roman" w:cstheme="minorHAnsi"/>
          <w:color w:val="000000"/>
          <w:sz w:val="24"/>
          <w:szCs w:val="24"/>
          <w:lang w:eastAsia="en-GB"/>
        </w:rPr>
        <w:footnoteReference w:id="23"/>
      </w:r>
      <w:r w:rsidRPr="000031FD">
        <w:rPr>
          <w:rFonts w:eastAsia="Times New Roman" w:cstheme="minorHAnsi"/>
          <w:color w:val="000000"/>
          <w:sz w:val="24"/>
          <w:szCs w:val="24"/>
          <w:lang w:eastAsia="en-GB"/>
        </w:rPr>
        <w:t xml:space="preserve">  It is unlikely a force of 20000 would be so rapidly despatched.</w:t>
      </w:r>
      <w:r w:rsidR="008B6CBC">
        <w:rPr>
          <w:rFonts w:eastAsia="Times New Roman" w:cstheme="minorHAnsi"/>
          <w:color w:val="000000"/>
          <w:sz w:val="24"/>
          <w:szCs w:val="24"/>
          <w:lang w:eastAsia="en-GB"/>
        </w:rPr>
        <w:t xml:space="preserve"> </w:t>
      </w:r>
      <w:r w:rsidRPr="000031FD">
        <w:rPr>
          <w:rFonts w:eastAsia="Times New Roman" w:cstheme="minorHAnsi"/>
          <w:color w:val="000000"/>
          <w:sz w:val="24"/>
          <w:szCs w:val="24"/>
          <w:lang w:eastAsia="en-GB"/>
        </w:rPr>
        <w:t xml:space="preserve"> They would have “outnumbered the entire Macedonian army and simply have formed square and carried out a fighting retreat with a reasonable chance of success.”</w:t>
      </w:r>
      <w:r>
        <w:rPr>
          <w:rStyle w:val="FootnoteReference"/>
          <w:rFonts w:eastAsia="Times New Roman" w:cstheme="minorHAnsi"/>
          <w:color w:val="000000"/>
          <w:sz w:val="24"/>
          <w:szCs w:val="24"/>
          <w:lang w:eastAsia="en-GB"/>
        </w:rPr>
        <w:footnoteReference w:id="24"/>
      </w:r>
      <w:r w:rsidRPr="000031FD">
        <w:rPr>
          <w:rFonts w:eastAsia="Times New Roman" w:cstheme="minorHAnsi"/>
          <w:color w:val="000000"/>
          <w:sz w:val="24"/>
          <w:szCs w:val="24"/>
          <w:lang w:eastAsia="en-GB"/>
        </w:rPr>
        <w:t xml:space="preserve">  Arrian intimates that the mercenaries remained </w:t>
      </w:r>
      <w:r w:rsidRPr="000031FD">
        <w:rPr>
          <w:rFonts w:eastAsia="Times New Roman" w:cstheme="minorHAnsi"/>
          <w:i/>
          <w:color w:val="000000"/>
          <w:sz w:val="24"/>
          <w:szCs w:val="24"/>
          <w:lang w:eastAsia="en-GB"/>
        </w:rPr>
        <w:t>in situ</w:t>
      </w:r>
      <w:r w:rsidRPr="000031FD">
        <w:rPr>
          <w:rFonts w:eastAsia="Times New Roman" w:cstheme="minorHAnsi"/>
          <w:color w:val="000000"/>
          <w:sz w:val="24"/>
          <w:szCs w:val="24"/>
          <w:lang w:eastAsia="en-GB"/>
        </w:rPr>
        <w:t xml:space="preserve">  “from amazement at the unexpected result of the struggle</w:t>
      </w:r>
      <w:r w:rsidR="008B6CBC">
        <w:rPr>
          <w:rFonts w:eastAsia="Times New Roman" w:cstheme="minorHAnsi"/>
          <w:color w:val="000000"/>
          <w:sz w:val="24"/>
          <w:szCs w:val="24"/>
          <w:lang w:eastAsia="en-GB"/>
        </w:rPr>
        <w:t>,</w:t>
      </w:r>
      <w:r w:rsidRPr="000031FD">
        <w:rPr>
          <w:rFonts w:eastAsia="Times New Roman" w:cstheme="minorHAnsi"/>
          <w:color w:val="000000"/>
          <w:sz w:val="24"/>
          <w:szCs w:val="24"/>
          <w:lang w:eastAsia="en-GB"/>
        </w:rPr>
        <w:t>”</w:t>
      </w:r>
      <w:r>
        <w:rPr>
          <w:rStyle w:val="FootnoteReference"/>
          <w:rFonts w:eastAsia="Times New Roman" w:cstheme="minorHAnsi"/>
          <w:color w:val="000000"/>
          <w:sz w:val="24"/>
          <w:szCs w:val="24"/>
          <w:lang w:eastAsia="en-GB"/>
        </w:rPr>
        <w:footnoteReference w:id="25"/>
      </w:r>
      <w:r w:rsidRPr="000031FD">
        <w:rPr>
          <w:rFonts w:eastAsia="Times New Roman" w:cstheme="minorHAnsi"/>
          <w:color w:val="000000"/>
          <w:sz w:val="24"/>
          <w:szCs w:val="24"/>
          <w:lang w:eastAsia="en-GB"/>
        </w:rPr>
        <w:t xml:space="preserve"> and that they were immediately attacked by the phalanx.  Plutarch, </w:t>
      </w:r>
      <w:r w:rsidRPr="001E0856">
        <w:rPr>
          <w:rFonts w:eastAsia="Times New Roman" w:cstheme="minorHAnsi"/>
          <w:color w:val="000000"/>
          <w:sz w:val="24"/>
          <w:szCs w:val="24"/>
          <w:lang w:eastAsia="en-GB"/>
        </w:rPr>
        <w:t>a near contemporary of Arrian,</w:t>
      </w:r>
      <w:r w:rsidRPr="000031FD">
        <w:rPr>
          <w:rFonts w:eastAsia="Times New Roman" w:cstheme="minorHAnsi"/>
          <w:color w:val="000000"/>
          <w:sz w:val="24"/>
          <w:szCs w:val="24"/>
          <w:lang w:eastAsia="en-GB"/>
        </w:rPr>
        <w:t xml:space="preserve"> reported that they "asked that Alexander should promise them quarter</w:t>
      </w:r>
      <w:r w:rsidR="008B6CBC">
        <w:rPr>
          <w:rFonts w:eastAsia="Times New Roman" w:cstheme="minorHAnsi"/>
          <w:color w:val="000000"/>
          <w:sz w:val="24"/>
          <w:szCs w:val="24"/>
          <w:lang w:eastAsia="en-GB"/>
        </w:rPr>
        <w:t>.</w:t>
      </w:r>
      <w:r w:rsidRPr="000031FD">
        <w:rPr>
          <w:rFonts w:eastAsia="Times New Roman" w:cstheme="minorHAnsi"/>
          <w:color w:val="000000"/>
          <w:sz w:val="24"/>
          <w:szCs w:val="24"/>
          <w:lang w:eastAsia="en-GB"/>
        </w:rPr>
        <w:t>”</w:t>
      </w:r>
      <w:r>
        <w:rPr>
          <w:rStyle w:val="FootnoteReference"/>
          <w:rFonts w:eastAsia="Times New Roman" w:cstheme="minorHAnsi"/>
          <w:color w:val="000000"/>
          <w:sz w:val="24"/>
          <w:szCs w:val="24"/>
          <w:lang w:eastAsia="en-GB"/>
        </w:rPr>
        <w:footnoteReference w:id="26"/>
      </w:r>
      <w:r w:rsidRPr="000031FD">
        <w:rPr>
          <w:rFonts w:eastAsia="Times New Roman" w:cstheme="minorHAnsi"/>
          <w:color w:val="000000"/>
          <w:sz w:val="24"/>
          <w:szCs w:val="24"/>
          <w:lang w:eastAsia="en-GB"/>
        </w:rPr>
        <w:t xml:space="preserve">  Arrian’s omission may be intentional. </w:t>
      </w:r>
      <w:r w:rsidR="008B6CBC">
        <w:rPr>
          <w:rFonts w:eastAsia="Times New Roman" w:cstheme="minorHAnsi"/>
          <w:color w:val="000000"/>
          <w:sz w:val="24"/>
          <w:szCs w:val="24"/>
          <w:lang w:eastAsia="en-GB"/>
        </w:rPr>
        <w:t xml:space="preserve"> </w:t>
      </w:r>
      <w:r w:rsidR="001E0856">
        <w:rPr>
          <w:rFonts w:eastAsia="Times New Roman" w:cstheme="minorHAnsi"/>
          <w:color w:val="000000"/>
          <w:sz w:val="24"/>
          <w:szCs w:val="24"/>
          <w:lang w:eastAsia="en-GB"/>
        </w:rPr>
        <w:t>A</w:t>
      </w:r>
      <w:r w:rsidRPr="000031FD">
        <w:rPr>
          <w:rFonts w:eastAsia="Times New Roman" w:cstheme="minorHAnsi"/>
          <w:color w:val="000000"/>
          <w:sz w:val="24"/>
          <w:szCs w:val="24"/>
          <w:lang w:eastAsia="en-GB"/>
        </w:rPr>
        <w:t xml:space="preserve">n able commander would </w:t>
      </w:r>
      <w:r w:rsidR="001E0856">
        <w:rPr>
          <w:rFonts w:eastAsia="Times New Roman" w:cstheme="minorHAnsi"/>
          <w:color w:val="000000"/>
          <w:sz w:val="24"/>
          <w:szCs w:val="24"/>
          <w:lang w:eastAsia="en-GB"/>
        </w:rPr>
        <w:t xml:space="preserve">logically </w:t>
      </w:r>
      <w:r w:rsidRPr="000031FD">
        <w:rPr>
          <w:rFonts w:eastAsia="Times New Roman" w:cstheme="minorHAnsi"/>
          <w:color w:val="000000"/>
          <w:sz w:val="24"/>
          <w:szCs w:val="24"/>
          <w:lang w:eastAsia="en-GB"/>
        </w:rPr>
        <w:t xml:space="preserve">seek terms and minimise his own casualties. </w:t>
      </w:r>
      <w:r w:rsidR="008B6CBC">
        <w:rPr>
          <w:rFonts w:eastAsia="Times New Roman" w:cstheme="minorHAnsi"/>
          <w:color w:val="000000"/>
          <w:sz w:val="24"/>
          <w:szCs w:val="24"/>
          <w:lang w:eastAsia="en-GB"/>
        </w:rPr>
        <w:t xml:space="preserve"> </w:t>
      </w:r>
      <w:r w:rsidRPr="000031FD">
        <w:rPr>
          <w:rFonts w:eastAsia="Times New Roman" w:cstheme="minorHAnsi"/>
          <w:color w:val="000000"/>
          <w:sz w:val="24"/>
          <w:szCs w:val="24"/>
          <w:lang w:eastAsia="en-GB"/>
        </w:rPr>
        <w:t xml:space="preserve">To admit otherwise would </w:t>
      </w:r>
      <w:r w:rsidR="001E0856">
        <w:rPr>
          <w:rFonts w:eastAsia="Times New Roman" w:cstheme="minorHAnsi"/>
          <w:color w:val="000000"/>
          <w:sz w:val="24"/>
          <w:szCs w:val="24"/>
          <w:lang w:eastAsia="en-GB"/>
        </w:rPr>
        <w:t>mean t</w:t>
      </w:r>
      <w:r w:rsidRPr="000031FD">
        <w:rPr>
          <w:rFonts w:eastAsia="Times New Roman" w:cstheme="minorHAnsi"/>
          <w:color w:val="000000"/>
          <w:sz w:val="24"/>
          <w:szCs w:val="24"/>
          <w:lang w:eastAsia="en-GB"/>
        </w:rPr>
        <w:t>hat Alexander was “influenced by anger more than by reason</w:t>
      </w:r>
      <w:r w:rsidR="008B6CBC">
        <w:rPr>
          <w:rFonts w:eastAsia="Times New Roman" w:cstheme="minorHAnsi"/>
          <w:color w:val="000000"/>
          <w:sz w:val="24"/>
          <w:szCs w:val="24"/>
          <w:lang w:eastAsia="en-GB"/>
        </w:rPr>
        <w:t>,</w:t>
      </w:r>
      <w:r w:rsidRPr="000031FD">
        <w:rPr>
          <w:rFonts w:eastAsia="Times New Roman" w:cstheme="minorHAnsi"/>
          <w:color w:val="000000"/>
          <w:sz w:val="24"/>
          <w:szCs w:val="24"/>
          <w:lang w:eastAsia="en-GB"/>
        </w:rPr>
        <w:t>”</w:t>
      </w:r>
      <w:r>
        <w:rPr>
          <w:rStyle w:val="FootnoteReference"/>
          <w:rFonts w:eastAsia="Times New Roman" w:cstheme="minorHAnsi"/>
          <w:color w:val="000000"/>
          <w:sz w:val="24"/>
          <w:szCs w:val="24"/>
          <w:lang w:eastAsia="en-GB"/>
        </w:rPr>
        <w:footnoteReference w:id="27"/>
      </w:r>
      <w:r w:rsidRPr="000031FD">
        <w:rPr>
          <w:rFonts w:eastAsia="Times New Roman" w:cstheme="minorHAnsi"/>
          <w:color w:val="000000"/>
          <w:sz w:val="24"/>
          <w:szCs w:val="24"/>
          <w:lang w:eastAsia="en-GB"/>
        </w:rPr>
        <w:t xml:space="preserve"> and not the preeminent military genius Arrian was trying to portray.</w:t>
      </w:r>
    </w:p>
    <w:p w14:paraId="4E696F75" w14:textId="77777777" w:rsidR="00166D8C" w:rsidRPr="000031FD" w:rsidRDefault="00166D8C" w:rsidP="000031FD">
      <w:pPr>
        <w:shd w:val="clear" w:color="auto" w:fill="FFFFFF"/>
        <w:spacing w:after="0"/>
        <w:rPr>
          <w:rFonts w:eastAsia="Times New Roman" w:cstheme="minorHAnsi"/>
          <w:color w:val="000000"/>
          <w:sz w:val="24"/>
          <w:szCs w:val="24"/>
          <w:lang w:eastAsia="en-GB"/>
        </w:rPr>
      </w:pPr>
    </w:p>
    <w:p w14:paraId="3DE5B1BF" w14:textId="77777777" w:rsidR="00166D8C" w:rsidRPr="000031FD" w:rsidRDefault="00000000" w:rsidP="000031FD">
      <w:pPr>
        <w:shd w:val="clear" w:color="auto" w:fill="FFFFFF"/>
        <w:spacing w:after="0"/>
        <w:rPr>
          <w:rFonts w:eastAsia="Times New Roman" w:cstheme="minorHAnsi"/>
          <w:color w:val="000000"/>
          <w:sz w:val="24"/>
          <w:szCs w:val="24"/>
          <w:lang w:eastAsia="en-GB"/>
        </w:rPr>
      </w:pPr>
      <w:r w:rsidRPr="000031FD">
        <w:rPr>
          <w:rFonts w:eastAsia="Times New Roman" w:cstheme="minorHAnsi"/>
          <w:color w:val="000000"/>
          <w:sz w:val="24"/>
          <w:szCs w:val="24"/>
          <w:lang w:eastAsia="en-GB"/>
        </w:rPr>
        <w:lastRenderedPageBreak/>
        <w:t>Bosworth maintained that Arrian, at this time, was "relatively inexperienced in the selection and juxtaposition of material from his primary sources</w:t>
      </w:r>
      <w:r w:rsidR="008B6CBC">
        <w:rPr>
          <w:rFonts w:eastAsia="Times New Roman" w:cstheme="minorHAnsi"/>
          <w:color w:val="000000"/>
          <w:sz w:val="24"/>
          <w:szCs w:val="24"/>
          <w:lang w:eastAsia="en-GB"/>
        </w:rPr>
        <w:t>.</w:t>
      </w:r>
      <w:r w:rsidRPr="000031FD">
        <w:rPr>
          <w:rFonts w:eastAsia="Times New Roman" w:cstheme="minorHAnsi"/>
          <w:color w:val="000000"/>
          <w:sz w:val="24"/>
          <w:szCs w:val="24"/>
          <w:lang w:eastAsia="en-GB"/>
        </w:rPr>
        <w:t xml:space="preserve">” </w:t>
      </w:r>
      <w:r>
        <w:rPr>
          <w:rStyle w:val="FootnoteReference"/>
          <w:rFonts w:eastAsia="Times New Roman" w:cstheme="minorHAnsi"/>
          <w:color w:val="000000"/>
          <w:sz w:val="24"/>
          <w:szCs w:val="24"/>
          <w:lang w:eastAsia="en-GB"/>
        </w:rPr>
        <w:footnoteReference w:id="28"/>
      </w:r>
      <w:r w:rsidR="008B6CBC">
        <w:rPr>
          <w:rFonts w:eastAsia="Times New Roman" w:cstheme="minorHAnsi"/>
          <w:color w:val="000000"/>
          <w:sz w:val="24"/>
          <w:szCs w:val="24"/>
          <w:lang w:eastAsia="en-GB"/>
        </w:rPr>
        <w:t xml:space="preserve"> </w:t>
      </w:r>
      <w:r w:rsidRPr="000031FD">
        <w:rPr>
          <w:rFonts w:eastAsia="Times New Roman" w:cstheme="minorHAnsi"/>
          <w:color w:val="000000"/>
          <w:sz w:val="24"/>
          <w:szCs w:val="24"/>
          <w:lang w:eastAsia="en-GB"/>
        </w:rPr>
        <w:t>However, in Ar</w:t>
      </w:r>
      <w:r w:rsidR="008B6CBC">
        <w:rPr>
          <w:rFonts w:eastAsia="Times New Roman" w:cstheme="minorHAnsi"/>
          <w:color w:val="000000"/>
          <w:sz w:val="24"/>
          <w:szCs w:val="24"/>
          <w:lang w:eastAsia="en-GB"/>
        </w:rPr>
        <w:t>ri</w:t>
      </w:r>
      <w:r w:rsidRPr="000031FD">
        <w:rPr>
          <w:rFonts w:eastAsia="Times New Roman" w:cstheme="minorHAnsi"/>
          <w:color w:val="000000"/>
          <w:sz w:val="24"/>
          <w:szCs w:val="24"/>
          <w:lang w:eastAsia="en-GB"/>
        </w:rPr>
        <w:t>an's own preface, he states that included "into my narrative as strictly authentic all the statements relating to Alexander and Philip which Ptolemy son of Lagus and Aristobulus..agree in making</w:t>
      </w:r>
      <w:r w:rsidR="008B6CBC">
        <w:rPr>
          <w:rFonts w:eastAsia="Times New Roman" w:cstheme="minorHAnsi"/>
          <w:color w:val="000000"/>
          <w:sz w:val="24"/>
          <w:szCs w:val="24"/>
          <w:lang w:eastAsia="en-GB"/>
        </w:rPr>
        <w:t>.</w:t>
      </w:r>
      <w:r w:rsidRPr="000031FD">
        <w:rPr>
          <w:rFonts w:eastAsia="Times New Roman" w:cstheme="minorHAnsi"/>
          <w:color w:val="000000"/>
          <w:sz w:val="24"/>
          <w:szCs w:val="24"/>
          <w:lang w:eastAsia="en-GB"/>
        </w:rPr>
        <w:t>”</w:t>
      </w:r>
      <w:r>
        <w:rPr>
          <w:rStyle w:val="FootnoteReference"/>
          <w:rFonts w:eastAsia="Times New Roman" w:cstheme="minorHAnsi"/>
          <w:color w:val="000000"/>
          <w:sz w:val="24"/>
          <w:szCs w:val="24"/>
          <w:lang w:eastAsia="en-GB"/>
        </w:rPr>
        <w:footnoteReference w:id="29"/>
      </w:r>
      <w:r w:rsidRPr="000031FD">
        <w:rPr>
          <w:rFonts w:eastAsia="Times New Roman" w:cstheme="minorHAnsi"/>
          <w:color w:val="000000"/>
          <w:sz w:val="24"/>
          <w:szCs w:val="24"/>
          <w:lang w:eastAsia="en-GB"/>
        </w:rPr>
        <w:t xml:space="preserve"> He went on to say that where there were contradictions, he "selected that which appears to me to be more credible</w:t>
      </w:r>
      <w:r w:rsidR="008B6CBC">
        <w:rPr>
          <w:rFonts w:eastAsia="Times New Roman" w:cstheme="minorHAnsi"/>
          <w:color w:val="000000"/>
          <w:sz w:val="24"/>
          <w:szCs w:val="24"/>
          <w:lang w:eastAsia="en-GB"/>
        </w:rPr>
        <w:t>.</w:t>
      </w:r>
      <w:r w:rsidRPr="000031FD">
        <w:rPr>
          <w:rFonts w:eastAsia="Times New Roman" w:cstheme="minorHAnsi"/>
          <w:color w:val="000000"/>
          <w:sz w:val="24"/>
          <w:szCs w:val="24"/>
          <w:lang w:eastAsia="en-GB"/>
        </w:rPr>
        <w:t>”</w:t>
      </w:r>
      <w:r>
        <w:rPr>
          <w:rStyle w:val="FootnoteReference"/>
          <w:rFonts w:eastAsia="Times New Roman" w:cstheme="minorHAnsi"/>
          <w:color w:val="000000"/>
          <w:sz w:val="24"/>
          <w:szCs w:val="24"/>
          <w:lang w:eastAsia="en-GB"/>
        </w:rPr>
        <w:footnoteReference w:id="30"/>
      </w:r>
      <w:r w:rsidRPr="000031FD">
        <w:rPr>
          <w:rFonts w:eastAsia="Times New Roman" w:cstheme="minorHAnsi"/>
          <w:color w:val="000000"/>
          <w:sz w:val="24"/>
          <w:szCs w:val="24"/>
          <w:lang w:eastAsia="en-GB"/>
        </w:rPr>
        <w:t xml:space="preserve">  Based upon some of the terminology used to describe the hypaspists</w:t>
      </w:r>
      <w:r w:rsidR="008B6CBC">
        <w:rPr>
          <w:rFonts w:eastAsia="Times New Roman" w:cstheme="minorHAnsi"/>
          <w:color w:val="000000"/>
          <w:sz w:val="24"/>
          <w:szCs w:val="24"/>
          <w:lang w:eastAsia="en-GB"/>
        </w:rPr>
        <w:t>,</w:t>
      </w:r>
      <w:r w:rsidRPr="000031FD">
        <w:rPr>
          <w:rFonts w:eastAsia="Times New Roman" w:cstheme="minorHAnsi"/>
          <w:color w:val="000000"/>
          <w:sz w:val="24"/>
          <w:szCs w:val="24"/>
          <w:lang w:eastAsia="en-GB"/>
        </w:rPr>
        <w:t xml:space="preserve"> Bosworth is convinced that some of Arrian's description of Granicus is not based upon his usual sources</w:t>
      </w:r>
      <w:r w:rsidR="008B6CBC">
        <w:rPr>
          <w:rFonts w:eastAsia="Times New Roman" w:cstheme="minorHAnsi"/>
          <w:color w:val="000000"/>
          <w:sz w:val="24"/>
          <w:szCs w:val="24"/>
          <w:lang w:eastAsia="en-GB"/>
        </w:rPr>
        <w:t>.</w:t>
      </w:r>
      <w:r>
        <w:rPr>
          <w:rStyle w:val="FootnoteReference"/>
          <w:rFonts w:eastAsia="Times New Roman" w:cstheme="minorHAnsi"/>
          <w:color w:val="000000"/>
          <w:sz w:val="24"/>
          <w:szCs w:val="24"/>
          <w:lang w:eastAsia="en-GB"/>
        </w:rPr>
        <w:footnoteReference w:id="31"/>
      </w:r>
    </w:p>
    <w:p w14:paraId="2FE0C8D9" w14:textId="77777777" w:rsidR="000031FD" w:rsidRPr="000031FD" w:rsidRDefault="000031FD" w:rsidP="000031FD">
      <w:pPr>
        <w:shd w:val="clear" w:color="auto" w:fill="FFFFFF"/>
        <w:spacing w:after="0"/>
        <w:rPr>
          <w:rFonts w:eastAsia="Times New Roman" w:cstheme="minorHAnsi"/>
          <w:color w:val="000000"/>
          <w:sz w:val="24"/>
          <w:szCs w:val="24"/>
          <w:lang w:eastAsia="en-GB"/>
        </w:rPr>
      </w:pPr>
    </w:p>
    <w:p w14:paraId="5D860C37" w14:textId="35A96C30" w:rsidR="00166D8C" w:rsidRDefault="00000000" w:rsidP="000031FD">
      <w:pPr>
        <w:shd w:val="clear" w:color="auto" w:fill="FFFFFF"/>
        <w:spacing w:after="0"/>
        <w:rPr>
          <w:rFonts w:eastAsia="Times New Roman" w:cstheme="minorHAnsi"/>
          <w:color w:val="000000"/>
          <w:sz w:val="24"/>
          <w:szCs w:val="24"/>
          <w:lang w:eastAsia="en-GB"/>
        </w:rPr>
      </w:pPr>
      <w:r w:rsidRPr="000031FD">
        <w:rPr>
          <w:rFonts w:eastAsia="Times New Roman" w:cstheme="minorHAnsi"/>
          <w:color w:val="000000"/>
          <w:sz w:val="24"/>
          <w:szCs w:val="24"/>
          <w:lang w:eastAsia="en-GB"/>
        </w:rPr>
        <w:t>The plight of the Persian cavalry reveals some remarkable insight into the tactics employed by both sides.  Firstly, instead of positioning their heavy infantry at the top of the embankment and their cavalry in reserve where they could manoeuvre, the Persians did precisely the opposite</w:t>
      </w:r>
      <w:r w:rsidR="008B6CBC">
        <w:rPr>
          <w:rFonts w:eastAsia="Times New Roman" w:cstheme="minorHAnsi"/>
          <w:color w:val="000000"/>
          <w:sz w:val="24"/>
          <w:szCs w:val="24"/>
          <w:lang w:eastAsia="en-GB"/>
        </w:rPr>
        <w:t>.</w:t>
      </w:r>
      <w:r>
        <w:rPr>
          <w:rStyle w:val="FootnoteReference"/>
          <w:rFonts w:eastAsia="Times New Roman" w:cstheme="minorHAnsi"/>
          <w:color w:val="000000"/>
          <w:sz w:val="24"/>
          <w:szCs w:val="24"/>
          <w:lang w:eastAsia="en-GB"/>
        </w:rPr>
        <w:footnoteReference w:id="32"/>
      </w:r>
      <w:r w:rsidRPr="000031FD">
        <w:rPr>
          <w:rFonts w:eastAsia="Times New Roman" w:cstheme="minorHAnsi"/>
          <w:color w:val="000000"/>
          <w:sz w:val="24"/>
          <w:szCs w:val="24"/>
          <w:lang w:eastAsia="en-GB"/>
        </w:rPr>
        <w:t xml:space="preserve">  Whilst the plan may have been to eliminate Alexander, who was likely to command the Companion Cavalry, they exposed their elite unit to attack from a combined force of Macedonian cavalry and light infantry</w:t>
      </w:r>
      <w:r w:rsidR="008B6CBC">
        <w:rPr>
          <w:rFonts w:eastAsia="Times New Roman" w:cstheme="minorHAnsi"/>
          <w:color w:val="000000"/>
          <w:sz w:val="24"/>
          <w:szCs w:val="24"/>
          <w:lang w:eastAsia="en-GB"/>
        </w:rPr>
        <w:t>.</w:t>
      </w:r>
      <w:r>
        <w:rPr>
          <w:rStyle w:val="FootnoteReference"/>
          <w:rFonts w:eastAsia="Times New Roman" w:cstheme="minorHAnsi"/>
          <w:color w:val="000000"/>
          <w:sz w:val="24"/>
          <w:szCs w:val="24"/>
          <w:lang w:eastAsia="en-GB"/>
        </w:rPr>
        <w:footnoteReference w:id="33"/>
      </w:r>
      <w:r w:rsidRPr="000031FD">
        <w:rPr>
          <w:rFonts w:eastAsia="Times New Roman" w:cstheme="minorHAnsi"/>
          <w:color w:val="000000"/>
          <w:sz w:val="24"/>
          <w:szCs w:val="24"/>
          <w:lang w:eastAsia="en-GB"/>
        </w:rPr>
        <w:t xml:space="preserve">  "The Persians themselves, as well as their horses were now being struck on their faces with the lances from all sides</w:t>
      </w:r>
      <w:r w:rsidR="00C10F51">
        <w:rPr>
          <w:rFonts w:eastAsia="Times New Roman" w:cstheme="minorHAnsi"/>
          <w:color w:val="000000"/>
          <w:sz w:val="24"/>
          <w:szCs w:val="24"/>
          <w:lang w:eastAsia="en-GB"/>
        </w:rPr>
        <w:t>,</w:t>
      </w:r>
      <w:r w:rsidRPr="000031FD">
        <w:rPr>
          <w:rFonts w:eastAsia="Times New Roman" w:cstheme="minorHAnsi"/>
          <w:color w:val="000000"/>
          <w:sz w:val="24"/>
          <w:szCs w:val="24"/>
          <w:lang w:eastAsia="en-GB"/>
        </w:rPr>
        <w:t>”</w:t>
      </w:r>
      <w:r>
        <w:rPr>
          <w:rStyle w:val="FootnoteReference"/>
          <w:rFonts w:eastAsia="Times New Roman" w:cstheme="minorHAnsi"/>
          <w:color w:val="000000"/>
          <w:sz w:val="24"/>
          <w:szCs w:val="24"/>
          <w:lang w:eastAsia="en-GB"/>
        </w:rPr>
        <w:footnoteReference w:id="34"/>
      </w:r>
      <w:r w:rsidRPr="000031FD">
        <w:rPr>
          <w:rFonts w:eastAsia="Times New Roman" w:cstheme="minorHAnsi"/>
          <w:color w:val="000000"/>
          <w:sz w:val="24"/>
          <w:szCs w:val="24"/>
          <w:lang w:eastAsia="en-GB"/>
        </w:rPr>
        <w:t xml:space="preserve"> is testament to a Macedonian technological advantage.</w:t>
      </w:r>
      <w:r w:rsidR="00C10F51">
        <w:rPr>
          <w:rFonts w:eastAsia="Times New Roman" w:cstheme="minorHAnsi"/>
          <w:color w:val="000000"/>
          <w:sz w:val="24"/>
          <w:szCs w:val="24"/>
          <w:lang w:eastAsia="en-GB"/>
        </w:rPr>
        <w:t xml:space="preserve"> </w:t>
      </w:r>
      <w:r w:rsidRPr="000031FD">
        <w:rPr>
          <w:rFonts w:eastAsia="Times New Roman" w:cstheme="minorHAnsi"/>
          <w:color w:val="000000"/>
          <w:sz w:val="24"/>
          <w:szCs w:val="24"/>
          <w:lang w:eastAsia="en-GB"/>
        </w:rPr>
        <w:t xml:space="preserve"> Their cavalry were equipped with the long </w:t>
      </w:r>
      <w:r w:rsidRPr="000031FD">
        <w:rPr>
          <w:rFonts w:eastAsia="Times New Roman" w:cstheme="minorHAnsi"/>
          <w:i/>
          <w:color w:val="000000"/>
          <w:sz w:val="24"/>
          <w:szCs w:val="24"/>
          <w:lang w:eastAsia="en-GB"/>
        </w:rPr>
        <w:t>sarissai</w:t>
      </w:r>
      <w:r w:rsidRPr="000031FD">
        <w:rPr>
          <w:rFonts w:eastAsia="Times New Roman" w:cstheme="minorHAnsi"/>
          <w:color w:val="000000"/>
          <w:sz w:val="24"/>
          <w:szCs w:val="24"/>
          <w:lang w:eastAsia="en-GB"/>
        </w:rPr>
        <w:t xml:space="preserve"> and presumably could strike their Persian counterparts with impunity.</w:t>
      </w:r>
      <w:r>
        <w:rPr>
          <w:rStyle w:val="FootnoteReference"/>
          <w:rFonts w:eastAsia="Times New Roman" w:cstheme="minorHAnsi"/>
          <w:color w:val="000000"/>
          <w:sz w:val="24"/>
          <w:szCs w:val="24"/>
          <w:lang w:eastAsia="en-GB"/>
        </w:rPr>
        <w:footnoteReference w:id="35"/>
      </w:r>
      <w:r w:rsidRPr="000031FD">
        <w:rPr>
          <w:rFonts w:eastAsia="Times New Roman" w:cstheme="minorHAnsi"/>
          <w:color w:val="000000"/>
          <w:sz w:val="24"/>
          <w:szCs w:val="24"/>
          <w:lang w:eastAsia="en-GB"/>
        </w:rPr>
        <w:t xml:space="preserve">  While the modernity of the Macedonian army is on clear display in terms of its employment of combined operations, such as the use of light infantry and cavalry at the centre of the formation, it is still left to the traditional phalanx to administer the coup de grace. </w:t>
      </w:r>
      <w:r w:rsidR="00C10F51">
        <w:rPr>
          <w:rFonts w:eastAsia="Times New Roman" w:cstheme="minorHAnsi"/>
          <w:color w:val="000000"/>
          <w:sz w:val="24"/>
          <w:szCs w:val="24"/>
          <w:lang w:eastAsia="en-GB"/>
        </w:rPr>
        <w:t xml:space="preserve"> </w:t>
      </w:r>
      <w:r w:rsidRPr="000031FD">
        <w:rPr>
          <w:rFonts w:eastAsia="Times New Roman" w:cstheme="minorHAnsi"/>
          <w:color w:val="000000"/>
          <w:sz w:val="24"/>
          <w:szCs w:val="24"/>
          <w:lang w:eastAsia="en-GB"/>
        </w:rPr>
        <w:t>Leading the phalanx, of</w:t>
      </w:r>
      <w:r w:rsidR="008528A1">
        <w:rPr>
          <w:rFonts w:eastAsia="Times New Roman" w:cstheme="minorHAnsi"/>
          <w:color w:val="000000"/>
          <w:sz w:val="24"/>
          <w:szCs w:val="24"/>
          <w:lang w:eastAsia="en-GB"/>
        </w:rPr>
        <w:t>-</w:t>
      </w:r>
      <w:r w:rsidRPr="000031FD">
        <w:rPr>
          <w:rFonts w:eastAsia="Times New Roman" w:cstheme="minorHAnsi"/>
          <w:color w:val="000000"/>
          <w:sz w:val="24"/>
          <w:szCs w:val="24"/>
          <w:lang w:eastAsia="en-GB"/>
        </w:rPr>
        <w:t>course, is Alexander.</w:t>
      </w:r>
      <w:r>
        <w:rPr>
          <w:rStyle w:val="FootnoteReference"/>
          <w:rFonts w:eastAsia="Times New Roman" w:cstheme="minorHAnsi"/>
          <w:color w:val="000000"/>
          <w:sz w:val="24"/>
          <w:szCs w:val="24"/>
          <w:lang w:eastAsia="en-GB"/>
        </w:rPr>
        <w:footnoteReference w:id="36"/>
      </w:r>
      <w:r w:rsidRPr="000031FD">
        <w:rPr>
          <w:rFonts w:eastAsia="Times New Roman" w:cstheme="minorHAnsi"/>
          <w:color w:val="000000"/>
          <w:sz w:val="24"/>
          <w:szCs w:val="24"/>
          <w:lang w:eastAsia="en-GB"/>
        </w:rPr>
        <w:t xml:space="preserve">  Victory is secured, and the passage ends with a list of Persian notables killed. </w:t>
      </w:r>
      <w:r w:rsidR="00C10F51">
        <w:rPr>
          <w:rFonts w:eastAsia="Times New Roman" w:cstheme="minorHAnsi"/>
          <w:color w:val="000000"/>
          <w:sz w:val="24"/>
          <w:szCs w:val="24"/>
          <w:lang w:eastAsia="en-GB"/>
        </w:rPr>
        <w:t xml:space="preserve"> </w:t>
      </w:r>
      <w:r w:rsidRPr="000031FD">
        <w:rPr>
          <w:rFonts w:eastAsia="Times New Roman" w:cstheme="minorHAnsi"/>
          <w:color w:val="000000"/>
          <w:sz w:val="24"/>
          <w:szCs w:val="24"/>
          <w:lang w:eastAsia="en-GB"/>
        </w:rPr>
        <w:t>The loss of Niphates, Petines, Spithridates and Mithradates was a major setback for the Persians</w:t>
      </w:r>
      <w:r w:rsidR="00C10F51">
        <w:rPr>
          <w:rFonts w:eastAsia="Times New Roman" w:cstheme="minorHAnsi"/>
          <w:color w:val="000000"/>
          <w:sz w:val="24"/>
          <w:szCs w:val="24"/>
          <w:lang w:eastAsia="en-GB"/>
        </w:rPr>
        <w:t>.</w:t>
      </w:r>
      <w:r>
        <w:rPr>
          <w:rStyle w:val="FootnoteReference"/>
          <w:rFonts w:eastAsia="Times New Roman" w:cstheme="minorHAnsi"/>
          <w:color w:val="000000"/>
          <w:sz w:val="24"/>
          <w:szCs w:val="24"/>
          <w:lang w:eastAsia="en-GB"/>
        </w:rPr>
        <w:footnoteReference w:id="37"/>
      </w:r>
    </w:p>
    <w:p w14:paraId="7A8F7C95" w14:textId="77777777" w:rsidR="00166D8C" w:rsidRPr="000031FD" w:rsidRDefault="00166D8C" w:rsidP="000031FD">
      <w:pPr>
        <w:shd w:val="clear" w:color="auto" w:fill="FFFFFF"/>
        <w:spacing w:after="0"/>
        <w:rPr>
          <w:rFonts w:eastAsia="Times New Roman" w:cstheme="minorHAnsi"/>
          <w:color w:val="000000"/>
          <w:sz w:val="24"/>
          <w:szCs w:val="24"/>
          <w:lang w:eastAsia="en-GB"/>
        </w:rPr>
      </w:pPr>
    </w:p>
    <w:p w14:paraId="6DAB61D4" w14:textId="77777777" w:rsidR="00C10F51" w:rsidRDefault="00000000" w:rsidP="000031FD">
      <w:pPr>
        <w:shd w:val="clear" w:color="auto" w:fill="FFFFFF"/>
        <w:spacing w:after="0"/>
        <w:rPr>
          <w:rFonts w:eastAsia="Times New Roman" w:cstheme="minorHAnsi"/>
          <w:color w:val="000000"/>
          <w:sz w:val="24"/>
          <w:szCs w:val="24"/>
          <w:lang w:eastAsia="en-GB"/>
        </w:rPr>
      </w:pPr>
      <w:r w:rsidRPr="000031FD">
        <w:rPr>
          <w:rFonts w:eastAsia="Times New Roman" w:cstheme="minorHAnsi"/>
          <w:color w:val="000000"/>
          <w:sz w:val="24"/>
          <w:szCs w:val="24"/>
          <w:lang w:eastAsia="en-GB"/>
        </w:rPr>
        <w:t xml:space="preserve">Although this is just a small sample of Arrian's work, these lines demonstrate that he navigated a median line between sources, often to extract the effect and create the impression he intended, the glorification of Alexander's exploits. </w:t>
      </w:r>
    </w:p>
    <w:p w14:paraId="62D4EC0A" w14:textId="77777777" w:rsidR="00C10F51" w:rsidRDefault="00C10F51" w:rsidP="000031FD">
      <w:pPr>
        <w:shd w:val="clear" w:color="auto" w:fill="FFFFFF"/>
        <w:spacing w:after="0"/>
        <w:rPr>
          <w:rFonts w:eastAsia="Times New Roman" w:cstheme="minorHAnsi"/>
          <w:color w:val="000000"/>
          <w:sz w:val="24"/>
          <w:szCs w:val="24"/>
          <w:lang w:eastAsia="en-GB"/>
        </w:rPr>
      </w:pPr>
    </w:p>
    <w:p w14:paraId="1D701660" w14:textId="77777777" w:rsidR="00C10F51" w:rsidRDefault="00000000" w:rsidP="00C10F51">
      <w:pPr>
        <w:shd w:val="clear" w:color="auto" w:fill="FFFFFF"/>
        <w:spacing w:after="0"/>
        <w:ind w:left="720"/>
        <w:rPr>
          <w:rFonts w:eastAsia="Times New Roman" w:cstheme="minorHAnsi"/>
          <w:bCs/>
          <w:color w:val="000000"/>
          <w:sz w:val="24"/>
          <w:szCs w:val="24"/>
          <w:lang w:eastAsia="en-GB"/>
        </w:rPr>
      </w:pPr>
      <w:r w:rsidRPr="000031FD">
        <w:rPr>
          <w:rFonts w:eastAsia="Times New Roman" w:cstheme="minorHAnsi"/>
          <w:color w:val="000000"/>
          <w:sz w:val="24"/>
          <w:szCs w:val="24"/>
          <w:lang w:eastAsia="en-GB"/>
        </w:rPr>
        <w:t>“</w:t>
      </w:r>
      <w:r w:rsidRPr="000031FD">
        <w:rPr>
          <w:rFonts w:eastAsia="Times New Roman" w:cstheme="minorHAnsi"/>
          <w:bCs/>
          <w:color w:val="000000"/>
          <w:sz w:val="24"/>
          <w:szCs w:val="24"/>
          <w:lang w:eastAsia="en-GB"/>
        </w:rPr>
        <w:t xml:space="preserve">Arrian’s train of thought implicitly reveals how much a part of </w:t>
      </w:r>
      <w:r w:rsidRPr="000031FD">
        <w:rPr>
          <w:rFonts w:eastAsia="Times New Roman" w:cstheme="minorHAnsi"/>
          <w:bCs/>
          <w:i/>
          <w:color w:val="000000"/>
          <w:sz w:val="24"/>
          <w:szCs w:val="24"/>
          <w:lang w:eastAsia="en-GB"/>
        </w:rPr>
        <w:t>belles-lettres</w:t>
      </w:r>
      <w:r w:rsidRPr="000031FD">
        <w:rPr>
          <w:rFonts w:eastAsia="Times New Roman" w:cstheme="minorHAnsi"/>
          <w:bCs/>
          <w:color w:val="000000"/>
          <w:sz w:val="24"/>
          <w:szCs w:val="24"/>
          <w:lang w:eastAsia="en-GB"/>
        </w:rPr>
        <w:t xml:space="preserve"> historiography was for the historians of Antiquity and how alien the dichotomy between matter and form to their historiographical conception</w:t>
      </w:r>
      <w:r>
        <w:rPr>
          <w:rFonts w:eastAsia="Times New Roman" w:cstheme="minorHAnsi"/>
          <w:bCs/>
          <w:color w:val="000000"/>
          <w:sz w:val="24"/>
          <w:szCs w:val="24"/>
          <w:lang w:eastAsia="en-GB"/>
        </w:rPr>
        <w:t>.</w:t>
      </w:r>
      <w:r w:rsidRPr="000031FD">
        <w:rPr>
          <w:rFonts w:eastAsia="Times New Roman" w:cstheme="minorHAnsi"/>
          <w:bCs/>
          <w:color w:val="000000"/>
          <w:sz w:val="24"/>
          <w:szCs w:val="24"/>
          <w:lang w:eastAsia="en-GB"/>
        </w:rPr>
        <w:t>”</w:t>
      </w:r>
      <w:r>
        <w:rPr>
          <w:rStyle w:val="FootnoteReference"/>
          <w:rFonts w:eastAsia="Times New Roman" w:cstheme="minorHAnsi"/>
          <w:bCs/>
          <w:color w:val="000000"/>
          <w:sz w:val="24"/>
          <w:szCs w:val="24"/>
          <w:lang w:eastAsia="en-GB"/>
        </w:rPr>
        <w:footnoteReference w:id="38"/>
      </w:r>
    </w:p>
    <w:p w14:paraId="70171313" w14:textId="77777777" w:rsidR="00C10F51" w:rsidRDefault="00C10F51" w:rsidP="00C10F51">
      <w:pPr>
        <w:shd w:val="clear" w:color="auto" w:fill="FFFFFF"/>
        <w:spacing w:after="0"/>
        <w:ind w:left="720"/>
        <w:rPr>
          <w:rFonts w:eastAsia="Times New Roman" w:cstheme="minorHAnsi"/>
          <w:bCs/>
          <w:color w:val="000000"/>
          <w:sz w:val="24"/>
          <w:szCs w:val="24"/>
          <w:lang w:eastAsia="en-GB"/>
        </w:rPr>
      </w:pPr>
    </w:p>
    <w:p w14:paraId="4043B491" w14:textId="77777777" w:rsidR="00166D8C" w:rsidRPr="000031FD" w:rsidRDefault="00000000" w:rsidP="000031FD">
      <w:pPr>
        <w:shd w:val="clear" w:color="auto" w:fill="FFFFFF"/>
        <w:spacing w:after="0"/>
        <w:rPr>
          <w:rFonts w:eastAsia="Times New Roman" w:cstheme="minorHAnsi"/>
          <w:color w:val="000000"/>
          <w:sz w:val="24"/>
          <w:szCs w:val="24"/>
          <w:lang w:eastAsia="en-GB"/>
        </w:rPr>
      </w:pPr>
      <w:r w:rsidRPr="000031FD">
        <w:rPr>
          <w:rFonts w:eastAsia="Times New Roman" w:cstheme="minorHAnsi"/>
          <w:bCs/>
          <w:color w:val="000000"/>
          <w:sz w:val="24"/>
          <w:szCs w:val="24"/>
          <w:lang w:eastAsia="en-GB"/>
        </w:rPr>
        <w:t xml:space="preserve"> The “alliance of fate”</w:t>
      </w:r>
      <w:r>
        <w:rPr>
          <w:rStyle w:val="FootnoteReference"/>
          <w:rFonts w:eastAsia="Times New Roman" w:cstheme="minorHAnsi"/>
          <w:bCs/>
          <w:color w:val="000000"/>
          <w:sz w:val="24"/>
          <w:szCs w:val="24"/>
          <w:lang w:eastAsia="en-GB"/>
        </w:rPr>
        <w:footnoteReference w:id="39"/>
      </w:r>
      <w:r w:rsidR="00C10F51">
        <w:rPr>
          <w:rFonts w:eastAsia="Times New Roman" w:cstheme="minorHAnsi"/>
          <w:bCs/>
          <w:color w:val="000000"/>
          <w:sz w:val="24"/>
          <w:szCs w:val="24"/>
          <w:lang w:eastAsia="en-GB"/>
        </w:rPr>
        <w:t xml:space="preserve"> </w:t>
      </w:r>
      <w:r w:rsidRPr="000031FD">
        <w:rPr>
          <w:rFonts w:eastAsia="Times New Roman" w:cstheme="minorHAnsi"/>
          <w:bCs/>
          <w:color w:val="000000"/>
          <w:sz w:val="24"/>
          <w:szCs w:val="24"/>
          <w:lang w:eastAsia="en-GB"/>
        </w:rPr>
        <w:t xml:space="preserve">between himself and Alexander was so ingrained that in obscuring the negatives, he missed the positives. </w:t>
      </w:r>
      <w:r w:rsidR="00C10F51">
        <w:rPr>
          <w:rFonts w:eastAsia="Times New Roman" w:cstheme="minorHAnsi"/>
          <w:bCs/>
          <w:color w:val="000000"/>
          <w:sz w:val="24"/>
          <w:szCs w:val="24"/>
          <w:lang w:eastAsia="en-GB"/>
        </w:rPr>
        <w:t xml:space="preserve"> </w:t>
      </w:r>
      <w:r w:rsidRPr="000031FD">
        <w:rPr>
          <w:rFonts w:eastAsia="Times New Roman" w:cstheme="minorHAnsi"/>
          <w:bCs/>
          <w:color w:val="000000"/>
          <w:sz w:val="24"/>
          <w:szCs w:val="24"/>
          <w:lang w:eastAsia="en-GB"/>
        </w:rPr>
        <w:t>He was unable to highlight Alexander's true genius at Granicus, a rapid evaluation and resolution of the tactical problem, in this case, to draw out the Persian elite with a feint.  It was</w:t>
      </w:r>
      <w:r w:rsidR="000C1B80" w:rsidRPr="000031FD">
        <w:rPr>
          <w:rFonts w:eastAsia="Times New Roman" w:cstheme="minorHAnsi"/>
          <w:bCs/>
          <w:color w:val="000000"/>
          <w:sz w:val="24"/>
          <w:szCs w:val="24"/>
          <w:lang w:eastAsia="en-GB"/>
        </w:rPr>
        <w:t xml:space="preserve">, as </w:t>
      </w:r>
      <w:r w:rsidRPr="000031FD">
        <w:rPr>
          <w:rFonts w:eastAsia="Times New Roman" w:cstheme="minorHAnsi"/>
          <w:bCs/>
          <w:color w:val="000000"/>
          <w:sz w:val="24"/>
          <w:szCs w:val="24"/>
          <w:lang w:eastAsia="en-GB"/>
        </w:rPr>
        <w:t>Devine put it</w:t>
      </w:r>
      <w:r w:rsidR="000C1B80" w:rsidRPr="000031FD">
        <w:rPr>
          <w:rFonts w:eastAsia="Times New Roman" w:cstheme="minorHAnsi"/>
          <w:bCs/>
          <w:color w:val="000000"/>
          <w:sz w:val="24"/>
          <w:szCs w:val="24"/>
          <w:lang w:eastAsia="en-GB"/>
        </w:rPr>
        <w:t>,</w:t>
      </w:r>
      <w:r w:rsidRPr="000031FD">
        <w:rPr>
          <w:rFonts w:eastAsia="Times New Roman" w:cstheme="minorHAnsi"/>
          <w:bCs/>
          <w:color w:val="000000"/>
          <w:sz w:val="24"/>
          <w:szCs w:val="24"/>
          <w:lang w:eastAsia="en-GB"/>
        </w:rPr>
        <w:t xml:space="preserve"> “the strategic equivalent of cutting the Gordian knot</w:t>
      </w:r>
      <w:r w:rsidR="00C10F51">
        <w:rPr>
          <w:rFonts w:eastAsia="Times New Roman" w:cstheme="minorHAnsi"/>
          <w:bCs/>
          <w:color w:val="000000"/>
          <w:sz w:val="24"/>
          <w:szCs w:val="24"/>
          <w:lang w:eastAsia="en-GB"/>
        </w:rPr>
        <w:t>.”</w:t>
      </w:r>
      <w:r>
        <w:rPr>
          <w:rStyle w:val="FootnoteReference"/>
          <w:rFonts w:eastAsia="Times New Roman" w:cstheme="minorHAnsi"/>
          <w:bCs/>
          <w:color w:val="000000"/>
          <w:sz w:val="24"/>
          <w:szCs w:val="24"/>
          <w:lang w:eastAsia="en-GB"/>
        </w:rPr>
        <w:footnoteReference w:id="40"/>
      </w:r>
      <w:r w:rsidRPr="000031FD">
        <w:rPr>
          <w:rFonts w:eastAsia="Times New Roman" w:cstheme="minorHAnsi"/>
          <w:bCs/>
          <w:color w:val="000000"/>
          <w:sz w:val="24"/>
          <w:szCs w:val="24"/>
          <w:lang w:eastAsia="en-GB"/>
        </w:rPr>
        <w:t xml:space="preserve"> </w:t>
      </w:r>
    </w:p>
    <w:p w14:paraId="0072F17A" w14:textId="77777777" w:rsidR="00166D8C" w:rsidRPr="000031FD" w:rsidRDefault="00166D8C" w:rsidP="000031FD">
      <w:pPr>
        <w:spacing w:after="0"/>
        <w:rPr>
          <w:rFonts w:cstheme="minorHAnsi"/>
          <w:b/>
          <w:sz w:val="24"/>
          <w:szCs w:val="24"/>
          <w:u w:val="single"/>
        </w:rPr>
      </w:pPr>
    </w:p>
    <w:p w14:paraId="54A67DC8" w14:textId="6DA10FAB" w:rsidR="00C10F51" w:rsidRPr="00467DF1" w:rsidRDefault="00000000">
      <w:pPr>
        <w:rPr>
          <w:rFonts w:cstheme="minorHAnsi"/>
          <w:bCs/>
          <w:i/>
          <w:iCs/>
          <w:sz w:val="24"/>
          <w:szCs w:val="24"/>
        </w:rPr>
      </w:pPr>
      <w:r w:rsidRPr="00467DF1">
        <w:rPr>
          <w:rFonts w:cstheme="minorHAnsi"/>
          <w:bCs/>
          <w:i/>
          <w:iCs/>
          <w:sz w:val="24"/>
          <w:szCs w:val="24"/>
        </w:rPr>
        <w:t>(1</w:t>
      </w:r>
      <w:r w:rsidR="001E0856">
        <w:rPr>
          <w:rFonts w:cstheme="minorHAnsi"/>
          <w:bCs/>
          <w:i/>
          <w:iCs/>
          <w:sz w:val="24"/>
          <w:szCs w:val="24"/>
        </w:rPr>
        <w:t>09</w:t>
      </w:r>
      <w:r w:rsidR="008C1C95">
        <w:rPr>
          <w:rFonts w:cstheme="minorHAnsi"/>
          <w:bCs/>
          <w:i/>
          <w:iCs/>
          <w:sz w:val="24"/>
          <w:szCs w:val="24"/>
        </w:rPr>
        <w:t>8</w:t>
      </w:r>
      <w:r w:rsidR="00467DF1" w:rsidRPr="00467DF1">
        <w:rPr>
          <w:rFonts w:cstheme="minorHAnsi"/>
          <w:bCs/>
          <w:i/>
          <w:iCs/>
          <w:sz w:val="24"/>
          <w:szCs w:val="24"/>
        </w:rPr>
        <w:t xml:space="preserve"> word count excluding titles and citations)</w:t>
      </w:r>
      <w:r w:rsidRPr="00467DF1">
        <w:rPr>
          <w:rFonts w:cstheme="minorHAnsi"/>
          <w:bCs/>
          <w:i/>
          <w:iCs/>
          <w:sz w:val="24"/>
          <w:szCs w:val="24"/>
        </w:rPr>
        <w:br w:type="page"/>
      </w:r>
    </w:p>
    <w:p w14:paraId="5386D117" w14:textId="77777777" w:rsidR="00C10F51" w:rsidRDefault="00000000" w:rsidP="00C10F51">
      <w:pPr>
        <w:spacing w:after="0"/>
        <w:rPr>
          <w:rFonts w:cstheme="minorHAnsi"/>
          <w:b/>
          <w:bCs/>
          <w:sz w:val="24"/>
          <w:szCs w:val="24"/>
        </w:rPr>
      </w:pPr>
      <w:r w:rsidRPr="00C617A3">
        <w:rPr>
          <w:rFonts w:cstheme="minorHAnsi"/>
          <w:b/>
          <w:bCs/>
          <w:sz w:val="24"/>
          <w:szCs w:val="24"/>
        </w:rPr>
        <w:lastRenderedPageBreak/>
        <w:t>BIBLIOGRAPHY</w:t>
      </w:r>
    </w:p>
    <w:p w14:paraId="761039A4" w14:textId="77777777" w:rsidR="007D7420" w:rsidRDefault="007D7420" w:rsidP="00C10F51">
      <w:pPr>
        <w:spacing w:after="0"/>
        <w:rPr>
          <w:rFonts w:cstheme="minorHAnsi"/>
          <w:b/>
          <w:bCs/>
          <w:sz w:val="24"/>
          <w:szCs w:val="24"/>
        </w:rPr>
      </w:pPr>
    </w:p>
    <w:p w14:paraId="6780440F" w14:textId="77777777" w:rsidR="007D7420" w:rsidRPr="00FB6F31" w:rsidRDefault="00000000" w:rsidP="00FB6F31">
      <w:pPr>
        <w:spacing w:after="0" w:line="240" w:lineRule="auto"/>
        <w:rPr>
          <w:sz w:val="24"/>
          <w:szCs w:val="24"/>
        </w:rPr>
      </w:pPr>
      <w:r w:rsidRPr="00FB6F31">
        <w:rPr>
          <w:i/>
          <w:iCs/>
          <w:sz w:val="24"/>
          <w:szCs w:val="24"/>
        </w:rPr>
        <w:t>Anabasis (Xenophon)</w:t>
      </w:r>
      <w:r w:rsidRPr="00FB6F31">
        <w:rPr>
          <w:sz w:val="24"/>
          <w:szCs w:val="24"/>
        </w:rPr>
        <w:t xml:space="preserve"> (2023) In Wikipedia.  Wikimedia Foundation.  Available at: https://en.wikipedia.org/wiki/Anabasis_(Xenophon).  (Accessed: 23 Feb. 2023). </w:t>
      </w:r>
    </w:p>
    <w:p w14:paraId="3EBFDA7A" w14:textId="42695E47" w:rsidR="00C10F51" w:rsidRPr="00FB6F31" w:rsidRDefault="00000000" w:rsidP="00FB6F31">
      <w:pPr>
        <w:spacing w:before="100" w:beforeAutospacing="1" w:after="0" w:line="240" w:lineRule="auto"/>
        <w:rPr>
          <w:rFonts w:eastAsia="Times New Roman" w:cstheme="minorHAnsi"/>
          <w:color w:val="000000"/>
          <w:sz w:val="24"/>
          <w:szCs w:val="24"/>
          <w:lang w:eastAsia="en-GB"/>
        </w:rPr>
      </w:pPr>
      <w:r w:rsidRPr="00FB6F31">
        <w:rPr>
          <w:rFonts w:eastAsia="Times New Roman" w:cstheme="minorHAnsi"/>
          <w:color w:val="000000"/>
          <w:sz w:val="24"/>
          <w:szCs w:val="24"/>
          <w:lang w:eastAsia="en-GB"/>
        </w:rPr>
        <w:t xml:space="preserve">Anson, E.M. (2013) Alexander the Great.  Themes and Issues.  London, New York: Bloomsbury Publishing. </w:t>
      </w:r>
    </w:p>
    <w:p w14:paraId="612D4ACB" w14:textId="77777777" w:rsidR="00C10F51" w:rsidRPr="00FB6F31" w:rsidRDefault="00C10F51" w:rsidP="00FB6F31">
      <w:pPr>
        <w:spacing w:after="0" w:line="240" w:lineRule="auto"/>
        <w:rPr>
          <w:rFonts w:cstheme="minorHAnsi"/>
          <w:b/>
          <w:bCs/>
          <w:sz w:val="24"/>
          <w:szCs w:val="24"/>
        </w:rPr>
      </w:pPr>
    </w:p>
    <w:p w14:paraId="219B2ABC" w14:textId="77777777" w:rsidR="00C10F51" w:rsidRPr="00FB6F31" w:rsidRDefault="00000000" w:rsidP="00FB6F31">
      <w:pPr>
        <w:spacing w:after="0" w:line="240" w:lineRule="auto"/>
        <w:rPr>
          <w:rFonts w:cstheme="minorHAnsi"/>
          <w:sz w:val="24"/>
          <w:szCs w:val="24"/>
        </w:rPr>
      </w:pPr>
      <w:r w:rsidRPr="00FB6F31">
        <w:rPr>
          <w:rFonts w:cstheme="minorHAnsi"/>
          <w:sz w:val="24"/>
          <w:szCs w:val="24"/>
        </w:rPr>
        <w:t xml:space="preserve">Arrian, A. (1884) </w:t>
      </w:r>
      <w:r w:rsidRPr="00FB6F31">
        <w:rPr>
          <w:rFonts w:cstheme="minorHAnsi"/>
          <w:i/>
          <w:iCs/>
          <w:sz w:val="24"/>
          <w:szCs w:val="24"/>
        </w:rPr>
        <w:t>The Anabasis of Alexander</w:t>
      </w:r>
      <w:r w:rsidRPr="00FB6F31">
        <w:rPr>
          <w:rFonts w:cstheme="minorHAnsi"/>
          <w:sz w:val="24"/>
          <w:szCs w:val="24"/>
        </w:rPr>
        <w:t>.</w:t>
      </w:r>
      <w:r w:rsidR="00335C75" w:rsidRPr="00FB6F31">
        <w:rPr>
          <w:rFonts w:cstheme="minorHAnsi"/>
          <w:sz w:val="24"/>
          <w:szCs w:val="24"/>
        </w:rPr>
        <w:t xml:space="preserve">  Translated by</w:t>
      </w:r>
      <w:r w:rsidRPr="00FB6F31">
        <w:rPr>
          <w:rFonts w:cstheme="minorHAnsi"/>
          <w:sz w:val="24"/>
          <w:szCs w:val="24"/>
        </w:rPr>
        <w:t xml:space="preserve"> Chinnock, E. J.  London: Hodder &amp; Stoughton.  Available at: </w:t>
      </w:r>
      <w:hyperlink r:id="rId6" w:history="1">
        <w:r w:rsidRPr="00FB6F31">
          <w:rPr>
            <w:rStyle w:val="Hyperlink"/>
            <w:rFonts w:cstheme="minorHAnsi"/>
            <w:sz w:val="24"/>
            <w:szCs w:val="24"/>
          </w:rPr>
          <w:t>https://archive.org/details/cu31924026460752/page/n7/mode/2up</w:t>
        </w:r>
      </w:hyperlink>
      <w:r w:rsidRPr="00FB6F31">
        <w:rPr>
          <w:rFonts w:cstheme="minorHAnsi"/>
          <w:sz w:val="24"/>
          <w:szCs w:val="24"/>
        </w:rPr>
        <w:t>.  (Accessed 18 Feb. 2023).</w:t>
      </w:r>
    </w:p>
    <w:p w14:paraId="3415688A" w14:textId="739AFD80" w:rsidR="00BA0EF3" w:rsidRPr="00FB6F31" w:rsidRDefault="00BA0EF3" w:rsidP="00FB6F31">
      <w:pPr>
        <w:spacing w:before="100" w:beforeAutospacing="1" w:after="0" w:line="240" w:lineRule="auto"/>
        <w:rPr>
          <w:rFonts w:eastAsia="Times New Roman" w:cstheme="minorHAnsi"/>
          <w:color w:val="000000"/>
          <w:sz w:val="24"/>
          <w:szCs w:val="24"/>
          <w:lang w:eastAsia="en-GB"/>
        </w:rPr>
      </w:pPr>
      <w:r w:rsidRPr="00FB6F31">
        <w:rPr>
          <w:rFonts w:eastAsia="Times New Roman" w:cstheme="minorHAnsi"/>
          <w:color w:val="000000"/>
          <w:sz w:val="24"/>
          <w:szCs w:val="24"/>
          <w:lang w:eastAsia="en-GB"/>
        </w:rPr>
        <w:t xml:space="preserve">Arrian, A. (1967) </w:t>
      </w:r>
      <w:r w:rsidRPr="00FB6F31">
        <w:rPr>
          <w:rFonts w:eastAsia="Times New Roman" w:cstheme="minorHAnsi"/>
          <w:i/>
          <w:iCs/>
          <w:color w:val="000000"/>
          <w:sz w:val="24"/>
          <w:szCs w:val="24"/>
          <w:lang w:eastAsia="en-GB"/>
        </w:rPr>
        <w:t>Ar</w:t>
      </w:r>
      <w:r w:rsidRPr="00FB6F31">
        <w:rPr>
          <w:rFonts w:eastAsia="Times New Roman" w:cstheme="minorHAnsi"/>
          <w:i/>
          <w:iCs/>
          <w:color w:val="000000"/>
          <w:sz w:val="24"/>
          <w:szCs w:val="24"/>
          <w:lang w:eastAsia="en-GB"/>
        </w:rPr>
        <w:t xml:space="preserve">rian, with an English Translation. Anabasis </w:t>
      </w:r>
      <w:proofErr w:type="spellStart"/>
      <w:r w:rsidRPr="00FB6F31">
        <w:rPr>
          <w:rFonts w:eastAsia="Times New Roman" w:cstheme="minorHAnsi"/>
          <w:i/>
          <w:iCs/>
          <w:color w:val="000000"/>
          <w:sz w:val="24"/>
          <w:szCs w:val="24"/>
          <w:lang w:eastAsia="en-GB"/>
        </w:rPr>
        <w:t>Alexandri</w:t>
      </w:r>
      <w:proofErr w:type="spellEnd"/>
      <w:r w:rsidRPr="00FB6F31">
        <w:rPr>
          <w:rFonts w:eastAsia="Times New Roman" w:cstheme="minorHAnsi"/>
          <w:color w:val="000000"/>
          <w:sz w:val="24"/>
          <w:szCs w:val="24"/>
          <w:lang w:eastAsia="en-GB"/>
        </w:rPr>
        <w:t xml:space="preserve">. Translated by Robson, E. I. </w:t>
      </w:r>
      <w:r w:rsidRPr="00FB6F31">
        <w:rPr>
          <w:sz w:val="24"/>
          <w:szCs w:val="24"/>
        </w:rPr>
        <w:t>Cambridge, MA: Harvard University Press.  London.  William Heinemann Ltd.</w:t>
      </w:r>
      <w:r w:rsidRPr="00FB6F31">
        <w:rPr>
          <w:sz w:val="24"/>
          <w:szCs w:val="24"/>
        </w:rPr>
        <w:t xml:space="preserve"> Available at: </w:t>
      </w:r>
      <w:hyperlink r:id="rId7" w:history="1">
        <w:r w:rsidRPr="00FB6F31">
          <w:rPr>
            <w:color w:val="0000FF"/>
            <w:sz w:val="24"/>
            <w:szCs w:val="24"/>
            <w:u w:val="single"/>
          </w:rPr>
          <w:t>https://archive.org/details/arrianwithenglis0001arri/page/n5/mode/2up</w:t>
        </w:r>
      </w:hyperlink>
      <w:r w:rsidRPr="00FB6F31">
        <w:rPr>
          <w:sz w:val="24"/>
          <w:szCs w:val="24"/>
        </w:rPr>
        <w:t>.  (Accessed 19 Feb. 2023).</w:t>
      </w:r>
    </w:p>
    <w:p w14:paraId="58C331BB" w14:textId="77777777" w:rsidR="00335C75" w:rsidRPr="00FB6F31" w:rsidRDefault="00335C75" w:rsidP="00FB6F31">
      <w:pPr>
        <w:spacing w:after="0" w:line="240" w:lineRule="auto"/>
        <w:rPr>
          <w:rFonts w:cstheme="minorHAnsi"/>
          <w:sz w:val="24"/>
          <w:szCs w:val="24"/>
        </w:rPr>
      </w:pPr>
    </w:p>
    <w:p w14:paraId="61104FA8" w14:textId="77777777" w:rsidR="00C10F51" w:rsidRPr="00FB6F31" w:rsidRDefault="00000000" w:rsidP="00FB6F31">
      <w:pPr>
        <w:spacing w:after="0" w:line="240" w:lineRule="auto"/>
        <w:rPr>
          <w:rFonts w:cstheme="minorHAnsi"/>
          <w:color w:val="181817"/>
          <w:sz w:val="24"/>
          <w:szCs w:val="24"/>
          <w:shd w:val="clear" w:color="auto" w:fill="FFFFFF"/>
        </w:rPr>
      </w:pPr>
      <w:r w:rsidRPr="00FB6F31">
        <w:rPr>
          <w:rFonts w:cstheme="minorHAnsi"/>
          <w:color w:val="181817"/>
          <w:sz w:val="24"/>
          <w:szCs w:val="24"/>
          <w:shd w:val="clear" w:color="auto" w:fill="FFFFFF"/>
        </w:rPr>
        <w:t xml:space="preserve">Bosworth, A. B. (1972) Arrian's Literary Development.  </w:t>
      </w:r>
      <w:r w:rsidRPr="00FB6F31">
        <w:rPr>
          <w:rFonts w:cstheme="minorHAnsi"/>
          <w:i/>
          <w:iCs/>
          <w:color w:val="181817"/>
          <w:sz w:val="24"/>
          <w:szCs w:val="24"/>
          <w:bdr w:val="none" w:sz="0" w:space="0" w:color="auto" w:frame="1"/>
          <w:shd w:val="clear" w:color="auto" w:fill="FFFFFF"/>
        </w:rPr>
        <w:t>The Classical Quarterly,</w:t>
      </w:r>
      <w:r w:rsidRPr="00FB6F31">
        <w:rPr>
          <w:rFonts w:cstheme="minorHAnsi"/>
          <w:color w:val="181817"/>
          <w:sz w:val="24"/>
          <w:szCs w:val="24"/>
          <w:shd w:val="clear" w:color="auto" w:fill="FFFFFF"/>
        </w:rPr>
        <w:t> </w:t>
      </w:r>
      <w:r w:rsidRPr="00FB6F31">
        <w:rPr>
          <w:rFonts w:cstheme="minorHAnsi"/>
          <w:i/>
          <w:iCs/>
          <w:color w:val="181817"/>
          <w:sz w:val="24"/>
          <w:szCs w:val="24"/>
          <w:bdr w:val="none" w:sz="0" w:space="0" w:color="auto" w:frame="1"/>
          <w:shd w:val="clear" w:color="auto" w:fill="FFFFFF"/>
        </w:rPr>
        <w:t>22</w:t>
      </w:r>
      <w:r w:rsidRPr="00FB6F31">
        <w:rPr>
          <w:rFonts w:cstheme="minorHAnsi"/>
          <w:color w:val="181817"/>
          <w:sz w:val="24"/>
          <w:szCs w:val="24"/>
          <w:shd w:val="clear" w:color="auto" w:fill="FFFFFF"/>
        </w:rPr>
        <w:t>(1), 163-185.  Available at</w:t>
      </w:r>
      <w:r w:rsidRPr="00FB6F31">
        <w:rPr>
          <w:sz w:val="24"/>
          <w:szCs w:val="24"/>
        </w:rPr>
        <w:t>: </w:t>
      </w:r>
      <w:hyperlink r:id="rId8" w:tgtFrame="_blank" w:history="1">
        <w:r w:rsidRPr="00FB6F31">
          <w:rPr>
            <w:rStyle w:val="Hyperlink"/>
            <w:sz w:val="24"/>
            <w:szCs w:val="24"/>
          </w:rPr>
          <w:t>https://doi.org/10.1017/S0009838800034170</w:t>
        </w:r>
      </w:hyperlink>
      <w:r w:rsidRPr="00FB6F31">
        <w:rPr>
          <w:rFonts w:cstheme="minorHAnsi"/>
          <w:color w:val="181817"/>
          <w:sz w:val="24"/>
          <w:szCs w:val="24"/>
          <w:shd w:val="clear" w:color="auto" w:fill="FFFFFF"/>
        </w:rPr>
        <w:t xml:space="preserve"> (Accessed on 20 Feb. 2023).</w:t>
      </w:r>
    </w:p>
    <w:p w14:paraId="49CCBCF1" w14:textId="77777777" w:rsidR="00C10F51" w:rsidRPr="00FB6F31" w:rsidRDefault="00C10F51" w:rsidP="00FB6F31">
      <w:pPr>
        <w:spacing w:after="0" w:line="240" w:lineRule="auto"/>
        <w:rPr>
          <w:rFonts w:cstheme="minorHAnsi"/>
          <w:sz w:val="24"/>
          <w:szCs w:val="24"/>
        </w:rPr>
      </w:pPr>
    </w:p>
    <w:p w14:paraId="4E794C61" w14:textId="77777777" w:rsidR="00C10F51" w:rsidRPr="00FB6F31" w:rsidRDefault="00000000" w:rsidP="00FB6F31">
      <w:pPr>
        <w:spacing w:after="0" w:line="240" w:lineRule="auto"/>
        <w:rPr>
          <w:rFonts w:eastAsia="Times New Roman" w:cstheme="minorHAnsi"/>
          <w:sz w:val="24"/>
          <w:szCs w:val="24"/>
          <w:lang w:eastAsia="en-GB"/>
        </w:rPr>
      </w:pPr>
      <w:r w:rsidRPr="00FB6F31">
        <w:rPr>
          <w:rFonts w:eastAsia="Times New Roman" w:cstheme="minorHAnsi"/>
          <w:sz w:val="24"/>
          <w:szCs w:val="24"/>
          <w:lang w:eastAsia="en-GB"/>
        </w:rPr>
        <w:t xml:space="preserve">Bosworth, A. B. (1976) Errors in Arrian. </w:t>
      </w:r>
      <w:r w:rsidRPr="00FB6F31">
        <w:rPr>
          <w:rFonts w:eastAsia="Times New Roman" w:cstheme="minorHAnsi"/>
          <w:i/>
          <w:iCs/>
          <w:sz w:val="24"/>
          <w:szCs w:val="24"/>
          <w:lang w:eastAsia="en-GB"/>
        </w:rPr>
        <w:t xml:space="preserve"> The Classical Quarterly</w:t>
      </w:r>
      <w:r w:rsidRPr="00FB6F31">
        <w:rPr>
          <w:rFonts w:eastAsia="Times New Roman" w:cstheme="minorHAnsi"/>
          <w:sz w:val="24"/>
          <w:szCs w:val="24"/>
          <w:lang w:eastAsia="en-GB"/>
        </w:rPr>
        <w:t xml:space="preserve">, </w:t>
      </w:r>
      <w:r w:rsidRPr="00FB6F31">
        <w:rPr>
          <w:rFonts w:eastAsia="Times New Roman" w:cstheme="minorHAnsi"/>
          <w:i/>
          <w:iCs/>
          <w:sz w:val="24"/>
          <w:szCs w:val="24"/>
          <w:lang w:eastAsia="en-GB"/>
        </w:rPr>
        <w:t>26</w:t>
      </w:r>
      <w:r w:rsidRPr="00FB6F31">
        <w:rPr>
          <w:rFonts w:eastAsia="Times New Roman" w:cstheme="minorHAnsi"/>
          <w:sz w:val="24"/>
          <w:szCs w:val="24"/>
          <w:lang w:eastAsia="en-GB"/>
        </w:rPr>
        <w:t xml:space="preserve">(1), 117–139.  Available at: </w:t>
      </w:r>
      <w:hyperlink r:id="rId9" w:history="1">
        <w:r w:rsidRPr="00FB6F31">
          <w:rPr>
            <w:rStyle w:val="Hyperlink"/>
            <w:rFonts w:eastAsia="Times New Roman" w:cstheme="minorHAnsi"/>
            <w:sz w:val="24"/>
            <w:szCs w:val="24"/>
            <w:lang w:eastAsia="en-GB"/>
          </w:rPr>
          <w:t>http://www.jstor.org/stable/638409</w:t>
        </w:r>
      </w:hyperlink>
      <w:r w:rsidRPr="00FB6F31">
        <w:rPr>
          <w:rFonts w:eastAsia="Times New Roman" w:cstheme="minorHAnsi"/>
          <w:sz w:val="24"/>
          <w:szCs w:val="24"/>
          <w:lang w:eastAsia="en-GB"/>
        </w:rPr>
        <w:t>.  (Accessed 22 Feb. 2023).</w:t>
      </w:r>
    </w:p>
    <w:p w14:paraId="1E74157C" w14:textId="77777777" w:rsidR="00C10F51" w:rsidRPr="00FB6F31" w:rsidRDefault="00C10F51" w:rsidP="00FB6F31">
      <w:pPr>
        <w:spacing w:after="0" w:line="240" w:lineRule="auto"/>
        <w:rPr>
          <w:rFonts w:cstheme="minorHAnsi"/>
          <w:sz w:val="24"/>
          <w:szCs w:val="24"/>
        </w:rPr>
      </w:pPr>
    </w:p>
    <w:p w14:paraId="6668ED44" w14:textId="3798DAEB" w:rsidR="00C10F51" w:rsidRPr="00FB6F31" w:rsidRDefault="00000000" w:rsidP="00FB6F31">
      <w:pPr>
        <w:spacing w:after="0" w:line="240" w:lineRule="auto"/>
        <w:rPr>
          <w:rFonts w:cstheme="minorHAnsi"/>
          <w:sz w:val="24"/>
          <w:szCs w:val="24"/>
        </w:rPr>
      </w:pPr>
      <w:r w:rsidRPr="00FB6F31">
        <w:rPr>
          <w:rFonts w:cstheme="minorHAnsi"/>
          <w:sz w:val="24"/>
          <w:szCs w:val="24"/>
        </w:rPr>
        <w:t>Bosworth, A. B. (1980) </w:t>
      </w:r>
      <w:r w:rsidRPr="00FB6F31">
        <w:rPr>
          <w:rFonts w:cstheme="minorHAnsi"/>
          <w:i/>
          <w:iCs/>
          <w:sz w:val="24"/>
          <w:szCs w:val="24"/>
        </w:rPr>
        <w:t>A Historical Commentary on Arrian's History of Alexander.  Vol I: Commentary on Books I-III</w:t>
      </w:r>
      <w:r w:rsidRPr="00FB6F31">
        <w:rPr>
          <w:rFonts w:cstheme="minorHAnsi"/>
          <w:sz w:val="24"/>
          <w:szCs w:val="24"/>
        </w:rPr>
        <w:t xml:space="preserve">.  Oxford: Oxford University Press.  </w:t>
      </w:r>
    </w:p>
    <w:p w14:paraId="626344E2" w14:textId="77777777" w:rsidR="00C10F51" w:rsidRPr="00FB6F31" w:rsidRDefault="00C10F51" w:rsidP="00FB6F31">
      <w:pPr>
        <w:spacing w:after="0" w:line="240" w:lineRule="auto"/>
        <w:rPr>
          <w:rFonts w:cstheme="minorHAnsi"/>
          <w:sz w:val="24"/>
          <w:szCs w:val="24"/>
        </w:rPr>
      </w:pPr>
    </w:p>
    <w:p w14:paraId="1556839F" w14:textId="4901EB39" w:rsidR="00C10F51" w:rsidRPr="00FB6F31" w:rsidRDefault="00000000" w:rsidP="00FB6F31">
      <w:pPr>
        <w:spacing w:after="0" w:line="240" w:lineRule="auto"/>
        <w:rPr>
          <w:rFonts w:cstheme="minorHAnsi"/>
          <w:sz w:val="24"/>
          <w:szCs w:val="24"/>
        </w:rPr>
      </w:pPr>
      <w:r w:rsidRPr="00FB6F31">
        <w:rPr>
          <w:rFonts w:cstheme="minorHAnsi"/>
          <w:sz w:val="24"/>
          <w:szCs w:val="24"/>
        </w:rPr>
        <w:t xml:space="preserve">Bosworth, A. B. (1988) </w:t>
      </w:r>
      <w:r w:rsidRPr="00FB6F31">
        <w:rPr>
          <w:rFonts w:cstheme="minorHAnsi"/>
          <w:i/>
          <w:iCs/>
          <w:sz w:val="24"/>
          <w:szCs w:val="24"/>
        </w:rPr>
        <w:t xml:space="preserve">From Arrian to Alexander : </w:t>
      </w:r>
      <w:r w:rsidR="00361E6B">
        <w:rPr>
          <w:rFonts w:cstheme="minorHAnsi"/>
          <w:i/>
          <w:iCs/>
          <w:sz w:val="24"/>
          <w:szCs w:val="24"/>
        </w:rPr>
        <w:t>S</w:t>
      </w:r>
      <w:r w:rsidRPr="00FB6F31">
        <w:rPr>
          <w:rFonts w:cstheme="minorHAnsi"/>
          <w:i/>
          <w:iCs/>
          <w:sz w:val="24"/>
          <w:szCs w:val="24"/>
        </w:rPr>
        <w:t xml:space="preserve">tudies in </w:t>
      </w:r>
      <w:r w:rsidR="00361E6B">
        <w:rPr>
          <w:rFonts w:cstheme="minorHAnsi"/>
          <w:i/>
          <w:iCs/>
          <w:sz w:val="24"/>
          <w:szCs w:val="24"/>
        </w:rPr>
        <w:t>H</w:t>
      </w:r>
      <w:r w:rsidRPr="00FB6F31">
        <w:rPr>
          <w:rFonts w:cstheme="minorHAnsi"/>
          <w:i/>
          <w:iCs/>
          <w:sz w:val="24"/>
          <w:szCs w:val="24"/>
        </w:rPr>
        <w:t xml:space="preserve">istorical </w:t>
      </w:r>
      <w:r w:rsidR="00361E6B">
        <w:rPr>
          <w:rFonts w:cstheme="minorHAnsi"/>
          <w:i/>
          <w:iCs/>
          <w:sz w:val="24"/>
          <w:szCs w:val="24"/>
        </w:rPr>
        <w:t>I</w:t>
      </w:r>
      <w:r w:rsidRPr="00FB6F31">
        <w:rPr>
          <w:rFonts w:cstheme="minorHAnsi"/>
          <w:i/>
          <w:iCs/>
          <w:sz w:val="24"/>
          <w:szCs w:val="24"/>
        </w:rPr>
        <w:t>nterpretation</w:t>
      </w:r>
      <w:r w:rsidRPr="00FB6F31">
        <w:rPr>
          <w:rFonts w:cstheme="minorHAnsi"/>
          <w:sz w:val="24"/>
          <w:szCs w:val="24"/>
        </w:rPr>
        <w:t>.  Oxford: Clarendon Press.</w:t>
      </w:r>
    </w:p>
    <w:p w14:paraId="3304255B" w14:textId="77777777" w:rsidR="00C10F51" w:rsidRPr="00FB6F31" w:rsidRDefault="00C10F51" w:rsidP="00FB6F31">
      <w:pPr>
        <w:spacing w:after="0" w:line="240" w:lineRule="auto"/>
        <w:rPr>
          <w:rFonts w:cstheme="minorHAnsi"/>
          <w:sz w:val="24"/>
          <w:szCs w:val="24"/>
        </w:rPr>
      </w:pPr>
    </w:p>
    <w:p w14:paraId="4119EF8C" w14:textId="6263B328" w:rsidR="00C10F51" w:rsidRPr="00FB6F31" w:rsidRDefault="00000000" w:rsidP="00FB6F31">
      <w:pPr>
        <w:spacing w:after="0" w:line="240" w:lineRule="auto"/>
        <w:rPr>
          <w:rFonts w:eastAsia="Times New Roman" w:cstheme="minorHAnsi"/>
          <w:sz w:val="24"/>
          <w:szCs w:val="24"/>
          <w:lang w:eastAsia="en-GB"/>
        </w:rPr>
      </w:pPr>
      <w:r w:rsidRPr="00FB6F31">
        <w:rPr>
          <w:rFonts w:eastAsia="Times New Roman" w:cstheme="minorHAnsi"/>
          <w:sz w:val="24"/>
          <w:szCs w:val="24"/>
          <w:lang w:eastAsia="en-GB"/>
        </w:rPr>
        <w:t xml:space="preserve">Devine, A. M. (1986) Demythologising the Battle of the Granicus. </w:t>
      </w:r>
      <w:r w:rsidRPr="00FB6F31">
        <w:rPr>
          <w:rFonts w:eastAsia="Times New Roman" w:cstheme="minorHAnsi"/>
          <w:i/>
          <w:iCs/>
          <w:sz w:val="24"/>
          <w:szCs w:val="24"/>
          <w:lang w:eastAsia="en-GB"/>
        </w:rPr>
        <w:t xml:space="preserve"> Phoenix</w:t>
      </w:r>
      <w:r w:rsidRPr="00FB6F31">
        <w:rPr>
          <w:rFonts w:eastAsia="Times New Roman" w:cstheme="minorHAnsi"/>
          <w:sz w:val="24"/>
          <w:szCs w:val="24"/>
          <w:lang w:eastAsia="en-GB"/>
        </w:rPr>
        <w:t xml:space="preserve">, </w:t>
      </w:r>
      <w:r w:rsidRPr="00FB6F31">
        <w:rPr>
          <w:rFonts w:eastAsia="Times New Roman" w:cstheme="minorHAnsi"/>
          <w:i/>
          <w:iCs/>
          <w:sz w:val="24"/>
          <w:szCs w:val="24"/>
          <w:lang w:eastAsia="en-GB"/>
        </w:rPr>
        <w:t>40</w:t>
      </w:r>
      <w:r w:rsidRPr="00FB6F31">
        <w:rPr>
          <w:rFonts w:eastAsia="Times New Roman" w:cstheme="minorHAnsi"/>
          <w:sz w:val="24"/>
          <w:szCs w:val="24"/>
          <w:lang w:eastAsia="en-GB"/>
        </w:rPr>
        <w:t xml:space="preserve">(3), 265–278.  Available at: </w:t>
      </w:r>
      <w:hyperlink r:id="rId10" w:history="1">
        <w:r w:rsidRPr="00FB6F31">
          <w:rPr>
            <w:rStyle w:val="Hyperlink"/>
            <w:rFonts w:eastAsia="Times New Roman" w:cstheme="minorHAnsi"/>
            <w:sz w:val="24"/>
            <w:szCs w:val="24"/>
            <w:lang w:eastAsia="en-GB"/>
          </w:rPr>
          <w:t>https://doi.org/10.2307/1088843</w:t>
        </w:r>
      </w:hyperlink>
      <w:r w:rsidRPr="00FB6F31">
        <w:rPr>
          <w:rFonts w:eastAsia="Times New Roman" w:cstheme="minorHAnsi"/>
          <w:sz w:val="24"/>
          <w:szCs w:val="24"/>
          <w:lang w:eastAsia="en-GB"/>
        </w:rPr>
        <w:t>.  (Accessed 20 Feb. 2023).</w:t>
      </w:r>
    </w:p>
    <w:p w14:paraId="25DCF507" w14:textId="28B0CBCF" w:rsidR="008528A1" w:rsidRPr="00FB6F31" w:rsidRDefault="008528A1" w:rsidP="00FB6F31">
      <w:pPr>
        <w:spacing w:after="0" w:line="240" w:lineRule="auto"/>
        <w:rPr>
          <w:rFonts w:eastAsia="Times New Roman" w:cstheme="minorHAnsi"/>
          <w:sz w:val="24"/>
          <w:szCs w:val="24"/>
          <w:lang w:eastAsia="en-GB"/>
        </w:rPr>
      </w:pPr>
    </w:p>
    <w:p w14:paraId="21879BDE" w14:textId="3F44CE07" w:rsidR="008528A1" w:rsidRPr="00FB6F31" w:rsidRDefault="008528A1" w:rsidP="00FB6F31">
      <w:pPr>
        <w:spacing w:after="0" w:line="240" w:lineRule="auto"/>
        <w:rPr>
          <w:rFonts w:eastAsia="Times New Roman" w:cstheme="minorHAnsi"/>
          <w:sz w:val="24"/>
          <w:szCs w:val="24"/>
          <w:lang w:eastAsia="en-GB"/>
        </w:rPr>
      </w:pPr>
      <w:proofErr w:type="spellStart"/>
      <w:r w:rsidRPr="00FB6F31">
        <w:rPr>
          <w:rFonts w:cstheme="minorHAnsi"/>
          <w:color w:val="000000"/>
          <w:sz w:val="24"/>
          <w:szCs w:val="24"/>
        </w:rPr>
        <w:t>Diodorus</w:t>
      </w:r>
      <w:proofErr w:type="spellEnd"/>
      <w:r w:rsidR="00FB6F31" w:rsidRPr="00FB6F31">
        <w:rPr>
          <w:rFonts w:cstheme="minorHAnsi"/>
          <w:color w:val="000000"/>
          <w:sz w:val="24"/>
          <w:szCs w:val="24"/>
        </w:rPr>
        <w:t>,</w:t>
      </w:r>
      <w:r w:rsidRPr="00FB6F31">
        <w:rPr>
          <w:rFonts w:cstheme="minorHAnsi"/>
          <w:color w:val="000000"/>
          <w:sz w:val="24"/>
          <w:szCs w:val="24"/>
        </w:rPr>
        <w:t xml:space="preserve"> S. </w:t>
      </w:r>
      <w:r w:rsidRPr="00FB6F31">
        <w:rPr>
          <w:rFonts w:cstheme="minorHAnsi"/>
          <w:color w:val="000000"/>
          <w:sz w:val="24"/>
          <w:szCs w:val="24"/>
        </w:rPr>
        <w:t xml:space="preserve">(1989) </w:t>
      </w:r>
      <w:proofErr w:type="spellStart"/>
      <w:r w:rsidRPr="00FB6F31">
        <w:rPr>
          <w:rFonts w:cstheme="minorHAnsi"/>
          <w:i/>
          <w:iCs/>
          <w:color w:val="000000"/>
          <w:sz w:val="24"/>
          <w:szCs w:val="24"/>
        </w:rPr>
        <w:t>Diodorus</w:t>
      </w:r>
      <w:proofErr w:type="spellEnd"/>
      <w:r w:rsidRPr="00FB6F31">
        <w:rPr>
          <w:rFonts w:cstheme="minorHAnsi"/>
          <w:i/>
          <w:iCs/>
          <w:color w:val="000000"/>
          <w:sz w:val="24"/>
          <w:szCs w:val="24"/>
        </w:rPr>
        <w:t xml:space="preserve"> of Sicily in Twelve Volumes</w:t>
      </w:r>
      <w:r w:rsidR="00FB6F31" w:rsidRPr="00FB6F31">
        <w:rPr>
          <w:rFonts w:cstheme="minorHAnsi"/>
          <w:color w:val="000000"/>
          <w:sz w:val="24"/>
          <w:szCs w:val="24"/>
        </w:rPr>
        <w:t xml:space="preserve">. Vol. 4-8. </w:t>
      </w:r>
      <w:r w:rsidRPr="00FB6F31">
        <w:rPr>
          <w:rFonts w:cstheme="minorHAnsi"/>
          <w:color w:val="000000"/>
          <w:sz w:val="24"/>
          <w:szCs w:val="24"/>
        </w:rPr>
        <w:t xml:space="preserve">Translation by </w:t>
      </w:r>
      <w:proofErr w:type="spellStart"/>
      <w:r w:rsidRPr="00FB6F31">
        <w:rPr>
          <w:rFonts w:cstheme="minorHAnsi"/>
          <w:color w:val="000000"/>
          <w:sz w:val="24"/>
          <w:szCs w:val="24"/>
        </w:rPr>
        <w:t>Oldfather</w:t>
      </w:r>
      <w:proofErr w:type="spellEnd"/>
      <w:r w:rsidR="00FB6F31" w:rsidRPr="00FB6F31">
        <w:rPr>
          <w:rFonts w:cstheme="minorHAnsi"/>
          <w:color w:val="000000"/>
          <w:sz w:val="24"/>
          <w:szCs w:val="24"/>
        </w:rPr>
        <w:t>. C. H.</w:t>
      </w:r>
      <w:r w:rsidRPr="00FB6F31">
        <w:rPr>
          <w:rFonts w:cstheme="minorHAnsi"/>
          <w:color w:val="000000"/>
          <w:sz w:val="24"/>
          <w:szCs w:val="24"/>
        </w:rPr>
        <w:t xml:space="preserve"> Cambridge, M</w:t>
      </w:r>
      <w:r w:rsidRPr="00FB6F31">
        <w:rPr>
          <w:rFonts w:cstheme="minorHAnsi"/>
          <w:color w:val="000000"/>
          <w:sz w:val="24"/>
          <w:szCs w:val="24"/>
        </w:rPr>
        <w:t>A</w:t>
      </w:r>
      <w:r w:rsidRPr="00FB6F31">
        <w:rPr>
          <w:rFonts w:cstheme="minorHAnsi"/>
          <w:color w:val="000000"/>
          <w:sz w:val="24"/>
          <w:szCs w:val="24"/>
        </w:rPr>
        <w:t xml:space="preserve">: Harvard University Press; London: William Heinemann, Ltd. </w:t>
      </w:r>
      <w:r w:rsidRPr="00FB6F31">
        <w:rPr>
          <w:rFonts w:cstheme="minorHAnsi"/>
          <w:color w:val="000000"/>
          <w:sz w:val="24"/>
          <w:szCs w:val="24"/>
        </w:rPr>
        <w:t xml:space="preserve">Available at: </w:t>
      </w:r>
      <w:hyperlink r:id="rId11" w:history="1">
        <w:r w:rsidRPr="00FB6F31">
          <w:rPr>
            <w:color w:val="0000FF"/>
            <w:sz w:val="24"/>
            <w:szCs w:val="24"/>
            <w:u w:val="single"/>
          </w:rPr>
          <w:t>https://www.perseus.tufts.edu/hopper/text?doc=Diod.+17.21.6&amp;fromdoc=Perseus%3Atext%3A1999.01.0084</w:t>
        </w:r>
      </w:hyperlink>
      <w:r w:rsidRPr="00FB6F31">
        <w:rPr>
          <w:sz w:val="24"/>
          <w:szCs w:val="24"/>
        </w:rPr>
        <w:t>.  (Accessed 19 Feb. 2023).</w:t>
      </w:r>
    </w:p>
    <w:p w14:paraId="1B079F62" w14:textId="77777777" w:rsidR="00C10F51" w:rsidRPr="00FB6F31" w:rsidRDefault="00C10F51" w:rsidP="00FB6F31">
      <w:pPr>
        <w:spacing w:after="0" w:line="240" w:lineRule="auto"/>
        <w:rPr>
          <w:rFonts w:eastAsia="Times New Roman" w:cstheme="minorHAnsi"/>
          <w:sz w:val="24"/>
          <w:szCs w:val="24"/>
          <w:lang w:eastAsia="en-GB"/>
        </w:rPr>
      </w:pPr>
    </w:p>
    <w:p w14:paraId="0E7A3E0F" w14:textId="752E4E13" w:rsidR="00C10F51" w:rsidRPr="00FB6F31" w:rsidRDefault="00000000" w:rsidP="00FB6F31">
      <w:pPr>
        <w:spacing w:after="0" w:line="240" w:lineRule="auto"/>
        <w:rPr>
          <w:rFonts w:cstheme="minorHAnsi"/>
          <w:sz w:val="24"/>
          <w:szCs w:val="24"/>
        </w:rPr>
      </w:pPr>
      <w:r w:rsidRPr="00FB6F31">
        <w:rPr>
          <w:rFonts w:cstheme="minorHAnsi"/>
          <w:sz w:val="24"/>
          <w:szCs w:val="24"/>
        </w:rPr>
        <w:t xml:space="preserve">Hamilton, J.R. (1969) </w:t>
      </w:r>
      <w:r w:rsidRPr="00FB6F31">
        <w:rPr>
          <w:rFonts w:cstheme="minorHAnsi"/>
          <w:i/>
          <w:iCs/>
          <w:sz w:val="24"/>
          <w:szCs w:val="24"/>
        </w:rPr>
        <w:t xml:space="preserve">Plutarch, Alexander : </w:t>
      </w:r>
      <w:r w:rsidR="00361E6B">
        <w:rPr>
          <w:rFonts w:cstheme="minorHAnsi"/>
          <w:i/>
          <w:iCs/>
          <w:sz w:val="24"/>
          <w:szCs w:val="24"/>
        </w:rPr>
        <w:t>A</w:t>
      </w:r>
      <w:r w:rsidRPr="00FB6F31">
        <w:rPr>
          <w:rFonts w:cstheme="minorHAnsi"/>
          <w:i/>
          <w:iCs/>
          <w:sz w:val="24"/>
          <w:szCs w:val="24"/>
        </w:rPr>
        <w:t xml:space="preserve"> </w:t>
      </w:r>
      <w:r w:rsidR="00361E6B">
        <w:rPr>
          <w:rFonts w:cstheme="minorHAnsi"/>
          <w:i/>
          <w:iCs/>
          <w:sz w:val="24"/>
          <w:szCs w:val="24"/>
        </w:rPr>
        <w:t>C</w:t>
      </w:r>
      <w:r w:rsidRPr="00FB6F31">
        <w:rPr>
          <w:rFonts w:cstheme="minorHAnsi"/>
          <w:i/>
          <w:iCs/>
          <w:sz w:val="24"/>
          <w:szCs w:val="24"/>
        </w:rPr>
        <w:t>ommentary</w:t>
      </w:r>
      <w:r w:rsidRPr="00FB6F31">
        <w:rPr>
          <w:rFonts w:cstheme="minorHAnsi"/>
          <w:sz w:val="24"/>
          <w:szCs w:val="24"/>
        </w:rPr>
        <w:t>.  Oxford: Clarendon Press.</w:t>
      </w:r>
    </w:p>
    <w:p w14:paraId="02AB758F" w14:textId="77777777" w:rsidR="00C10F51" w:rsidRPr="00FB6F31" w:rsidRDefault="00C10F51" w:rsidP="00FB6F31">
      <w:pPr>
        <w:spacing w:after="0" w:line="240" w:lineRule="auto"/>
        <w:rPr>
          <w:rFonts w:cstheme="minorHAnsi"/>
          <w:sz w:val="24"/>
          <w:szCs w:val="24"/>
        </w:rPr>
      </w:pPr>
    </w:p>
    <w:p w14:paraId="20142958" w14:textId="68CD0359" w:rsidR="00361E6B" w:rsidRPr="00FB6F31" w:rsidRDefault="00361E6B" w:rsidP="00361E6B">
      <w:pPr>
        <w:spacing w:after="0" w:line="240" w:lineRule="auto"/>
        <w:rPr>
          <w:sz w:val="24"/>
          <w:szCs w:val="24"/>
        </w:rPr>
      </w:pPr>
      <w:r>
        <w:rPr>
          <w:sz w:val="24"/>
          <w:szCs w:val="24"/>
        </w:rPr>
        <w:t xml:space="preserve">Hammond, M. </w:t>
      </w:r>
      <w:r w:rsidRPr="00FB6F31">
        <w:rPr>
          <w:sz w:val="24"/>
          <w:szCs w:val="24"/>
        </w:rPr>
        <w:t xml:space="preserve">(2013) </w:t>
      </w:r>
      <w:r>
        <w:rPr>
          <w:sz w:val="24"/>
          <w:szCs w:val="24"/>
        </w:rPr>
        <w:t xml:space="preserve">Preface in Arrian’s: </w:t>
      </w:r>
      <w:r w:rsidRPr="00FB6F31">
        <w:rPr>
          <w:i/>
          <w:iCs/>
          <w:sz w:val="24"/>
          <w:szCs w:val="24"/>
        </w:rPr>
        <w:t>Alexander the Great: the Anabasis and the Indica</w:t>
      </w:r>
      <w:r w:rsidRPr="00FB6F31">
        <w:rPr>
          <w:sz w:val="24"/>
          <w:szCs w:val="24"/>
        </w:rPr>
        <w:t>. Translate</w:t>
      </w:r>
      <w:r>
        <w:rPr>
          <w:sz w:val="24"/>
          <w:szCs w:val="24"/>
        </w:rPr>
        <w:t xml:space="preserve">d by Hammond, M. </w:t>
      </w:r>
      <w:r w:rsidRPr="00FB6F31">
        <w:rPr>
          <w:sz w:val="24"/>
          <w:szCs w:val="24"/>
        </w:rPr>
        <w:t xml:space="preserve">Oxford: Oxford University Press.  Available at: </w:t>
      </w:r>
      <w:hyperlink r:id="rId12" w:history="1">
        <w:r w:rsidRPr="00FB6F31">
          <w:rPr>
            <w:color w:val="0000FF"/>
            <w:sz w:val="24"/>
            <w:szCs w:val="24"/>
            <w:u w:val="single"/>
          </w:rPr>
          <w:t>https://archive.org/details/alexandergreatan0000arri</w:t>
        </w:r>
      </w:hyperlink>
      <w:r w:rsidRPr="00FB6F31">
        <w:rPr>
          <w:sz w:val="24"/>
          <w:szCs w:val="24"/>
        </w:rPr>
        <w:t>.  (Accessed 18 Feb. 2023).</w:t>
      </w:r>
    </w:p>
    <w:p w14:paraId="4082EAD6" w14:textId="77777777" w:rsidR="00361E6B" w:rsidRPr="00FB6F31" w:rsidRDefault="00361E6B" w:rsidP="00361E6B">
      <w:pPr>
        <w:spacing w:after="0" w:line="240" w:lineRule="auto"/>
        <w:rPr>
          <w:sz w:val="24"/>
          <w:szCs w:val="24"/>
        </w:rPr>
      </w:pPr>
    </w:p>
    <w:p w14:paraId="512AC8A1" w14:textId="77777777" w:rsidR="00361E6B" w:rsidRDefault="00361E6B" w:rsidP="00FB6F31">
      <w:pPr>
        <w:spacing w:after="0" w:line="240" w:lineRule="auto"/>
        <w:rPr>
          <w:rFonts w:ascii="Arial" w:hAnsi="Arial" w:cs="Arial"/>
          <w:color w:val="4A4A4A"/>
          <w:sz w:val="27"/>
          <w:szCs w:val="27"/>
          <w:shd w:val="clear" w:color="auto" w:fill="FFFFFF"/>
        </w:rPr>
      </w:pPr>
    </w:p>
    <w:p w14:paraId="06C99398" w14:textId="215F5BF1" w:rsidR="00C10F51" w:rsidRPr="00FB6F31" w:rsidRDefault="00000000" w:rsidP="00FB6F31">
      <w:pPr>
        <w:spacing w:after="0" w:line="240" w:lineRule="auto"/>
        <w:rPr>
          <w:rFonts w:cstheme="minorHAnsi"/>
          <w:sz w:val="24"/>
          <w:szCs w:val="24"/>
        </w:rPr>
      </w:pPr>
      <w:r w:rsidRPr="00FB6F31">
        <w:rPr>
          <w:rFonts w:cstheme="minorHAnsi"/>
          <w:sz w:val="24"/>
          <w:szCs w:val="24"/>
        </w:rPr>
        <w:lastRenderedPageBreak/>
        <w:t xml:space="preserve">Hammond, N.G.L.  (1983a) </w:t>
      </w:r>
      <w:r w:rsidRPr="00FB6F31">
        <w:rPr>
          <w:rFonts w:cstheme="minorHAnsi"/>
          <w:i/>
          <w:iCs/>
          <w:sz w:val="24"/>
          <w:szCs w:val="24"/>
        </w:rPr>
        <w:t xml:space="preserve">Three </w:t>
      </w:r>
      <w:r w:rsidR="00361E6B">
        <w:rPr>
          <w:rFonts w:cstheme="minorHAnsi"/>
          <w:i/>
          <w:iCs/>
          <w:sz w:val="24"/>
          <w:szCs w:val="24"/>
        </w:rPr>
        <w:t>H</w:t>
      </w:r>
      <w:r w:rsidRPr="00FB6F31">
        <w:rPr>
          <w:rFonts w:cstheme="minorHAnsi"/>
          <w:i/>
          <w:iCs/>
          <w:sz w:val="24"/>
          <w:szCs w:val="24"/>
        </w:rPr>
        <w:t>istorians of Alexander the Great : the so-called Vulgate authors, Diodorus, Justin and Curtius</w:t>
      </w:r>
      <w:r w:rsidRPr="00FB6F31">
        <w:rPr>
          <w:rFonts w:cstheme="minorHAnsi"/>
          <w:sz w:val="24"/>
          <w:szCs w:val="24"/>
        </w:rPr>
        <w:t>.  Cambridge: Cambridge University Press.</w:t>
      </w:r>
    </w:p>
    <w:p w14:paraId="7E2FDAE0" w14:textId="77777777" w:rsidR="00C10F51" w:rsidRPr="00FB6F31" w:rsidRDefault="00C10F51" w:rsidP="00FB6F31">
      <w:pPr>
        <w:spacing w:after="0" w:line="240" w:lineRule="auto"/>
        <w:rPr>
          <w:rFonts w:cstheme="minorHAnsi"/>
          <w:sz w:val="24"/>
          <w:szCs w:val="24"/>
        </w:rPr>
      </w:pPr>
    </w:p>
    <w:p w14:paraId="0CECBE1A" w14:textId="71B7961F" w:rsidR="00C10F51" w:rsidRPr="00FB6F31" w:rsidRDefault="00000000" w:rsidP="00FB6F31">
      <w:pPr>
        <w:spacing w:after="0" w:line="240" w:lineRule="auto"/>
        <w:rPr>
          <w:rFonts w:cstheme="minorHAnsi"/>
          <w:sz w:val="24"/>
          <w:szCs w:val="24"/>
        </w:rPr>
      </w:pPr>
      <w:r w:rsidRPr="00FB6F31">
        <w:rPr>
          <w:rFonts w:cstheme="minorHAnsi"/>
          <w:sz w:val="24"/>
          <w:szCs w:val="24"/>
        </w:rPr>
        <w:t xml:space="preserve">Hammond, N. G. L., Arrian, A. &amp; Plutarch, A. (1993b) </w:t>
      </w:r>
      <w:r w:rsidRPr="00FB6F31">
        <w:rPr>
          <w:rFonts w:cstheme="minorHAnsi"/>
          <w:i/>
          <w:iCs/>
          <w:sz w:val="24"/>
          <w:szCs w:val="24"/>
        </w:rPr>
        <w:t>Sources for Alexander the Great :</w:t>
      </w:r>
      <w:r w:rsidR="00361E6B">
        <w:rPr>
          <w:rFonts w:cstheme="minorHAnsi"/>
          <w:i/>
          <w:iCs/>
          <w:sz w:val="24"/>
          <w:szCs w:val="24"/>
        </w:rPr>
        <w:t>A</w:t>
      </w:r>
      <w:r w:rsidRPr="00FB6F31">
        <w:rPr>
          <w:rFonts w:cstheme="minorHAnsi"/>
          <w:i/>
          <w:iCs/>
          <w:sz w:val="24"/>
          <w:szCs w:val="24"/>
        </w:rPr>
        <w:t>n</w:t>
      </w:r>
      <w:r w:rsidR="00361E6B">
        <w:rPr>
          <w:rFonts w:cstheme="minorHAnsi"/>
          <w:i/>
          <w:iCs/>
          <w:sz w:val="24"/>
          <w:szCs w:val="24"/>
        </w:rPr>
        <w:t xml:space="preserve"> A</w:t>
      </w:r>
      <w:r w:rsidRPr="00FB6F31">
        <w:rPr>
          <w:rFonts w:cstheme="minorHAnsi"/>
          <w:i/>
          <w:iCs/>
          <w:sz w:val="24"/>
          <w:szCs w:val="24"/>
        </w:rPr>
        <w:t>nalysis of Plutarch’s Life and Arrian’s Anabasis Alexandrou</w:t>
      </w:r>
      <w:r w:rsidRPr="00FB6F31">
        <w:rPr>
          <w:rFonts w:cstheme="minorHAnsi"/>
          <w:sz w:val="24"/>
          <w:szCs w:val="24"/>
        </w:rPr>
        <w:t xml:space="preserve">.  Cambridge: Cambridge University Press. </w:t>
      </w:r>
    </w:p>
    <w:p w14:paraId="7145A403" w14:textId="77777777" w:rsidR="00C10F51" w:rsidRPr="00FB6F31" w:rsidRDefault="00C10F51" w:rsidP="00FB6F31">
      <w:pPr>
        <w:spacing w:after="0" w:line="240" w:lineRule="auto"/>
        <w:rPr>
          <w:rFonts w:eastAsia="Times New Roman" w:cstheme="minorHAnsi"/>
          <w:sz w:val="24"/>
          <w:szCs w:val="24"/>
          <w:lang w:eastAsia="en-GB"/>
        </w:rPr>
      </w:pPr>
    </w:p>
    <w:p w14:paraId="17B20C9D" w14:textId="6319CE15" w:rsidR="00C10F51" w:rsidRPr="00FB6F31" w:rsidRDefault="00000000" w:rsidP="00FB6F31">
      <w:pPr>
        <w:spacing w:after="0" w:line="240" w:lineRule="auto"/>
        <w:rPr>
          <w:rFonts w:eastAsia="Times New Roman" w:cstheme="minorHAnsi"/>
          <w:sz w:val="24"/>
          <w:szCs w:val="24"/>
          <w:lang w:eastAsia="en-GB"/>
        </w:rPr>
      </w:pPr>
      <w:r w:rsidRPr="00FB6F31">
        <w:rPr>
          <w:rFonts w:eastAsia="Times New Roman" w:cstheme="minorHAnsi"/>
          <w:sz w:val="24"/>
          <w:szCs w:val="24"/>
          <w:lang w:eastAsia="en-GB"/>
        </w:rPr>
        <w:t xml:space="preserve">Liotsakis, V. (2019) </w:t>
      </w:r>
      <w:r w:rsidRPr="00FB6F31">
        <w:rPr>
          <w:rFonts w:eastAsia="Times New Roman" w:cstheme="minorHAnsi"/>
          <w:i/>
          <w:iCs/>
          <w:sz w:val="24"/>
          <w:szCs w:val="24"/>
          <w:lang w:eastAsia="en-GB"/>
        </w:rPr>
        <w:t>Alexander the Great in Arrian’s Anabasis</w:t>
      </w:r>
      <w:r w:rsidRPr="00FB6F31">
        <w:rPr>
          <w:rFonts w:eastAsia="Times New Roman" w:cstheme="minorHAnsi"/>
          <w:sz w:val="24"/>
          <w:szCs w:val="24"/>
          <w:lang w:eastAsia="en-GB"/>
        </w:rPr>
        <w:t xml:space="preserve">.  (1st ed.). Berlin, Boston: De Gruyter. </w:t>
      </w:r>
    </w:p>
    <w:p w14:paraId="249AB0E3" w14:textId="77777777" w:rsidR="005A78A4" w:rsidRPr="00FB6F31" w:rsidRDefault="005A78A4" w:rsidP="00FB6F31">
      <w:pPr>
        <w:spacing w:after="0" w:line="240" w:lineRule="auto"/>
        <w:rPr>
          <w:rFonts w:eastAsia="Times New Roman" w:cstheme="minorHAnsi"/>
          <w:sz w:val="24"/>
          <w:szCs w:val="24"/>
          <w:lang w:eastAsia="en-GB"/>
        </w:rPr>
      </w:pPr>
    </w:p>
    <w:p w14:paraId="5D80C3BD" w14:textId="77777777" w:rsidR="005A78A4" w:rsidRPr="00FB6F31" w:rsidRDefault="00000000" w:rsidP="00FB6F31">
      <w:pPr>
        <w:spacing w:after="0" w:line="240" w:lineRule="auto"/>
        <w:rPr>
          <w:rFonts w:eastAsia="Times New Roman" w:cstheme="minorHAnsi"/>
          <w:sz w:val="24"/>
          <w:szCs w:val="24"/>
          <w:lang w:eastAsia="en-GB"/>
        </w:rPr>
      </w:pPr>
      <w:r w:rsidRPr="00FB6F31">
        <w:rPr>
          <w:rFonts w:eastAsia="Times New Roman" w:cstheme="minorHAnsi"/>
          <w:sz w:val="24"/>
          <w:szCs w:val="24"/>
          <w:lang w:eastAsia="en-GB"/>
        </w:rPr>
        <w:t xml:space="preserve">Lonsdale, D. J. (2004) </w:t>
      </w:r>
      <w:r w:rsidRPr="00361E6B">
        <w:rPr>
          <w:rFonts w:eastAsia="Times New Roman" w:cstheme="minorHAnsi"/>
          <w:i/>
          <w:iCs/>
          <w:sz w:val="24"/>
          <w:szCs w:val="24"/>
          <w:lang w:eastAsia="en-GB"/>
        </w:rPr>
        <w:t>Alexander the Great, Killer of Men</w:t>
      </w:r>
      <w:r w:rsidRPr="00FB6F31">
        <w:rPr>
          <w:rFonts w:eastAsia="Times New Roman" w:cstheme="minorHAnsi"/>
          <w:sz w:val="24"/>
          <w:szCs w:val="24"/>
          <w:lang w:eastAsia="en-GB"/>
        </w:rPr>
        <w:t>.  New York: Carroll &amp; Gaff.</w:t>
      </w:r>
    </w:p>
    <w:p w14:paraId="2FE20A3E" w14:textId="77777777" w:rsidR="00C10F51" w:rsidRPr="00FB6F31" w:rsidRDefault="00C10F51" w:rsidP="00FB6F31">
      <w:pPr>
        <w:spacing w:after="0" w:line="240" w:lineRule="auto"/>
        <w:rPr>
          <w:rFonts w:eastAsia="Times New Roman" w:cstheme="minorHAnsi"/>
          <w:sz w:val="24"/>
          <w:szCs w:val="24"/>
          <w:lang w:eastAsia="en-GB"/>
        </w:rPr>
      </w:pPr>
    </w:p>
    <w:p w14:paraId="0DAFCB89" w14:textId="435659B6" w:rsidR="00C10F51" w:rsidRPr="00FB6F31" w:rsidRDefault="00000000" w:rsidP="00FB6F31">
      <w:pPr>
        <w:spacing w:after="0" w:line="240" w:lineRule="auto"/>
        <w:rPr>
          <w:sz w:val="24"/>
          <w:szCs w:val="24"/>
        </w:rPr>
      </w:pPr>
      <w:r w:rsidRPr="00FB6F31">
        <w:rPr>
          <w:sz w:val="24"/>
          <w:szCs w:val="24"/>
        </w:rPr>
        <w:t xml:space="preserve">Plutarch. (1919) </w:t>
      </w:r>
      <w:r w:rsidRPr="00361E6B">
        <w:rPr>
          <w:i/>
          <w:iCs/>
          <w:sz w:val="24"/>
          <w:szCs w:val="24"/>
        </w:rPr>
        <w:t>Alexander.</w:t>
      </w:r>
      <w:r w:rsidRPr="00FB6F31">
        <w:rPr>
          <w:sz w:val="24"/>
          <w:szCs w:val="24"/>
        </w:rPr>
        <w:t xml:space="preserve"> </w:t>
      </w:r>
      <w:r w:rsidR="00BA0EF3" w:rsidRPr="00FB6F31">
        <w:rPr>
          <w:sz w:val="24"/>
          <w:szCs w:val="24"/>
        </w:rPr>
        <w:t>Ed</w:t>
      </w:r>
      <w:r w:rsidR="00D53E7F" w:rsidRPr="00FB6F31">
        <w:rPr>
          <w:sz w:val="24"/>
          <w:szCs w:val="24"/>
        </w:rPr>
        <w:t>ited by Perrin, B.</w:t>
      </w:r>
      <w:r w:rsidRPr="00FB6F31">
        <w:rPr>
          <w:sz w:val="24"/>
          <w:szCs w:val="24"/>
        </w:rPr>
        <w:t xml:space="preserve"> Cambridge, MA: Harvard University Press.  London.  William Heinemann Ltd. Available at: </w:t>
      </w:r>
      <w:hyperlink r:id="rId13" w:history="1">
        <w:r w:rsidRPr="00FB6F31">
          <w:rPr>
            <w:rStyle w:val="Hyperlink"/>
            <w:sz w:val="24"/>
            <w:szCs w:val="24"/>
          </w:rPr>
          <w:t>https://www.perseus.tufts.edu/hopper/text?doc=Perseus%3Atext%3A1999.01.0243%3Achapter%3D16</w:t>
        </w:r>
      </w:hyperlink>
      <w:r w:rsidRPr="00FB6F31">
        <w:rPr>
          <w:sz w:val="24"/>
          <w:szCs w:val="24"/>
        </w:rPr>
        <w:t>.  (Accessed 21 Feb 2023).</w:t>
      </w:r>
    </w:p>
    <w:p w14:paraId="2C200689" w14:textId="77777777" w:rsidR="00C10F51" w:rsidRPr="00FB6F31" w:rsidRDefault="00C10F51" w:rsidP="00FB6F31">
      <w:pPr>
        <w:spacing w:after="0" w:line="240" w:lineRule="auto"/>
        <w:rPr>
          <w:rFonts w:eastAsia="Times New Roman" w:cstheme="minorHAnsi"/>
          <w:sz w:val="24"/>
          <w:szCs w:val="24"/>
          <w:lang w:eastAsia="en-GB"/>
        </w:rPr>
      </w:pPr>
    </w:p>
    <w:p w14:paraId="63A77F59" w14:textId="77777777" w:rsidR="00C10F51" w:rsidRPr="00FB6F31" w:rsidRDefault="00000000" w:rsidP="00FB6F31">
      <w:pPr>
        <w:spacing w:after="0" w:line="240" w:lineRule="auto"/>
        <w:rPr>
          <w:rFonts w:eastAsia="Times New Roman" w:cstheme="minorHAnsi"/>
          <w:sz w:val="24"/>
          <w:szCs w:val="24"/>
          <w:lang w:eastAsia="en-GB"/>
        </w:rPr>
      </w:pPr>
      <w:r w:rsidRPr="00FB6F31">
        <w:rPr>
          <w:rFonts w:eastAsia="Times New Roman" w:cstheme="minorHAnsi"/>
          <w:sz w:val="24"/>
          <w:szCs w:val="24"/>
          <w:lang w:eastAsia="en-GB"/>
        </w:rPr>
        <w:t xml:space="preserve">Schepens, G. (1971) Arrian’s View of his task as Alexander Historian.  </w:t>
      </w:r>
      <w:r w:rsidRPr="00FB6F31">
        <w:rPr>
          <w:rFonts w:eastAsia="Times New Roman" w:cstheme="minorHAnsi"/>
          <w:i/>
          <w:iCs/>
          <w:sz w:val="24"/>
          <w:szCs w:val="24"/>
          <w:lang w:eastAsia="en-GB"/>
        </w:rPr>
        <w:t>Ancient Society</w:t>
      </w:r>
      <w:r w:rsidRPr="00FB6F31">
        <w:rPr>
          <w:rFonts w:eastAsia="Times New Roman" w:cstheme="minorHAnsi"/>
          <w:sz w:val="24"/>
          <w:szCs w:val="24"/>
          <w:lang w:eastAsia="en-GB"/>
        </w:rPr>
        <w:t xml:space="preserve">, </w:t>
      </w:r>
      <w:r w:rsidRPr="00FB6F31">
        <w:rPr>
          <w:rFonts w:eastAsia="Times New Roman" w:cstheme="minorHAnsi"/>
          <w:i/>
          <w:iCs/>
          <w:sz w:val="24"/>
          <w:szCs w:val="24"/>
          <w:lang w:eastAsia="en-GB"/>
        </w:rPr>
        <w:t>2</w:t>
      </w:r>
      <w:r w:rsidRPr="00FB6F31">
        <w:rPr>
          <w:rFonts w:eastAsia="Times New Roman" w:cstheme="minorHAnsi"/>
          <w:sz w:val="24"/>
          <w:szCs w:val="24"/>
          <w:lang w:eastAsia="en-GB"/>
        </w:rPr>
        <w:t xml:space="preserve">, 254–268.  Available at: </w:t>
      </w:r>
      <w:hyperlink r:id="rId14" w:history="1">
        <w:r w:rsidRPr="00FB6F31">
          <w:rPr>
            <w:rStyle w:val="Hyperlink"/>
            <w:rFonts w:eastAsia="Times New Roman" w:cstheme="minorHAnsi"/>
            <w:sz w:val="24"/>
            <w:szCs w:val="24"/>
            <w:lang w:eastAsia="en-GB"/>
          </w:rPr>
          <w:t>http://www.jstor.org/stable/44080039</w:t>
        </w:r>
      </w:hyperlink>
      <w:r w:rsidRPr="00FB6F31">
        <w:rPr>
          <w:rFonts w:eastAsia="Times New Roman" w:cstheme="minorHAnsi"/>
          <w:sz w:val="24"/>
          <w:szCs w:val="24"/>
          <w:lang w:eastAsia="en-GB"/>
        </w:rPr>
        <w:t>.  (Accessed 20 Feb. 2023).</w:t>
      </w:r>
    </w:p>
    <w:p w14:paraId="2BCD6169" w14:textId="77777777" w:rsidR="007D7420" w:rsidRPr="00FB6F31" w:rsidRDefault="007D7420" w:rsidP="00FB6F31">
      <w:pPr>
        <w:spacing w:after="0" w:line="240" w:lineRule="auto"/>
        <w:rPr>
          <w:rFonts w:eastAsia="Times New Roman" w:cstheme="minorHAnsi"/>
          <w:sz w:val="24"/>
          <w:szCs w:val="24"/>
          <w:lang w:eastAsia="en-GB"/>
        </w:rPr>
      </w:pPr>
    </w:p>
    <w:p w14:paraId="011EB817" w14:textId="77777777" w:rsidR="00C10F51" w:rsidRPr="00FB6F31" w:rsidRDefault="00000000" w:rsidP="00FB6F31">
      <w:pPr>
        <w:spacing w:after="0" w:line="240" w:lineRule="auto"/>
        <w:rPr>
          <w:rFonts w:eastAsia="Times New Roman" w:cstheme="minorHAnsi"/>
          <w:sz w:val="24"/>
          <w:szCs w:val="24"/>
          <w:lang w:eastAsia="en-GB"/>
        </w:rPr>
      </w:pPr>
      <w:r w:rsidRPr="00FB6F31">
        <w:rPr>
          <w:rFonts w:eastAsia="Times New Roman" w:cstheme="minorHAnsi"/>
          <w:sz w:val="24"/>
          <w:szCs w:val="24"/>
          <w:lang w:eastAsia="en-GB"/>
        </w:rPr>
        <w:t>Stadter, P. A. (19</w:t>
      </w:r>
      <w:r w:rsidR="007D7420" w:rsidRPr="00FB6F31">
        <w:rPr>
          <w:rFonts w:eastAsia="Times New Roman" w:cstheme="minorHAnsi"/>
          <w:sz w:val="24"/>
          <w:szCs w:val="24"/>
          <w:lang w:eastAsia="en-GB"/>
        </w:rPr>
        <w:t>67</w:t>
      </w:r>
      <w:r w:rsidRPr="00FB6F31">
        <w:rPr>
          <w:rFonts w:eastAsia="Times New Roman" w:cstheme="minorHAnsi"/>
          <w:sz w:val="24"/>
          <w:szCs w:val="24"/>
          <w:lang w:eastAsia="en-GB"/>
        </w:rPr>
        <w:t xml:space="preserve">) </w:t>
      </w:r>
      <w:r w:rsidR="007D7420" w:rsidRPr="00FB6F31">
        <w:rPr>
          <w:rFonts w:eastAsia="Times New Roman" w:cstheme="minorHAnsi"/>
          <w:i/>
          <w:iCs/>
          <w:sz w:val="24"/>
          <w:szCs w:val="24"/>
          <w:lang w:eastAsia="en-GB"/>
        </w:rPr>
        <w:t>Flavius Arrianus: The New Xenophon</w:t>
      </w:r>
      <w:r w:rsidR="007D7420" w:rsidRPr="00FB6F31">
        <w:rPr>
          <w:rFonts w:eastAsia="Times New Roman" w:cstheme="minorHAnsi"/>
          <w:sz w:val="24"/>
          <w:szCs w:val="24"/>
          <w:lang w:eastAsia="en-GB"/>
        </w:rPr>
        <w:t xml:space="preserve">.  University of North Carolina.  </w:t>
      </w:r>
      <w:r w:rsidRPr="00FB6F31">
        <w:rPr>
          <w:rFonts w:eastAsia="Times New Roman" w:cstheme="minorHAnsi"/>
          <w:sz w:val="24"/>
          <w:szCs w:val="24"/>
          <w:lang w:eastAsia="en-GB"/>
        </w:rPr>
        <w:t>A</w:t>
      </w:r>
      <w:r w:rsidR="007D7420" w:rsidRPr="00FB6F31">
        <w:rPr>
          <w:rFonts w:eastAsia="Times New Roman" w:cstheme="minorHAnsi"/>
          <w:sz w:val="24"/>
          <w:szCs w:val="24"/>
          <w:lang w:eastAsia="en-GB"/>
        </w:rPr>
        <w:t xml:space="preserve">vailable at: </w:t>
      </w:r>
      <w:hyperlink r:id="rId15" w:history="1">
        <w:r w:rsidR="00335C75" w:rsidRPr="00FB6F31">
          <w:rPr>
            <w:color w:val="0000FF"/>
            <w:sz w:val="24"/>
            <w:szCs w:val="24"/>
            <w:u w:val="single"/>
          </w:rPr>
          <w:t>https://grbs.library.duke.edu/index.php/grbs/article/view/11241/4199</w:t>
        </w:r>
      </w:hyperlink>
      <w:r w:rsidRPr="00FB6F31">
        <w:rPr>
          <w:rFonts w:eastAsia="Times New Roman" w:cstheme="minorHAnsi"/>
          <w:sz w:val="24"/>
          <w:szCs w:val="24"/>
          <w:lang w:eastAsia="en-GB"/>
        </w:rPr>
        <w:t xml:space="preserve">  (Accessed 20 Feb. 2023).</w:t>
      </w:r>
    </w:p>
    <w:p w14:paraId="1288EDA6" w14:textId="77777777" w:rsidR="00C10F51" w:rsidRPr="00FB6F31" w:rsidRDefault="00C10F51" w:rsidP="00FB6F31">
      <w:pPr>
        <w:spacing w:after="0" w:line="240" w:lineRule="auto"/>
        <w:rPr>
          <w:rFonts w:eastAsia="Times New Roman" w:cstheme="minorHAnsi"/>
          <w:sz w:val="24"/>
          <w:szCs w:val="24"/>
          <w:lang w:eastAsia="en-GB"/>
        </w:rPr>
      </w:pPr>
    </w:p>
    <w:p w14:paraId="2A11C1FD" w14:textId="77777777" w:rsidR="00C10F51" w:rsidRPr="00FB6F31" w:rsidRDefault="00000000" w:rsidP="00FB6F31">
      <w:pPr>
        <w:spacing w:after="0" w:line="240" w:lineRule="auto"/>
        <w:rPr>
          <w:sz w:val="24"/>
          <w:szCs w:val="24"/>
        </w:rPr>
      </w:pPr>
      <w:r w:rsidRPr="00FB6F31">
        <w:rPr>
          <w:sz w:val="24"/>
          <w:szCs w:val="24"/>
        </w:rPr>
        <w:t xml:space="preserve">Steele, R. B. (1919) The Method of Arrian in the Anabasis. </w:t>
      </w:r>
      <w:r w:rsidRPr="00FB6F31">
        <w:rPr>
          <w:i/>
          <w:iCs/>
          <w:sz w:val="24"/>
          <w:szCs w:val="24"/>
        </w:rPr>
        <w:t xml:space="preserve">Classical Philology, Vol. 14, No. 2, pp. 147-157. </w:t>
      </w:r>
      <w:r w:rsidRPr="00FB6F31">
        <w:rPr>
          <w:sz w:val="24"/>
          <w:szCs w:val="24"/>
        </w:rPr>
        <w:t xml:space="preserve">The University of Chicago Press.  Available at: </w:t>
      </w:r>
      <w:hyperlink r:id="rId16" w:history="1">
        <w:r w:rsidRPr="00FB6F31">
          <w:rPr>
            <w:rStyle w:val="Hyperlink"/>
            <w:sz w:val="24"/>
            <w:szCs w:val="24"/>
          </w:rPr>
          <w:t>https://www.jstor.org/stable/263079</w:t>
        </w:r>
      </w:hyperlink>
      <w:r w:rsidRPr="00FB6F31">
        <w:rPr>
          <w:sz w:val="24"/>
          <w:szCs w:val="24"/>
        </w:rPr>
        <w:t>.  (Accessed 18 Feb. 2023).</w:t>
      </w:r>
    </w:p>
    <w:sectPr w:rsidR="00C10F51" w:rsidRPr="00FB6F31" w:rsidSect="001B21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6174F" w14:textId="77777777" w:rsidR="00A824C5" w:rsidRDefault="00A824C5">
      <w:pPr>
        <w:spacing w:after="0" w:line="240" w:lineRule="auto"/>
      </w:pPr>
      <w:r>
        <w:separator/>
      </w:r>
    </w:p>
  </w:endnote>
  <w:endnote w:type="continuationSeparator" w:id="0">
    <w:p w14:paraId="2B658E7F" w14:textId="77777777" w:rsidR="00A824C5" w:rsidRDefault="00A82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B4C53" w14:textId="77777777" w:rsidR="00A824C5" w:rsidRDefault="00A824C5" w:rsidP="00DF2343">
      <w:pPr>
        <w:spacing w:after="0" w:line="240" w:lineRule="auto"/>
      </w:pPr>
      <w:r>
        <w:separator/>
      </w:r>
    </w:p>
  </w:footnote>
  <w:footnote w:type="continuationSeparator" w:id="0">
    <w:p w14:paraId="7F599FEE" w14:textId="77777777" w:rsidR="00A824C5" w:rsidRDefault="00A824C5" w:rsidP="00DF2343">
      <w:pPr>
        <w:spacing w:after="0" w:line="240" w:lineRule="auto"/>
      </w:pPr>
      <w:r>
        <w:continuationSeparator/>
      </w:r>
    </w:p>
  </w:footnote>
  <w:footnote w:id="1">
    <w:p w14:paraId="0ADE0234" w14:textId="77777777" w:rsidR="007F0704" w:rsidRDefault="00000000">
      <w:pPr>
        <w:pStyle w:val="FootnoteText"/>
      </w:pPr>
      <w:r>
        <w:rPr>
          <w:rStyle w:val="FootnoteReference"/>
        </w:rPr>
        <w:footnoteRef/>
      </w:r>
      <w:r>
        <w:t xml:space="preserve"> </w:t>
      </w:r>
      <w:r w:rsidR="007D7420">
        <w:rPr>
          <w:rStyle w:val="citationstylesgno2wrpf"/>
        </w:rPr>
        <w:t>Anabasis (Xenophon), 2023.</w:t>
      </w:r>
    </w:p>
  </w:footnote>
  <w:footnote w:id="2">
    <w:p w14:paraId="02074EB3" w14:textId="6172F99B" w:rsidR="007F0704" w:rsidRDefault="00000000">
      <w:pPr>
        <w:pStyle w:val="FootnoteText"/>
      </w:pPr>
      <w:r>
        <w:rPr>
          <w:rStyle w:val="FootnoteReference"/>
        </w:rPr>
        <w:footnoteRef/>
      </w:r>
      <w:r>
        <w:t xml:space="preserve"> </w:t>
      </w:r>
      <w:r w:rsidRPr="00361E6B">
        <w:t>Hammond</w:t>
      </w:r>
      <w:r w:rsidR="009E6CA0" w:rsidRPr="00361E6B">
        <w:t>, 2013,</w:t>
      </w:r>
      <w:r w:rsidRPr="00361E6B">
        <w:t xml:space="preserve"> </w:t>
      </w:r>
      <w:r w:rsidR="009E6CA0" w:rsidRPr="00361E6B">
        <w:t>v.</w:t>
      </w:r>
    </w:p>
  </w:footnote>
  <w:footnote w:id="3">
    <w:p w14:paraId="6D62D947" w14:textId="77777777" w:rsidR="007F0704" w:rsidRDefault="00000000">
      <w:pPr>
        <w:pStyle w:val="FootnoteText"/>
      </w:pPr>
      <w:r>
        <w:rPr>
          <w:rStyle w:val="FootnoteReference"/>
        </w:rPr>
        <w:footnoteRef/>
      </w:r>
      <w:r>
        <w:t xml:space="preserve"> Schepens, </w:t>
      </w:r>
      <w:r w:rsidR="00547ED3">
        <w:t>1971</w:t>
      </w:r>
      <w:r>
        <w:t>, p. 254.</w:t>
      </w:r>
    </w:p>
  </w:footnote>
  <w:footnote w:id="4">
    <w:p w14:paraId="0436781A" w14:textId="252EF529" w:rsidR="007F0704" w:rsidRDefault="00000000">
      <w:pPr>
        <w:pStyle w:val="FootnoteText"/>
      </w:pPr>
      <w:r>
        <w:rPr>
          <w:rStyle w:val="FootnoteReference"/>
        </w:rPr>
        <w:footnoteRef/>
      </w:r>
      <w:r>
        <w:t xml:space="preserve"> </w:t>
      </w:r>
      <w:r w:rsidR="00547ED3">
        <w:t xml:space="preserve">Arr. </w:t>
      </w:r>
      <w:proofErr w:type="spellStart"/>
      <w:r w:rsidR="00547ED3">
        <w:t>An</w:t>
      </w:r>
      <w:r w:rsidR="0089521E">
        <w:t>ab</w:t>
      </w:r>
      <w:proofErr w:type="spellEnd"/>
      <w:r w:rsidR="00547ED3">
        <w:t xml:space="preserve">. </w:t>
      </w:r>
      <w:r w:rsidR="00547ED3" w:rsidRPr="00547ED3">
        <w:rPr>
          <w:i/>
          <w:iCs/>
        </w:rPr>
        <w:t xml:space="preserve"> Pref.</w:t>
      </w:r>
    </w:p>
  </w:footnote>
  <w:footnote w:id="5">
    <w:p w14:paraId="38AA38DD" w14:textId="77777777" w:rsidR="007F0704" w:rsidRDefault="00000000">
      <w:pPr>
        <w:pStyle w:val="FootnoteText"/>
      </w:pPr>
      <w:r>
        <w:rPr>
          <w:rStyle w:val="FootnoteReference"/>
        </w:rPr>
        <w:footnoteRef/>
      </w:r>
      <w:r>
        <w:t xml:space="preserve"> Ibid.</w:t>
      </w:r>
    </w:p>
  </w:footnote>
  <w:footnote w:id="6">
    <w:p w14:paraId="755451B2" w14:textId="64E561A1" w:rsidR="007F0704" w:rsidRDefault="00000000">
      <w:pPr>
        <w:pStyle w:val="FootnoteText"/>
      </w:pPr>
      <w:r>
        <w:rPr>
          <w:rStyle w:val="FootnoteReference"/>
        </w:rPr>
        <w:footnoteRef/>
      </w:r>
      <w:r>
        <w:t xml:space="preserve"> </w:t>
      </w:r>
      <w:r w:rsidR="00547ED3">
        <w:t xml:space="preserve">Arr. </w:t>
      </w:r>
      <w:proofErr w:type="spellStart"/>
      <w:r w:rsidR="00547ED3">
        <w:t>An</w:t>
      </w:r>
      <w:r w:rsidR="0089521E">
        <w:t>ab</w:t>
      </w:r>
      <w:proofErr w:type="spellEnd"/>
      <w:r w:rsidR="00547ED3">
        <w:t>. 1.16.1.</w:t>
      </w:r>
    </w:p>
  </w:footnote>
  <w:footnote w:id="7">
    <w:p w14:paraId="3ECF0A95" w14:textId="685F74E3" w:rsidR="007F0704" w:rsidRDefault="00000000">
      <w:pPr>
        <w:pStyle w:val="FootnoteText"/>
      </w:pPr>
      <w:r>
        <w:rPr>
          <w:rStyle w:val="FootnoteReference"/>
        </w:rPr>
        <w:footnoteRef/>
      </w:r>
      <w:r>
        <w:t xml:space="preserve"> </w:t>
      </w:r>
      <w:r w:rsidR="00547ED3">
        <w:t xml:space="preserve">Arr. </w:t>
      </w:r>
      <w:proofErr w:type="spellStart"/>
      <w:r w:rsidR="00547ED3">
        <w:t>An</w:t>
      </w:r>
      <w:r w:rsidR="0089521E">
        <w:t>ab</w:t>
      </w:r>
      <w:proofErr w:type="spellEnd"/>
      <w:r w:rsidR="00547ED3">
        <w:t xml:space="preserve">. </w:t>
      </w:r>
      <w:r w:rsidR="00547ED3" w:rsidRPr="00547ED3">
        <w:rPr>
          <w:i/>
          <w:iCs/>
        </w:rPr>
        <w:t xml:space="preserve"> Pref</w:t>
      </w:r>
      <w:r w:rsidR="00547ED3">
        <w:t>.</w:t>
      </w:r>
    </w:p>
  </w:footnote>
  <w:footnote w:id="8">
    <w:p w14:paraId="27D5C5C8" w14:textId="77777777" w:rsidR="00A4729F" w:rsidRPr="00A4729F" w:rsidRDefault="00000000">
      <w:pPr>
        <w:pStyle w:val="FootnoteText"/>
        <w:rPr>
          <w:i/>
          <w:iCs/>
        </w:rPr>
      </w:pPr>
      <w:r>
        <w:rPr>
          <w:rStyle w:val="FootnoteReference"/>
        </w:rPr>
        <w:footnoteRef/>
      </w:r>
      <w:r>
        <w:t xml:space="preserve"> Bosworth, 1972, p. 163-8</w:t>
      </w:r>
      <w:r>
        <w:rPr>
          <w:rFonts w:eastAsia="Times New Roman" w:cstheme="minorHAnsi"/>
          <w:bCs/>
          <w:color w:val="000000"/>
          <w:sz w:val="24"/>
          <w:szCs w:val="24"/>
          <w:lang w:eastAsia="en-GB"/>
        </w:rPr>
        <w:t>.</w:t>
      </w:r>
    </w:p>
  </w:footnote>
  <w:footnote w:id="9">
    <w:p w14:paraId="4F11405A" w14:textId="77777777" w:rsidR="00A4729F" w:rsidRDefault="00000000">
      <w:pPr>
        <w:pStyle w:val="FootnoteText"/>
      </w:pPr>
      <w:r>
        <w:rPr>
          <w:rStyle w:val="FootnoteReference"/>
        </w:rPr>
        <w:footnoteRef/>
      </w:r>
      <w:r>
        <w:t xml:space="preserve"> </w:t>
      </w:r>
      <w:r w:rsidR="00547ED3">
        <w:t>Ibid</w:t>
      </w:r>
      <w:r>
        <w:t>, p. 178.</w:t>
      </w:r>
    </w:p>
  </w:footnote>
  <w:footnote w:id="10">
    <w:p w14:paraId="63DEAD76" w14:textId="77777777" w:rsidR="00A4729F" w:rsidRDefault="00000000">
      <w:pPr>
        <w:pStyle w:val="FootnoteText"/>
      </w:pPr>
      <w:r>
        <w:rPr>
          <w:rStyle w:val="FootnoteReference"/>
        </w:rPr>
        <w:footnoteRef/>
      </w:r>
      <w:r>
        <w:t xml:space="preserve"> </w:t>
      </w:r>
      <w:r w:rsidR="00547ED3">
        <w:t>Ibid</w:t>
      </w:r>
      <w:r>
        <w:t>, p. 168.</w:t>
      </w:r>
    </w:p>
  </w:footnote>
  <w:footnote w:id="11">
    <w:p w14:paraId="70B16FDD" w14:textId="77777777" w:rsidR="00A4729F" w:rsidRDefault="00000000">
      <w:pPr>
        <w:pStyle w:val="FootnoteText"/>
      </w:pPr>
      <w:r>
        <w:rPr>
          <w:rStyle w:val="FootnoteReference"/>
        </w:rPr>
        <w:footnoteRef/>
      </w:r>
      <w:r>
        <w:t xml:space="preserve"> Stadter, </w:t>
      </w:r>
      <w:r w:rsidR="00335C75">
        <w:t xml:space="preserve">1967, </w:t>
      </w:r>
      <w:r>
        <w:t>p. 155.</w:t>
      </w:r>
    </w:p>
  </w:footnote>
  <w:footnote w:id="12">
    <w:p w14:paraId="621D75FB" w14:textId="715D1EB6" w:rsidR="00A4729F" w:rsidRDefault="00000000">
      <w:pPr>
        <w:pStyle w:val="FootnoteText"/>
      </w:pPr>
      <w:r>
        <w:rPr>
          <w:rStyle w:val="FootnoteReference"/>
        </w:rPr>
        <w:footnoteRef/>
      </w:r>
      <w:r>
        <w:t xml:space="preserve"> </w:t>
      </w:r>
      <w:r w:rsidRPr="00361E6B">
        <w:t>Hammond,</w:t>
      </w:r>
      <w:r w:rsidR="00547ED3" w:rsidRPr="00361E6B">
        <w:t xml:space="preserve"> 2013,</w:t>
      </w:r>
      <w:r w:rsidRPr="00361E6B">
        <w:t xml:space="preserve"> </w:t>
      </w:r>
      <w:r w:rsidR="00361E6B" w:rsidRPr="00361E6B">
        <w:t>v</w:t>
      </w:r>
    </w:p>
  </w:footnote>
  <w:footnote w:id="13">
    <w:p w14:paraId="1F441266" w14:textId="77777777" w:rsidR="00A4729F" w:rsidRDefault="00000000">
      <w:pPr>
        <w:pStyle w:val="FootnoteText"/>
      </w:pPr>
      <w:r>
        <w:rPr>
          <w:rStyle w:val="FootnoteReference"/>
        </w:rPr>
        <w:footnoteRef/>
      </w:r>
      <w:r>
        <w:t xml:space="preserve"> Steele, </w:t>
      </w:r>
      <w:r w:rsidR="00A95C16">
        <w:t xml:space="preserve">1919, </w:t>
      </w:r>
      <w:r>
        <w:t>p. 147.</w:t>
      </w:r>
    </w:p>
  </w:footnote>
  <w:footnote w:id="14">
    <w:p w14:paraId="1182A255" w14:textId="6AB718D4" w:rsidR="00A4729F" w:rsidRPr="008C1C95" w:rsidRDefault="00000000">
      <w:pPr>
        <w:pStyle w:val="FootnoteText"/>
      </w:pPr>
      <w:r>
        <w:rPr>
          <w:rStyle w:val="FootnoteReference"/>
        </w:rPr>
        <w:footnoteRef/>
      </w:r>
      <w:r w:rsidRPr="008C1C95">
        <w:t xml:space="preserve"> </w:t>
      </w:r>
      <w:r w:rsidR="008B6CBC" w:rsidRPr="008C1C95">
        <w:t>A</w:t>
      </w:r>
      <w:r w:rsidR="00547ED3" w:rsidRPr="008C1C95">
        <w:t>r</w:t>
      </w:r>
      <w:r w:rsidR="008B6CBC" w:rsidRPr="008C1C95">
        <w:t xml:space="preserve">r. </w:t>
      </w:r>
      <w:proofErr w:type="spellStart"/>
      <w:r w:rsidR="008B6CBC" w:rsidRPr="008C1C95">
        <w:t>An</w:t>
      </w:r>
      <w:r w:rsidR="0089521E">
        <w:t>ab</w:t>
      </w:r>
      <w:proofErr w:type="spellEnd"/>
      <w:r w:rsidR="008B6CBC" w:rsidRPr="008C1C95">
        <w:t>. 1.16.2.</w:t>
      </w:r>
    </w:p>
  </w:footnote>
  <w:footnote w:id="15">
    <w:p w14:paraId="5B9A5119" w14:textId="71169489" w:rsidR="00A4729F" w:rsidRPr="00C12688" w:rsidRDefault="00000000">
      <w:pPr>
        <w:pStyle w:val="FootnoteText"/>
        <w:rPr>
          <w:highlight w:val="yellow"/>
        </w:rPr>
      </w:pPr>
      <w:r>
        <w:rPr>
          <w:rStyle w:val="FootnoteReference"/>
        </w:rPr>
        <w:footnoteRef/>
      </w:r>
      <w:r w:rsidRPr="008B6CBC">
        <w:t xml:space="preserve"> </w:t>
      </w:r>
      <w:proofErr w:type="spellStart"/>
      <w:r w:rsidRPr="008528A1">
        <w:rPr>
          <w:rFonts w:cstheme="minorHAnsi"/>
        </w:rPr>
        <w:t>D</w:t>
      </w:r>
      <w:r w:rsidR="008528A1" w:rsidRPr="008528A1">
        <w:rPr>
          <w:rFonts w:cstheme="minorHAnsi"/>
        </w:rPr>
        <w:t>iod</w:t>
      </w:r>
      <w:proofErr w:type="spellEnd"/>
      <w:r w:rsidR="008528A1" w:rsidRPr="008528A1">
        <w:rPr>
          <w:rFonts w:cstheme="minorHAnsi"/>
        </w:rPr>
        <w:t>. 17</w:t>
      </w:r>
      <w:r w:rsidRPr="008528A1">
        <w:rPr>
          <w:rFonts w:cstheme="minorHAnsi"/>
        </w:rPr>
        <w:t>.21.6.</w:t>
      </w:r>
    </w:p>
  </w:footnote>
  <w:footnote w:id="16">
    <w:p w14:paraId="4A260B17" w14:textId="2BBF1E36" w:rsidR="00A4729F" w:rsidRDefault="00000000">
      <w:pPr>
        <w:pStyle w:val="FootnoteText"/>
      </w:pPr>
      <w:r w:rsidRPr="009E07DD">
        <w:rPr>
          <w:rStyle w:val="FootnoteReference"/>
        </w:rPr>
        <w:footnoteRef/>
      </w:r>
      <w:r w:rsidRPr="009E07DD">
        <w:t xml:space="preserve"> Bosworth, </w:t>
      </w:r>
      <w:r w:rsidR="009E07DD" w:rsidRPr="009E07DD">
        <w:t>1980</w:t>
      </w:r>
      <w:r w:rsidRPr="009E07DD">
        <w:t>, p.</w:t>
      </w:r>
      <w:r w:rsidR="009E07DD">
        <w:t xml:space="preserve"> </w:t>
      </w:r>
      <w:r w:rsidRPr="009E07DD">
        <w:t>124.</w:t>
      </w:r>
    </w:p>
  </w:footnote>
  <w:footnote w:id="17">
    <w:p w14:paraId="3084577C" w14:textId="7CBD6E46" w:rsidR="00A4729F" w:rsidRPr="0089521E" w:rsidRDefault="00000000">
      <w:pPr>
        <w:pStyle w:val="FootnoteText"/>
      </w:pPr>
      <w:r>
        <w:rPr>
          <w:rStyle w:val="FootnoteReference"/>
        </w:rPr>
        <w:footnoteRef/>
      </w:r>
      <w:r w:rsidRPr="0089521E">
        <w:t xml:space="preserve"> </w:t>
      </w:r>
      <w:r w:rsidR="008B6CBC" w:rsidRPr="0089521E">
        <w:t>A</w:t>
      </w:r>
      <w:r w:rsidR="00C12688" w:rsidRPr="0089521E">
        <w:t>r</w:t>
      </w:r>
      <w:r w:rsidR="008B6CBC" w:rsidRPr="0089521E">
        <w:t xml:space="preserve">r. </w:t>
      </w:r>
      <w:proofErr w:type="spellStart"/>
      <w:r w:rsidR="008B6CBC" w:rsidRPr="0089521E">
        <w:t>An</w:t>
      </w:r>
      <w:r w:rsidR="0089521E" w:rsidRPr="0089521E">
        <w:t>ab</w:t>
      </w:r>
      <w:proofErr w:type="spellEnd"/>
      <w:r w:rsidR="008B6CBC" w:rsidRPr="0089521E">
        <w:t>. 1.16.2</w:t>
      </w:r>
      <w:r w:rsidR="00C12688" w:rsidRPr="0089521E">
        <w:t>.</w:t>
      </w:r>
    </w:p>
  </w:footnote>
  <w:footnote w:id="18">
    <w:p w14:paraId="601CF9A0" w14:textId="4A3E75D8" w:rsidR="008B5038" w:rsidRPr="008C1C95" w:rsidRDefault="00000000">
      <w:pPr>
        <w:pStyle w:val="FootnoteText"/>
        <w:rPr>
          <w:lang w:val="de-DE"/>
        </w:rPr>
      </w:pPr>
      <w:r>
        <w:rPr>
          <w:rStyle w:val="FootnoteReference"/>
        </w:rPr>
        <w:footnoteRef/>
      </w:r>
      <w:r w:rsidRPr="008C1C95">
        <w:rPr>
          <w:lang w:val="de-DE"/>
        </w:rPr>
        <w:t xml:space="preserve"> </w:t>
      </w:r>
      <w:proofErr w:type="spellStart"/>
      <w:r w:rsidR="00C12688" w:rsidRPr="008C1C95">
        <w:rPr>
          <w:lang w:val="de-DE"/>
        </w:rPr>
        <w:t>Arr</w:t>
      </w:r>
      <w:proofErr w:type="spellEnd"/>
      <w:r w:rsidR="00C12688" w:rsidRPr="008C1C95">
        <w:rPr>
          <w:lang w:val="de-DE"/>
        </w:rPr>
        <w:t xml:space="preserve">. </w:t>
      </w:r>
      <w:proofErr w:type="spellStart"/>
      <w:r w:rsidR="00C12688" w:rsidRPr="008C1C95">
        <w:rPr>
          <w:lang w:val="de-DE"/>
        </w:rPr>
        <w:t>An</w:t>
      </w:r>
      <w:r w:rsidR="0089521E">
        <w:rPr>
          <w:lang w:val="de-DE"/>
        </w:rPr>
        <w:t>ab</w:t>
      </w:r>
      <w:proofErr w:type="spellEnd"/>
      <w:r w:rsidR="00C12688" w:rsidRPr="008C1C95">
        <w:rPr>
          <w:lang w:val="de-DE"/>
        </w:rPr>
        <w:t>. 1.14.4.</w:t>
      </w:r>
    </w:p>
  </w:footnote>
  <w:footnote w:id="19">
    <w:p w14:paraId="52A15733" w14:textId="77777777" w:rsidR="008B5038" w:rsidRPr="008C1C95" w:rsidRDefault="00000000">
      <w:pPr>
        <w:pStyle w:val="FootnoteText"/>
        <w:rPr>
          <w:lang w:val="de-DE"/>
        </w:rPr>
      </w:pPr>
      <w:r>
        <w:rPr>
          <w:rStyle w:val="FootnoteReference"/>
        </w:rPr>
        <w:footnoteRef/>
      </w:r>
      <w:r w:rsidRPr="008C1C95">
        <w:rPr>
          <w:lang w:val="de-DE"/>
        </w:rPr>
        <w:t xml:space="preserve"> </w:t>
      </w:r>
      <w:proofErr w:type="spellStart"/>
      <w:r w:rsidRPr="008C1C95">
        <w:rPr>
          <w:lang w:val="de-DE"/>
        </w:rPr>
        <w:t>Devine</w:t>
      </w:r>
      <w:proofErr w:type="spellEnd"/>
      <w:r w:rsidRPr="008C1C95">
        <w:rPr>
          <w:lang w:val="de-DE"/>
        </w:rPr>
        <w:t>, 1986, p. 276.</w:t>
      </w:r>
    </w:p>
  </w:footnote>
  <w:footnote w:id="20">
    <w:p w14:paraId="129B24D5" w14:textId="77777777" w:rsidR="008B5038" w:rsidRDefault="00000000">
      <w:pPr>
        <w:pStyle w:val="FootnoteText"/>
      </w:pPr>
      <w:r>
        <w:rPr>
          <w:rStyle w:val="FootnoteReference"/>
        </w:rPr>
        <w:footnoteRef/>
      </w:r>
      <w:r>
        <w:t xml:space="preserve"> </w:t>
      </w:r>
      <w:r w:rsidR="00335C75">
        <w:t>Ibid</w:t>
      </w:r>
      <w:r>
        <w:t>, p. 277.</w:t>
      </w:r>
    </w:p>
  </w:footnote>
  <w:footnote w:id="21">
    <w:p w14:paraId="64E0C908" w14:textId="77777777" w:rsidR="008B5038" w:rsidRDefault="00000000">
      <w:pPr>
        <w:pStyle w:val="FootnoteText"/>
      </w:pPr>
      <w:r>
        <w:rPr>
          <w:rStyle w:val="FootnoteReference"/>
        </w:rPr>
        <w:footnoteRef/>
      </w:r>
      <w:r>
        <w:t xml:space="preserve"> Ibid, p. 267.</w:t>
      </w:r>
    </w:p>
  </w:footnote>
  <w:footnote w:id="22">
    <w:p w14:paraId="1E8D26F4" w14:textId="77777777" w:rsidR="008B5038" w:rsidRDefault="00000000">
      <w:pPr>
        <w:pStyle w:val="FootnoteText"/>
      </w:pPr>
      <w:r>
        <w:rPr>
          <w:rStyle w:val="FootnoteReference"/>
        </w:rPr>
        <w:footnoteRef/>
      </w:r>
      <w:r>
        <w:t xml:space="preserve"> Bosworth, </w:t>
      </w:r>
      <w:r w:rsidR="00A95C16">
        <w:t>1976</w:t>
      </w:r>
      <w:r>
        <w:t>, p. 1</w:t>
      </w:r>
      <w:r w:rsidR="008B6CBC">
        <w:t>17.</w:t>
      </w:r>
    </w:p>
  </w:footnote>
  <w:footnote w:id="23">
    <w:p w14:paraId="281C1976" w14:textId="613894C7" w:rsidR="008B6CBC" w:rsidRPr="008C1C95" w:rsidRDefault="00000000">
      <w:pPr>
        <w:pStyle w:val="FootnoteText"/>
        <w:rPr>
          <w:lang w:val="de-DE"/>
        </w:rPr>
      </w:pPr>
      <w:r>
        <w:rPr>
          <w:rStyle w:val="FootnoteReference"/>
        </w:rPr>
        <w:footnoteRef/>
      </w:r>
      <w:r w:rsidRPr="008C1C95">
        <w:rPr>
          <w:lang w:val="de-DE"/>
        </w:rPr>
        <w:t xml:space="preserve"> </w:t>
      </w:r>
      <w:proofErr w:type="spellStart"/>
      <w:r w:rsidR="00C027BC">
        <w:rPr>
          <w:lang w:val="de-DE"/>
        </w:rPr>
        <w:t>Arr</w:t>
      </w:r>
      <w:proofErr w:type="spellEnd"/>
      <w:r w:rsidR="00C027BC">
        <w:rPr>
          <w:lang w:val="de-DE"/>
        </w:rPr>
        <w:t xml:space="preserve">. </w:t>
      </w:r>
      <w:proofErr w:type="spellStart"/>
      <w:r w:rsidR="00C027BC">
        <w:rPr>
          <w:lang w:val="de-DE"/>
        </w:rPr>
        <w:t>An</w:t>
      </w:r>
      <w:r w:rsidR="0089521E">
        <w:rPr>
          <w:lang w:val="de-DE"/>
        </w:rPr>
        <w:t>ab</w:t>
      </w:r>
      <w:proofErr w:type="spellEnd"/>
      <w:r w:rsidR="00C027BC">
        <w:rPr>
          <w:lang w:val="de-DE"/>
        </w:rPr>
        <w:t xml:space="preserve">. 1.16.2. </w:t>
      </w:r>
    </w:p>
  </w:footnote>
  <w:footnote w:id="24">
    <w:p w14:paraId="59098DE5" w14:textId="77777777" w:rsidR="008B6CBC" w:rsidRPr="008C1C95" w:rsidRDefault="00000000">
      <w:pPr>
        <w:pStyle w:val="FootnoteText"/>
        <w:rPr>
          <w:lang w:val="de-DE"/>
        </w:rPr>
      </w:pPr>
      <w:r>
        <w:rPr>
          <w:rStyle w:val="FootnoteReference"/>
        </w:rPr>
        <w:footnoteRef/>
      </w:r>
      <w:r w:rsidRPr="008C1C95">
        <w:rPr>
          <w:lang w:val="de-DE"/>
        </w:rPr>
        <w:t xml:space="preserve"> </w:t>
      </w:r>
      <w:proofErr w:type="spellStart"/>
      <w:r w:rsidRPr="008C1C95">
        <w:rPr>
          <w:lang w:val="de-DE"/>
        </w:rPr>
        <w:t>Devine</w:t>
      </w:r>
      <w:proofErr w:type="spellEnd"/>
      <w:r w:rsidRPr="008C1C95">
        <w:rPr>
          <w:lang w:val="de-DE"/>
        </w:rPr>
        <w:t>, 1986, p. 272.</w:t>
      </w:r>
    </w:p>
  </w:footnote>
  <w:footnote w:id="25">
    <w:p w14:paraId="5E9575B6" w14:textId="5845DD71" w:rsidR="008B6CBC" w:rsidRPr="008C1C95" w:rsidRDefault="00000000">
      <w:pPr>
        <w:pStyle w:val="FootnoteText"/>
        <w:rPr>
          <w:lang w:val="de-DE"/>
        </w:rPr>
      </w:pPr>
      <w:r>
        <w:rPr>
          <w:rStyle w:val="FootnoteReference"/>
        </w:rPr>
        <w:footnoteRef/>
      </w:r>
      <w:r w:rsidRPr="008C1C95">
        <w:rPr>
          <w:lang w:val="de-DE"/>
        </w:rPr>
        <w:t xml:space="preserve"> </w:t>
      </w:r>
      <w:proofErr w:type="spellStart"/>
      <w:r w:rsidRPr="008C1C95">
        <w:rPr>
          <w:lang w:val="de-DE"/>
        </w:rPr>
        <w:t>A</w:t>
      </w:r>
      <w:r w:rsidR="00A95C16" w:rsidRPr="008C1C95">
        <w:rPr>
          <w:lang w:val="de-DE"/>
        </w:rPr>
        <w:t>r</w:t>
      </w:r>
      <w:r w:rsidRPr="008C1C95">
        <w:rPr>
          <w:lang w:val="de-DE"/>
        </w:rPr>
        <w:t>r</w:t>
      </w:r>
      <w:proofErr w:type="spellEnd"/>
      <w:r w:rsidRPr="008C1C95">
        <w:rPr>
          <w:lang w:val="de-DE"/>
        </w:rPr>
        <w:t xml:space="preserve">. </w:t>
      </w:r>
      <w:proofErr w:type="spellStart"/>
      <w:r w:rsidRPr="008C1C95">
        <w:rPr>
          <w:lang w:val="de-DE"/>
        </w:rPr>
        <w:t>An</w:t>
      </w:r>
      <w:r w:rsidR="0089521E">
        <w:rPr>
          <w:lang w:val="de-DE"/>
        </w:rPr>
        <w:t>ab</w:t>
      </w:r>
      <w:proofErr w:type="spellEnd"/>
      <w:r w:rsidRPr="008C1C95">
        <w:rPr>
          <w:lang w:val="de-DE"/>
        </w:rPr>
        <w:t>. 1.16.2.</w:t>
      </w:r>
    </w:p>
  </w:footnote>
  <w:footnote w:id="26">
    <w:p w14:paraId="26D1BA0F" w14:textId="77777777" w:rsidR="008B6CBC" w:rsidRDefault="00000000">
      <w:pPr>
        <w:pStyle w:val="FootnoteText"/>
      </w:pPr>
      <w:r>
        <w:rPr>
          <w:rStyle w:val="FootnoteReference"/>
        </w:rPr>
        <w:footnoteRef/>
      </w:r>
      <w:r>
        <w:t xml:space="preserve"> </w:t>
      </w:r>
      <w:proofErr w:type="spellStart"/>
      <w:r>
        <w:t>Plut</w:t>
      </w:r>
      <w:proofErr w:type="spellEnd"/>
      <w:r>
        <w:t>.  Alex.  16.6.</w:t>
      </w:r>
    </w:p>
  </w:footnote>
  <w:footnote w:id="27">
    <w:p w14:paraId="56DB9D5A" w14:textId="77777777" w:rsidR="008B6CBC" w:rsidRDefault="00000000">
      <w:pPr>
        <w:pStyle w:val="FootnoteText"/>
      </w:pPr>
      <w:r>
        <w:rPr>
          <w:rStyle w:val="FootnoteReference"/>
        </w:rPr>
        <w:footnoteRef/>
      </w:r>
      <w:r>
        <w:t xml:space="preserve"> Plut.  Alex.  16.7.</w:t>
      </w:r>
    </w:p>
  </w:footnote>
  <w:footnote w:id="28">
    <w:p w14:paraId="42305F9C" w14:textId="77777777" w:rsidR="008B6CBC" w:rsidRDefault="00000000">
      <w:pPr>
        <w:pStyle w:val="FootnoteText"/>
      </w:pPr>
      <w:r>
        <w:rPr>
          <w:rStyle w:val="FootnoteReference"/>
        </w:rPr>
        <w:footnoteRef/>
      </w:r>
      <w:r>
        <w:t xml:space="preserve"> Bosworth, </w:t>
      </w:r>
      <w:r w:rsidR="00A95C16">
        <w:t>1976</w:t>
      </w:r>
      <w:r>
        <w:t>, p. 119.</w:t>
      </w:r>
    </w:p>
  </w:footnote>
  <w:footnote w:id="29">
    <w:p w14:paraId="54D0BC50" w14:textId="28213914" w:rsidR="008B6CBC" w:rsidRDefault="00000000">
      <w:pPr>
        <w:pStyle w:val="FootnoteText"/>
      </w:pPr>
      <w:r>
        <w:rPr>
          <w:rStyle w:val="FootnoteReference"/>
        </w:rPr>
        <w:footnoteRef/>
      </w:r>
      <w:r>
        <w:t xml:space="preserve"> Arr</w:t>
      </w:r>
      <w:r w:rsidR="00A95C16">
        <w:t xml:space="preserve">. </w:t>
      </w:r>
      <w:proofErr w:type="spellStart"/>
      <w:r w:rsidR="00A95C16">
        <w:t>An</w:t>
      </w:r>
      <w:r w:rsidR="0089521E">
        <w:t>ab</w:t>
      </w:r>
      <w:proofErr w:type="spellEnd"/>
      <w:r w:rsidR="00A95C16">
        <w:t>.</w:t>
      </w:r>
      <w:r>
        <w:t xml:space="preserve"> </w:t>
      </w:r>
      <w:r w:rsidRPr="00A95C16">
        <w:rPr>
          <w:i/>
          <w:iCs/>
        </w:rPr>
        <w:t xml:space="preserve"> Pref.</w:t>
      </w:r>
      <w:r>
        <w:t xml:space="preserve"> </w:t>
      </w:r>
    </w:p>
  </w:footnote>
  <w:footnote w:id="30">
    <w:p w14:paraId="66D51E54" w14:textId="77777777" w:rsidR="008B6CBC" w:rsidRDefault="00000000">
      <w:pPr>
        <w:pStyle w:val="FootnoteText"/>
      </w:pPr>
      <w:r>
        <w:rPr>
          <w:rStyle w:val="FootnoteReference"/>
        </w:rPr>
        <w:footnoteRef/>
      </w:r>
      <w:r>
        <w:t xml:space="preserve"> Ibid.</w:t>
      </w:r>
    </w:p>
  </w:footnote>
  <w:footnote w:id="31">
    <w:p w14:paraId="18F9717B" w14:textId="77777777" w:rsidR="008B6CBC" w:rsidRDefault="00000000">
      <w:pPr>
        <w:pStyle w:val="FootnoteText"/>
      </w:pPr>
      <w:r>
        <w:rPr>
          <w:rStyle w:val="FootnoteReference"/>
        </w:rPr>
        <w:footnoteRef/>
      </w:r>
      <w:r>
        <w:t xml:space="preserve"> Bosworth, </w:t>
      </w:r>
      <w:r w:rsidR="00A95C16">
        <w:t>1976</w:t>
      </w:r>
      <w:r>
        <w:t>, p. 126.</w:t>
      </w:r>
    </w:p>
  </w:footnote>
  <w:footnote w:id="32">
    <w:p w14:paraId="348343EA" w14:textId="77777777" w:rsidR="008B6CBC" w:rsidRDefault="00000000">
      <w:pPr>
        <w:pStyle w:val="FootnoteText"/>
      </w:pPr>
      <w:r>
        <w:rPr>
          <w:rStyle w:val="FootnoteReference"/>
        </w:rPr>
        <w:footnoteRef/>
      </w:r>
      <w:r>
        <w:t xml:space="preserve"> Lonsdale, </w:t>
      </w:r>
      <w:r w:rsidR="005A78A4">
        <w:t xml:space="preserve">2004, </w:t>
      </w:r>
      <w:r>
        <w:t>p. 76.</w:t>
      </w:r>
    </w:p>
  </w:footnote>
  <w:footnote w:id="33">
    <w:p w14:paraId="2AD145BF" w14:textId="56707ECE" w:rsidR="008B6CBC" w:rsidRDefault="00000000">
      <w:pPr>
        <w:pStyle w:val="FootnoteText"/>
      </w:pPr>
      <w:r>
        <w:rPr>
          <w:rStyle w:val="FootnoteReference"/>
        </w:rPr>
        <w:footnoteRef/>
      </w:r>
      <w:r>
        <w:t xml:space="preserve"> Arr. </w:t>
      </w:r>
      <w:proofErr w:type="spellStart"/>
      <w:r>
        <w:t>An</w:t>
      </w:r>
      <w:r w:rsidR="0089521E">
        <w:t>ab</w:t>
      </w:r>
      <w:proofErr w:type="spellEnd"/>
      <w:r>
        <w:t>. 1.16.1.</w:t>
      </w:r>
    </w:p>
  </w:footnote>
  <w:footnote w:id="34">
    <w:p w14:paraId="396D6CC8" w14:textId="3889F49B" w:rsidR="00C10F51" w:rsidRDefault="00000000">
      <w:pPr>
        <w:pStyle w:val="FootnoteText"/>
      </w:pPr>
      <w:r>
        <w:rPr>
          <w:rStyle w:val="FootnoteReference"/>
        </w:rPr>
        <w:footnoteRef/>
      </w:r>
      <w:r>
        <w:t xml:space="preserve"> Ibid. </w:t>
      </w:r>
    </w:p>
  </w:footnote>
  <w:footnote w:id="35">
    <w:p w14:paraId="35F2F791" w14:textId="77777777" w:rsidR="00C10F51" w:rsidRPr="009E07DD" w:rsidRDefault="00000000">
      <w:pPr>
        <w:pStyle w:val="FootnoteText"/>
        <w:rPr>
          <w:lang w:val="fr-FR"/>
        </w:rPr>
      </w:pPr>
      <w:r>
        <w:rPr>
          <w:rStyle w:val="FootnoteReference"/>
        </w:rPr>
        <w:footnoteRef/>
      </w:r>
      <w:r w:rsidRPr="009E07DD">
        <w:rPr>
          <w:lang w:val="fr-FR"/>
        </w:rPr>
        <w:t xml:space="preserve"> Devine, </w:t>
      </w:r>
      <w:r w:rsidR="00335C75" w:rsidRPr="009E07DD">
        <w:rPr>
          <w:lang w:val="fr-FR"/>
        </w:rPr>
        <w:t xml:space="preserve">1986, </w:t>
      </w:r>
      <w:r w:rsidRPr="009E07DD">
        <w:rPr>
          <w:lang w:val="fr-FR"/>
        </w:rPr>
        <w:t>p. 275.</w:t>
      </w:r>
    </w:p>
  </w:footnote>
  <w:footnote w:id="36">
    <w:p w14:paraId="45105762" w14:textId="648C2633" w:rsidR="00C10F51" w:rsidRPr="009E07DD" w:rsidRDefault="00000000">
      <w:pPr>
        <w:pStyle w:val="FootnoteText"/>
        <w:rPr>
          <w:lang w:val="fr-FR"/>
        </w:rPr>
      </w:pPr>
      <w:r>
        <w:rPr>
          <w:rStyle w:val="FootnoteReference"/>
        </w:rPr>
        <w:footnoteRef/>
      </w:r>
      <w:r w:rsidRPr="009E07DD">
        <w:rPr>
          <w:lang w:val="fr-FR"/>
        </w:rPr>
        <w:t xml:space="preserve"> Arr. </w:t>
      </w:r>
      <w:proofErr w:type="spellStart"/>
      <w:r w:rsidRPr="009E07DD">
        <w:rPr>
          <w:lang w:val="fr-FR"/>
        </w:rPr>
        <w:t>An</w:t>
      </w:r>
      <w:r w:rsidR="0089521E">
        <w:rPr>
          <w:lang w:val="fr-FR"/>
        </w:rPr>
        <w:t>ab</w:t>
      </w:r>
      <w:proofErr w:type="spellEnd"/>
      <w:r w:rsidRPr="009E07DD">
        <w:rPr>
          <w:lang w:val="fr-FR"/>
        </w:rPr>
        <w:t>. 1.16.2.</w:t>
      </w:r>
    </w:p>
  </w:footnote>
  <w:footnote w:id="37">
    <w:p w14:paraId="1EF51F0C" w14:textId="77777777" w:rsidR="00C10F51" w:rsidRPr="009E07DD" w:rsidRDefault="00000000">
      <w:pPr>
        <w:pStyle w:val="FootnoteText"/>
        <w:rPr>
          <w:lang w:val="fr-FR"/>
        </w:rPr>
      </w:pPr>
      <w:r>
        <w:rPr>
          <w:rStyle w:val="FootnoteReference"/>
        </w:rPr>
        <w:footnoteRef/>
      </w:r>
      <w:r w:rsidRPr="009E07DD">
        <w:rPr>
          <w:lang w:val="fr-FR"/>
        </w:rPr>
        <w:t xml:space="preserve"> </w:t>
      </w:r>
      <w:proofErr w:type="spellStart"/>
      <w:r w:rsidRPr="009E07DD">
        <w:rPr>
          <w:lang w:val="fr-FR"/>
        </w:rPr>
        <w:t>Lonsdale</w:t>
      </w:r>
      <w:proofErr w:type="spellEnd"/>
      <w:r w:rsidRPr="009E07DD">
        <w:rPr>
          <w:lang w:val="fr-FR"/>
        </w:rPr>
        <w:t xml:space="preserve">, </w:t>
      </w:r>
      <w:r w:rsidR="005A78A4" w:rsidRPr="009E07DD">
        <w:rPr>
          <w:lang w:val="fr-FR"/>
        </w:rPr>
        <w:t xml:space="preserve">2004, </w:t>
      </w:r>
      <w:r w:rsidRPr="009E07DD">
        <w:rPr>
          <w:lang w:val="fr-FR"/>
        </w:rPr>
        <w:t>p. 82.</w:t>
      </w:r>
    </w:p>
  </w:footnote>
  <w:footnote w:id="38">
    <w:p w14:paraId="3CB4DE09" w14:textId="77777777" w:rsidR="00C10F51" w:rsidRPr="009E07DD" w:rsidRDefault="00000000">
      <w:pPr>
        <w:pStyle w:val="FootnoteText"/>
        <w:rPr>
          <w:lang w:val="fr-FR"/>
        </w:rPr>
      </w:pPr>
      <w:r>
        <w:rPr>
          <w:rStyle w:val="FootnoteReference"/>
        </w:rPr>
        <w:footnoteRef/>
      </w:r>
      <w:r w:rsidRPr="009E07DD">
        <w:rPr>
          <w:lang w:val="fr-FR"/>
        </w:rPr>
        <w:t xml:space="preserve"> </w:t>
      </w:r>
      <w:proofErr w:type="spellStart"/>
      <w:r w:rsidRPr="009E07DD">
        <w:rPr>
          <w:lang w:val="fr-FR"/>
        </w:rPr>
        <w:t>Schepens</w:t>
      </w:r>
      <w:proofErr w:type="spellEnd"/>
      <w:r w:rsidRPr="009E07DD">
        <w:rPr>
          <w:lang w:val="fr-FR"/>
        </w:rPr>
        <w:t xml:space="preserve">, </w:t>
      </w:r>
      <w:r w:rsidR="00335C75" w:rsidRPr="009E07DD">
        <w:rPr>
          <w:lang w:val="fr-FR"/>
        </w:rPr>
        <w:t xml:space="preserve">1971, </w:t>
      </w:r>
      <w:r w:rsidRPr="009E07DD">
        <w:rPr>
          <w:lang w:val="fr-FR"/>
        </w:rPr>
        <w:t>p. 263.</w:t>
      </w:r>
    </w:p>
  </w:footnote>
  <w:footnote w:id="39">
    <w:p w14:paraId="01B6CE79" w14:textId="7AB8184D" w:rsidR="00C10F51" w:rsidRPr="009E07DD" w:rsidRDefault="00000000" w:rsidP="0073313E">
      <w:pPr>
        <w:pStyle w:val="FootnoteText"/>
        <w:rPr>
          <w:lang w:val="fr-FR"/>
        </w:rPr>
      </w:pPr>
      <w:r>
        <w:rPr>
          <w:rStyle w:val="FootnoteReference"/>
        </w:rPr>
        <w:footnoteRef/>
      </w:r>
      <w:r w:rsidRPr="009E07DD">
        <w:rPr>
          <w:lang w:val="fr-FR"/>
        </w:rPr>
        <w:t xml:space="preserve"> </w:t>
      </w:r>
      <w:proofErr w:type="spellStart"/>
      <w:r w:rsidR="0073313E" w:rsidRPr="009E07DD">
        <w:rPr>
          <w:lang w:val="fr-FR"/>
        </w:rPr>
        <w:t>Schepens</w:t>
      </w:r>
      <w:proofErr w:type="spellEnd"/>
      <w:r w:rsidR="0073313E" w:rsidRPr="009E07DD">
        <w:rPr>
          <w:lang w:val="fr-FR"/>
        </w:rPr>
        <w:t>, 1971, p. 263.</w:t>
      </w:r>
    </w:p>
  </w:footnote>
  <w:footnote w:id="40">
    <w:p w14:paraId="5D1BAB35" w14:textId="77777777" w:rsidR="00C10F51" w:rsidRPr="009E07DD" w:rsidRDefault="00000000">
      <w:pPr>
        <w:pStyle w:val="FootnoteText"/>
        <w:rPr>
          <w:lang w:val="fr-FR"/>
        </w:rPr>
      </w:pPr>
      <w:r>
        <w:rPr>
          <w:rStyle w:val="FootnoteReference"/>
        </w:rPr>
        <w:footnoteRef/>
      </w:r>
      <w:r w:rsidRPr="009E07DD">
        <w:rPr>
          <w:lang w:val="fr-FR"/>
        </w:rPr>
        <w:t xml:space="preserve"> Devine, </w:t>
      </w:r>
      <w:r w:rsidR="00335C75" w:rsidRPr="009E07DD">
        <w:rPr>
          <w:lang w:val="fr-FR"/>
        </w:rPr>
        <w:t xml:space="preserve">1986, </w:t>
      </w:r>
      <w:r w:rsidRPr="009E07DD">
        <w:rPr>
          <w:lang w:val="fr-FR"/>
        </w:rPr>
        <w:t>p. 277.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177"/>
    <w:rsid w:val="000031FD"/>
    <w:rsid w:val="00050796"/>
    <w:rsid w:val="00053764"/>
    <w:rsid w:val="00085177"/>
    <w:rsid w:val="000C1B80"/>
    <w:rsid w:val="00166D8C"/>
    <w:rsid w:val="001B2104"/>
    <w:rsid w:val="001E0856"/>
    <w:rsid w:val="002302B4"/>
    <w:rsid w:val="00264936"/>
    <w:rsid w:val="00335C75"/>
    <w:rsid w:val="00361E6B"/>
    <w:rsid w:val="003B413D"/>
    <w:rsid w:val="003C5904"/>
    <w:rsid w:val="00424D33"/>
    <w:rsid w:val="00467DF1"/>
    <w:rsid w:val="005021C3"/>
    <w:rsid w:val="00547ED3"/>
    <w:rsid w:val="005A78A4"/>
    <w:rsid w:val="005B7928"/>
    <w:rsid w:val="00632CE7"/>
    <w:rsid w:val="0067602A"/>
    <w:rsid w:val="00692472"/>
    <w:rsid w:val="0073313E"/>
    <w:rsid w:val="007D2AF5"/>
    <w:rsid w:val="007D7420"/>
    <w:rsid w:val="007F0704"/>
    <w:rsid w:val="0082340C"/>
    <w:rsid w:val="008528A1"/>
    <w:rsid w:val="0089521E"/>
    <w:rsid w:val="008B5038"/>
    <w:rsid w:val="008B6CBC"/>
    <w:rsid w:val="008C1C95"/>
    <w:rsid w:val="009E07DD"/>
    <w:rsid w:val="009E6CA0"/>
    <w:rsid w:val="00A1277D"/>
    <w:rsid w:val="00A4729F"/>
    <w:rsid w:val="00A824C5"/>
    <w:rsid w:val="00A95C16"/>
    <w:rsid w:val="00AC6414"/>
    <w:rsid w:val="00BA0EF3"/>
    <w:rsid w:val="00BA4DC6"/>
    <w:rsid w:val="00C027BC"/>
    <w:rsid w:val="00C10F51"/>
    <w:rsid w:val="00C12688"/>
    <w:rsid w:val="00C617A3"/>
    <w:rsid w:val="00CC0B09"/>
    <w:rsid w:val="00CF734F"/>
    <w:rsid w:val="00D17B05"/>
    <w:rsid w:val="00D53E7F"/>
    <w:rsid w:val="00DF2343"/>
    <w:rsid w:val="00ED581B"/>
    <w:rsid w:val="00F730AD"/>
    <w:rsid w:val="00FB6F31"/>
    <w:rsid w:val="00FF20C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B0D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1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6D8C"/>
    <w:rPr>
      <w:color w:val="0000FF" w:themeColor="hyperlink"/>
      <w:u w:val="single"/>
    </w:rPr>
  </w:style>
  <w:style w:type="paragraph" w:styleId="Header">
    <w:name w:val="header"/>
    <w:basedOn w:val="Normal"/>
    <w:link w:val="HeaderChar"/>
    <w:uiPriority w:val="99"/>
    <w:unhideWhenUsed/>
    <w:rsid w:val="00DF23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2343"/>
  </w:style>
  <w:style w:type="paragraph" w:styleId="Footer">
    <w:name w:val="footer"/>
    <w:basedOn w:val="Normal"/>
    <w:link w:val="FooterChar"/>
    <w:uiPriority w:val="99"/>
    <w:unhideWhenUsed/>
    <w:rsid w:val="00DF23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2343"/>
  </w:style>
  <w:style w:type="paragraph" w:styleId="FootnoteText">
    <w:name w:val="footnote text"/>
    <w:basedOn w:val="Normal"/>
    <w:link w:val="FootnoteTextChar"/>
    <w:uiPriority w:val="99"/>
    <w:semiHidden/>
    <w:unhideWhenUsed/>
    <w:rsid w:val="007F070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0704"/>
    <w:rPr>
      <w:sz w:val="20"/>
      <w:szCs w:val="20"/>
    </w:rPr>
  </w:style>
  <w:style w:type="character" w:styleId="FootnoteReference">
    <w:name w:val="footnote reference"/>
    <w:basedOn w:val="DefaultParagraphFont"/>
    <w:uiPriority w:val="99"/>
    <w:semiHidden/>
    <w:unhideWhenUsed/>
    <w:rsid w:val="007F0704"/>
    <w:rPr>
      <w:vertAlign w:val="superscript"/>
    </w:rPr>
  </w:style>
  <w:style w:type="character" w:styleId="UnresolvedMention">
    <w:name w:val="Unresolved Mention"/>
    <w:basedOn w:val="DefaultParagraphFont"/>
    <w:uiPriority w:val="99"/>
    <w:semiHidden/>
    <w:unhideWhenUsed/>
    <w:rsid w:val="00C10F51"/>
    <w:rPr>
      <w:color w:val="605E5C"/>
      <w:shd w:val="clear" w:color="auto" w:fill="E1DFDD"/>
    </w:rPr>
  </w:style>
  <w:style w:type="character" w:styleId="FollowedHyperlink">
    <w:name w:val="FollowedHyperlink"/>
    <w:basedOn w:val="DefaultParagraphFont"/>
    <w:uiPriority w:val="99"/>
    <w:semiHidden/>
    <w:unhideWhenUsed/>
    <w:rsid w:val="00CC0B09"/>
    <w:rPr>
      <w:color w:val="800080" w:themeColor="followedHyperlink"/>
      <w:u w:val="single"/>
    </w:rPr>
  </w:style>
  <w:style w:type="paragraph" w:styleId="NormalWeb">
    <w:name w:val="Normal (Web)"/>
    <w:basedOn w:val="Normal"/>
    <w:uiPriority w:val="99"/>
    <w:semiHidden/>
    <w:unhideWhenUsed/>
    <w:rsid w:val="00CC0B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itationstylesgno2wrpf">
    <w:name w:val="citationstyles_gno2wrpf"/>
    <w:basedOn w:val="DefaultParagraphFont"/>
    <w:rsid w:val="007D7420"/>
  </w:style>
  <w:style w:type="character" w:styleId="Emphasis">
    <w:name w:val="Emphasis"/>
    <w:basedOn w:val="DefaultParagraphFont"/>
    <w:uiPriority w:val="20"/>
    <w:qFormat/>
    <w:rsid w:val="007D7420"/>
    <w:rPr>
      <w:i/>
      <w:iCs/>
    </w:rPr>
  </w:style>
  <w:style w:type="character" w:customStyle="1" w:styleId="markedcontent">
    <w:name w:val="markedcontent"/>
    <w:basedOn w:val="DefaultParagraphFont"/>
    <w:rsid w:val="00AC6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7/S0009838800034170" TargetMode="External"/><Relationship Id="rId13" Type="http://schemas.openxmlformats.org/officeDocument/2006/relationships/hyperlink" Target="https://www.perseus.tufts.edu/hopper/text?doc=Perseus%3Atext%3A1999.01.0243%3Achapter%3D16"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archive.org/details/arrianwithenglis0001arri/page/n5/mode/2up" TargetMode="External"/><Relationship Id="rId12" Type="http://schemas.openxmlformats.org/officeDocument/2006/relationships/hyperlink" Target="https://archive.org/details/alexandergreatan0000arri"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jstor.org/stable/263079" TargetMode="External"/><Relationship Id="rId1" Type="http://schemas.openxmlformats.org/officeDocument/2006/relationships/styles" Target="styles.xml"/><Relationship Id="rId6" Type="http://schemas.openxmlformats.org/officeDocument/2006/relationships/hyperlink" Target="https://archive.org/details/cu31924026460752/page/n7/mode/2up" TargetMode="External"/><Relationship Id="rId11" Type="http://schemas.openxmlformats.org/officeDocument/2006/relationships/hyperlink" Target="https://www.perseus.tufts.edu/hopper/text?doc=Diod.+17.21.6&amp;fromdoc=Perseus%3Atext%3A1999.01.0084" TargetMode="External"/><Relationship Id="rId5" Type="http://schemas.openxmlformats.org/officeDocument/2006/relationships/endnotes" Target="endnotes.xml"/><Relationship Id="rId15" Type="http://schemas.openxmlformats.org/officeDocument/2006/relationships/hyperlink" Target="https://grbs.library.duke.edu/index.php/grbs/article/view/11241/4199" TargetMode="External"/><Relationship Id="rId10" Type="http://schemas.openxmlformats.org/officeDocument/2006/relationships/hyperlink" Target="https://doi.org/10.2307/1088843" TargetMode="External"/><Relationship Id="rId4" Type="http://schemas.openxmlformats.org/officeDocument/2006/relationships/footnotes" Target="footnotes.xml"/><Relationship Id="rId9" Type="http://schemas.openxmlformats.org/officeDocument/2006/relationships/hyperlink" Target="http://www.jstor.org/stable/638409" TargetMode="External"/><Relationship Id="rId14" Type="http://schemas.openxmlformats.org/officeDocument/2006/relationships/hyperlink" Target="http://www.jstor.org/stable/440800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1746</Words>
  <Characters>9956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2023-02-28T21:34:00Z</dcterms:created>
  <dcterms:modified xsi:type="dcterms:W3CDTF">2023-03-01T11:39:00Z</dcterms:modified>
</cp:coreProperties>
</file>