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000001" w14:textId="555FC155" w:rsidR="00BF284D" w:rsidRDefault="001F1758">
      <w:pPr>
        <w:spacing w:after="297" w:line="259" w:lineRule="auto"/>
        <w:ind w:left="0" w:firstLine="0"/>
        <w:jc w:val="left"/>
        <w:rPr>
          <w:sz w:val="26"/>
          <w:szCs w:val="26"/>
        </w:rPr>
      </w:pPr>
      <w:r>
        <w:rPr>
          <w:sz w:val="26"/>
          <w:szCs w:val="26"/>
        </w:rPr>
        <w:t xml:space="preserve"> NAME: ASIF KHAN</w:t>
      </w:r>
    </w:p>
    <w:p w14:paraId="00000002" w14:textId="2E1772BC" w:rsidR="00BF284D" w:rsidRDefault="001F1758">
      <w:pPr>
        <w:spacing w:after="0" w:line="259" w:lineRule="auto"/>
        <w:ind w:left="0" w:firstLine="0"/>
        <w:jc w:val="left"/>
        <w:rPr>
          <w:sz w:val="26"/>
          <w:szCs w:val="26"/>
        </w:rPr>
      </w:pPr>
      <w:r>
        <w:rPr>
          <w:sz w:val="26"/>
          <w:szCs w:val="26"/>
        </w:rPr>
        <w:t xml:space="preserve"> I.D: 1808529</w:t>
      </w:r>
    </w:p>
    <w:p w14:paraId="5499712F" w14:textId="77777777" w:rsidR="003D2202" w:rsidRDefault="003D2202">
      <w:pPr>
        <w:spacing w:after="0" w:line="259" w:lineRule="auto"/>
        <w:ind w:left="0" w:firstLine="0"/>
        <w:jc w:val="left"/>
        <w:rPr>
          <w:sz w:val="26"/>
          <w:szCs w:val="26"/>
        </w:rPr>
      </w:pPr>
    </w:p>
    <w:p w14:paraId="00000004" w14:textId="648DC6FB" w:rsidR="00BF284D" w:rsidRDefault="003D2202">
      <w:pPr>
        <w:spacing w:after="0" w:line="259" w:lineRule="auto"/>
        <w:ind w:left="0" w:firstLine="0"/>
        <w:jc w:val="left"/>
        <w:rPr>
          <w:sz w:val="26"/>
          <w:szCs w:val="26"/>
        </w:rPr>
      </w:pPr>
      <w:r>
        <w:rPr>
          <w:sz w:val="26"/>
          <w:szCs w:val="26"/>
        </w:rPr>
        <w:t xml:space="preserve"> CODE</w:t>
      </w:r>
      <w:r w:rsidR="001F1758">
        <w:rPr>
          <w:sz w:val="26"/>
          <w:szCs w:val="26"/>
        </w:rPr>
        <w:t>: (BMHP6006)</w:t>
      </w:r>
    </w:p>
    <w:p w14:paraId="00000005" w14:textId="77777777" w:rsidR="00BF284D" w:rsidRDefault="00BF284D">
      <w:pPr>
        <w:spacing w:after="0" w:line="259" w:lineRule="auto"/>
        <w:ind w:left="0" w:firstLine="0"/>
        <w:jc w:val="left"/>
        <w:rPr>
          <w:sz w:val="26"/>
          <w:szCs w:val="26"/>
        </w:rPr>
      </w:pPr>
    </w:p>
    <w:p w14:paraId="00000006" w14:textId="1BCD2720" w:rsidR="00BF284D" w:rsidRDefault="003D2202">
      <w:pPr>
        <w:spacing w:after="0" w:line="259" w:lineRule="auto"/>
        <w:ind w:left="0" w:firstLine="0"/>
        <w:jc w:val="left"/>
        <w:rPr>
          <w:sz w:val="26"/>
          <w:szCs w:val="26"/>
        </w:rPr>
      </w:pPr>
      <w:r>
        <w:rPr>
          <w:sz w:val="26"/>
          <w:szCs w:val="26"/>
        </w:rPr>
        <w:t xml:space="preserve"> </w:t>
      </w:r>
      <w:r w:rsidR="001F1758">
        <w:rPr>
          <w:sz w:val="26"/>
          <w:szCs w:val="26"/>
        </w:rPr>
        <w:t>LECTURER: DUSHIKA SOUNDARAJAN</w:t>
      </w:r>
    </w:p>
    <w:p w14:paraId="00000007" w14:textId="77777777" w:rsidR="00BF284D" w:rsidRDefault="00BF284D">
      <w:pPr>
        <w:spacing w:after="0" w:line="259" w:lineRule="auto"/>
        <w:ind w:left="0" w:firstLine="0"/>
        <w:jc w:val="left"/>
        <w:rPr>
          <w:sz w:val="26"/>
          <w:szCs w:val="26"/>
        </w:rPr>
      </w:pPr>
    </w:p>
    <w:p w14:paraId="00000008" w14:textId="77777777" w:rsidR="00BF284D" w:rsidRDefault="00BF284D">
      <w:pPr>
        <w:spacing w:after="0" w:line="259" w:lineRule="auto"/>
        <w:ind w:left="0" w:firstLine="0"/>
        <w:jc w:val="left"/>
        <w:rPr>
          <w:sz w:val="26"/>
          <w:szCs w:val="26"/>
        </w:rPr>
      </w:pPr>
    </w:p>
    <w:p w14:paraId="00000009" w14:textId="77777777" w:rsidR="00BF284D" w:rsidRDefault="00BF284D">
      <w:pPr>
        <w:spacing w:after="0" w:line="259" w:lineRule="auto"/>
        <w:ind w:left="0" w:firstLine="0"/>
        <w:jc w:val="left"/>
        <w:rPr>
          <w:sz w:val="26"/>
          <w:szCs w:val="26"/>
        </w:rPr>
      </w:pPr>
    </w:p>
    <w:p w14:paraId="0000000A" w14:textId="77777777" w:rsidR="00BF284D" w:rsidRDefault="00BF284D">
      <w:pPr>
        <w:spacing w:after="0" w:line="259" w:lineRule="auto"/>
        <w:ind w:left="0" w:firstLine="0"/>
        <w:jc w:val="left"/>
        <w:rPr>
          <w:sz w:val="26"/>
          <w:szCs w:val="26"/>
        </w:rPr>
      </w:pPr>
    </w:p>
    <w:p w14:paraId="0000000B" w14:textId="77777777" w:rsidR="00BF284D" w:rsidRDefault="00BF284D">
      <w:pPr>
        <w:spacing w:after="0" w:line="259" w:lineRule="auto"/>
        <w:ind w:left="0" w:firstLine="0"/>
        <w:jc w:val="left"/>
      </w:pPr>
    </w:p>
    <w:p w14:paraId="0000000C" w14:textId="77777777" w:rsidR="00BF284D" w:rsidRDefault="00BF284D">
      <w:pPr>
        <w:spacing w:after="0" w:line="259" w:lineRule="auto"/>
        <w:ind w:left="0" w:firstLine="0"/>
        <w:jc w:val="left"/>
      </w:pPr>
    </w:p>
    <w:p w14:paraId="0000000D" w14:textId="77777777" w:rsidR="00BF284D" w:rsidRDefault="00BF284D">
      <w:pPr>
        <w:spacing w:after="0" w:line="259" w:lineRule="auto"/>
        <w:ind w:left="0" w:right="13" w:firstLine="0"/>
        <w:jc w:val="center"/>
      </w:pPr>
    </w:p>
    <w:p w14:paraId="0000000E" w14:textId="77777777" w:rsidR="00BF284D" w:rsidRDefault="00BF284D">
      <w:pPr>
        <w:spacing w:after="0" w:line="259" w:lineRule="auto"/>
        <w:ind w:left="0" w:right="13" w:firstLine="0"/>
        <w:jc w:val="center"/>
      </w:pPr>
    </w:p>
    <w:p w14:paraId="0000000F" w14:textId="77777777" w:rsidR="00BF284D" w:rsidRDefault="00BF284D">
      <w:pPr>
        <w:spacing w:after="0" w:line="259" w:lineRule="auto"/>
        <w:ind w:left="0" w:right="13" w:firstLine="0"/>
        <w:jc w:val="center"/>
      </w:pPr>
    </w:p>
    <w:p w14:paraId="00000010" w14:textId="77777777" w:rsidR="00BF284D" w:rsidRDefault="00BF284D">
      <w:pPr>
        <w:spacing w:after="0" w:line="259" w:lineRule="auto"/>
        <w:ind w:left="0" w:right="13" w:firstLine="0"/>
        <w:jc w:val="center"/>
      </w:pPr>
    </w:p>
    <w:p w14:paraId="00000011" w14:textId="77777777" w:rsidR="00BF284D" w:rsidRDefault="00BF284D">
      <w:pPr>
        <w:spacing w:after="0" w:line="259" w:lineRule="auto"/>
        <w:ind w:left="0" w:right="13" w:firstLine="0"/>
        <w:jc w:val="center"/>
      </w:pPr>
    </w:p>
    <w:p w14:paraId="00000012" w14:textId="77777777" w:rsidR="00BF284D" w:rsidRDefault="00BF284D">
      <w:pPr>
        <w:spacing w:after="0" w:line="259" w:lineRule="auto"/>
        <w:ind w:left="0" w:right="13" w:firstLine="0"/>
        <w:jc w:val="center"/>
      </w:pPr>
    </w:p>
    <w:p w14:paraId="00000013" w14:textId="77777777" w:rsidR="00BF284D" w:rsidRDefault="00BF284D">
      <w:pPr>
        <w:spacing w:after="0" w:line="259" w:lineRule="auto"/>
        <w:ind w:left="0" w:right="13" w:firstLine="0"/>
        <w:jc w:val="center"/>
      </w:pPr>
    </w:p>
    <w:p w14:paraId="00000014" w14:textId="77777777" w:rsidR="00BF284D" w:rsidRDefault="00BF284D">
      <w:pPr>
        <w:spacing w:after="0" w:line="259" w:lineRule="auto"/>
        <w:ind w:left="0" w:right="13" w:firstLine="0"/>
        <w:jc w:val="center"/>
      </w:pPr>
    </w:p>
    <w:p w14:paraId="00000015" w14:textId="77777777" w:rsidR="00BF284D" w:rsidRDefault="00BF284D">
      <w:pPr>
        <w:spacing w:after="0" w:line="259" w:lineRule="auto"/>
        <w:ind w:left="0" w:right="13" w:firstLine="0"/>
        <w:jc w:val="center"/>
      </w:pPr>
    </w:p>
    <w:p w14:paraId="00000016" w14:textId="77777777" w:rsidR="00BF284D" w:rsidRDefault="00BF284D">
      <w:pPr>
        <w:spacing w:after="0" w:line="259" w:lineRule="auto"/>
        <w:ind w:left="0" w:right="13" w:firstLine="0"/>
        <w:jc w:val="center"/>
      </w:pPr>
    </w:p>
    <w:p w14:paraId="00000017" w14:textId="77777777" w:rsidR="00BF284D" w:rsidRDefault="00BF284D">
      <w:pPr>
        <w:spacing w:after="0" w:line="259" w:lineRule="auto"/>
        <w:ind w:left="0" w:right="13" w:firstLine="0"/>
        <w:jc w:val="center"/>
      </w:pPr>
    </w:p>
    <w:p w14:paraId="00000018" w14:textId="77777777" w:rsidR="00BF284D" w:rsidRDefault="00BF284D">
      <w:pPr>
        <w:spacing w:after="0" w:line="259" w:lineRule="auto"/>
        <w:ind w:left="0" w:right="13" w:firstLine="0"/>
        <w:jc w:val="center"/>
      </w:pPr>
    </w:p>
    <w:p w14:paraId="00000019" w14:textId="77777777" w:rsidR="00BF284D" w:rsidRDefault="00BF284D">
      <w:pPr>
        <w:spacing w:after="0" w:line="259" w:lineRule="auto"/>
        <w:ind w:left="0" w:right="13" w:firstLine="0"/>
        <w:jc w:val="center"/>
      </w:pPr>
    </w:p>
    <w:p w14:paraId="0000001A" w14:textId="77777777" w:rsidR="00BF284D" w:rsidRDefault="00BF284D">
      <w:pPr>
        <w:spacing w:after="0" w:line="259" w:lineRule="auto"/>
        <w:ind w:left="0" w:right="13" w:firstLine="0"/>
        <w:jc w:val="center"/>
      </w:pPr>
    </w:p>
    <w:p w14:paraId="0000001B" w14:textId="77777777" w:rsidR="00BF284D" w:rsidRDefault="00BF284D">
      <w:pPr>
        <w:spacing w:after="0" w:line="259" w:lineRule="auto"/>
        <w:ind w:left="0" w:right="13" w:firstLine="0"/>
        <w:jc w:val="center"/>
      </w:pPr>
    </w:p>
    <w:p w14:paraId="0000001C" w14:textId="77777777" w:rsidR="00BF284D" w:rsidRDefault="00BF284D">
      <w:pPr>
        <w:spacing w:after="0" w:line="259" w:lineRule="auto"/>
        <w:ind w:left="0" w:right="13" w:firstLine="0"/>
        <w:jc w:val="center"/>
      </w:pPr>
    </w:p>
    <w:p w14:paraId="0000001D" w14:textId="77777777" w:rsidR="00BF284D" w:rsidRDefault="00BF284D">
      <w:pPr>
        <w:spacing w:after="0" w:line="259" w:lineRule="auto"/>
        <w:ind w:left="0" w:right="13" w:firstLine="0"/>
        <w:jc w:val="center"/>
      </w:pPr>
    </w:p>
    <w:p w14:paraId="0000001E" w14:textId="77777777" w:rsidR="00BF284D" w:rsidRDefault="00BF284D">
      <w:pPr>
        <w:spacing w:after="0" w:line="259" w:lineRule="auto"/>
        <w:ind w:left="0" w:right="13" w:firstLine="0"/>
        <w:jc w:val="center"/>
      </w:pPr>
    </w:p>
    <w:p w14:paraId="0000001F" w14:textId="77777777" w:rsidR="00BF284D" w:rsidRDefault="00BF284D">
      <w:pPr>
        <w:spacing w:after="0" w:line="259" w:lineRule="auto"/>
        <w:ind w:left="0" w:right="13" w:firstLine="0"/>
        <w:jc w:val="center"/>
      </w:pPr>
    </w:p>
    <w:p w14:paraId="00000020" w14:textId="77777777" w:rsidR="00BF284D" w:rsidRDefault="00BF284D">
      <w:pPr>
        <w:spacing w:after="0" w:line="259" w:lineRule="auto"/>
        <w:ind w:left="0" w:right="13" w:firstLine="0"/>
        <w:jc w:val="center"/>
      </w:pPr>
    </w:p>
    <w:p w14:paraId="00000021" w14:textId="77777777" w:rsidR="00BF284D" w:rsidRDefault="00BF284D">
      <w:pPr>
        <w:spacing w:after="0" w:line="259" w:lineRule="auto"/>
        <w:ind w:left="0" w:right="13" w:firstLine="0"/>
        <w:jc w:val="center"/>
      </w:pPr>
    </w:p>
    <w:p w14:paraId="00000022" w14:textId="77777777" w:rsidR="00BF284D" w:rsidRDefault="00BF284D">
      <w:pPr>
        <w:spacing w:after="0" w:line="259" w:lineRule="auto"/>
        <w:ind w:left="0" w:right="13" w:firstLine="0"/>
        <w:jc w:val="center"/>
      </w:pPr>
    </w:p>
    <w:p w14:paraId="00000023" w14:textId="77777777" w:rsidR="00BF284D" w:rsidRDefault="00BF284D">
      <w:pPr>
        <w:spacing w:after="0" w:line="259" w:lineRule="auto"/>
        <w:ind w:left="0" w:right="13" w:firstLine="0"/>
        <w:jc w:val="center"/>
      </w:pPr>
    </w:p>
    <w:p w14:paraId="00000024" w14:textId="77777777" w:rsidR="00BF284D" w:rsidRDefault="00BF284D">
      <w:pPr>
        <w:spacing w:after="0" w:line="259" w:lineRule="auto"/>
        <w:ind w:left="0" w:right="13" w:firstLine="0"/>
        <w:jc w:val="center"/>
      </w:pPr>
    </w:p>
    <w:p w14:paraId="00000025" w14:textId="77777777" w:rsidR="00BF284D" w:rsidRDefault="00BF284D">
      <w:pPr>
        <w:spacing w:after="0" w:line="259" w:lineRule="auto"/>
        <w:ind w:left="0" w:right="13" w:firstLine="0"/>
        <w:jc w:val="center"/>
      </w:pPr>
    </w:p>
    <w:p w14:paraId="00000026" w14:textId="77777777" w:rsidR="00BF284D" w:rsidRDefault="00BF284D">
      <w:pPr>
        <w:spacing w:after="0" w:line="259" w:lineRule="auto"/>
        <w:ind w:left="0" w:right="13" w:firstLine="0"/>
        <w:jc w:val="center"/>
      </w:pPr>
    </w:p>
    <w:p w14:paraId="00000027" w14:textId="77777777" w:rsidR="00BF284D" w:rsidRDefault="00BF284D">
      <w:pPr>
        <w:spacing w:after="0" w:line="259" w:lineRule="auto"/>
        <w:ind w:left="0" w:right="13" w:firstLine="0"/>
        <w:jc w:val="center"/>
      </w:pPr>
    </w:p>
    <w:p w14:paraId="00000028" w14:textId="77777777" w:rsidR="00BF284D" w:rsidRDefault="00BF284D">
      <w:pPr>
        <w:spacing w:after="0" w:line="259" w:lineRule="auto"/>
        <w:ind w:left="0" w:right="13" w:firstLine="0"/>
        <w:jc w:val="center"/>
      </w:pPr>
    </w:p>
    <w:p w14:paraId="00000029" w14:textId="77777777" w:rsidR="00BF284D" w:rsidRDefault="00BF284D">
      <w:pPr>
        <w:spacing w:after="0" w:line="259" w:lineRule="auto"/>
        <w:ind w:left="0" w:right="13" w:firstLine="0"/>
        <w:jc w:val="center"/>
      </w:pPr>
    </w:p>
    <w:p w14:paraId="0000002A" w14:textId="77777777" w:rsidR="00BF284D" w:rsidRDefault="00BF284D">
      <w:pPr>
        <w:spacing w:after="0" w:line="259" w:lineRule="auto"/>
        <w:ind w:left="0" w:right="13" w:firstLine="0"/>
        <w:jc w:val="center"/>
      </w:pPr>
    </w:p>
    <w:p w14:paraId="0000002B" w14:textId="77777777" w:rsidR="00BF284D" w:rsidRDefault="00BF284D">
      <w:pPr>
        <w:spacing w:after="0" w:line="259" w:lineRule="auto"/>
        <w:ind w:left="0" w:right="13" w:firstLine="0"/>
        <w:jc w:val="center"/>
      </w:pPr>
    </w:p>
    <w:p w14:paraId="0000002C" w14:textId="77777777" w:rsidR="00BF284D" w:rsidRDefault="00BF284D">
      <w:pPr>
        <w:spacing w:after="0" w:line="259" w:lineRule="auto"/>
        <w:ind w:left="0" w:right="13" w:firstLine="0"/>
        <w:jc w:val="center"/>
      </w:pPr>
    </w:p>
    <w:p w14:paraId="0000002D" w14:textId="77777777" w:rsidR="00BF284D" w:rsidRDefault="00BF284D">
      <w:pPr>
        <w:spacing w:after="0" w:line="259" w:lineRule="auto"/>
        <w:ind w:left="0" w:right="13" w:firstLine="0"/>
        <w:jc w:val="center"/>
      </w:pPr>
    </w:p>
    <w:p w14:paraId="0000002E" w14:textId="77777777" w:rsidR="00BF284D" w:rsidRDefault="00BF284D">
      <w:pPr>
        <w:spacing w:after="0" w:line="259" w:lineRule="auto"/>
        <w:ind w:left="0" w:right="13" w:firstLine="0"/>
        <w:jc w:val="center"/>
      </w:pPr>
    </w:p>
    <w:p w14:paraId="0000002F" w14:textId="77777777" w:rsidR="00BF284D" w:rsidRDefault="00BF284D">
      <w:pPr>
        <w:spacing w:after="0" w:line="259" w:lineRule="auto"/>
        <w:ind w:left="0" w:right="13" w:firstLine="0"/>
        <w:jc w:val="center"/>
      </w:pPr>
    </w:p>
    <w:p w14:paraId="00000030" w14:textId="77777777" w:rsidR="00BF284D" w:rsidRDefault="001F1758">
      <w:pPr>
        <w:spacing w:after="0" w:line="259" w:lineRule="auto"/>
        <w:ind w:left="0" w:right="13" w:firstLine="0"/>
        <w:jc w:val="center"/>
      </w:pPr>
      <w:r>
        <w:rPr>
          <w:b/>
          <w:sz w:val="32"/>
          <w:szCs w:val="32"/>
        </w:rPr>
        <w:lastRenderedPageBreak/>
        <w:t xml:space="preserve">Table of Contents </w:t>
      </w:r>
    </w:p>
    <w:sdt>
      <w:sdtPr>
        <w:id w:val="252626293"/>
        <w:docPartObj>
          <w:docPartGallery w:val="Table of Contents"/>
          <w:docPartUnique/>
        </w:docPartObj>
      </w:sdtPr>
      <w:sdtEndPr/>
      <w:sdtContent>
        <w:p w14:paraId="00000031" w14:textId="77777777" w:rsidR="00BF284D" w:rsidRDefault="001F1758">
          <w:pPr>
            <w:pBdr>
              <w:top w:val="nil"/>
              <w:left w:val="nil"/>
              <w:bottom w:val="nil"/>
              <w:right w:val="nil"/>
              <w:between w:val="nil"/>
            </w:pBdr>
            <w:tabs>
              <w:tab w:val="right" w:pos="9037"/>
            </w:tabs>
            <w:spacing w:after="123" w:line="364" w:lineRule="auto"/>
            <w:ind w:left="25" w:right="23"/>
          </w:pPr>
          <w:r>
            <w:fldChar w:fldCharType="begin"/>
          </w:r>
          <w:r>
            <w:instrText xml:space="preserve"> TOC \h \u \z </w:instrText>
          </w:r>
          <w:r>
            <w:fldChar w:fldCharType="separate"/>
          </w:r>
          <w:hyperlink w:anchor="_heading=h.gjdgxs">
            <w:r>
              <w:t>Task 2 - Supporting Paper</w:t>
            </w:r>
            <w:r>
              <w:tab/>
              <w:t xml:space="preserve">3 </w:t>
            </w:r>
          </w:hyperlink>
        </w:p>
        <w:p w14:paraId="00000032" w14:textId="77777777" w:rsidR="00BF284D" w:rsidRDefault="00264E98">
          <w:pPr>
            <w:pBdr>
              <w:top w:val="nil"/>
              <w:left w:val="nil"/>
              <w:bottom w:val="nil"/>
              <w:right w:val="nil"/>
              <w:between w:val="nil"/>
            </w:pBdr>
            <w:tabs>
              <w:tab w:val="right" w:pos="9037"/>
            </w:tabs>
            <w:spacing w:after="203" w:line="259" w:lineRule="auto"/>
            <w:ind w:left="245" w:right="23"/>
          </w:pPr>
          <w:hyperlink w:anchor="_heading=h.30j0zll">
            <w:r w:rsidR="001F1758">
              <w:t>Introduction</w:t>
            </w:r>
            <w:r w:rsidR="001F1758">
              <w:tab/>
              <w:t xml:space="preserve">3 </w:t>
            </w:r>
          </w:hyperlink>
        </w:p>
        <w:p w14:paraId="00000033" w14:textId="0B88F611" w:rsidR="00BF284D" w:rsidRDefault="00264E98">
          <w:pPr>
            <w:pBdr>
              <w:top w:val="nil"/>
              <w:left w:val="nil"/>
              <w:bottom w:val="nil"/>
              <w:right w:val="nil"/>
              <w:between w:val="nil"/>
            </w:pBdr>
            <w:tabs>
              <w:tab w:val="right" w:pos="9037"/>
            </w:tabs>
            <w:spacing w:after="203" w:line="259" w:lineRule="auto"/>
            <w:ind w:left="245" w:right="23"/>
          </w:pPr>
          <w:hyperlink w:anchor="_heading=h.1fob9te">
            <w:r w:rsidR="0092584C">
              <w:t>M</w:t>
            </w:r>
            <w:r w:rsidR="001F1758">
              <w:t xml:space="preserve">ental </w:t>
            </w:r>
            <w:r w:rsidR="00620A83">
              <w:t xml:space="preserve">Illnees </w:t>
            </w:r>
            <w:r w:rsidR="001F1758">
              <w:t>in the UK</w:t>
            </w:r>
            <w:r w:rsidR="001F1758">
              <w:tab/>
              <w:t xml:space="preserve">3 </w:t>
            </w:r>
          </w:hyperlink>
        </w:p>
        <w:p w14:paraId="00000034" w14:textId="7D82EF43" w:rsidR="00BF284D" w:rsidRDefault="00264E98">
          <w:pPr>
            <w:pBdr>
              <w:top w:val="nil"/>
              <w:left w:val="nil"/>
              <w:bottom w:val="nil"/>
              <w:right w:val="nil"/>
              <w:between w:val="nil"/>
            </w:pBdr>
            <w:tabs>
              <w:tab w:val="right" w:pos="9037"/>
            </w:tabs>
            <w:spacing w:after="203" w:line="259" w:lineRule="auto"/>
            <w:ind w:left="245" w:right="23"/>
          </w:pPr>
          <w:hyperlink w:anchor="_heading=h.3znysh7">
            <w:r w:rsidR="001F1758">
              <w:t xml:space="preserve"> </w:t>
            </w:r>
            <w:r w:rsidR="00620A83">
              <w:t>M</w:t>
            </w:r>
            <w:r w:rsidR="001F1758">
              <w:t>ental health</w:t>
            </w:r>
            <w:r w:rsidR="00620A83">
              <w:t>/</w:t>
            </w:r>
            <w:r w:rsidR="001F1758">
              <w:t xml:space="preserve"> legislation</w:t>
            </w:r>
            <w:r w:rsidR="001F1758">
              <w:tab/>
              <w:t xml:space="preserve">4 </w:t>
            </w:r>
          </w:hyperlink>
        </w:p>
        <w:p w14:paraId="00000035" w14:textId="2321DDB2" w:rsidR="00BF284D" w:rsidRDefault="00264E98">
          <w:pPr>
            <w:pBdr>
              <w:top w:val="nil"/>
              <w:left w:val="nil"/>
              <w:bottom w:val="nil"/>
              <w:right w:val="nil"/>
              <w:between w:val="nil"/>
            </w:pBdr>
            <w:tabs>
              <w:tab w:val="right" w:pos="9037"/>
            </w:tabs>
            <w:spacing w:after="203" w:line="259" w:lineRule="auto"/>
            <w:ind w:left="245" w:right="23"/>
          </w:pPr>
          <w:hyperlink w:anchor="_heading=h.2et92p0">
            <w:r w:rsidR="001F1758">
              <w:t>Inclusion and e</w:t>
            </w:r>
            <w:r w:rsidR="00620A83">
              <w:t>x</w:t>
            </w:r>
            <w:r w:rsidR="001F1758">
              <w:t>clusion</w:t>
            </w:r>
            <w:r w:rsidR="001F1758">
              <w:tab/>
              <w:t xml:space="preserve">5 </w:t>
            </w:r>
          </w:hyperlink>
        </w:p>
        <w:p w14:paraId="00000036" w14:textId="575CB75B" w:rsidR="00BF284D" w:rsidRDefault="00264E98">
          <w:pPr>
            <w:pBdr>
              <w:top w:val="nil"/>
              <w:left w:val="nil"/>
              <w:bottom w:val="nil"/>
              <w:right w:val="nil"/>
              <w:between w:val="nil"/>
            </w:pBdr>
            <w:tabs>
              <w:tab w:val="right" w:pos="9037"/>
            </w:tabs>
            <w:spacing w:after="203" w:line="259" w:lineRule="auto"/>
            <w:ind w:left="245" w:right="23"/>
          </w:pPr>
          <w:hyperlink w:anchor="_heading=h.tyjcwt">
            <w:r w:rsidR="001F1758">
              <w:t xml:space="preserve"> </w:t>
            </w:r>
            <w:r w:rsidR="00620A83">
              <w:t>I</w:t>
            </w:r>
            <w:r w:rsidR="001F1758">
              <w:t>mprovements</w:t>
            </w:r>
            <w:r w:rsidR="001F1758">
              <w:tab/>
              <w:t xml:space="preserve">6 </w:t>
            </w:r>
          </w:hyperlink>
        </w:p>
        <w:p w14:paraId="00000037" w14:textId="77777777" w:rsidR="00BF284D" w:rsidRDefault="00264E98">
          <w:pPr>
            <w:pBdr>
              <w:top w:val="nil"/>
              <w:left w:val="nil"/>
              <w:bottom w:val="nil"/>
              <w:right w:val="nil"/>
              <w:between w:val="nil"/>
            </w:pBdr>
            <w:tabs>
              <w:tab w:val="right" w:pos="9037"/>
            </w:tabs>
            <w:spacing w:after="203" w:line="259" w:lineRule="auto"/>
            <w:ind w:left="245" w:right="23"/>
          </w:pPr>
          <w:hyperlink w:anchor="_heading=h.3dy6vkm">
            <w:r w:rsidR="001F1758">
              <w:t>Conclusion</w:t>
            </w:r>
            <w:r w:rsidR="001F1758">
              <w:tab/>
              <w:t xml:space="preserve">7 </w:t>
            </w:r>
          </w:hyperlink>
        </w:p>
        <w:p w14:paraId="00000038" w14:textId="77777777" w:rsidR="00BF284D" w:rsidRDefault="001F1758">
          <w:pPr>
            <w:pBdr>
              <w:top w:val="nil"/>
              <w:left w:val="nil"/>
              <w:bottom w:val="nil"/>
              <w:right w:val="nil"/>
              <w:between w:val="nil"/>
            </w:pBdr>
            <w:tabs>
              <w:tab w:val="right" w:pos="9037"/>
            </w:tabs>
            <w:spacing w:after="123" w:line="364" w:lineRule="auto"/>
            <w:ind w:left="25" w:right="23"/>
          </w:pPr>
          <w:r>
            <w:t xml:space="preserve">    </w:t>
          </w:r>
          <w:hyperlink w:anchor="_heading=h.1t3h5sf">
            <w:r>
              <w:t>Reference List</w:t>
            </w:r>
            <w:r>
              <w:tab/>
              <w:t xml:space="preserve">8 </w:t>
            </w:r>
          </w:hyperlink>
        </w:p>
        <w:p w14:paraId="00000039" w14:textId="77777777" w:rsidR="00BF284D" w:rsidRDefault="001F1758">
          <w:r>
            <w:fldChar w:fldCharType="end"/>
          </w:r>
        </w:p>
      </w:sdtContent>
    </w:sdt>
    <w:p w14:paraId="0000003A" w14:textId="77777777" w:rsidR="00BF284D" w:rsidRDefault="001F1758">
      <w:pPr>
        <w:spacing w:after="42" w:line="468" w:lineRule="auto"/>
        <w:ind w:left="-5" w:firstLine="0"/>
      </w:pPr>
      <w:r>
        <w:t xml:space="preserve"> </w:t>
      </w:r>
    </w:p>
    <w:p w14:paraId="0000003D" w14:textId="1CCC7578" w:rsidR="00BF284D" w:rsidRDefault="001F1758" w:rsidP="00DE16EA">
      <w:pPr>
        <w:spacing w:after="0" w:line="259" w:lineRule="auto"/>
        <w:ind w:left="0" w:firstLine="0"/>
        <w:jc w:val="left"/>
      </w:pPr>
      <w:r>
        <w:t xml:space="preserve"> </w:t>
      </w:r>
      <w:r>
        <w:tab/>
        <w:t xml:space="preserve"> </w:t>
      </w:r>
      <w:bookmarkStart w:id="0" w:name="_heading=h.gjdgxs" w:colFirst="0" w:colLast="0"/>
      <w:bookmarkEnd w:id="0"/>
      <w:r>
        <w:rPr>
          <w:b/>
        </w:rPr>
        <w:t xml:space="preserve"> </w:t>
      </w:r>
    </w:p>
    <w:p w14:paraId="0000003E" w14:textId="77777777" w:rsidR="00BF284D" w:rsidRDefault="001F1758">
      <w:pPr>
        <w:pStyle w:val="Heading2"/>
        <w:ind w:left="-5" w:right="0" w:firstLine="0"/>
      </w:pPr>
      <w:bookmarkStart w:id="1" w:name="_heading=h.30j0zll" w:colFirst="0" w:colLast="0"/>
      <w:bookmarkEnd w:id="1"/>
      <w:r>
        <w:t xml:space="preserve">Introduction </w:t>
      </w:r>
    </w:p>
    <w:p w14:paraId="0000003F" w14:textId="7C579704" w:rsidR="00BF284D" w:rsidRDefault="001F1758">
      <w:pPr>
        <w:spacing w:after="257"/>
        <w:ind w:left="-5" w:firstLine="0"/>
      </w:pPr>
      <w:r>
        <w:t xml:space="preserve">Mental health is </w:t>
      </w:r>
      <w:proofErr w:type="gramStart"/>
      <w:r>
        <w:t>very important</w:t>
      </w:r>
      <w:proofErr w:type="gramEnd"/>
      <w:r>
        <w:t xml:space="preserve"> and creates a huge impact on maintaining proper stability in the life of every individual. Ineffectiveness or instability in maintaining mental health conditions leads to mental illness (</w:t>
      </w:r>
      <w:proofErr w:type="spellStart"/>
      <w:r>
        <w:t>Faiad</w:t>
      </w:r>
      <w:proofErr w:type="spellEnd"/>
      <w:r>
        <w:t xml:space="preserve"> </w:t>
      </w:r>
      <w:r>
        <w:rPr>
          <w:i/>
        </w:rPr>
        <w:t>et al.</w:t>
      </w:r>
      <w:r>
        <w:t>, 2018). Th</w:t>
      </w:r>
      <w:r w:rsidR="00DE16EA">
        <w:t>e ICD 10</w:t>
      </w:r>
      <w:r>
        <w:t xml:space="preserve"> describes in their guidelines that mental disorder is a set or a group of symptoms along with some </w:t>
      </w:r>
      <w:proofErr w:type="spellStart"/>
      <w:r>
        <w:t>behavioural</w:t>
      </w:r>
      <w:proofErr w:type="spellEnd"/>
      <w:r>
        <w:t xml:space="preserve"> aspects which in maximum cases are related with distress along with issues that hamper the personal </w:t>
      </w:r>
      <w:proofErr w:type="gramStart"/>
      <w:r>
        <w:t>functions</w:t>
      </w:r>
      <w:proofErr w:type="gramEnd"/>
      <w:r>
        <w:t xml:space="preserve"> and which can be clinically identified or recognizable (Wu </w:t>
      </w:r>
      <w:r>
        <w:rPr>
          <w:i/>
        </w:rPr>
        <w:t xml:space="preserve">et al., </w:t>
      </w:r>
      <w:r>
        <w:t>2019). With the emergence of WHO and the continuous revision of the ICD versions the policies implemented to protect the individuals suffering from mental disorders has been taken into consideration. In the late 20</w:t>
      </w:r>
      <w:r>
        <w:rPr>
          <w:vertAlign w:val="superscript"/>
        </w:rPr>
        <w:t>th</w:t>
      </w:r>
      <w:r>
        <w:t xml:space="preserve"> </w:t>
      </w:r>
      <w:proofErr w:type="gramStart"/>
      <w:r>
        <w:t>century</w:t>
      </w:r>
      <w:proofErr w:type="gramEnd"/>
      <w:r>
        <w:t xml:space="preserve"> there have been several policies that the govt. of the UK has implemented to provide proper protection to the individuals facing problems due to mental illness in the UK (Ewald </w:t>
      </w:r>
      <w:r>
        <w:rPr>
          <w:i/>
        </w:rPr>
        <w:t xml:space="preserve">et al., </w:t>
      </w:r>
      <w:r>
        <w:t xml:space="preserve">2019). This task will describe the various steps taken by the UK govt. to protect the individuals who are facing issues due to their mental illness. </w:t>
      </w:r>
    </w:p>
    <w:p w14:paraId="00000040" w14:textId="77777777" w:rsidR="00BF284D" w:rsidRDefault="001F1758">
      <w:pPr>
        <w:pStyle w:val="Heading2"/>
        <w:ind w:left="-5" w:right="0" w:firstLine="0"/>
      </w:pPr>
      <w:bookmarkStart w:id="2" w:name="_heading=h.1fob9te" w:colFirst="0" w:colLast="0"/>
      <w:bookmarkEnd w:id="2"/>
      <w:r>
        <w:t xml:space="preserve">Historical context of mental health provision in the UK </w:t>
      </w:r>
    </w:p>
    <w:p w14:paraId="00000041" w14:textId="009F5FAC" w:rsidR="00BF284D" w:rsidRDefault="001F1758">
      <w:pPr>
        <w:spacing w:after="257"/>
        <w:ind w:left="-5" w:firstLine="0"/>
      </w:pPr>
      <w:r>
        <w:t>There were very few laws and legislations in the early time before the 20</w:t>
      </w:r>
      <w:r>
        <w:rPr>
          <w:vertAlign w:val="superscript"/>
        </w:rPr>
        <w:t>th</w:t>
      </w:r>
      <w:r>
        <w:t xml:space="preserve"> century to provide protection and safety to the mental health people. Asylum and electric shocks were common treatment in the early period which was not helpful for the individuals suffering from minor or different kinds of mental problems. Without any treatment individuals were sent to asylum and kept the patients isolated from the people. There were no therapy or mental health medical care </w:t>
      </w:r>
      <w:proofErr w:type="spellStart"/>
      <w:r>
        <w:t>centres</w:t>
      </w:r>
      <w:proofErr w:type="spellEnd"/>
      <w:r>
        <w:t xml:space="preserve"> in the early time (Warwick.ac.uk. 2020). However, in the 1774 Madhouse Act has </w:t>
      </w:r>
      <w:r>
        <w:lastRenderedPageBreak/>
        <w:t xml:space="preserve">been implemented by the UK govt. which limited the number of patients </w:t>
      </w:r>
      <w:r w:rsidR="003D2202">
        <w:t>to</w:t>
      </w:r>
      <w:r>
        <w:t xml:space="preserve"> asylum</w:t>
      </w:r>
      <w:r w:rsidR="003D2202">
        <w:t>s</w:t>
      </w:r>
      <w:r>
        <w:t>. This</w:t>
      </w:r>
      <w:r w:rsidR="003D2202">
        <w:t>.</w:t>
      </w:r>
      <w:r>
        <w:t xml:space="preserve"> But th</w:t>
      </w:r>
      <w:r w:rsidR="003D2202">
        <w:t>is</w:t>
      </w:r>
      <w:r>
        <w:t xml:space="preserve"> act failed to provide effective protection due to ineffective supervision by the madhouses and lots of illegal wrongdoings used to take place in the asylum. This Act was criticized by the UK Parliament in the1815 and the act has been withdrawn from the legislation. Although the act has failed to provide proper safety and security to the people suffering from mental health issues, it has created huge concern and urge among the common public to change the framework of the madhouses and to implement strong and effective legislations for helping the mental disorder people (Historic England.org.uk. 2020). And due to this with the early stage of the 20th century the govt. started considering mental health as a serious issue.  </w:t>
      </w:r>
    </w:p>
    <w:p w14:paraId="00000042" w14:textId="4A65A4D7" w:rsidR="00BF284D" w:rsidRDefault="001F1758">
      <w:pPr>
        <w:pStyle w:val="Heading2"/>
        <w:spacing w:after="0" w:line="358" w:lineRule="auto"/>
        <w:ind w:left="-5" w:right="0" w:firstLine="0"/>
      </w:pPr>
      <w:bookmarkStart w:id="3" w:name="_heading=h.3znysh7" w:colFirst="0" w:colLast="0"/>
      <w:bookmarkEnd w:id="3"/>
      <w:r>
        <w:t xml:space="preserve"> UK mental health legislation </w:t>
      </w:r>
    </w:p>
    <w:p w14:paraId="00000043" w14:textId="2C24CC1B" w:rsidR="00BF284D" w:rsidRDefault="001F1758">
      <w:pPr>
        <w:spacing w:after="259"/>
        <w:ind w:left="-5" w:firstLine="0"/>
      </w:pPr>
      <w:r>
        <w:t>There are several changes that have occurred in the mental health legislation of the UK. As the rate of mental health issues has increased at a considerable rate in the UK which created an urge in the UK govt</w:t>
      </w:r>
      <w:r w:rsidR="00A272CF">
        <w:t>.</w:t>
      </w:r>
      <w:r>
        <w:t xml:space="preserve"> The </w:t>
      </w:r>
      <w:r>
        <w:rPr>
          <w:b/>
        </w:rPr>
        <w:t>1983 act</w:t>
      </w:r>
      <w:r>
        <w:t xml:space="preserve"> has come into force to provide proper protection to the patients who are detained from the hospital without proper treatment and against the individual wish. Under this act the patients get the right to leave the mental hospital according to his wish and after completing full treatment (Legislation.gov.uk. 2020). This act provides several principles which are require</w:t>
      </w:r>
      <w:r w:rsidR="00EF33DD">
        <w:t>d</w:t>
      </w:r>
      <w:r>
        <w:t xml:space="preserve"> durin</w:t>
      </w:r>
      <w:r w:rsidR="00EF33DD">
        <w:t>g</w:t>
      </w:r>
      <w:r>
        <w:t xml:space="preserve"> any decision</w:t>
      </w:r>
      <w:r w:rsidR="00EF33DD">
        <w:t xml:space="preserve"> making</w:t>
      </w:r>
      <w:r>
        <w:t xml:space="preserve"> </w:t>
      </w:r>
      <w:r w:rsidR="00EF33DD">
        <w:t xml:space="preserve">and </w:t>
      </w:r>
      <w:r>
        <w:t xml:space="preserve">full independence </w:t>
      </w:r>
      <w:r w:rsidR="00EF33DD">
        <w:t>of the patient.</w:t>
      </w:r>
      <w:r>
        <w:t xml:space="preserve"> The Act also provides special protection to the vulnerable individuals after the detention from the hospital. In 1990 with the implementation of the </w:t>
      </w:r>
      <w:r>
        <w:rPr>
          <w:b/>
        </w:rPr>
        <w:t>Community act</w:t>
      </w:r>
      <w:r>
        <w:t xml:space="preserve"> the duties of the local authorities and the health care organizations were modified. The act has divided the responsibilities of the two authorities (Swlstg.nhs.uk. 2020). The role of the local authorities is to help the local disabled people by providing them necessary services and giving them important requirements. The act focuses on</w:t>
      </w:r>
      <w:r w:rsidR="00EF33DD">
        <w:t xml:space="preserve"> the persons care</w:t>
      </w:r>
      <w:r w:rsidR="005632FE">
        <w:t xml:space="preserve"> and requirements,</w:t>
      </w:r>
      <w:r>
        <w:t xml:space="preserve"> Under the Community Act 1990, the Community care service section secures </w:t>
      </w:r>
      <w:r w:rsidR="005632FE">
        <w:t xml:space="preserve">the persons needs like providing them a home in a safe environment and provides </w:t>
      </w:r>
      <w:r>
        <w:t xml:space="preserve">the </w:t>
      </w:r>
      <w:r w:rsidR="00FF7349">
        <w:t>appropriate care,</w:t>
      </w:r>
      <w:r>
        <w:t xml:space="preserve"> (Legislation.gov.uk. 2020).</w:t>
      </w:r>
      <w:r w:rsidR="00FF7349">
        <w:t xml:space="preserve"> </w:t>
      </w:r>
      <w:proofErr w:type="gramStart"/>
      <w:r w:rsidR="00FF7349">
        <w:t>Also</w:t>
      </w:r>
      <w:proofErr w:type="gramEnd"/>
      <w:r>
        <w:t xml:space="preserve"> </w:t>
      </w:r>
      <w:r w:rsidR="00FF7349">
        <w:t>t</w:t>
      </w:r>
      <w:r>
        <w:t xml:space="preserve">he </w:t>
      </w:r>
      <w:r>
        <w:rPr>
          <w:b/>
        </w:rPr>
        <w:t xml:space="preserve">Revolving Door Syndrome Act </w:t>
      </w:r>
      <w:r>
        <w:t>is another legislation that has been executed by the UK govt. in the 20</w:t>
      </w:r>
      <w:r>
        <w:rPr>
          <w:vertAlign w:val="superscript"/>
        </w:rPr>
        <w:t>th</w:t>
      </w:r>
      <w:r>
        <w:t xml:space="preserve"> Century to provide facilities to the patients who need to be admitted in the hospital on a regular basis. This act provides extra benefits to the patients so that they </w:t>
      </w:r>
      <w:proofErr w:type="gramStart"/>
      <w:r>
        <w:t>don’t</w:t>
      </w:r>
      <w:proofErr w:type="gramEnd"/>
      <w:r>
        <w:t xml:space="preserve"> require to stand in a long queue of line for taking admission in the hospital (</w:t>
      </w:r>
      <w:proofErr w:type="spellStart"/>
      <w:r>
        <w:t>Fritscher</w:t>
      </w:r>
      <w:proofErr w:type="spellEnd"/>
      <w:r>
        <w:t xml:space="preserve">, 2019). In severe cases, the act provides protection to the patients and the health care </w:t>
      </w:r>
      <w:proofErr w:type="spellStart"/>
      <w:r>
        <w:t>centre</w:t>
      </w:r>
      <w:proofErr w:type="spellEnd"/>
      <w:r>
        <w:t xml:space="preserve"> needs to provide full facilities to the patients by eliminating all the other issues and providing them with proper care and treatment. This act mostly provides safet</w:t>
      </w:r>
      <w:r w:rsidR="00FF7349">
        <w:t>y to the person</w:t>
      </w:r>
      <w:r>
        <w:t xml:space="preserve">. The </w:t>
      </w:r>
      <w:r>
        <w:rPr>
          <w:b/>
        </w:rPr>
        <w:t>Equality Act</w:t>
      </w:r>
      <w:r>
        <w:t xml:space="preserve"> </w:t>
      </w:r>
      <w:r w:rsidR="00FF7349">
        <w:t>came</w:t>
      </w:r>
      <w:r>
        <w:t xml:space="preserve"> into force in 2010 but it has brought several acts under one umbrella and creates full facilities and protection to the individuals suffering from mental health issue, discrimination, </w:t>
      </w:r>
      <w:proofErr w:type="gramStart"/>
      <w:r>
        <w:t>harassment</w:t>
      </w:r>
      <w:proofErr w:type="gramEnd"/>
      <w:r>
        <w:t xml:space="preserve"> or any other issues related to inequality. This Act has created a huge change in the legislation of the UK as it has empowered individuals who were </w:t>
      </w:r>
      <w:r>
        <w:lastRenderedPageBreak/>
        <w:t xml:space="preserve">facing several issues that are affecting their mental health in a direct way (England.nhs.uk. 2020). This Act has also made the individuals </w:t>
      </w:r>
      <w:proofErr w:type="gramStart"/>
      <w:r>
        <w:t>more confident and strong</w:t>
      </w:r>
      <w:proofErr w:type="gramEnd"/>
      <w:r>
        <w:t xml:space="preserve"> which helps them to enjoy and avail the facilities of the societal rights without facing any discrimination. There are several sections of the Equality Act which has focused on the mental health of the individuals which includes section 60 of </w:t>
      </w:r>
      <w:proofErr w:type="gramStart"/>
      <w:r>
        <w:t>the this</w:t>
      </w:r>
      <w:proofErr w:type="gramEnd"/>
      <w:r>
        <w:t xml:space="preserve"> act implies that if any people ask any mental illness individual about their mental health then it is necessary for them to keep the patient adequate time and their own space to open up and tell their problems (GOV.UK. 2020). The section 149 of this act highlights that it is important to create a good communication and relation with the individuals suffering from mental health issues and it has given legally implemented that every public and private bodies should eliminate discrimination, abuses, bullying, harassment, </w:t>
      </w:r>
      <w:proofErr w:type="spellStart"/>
      <w:r>
        <w:t>victimisation</w:t>
      </w:r>
      <w:proofErr w:type="spellEnd"/>
      <w:r>
        <w:t xml:space="preserve"> from their workplace area and provide equal opportunity for everyone and extra facility or benefits to the vulnerable employees or the employees facing any kind of mental health issues (England.nhs.uk. 2019). The changes have been modified in a better way with the implementation of another legislation act which the </w:t>
      </w:r>
      <w:r>
        <w:rPr>
          <w:b/>
        </w:rPr>
        <w:t>Health and Social Care Act</w:t>
      </w:r>
      <w:r>
        <w:t xml:space="preserve"> of 2012</w:t>
      </w:r>
      <w:r w:rsidR="00FF7349">
        <w:t xml:space="preserve"> is connected to the public health of England</w:t>
      </w:r>
      <w:r w:rsidR="000E392C">
        <w:t xml:space="preserve"> which</w:t>
      </w:r>
      <w:r>
        <w:t xml:space="preserve"> provide better facilities to the mental disorder individuals (Discrimination and mental health. 2018). This act has brought several changes and has improved and modified the health care </w:t>
      </w:r>
      <w:proofErr w:type="spellStart"/>
      <w:r>
        <w:t>centres</w:t>
      </w:r>
      <w:proofErr w:type="spellEnd"/>
      <w:r>
        <w:t xml:space="preserve"> of the local communi</w:t>
      </w:r>
      <w:r w:rsidR="000E392C">
        <w:t>ty</w:t>
      </w:r>
      <w:r>
        <w:t xml:space="preserve">. The </w:t>
      </w:r>
      <w:r w:rsidR="00460827">
        <w:t>target</w:t>
      </w:r>
      <w:r>
        <w:t xml:space="preserve"> behind implementing the Act of 2012 is to eliminate or maximize the inequality process that occurs during the treatment of the mental health by creating equal opportunities and facilities to </w:t>
      </w:r>
      <w:proofErr w:type="gramStart"/>
      <w:r>
        <w:t>each and every</w:t>
      </w:r>
      <w:proofErr w:type="gramEnd"/>
      <w:r>
        <w:t xml:space="preserve"> individual facing mental health issues and problems. The act has </w:t>
      </w:r>
      <w:r w:rsidR="00460827">
        <w:t>helped mental health patients also the health of the community.</w:t>
      </w:r>
      <w:r>
        <w:t xml:space="preserve"> The govt. of the UK has brought several changes in the legislations to provide effective facilities to the individuals and to improve the mental condition of every individual suffering from mental disorders (Cavamh.org.uk. 2019).  </w:t>
      </w:r>
    </w:p>
    <w:p w14:paraId="00000044" w14:textId="77777777" w:rsidR="00BF284D" w:rsidRDefault="001F1758">
      <w:pPr>
        <w:pStyle w:val="Heading2"/>
        <w:ind w:left="-5" w:right="0" w:firstLine="0"/>
      </w:pPr>
      <w:bookmarkStart w:id="4" w:name="_heading=h.2et92p0" w:colFirst="0" w:colLast="0"/>
      <w:bookmarkEnd w:id="4"/>
      <w:r>
        <w:t>Inclusion and exclusion</w:t>
      </w:r>
      <w:r>
        <w:rPr>
          <w:rFonts w:ascii="Times New Roman" w:eastAsia="Times New Roman" w:hAnsi="Times New Roman" w:cs="Times New Roman"/>
        </w:rPr>
        <w:t xml:space="preserve"> </w:t>
      </w:r>
    </w:p>
    <w:p w14:paraId="00000045" w14:textId="645EC9DD" w:rsidR="00BF284D" w:rsidRDefault="001F1758">
      <w:pPr>
        <w:ind w:left="-5" w:firstLine="0"/>
      </w:pPr>
      <w:r>
        <w:t xml:space="preserve">Social exclusion can be defined as the multidimensional process driven by the interacting relationship among the political, social, </w:t>
      </w:r>
      <w:proofErr w:type="gramStart"/>
      <w:r>
        <w:t>cultural</w:t>
      </w:r>
      <w:proofErr w:type="gramEnd"/>
      <w:r>
        <w:t xml:space="preserve"> and economic factors that have a significant impact on individual, community and global level regarding mental illness (</w:t>
      </w:r>
      <w:proofErr w:type="spellStart"/>
      <w:r>
        <w:t>Gronholm</w:t>
      </w:r>
      <w:proofErr w:type="spellEnd"/>
      <w:r>
        <w:t xml:space="preserve"> </w:t>
      </w:r>
      <w:r>
        <w:rPr>
          <w:i/>
        </w:rPr>
        <w:t>et al</w:t>
      </w:r>
      <w:r>
        <w:t xml:space="preserve">., 2017). On the other hand, social inclusion can be related to the rights for persons with disabilities in the UK that involves the feeling of acceptance and removal of structural barriers for the people with mental illness to participate in social activities (Fisk </w:t>
      </w:r>
      <w:r>
        <w:rPr>
          <w:i/>
        </w:rPr>
        <w:t>et al</w:t>
      </w:r>
      <w:r>
        <w:t xml:space="preserve">., 2018). Stigma can be considered as one of the significant examples of social exclusion that involves mental </w:t>
      </w:r>
      <w:r w:rsidR="005B3063">
        <w:t>health</w:t>
      </w:r>
      <w:r>
        <w:t xml:space="preserve">. Across the UK, stigmatizing beliefs act as discriminatory and unpredictable </w:t>
      </w:r>
      <w:proofErr w:type="spellStart"/>
      <w:r>
        <w:t>behaviour</w:t>
      </w:r>
      <w:proofErr w:type="spellEnd"/>
      <w:r>
        <w:t>.</w:t>
      </w:r>
      <w:r w:rsidR="005B3063">
        <w:t xml:space="preserve"> Many individuals related to</w:t>
      </w:r>
      <w:r>
        <w:t xml:space="preserve"> mental</w:t>
      </w:r>
      <w:r w:rsidR="005B3063">
        <w:t xml:space="preserve"> health</w:t>
      </w:r>
      <w:r>
        <w:t xml:space="preserve"> are</w:t>
      </w:r>
      <w:r w:rsidR="005B3063">
        <w:t xml:space="preserve"> not considered fit for work </w:t>
      </w:r>
      <w:r>
        <w:t>in the country that is considered as economic exclusion due to social-cultural exclusion</w:t>
      </w:r>
      <w:r w:rsidR="00A272CF">
        <w:t>.</w:t>
      </w:r>
      <w:r>
        <w:t xml:space="preserve"> (Ribeiro </w:t>
      </w:r>
      <w:r>
        <w:rPr>
          <w:i/>
        </w:rPr>
        <w:t>et al</w:t>
      </w:r>
      <w:r>
        <w:t xml:space="preserve">., 2017). </w:t>
      </w:r>
    </w:p>
    <w:p w14:paraId="00000046" w14:textId="58C3F17A" w:rsidR="00BF284D" w:rsidRDefault="001F1758">
      <w:pPr>
        <w:spacing w:after="257"/>
        <w:ind w:left="-5" w:firstLine="0"/>
      </w:pPr>
      <w:r>
        <w:lastRenderedPageBreak/>
        <w:t>The human right acts in the UK have the goal to promote social inclusion among the people with mental illness to meet a people-</w:t>
      </w:r>
      <w:proofErr w:type="spellStart"/>
      <w:r>
        <w:t>centred</w:t>
      </w:r>
      <w:proofErr w:type="spellEnd"/>
      <w:r>
        <w:t xml:space="preserve"> mental health care (Fenton </w:t>
      </w:r>
      <w:r>
        <w:rPr>
          <w:i/>
        </w:rPr>
        <w:t>et al</w:t>
      </w:r>
      <w:r>
        <w:t>., 2017). It has the purpose to r</w:t>
      </w:r>
      <w:r w:rsidR="00C97A7C">
        <w:t>educe barriers</w:t>
      </w:r>
      <w:r>
        <w:t xml:space="preserve">. It is promoted through employment, legislative protection, community-based </w:t>
      </w:r>
      <w:proofErr w:type="gramStart"/>
      <w:r>
        <w:t>care</w:t>
      </w:r>
      <w:proofErr w:type="gramEnd"/>
      <w:r>
        <w:t xml:space="preserve"> and anti-stigma interventions. The employment programs for people with mental disorders are the significant evidence of interventions to minimize mental health stigma in the UK (Diallo </w:t>
      </w:r>
      <w:r>
        <w:rPr>
          <w:i/>
        </w:rPr>
        <w:t>et al</w:t>
      </w:r>
      <w:r>
        <w:t xml:space="preserve">., 2017). However, social exclusion can differ in different cultures and the gaps between the lower and higher income status people in the UK can be considered as one of the significant factors of social exclusion. Health inequalities in the UK are very much common between the lower and upper deprived people and it also influence discrimination towards the people with mental disorder. Investment in social inclusion and production systems has a positive impact on the mental well-being of the people by bringing them into employment and education so that economic exclusion can be avoided (Schnyder </w:t>
      </w:r>
      <w:r>
        <w:rPr>
          <w:i/>
        </w:rPr>
        <w:t>et al</w:t>
      </w:r>
      <w:r>
        <w:t xml:space="preserve">., 2017). On the other hand, by enforcing restrictions to the rights and acts related to the people with mental health problems, social inclusion can be promoted through the adequate actions of the government agencies and the legal frameworks must be regularly evaluated with an appropriate collaboration between the criminal justice system and mental health system in the UK. Social inclusion needs to be promoted into mental health policies so that the people with mental health issues have appropriate information related to their rights and support (Bell </w:t>
      </w:r>
      <w:r>
        <w:rPr>
          <w:i/>
        </w:rPr>
        <w:t>et al</w:t>
      </w:r>
      <w:r>
        <w:t xml:space="preserve">., 2017). </w:t>
      </w:r>
    </w:p>
    <w:p w14:paraId="00000047" w14:textId="77777777" w:rsidR="00BF284D" w:rsidRDefault="001F1758">
      <w:pPr>
        <w:pStyle w:val="Heading2"/>
        <w:ind w:left="-5" w:right="0" w:firstLine="0"/>
      </w:pPr>
      <w:bookmarkStart w:id="5" w:name="_heading=h.tyjcwt" w:colFirst="0" w:colLast="0"/>
      <w:bookmarkEnd w:id="5"/>
      <w:r>
        <w:t xml:space="preserve">Recommendations for further improvements </w:t>
      </w:r>
    </w:p>
    <w:p w14:paraId="00000048" w14:textId="23ADFC60" w:rsidR="00BF284D" w:rsidRDefault="001F1758">
      <w:pPr>
        <w:numPr>
          <w:ilvl w:val="0"/>
          <w:numId w:val="1"/>
        </w:numPr>
        <w:spacing w:after="12"/>
        <w:ind w:hanging="360"/>
      </w:pPr>
      <w:r>
        <w:t>It can be recommended to intensify the legislative provisions in the UK that can promote</w:t>
      </w:r>
      <w:r w:rsidR="00460827">
        <w:t xml:space="preserve"> </w:t>
      </w:r>
      <w:r>
        <w:t>safeguard</w:t>
      </w:r>
      <w:r w:rsidR="00460827">
        <w:t>ing</w:t>
      </w:r>
      <w:r>
        <w:t xml:space="preserve"> with</w:t>
      </w:r>
      <w:r w:rsidR="0092584C">
        <w:t xml:space="preserve"> patients with </w:t>
      </w:r>
      <w:r>
        <w:t xml:space="preserve">mental </w:t>
      </w:r>
      <w:r w:rsidR="0092584C">
        <w:t>health</w:t>
      </w:r>
      <w:r>
        <w:t xml:space="preserve"> and provide them proper recognition to mitigate social exclusion (</w:t>
      </w:r>
      <w:proofErr w:type="spellStart"/>
      <w:r>
        <w:t>Luchenski</w:t>
      </w:r>
      <w:proofErr w:type="spellEnd"/>
      <w:r>
        <w:t xml:space="preserve"> et al., 2018). </w:t>
      </w:r>
    </w:p>
    <w:p w14:paraId="00000049" w14:textId="2C3C5726" w:rsidR="00BF284D" w:rsidRDefault="001F1758">
      <w:pPr>
        <w:numPr>
          <w:ilvl w:val="0"/>
          <w:numId w:val="1"/>
        </w:numPr>
        <w:ind w:hanging="360"/>
      </w:pPr>
      <w:r>
        <w:t>Community-based mental health support can be planned and developed by adopting a community development approach that can establish a sustainable partnership between the local communities and</w:t>
      </w:r>
      <w:r w:rsidR="0092584C">
        <w:t xml:space="preserve"> individuals</w:t>
      </w:r>
      <w:r>
        <w:t xml:space="preserve"> with mental </w:t>
      </w:r>
      <w:r w:rsidR="0092584C">
        <w:t>health</w:t>
      </w:r>
      <w:r>
        <w:t xml:space="preserve"> (</w:t>
      </w:r>
      <w:proofErr w:type="spellStart"/>
      <w:r>
        <w:t>Iasiello</w:t>
      </w:r>
      <w:proofErr w:type="spellEnd"/>
      <w:r>
        <w:t xml:space="preserve"> and Van </w:t>
      </w:r>
      <w:proofErr w:type="spellStart"/>
      <w:r>
        <w:t>Agteren</w:t>
      </w:r>
      <w:proofErr w:type="spellEnd"/>
      <w:r>
        <w:t xml:space="preserve">, 2020). </w:t>
      </w:r>
    </w:p>
    <w:p w14:paraId="0000004A" w14:textId="5B856F5C" w:rsidR="00BF284D" w:rsidRDefault="001F1758">
      <w:pPr>
        <w:numPr>
          <w:ilvl w:val="0"/>
          <w:numId w:val="1"/>
        </w:numPr>
        <w:spacing w:after="257"/>
        <w:ind w:hanging="360"/>
      </w:pPr>
      <w:r>
        <w:t>By promoting direct interaction with the</w:t>
      </w:r>
      <w:r w:rsidR="0092584C">
        <w:t xml:space="preserve"> mentally ill</w:t>
      </w:r>
      <w:r>
        <w:t xml:space="preserve"> people and facilitating education, misconceptions and prejudicial beliefs about mental illness can be reduced. </w:t>
      </w:r>
    </w:p>
    <w:p w14:paraId="0000004B" w14:textId="77777777" w:rsidR="00BF284D" w:rsidRDefault="001F1758">
      <w:pPr>
        <w:pStyle w:val="Heading2"/>
        <w:ind w:left="-5" w:right="0" w:firstLine="0"/>
      </w:pPr>
      <w:bookmarkStart w:id="6" w:name="_heading=h.3dy6vkm" w:colFirst="0" w:colLast="0"/>
      <w:bookmarkEnd w:id="6"/>
      <w:r>
        <w:t xml:space="preserve">Conclusion </w:t>
      </w:r>
    </w:p>
    <w:p w14:paraId="0000004C" w14:textId="77777777" w:rsidR="00BF284D" w:rsidRDefault="001F1758">
      <w:pPr>
        <w:ind w:left="-5" w:firstLine="0"/>
      </w:pPr>
      <w:r>
        <w:t xml:space="preserve">The task has explained the various ways the UK govt. is supporting and providing facilities to the individuals suffering from mental disorders. The report has also discussed the historical acts implemented before the 20th century and the changes that have been made in the </w:t>
      </w:r>
      <w:r>
        <w:lastRenderedPageBreak/>
        <w:t>legislations from the 20</w:t>
      </w:r>
      <w:r>
        <w:rPr>
          <w:vertAlign w:val="superscript"/>
        </w:rPr>
        <w:t>th</w:t>
      </w:r>
      <w:r>
        <w:t xml:space="preserve"> century to provide security and benefits to the mental disorder individuals. </w:t>
      </w:r>
    </w:p>
    <w:p w14:paraId="0000004D" w14:textId="77777777" w:rsidR="00BF284D" w:rsidRDefault="001F1758">
      <w:pPr>
        <w:spacing w:after="0" w:line="259" w:lineRule="auto"/>
        <w:ind w:left="0" w:firstLine="0"/>
        <w:jc w:val="left"/>
      </w:pPr>
      <w:r>
        <w:t xml:space="preserve"> </w:t>
      </w:r>
      <w:r>
        <w:tab/>
        <w:t xml:space="preserve"> </w:t>
      </w:r>
      <w:r>
        <w:br w:type="page"/>
      </w:r>
    </w:p>
    <w:p w14:paraId="0000004E" w14:textId="77777777" w:rsidR="00BF284D" w:rsidRDefault="001F1758">
      <w:pPr>
        <w:pStyle w:val="Heading1"/>
        <w:spacing w:after="63"/>
        <w:ind w:left="-5" w:right="0" w:firstLine="0"/>
      </w:pPr>
      <w:bookmarkStart w:id="7" w:name="_heading=h.1t3h5sf" w:colFirst="0" w:colLast="0"/>
      <w:bookmarkEnd w:id="7"/>
      <w:r>
        <w:lastRenderedPageBreak/>
        <w:t xml:space="preserve">Reference List </w:t>
      </w:r>
    </w:p>
    <w:p w14:paraId="0000004F" w14:textId="77777777" w:rsidR="00BF284D" w:rsidRDefault="00BF284D"/>
    <w:p w14:paraId="00000050" w14:textId="77777777" w:rsidR="00BF284D" w:rsidRDefault="001F1758">
      <w:pPr>
        <w:ind w:left="-5" w:firstLine="0"/>
      </w:pPr>
      <w:r>
        <w:t xml:space="preserve">Bell, I.H., Lim, M.H., </w:t>
      </w:r>
      <w:proofErr w:type="spellStart"/>
      <w:r>
        <w:t>Rossell</w:t>
      </w:r>
      <w:proofErr w:type="spellEnd"/>
      <w:r>
        <w:t xml:space="preserve">, S.L. and Thomas, N. (2017) Ecological momentary assessment and intervention in the treatment of psychotic disorders: a systematic review. </w:t>
      </w:r>
      <w:r>
        <w:rPr>
          <w:i/>
        </w:rPr>
        <w:t>Psychiatric Services</w:t>
      </w:r>
      <w:r>
        <w:t xml:space="preserve">, </w:t>
      </w:r>
      <w:r>
        <w:rPr>
          <w:i/>
        </w:rPr>
        <w:t>68</w:t>
      </w:r>
      <w:r>
        <w:t xml:space="preserve">(11), pp.1172-1181. </w:t>
      </w:r>
    </w:p>
    <w:p w14:paraId="00000051" w14:textId="77777777" w:rsidR="00BF284D" w:rsidRDefault="001F1758">
      <w:pPr>
        <w:spacing w:after="2"/>
        <w:ind w:left="-5" w:firstLine="0"/>
      </w:pPr>
      <w:r>
        <w:t xml:space="preserve">Cavamh.org.uk. (2019) The National Health Service </w:t>
      </w:r>
      <w:proofErr w:type="gramStart"/>
      <w:r>
        <w:t>And</w:t>
      </w:r>
      <w:proofErr w:type="gramEnd"/>
      <w:r>
        <w:t xml:space="preserve"> Community Care Act 1990 - Cardiff And The Vale Mental Health Development Project. [online] Available at: </w:t>
      </w:r>
    </w:p>
    <w:p w14:paraId="00000052" w14:textId="77777777" w:rsidR="00BF284D" w:rsidRDefault="001F1758">
      <w:pPr>
        <w:ind w:left="-5" w:firstLine="0"/>
      </w:pPr>
      <w:r>
        <w:t xml:space="preserve">&lt;http://www.cavamh.org.uk/directories/mental-health-directory/legal-matters/the-nationalhealth-service-and-community-care-act-1990&gt; [Accessed 8 February 2021]. </w:t>
      </w:r>
    </w:p>
    <w:p w14:paraId="00000053" w14:textId="77777777" w:rsidR="00BF284D" w:rsidRDefault="001F1758">
      <w:pPr>
        <w:ind w:left="-5" w:firstLine="0"/>
      </w:pPr>
      <w:r>
        <w:t xml:space="preserve">Diallo, T.M., Morin, A.J. and Lu, H. (2017) The impact of total and partial inclusion or exclusion of active and inactive time invariant covariates in growth mixture models. </w:t>
      </w:r>
      <w:r>
        <w:rPr>
          <w:i/>
        </w:rPr>
        <w:t>Psychological methods</w:t>
      </w:r>
      <w:r>
        <w:t xml:space="preserve">, </w:t>
      </w:r>
      <w:r>
        <w:rPr>
          <w:i/>
        </w:rPr>
        <w:t>22</w:t>
      </w:r>
      <w:r>
        <w:t xml:space="preserve">(1), p.166. </w:t>
      </w:r>
    </w:p>
    <w:p w14:paraId="00000058" w14:textId="77777777" w:rsidR="00BF284D" w:rsidRDefault="001F1758" w:rsidP="00620A83">
      <w:pPr>
        <w:ind w:left="0" w:firstLine="0"/>
      </w:pPr>
      <w:proofErr w:type="spellStart"/>
      <w:r>
        <w:t>Faiad</w:t>
      </w:r>
      <w:proofErr w:type="spellEnd"/>
      <w:r>
        <w:t xml:space="preserve">, Y., Khoury, B., </w:t>
      </w:r>
      <w:proofErr w:type="spellStart"/>
      <w:r>
        <w:t>Daouk</w:t>
      </w:r>
      <w:proofErr w:type="spellEnd"/>
      <w:r>
        <w:t xml:space="preserve">, S., Maj, M., Keeley, J., </w:t>
      </w:r>
      <w:proofErr w:type="spellStart"/>
      <w:r>
        <w:t>Gureje</w:t>
      </w:r>
      <w:proofErr w:type="spellEnd"/>
      <w:r>
        <w:t xml:space="preserve">, O. and Reed, G. (2018) Frequency of use of the International Classification of Diseases ICD-10 diagnostic categories for mental and </w:t>
      </w:r>
      <w:proofErr w:type="spellStart"/>
      <w:r>
        <w:t>behavioural</w:t>
      </w:r>
      <w:proofErr w:type="spellEnd"/>
      <w:r>
        <w:t xml:space="preserve"> disorders across world regions. </w:t>
      </w:r>
      <w:r>
        <w:rPr>
          <w:i/>
        </w:rPr>
        <w:t>Epidemiology and psychiatric sciences</w:t>
      </w:r>
      <w:r>
        <w:t xml:space="preserve">, </w:t>
      </w:r>
      <w:r>
        <w:rPr>
          <w:i/>
        </w:rPr>
        <w:t>27</w:t>
      </w:r>
      <w:r>
        <w:t xml:space="preserve">(6), p.568. </w:t>
      </w:r>
    </w:p>
    <w:p w14:paraId="00000059" w14:textId="77777777" w:rsidR="00BF284D" w:rsidRDefault="001F1758">
      <w:pPr>
        <w:ind w:left="-5" w:firstLine="0"/>
      </w:pPr>
      <w:r>
        <w:t>Fenton, L., White, C., Gallant, K.A., Gilbert, R., Hutchinson, S., Hamilton-</w:t>
      </w:r>
      <w:proofErr w:type="spellStart"/>
      <w:r>
        <w:t>Hinch</w:t>
      </w:r>
      <w:proofErr w:type="spellEnd"/>
      <w:r>
        <w:t xml:space="preserve">, B. and </w:t>
      </w:r>
      <w:proofErr w:type="spellStart"/>
      <w:r>
        <w:t>Lauckner</w:t>
      </w:r>
      <w:proofErr w:type="spellEnd"/>
      <w:r>
        <w:t xml:space="preserve">, H. (2017) The benefits of recreation for the recovery and social inclusion of individuals with mental illness: An integrative review. </w:t>
      </w:r>
      <w:r>
        <w:rPr>
          <w:i/>
        </w:rPr>
        <w:t>Leisure Sciences</w:t>
      </w:r>
      <w:r>
        <w:t xml:space="preserve">, </w:t>
      </w:r>
      <w:r>
        <w:rPr>
          <w:i/>
        </w:rPr>
        <w:t>39</w:t>
      </w:r>
      <w:r>
        <w:t xml:space="preserve">(1), pp.1-19. </w:t>
      </w:r>
    </w:p>
    <w:p w14:paraId="0000005A" w14:textId="77777777" w:rsidR="00BF284D" w:rsidRDefault="001F1758">
      <w:pPr>
        <w:ind w:left="-5" w:firstLine="0"/>
      </w:pPr>
      <w:r>
        <w:t xml:space="preserve">Fisk, R.P., Dean, A.M., </w:t>
      </w:r>
      <w:proofErr w:type="spellStart"/>
      <w:r>
        <w:t>Alkire</w:t>
      </w:r>
      <w:proofErr w:type="spellEnd"/>
      <w:r>
        <w:t xml:space="preserve">, L., Joubert, A., </w:t>
      </w:r>
      <w:proofErr w:type="spellStart"/>
      <w:r>
        <w:t>Previte</w:t>
      </w:r>
      <w:proofErr w:type="spellEnd"/>
      <w:r>
        <w:t xml:space="preserve">, J., Robertson, N. and Rosenbaum, M.S. (2018) Design for service inclusion: creating inclusive service systems by 2050. </w:t>
      </w:r>
      <w:r>
        <w:rPr>
          <w:i/>
        </w:rPr>
        <w:t>Journal of Service Management</w:t>
      </w:r>
      <w:r>
        <w:t xml:space="preserve">. </w:t>
      </w:r>
    </w:p>
    <w:p w14:paraId="0000005E" w14:textId="679B5091" w:rsidR="00BF284D" w:rsidRDefault="001F1758" w:rsidP="009F302C">
      <w:pPr>
        <w:spacing w:after="107" w:line="259" w:lineRule="auto"/>
        <w:ind w:left="-5" w:firstLine="0"/>
      </w:pPr>
      <w:r>
        <w:t xml:space="preserve"> </w:t>
      </w:r>
      <w:proofErr w:type="spellStart"/>
      <w:r>
        <w:t>Gronholm</w:t>
      </w:r>
      <w:proofErr w:type="spellEnd"/>
      <w:r>
        <w:t>, P.C., Thornicroft, G., Laurens, K.R. and Evans-</w:t>
      </w:r>
      <w:proofErr w:type="spellStart"/>
      <w:r>
        <w:t>Lacko</w:t>
      </w:r>
      <w:proofErr w:type="spellEnd"/>
      <w:r>
        <w:t xml:space="preserve">, S. (2017) Mental </w:t>
      </w:r>
      <w:proofErr w:type="spellStart"/>
      <w:r>
        <w:t>healthrelated</w:t>
      </w:r>
      <w:proofErr w:type="spellEnd"/>
      <w:r>
        <w:t xml:space="preserve"> stigma and pathways to care for people at risk of psychotic disorders or experiencing first-episode psychosis: a systematic review. </w:t>
      </w:r>
      <w:r>
        <w:rPr>
          <w:i/>
        </w:rPr>
        <w:t>Psychological medicine</w:t>
      </w:r>
      <w:r>
        <w:t xml:space="preserve">, </w:t>
      </w:r>
      <w:r>
        <w:rPr>
          <w:i/>
        </w:rPr>
        <w:t>47</w:t>
      </w:r>
      <w:r>
        <w:t xml:space="preserve">(11), pp.1867-1879. </w:t>
      </w:r>
    </w:p>
    <w:p w14:paraId="00000061" w14:textId="3AFBDE5D" w:rsidR="00BF284D" w:rsidRDefault="001F1758" w:rsidP="003D2202">
      <w:pPr>
        <w:spacing w:after="111" w:line="259" w:lineRule="auto"/>
        <w:jc w:val="left"/>
      </w:pPr>
      <w:r>
        <w:t xml:space="preserve"> </w:t>
      </w:r>
    </w:p>
    <w:p w14:paraId="00000062" w14:textId="77777777" w:rsidR="00BF284D" w:rsidRDefault="001F1758">
      <w:pPr>
        <w:spacing w:after="2"/>
        <w:ind w:left="-5" w:firstLine="0"/>
      </w:pPr>
      <w:proofErr w:type="spellStart"/>
      <w:r>
        <w:t>Iasiello</w:t>
      </w:r>
      <w:proofErr w:type="spellEnd"/>
      <w:r>
        <w:t xml:space="preserve">, M. and Van </w:t>
      </w:r>
      <w:proofErr w:type="spellStart"/>
      <w:r>
        <w:t>Agteren</w:t>
      </w:r>
      <w:proofErr w:type="spellEnd"/>
      <w:r>
        <w:t xml:space="preserve">, J. (2020). Mental health and/or mental illness: A scoping review of the evidence and implications of the dual-continua model of mental health. </w:t>
      </w:r>
      <w:r>
        <w:rPr>
          <w:i/>
        </w:rPr>
        <w:t xml:space="preserve">Evidence Base: </w:t>
      </w:r>
    </w:p>
    <w:p w14:paraId="00000063" w14:textId="77777777" w:rsidR="00BF284D" w:rsidRDefault="001F1758">
      <w:pPr>
        <w:spacing w:after="267" w:line="259" w:lineRule="auto"/>
        <w:ind w:left="-5" w:firstLine="0"/>
        <w:jc w:val="left"/>
      </w:pPr>
      <w:r>
        <w:rPr>
          <w:i/>
        </w:rPr>
        <w:t>A journal of evidence reviews in key policy areas</w:t>
      </w:r>
      <w:r>
        <w:t xml:space="preserve">, (1), p.1. </w:t>
      </w:r>
    </w:p>
    <w:p w14:paraId="00000064" w14:textId="77777777" w:rsidR="00BF284D" w:rsidRDefault="001F1758">
      <w:pPr>
        <w:spacing w:after="107" w:line="259" w:lineRule="auto"/>
        <w:ind w:left="-5" w:firstLine="0"/>
      </w:pPr>
      <w:r>
        <w:t xml:space="preserve">Legislation.gov.uk. (2020) </w:t>
      </w:r>
      <w:r>
        <w:rPr>
          <w:i/>
        </w:rPr>
        <w:t>Mental Health (Approval Functions) Act 2012</w:t>
      </w:r>
      <w:r>
        <w:t xml:space="preserve">. [online] Available at: </w:t>
      </w:r>
    </w:p>
    <w:p w14:paraId="00000065" w14:textId="77777777" w:rsidR="00BF284D" w:rsidRDefault="001F1758">
      <w:pPr>
        <w:spacing w:after="267" w:line="259" w:lineRule="auto"/>
        <w:ind w:left="-5" w:firstLine="0"/>
      </w:pPr>
      <w:r>
        <w:t xml:space="preserve">&lt;https://www.legislation.gov.uk/ukpga/2012/18/contents&gt; [Accessed 8 February 2021]. </w:t>
      </w:r>
    </w:p>
    <w:p w14:paraId="00000066" w14:textId="77777777" w:rsidR="00BF284D" w:rsidRDefault="001F1758">
      <w:pPr>
        <w:ind w:left="-5" w:firstLine="0"/>
      </w:pPr>
      <w:r>
        <w:lastRenderedPageBreak/>
        <w:t xml:space="preserve">Legislation.gov.uk. (2020) </w:t>
      </w:r>
      <w:r>
        <w:rPr>
          <w:i/>
        </w:rPr>
        <w:t>Mental Health Act 1983</w:t>
      </w:r>
      <w:r>
        <w:t xml:space="preserve">. [online] Available at: &lt;https://www.legislation.gov.uk/ukpga/1983/20/contents&gt; [Accessed 8 February 2021]. </w:t>
      </w:r>
    </w:p>
    <w:p w14:paraId="00000067" w14:textId="77777777" w:rsidR="00BF284D" w:rsidRDefault="001F1758">
      <w:pPr>
        <w:ind w:left="-5" w:firstLine="0"/>
      </w:pPr>
      <w:proofErr w:type="spellStart"/>
      <w:r>
        <w:t>Luchenski</w:t>
      </w:r>
      <w:proofErr w:type="spellEnd"/>
      <w:r>
        <w:t>, S., Maguire, N., Aldridge, R.W., Hayward, A., Story, A., Perri, P., Withers, J., Clint, S., Fitzpatrick, S. and Hewett, N. (2018</w:t>
      </w:r>
      <w:proofErr w:type="gramStart"/>
      <w:r>
        <w:t>)  What</w:t>
      </w:r>
      <w:proofErr w:type="gramEnd"/>
      <w:r>
        <w:t xml:space="preserve"> works in inclusion health: overview of effective interventions for </w:t>
      </w:r>
      <w:proofErr w:type="spellStart"/>
      <w:r>
        <w:t>marginalised</w:t>
      </w:r>
      <w:proofErr w:type="spellEnd"/>
      <w:r>
        <w:t xml:space="preserve"> and excluded populations. </w:t>
      </w:r>
      <w:r>
        <w:rPr>
          <w:i/>
        </w:rPr>
        <w:t>The Lancet</w:t>
      </w:r>
      <w:r>
        <w:t xml:space="preserve">, </w:t>
      </w:r>
      <w:r>
        <w:rPr>
          <w:i/>
        </w:rPr>
        <w:t>391</w:t>
      </w:r>
      <w:r>
        <w:t xml:space="preserve">(10117), pp.266280. </w:t>
      </w:r>
    </w:p>
    <w:p w14:paraId="00000068" w14:textId="77777777" w:rsidR="00BF284D" w:rsidRDefault="001F1758">
      <w:pPr>
        <w:ind w:left="-5" w:firstLine="0"/>
      </w:pPr>
      <w:r>
        <w:t xml:space="preserve">Ribeiro, W.S., Bauer, A., Andrade, M.C.R., York-Smith, M., Pan, P.M., </w:t>
      </w:r>
      <w:proofErr w:type="spellStart"/>
      <w:r>
        <w:t>Pingani</w:t>
      </w:r>
      <w:proofErr w:type="spellEnd"/>
      <w:r>
        <w:t>, L., Knapp, M., Coutinho, E.S.F. and Evans-</w:t>
      </w:r>
      <w:proofErr w:type="spellStart"/>
      <w:r>
        <w:t>Lacko</w:t>
      </w:r>
      <w:proofErr w:type="spellEnd"/>
      <w:r>
        <w:t xml:space="preserve">, S. (2017) Income inequality and mental illness-related morbidity and resilience: a systematic review and meta-analysis. </w:t>
      </w:r>
      <w:r>
        <w:rPr>
          <w:i/>
        </w:rPr>
        <w:t>The Lancet Psychiatry</w:t>
      </w:r>
      <w:r>
        <w:t xml:space="preserve">, </w:t>
      </w:r>
      <w:r>
        <w:rPr>
          <w:i/>
        </w:rPr>
        <w:t>4</w:t>
      </w:r>
      <w:r>
        <w:t xml:space="preserve">(7), pp.554-562. </w:t>
      </w:r>
    </w:p>
    <w:p w14:paraId="00000069" w14:textId="77777777" w:rsidR="00BF284D" w:rsidRDefault="001F1758">
      <w:pPr>
        <w:spacing w:after="2"/>
        <w:ind w:left="-5" w:firstLine="0"/>
      </w:pPr>
      <w:r>
        <w:t xml:space="preserve">Schnyder, N., </w:t>
      </w:r>
      <w:proofErr w:type="spellStart"/>
      <w:r>
        <w:t>Panczak</w:t>
      </w:r>
      <w:proofErr w:type="spellEnd"/>
      <w:r>
        <w:t xml:space="preserve">, R., </w:t>
      </w:r>
      <w:proofErr w:type="spellStart"/>
      <w:r>
        <w:t>Groth</w:t>
      </w:r>
      <w:proofErr w:type="spellEnd"/>
      <w:r>
        <w:t>, N. and Schultze-</w:t>
      </w:r>
      <w:proofErr w:type="spellStart"/>
      <w:r>
        <w:t>Lutter</w:t>
      </w:r>
      <w:proofErr w:type="spellEnd"/>
      <w:r>
        <w:t xml:space="preserve">, F. (2017) Association between mental health-related stigma and active help-seeking: systematic review and meta-analysis. </w:t>
      </w:r>
    </w:p>
    <w:p w14:paraId="0000006C" w14:textId="7A02BCF2" w:rsidR="00BF284D" w:rsidRDefault="001F1758" w:rsidP="009D5174">
      <w:pPr>
        <w:spacing w:after="111" w:line="259" w:lineRule="auto"/>
        <w:ind w:left="-5" w:firstLine="0"/>
        <w:jc w:val="left"/>
      </w:pPr>
      <w:r>
        <w:t xml:space="preserve"> </w:t>
      </w:r>
    </w:p>
    <w:p w14:paraId="0000006F" w14:textId="3906DB28" w:rsidR="00BF284D" w:rsidRDefault="001F1758" w:rsidP="00714123">
      <w:pPr>
        <w:tabs>
          <w:tab w:val="center" w:pos="2546"/>
          <w:tab w:val="center" w:pos="4182"/>
          <w:tab w:val="center" w:pos="5449"/>
          <w:tab w:val="center" w:pos="6510"/>
          <w:tab w:val="center" w:pos="7828"/>
          <w:tab w:val="right" w:pos="9037"/>
        </w:tabs>
        <w:spacing w:after="114" w:line="259" w:lineRule="auto"/>
        <w:ind w:left="-15" w:firstLine="0"/>
        <w:jc w:val="left"/>
      </w:pPr>
      <w:r>
        <w:t xml:space="preserve"> </w:t>
      </w:r>
      <w:r>
        <w:rPr>
          <w:color w:val="222222"/>
        </w:rPr>
        <w:t xml:space="preserve">Wu, P., Gifford, A., Meng, X., Li, X., Campbell, H., Varley, T., Zhao, J., Carroll, R., </w:t>
      </w:r>
      <w:proofErr w:type="spellStart"/>
      <w:r>
        <w:rPr>
          <w:color w:val="222222"/>
        </w:rPr>
        <w:t>Bastarache</w:t>
      </w:r>
      <w:proofErr w:type="spellEnd"/>
      <w:r>
        <w:rPr>
          <w:color w:val="222222"/>
        </w:rPr>
        <w:t xml:space="preserve">, L., Denny, J.C. and </w:t>
      </w:r>
      <w:proofErr w:type="spellStart"/>
      <w:r>
        <w:rPr>
          <w:color w:val="222222"/>
        </w:rPr>
        <w:t>Theodoratou</w:t>
      </w:r>
      <w:proofErr w:type="spellEnd"/>
      <w:r>
        <w:rPr>
          <w:color w:val="222222"/>
        </w:rPr>
        <w:t xml:space="preserve">, E. (2019) Mapping ICD-10 and ICD-10-CM codes to </w:t>
      </w:r>
      <w:proofErr w:type="spellStart"/>
      <w:r>
        <w:rPr>
          <w:color w:val="222222"/>
        </w:rPr>
        <w:t>phecodes</w:t>
      </w:r>
      <w:proofErr w:type="spellEnd"/>
      <w:r>
        <w:rPr>
          <w:color w:val="222222"/>
        </w:rPr>
        <w:t xml:space="preserve">: workflow development and initial evaluation. </w:t>
      </w:r>
      <w:r>
        <w:rPr>
          <w:i/>
          <w:color w:val="222222"/>
        </w:rPr>
        <w:t>JMIR medical informatics</w:t>
      </w:r>
      <w:r>
        <w:rPr>
          <w:color w:val="222222"/>
        </w:rPr>
        <w:t xml:space="preserve">, </w:t>
      </w:r>
      <w:r>
        <w:rPr>
          <w:i/>
          <w:color w:val="222222"/>
        </w:rPr>
        <w:t>7</w:t>
      </w:r>
      <w:r>
        <w:rPr>
          <w:color w:val="222222"/>
        </w:rPr>
        <w:t xml:space="preserve">(4), p.e14325. </w:t>
      </w:r>
    </w:p>
    <w:p w14:paraId="00000070" w14:textId="77777777" w:rsidR="00BF284D" w:rsidRDefault="001F1758">
      <w:pPr>
        <w:spacing w:after="0" w:line="259" w:lineRule="auto"/>
        <w:ind w:left="0" w:firstLine="0"/>
        <w:jc w:val="left"/>
      </w:pPr>
      <w:r>
        <w:t xml:space="preserve"> </w:t>
      </w:r>
    </w:p>
    <w:sectPr w:rsidR="00BF284D">
      <w:footerReference w:type="even" r:id="rId8"/>
      <w:footerReference w:type="default" r:id="rId9"/>
      <w:footerReference w:type="first" r:id="rId10"/>
      <w:pgSz w:w="11905" w:h="16840"/>
      <w:pgMar w:top="1451" w:right="1427" w:bottom="1449" w:left="1441" w:header="720" w:footer="70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43EB1A" w14:textId="77777777" w:rsidR="00264E98" w:rsidRDefault="00264E98">
      <w:pPr>
        <w:spacing w:after="0" w:line="240" w:lineRule="auto"/>
      </w:pPr>
      <w:r>
        <w:separator/>
      </w:r>
    </w:p>
  </w:endnote>
  <w:endnote w:type="continuationSeparator" w:id="0">
    <w:p w14:paraId="598828A7" w14:textId="77777777" w:rsidR="00264E98" w:rsidRDefault="00264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Quattrocento Sans">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73" w14:textId="77777777" w:rsidR="00BF284D" w:rsidRDefault="001F1758">
    <w:pPr>
      <w:spacing w:after="0" w:line="259" w:lineRule="auto"/>
      <w:ind w:left="0" w:right="6" w:firstLine="0"/>
      <w:jc w:val="right"/>
    </w:pPr>
    <w:r>
      <w:fldChar w:fldCharType="begin"/>
    </w:r>
    <w:r>
      <w:instrText>PAGE</w:instrText>
    </w:r>
    <w:r>
      <w:fldChar w:fldCharType="end"/>
    </w:r>
    <w:r>
      <w:t xml:space="preserve"> </w:t>
    </w:r>
  </w:p>
  <w:p w14:paraId="00000074" w14:textId="77777777" w:rsidR="00BF284D" w:rsidRDefault="001F1758">
    <w:pPr>
      <w:spacing w:after="0" w:line="259" w:lineRule="auto"/>
      <w:ind w:left="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71" w14:textId="2E6E4A60" w:rsidR="00BF284D" w:rsidRDefault="001F1758">
    <w:pPr>
      <w:spacing w:after="0" w:line="259" w:lineRule="auto"/>
      <w:ind w:left="0" w:right="6" w:firstLine="0"/>
      <w:jc w:val="right"/>
    </w:pPr>
    <w:r>
      <w:fldChar w:fldCharType="begin"/>
    </w:r>
    <w:r>
      <w:instrText>PAGE</w:instrText>
    </w:r>
    <w:r>
      <w:fldChar w:fldCharType="separate"/>
    </w:r>
    <w:r w:rsidR="00DE16EA">
      <w:rPr>
        <w:noProof/>
      </w:rPr>
      <w:t>1</w:t>
    </w:r>
    <w:r>
      <w:fldChar w:fldCharType="end"/>
    </w:r>
    <w:r>
      <w:t xml:space="preserve"> </w:t>
    </w:r>
  </w:p>
  <w:p w14:paraId="00000072" w14:textId="77777777" w:rsidR="00BF284D" w:rsidRDefault="001F1758">
    <w:pPr>
      <w:spacing w:after="0" w:line="259" w:lineRule="auto"/>
      <w:ind w:left="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0000075" w14:textId="77777777" w:rsidR="00BF284D" w:rsidRDefault="001F1758">
    <w:pPr>
      <w:spacing w:after="0" w:line="259" w:lineRule="auto"/>
      <w:ind w:left="0" w:right="6" w:firstLine="0"/>
      <w:jc w:val="right"/>
    </w:pPr>
    <w:r>
      <w:fldChar w:fldCharType="begin"/>
    </w:r>
    <w:r>
      <w:instrText>PAGE</w:instrText>
    </w:r>
    <w:r>
      <w:fldChar w:fldCharType="end"/>
    </w:r>
    <w:r>
      <w:t xml:space="preserve"> </w:t>
    </w:r>
  </w:p>
  <w:p w14:paraId="00000076" w14:textId="77777777" w:rsidR="00BF284D" w:rsidRDefault="001F1758">
    <w:pPr>
      <w:spacing w:after="0" w:line="259" w:lineRule="auto"/>
      <w:ind w:left="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96D193F" w14:textId="77777777" w:rsidR="00264E98" w:rsidRDefault="00264E98">
      <w:pPr>
        <w:spacing w:after="0" w:line="240" w:lineRule="auto"/>
      </w:pPr>
      <w:r>
        <w:separator/>
      </w:r>
    </w:p>
  </w:footnote>
  <w:footnote w:type="continuationSeparator" w:id="0">
    <w:p w14:paraId="2D0FF513" w14:textId="77777777" w:rsidR="00264E98" w:rsidRDefault="00264E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0AE2C6F"/>
    <w:multiLevelType w:val="multilevel"/>
    <w:tmpl w:val="A88A3DEE"/>
    <w:lvl w:ilvl="0">
      <w:start w:val="1"/>
      <w:numFmt w:val="bullet"/>
      <w:lvlText w:val="•"/>
      <w:lvlJc w:val="left"/>
      <w:pPr>
        <w:ind w:left="721" w:hanging="721"/>
      </w:pPr>
      <w:rPr>
        <w:rFonts w:ascii="Arial" w:eastAsia="Arial" w:hAnsi="Arial" w:cs="Arial"/>
        <w:b w:val="0"/>
        <w:i w:val="0"/>
        <w:strike w:val="0"/>
        <w:color w:val="000000"/>
        <w:sz w:val="22"/>
        <w:szCs w:val="22"/>
        <w:u w:val="none"/>
        <w:shd w:val="clear" w:color="auto" w:fill="auto"/>
        <w:vertAlign w:val="baseline"/>
      </w:rPr>
    </w:lvl>
    <w:lvl w:ilvl="1">
      <w:start w:val="1"/>
      <w:numFmt w:val="bullet"/>
      <w:lvlText w:val="o"/>
      <w:lvlJc w:val="left"/>
      <w:pPr>
        <w:ind w:left="1441" w:hanging="144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2">
      <w:start w:val="1"/>
      <w:numFmt w:val="bullet"/>
      <w:lvlText w:val="▪"/>
      <w:lvlJc w:val="left"/>
      <w:pPr>
        <w:ind w:left="2161" w:hanging="21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3">
      <w:start w:val="1"/>
      <w:numFmt w:val="bullet"/>
      <w:lvlText w:val="•"/>
      <w:lvlJc w:val="left"/>
      <w:pPr>
        <w:ind w:left="2881" w:hanging="2881"/>
      </w:pPr>
      <w:rPr>
        <w:rFonts w:ascii="Arial" w:eastAsia="Arial" w:hAnsi="Arial" w:cs="Arial"/>
        <w:b w:val="0"/>
        <w:i w:val="0"/>
        <w:strike w:val="0"/>
        <w:color w:val="000000"/>
        <w:sz w:val="22"/>
        <w:szCs w:val="22"/>
        <w:u w:val="none"/>
        <w:shd w:val="clear" w:color="auto" w:fill="auto"/>
        <w:vertAlign w:val="baseline"/>
      </w:rPr>
    </w:lvl>
    <w:lvl w:ilvl="4">
      <w:start w:val="1"/>
      <w:numFmt w:val="bullet"/>
      <w:lvlText w:val="o"/>
      <w:lvlJc w:val="left"/>
      <w:pPr>
        <w:ind w:left="3601" w:hanging="360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5">
      <w:start w:val="1"/>
      <w:numFmt w:val="bullet"/>
      <w:lvlText w:val="▪"/>
      <w:lvlJc w:val="left"/>
      <w:pPr>
        <w:ind w:left="4321" w:hanging="432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6">
      <w:start w:val="1"/>
      <w:numFmt w:val="bullet"/>
      <w:lvlText w:val="•"/>
      <w:lvlJc w:val="left"/>
      <w:pPr>
        <w:ind w:left="5041" w:hanging="5041"/>
      </w:pPr>
      <w:rPr>
        <w:rFonts w:ascii="Arial" w:eastAsia="Arial" w:hAnsi="Arial" w:cs="Arial"/>
        <w:b w:val="0"/>
        <w:i w:val="0"/>
        <w:strike w:val="0"/>
        <w:color w:val="000000"/>
        <w:sz w:val="22"/>
        <w:szCs w:val="22"/>
        <w:u w:val="none"/>
        <w:shd w:val="clear" w:color="auto" w:fill="auto"/>
        <w:vertAlign w:val="baseline"/>
      </w:rPr>
    </w:lvl>
    <w:lvl w:ilvl="7">
      <w:start w:val="1"/>
      <w:numFmt w:val="bullet"/>
      <w:lvlText w:val="o"/>
      <w:lvlJc w:val="left"/>
      <w:pPr>
        <w:ind w:left="5761" w:hanging="5761"/>
      </w:pPr>
      <w:rPr>
        <w:rFonts w:ascii="Quattrocento Sans" w:eastAsia="Quattrocento Sans" w:hAnsi="Quattrocento Sans" w:cs="Quattrocento Sans"/>
        <w:b w:val="0"/>
        <w:i w:val="0"/>
        <w:strike w:val="0"/>
        <w:color w:val="000000"/>
        <w:sz w:val="22"/>
        <w:szCs w:val="22"/>
        <w:u w:val="none"/>
        <w:shd w:val="clear" w:color="auto" w:fill="auto"/>
        <w:vertAlign w:val="baseline"/>
      </w:rPr>
    </w:lvl>
    <w:lvl w:ilvl="8">
      <w:start w:val="1"/>
      <w:numFmt w:val="bullet"/>
      <w:lvlText w:val="▪"/>
      <w:lvlJc w:val="left"/>
      <w:pPr>
        <w:ind w:left="6481" w:hanging="6481"/>
      </w:pPr>
      <w:rPr>
        <w:rFonts w:ascii="Quattrocento Sans" w:eastAsia="Quattrocento Sans" w:hAnsi="Quattrocento Sans" w:cs="Quattrocento Sans"/>
        <w:b w:val="0"/>
        <w:i w:val="0"/>
        <w:strike w:val="0"/>
        <w:color w:val="000000"/>
        <w:sz w:val="22"/>
        <w:szCs w:val="22"/>
        <w:u w:val="none"/>
        <w:shd w:val="clear" w:color="auto" w:fill="auto"/>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84D"/>
    <w:rsid w:val="000E392C"/>
    <w:rsid w:val="001F1758"/>
    <w:rsid w:val="00264E98"/>
    <w:rsid w:val="003D2202"/>
    <w:rsid w:val="00460827"/>
    <w:rsid w:val="005632FE"/>
    <w:rsid w:val="005B3063"/>
    <w:rsid w:val="005D30E1"/>
    <w:rsid w:val="00620A83"/>
    <w:rsid w:val="00670947"/>
    <w:rsid w:val="00714123"/>
    <w:rsid w:val="0092584C"/>
    <w:rsid w:val="009D5174"/>
    <w:rsid w:val="009F302C"/>
    <w:rsid w:val="00A272CF"/>
    <w:rsid w:val="00BF284D"/>
    <w:rsid w:val="00C97A7C"/>
    <w:rsid w:val="00DE16EA"/>
    <w:rsid w:val="00EF33DD"/>
    <w:rsid w:val="00FF7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43E47D"/>
  <w15:docId w15:val="{8247085D-B404-4C65-9533-A84AE9C19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GB" w:bidi="ar-SA"/>
      </w:rPr>
    </w:rPrDefault>
    <w:pPrDefault>
      <w:pPr>
        <w:spacing w:after="160" w:line="359" w:lineRule="auto"/>
        <w:ind w:left="1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ind w:hanging="10"/>
    </w:pPr>
    <w:rPr>
      <w:color w:val="000000"/>
      <w:lang w:eastAsia="en-US" w:bidi="en-US"/>
    </w:rPr>
  </w:style>
  <w:style w:type="paragraph" w:styleId="Heading1">
    <w:name w:val="heading 1"/>
    <w:next w:val="Normal"/>
    <w:link w:val="Heading1Char"/>
    <w:uiPriority w:val="9"/>
    <w:qFormat/>
    <w:pPr>
      <w:keepNext/>
      <w:keepLines/>
      <w:spacing w:after="30"/>
      <w:ind w:right="13" w:hanging="10"/>
      <w:outlineLvl w:val="0"/>
    </w:pPr>
    <w:rPr>
      <w:b/>
      <w:color w:val="000000"/>
      <w:sz w:val="32"/>
    </w:rPr>
  </w:style>
  <w:style w:type="paragraph" w:styleId="Heading2">
    <w:name w:val="heading 2"/>
    <w:next w:val="Normal"/>
    <w:link w:val="Heading2Char"/>
    <w:uiPriority w:val="9"/>
    <w:unhideWhenUsed/>
    <w:qFormat/>
    <w:pPr>
      <w:keepNext/>
      <w:keepLines/>
      <w:spacing w:after="79"/>
      <w:ind w:right="1898" w:hanging="10"/>
      <w:outlineLvl w:val="1"/>
    </w:pPr>
    <w:rPr>
      <w:b/>
      <w:color w:val="000000"/>
      <w:sz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2Char">
    <w:name w:val="Heading 2 Char"/>
    <w:link w:val="Heading2"/>
    <w:rPr>
      <w:rFonts w:ascii="Arial" w:eastAsia="Arial" w:hAnsi="Arial" w:cs="Arial"/>
      <w:b/>
      <w:color w:val="000000"/>
      <w:sz w:val="28"/>
    </w:rPr>
  </w:style>
  <w:style w:type="character" w:customStyle="1" w:styleId="Heading1Char">
    <w:name w:val="Heading 1 Char"/>
    <w:link w:val="Heading1"/>
    <w:rPr>
      <w:rFonts w:ascii="Arial" w:eastAsia="Arial" w:hAnsi="Arial" w:cs="Arial"/>
      <w:b/>
      <w:color w:val="000000"/>
      <w:sz w:val="32"/>
    </w:rPr>
  </w:style>
  <w:style w:type="paragraph" w:styleId="TOC1">
    <w:name w:val="toc 1"/>
    <w:hidden/>
    <w:pPr>
      <w:spacing w:after="123" w:line="364" w:lineRule="auto"/>
      <w:ind w:left="25" w:right="23" w:hanging="10"/>
    </w:pPr>
    <w:rPr>
      <w:color w:val="000000"/>
    </w:rPr>
  </w:style>
  <w:style w:type="paragraph" w:styleId="TOC2">
    <w:name w:val="toc 2"/>
    <w:hidden/>
    <w:pPr>
      <w:spacing w:after="203"/>
      <w:ind w:left="245" w:right="23" w:hanging="10"/>
    </w:pPr>
    <w:rPr>
      <w:color w:val="000000"/>
    </w:rPr>
  </w:style>
  <w:style w:type="paragraph" w:styleId="Header">
    <w:name w:val="header"/>
    <w:basedOn w:val="Normal"/>
    <w:link w:val="HeaderChar"/>
    <w:uiPriority w:val="99"/>
    <w:unhideWhenUsed/>
    <w:rsid w:val="00CD23F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D23F1"/>
    <w:rPr>
      <w:rFonts w:ascii="Arial" w:eastAsia="Arial" w:hAnsi="Arial" w:cs="Arial"/>
      <w:color w:val="000000"/>
      <w:lang w:val="en-US" w:eastAsia="en-US" w:bidi="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LC5ygNqc9AN7gXmAKpOzuUGaNzQ==">AMUW2mV5RJTfJNWswQpM3UeGdNMhZDUZz5iZd8GtfYT2C2dK6R9oVQCbNHc21KoT+vzBFKi27yUWD/97bQxqLp1U8PwjdIzt1W6Pddovei1XnvUEWON2XlGBE/lqPcSgkGocJmm+qi3DmjZhCsMsRcpQ+k8rQDURaUf8/vY5uQJ0hyEQiC0ldNmNKlal+Jd8eeoGXzYkz4H93Ejpw7PC/Lj0HxIKNW51JrWRhfl77GtM9HqKthlyfl8=</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2239</Words>
  <Characters>12768</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salma begum</cp:lastModifiedBy>
  <cp:revision>2</cp:revision>
  <dcterms:created xsi:type="dcterms:W3CDTF">2021-02-26T08:00:00Z</dcterms:created>
  <dcterms:modified xsi:type="dcterms:W3CDTF">2021-02-26T08:00:00Z</dcterms:modified>
</cp:coreProperties>
</file>