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1000BB" w14:textId="5E5A0FA1" w:rsidR="00AD1EB5" w:rsidRDefault="00AD1EB5" w:rsidP="00AD1EB5">
      <w:pPr>
        <w:rPr>
          <w:rFonts w:eastAsiaTheme="majorEastAsia" w:cstheme="majorBidi"/>
          <w:b/>
          <w:spacing w:val="-10"/>
          <w:kern w:val="28"/>
          <w:sz w:val="28"/>
          <w:szCs w:val="56"/>
          <w:lang w:val="cy-GB"/>
        </w:rPr>
      </w:pPr>
      <w:r>
        <w:rPr>
          <w:noProof/>
        </w:rPr>
        <w:drawing>
          <wp:inline distT="0" distB="0" distL="0" distR="0" wp14:anchorId="24F04BAB" wp14:editId="3193AFBF">
            <wp:extent cx="1905000" cy="635000"/>
            <wp:effectExtent l="25400" t="25400" r="12700" b="12700"/>
            <wp:docPr id="1" name="Picture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401670ED" w14:textId="77777777" w:rsidR="00AD1EB5" w:rsidRDefault="00AD1EB5" w:rsidP="00AD1EB5">
      <w:pPr>
        <w:rPr>
          <w:rFonts w:eastAsiaTheme="majorEastAsia" w:cstheme="majorBidi"/>
          <w:b/>
          <w:spacing w:val="-10"/>
          <w:kern w:val="28"/>
          <w:sz w:val="28"/>
          <w:szCs w:val="56"/>
          <w:lang w:val="cy-GB"/>
        </w:rPr>
      </w:pPr>
    </w:p>
    <w:p w14:paraId="0FADE7F9" w14:textId="14483B1A" w:rsidR="00AD1EB5" w:rsidRPr="00AD1EB5" w:rsidRDefault="00AD1EB5" w:rsidP="00AD1EB5">
      <w:pPr>
        <w:jc w:val="center"/>
        <w:rPr>
          <w:rFonts w:eastAsiaTheme="majorEastAsia" w:cstheme="majorBidi"/>
          <w:b/>
          <w:spacing w:val="-10"/>
          <w:kern w:val="28"/>
          <w:sz w:val="28"/>
          <w:szCs w:val="56"/>
          <w:lang w:val="cy-GB"/>
        </w:rPr>
      </w:pPr>
      <w:r w:rsidRPr="00AD1EB5">
        <w:rPr>
          <w:rFonts w:eastAsiaTheme="majorEastAsia" w:cstheme="majorBidi"/>
          <w:b/>
          <w:spacing w:val="-10"/>
          <w:kern w:val="28"/>
          <w:sz w:val="28"/>
          <w:szCs w:val="56"/>
          <w:lang w:val="cy-GB"/>
        </w:rPr>
        <w:t>Postgraduate/Distance Learning</w:t>
      </w:r>
    </w:p>
    <w:p w14:paraId="77361DB9" w14:textId="1AEC182B" w:rsidR="00AD1EB5" w:rsidRPr="00AD1EB5" w:rsidRDefault="00AD1EB5" w:rsidP="00AD1EB5">
      <w:pPr>
        <w:jc w:val="center"/>
        <w:rPr>
          <w:rFonts w:eastAsiaTheme="majorEastAsia" w:cstheme="majorBidi"/>
          <w:b/>
          <w:spacing w:val="-10"/>
          <w:kern w:val="28"/>
          <w:sz w:val="28"/>
          <w:szCs w:val="56"/>
          <w:lang w:val="en-GB"/>
        </w:rPr>
      </w:pPr>
      <w:r w:rsidRPr="00AD1EB5">
        <w:rPr>
          <w:rFonts w:eastAsiaTheme="majorEastAsia" w:cstheme="majorBidi"/>
          <w:b/>
          <w:spacing w:val="-10"/>
          <w:kern w:val="28"/>
          <w:sz w:val="28"/>
          <w:szCs w:val="56"/>
          <w:lang w:val="cy-GB"/>
        </w:rPr>
        <w:t>Assignment coversheet &amp; feedback form</w:t>
      </w:r>
    </w:p>
    <w:p w14:paraId="25F247B5" w14:textId="77777777" w:rsidR="00AD1EB5" w:rsidRDefault="00AD1EB5" w:rsidP="00AD1EB5">
      <w:pPr>
        <w:jc w:val="center"/>
        <w:rPr>
          <w:rFonts w:eastAsiaTheme="majorEastAsia" w:cstheme="majorBidi"/>
          <w:b/>
          <w:bCs/>
          <w:spacing w:val="-10"/>
          <w:kern w:val="28"/>
          <w:sz w:val="20"/>
          <w:szCs w:val="20"/>
          <w:lang w:val="cy-GB"/>
        </w:rPr>
      </w:pPr>
    </w:p>
    <w:p w14:paraId="769C84BD" w14:textId="6E67FA17" w:rsidR="00AD1EB5" w:rsidRDefault="00AD1EB5" w:rsidP="00AD1EB5">
      <w:pPr>
        <w:jc w:val="center"/>
        <w:rPr>
          <w:rFonts w:eastAsiaTheme="majorEastAsia" w:cstheme="majorBidi"/>
          <w:b/>
          <w:bCs/>
          <w:spacing w:val="-10"/>
          <w:kern w:val="28"/>
          <w:sz w:val="20"/>
          <w:szCs w:val="20"/>
          <w:lang w:val="cy-GB"/>
        </w:rPr>
      </w:pPr>
      <w:r w:rsidRPr="00AD1EB5">
        <w:rPr>
          <w:rFonts w:eastAsiaTheme="majorEastAsia" w:cstheme="majorBidi"/>
          <w:b/>
          <w:bCs/>
          <w:spacing w:val="-10"/>
          <w:kern w:val="28"/>
          <w:sz w:val="20"/>
          <w:szCs w:val="20"/>
          <w:lang w:val="cy-GB"/>
        </w:rPr>
        <w:t>THIS SHEET MUST BE THE FIRST PAGE OF THE ASSIGNMENT YOU ARE</w:t>
      </w:r>
    </w:p>
    <w:p w14:paraId="32D6783E" w14:textId="4490507B" w:rsidR="00AD1EB5" w:rsidRPr="00AD1EB5" w:rsidRDefault="00AD1EB5" w:rsidP="00AD1EB5">
      <w:pPr>
        <w:jc w:val="center"/>
        <w:rPr>
          <w:rFonts w:eastAsiaTheme="majorEastAsia" w:cstheme="majorBidi"/>
          <w:b/>
          <w:bCs/>
          <w:spacing w:val="-10"/>
          <w:kern w:val="28"/>
          <w:sz w:val="20"/>
          <w:szCs w:val="20"/>
          <w:lang w:val="cy-GB"/>
        </w:rPr>
      </w:pPr>
      <w:r w:rsidRPr="00AD1EB5">
        <w:rPr>
          <w:rFonts w:eastAsiaTheme="majorEastAsia" w:cstheme="majorBidi"/>
          <w:b/>
          <w:bCs/>
          <w:spacing w:val="-10"/>
          <w:kern w:val="28"/>
          <w:sz w:val="20"/>
          <w:szCs w:val="20"/>
          <w:lang w:val="cy-GB"/>
        </w:rPr>
        <w:t xml:space="preserve"> SUBMITTING  (DO NOT SEND AS A SEPARATE FILE)</w:t>
      </w:r>
    </w:p>
    <w:p w14:paraId="5D186069" w14:textId="2C4DA4E3" w:rsidR="00AD1EB5" w:rsidRDefault="00AD1EB5">
      <w:pPr>
        <w:rPr>
          <w:rFonts w:eastAsiaTheme="majorEastAsia" w:cstheme="majorBidi"/>
          <w:spacing w:val="-10"/>
          <w:kern w:val="28"/>
          <w:sz w:val="28"/>
          <w:szCs w:val="56"/>
        </w:rPr>
      </w:pPr>
    </w:p>
    <w:tbl>
      <w:tblPr>
        <w:tblW w:w="944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2391"/>
      </w:tblGrid>
      <w:tr w:rsidR="00AD1EB5" w:rsidRPr="00230F35" w14:paraId="6BD83DA5" w14:textId="77777777" w:rsidTr="00AD1EB5">
        <w:trPr>
          <w:trHeight w:val="377"/>
        </w:trPr>
        <w:tc>
          <w:tcPr>
            <w:tcW w:w="9445" w:type="dxa"/>
            <w:gridSpan w:val="5"/>
          </w:tcPr>
          <w:p w14:paraId="0B378439" w14:textId="77777777" w:rsidR="00AD1EB5" w:rsidRPr="00230F35" w:rsidRDefault="00AD1EB5" w:rsidP="009B1791">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AD1EB5" w:rsidRPr="00230F35" w14:paraId="51CD516A" w14:textId="77777777" w:rsidTr="00AD1EB5">
        <w:trPr>
          <w:trHeight w:val="718"/>
        </w:trPr>
        <w:tc>
          <w:tcPr>
            <w:tcW w:w="9445" w:type="dxa"/>
            <w:gridSpan w:val="5"/>
          </w:tcPr>
          <w:p w14:paraId="61C1D2F5" w14:textId="77777777" w:rsidR="00AD1EB5" w:rsidRDefault="00AD1EB5" w:rsidP="009B179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Christina Giles</w:t>
            </w:r>
          </w:p>
          <w:p w14:paraId="63C6F01F" w14:textId="77777777" w:rsidR="00AD1EB5" w:rsidRPr="00230F35" w:rsidRDefault="00AD1EB5" w:rsidP="009B1791">
            <w:pPr>
              <w:pStyle w:val="NormalWeb"/>
              <w:spacing w:before="0" w:beforeAutospacing="0" w:after="0" w:afterAutospacing="0"/>
              <w:ind w:right="34"/>
              <w:rPr>
                <w:rFonts w:ascii="Arial" w:hAnsi="Arial" w:cs="Arial"/>
                <w:sz w:val="22"/>
                <w:szCs w:val="22"/>
              </w:rPr>
            </w:pPr>
          </w:p>
          <w:p w14:paraId="61F6BD69" w14:textId="77777777" w:rsidR="00AD1EB5" w:rsidRPr="00230F35" w:rsidRDefault="00AD1EB5" w:rsidP="009B179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 xml:space="preserve"> </w:t>
            </w:r>
            <w:r w:rsidRPr="00CF4A7E">
              <w:rPr>
                <w:rFonts w:ascii="Arial" w:hAnsi="Arial" w:cs="Arial"/>
                <w:sz w:val="22"/>
                <w:szCs w:val="22"/>
              </w:rPr>
              <w:t>1805673@student.uwtsd.ac.uk</w:t>
            </w:r>
          </w:p>
        </w:tc>
      </w:tr>
      <w:tr w:rsidR="00AD1EB5" w:rsidRPr="00230F35" w14:paraId="1092B87D" w14:textId="77777777" w:rsidTr="00AD1EB5">
        <w:trPr>
          <w:trHeight w:val="849"/>
        </w:trPr>
        <w:tc>
          <w:tcPr>
            <w:tcW w:w="4788" w:type="dxa"/>
          </w:tcPr>
          <w:p w14:paraId="7928CDD5" w14:textId="76568A15" w:rsidR="00AD1EB5" w:rsidRPr="00230F35" w:rsidRDefault="00AD1EB5" w:rsidP="009B179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 700</w:t>
            </w:r>
            <w:r w:rsidR="008170DF">
              <w:rPr>
                <w:rFonts w:ascii="Arial" w:hAnsi="Arial" w:cs="Arial"/>
                <w:sz w:val="22"/>
                <w:szCs w:val="22"/>
              </w:rPr>
              <w:t>5</w:t>
            </w:r>
          </w:p>
          <w:p w14:paraId="4820BBD4" w14:textId="77777777" w:rsidR="00AD1EB5" w:rsidRDefault="00AD1EB5" w:rsidP="00AD1EB5">
            <w:pPr>
              <w:pStyle w:val="NormalWeb"/>
              <w:spacing w:before="0" w:beforeAutospacing="0" w:after="0" w:afterAutospacing="0"/>
              <w:ind w:right="34"/>
              <w:rPr>
                <w:rFonts w:ascii="Arial" w:hAnsi="Arial" w:cs="Arial"/>
                <w:sz w:val="22"/>
                <w:szCs w:val="22"/>
              </w:rPr>
            </w:pPr>
          </w:p>
          <w:p w14:paraId="594B135B" w14:textId="1985C326" w:rsidR="00AD1EB5" w:rsidRPr="00CF4A7E" w:rsidRDefault="00AD1EB5" w:rsidP="00AD1EB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A33C58">
              <w:rPr>
                <w:rFonts w:ascii="Arial" w:hAnsi="Arial" w:cs="Arial"/>
                <w:sz w:val="22"/>
                <w:szCs w:val="22"/>
              </w:rPr>
              <w:t xml:space="preserve"> </w:t>
            </w:r>
            <w:r w:rsidR="008170DF">
              <w:rPr>
                <w:rFonts w:ascii="Arial" w:hAnsi="Arial" w:cs="Arial"/>
                <w:b/>
                <w:bCs/>
                <w:color w:val="000000"/>
                <w:sz w:val="22"/>
                <w:szCs w:val="22"/>
              </w:rPr>
              <w:t>Cosmology, Magic and Div.</w:t>
            </w:r>
          </w:p>
        </w:tc>
        <w:tc>
          <w:tcPr>
            <w:tcW w:w="2266" w:type="dxa"/>
            <w:gridSpan w:val="3"/>
          </w:tcPr>
          <w:p w14:paraId="30325F07" w14:textId="77777777" w:rsidR="00AD1EB5" w:rsidRDefault="00AD1EB5" w:rsidP="009B179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177468A3" w14:textId="77777777" w:rsidR="00AD1EB5" w:rsidRPr="00230F35" w:rsidRDefault="00AD1EB5" w:rsidP="009B1791">
            <w:pPr>
              <w:pStyle w:val="NormalWeb"/>
              <w:spacing w:before="0" w:beforeAutospacing="0" w:after="0" w:afterAutospacing="0"/>
              <w:ind w:right="34"/>
              <w:rPr>
                <w:rFonts w:ascii="Arial" w:hAnsi="Arial" w:cs="Arial"/>
                <w:sz w:val="22"/>
                <w:szCs w:val="22"/>
              </w:rPr>
            </w:pPr>
            <w:r w:rsidRPr="00CF4A7E">
              <w:rPr>
                <w:rFonts w:ascii="Arial" w:hAnsi="Arial" w:cs="Arial"/>
                <w:sz w:val="22"/>
                <w:szCs w:val="22"/>
              </w:rPr>
              <w:t>1805673</w:t>
            </w:r>
          </w:p>
        </w:tc>
        <w:tc>
          <w:tcPr>
            <w:tcW w:w="2391" w:type="dxa"/>
          </w:tcPr>
          <w:p w14:paraId="67DEE791" w14:textId="77777777" w:rsidR="00AD1EB5" w:rsidRPr="00230F35" w:rsidRDefault="00AD1EB5" w:rsidP="009B179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D6681E9" w14:textId="77777777" w:rsidR="00AD1EB5" w:rsidRPr="00230F35" w:rsidRDefault="00AD1EB5" w:rsidP="009B179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r w:rsidRPr="00CF4A7E">
              <w:rPr>
                <w:rFonts w:ascii="Arial" w:hAnsi="Arial" w:cs="Arial"/>
                <w:b/>
                <w:sz w:val="22"/>
                <w:szCs w:val="22"/>
                <w:u w:val="single"/>
              </w:rPr>
              <w:t>No</w:t>
            </w:r>
          </w:p>
        </w:tc>
      </w:tr>
      <w:tr w:rsidR="00AD1EB5" w:rsidRPr="00230F35" w14:paraId="01DE6FD2" w14:textId="77777777" w:rsidTr="00AD1EB5">
        <w:trPr>
          <w:trHeight w:val="1139"/>
        </w:trPr>
        <w:tc>
          <w:tcPr>
            <w:tcW w:w="9445" w:type="dxa"/>
            <w:gridSpan w:val="5"/>
          </w:tcPr>
          <w:p w14:paraId="67BC5C2A" w14:textId="19DA02CB" w:rsidR="00AD1EB5" w:rsidRPr="00230F35" w:rsidRDefault="00AD1EB5" w:rsidP="009B179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r w:rsidR="00C46BBE">
              <w:rPr>
                <w:rFonts w:ascii="Arial" w:hAnsi="Arial" w:cs="Arial"/>
                <w:sz w:val="22"/>
                <w:szCs w:val="22"/>
              </w:rPr>
              <w:t xml:space="preserve">A Critical Review </w:t>
            </w:r>
            <w:r w:rsidR="00C46BBE" w:rsidRPr="00C46BBE">
              <w:rPr>
                <w:rFonts w:ascii="Arial" w:hAnsi="Arial" w:cs="Arial"/>
                <w:sz w:val="22"/>
                <w:szCs w:val="22"/>
              </w:rPr>
              <w:t xml:space="preserve">of the Introduction (pp. xi-xvi) to </w:t>
            </w:r>
            <w:r w:rsidR="00C46BBE" w:rsidRPr="00C46BBE">
              <w:rPr>
                <w:rFonts w:ascii="Arial" w:hAnsi="Arial" w:cs="Arial"/>
                <w:sz w:val="22"/>
                <w:szCs w:val="22"/>
                <w:lang w:val="en-GB"/>
              </w:rPr>
              <w:t xml:space="preserve">Cumont, Franz, </w:t>
            </w:r>
            <w:r w:rsidR="00C46BBE" w:rsidRPr="00C46BBE">
              <w:rPr>
                <w:rFonts w:ascii="Arial" w:hAnsi="Arial" w:cs="Arial"/>
                <w:i/>
                <w:iCs/>
                <w:sz w:val="22"/>
                <w:szCs w:val="22"/>
                <w:lang w:val="en-GB"/>
              </w:rPr>
              <w:t>Astrology Among the Greeks and Romans</w:t>
            </w:r>
          </w:p>
          <w:p w14:paraId="7178450D" w14:textId="2AD28E4E" w:rsidR="00AD1EB5" w:rsidRDefault="00AD1EB5" w:rsidP="009B1791">
            <w:pPr>
              <w:pStyle w:val="NormalWeb"/>
              <w:spacing w:before="0" w:beforeAutospacing="0" w:after="0" w:afterAutospacing="0"/>
              <w:ind w:right="34"/>
              <w:rPr>
                <w:rFonts w:ascii="Arial" w:hAnsi="Arial" w:cs="Arial"/>
                <w:sz w:val="22"/>
                <w:szCs w:val="22"/>
              </w:rPr>
            </w:pPr>
          </w:p>
          <w:p w14:paraId="6AAA1B74" w14:textId="77777777" w:rsidR="00AD1EB5" w:rsidRDefault="00AD1EB5" w:rsidP="009B1791">
            <w:pPr>
              <w:pStyle w:val="NormalWeb"/>
              <w:spacing w:before="0" w:beforeAutospacing="0" w:after="0" w:afterAutospacing="0"/>
              <w:ind w:right="34"/>
              <w:rPr>
                <w:rFonts w:ascii="Arial" w:hAnsi="Arial" w:cs="Arial"/>
                <w:sz w:val="22"/>
                <w:szCs w:val="22"/>
              </w:rPr>
            </w:pPr>
          </w:p>
          <w:p w14:paraId="2DFDEF9F" w14:textId="243426C8" w:rsidR="00AD1EB5" w:rsidRPr="00230F35" w:rsidRDefault="00AD1EB5" w:rsidP="009B179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008170DF">
              <w:rPr>
                <w:rFonts w:ascii="Arial" w:hAnsi="Arial" w:cs="Arial"/>
                <w:sz w:val="22"/>
                <w:szCs w:val="22"/>
              </w:rPr>
              <w:t>June</w:t>
            </w:r>
            <w:r>
              <w:rPr>
                <w:rFonts w:ascii="Arial" w:hAnsi="Arial" w:cs="Arial"/>
                <w:sz w:val="22"/>
                <w:szCs w:val="22"/>
              </w:rPr>
              <w:t xml:space="preserve"> 1</w:t>
            </w:r>
            <w:r w:rsidR="008170DF">
              <w:rPr>
                <w:rFonts w:ascii="Arial" w:hAnsi="Arial" w:cs="Arial"/>
                <w:sz w:val="22"/>
                <w:szCs w:val="22"/>
              </w:rPr>
              <w:t>7</w:t>
            </w:r>
            <w:r>
              <w:rPr>
                <w:rFonts w:ascii="Arial" w:hAnsi="Arial" w:cs="Arial"/>
                <w:sz w:val="22"/>
                <w:szCs w:val="22"/>
              </w:rPr>
              <w:t>, 201</w:t>
            </w:r>
            <w:r w:rsidR="008170DF">
              <w:rPr>
                <w:rFonts w:ascii="Arial" w:hAnsi="Arial" w:cs="Arial"/>
                <w:sz w:val="22"/>
                <w:szCs w:val="22"/>
              </w:rPr>
              <w:t>9</w:t>
            </w:r>
          </w:p>
        </w:tc>
      </w:tr>
      <w:tr w:rsidR="00AD1EB5" w:rsidRPr="00230F35" w14:paraId="09C29049" w14:textId="77777777" w:rsidTr="00AD1EB5">
        <w:trPr>
          <w:trHeight w:val="683"/>
        </w:trPr>
        <w:tc>
          <w:tcPr>
            <w:tcW w:w="9445" w:type="dxa"/>
            <w:gridSpan w:val="5"/>
            <w:tcBorders>
              <w:bottom w:val="single" w:sz="4" w:space="0" w:color="000000"/>
            </w:tcBorders>
          </w:tcPr>
          <w:p w14:paraId="4D748296" w14:textId="29A3AC8C" w:rsidR="00AD1EB5" w:rsidRPr="00230F35" w:rsidRDefault="00AD1EB5" w:rsidP="009B1791">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001730A6">
              <w:rPr>
                <w:rFonts w:ascii="Arial" w:hAnsi="Arial" w:cs="Arial"/>
                <w:sz w:val="22"/>
                <w:szCs w:val="22"/>
              </w:rPr>
            </w:r>
            <w:r w:rsidR="001730A6">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001730A6">
              <w:rPr>
                <w:rFonts w:ascii="Arial" w:hAnsi="Arial" w:cs="Arial"/>
                <w:sz w:val="22"/>
                <w:szCs w:val="22"/>
              </w:rPr>
            </w:r>
            <w:r w:rsidR="001730A6">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1730A6">
              <w:rPr>
                <w:rFonts w:ascii="Arial" w:hAnsi="Arial" w:cs="Arial"/>
                <w:sz w:val="22"/>
                <w:szCs w:val="22"/>
              </w:rPr>
            </w:r>
            <w:r w:rsidR="001730A6">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1730A6">
              <w:rPr>
                <w:rFonts w:ascii="Arial" w:hAnsi="Arial" w:cs="Arial"/>
                <w:sz w:val="22"/>
                <w:szCs w:val="22"/>
              </w:rPr>
            </w:r>
            <w:r w:rsidR="001730A6">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1730A6">
              <w:rPr>
                <w:rFonts w:ascii="Arial" w:hAnsi="Arial" w:cs="Arial"/>
                <w:sz w:val="22"/>
                <w:szCs w:val="22"/>
              </w:rPr>
            </w:r>
            <w:r w:rsidR="001730A6">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1730A6">
              <w:rPr>
                <w:rFonts w:ascii="Arial" w:hAnsi="Arial" w:cs="Arial"/>
                <w:sz w:val="22"/>
                <w:szCs w:val="22"/>
              </w:rPr>
            </w:r>
            <w:r w:rsidR="001730A6">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AD1EB5" w:rsidRPr="00230F35" w14:paraId="670B378B" w14:textId="77777777" w:rsidTr="00AD1EB5">
        <w:trPr>
          <w:trHeight w:val="978"/>
        </w:trPr>
        <w:tc>
          <w:tcPr>
            <w:tcW w:w="9445" w:type="dxa"/>
            <w:gridSpan w:val="5"/>
            <w:shd w:val="clear" w:color="auto" w:fill="D9D9D9"/>
          </w:tcPr>
          <w:p w14:paraId="0825F832" w14:textId="071F3D5F" w:rsidR="00AD1EB5" w:rsidRPr="00230F35" w:rsidRDefault="009E1FD6" w:rsidP="009B1791">
            <w:pPr>
              <w:pStyle w:val="NormalWeb"/>
              <w:spacing w:before="0" w:beforeAutospacing="0" w:after="0" w:afterAutospacing="0"/>
              <w:ind w:right="34"/>
              <w:rPr>
                <w:rFonts w:ascii="Arial" w:hAnsi="Arial" w:cs="Arial"/>
                <w:sz w:val="22"/>
                <w:szCs w:val="22"/>
              </w:rPr>
            </w:pPr>
            <w:r>
              <w:rPr>
                <w:rFonts w:ascii="Arial" w:hAnsi="Arial" w:cs="Arial"/>
                <w:noProof/>
                <w:sz w:val="22"/>
                <w:szCs w:val="22"/>
              </w:rPr>
              <w:drawing>
                <wp:anchor distT="0" distB="0" distL="114300" distR="114300" simplePos="0" relativeHeight="251660288" behindDoc="0" locked="0" layoutInCell="1" allowOverlap="1" wp14:anchorId="3246F295" wp14:editId="43D0518B">
                  <wp:simplePos x="0" y="0"/>
                  <wp:positionH relativeFrom="column">
                    <wp:posOffset>1099820</wp:posOffset>
                  </wp:positionH>
                  <wp:positionV relativeFrom="paragraph">
                    <wp:posOffset>140335</wp:posOffset>
                  </wp:positionV>
                  <wp:extent cx="816084" cy="484505"/>
                  <wp:effectExtent l="0" t="0" r="0" b="0"/>
                  <wp:wrapNone/>
                  <wp:docPr id="3" name="Picture 3" descr="A close up of a logo&#13;&#10;&#13;&#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ignature.png"/>
                          <pic:cNvPicPr/>
                        </pic:nvPicPr>
                        <pic:blipFill rotWithShape="1">
                          <a:blip r:embed="rId9" cstate="print">
                            <a:extLst>
                              <a:ext uri="{28A0092B-C50C-407E-A947-70E740481C1C}">
                                <a14:useLocalDpi xmlns:a14="http://schemas.microsoft.com/office/drawing/2010/main" val="0"/>
                              </a:ext>
                            </a:extLst>
                          </a:blip>
                          <a:srcRect l="25531" t="29257" r="37852" b="21723"/>
                          <a:stretch/>
                        </pic:blipFill>
                        <pic:spPr bwMode="auto">
                          <a:xfrm>
                            <a:off x="0" y="0"/>
                            <a:ext cx="816084" cy="4845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D1EB5" w:rsidRPr="00230F35">
              <w:rPr>
                <w:rFonts w:ascii="Arial" w:hAnsi="Arial" w:cs="Arial"/>
                <w:sz w:val="22"/>
                <w:szCs w:val="22"/>
              </w:rPr>
              <w:t>I confirm that this is my original work and that I have adhered to the University policy on plagiarism.</w:t>
            </w:r>
          </w:p>
          <w:p w14:paraId="33AF4811" w14:textId="1D9558A1" w:rsidR="00AD1EB5" w:rsidRDefault="00AD1EB5" w:rsidP="009B179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9E1FD6">
              <w:rPr>
                <w:rFonts w:ascii="Arial" w:hAnsi="Arial" w:cs="Arial"/>
                <w:sz w:val="22"/>
                <w:szCs w:val="22"/>
              </w:rPr>
              <w:softHyphen/>
            </w:r>
            <w:r w:rsidR="009E1FD6">
              <w:rPr>
                <w:rFonts w:ascii="Arial" w:hAnsi="Arial" w:cs="Arial"/>
                <w:sz w:val="22"/>
                <w:szCs w:val="22"/>
              </w:rPr>
              <w:softHyphen/>
            </w:r>
          </w:p>
          <w:p w14:paraId="666C8CF7" w14:textId="0693CFEC" w:rsidR="00AD1EB5" w:rsidRDefault="00AD1EB5" w:rsidP="009B1791">
            <w:pPr>
              <w:pStyle w:val="NormalWeb"/>
              <w:spacing w:before="0" w:beforeAutospacing="0" w:after="0" w:afterAutospacing="0"/>
              <w:ind w:right="34"/>
              <w:rPr>
                <w:rFonts w:ascii="Calibri" w:hAnsi="Calibri" w:cs="Calibri"/>
                <w:b/>
                <w:sz w:val="44"/>
                <w:szCs w:val="44"/>
              </w:rPr>
            </w:pPr>
            <w:r>
              <w:rPr>
                <w:rFonts w:ascii="Calibri" w:hAnsi="Calibri" w:cs="Tahoma"/>
                <w:b/>
                <w:noProof/>
              </w:rPr>
              <mc:AlternateContent>
                <mc:Choice Requires="wpi">
                  <w:drawing>
                    <wp:anchor distT="0" distB="0" distL="114300" distR="114300" simplePos="0" relativeHeight="251659264" behindDoc="0" locked="0" layoutInCell="1" allowOverlap="1" wp14:anchorId="19097ABB" wp14:editId="1BB610CF">
                      <wp:simplePos x="0" y="0"/>
                      <wp:positionH relativeFrom="column">
                        <wp:posOffset>5005070</wp:posOffset>
                      </wp:positionH>
                      <wp:positionV relativeFrom="paragraph">
                        <wp:posOffset>82355</wp:posOffset>
                      </wp:positionV>
                      <wp:extent cx="123120" cy="151560"/>
                      <wp:effectExtent l="38100" t="38100" r="29845" b="26670"/>
                      <wp:wrapNone/>
                      <wp:docPr id="2" name="Ink 2"/>
                      <wp:cNvGraphicFramePr>
                        <a:graphicFrameLocks xmlns:a="http://schemas.openxmlformats.org/drawingml/2006/main"/>
                      </wp:cNvGraphicFramePr>
                      <a:graphic xmlns:a="http://schemas.openxmlformats.org/drawingml/2006/main">
                        <a:graphicData uri="http://schemas.microsoft.com/office/word/2010/wordprocessingInk">
                          <w14:contentPart bwMode="auto" r:id="rId10">
                            <w14:nvContentPartPr>
                              <w14:cNvContentPartPr>
                                <a14:cpLocks xmlns:a14="http://schemas.microsoft.com/office/drawing/2010/main" noRot="1"/>
                              </w14:cNvContentPartPr>
                            </w14:nvContentPartPr>
                            <w14:xfrm>
                              <a:off x="0" y="0"/>
                              <a:ext cx="123120" cy="151560"/>
                            </w14:xfrm>
                          </w14:contentPart>
                        </a:graphicData>
                      </a:graphic>
                    </wp:anchor>
                  </w:drawing>
                </mc:Choice>
                <mc:Fallback>
                  <w:pict>
                    <v:shapetype w14:anchorId="31FFE10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393.4pt;margin-top:5.8pt;width:11.15pt;height:13.3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">
                      <v:imagedata r:id="rId11" o:title=""/>
                      <o:lock v:ext="edit" rotation="t" aspectratio="f"/>
                    </v:shape>
                  </w:pict>
                </mc:Fallback>
              </mc:AlternateContent>
            </w:r>
            <w:r w:rsidRPr="005979EE">
              <w:rPr>
                <w:rFonts w:ascii="Calibri" w:hAnsi="Calibri" w:cs="Tahoma"/>
                <w:b/>
              </w:rPr>
              <w:t>Email submission:</w:t>
            </w:r>
            <w:r w:rsidR="00A33C58">
              <w:rPr>
                <w:rFonts w:ascii="Calibri" w:hAnsi="Calibri" w:cs="Tahoma"/>
                <w:b/>
              </w:rPr>
              <w:t xml:space="preserve"> </w:t>
            </w:r>
            <w:r>
              <w:rPr>
                <w:rFonts w:ascii="Calibri" w:hAnsi="Calibri" w:cs="Tahoma"/>
                <w:b/>
              </w:rPr>
              <w:t xml:space="preserve">if you are submitting this form via email, please tick this box </w:t>
            </w:r>
            <w:r w:rsidRPr="005979EE">
              <w:rPr>
                <w:rFonts w:ascii="Calibri" w:hAnsi="Calibri" w:cs="Calibri"/>
                <w:b/>
                <w:sz w:val="44"/>
                <w:szCs w:val="44"/>
              </w:rPr>
              <w:t>□</w:t>
            </w:r>
          </w:p>
          <w:p w14:paraId="6D68C2EF" w14:textId="77777777" w:rsidR="00AD1EB5" w:rsidRPr="00230F35" w:rsidRDefault="00AD1EB5" w:rsidP="009B1791">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AD1EB5" w:rsidRPr="00230F35" w14:paraId="62C0E634" w14:textId="77777777" w:rsidTr="00AD1EB5">
        <w:trPr>
          <w:trHeight w:val="3972"/>
        </w:trPr>
        <w:tc>
          <w:tcPr>
            <w:tcW w:w="9445" w:type="dxa"/>
            <w:gridSpan w:val="5"/>
          </w:tcPr>
          <w:p w14:paraId="28EC111B" w14:textId="1F9F464E" w:rsidR="00AD1EB5" w:rsidRDefault="00AD1EB5" w:rsidP="009B1791">
            <w:pPr>
              <w:rPr>
                <w:rFonts w:ascii="Arial" w:hAnsi="Arial"/>
                <w:b/>
              </w:rPr>
            </w:pPr>
          </w:p>
          <w:p w14:paraId="31CEF4AB" w14:textId="6F6C4DA8" w:rsidR="00AD1EB5" w:rsidRPr="00116CE6" w:rsidRDefault="00AD1EB5" w:rsidP="009B1791">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D1EB5" w:rsidRPr="00116CE6" w14:paraId="3ED926AD" w14:textId="77777777" w:rsidTr="009B1791">
              <w:tc>
                <w:tcPr>
                  <w:tcW w:w="6970" w:type="dxa"/>
                </w:tcPr>
                <w:p w14:paraId="6B8D1FE8" w14:textId="77777777" w:rsidR="00AD1EB5" w:rsidRPr="00116CE6" w:rsidRDefault="00AD1EB5" w:rsidP="009B1791">
                  <w:pPr>
                    <w:rPr>
                      <w:rFonts w:ascii="Arial" w:hAnsi="Arial"/>
                      <w:sz w:val="20"/>
                      <w:szCs w:val="20"/>
                    </w:rPr>
                  </w:pPr>
                </w:p>
                <w:p w14:paraId="200DF4AE" w14:textId="77777777" w:rsidR="00AD1EB5" w:rsidRPr="00116CE6" w:rsidRDefault="00AD1EB5" w:rsidP="009B1791">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5270722E" w14:textId="77777777" w:rsidR="00AD1EB5" w:rsidRPr="00116CE6" w:rsidRDefault="00AD1EB5" w:rsidP="009B1791">
                  <w:pPr>
                    <w:rPr>
                      <w:rFonts w:ascii="Arial" w:hAnsi="Arial"/>
                      <w:sz w:val="20"/>
                      <w:szCs w:val="20"/>
                    </w:rPr>
                  </w:pPr>
                </w:p>
              </w:tc>
            </w:tr>
            <w:tr w:rsidR="00AD1EB5" w:rsidRPr="00116CE6" w14:paraId="395A1C96" w14:textId="77777777" w:rsidTr="009B1791">
              <w:tc>
                <w:tcPr>
                  <w:tcW w:w="6970" w:type="dxa"/>
                </w:tcPr>
                <w:p w14:paraId="2BAD9E21" w14:textId="14486B6B" w:rsidR="00AD1EB5" w:rsidRPr="00116CE6" w:rsidRDefault="00AD1EB5" w:rsidP="009B1791">
                  <w:pPr>
                    <w:rPr>
                      <w:rFonts w:ascii="Arial" w:hAnsi="Arial"/>
                      <w:sz w:val="20"/>
                      <w:szCs w:val="20"/>
                    </w:rPr>
                  </w:pPr>
                </w:p>
                <w:p w14:paraId="3E982551" w14:textId="77777777" w:rsidR="00AD1EB5" w:rsidRPr="00116CE6" w:rsidRDefault="00AD1EB5" w:rsidP="009B1791">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6DDC5948" w14:textId="77777777" w:rsidR="00AD1EB5" w:rsidRPr="00116CE6" w:rsidRDefault="00AD1EB5" w:rsidP="009B1791">
                  <w:pPr>
                    <w:rPr>
                      <w:rFonts w:ascii="Arial" w:hAnsi="Arial"/>
                      <w:sz w:val="20"/>
                      <w:szCs w:val="20"/>
                    </w:rPr>
                  </w:pPr>
                </w:p>
              </w:tc>
            </w:tr>
            <w:tr w:rsidR="00AD1EB5" w:rsidRPr="00116CE6" w14:paraId="005F6C90" w14:textId="77777777" w:rsidTr="009B1791">
              <w:tc>
                <w:tcPr>
                  <w:tcW w:w="6970" w:type="dxa"/>
                </w:tcPr>
                <w:p w14:paraId="51078307" w14:textId="77777777" w:rsidR="00AD1EB5" w:rsidRPr="00116CE6" w:rsidRDefault="00AD1EB5" w:rsidP="009B1791">
                  <w:pPr>
                    <w:rPr>
                      <w:rFonts w:ascii="Arial" w:hAnsi="Arial"/>
                      <w:sz w:val="20"/>
                      <w:szCs w:val="20"/>
                    </w:rPr>
                  </w:pPr>
                </w:p>
                <w:p w14:paraId="283A89E6" w14:textId="77777777" w:rsidR="00AD1EB5" w:rsidRPr="00116CE6" w:rsidRDefault="00AD1EB5" w:rsidP="009B1791">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68C8F4AC" w14:textId="77777777" w:rsidR="00AD1EB5" w:rsidRPr="00116CE6" w:rsidRDefault="00AD1EB5" w:rsidP="009B1791">
                  <w:pPr>
                    <w:rPr>
                      <w:rFonts w:ascii="Arial" w:hAnsi="Arial"/>
                      <w:sz w:val="20"/>
                      <w:szCs w:val="20"/>
                    </w:rPr>
                  </w:pPr>
                </w:p>
              </w:tc>
            </w:tr>
            <w:tr w:rsidR="00AD1EB5" w:rsidRPr="00116CE6" w14:paraId="4276ED9C" w14:textId="77777777" w:rsidTr="009B1791">
              <w:tc>
                <w:tcPr>
                  <w:tcW w:w="6970" w:type="dxa"/>
                </w:tcPr>
                <w:p w14:paraId="67D49060" w14:textId="77777777" w:rsidR="00AD1EB5" w:rsidRDefault="00AD1EB5" w:rsidP="009B1791">
                  <w:pPr>
                    <w:rPr>
                      <w:rFonts w:ascii="Arial" w:hAnsi="Arial"/>
                      <w:sz w:val="20"/>
                      <w:szCs w:val="20"/>
                    </w:rPr>
                  </w:pPr>
                </w:p>
                <w:p w14:paraId="60B39854" w14:textId="77777777" w:rsidR="00AD1EB5" w:rsidRPr="00022345" w:rsidRDefault="00AD1EB5" w:rsidP="009B1791">
                  <w:pPr>
                    <w:rPr>
                      <w:rFonts w:ascii="Arial" w:hAnsi="Arial"/>
                      <w:b/>
                      <w:sz w:val="20"/>
                      <w:szCs w:val="20"/>
                    </w:rPr>
                  </w:pPr>
                  <w:r w:rsidRPr="00022345">
                    <w:rPr>
                      <w:rFonts w:ascii="Arial" w:hAnsi="Arial"/>
                      <w:b/>
                      <w:sz w:val="20"/>
                      <w:szCs w:val="20"/>
                    </w:rPr>
                    <w:t>Final Mark</w:t>
                  </w:r>
                </w:p>
                <w:p w14:paraId="64E7B47E" w14:textId="77777777" w:rsidR="00AD1EB5" w:rsidRPr="00116CE6" w:rsidRDefault="00AD1EB5" w:rsidP="009B1791">
                  <w:pPr>
                    <w:rPr>
                      <w:rFonts w:ascii="Arial" w:hAnsi="Arial"/>
                      <w:sz w:val="20"/>
                      <w:szCs w:val="20"/>
                    </w:rPr>
                  </w:pPr>
                </w:p>
              </w:tc>
              <w:tc>
                <w:tcPr>
                  <w:tcW w:w="1660" w:type="dxa"/>
                </w:tcPr>
                <w:p w14:paraId="280427C8" w14:textId="77777777" w:rsidR="00AD1EB5" w:rsidRPr="00116CE6" w:rsidRDefault="00AD1EB5" w:rsidP="009B1791">
                  <w:pPr>
                    <w:rPr>
                      <w:rFonts w:ascii="Arial" w:hAnsi="Arial"/>
                      <w:sz w:val="20"/>
                      <w:szCs w:val="20"/>
                    </w:rPr>
                  </w:pPr>
                </w:p>
              </w:tc>
            </w:tr>
          </w:tbl>
          <w:p w14:paraId="67865E39" w14:textId="77777777" w:rsidR="00AD1EB5" w:rsidRDefault="00AD1EB5" w:rsidP="009B1791">
            <w:pPr>
              <w:pStyle w:val="NormalWeb"/>
              <w:spacing w:before="0" w:beforeAutospacing="0" w:after="0" w:afterAutospacing="0"/>
              <w:ind w:left="142" w:right="34"/>
              <w:rPr>
                <w:rFonts w:ascii="Arial" w:hAnsi="Arial" w:cs="Arial"/>
                <w:b/>
                <w:sz w:val="22"/>
                <w:szCs w:val="22"/>
              </w:rPr>
            </w:pPr>
          </w:p>
          <w:p w14:paraId="28D9A7C5" w14:textId="77777777" w:rsidR="00AD1EB5" w:rsidRPr="00230F35" w:rsidRDefault="00AD1EB5" w:rsidP="009B1791">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1DA50228" w14:textId="77777777" w:rsidR="00AD1EB5" w:rsidRDefault="00AD1EB5" w:rsidP="009B1791">
            <w:pPr>
              <w:pStyle w:val="NormalWeb"/>
              <w:spacing w:before="0" w:beforeAutospacing="0" w:after="0" w:afterAutospacing="0"/>
              <w:rPr>
                <w:rFonts w:ascii="Arial" w:hAnsi="Arial" w:cs="Arial"/>
                <w:b/>
                <w:sz w:val="22"/>
                <w:szCs w:val="22"/>
              </w:rPr>
            </w:pPr>
          </w:p>
          <w:p w14:paraId="5E507F69" w14:textId="3DCF94BD" w:rsidR="00AD1EB5" w:rsidRDefault="00AD1EB5" w:rsidP="009B1791">
            <w:pPr>
              <w:pStyle w:val="NormalWeb"/>
              <w:spacing w:before="0" w:beforeAutospacing="0" w:after="0" w:afterAutospacing="0"/>
              <w:rPr>
                <w:rFonts w:ascii="Arial" w:hAnsi="Arial" w:cs="Arial"/>
                <w:b/>
                <w:sz w:val="22"/>
                <w:szCs w:val="22"/>
              </w:rPr>
            </w:pPr>
          </w:p>
          <w:p w14:paraId="5F89DD2B" w14:textId="46F6918A" w:rsidR="00AD1EB5" w:rsidRDefault="00AD1EB5" w:rsidP="009B1791">
            <w:pPr>
              <w:pStyle w:val="NormalWeb"/>
              <w:spacing w:before="0" w:beforeAutospacing="0" w:after="0" w:afterAutospacing="0"/>
              <w:rPr>
                <w:rFonts w:ascii="Arial" w:hAnsi="Arial" w:cs="Arial"/>
                <w:b/>
                <w:sz w:val="22"/>
                <w:szCs w:val="22"/>
              </w:rPr>
            </w:pPr>
          </w:p>
          <w:p w14:paraId="7C3A2994" w14:textId="77777777" w:rsidR="00AD1EB5" w:rsidRDefault="00AD1EB5" w:rsidP="009B1791">
            <w:pPr>
              <w:pStyle w:val="NormalWeb"/>
              <w:spacing w:before="0" w:beforeAutospacing="0" w:after="0" w:afterAutospacing="0"/>
              <w:rPr>
                <w:rFonts w:ascii="Arial" w:hAnsi="Arial" w:cs="Arial"/>
                <w:b/>
                <w:sz w:val="22"/>
                <w:szCs w:val="22"/>
              </w:rPr>
            </w:pPr>
          </w:p>
          <w:p w14:paraId="5134D8E7" w14:textId="77777777" w:rsidR="00AD1EB5" w:rsidRDefault="00AD1EB5" w:rsidP="009B1791">
            <w:pPr>
              <w:pStyle w:val="NormalWeb"/>
              <w:spacing w:before="0" w:beforeAutospacing="0" w:after="0" w:afterAutospacing="0"/>
              <w:rPr>
                <w:rFonts w:ascii="Arial" w:hAnsi="Arial" w:cs="Arial"/>
                <w:b/>
                <w:sz w:val="22"/>
                <w:szCs w:val="22"/>
              </w:rPr>
            </w:pPr>
          </w:p>
          <w:p w14:paraId="75FC0C27" w14:textId="3327B3B8" w:rsidR="00AD1EB5" w:rsidRPr="00230F35" w:rsidRDefault="00AD1EB5" w:rsidP="009B1791">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616B2EF9" w14:textId="77777777" w:rsidR="00AD1EB5" w:rsidRDefault="00AD1EB5" w:rsidP="009B1791">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67F5FB91" w14:textId="77777777" w:rsidR="00AD1EB5" w:rsidRPr="00001C3B" w:rsidRDefault="00AD1EB5" w:rsidP="009B1791">
            <w:pPr>
              <w:pStyle w:val="NormalWeb"/>
              <w:rPr>
                <w:rFonts w:ascii="Arial" w:hAnsi="Arial" w:cs="Arial"/>
                <w:sz w:val="22"/>
                <w:szCs w:val="22"/>
              </w:rPr>
            </w:pPr>
          </w:p>
        </w:tc>
      </w:tr>
      <w:tr w:rsidR="00AD1EB5" w:rsidRPr="00230F35" w14:paraId="29813B10" w14:textId="77777777" w:rsidTr="00AD1EB5">
        <w:trPr>
          <w:trHeight w:val="492"/>
        </w:trPr>
        <w:tc>
          <w:tcPr>
            <w:tcW w:w="6768" w:type="dxa"/>
            <w:gridSpan w:val="3"/>
          </w:tcPr>
          <w:p w14:paraId="1D4C54C0" w14:textId="77777777" w:rsidR="00AD1EB5" w:rsidRPr="00230F35" w:rsidRDefault="00AD1EB5" w:rsidP="009B1791">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677" w:type="dxa"/>
            <w:gridSpan w:val="2"/>
          </w:tcPr>
          <w:p w14:paraId="145C06E5" w14:textId="77777777" w:rsidR="00AD1EB5" w:rsidRPr="00230F35" w:rsidRDefault="00AD1EB5" w:rsidP="009B1791">
            <w:pPr>
              <w:pStyle w:val="NormalWeb"/>
              <w:spacing w:after="0"/>
              <w:ind w:left="142" w:right="34"/>
              <w:rPr>
                <w:rFonts w:ascii="Arial" w:hAnsi="Arial" w:cs="Arial"/>
                <w:sz w:val="22"/>
                <w:szCs w:val="22"/>
              </w:rPr>
            </w:pPr>
            <w:r w:rsidRPr="00230F35">
              <w:rPr>
                <w:rFonts w:ascii="Arial" w:hAnsi="Arial" w:cs="Arial"/>
                <w:sz w:val="22"/>
                <w:szCs w:val="22"/>
              </w:rPr>
              <w:t>Date:</w:t>
            </w:r>
          </w:p>
        </w:tc>
      </w:tr>
      <w:tr w:rsidR="00AD1EB5" w:rsidRPr="002F467C" w14:paraId="0042D971" w14:textId="77777777" w:rsidTr="00AD1EB5">
        <w:tc>
          <w:tcPr>
            <w:tcW w:w="9445" w:type="dxa"/>
            <w:gridSpan w:val="5"/>
          </w:tcPr>
          <w:p w14:paraId="5DC38D4F" w14:textId="77777777" w:rsidR="00AD1EB5" w:rsidRPr="00230F35" w:rsidRDefault="00AD1EB5" w:rsidP="009B1791">
            <w:pPr>
              <w:pStyle w:val="NormalWeb"/>
              <w:spacing w:before="0" w:beforeAutospacing="0" w:after="0" w:afterAutospacing="0"/>
              <w:ind w:right="-334"/>
              <w:rPr>
                <w:rFonts w:ascii="Arial" w:hAnsi="Arial" w:cs="Arial"/>
                <w:bCs/>
                <w:i/>
                <w:sz w:val="22"/>
                <w:szCs w:val="22"/>
              </w:rPr>
            </w:pPr>
          </w:p>
          <w:p w14:paraId="3210E7E4" w14:textId="77777777" w:rsidR="00AD1EB5" w:rsidRPr="00230F35" w:rsidRDefault="00AD1EB5" w:rsidP="009B1791">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4D9CE7A6" w14:textId="77777777" w:rsidR="00AD1EB5" w:rsidRPr="00230F35" w:rsidRDefault="00AD1EB5" w:rsidP="009B1791">
            <w:pPr>
              <w:pStyle w:val="NormalWeb"/>
              <w:spacing w:before="0" w:beforeAutospacing="0" w:after="0" w:afterAutospacing="0"/>
              <w:ind w:right="-334"/>
              <w:rPr>
                <w:rFonts w:ascii="Arial" w:hAnsi="Arial" w:cs="Arial"/>
                <w:b/>
                <w:bCs/>
                <w:sz w:val="22"/>
                <w:szCs w:val="22"/>
              </w:rPr>
            </w:pPr>
          </w:p>
          <w:p w14:paraId="176FB2A2" w14:textId="77777777" w:rsidR="00AD1EB5" w:rsidRPr="00230F35" w:rsidRDefault="00AD1EB5" w:rsidP="009B179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3324B6D6" w14:textId="77777777" w:rsidR="00AD1EB5" w:rsidRPr="00230F35" w:rsidRDefault="00AD1EB5" w:rsidP="009B1791">
            <w:pPr>
              <w:pStyle w:val="NormalWeb"/>
              <w:spacing w:before="0" w:beforeAutospacing="0" w:after="0" w:afterAutospacing="0"/>
              <w:ind w:right="-334"/>
              <w:rPr>
                <w:rFonts w:ascii="Arial" w:hAnsi="Arial" w:cs="Arial"/>
                <w:bCs/>
                <w:sz w:val="22"/>
                <w:szCs w:val="22"/>
              </w:rPr>
            </w:pPr>
          </w:p>
          <w:p w14:paraId="2286FC3F" w14:textId="77777777" w:rsidR="00AD1EB5" w:rsidRPr="00230F35" w:rsidRDefault="00AD1EB5" w:rsidP="009B1791">
            <w:pPr>
              <w:pStyle w:val="NormalWeb"/>
              <w:spacing w:before="0" w:beforeAutospacing="0" w:after="0" w:afterAutospacing="0"/>
              <w:ind w:right="-334"/>
              <w:rPr>
                <w:rFonts w:ascii="Arial" w:hAnsi="Arial" w:cs="Arial"/>
                <w:bCs/>
                <w:sz w:val="22"/>
                <w:szCs w:val="22"/>
              </w:rPr>
            </w:pPr>
          </w:p>
          <w:p w14:paraId="2F87C1D2" w14:textId="77777777" w:rsidR="00AD1EB5" w:rsidRPr="00230F35" w:rsidRDefault="00AD1EB5" w:rsidP="009B1791">
            <w:pPr>
              <w:pStyle w:val="NormalWeb"/>
              <w:spacing w:before="0" w:beforeAutospacing="0" w:after="0" w:afterAutospacing="0"/>
              <w:ind w:right="-334"/>
              <w:rPr>
                <w:rFonts w:ascii="Arial" w:hAnsi="Arial" w:cs="Arial"/>
                <w:bCs/>
                <w:sz w:val="22"/>
                <w:szCs w:val="22"/>
              </w:rPr>
            </w:pPr>
          </w:p>
          <w:p w14:paraId="06237354" w14:textId="77777777" w:rsidR="00AD1EB5" w:rsidRPr="00230F35" w:rsidRDefault="00AD1EB5" w:rsidP="009B1791">
            <w:pPr>
              <w:pStyle w:val="NormalWeb"/>
              <w:spacing w:before="0" w:beforeAutospacing="0" w:after="0" w:afterAutospacing="0"/>
              <w:ind w:right="-334"/>
              <w:rPr>
                <w:rFonts w:ascii="Arial" w:hAnsi="Arial" w:cs="Arial"/>
                <w:bCs/>
                <w:sz w:val="22"/>
                <w:szCs w:val="22"/>
              </w:rPr>
            </w:pPr>
          </w:p>
          <w:p w14:paraId="190C0F6C" w14:textId="77777777" w:rsidR="00AD1EB5" w:rsidRPr="00230F35" w:rsidRDefault="00AD1EB5" w:rsidP="009B1791">
            <w:pPr>
              <w:pStyle w:val="NormalWeb"/>
              <w:spacing w:before="0" w:beforeAutospacing="0" w:after="0" w:afterAutospacing="0"/>
              <w:ind w:right="-334"/>
              <w:rPr>
                <w:rFonts w:ascii="Arial" w:hAnsi="Arial" w:cs="Arial"/>
                <w:bCs/>
                <w:sz w:val="22"/>
                <w:szCs w:val="22"/>
              </w:rPr>
            </w:pPr>
          </w:p>
          <w:p w14:paraId="7EB854A8" w14:textId="77777777" w:rsidR="00AD1EB5" w:rsidRPr="00230F35" w:rsidRDefault="00AD1EB5" w:rsidP="009B1791">
            <w:pPr>
              <w:pStyle w:val="NormalWeb"/>
              <w:spacing w:before="0" w:beforeAutospacing="0" w:after="0" w:afterAutospacing="0"/>
              <w:ind w:right="-334"/>
              <w:rPr>
                <w:rFonts w:ascii="Arial" w:hAnsi="Arial" w:cs="Arial"/>
                <w:bCs/>
                <w:sz w:val="22"/>
                <w:szCs w:val="22"/>
              </w:rPr>
            </w:pPr>
          </w:p>
          <w:p w14:paraId="5192B551" w14:textId="77777777" w:rsidR="00AD1EB5" w:rsidRDefault="00AD1EB5" w:rsidP="009B1791">
            <w:pPr>
              <w:pStyle w:val="NormalWeb"/>
              <w:spacing w:before="0" w:beforeAutospacing="0" w:after="0" w:afterAutospacing="0"/>
              <w:ind w:right="-334"/>
              <w:rPr>
                <w:rFonts w:ascii="Arial" w:hAnsi="Arial" w:cs="Arial"/>
                <w:bCs/>
                <w:sz w:val="22"/>
                <w:szCs w:val="22"/>
              </w:rPr>
            </w:pPr>
          </w:p>
          <w:p w14:paraId="0442C696" w14:textId="77777777" w:rsidR="00AD1EB5" w:rsidRPr="00230F35" w:rsidRDefault="00AD1EB5" w:rsidP="009B1791">
            <w:pPr>
              <w:pStyle w:val="NormalWeb"/>
              <w:spacing w:before="0" w:beforeAutospacing="0" w:after="0" w:afterAutospacing="0"/>
              <w:ind w:right="-334"/>
              <w:rPr>
                <w:rFonts w:ascii="Arial" w:hAnsi="Arial" w:cs="Arial"/>
                <w:bCs/>
                <w:sz w:val="22"/>
                <w:szCs w:val="22"/>
              </w:rPr>
            </w:pPr>
          </w:p>
          <w:p w14:paraId="10C91A06" w14:textId="77777777" w:rsidR="00AD1EB5" w:rsidRPr="00230F35" w:rsidRDefault="00AD1EB5" w:rsidP="009B1791">
            <w:pPr>
              <w:pStyle w:val="NormalWeb"/>
              <w:spacing w:before="0" w:beforeAutospacing="0" w:after="0" w:afterAutospacing="0"/>
              <w:ind w:right="-334"/>
              <w:rPr>
                <w:rFonts w:ascii="Arial" w:hAnsi="Arial" w:cs="Arial"/>
                <w:bCs/>
                <w:sz w:val="22"/>
                <w:szCs w:val="22"/>
              </w:rPr>
            </w:pPr>
          </w:p>
          <w:p w14:paraId="0DF80E22" w14:textId="77777777" w:rsidR="00AD1EB5" w:rsidRPr="00230F35" w:rsidRDefault="00AD1EB5" w:rsidP="009B1791">
            <w:pPr>
              <w:pStyle w:val="NormalWeb"/>
              <w:spacing w:before="0" w:beforeAutospacing="0" w:after="0" w:afterAutospacing="0"/>
              <w:ind w:right="-334"/>
              <w:rPr>
                <w:rFonts w:ascii="Arial" w:hAnsi="Arial" w:cs="Arial"/>
                <w:bCs/>
                <w:sz w:val="22"/>
                <w:szCs w:val="22"/>
              </w:rPr>
            </w:pPr>
          </w:p>
        </w:tc>
      </w:tr>
      <w:tr w:rsidR="00AD1EB5" w:rsidRPr="002F467C" w14:paraId="38423C6B" w14:textId="77777777" w:rsidTr="00AD1EB5">
        <w:trPr>
          <w:trHeight w:val="720"/>
        </w:trPr>
        <w:tc>
          <w:tcPr>
            <w:tcW w:w="5211" w:type="dxa"/>
            <w:gridSpan w:val="2"/>
          </w:tcPr>
          <w:p w14:paraId="1F9C622D" w14:textId="77777777" w:rsidR="00AD1EB5" w:rsidRPr="00230F35" w:rsidRDefault="00AD1EB5" w:rsidP="009B179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4234" w:type="dxa"/>
            <w:gridSpan w:val="3"/>
          </w:tcPr>
          <w:p w14:paraId="4D6F0C93" w14:textId="77777777" w:rsidR="00AD1EB5" w:rsidRPr="00230F35" w:rsidRDefault="00AD1EB5" w:rsidP="009B179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AD1EB5" w:rsidRPr="002F467C" w14:paraId="65B2CE97" w14:textId="77777777" w:rsidTr="00AD1EB5">
        <w:trPr>
          <w:trHeight w:val="720"/>
        </w:trPr>
        <w:tc>
          <w:tcPr>
            <w:tcW w:w="9445" w:type="dxa"/>
            <w:gridSpan w:val="5"/>
          </w:tcPr>
          <w:p w14:paraId="6014A69E" w14:textId="77777777" w:rsidR="00AD1EB5" w:rsidRPr="00B34964" w:rsidRDefault="00AD1EB5" w:rsidP="009B1791">
            <w:pPr>
              <w:rPr>
                <w:rFonts w:ascii="Arial" w:hAnsi="Arial" w:cs="Arial"/>
                <w:b/>
                <w:sz w:val="22"/>
                <w:szCs w:val="22"/>
              </w:rPr>
            </w:pPr>
            <w:r w:rsidRPr="00B34964">
              <w:rPr>
                <w:rFonts w:ascii="Arial" w:hAnsi="Arial" w:cs="Arial"/>
                <w:b/>
                <w:sz w:val="22"/>
                <w:szCs w:val="22"/>
              </w:rPr>
              <w:t>External Examiner’s comments (if relevant)</w:t>
            </w:r>
          </w:p>
          <w:p w14:paraId="1348DBC2" w14:textId="77777777" w:rsidR="00AD1EB5" w:rsidRPr="00230F35" w:rsidRDefault="00AD1EB5" w:rsidP="009B1791">
            <w:pPr>
              <w:pStyle w:val="NormalWeb"/>
              <w:spacing w:before="0" w:beforeAutospacing="0" w:after="0" w:afterAutospacing="0"/>
              <w:ind w:right="-334"/>
              <w:rPr>
                <w:rFonts w:ascii="Arial" w:hAnsi="Arial" w:cs="Arial"/>
                <w:bCs/>
                <w:sz w:val="22"/>
                <w:szCs w:val="22"/>
              </w:rPr>
            </w:pPr>
          </w:p>
          <w:p w14:paraId="6D236B94" w14:textId="77777777" w:rsidR="00AD1EB5" w:rsidRPr="00230F35" w:rsidRDefault="00AD1EB5" w:rsidP="009B1791">
            <w:pPr>
              <w:pStyle w:val="NormalWeb"/>
              <w:spacing w:before="0" w:beforeAutospacing="0" w:after="0" w:afterAutospacing="0"/>
              <w:ind w:right="-334"/>
              <w:rPr>
                <w:rFonts w:ascii="Arial" w:hAnsi="Arial" w:cs="Arial"/>
                <w:bCs/>
                <w:sz w:val="22"/>
                <w:szCs w:val="22"/>
              </w:rPr>
            </w:pPr>
          </w:p>
          <w:p w14:paraId="02E2FF43" w14:textId="77777777" w:rsidR="00AD1EB5" w:rsidRPr="00230F35" w:rsidRDefault="00AD1EB5" w:rsidP="009B1791">
            <w:pPr>
              <w:pStyle w:val="NormalWeb"/>
              <w:spacing w:before="0" w:beforeAutospacing="0" w:after="0" w:afterAutospacing="0"/>
              <w:ind w:right="-334"/>
              <w:rPr>
                <w:rFonts w:ascii="Arial" w:hAnsi="Arial" w:cs="Arial"/>
                <w:bCs/>
                <w:sz w:val="22"/>
                <w:szCs w:val="22"/>
              </w:rPr>
            </w:pPr>
          </w:p>
          <w:p w14:paraId="59674F6E" w14:textId="77777777" w:rsidR="00AD1EB5" w:rsidRPr="00230F35" w:rsidRDefault="00AD1EB5" w:rsidP="009B1791">
            <w:pPr>
              <w:pStyle w:val="NormalWeb"/>
              <w:spacing w:before="0" w:beforeAutospacing="0" w:after="0" w:afterAutospacing="0"/>
              <w:ind w:right="-334"/>
              <w:rPr>
                <w:rFonts w:ascii="Arial" w:hAnsi="Arial" w:cs="Arial"/>
                <w:bCs/>
                <w:sz w:val="22"/>
                <w:szCs w:val="22"/>
              </w:rPr>
            </w:pPr>
          </w:p>
          <w:p w14:paraId="6B5F219A" w14:textId="77777777" w:rsidR="00AD1EB5" w:rsidRPr="00230F35" w:rsidRDefault="00AD1EB5" w:rsidP="009B1791">
            <w:pPr>
              <w:pStyle w:val="NormalWeb"/>
              <w:spacing w:before="0" w:beforeAutospacing="0" w:after="0" w:afterAutospacing="0"/>
              <w:ind w:right="-334"/>
              <w:rPr>
                <w:rFonts w:ascii="Arial" w:hAnsi="Arial" w:cs="Arial"/>
                <w:bCs/>
                <w:sz w:val="22"/>
                <w:szCs w:val="22"/>
              </w:rPr>
            </w:pPr>
          </w:p>
          <w:p w14:paraId="3B98FE57" w14:textId="77777777" w:rsidR="00AD1EB5" w:rsidRPr="00230F35" w:rsidRDefault="00AD1EB5" w:rsidP="009B1791">
            <w:pPr>
              <w:pStyle w:val="NormalWeb"/>
              <w:spacing w:before="0" w:beforeAutospacing="0" w:after="0" w:afterAutospacing="0"/>
              <w:ind w:right="-334"/>
              <w:rPr>
                <w:rFonts w:ascii="Arial" w:hAnsi="Arial" w:cs="Arial"/>
                <w:bCs/>
                <w:sz w:val="22"/>
                <w:szCs w:val="22"/>
              </w:rPr>
            </w:pPr>
          </w:p>
          <w:p w14:paraId="776230EF" w14:textId="77777777" w:rsidR="00AD1EB5" w:rsidRPr="00230F35" w:rsidRDefault="00AD1EB5" w:rsidP="009B1791">
            <w:pPr>
              <w:pStyle w:val="NormalWeb"/>
              <w:spacing w:before="0" w:beforeAutospacing="0" w:after="0" w:afterAutospacing="0"/>
              <w:ind w:right="-334"/>
              <w:rPr>
                <w:rFonts w:ascii="Arial" w:hAnsi="Arial" w:cs="Arial"/>
                <w:bCs/>
                <w:sz w:val="22"/>
                <w:szCs w:val="22"/>
              </w:rPr>
            </w:pPr>
          </w:p>
          <w:p w14:paraId="0CFC3F28" w14:textId="77777777" w:rsidR="00AD1EB5" w:rsidRPr="00230F35" w:rsidRDefault="00AD1EB5" w:rsidP="009B1791">
            <w:pPr>
              <w:pStyle w:val="NormalWeb"/>
              <w:spacing w:before="0" w:beforeAutospacing="0" w:after="0" w:afterAutospacing="0"/>
              <w:ind w:right="-334"/>
              <w:rPr>
                <w:rFonts w:ascii="Arial" w:hAnsi="Arial" w:cs="Arial"/>
                <w:bCs/>
                <w:sz w:val="22"/>
                <w:szCs w:val="22"/>
              </w:rPr>
            </w:pPr>
          </w:p>
          <w:p w14:paraId="440F9E99" w14:textId="77777777" w:rsidR="00AD1EB5" w:rsidRDefault="00AD1EB5" w:rsidP="009B1791">
            <w:pPr>
              <w:pStyle w:val="NormalWeb"/>
              <w:spacing w:before="0" w:beforeAutospacing="0" w:after="0" w:afterAutospacing="0"/>
              <w:ind w:right="-334"/>
              <w:rPr>
                <w:rFonts w:ascii="Arial" w:hAnsi="Arial" w:cs="Arial"/>
                <w:bCs/>
                <w:sz w:val="22"/>
                <w:szCs w:val="22"/>
              </w:rPr>
            </w:pPr>
          </w:p>
          <w:p w14:paraId="26442ED9" w14:textId="77777777" w:rsidR="00AD1EB5" w:rsidRPr="00230F35" w:rsidRDefault="00AD1EB5" w:rsidP="009B1791">
            <w:pPr>
              <w:pStyle w:val="NormalWeb"/>
              <w:spacing w:before="0" w:beforeAutospacing="0" w:after="0" w:afterAutospacing="0"/>
              <w:ind w:right="-334"/>
              <w:rPr>
                <w:rFonts w:ascii="Arial" w:hAnsi="Arial" w:cs="Arial"/>
                <w:bCs/>
                <w:sz w:val="22"/>
                <w:szCs w:val="22"/>
              </w:rPr>
            </w:pPr>
          </w:p>
          <w:p w14:paraId="20C5F774" w14:textId="77777777" w:rsidR="00AD1EB5" w:rsidRPr="00230F35" w:rsidRDefault="00AD1EB5" w:rsidP="009B1791">
            <w:pPr>
              <w:pStyle w:val="NormalWeb"/>
              <w:spacing w:before="0" w:beforeAutospacing="0" w:after="0" w:afterAutospacing="0"/>
              <w:ind w:right="-334"/>
              <w:rPr>
                <w:rFonts w:ascii="Arial" w:hAnsi="Arial" w:cs="Arial"/>
                <w:bCs/>
                <w:sz w:val="22"/>
                <w:szCs w:val="22"/>
              </w:rPr>
            </w:pPr>
          </w:p>
        </w:tc>
      </w:tr>
      <w:tr w:rsidR="00AD1EB5" w:rsidRPr="002F467C" w14:paraId="06D44937" w14:textId="77777777" w:rsidTr="00AD1EB5">
        <w:trPr>
          <w:trHeight w:val="720"/>
        </w:trPr>
        <w:tc>
          <w:tcPr>
            <w:tcW w:w="5211" w:type="dxa"/>
            <w:gridSpan w:val="2"/>
          </w:tcPr>
          <w:p w14:paraId="17AC7291" w14:textId="77777777" w:rsidR="00AD1EB5" w:rsidRPr="00230F35" w:rsidRDefault="00AD1EB5" w:rsidP="009B1791">
            <w:pPr>
              <w:rPr>
                <w:rFonts w:ascii="Arial" w:hAnsi="Arial" w:cs="Arial"/>
                <w:sz w:val="22"/>
                <w:szCs w:val="22"/>
              </w:rPr>
            </w:pPr>
            <w:r w:rsidRPr="00230F35">
              <w:rPr>
                <w:rFonts w:ascii="Arial" w:hAnsi="Arial" w:cs="Arial"/>
                <w:sz w:val="22"/>
                <w:szCs w:val="22"/>
              </w:rPr>
              <w:t>External Examiner’s Signature:</w:t>
            </w:r>
          </w:p>
        </w:tc>
        <w:tc>
          <w:tcPr>
            <w:tcW w:w="4234" w:type="dxa"/>
            <w:gridSpan w:val="3"/>
          </w:tcPr>
          <w:p w14:paraId="4DB3D3E1" w14:textId="77777777" w:rsidR="00AD1EB5" w:rsidRPr="00230F35" w:rsidRDefault="00AD1EB5" w:rsidP="009B1791">
            <w:pPr>
              <w:rPr>
                <w:rFonts w:ascii="Arial" w:hAnsi="Arial" w:cs="Arial"/>
                <w:sz w:val="22"/>
                <w:szCs w:val="22"/>
              </w:rPr>
            </w:pPr>
            <w:r w:rsidRPr="00230F35">
              <w:rPr>
                <w:rFonts w:ascii="Arial" w:hAnsi="Arial" w:cs="Arial"/>
                <w:sz w:val="22"/>
                <w:szCs w:val="22"/>
              </w:rPr>
              <w:t>Date:</w:t>
            </w:r>
          </w:p>
        </w:tc>
      </w:tr>
    </w:tbl>
    <w:p w14:paraId="4BA56B89" w14:textId="56823AD8" w:rsidR="00AD1EB5" w:rsidRDefault="00AD1EB5">
      <w:pPr>
        <w:rPr>
          <w:rFonts w:eastAsiaTheme="majorEastAsia" w:cstheme="majorBidi"/>
          <w:spacing w:val="-10"/>
          <w:kern w:val="28"/>
          <w:sz w:val="28"/>
          <w:szCs w:val="56"/>
        </w:rPr>
      </w:pPr>
    </w:p>
    <w:p w14:paraId="5E9316B6" w14:textId="02DE982D" w:rsidR="009332FE" w:rsidRPr="008170DF" w:rsidRDefault="009332FE" w:rsidP="008170DF">
      <w:pPr>
        <w:pStyle w:val="Subtitle"/>
        <w:jc w:val="center"/>
        <w:rPr>
          <w:rFonts w:eastAsiaTheme="majorEastAsia" w:cstheme="majorBidi"/>
          <w:spacing w:val="-10"/>
          <w:kern w:val="28"/>
          <w:sz w:val="28"/>
          <w:szCs w:val="56"/>
          <w:lang w:val="en-GB"/>
        </w:rPr>
      </w:pPr>
      <w:r w:rsidRPr="009332FE">
        <w:rPr>
          <w:rFonts w:eastAsiaTheme="majorEastAsia" w:cstheme="majorBidi"/>
          <w:spacing w:val="-10"/>
          <w:kern w:val="28"/>
          <w:sz w:val="28"/>
          <w:szCs w:val="56"/>
        </w:rPr>
        <w:lastRenderedPageBreak/>
        <w:t xml:space="preserve">A Critical Review of </w:t>
      </w:r>
      <w:r w:rsidR="008170DF">
        <w:rPr>
          <w:rFonts w:eastAsiaTheme="majorEastAsia" w:cstheme="majorBidi"/>
          <w:spacing w:val="-10"/>
          <w:kern w:val="28"/>
          <w:sz w:val="28"/>
          <w:szCs w:val="56"/>
        </w:rPr>
        <w:t xml:space="preserve"> Iamblichus’ Arguments for Divination in</w:t>
      </w:r>
      <w:r w:rsidR="008170DF">
        <w:rPr>
          <w:rFonts w:eastAsiaTheme="majorEastAsia" w:cstheme="majorBidi"/>
          <w:spacing w:val="-10"/>
          <w:kern w:val="28"/>
          <w:sz w:val="28"/>
          <w:szCs w:val="56"/>
          <w:lang w:val="en-GB"/>
        </w:rPr>
        <w:t xml:space="preserve"> </w:t>
      </w:r>
      <w:r w:rsidR="008170DF">
        <w:rPr>
          <w:rFonts w:eastAsiaTheme="majorEastAsia" w:cstheme="majorBidi"/>
          <w:i/>
          <w:iCs/>
          <w:spacing w:val="-10"/>
          <w:kern w:val="28"/>
          <w:sz w:val="28"/>
          <w:szCs w:val="56"/>
          <w:lang w:val="en-GB"/>
        </w:rPr>
        <w:t>De Mysteriis</w:t>
      </w:r>
      <w:r w:rsidRPr="009332FE">
        <w:rPr>
          <w:rFonts w:eastAsiaTheme="majorEastAsia" w:cstheme="majorBidi"/>
          <w:spacing w:val="-10"/>
          <w:kern w:val="28"/>
          <w:sz w:val="28"/>
          <w:szCs w:val="56"/>
        </w:rPr>
        <w:t xml:space="preserve"> </w:t>
      </w:r>
    </w:p>
    <w:p w14:paraId="29976B10" w14:textId="53C8D9A6" w:rsidR="0089336F" w:rsidRPr="002E7FD2" w:rsidRDefault="0089336F" w:rsidP="00492ECA">
      <w:pPr>
        <w:pStyle w:val="Subtitle"/>
        <w:jc w:val="center"/>
      </w:pPr>
      <w:r>
        <w:t xml:space="preserve">Word Count: </w:t>
      </w:r>
      <w:r w:rsidR="005D192D">
        <w:t>214</w:t>
      </w:r>
      <w:r w:rsidR="00C53281">
        <w:t>4</w:t>
      </w:r>
      <w:bookmarkStart w:id="6" w:name="_GoBack"/>
      <w:bookmarkEnd w:id="6"/>
    </w:p>
    <w:p w14:paraId="1C2137B8" w14:textId="77777777" w:rsidR="00C91947" w:rsidRDefault="00C91947" w:rsidP="003F77E0">
      <w:pPr>
        <w:pStyle w:val="Heading1"/>
        <w:rPr>
          <w:color w:val="auto"/>
        </w:rPr>
      </w:pPr>
    </w:p>
    <w:p w14:paraId="30F31968" w14:textId="4B87F4A3" w:rsidR="00731DDA" w:rsidRPr="00A11F71" w:rsidRDefault="00731DDA" w:rsidP="003F77E0">
      <w:pPr>
        <w:pStyle w:val="Heading1"/>
        <w:rPr>
          <w:color w:val="auto"/>
        </w:rPr>
      </w:pPr>
      <w:r w:rsidRPr="00A11F71">
        <w:rPr>
          <w:color w:val="auto"/>
        </w:rPr>
        <w:t>Introduction</w:t>
      </w:r>
    </w:p>
    <w:p w14:paraId="17C41834" w14:textId="3E8C6749" w:rsidR="008076B5" w:rsidRDefault="00447BE0" w:rsidP="00DD1AAC">
      <w:r w:rsidRPr="003F6996">
        <w:t xml:space="preserve">This essay critically </w:t>
      </w:r>
      <w:r w:rsidR="008E5846">
        <w:t>reviews</w:t>
      </w:r>
      <w:r w:rsidRPr="003F6996">
        <w:t xml:space="preserve"> </w:t>
      </w:r>
      <w:r w:rsidR="00787A6F">
        <w:t xml:space="preserve">Iamblichus’ arguments for divination in </w:t>
      </w:r>
      <w:r w:rsidR="00787A6F">
        <w:rPr>
          <w:i/>
        </w:rPr>
        <w:t>De Mysteriis</w:t>
      </w:r>
      <w:r w:rsidR="00077406">
        <w:t>.</w:t>
      </w:r>
      <w:r w:rsidR="00FE0CFB">
        <w:rPr>
          <w:rStyle w:val="FootnoteReference"/>
        </w:rPr>
        <w:footnoteReference w:id="1"/>
      </w:r>
      <w:r w:rsidRPr="003F6996">
        <w:t xml:space="preserve"> </w:t>
      </w:r>
      <w:r w:rsidR="00787A6F">
        <w:t>In order to examine this work, this paper will consider two central terms: ‘Theurgy’ and ‘Divination’. Anton, citing Iamblichus</w:t>
      </w:r>
      <w:r w:rsidR="00DD1AAC">
        <w:t>,</w:t>
      </w:r>
      <w:r w:rsidR="00787A6F">
        <w:t xml:space="preserve"> defines</w:t>
      </w:r>
      <w:r w:rsidR="00DD1AAC">
        <w:t xml:space="preserve"> ‘</w:t>
      </w:r>
      <w:r w:rsidR="00787A6F">
        <w:t>Theurgy</w:t>
      </w:r>
      <w:r w:rsidR="005E1F59">
        <w:t>’</w:t>
      </w:r>
      <w:r w:rsidR="00DD1AAC">
        <w:t xml:space="preserve"> as</w:t>
      </w:r>
      <w:r w:rsidR="005E1F59">
        <w:t xml:space="preserve"> ‘</w:t>
      </w:r>
      <w:r w:rsidR="00787A6F">
        <w:t>the art of divine works</w:t>
      </w:r>
      <w:r w:rsidR="003E682C">
        <w:t xml:space="preserve"> [involving]</w:t>
      </w:r>
      <w:r w:rsidR="00787A6F">
        <w:t xml:space="preserve"> operations that relate man to the divinities by using signatures or… </w:t>
      </w:r>
      <w:r w:rsidR="00186C00">
        <w:t xml:space="preserve">inexplicable </w:t>
      </w:r>
      <w:r w:rsidR="00787A6F">
        <w:t>symbols</w:t>
      </w:r>
      <w:r w:rsidR="00186C00">
        <w:t xml:space="preserve"> con</w:t>
      </w:r>
      <w:r w:rsidR="00444AED">
        <w:t>s</w:t>
      </w:r>
      <w:r w:rsidR="00186C00">
        <w:t>ecrated from eternity</w:t>
      </w:r>
      <w:r w:rsidR="00787A6F">
        <w:t xml:space="preserve">… </w:t>
      </w:r>
      <w:r w:rsidR="00186C00">
        <w:t xml:space="preserve">and </w:t>
      </w:r>
      <w:r w:rsidR="00787A6F">
        <w:t>higher than our way of understanding and more excellent</w:t>
      </w:r>
      <w:r w:rsidR="005C5C55">
        <w:t>’</w:t>
      </w:r>
      <w:r w:rsidR="007E3909">
        <w:t>.</w:t>
      </w:r>
      <w:r w:rsidR="007E3909">
        <w:rPr>
          <w:rStyle w:val="FootnoteReference"/>
        </w:rPr>
        <w:footnoteReference w:id="2"/>
      </w:r>
      <w:r w:rsidR="00DD1AAC">
        <w:t xml:space="preserve"> ‘</w:t>
      </w:r>
      <w:r w:rsidR="00787A6F">
        <w:t>Divination</w:t>
      </w:r>
      <w:r w:rsidR="00DD1AAC">
        <w:t>’</w:t>
      </w:r>
      <w:r w:rsidR="005C5C55">
        <w:t xml:space="preserve">, as </w:t>
      </w:r>
      <w:r w:rsidR="00DD1AAC">
        <w:t xml:space="preserve">defined </w:t>
      </w:r>
      <w:r w:rsidR="005C5C55">
        <w:t xml:space="preserve">by </w:t>
      </w:r>
      <w:r w:rsidR="00787A6F">
        <w:t>Blacker and Loewe</w:t>
      </w:r>
      <w:r w:rsidR="005C5C55">
        <w:t>, is</w:t>
      </w:r>
      <w:r w:rsidR="00FE0CFB">
        <w:t xml:space="preserve"> </w:t>
      </w:r>
      <w:r w:rsidR="005C5C55">
        <w:t>‘</w:t>
      </w:r>
      <w:r w:rsidR="00787A6F">
        <w:t>the attempt to elicit from some higher power or supernatural being the answers to questions beyond the range of ordinary human understanding</w:t>
      </w:r>
      <w:r w:rsidR="005C5C55">
        <w:t>’.</w:t>
      </w:r>
      <w:r w:rsidR="00FE0CFB">
        <w:rPr>
          <w:rStyle w:val="FootnoteReference"/>
        </w:rPr>
        <w:footnoteReference w:id="3"/>
      </w:r>
      <w:r w:rsidR="00B128EF">
        <w:t xml:space="preserve"> </w:t>
      </w:r>
      <w:r w:rsidR="00DD1AAC">
        <w:t xml:space="preserve">This paper will consider </w:t>
      </w:r>
      <w:r w:rsidR="003E682C">
        <w:t xml:space="preserve">Iamblichus’ arguments for divination </w:t>
      </w:r>
      <w:r w:rsidR="001554B1">
        <w:t>and the use of these</w:t>
      </w:r>
      <w:r w:rsidR="00DD1AAC">
        <w:t xml:space="preserve"> two </w:t>
      </w:r>
      <w:r w:rsidR="005C5C55">
        <w:t>terms</w:t>
      </w:r>
      <w:r w:rsidR="00DD1AAC">
        <w:t xml:space="preserve"> via </w:t>
      </w:r>
      <w:r w:rsidR="001554B1">
        <w:t xml:space="preserve">the </w:t>
      </w:r>
      <w:r w:rsidR="007D648D">
        <w:t>contextualization</w:t>
      </w:r>
      <w:r w:rsidR="001554B1">
        <w:t xml:space="preserve">, summary and analysis of </w:t>
      </w:r>
      <w:r w:rsidR="003E682C">
        <w:rPr>
          <w:i/>
        </w:rPr>
        <w:t>De Mysteriis</w:t>
      </w:r>
      <w:r w:rsidR="005C5C55">
        <w:t xml:space="preserve">. </w:t>
      </w:r>
    </w:p>
    <w:p w14:paraId="096A4012" w14:textId="4C757260" w:rsidR="008E5846" w:rsidRDefault="008E5846" w:rsidP="00DD1AAC"/>
    <w:p w14:paraId="4D9726A6" w14:textId="36C483C1" w:rsidR="008E5846" w:rsidRDefault="008E5846" w:rsidP="008E5846">
      <w:pPr>
        <w:pStyle w:val="Heading1"/>
        <w:rPr>
          <w:color w:val="auto"/>
        </w:rPr>
      </w:pPr>
      <w:r>
        <w:rPr>
          <w:color w:val="auto"/>
        </w:rPr>
        <w:t>Context</w:t>
      </w:r>
    </w:p>
    <w:p w14:paraId="645B79ED" w14:textId="34850D0B" w:rsidR="00232D48" w:rsidRDefault="00F8039D" w:rsidP="008E5846">
      <w:r>
        <w:t xml:space="preserve">According to Clarke, Iamblichus </w:t>
      </w:r>
      <w:r w:rsidR="004111ED">
        <w:t xml:space="preserve">was a Syrian </w:t>
      </w:r>
      <w:r w:rsidR="001730A6">
        <w:t>theoretician</w:t>
      </w:r>
      <w:r w:rsidR="00C53281">
        <w:t xml:space="preserve"> likely</w:t>
      </w:r>
      <w:r w:rsidR="004111ED">
        <w:t xml:space="preserve"> born </w:t>
      </w:r>
      <w:r w:rsidR="00C53281">
        <w:t xml:space="preserve">prior to </w:t>
      </w:r>
      <w:r w:rsidR="004111ED">
        <w:t>265 C.E.</w:t>
      </w:r>
      <w:r w:rsidR="001C3FA7">
        <w:t xml:space="preserve"> of good family and origin which </w:t>
      </w:r>
      <w:r w:rsidR="009601AB">
        <w:t>possibly</w:t>
      </w:r>
      <w:r w:rsidR="001C3FA7">
        <w:t xml:space="preserve"> supported his intellectual fortitude.</w:t>
      </w:r>
      <w:r w:rsidR="004111ED">
        <w:rPr>
          <w:rStyle w:val="FootnoteReference"/>
        </w:rPr>
        <w:footnoteReference w:id="4"/>
      </w:r>
      <w:r w:rsidR="001C3FA7">
        <w:t xml:space="preserve"> Campion states that Iamblichus would inevitably become the ‘major philosopher of magic in the entire Western tradition’.</w:t>
      </w:r>
      <w:r w:rsidR="001C3FA7">
        <w:rPr>
          <w:rStyle w:val="FootnoteReference"/>
        </w:rPr>
        <w:footnoteReference w:id="5"/>
      </w:r>
      <w:r w:rsidR="001C3FA7">
        <w:t xml:space="preserve"> His work </w:t>
      </w:r>
      <w:r w:rsidR="001C3FA7">
        <w:rPr>
          <w:i/>
          <w:iCs/>
        </w:rPr>
        <w:t>De Mysteriis</w:t>
      </w:r>
      <w:r w:rsidR="00E3141B">
        <w:t>, a title invented by Marsilio Ficino,</w:t>
      </w:r>
      <w:r w:rsidR="001C3FA7">
        <w:rPr>
          <w:i/>
          <w:iCs/>
        </w:rPr>
        <w:t xml:space="preserve"> </w:t>
      </w:r>
      <w:r w:rsidR="001C3FA7">
        <w:t xml:space="preserve">was written between 280 and 305 C.E. as a response to Porphyry’s </w:t>
      </w:r>
      <w:r w:rsidR="001C3FA7" w:rsidRPr="009601AB">
        <w:rPr>
          <w:i/>
          <w:iCs/>
        </w:rPr>
        <w:t>Letter to Anebo</w:t>
      </w:r>
      <w:r w:rsidR="001C3FA7">
        <w:t>.</w:t>
      </w:r>
      <w:r w:rsidR="00E3141B">
        <w:rPr>
          <w:rStyle w:val="FootnoteReference"/>
        </w:rPr>
        <w:footnoteReference w:id="6"/>
      </w:r>
      <w:r w:rsidR="00E3141B">
        <w:t xml:space="preserve"> Iamblichus, while writing under the guise of ‘Abamon’, an Egyptian prophet, composed </w:t>
      </w:r>
      <w:r w:rsidR="00E3141B">
        <w:rPr>
          <w:i/>
          <w:iCs/>
        </w:rPr>
        <w:t>De Mysteriis</w:t>
      </w:r>
      <w:r w:rsidR="00E3141B">
        <w:t xml:space="preserve"> which became known, according to Addey, as ‘the most extensive surviving treatise from the ancient world on polytheistic religious phenomena, such as divination</w:t>
      </w:r>
      <w:r w:rsidR="00C53281">
        <w:t>’</w:t>
      </w:r>
      <w:r w:rsidR="00E3141B">
        <w:t>.</w:t>
      </w:r>
      <w:r w:rsidR="00E3141B">
        <w:rPr>
          <w:rStyle w:val="FootnoteReference"/>
        </w:rPr>
        <w:footnoteReference w:id="7"/>
      </w:r>
    </w:p>
    <w:p w14:paraId="403FEC01" w14:textId="6F4DA8DE" w:rsidR="00864C19" w:rsidRDefault="00864C19" w:rsidP="008E5846"/>
    <w:p w14:paraId="115449EF" w14:textId="12927216" w:rsidR="00864C19" w:rsidRDefault="00864C19" w:rsidP="008E5846">
      <w:r>
        <w:t xml:space="preserve">The intended audience of </w:t>
      </w:r>
      <w:r>
        <w:rPr>
          <w:i/>
          <w:iCs/>
        </w:rPr>
        <w:t>De Mysteriis</w:t>
      </w:r>
      <w:r>
        <w:t xml:space="preserve"> was undoubtedly Porphyry, but not limited to him alone.</w:t>
      </w:r>
      <w:r w:rsidR="00350EAD">
        <w:t xml:space="preserve"> Similarly, Neoplatonist contemporaries</w:t>
      </w:r>
      <w:r w:rsidR="00301ECC">
        <w:t xml:space="preserve"> and students</w:t>
      </w:r>
      <w:r w:rsidR="00350EAD">
        <w:t xml:space="preserve"> of both Porphyry and Iamblichus were </w:t>
      </w:r>
      <w:r w:rsidR="00350EAD">
        <w:lastRenderedPageBreak/>
        <w:t xml:space="preserve">likely kept in mind for Iamblichus’ response in this work </w:t>
      </w:r>
      <w:r w:rsidR="009601AB">
        <w:t>denote</w:t>
      </w:r>
      <w:r w:rsidR="00350EAD">
        <w:t xml:space="preserve"> a </w:t>
      </w:r>
      <w:r w:rsidR="00C53281">
        <w:t>broad</w:t>
      </w:r>
      <w:r w:rsidR="00350EAD">
        <w:t xml:space="preserve"> debate, according to Schott, over</w:t>
      </w:r>
      <w:r w:rsidR="009601AB">
        <w:t xml:space="preserve"> concepts of</w:t>
      </w:r>
      <w:r w:rsidR="00350EAD">
        <w:t xml:space="preserve"> theurgy and divination.</w:t>
      </w:r>
      <w:r w:rsidR="00350EAD">
        <w:rPr>
          <w:rStyle w:val="FootnoteReference"/>
        </w:rPr>
        <w:footnoteReference w:id="8"/>
      </w:r>
      <w:r w:rsidR="00350EAD">
        <w:t xml:space="preserve"> </w:t>
      </w:r>
    </w:p>
    <w:p w14:paraId="0A0D3974" w14:textId="710F004D" w:rsidR="00FA525C" w:rsidRDefault="00FA525C" w:rsidP="008E5846"/>
    <w:p w14:paraId="678B7232" w14:textId="4E7255FC" w:rsidR="00A800CF" w:rsidRPr="00897098" w:rsidRDefault="00A800CF" w:rsidP="008E5846">
      <w:pPr>
        <w:rPr>
          <w:color w:val="70AD47" w:themeColor="accent6"/>
        </w:rPr>
      </w:pPr>
      <w:r>
        <w:t xml:space="preserve">Iamblichus’ views </w:t>
      </w:r>
      <w:r w:rsidR="00C53281">
        <w:t xml:space="preserve">on divination </w:t>
      </w:r>
      <w:r>
        <w:t xml:space="preserve">are distinct from Porphyry’s partially due to ‘Porphyry holding a rationalist position,’ according to Addey, influenced by Plotinus’ </w:t>
      </w:r>
      <w:r w:rsidR="009601AB">
        <w:t xml:space="preserve">philosophical </w:t>
      </w:r>
      <w:r>
        <w:t>approach, leading to a ‘</w:t>
      </w:r>
      <w:r w:rsidR="009601AB">
        <w:t>skeptical</w:t>
      </w:r>
      <w:r>
        <w:t xml:space="preserve"> attack on divination, theurgy and other religious practices</w:t>
      </w:r>
      <w:r w:rsidR="004C1779">
        <w:t>’</w:t>
      </w:r>
      <w:r>
        <w:t>.</w:t>
      </w:r>
      <w:r>
        <w:rPr>
          <w:rStyle w:val="FootnoteReference"/>
        </w:rPr>
        <w:footnoteReference w:id="9"/>
      </w:r>
      <w:r>
        <w:t xml:space="preserve"> </w:t>
      </w:r>
      <w:r w:rsidR="009601AB">
        <w:t>This is echoed in Finamore’s critical assessment of Iamblichus ‘taking Neoplatonism away from philosophy [and] towards wonder-working and irrationality.</w:t>
      </w:r>
      <w:r w:rsidR="009601AB">
        <w:rPr>
          <w:rStyle w:val="FootnoteReference"/>
        </w:rPr>
        <w:footnoteReference w:id="10"/>
      </w:r>
      <w:r w:rsidR="009601AB">
        <w:rPr>
          <w:color w:val="000000" w:themeColor="text1"/>
        </w:rPr>
        <w:t xml:space="preserve"> I</w:t>
      </w:r>
      <w:r w:rsidRPr="00AD2D99">
        <w:rPr>
          <w:color w:val="000000" w:themeColor="text1"/>
        </w:rPr>
        <w:t xml:space="preserve">amblichus addresses the skeptical criticisms Porphyry brings forth throughout </w:t>
      </w:r>
      <w:r w:rsidRPr="00AD2D99">
        <w:rPr>
          <w:i/>
          <w:iCs/>
          <w:color w:val="000000" w:themeColor="text1"/>
        </w:rPr>
        <w:t>De Mysteriis</w:t>
      </w:r>
      <w:r w:rsidRPr="00AD2D99">
        <w:rPr>
          <w:color w:val="000000" w:themeColor="text1"/>
        </w:rPr>
        <w:t>, reinforcing his theurgic framework central to his conceptions of divination</w:t>
      </w:r>
      <w:r w:rsidRPr="00AD2D99">
        <w:rPr>
          <w:i/>
          <w:iCs/>
          <w:color w:val="000000" w:themeColor="text1"/>
        </w:rPr>
        <w:t>.</w:t>
      </w:r>
    </w:p>
    <w:p w14:paraId="47F8C610" w14:textId="77777777" w:rsidR="00A800CF" w:rsidRDefault="00A800CF" w:rsidP="008E5846"/>
    <w:p w14:paraId="19289246" w14:textId="4AF948F2" w:rsidR="00FA525C" w:rsidRDefault="00CD19F3" w:rsidP="008E5846">
      <w:r>
        <w:t>The understanding of ‘soul’ may provide a larger context to the Neoplatonist framework under which Iamblichus’ ideas of divination emerged</w:t>
      </w:r>
      <w:r w:rsidR="00301ECC">
        <w:t xml:space="preserve"> and </w:t>
      </w:r>
      <w:r w:rsidR="009601AB">
        <w:t>his</w:t>
      </w:r>
      <w:r w:rsidR="00301ECC">
        <w:t xml:space="preserve"> </w:t>
      </w:r>
      <w:r w:rsidR="009601AB">
        <w:t>refutation of</w:t>
      </w:r>
      <w:r w:rsidR="00301ECC">
        <w:t xml:space="preserve"> Porphyry</w:t>
      </w:r>
      <w:r w:rsidR="004C1779">
        <w:t>’s</w:t>
      </w:r>
      <w:r w:rsidR="00301ECC">
        <w:t xml:space="preserve"> concerns regarding divination</w:t>
      </w:r>
      <w:r>
        <w:t xml:space="preserve">. </w:t>
      </w:r>
      <w:r w:rsidR="00FA525C">
        <w:t xml:space="preserve">Throughout </w:t>
      </w:r>
      <w:r w:rsidR="00FA525C">
        <w:rPr>
          <w:i/>
          <w:iCs/>
        </w:rPr>
        <w:t>De Mysteriis</w:t>
      </w:r>
      <w:r w:rsidR="005519E8">
        <w:rPr>
          <w:i/>
          <w:iCs/>
        </w:rPr>
        <w:t xml:space="preserve"> </w:t>
      </w:r>
      <w:r w:rsidR="005519E8">
        <w:t xml:space="preserve">Iamblichus </w:t>
      </w:r>
      <w:r w:rsidR="009601AB">
        <w:t>addresses</w:t>
      </w:r>
      <w:r w:rsidR="005519E8">
        <w:t xml:space="preserve"> Porphyry’s inquiries regarding ‘the manner of divination, what it is and what kind of thing it is’.</w:t>
      </w:r>
      <w:r>
        <w:rPr>
          <w:rStyle w:val="FootnoteReference"/>
        </w:rPr>
        <w:footnoteReference w:id="11"/>
      </w:r>
      <w:r>
        <w:t xml:space="preserve"> According to Shaw, this inquiry might have been greatly influenced by the context of Porphyry’s metaphysics of an ‘undescended soul’ which was very much at odds with Iamblichus’ perception that the soul was descended</w:t>
      </w:r>
      <w:r w:rsidR="003A7C03">
        <w:t xml:space="preserve"> and embodied</w:t>
      </w:r>
      <w:r>
        <w:t>.</w:t>
      </w:r>
      <w:r>
        <w:rPr>
          <w:rStyle w:val="FootnoteReference"/>
        </w:rPr>
        <w:footnoteReference w:id="12"/>
      </w:r>
      <w:r w:rsidR="003A7C03">
        <w:t xml:space="preserve"> Pearson expounds on</w:t>
      </w:r>
      <w:r w:rsidR="00C11F9D">
        <w:t xml:space="preserve"> Shaw’s</w:t>
      </w:r>
      <w:r w:rsidR="003A7C03">
        <w:t xml:space="preserve"> concept</w:t>
      </w:r>
      <w:r w:rsidR="00C11F9D">
        <w:t xml:space="preserve"> by clarifying that embodiment of the soul lies at the heart of theurgy, and Iamblichus’ practice of theurgy </w:t>
      </w:r>
      <w:r w:rsidR="009601AB">
        <w:t>in</w:t>
      </w:r>
      <w:r w:rsidR="00C11F9D">
        <w:t xml:space="preserve"> divination</w:t>
      </w:r>
      <w:r w:rsidR="00301ECC">
        <w:t xml:space="preserve"> was an ‘integral part of his Platonic philosophy’.</w:t>
      </w:r>
      <w:r w:rsidR="00301ECC">
        <w:rPr>
          <w:rStyle w:val="FootnoteReference"/>
        </w:rPr>
        <w:footnoteReference w:id="13"/>
      </w:r>
      <w:r w:rsidR="00301ECC">
        <w:t xml:space="preserve"> </w:t>
      </w:r>
    </w:p>
    <w:p w14:paraId="5036FC09" w14:textId="686FB91D" w:rsidR="00C86553" w:rsidRDefault="00C86553" w:rsidP="008E5846"/>
    <w:p w14:paraId="211D7CA8" w14:textId="0A9D86EF" w:rsidR="00C86553" w:rsidRDefault="00C86553" w:rsidP="008E5846">
      <w:r>
        <w:t xml:space="preserve">This work was also produced under the context of a </w:t>
      </w:r>
      <w:r w:rsidRPr="00A86F0A">
        <w:rPr>
          <w:color w:val="000000" w:themeColor="text1"/>
        </w:rPr>
        <w:t>changing religious landscape, influenced by the rise of Christianity</w:t>
      </w:r>
      <w:r w:rsidRPr="00583CCC">
        <w:rPr>
          <w:color w:val="70AD47" w:themeColor="accent6"/>
        </w:rPr>
        <w:t xml:space="preserve"> </w:t>
      </w:r>
      <w:r w:rsidR="007E0D9C">
        <w:t>which was</w:t>
      </w:r>
      <w:r>
        <w:t>, according to Campion, ‘on the way to theological control of the [Roman] empire</w:t>
      </w:r>
      <w:r w:rsidR="00EF60E2">
        <w:t>’</w:t>
      </w:r>
      <w:r>
        <w:t>.</w:t>
      </w:r>
      <w:r w:rsidR="00EF60E2">
        <w:rPr>
          <w:rStyle w:val="FootnoteReference"/>
        </w:rPr>
        <w:footnoteReference w:id="14"/>
      </w:r>
      <w:r>
        <w:t xml:space="preserve"> This may have caused Iamblichus to see the necessity in </w:t>
      </w:r>
      <w:r w:rsidR="009601AB">
        <w:t>thoroughly</w:t>
      </w:r>
      <w:r>
        <w:t xml:space="preserve"> and critically addressing Porphyry’s </w:t>
      </w:r>
      <w:r w:rsidR="007E0D9C" w:rsidRPr="007E0D9C">
        <w:rPr>
          <w:i/>
          <w:iCs/>
        </w:rPr>
        <w:t>L</w:t>
      </w:r>
      <w:r w:rsidRPr="007E0D9C">
        <w:rPr>
          <w:i/>
          <w:iCs/>
        </w:rPr>
        <w:t>etter to Anebo</w:t>
      </w:r>
      <w:r>
        <w:t xml:space="preserve">, for </w:t>
      </w:r>
      <w:r w:rsidR="004C1779">
        <w:t xml:space="preserve">a </w:t>
      </w:r>
      <w:r>
        <w:t>concept central to Iamblichus</w:t>
      </w:r>
      <w:r w:rsidR="004C1779">
        <w:t>–</w:t>
      </w:r>
      <w:r>
        <w:t xml:space="preserve"> that ‘only divination…in uniting us with the gods, truly enables us to share in the life of the gods’</w:t>
      </w:r>
      <w:r w:rsidR="004C1779">
        <w:softHyphen/>
        <w:t>–</w:t>
      </w:r>
      <w:r>
        <w:t xml:space="preserve"> may have been </w:t>
      </w:r>
      <w:r w:rsidR="007E0D9C">
        <w:t>vulnerable to</w:t>
      </w:r>
      <w:r>
        <w:t xml:space="preserve"> the Christian uprising.</w:t>
      </w:r>
      <w:r>
        <w:rPr>
          <w:rStyle w:val="FootnoteReference"/>
        </w:rPr>
        <w:footnoteReference w:id="15"/>
      </w:r>
    </w:p>
    <w:p w14:paraId="1F0CF7A2" w14:textId="4F84BDF2" w:rsidR="00301ECC" w:rsidRDefault="00301ECC" w:rsidP="008E5846"/>
    <w:p w14:paraId="60EF629E" w14:textId="77777777" w:rsidR="00A317FE" w:rsidRDefault="00A317FE" w:rsidP="008E5846"/>
    <w:p w14:paraId="50078053" w14:textId="7C33CA1D" w:rsidR="008E5846" w:rsidRPr="007B5AC4" w:rsidRDefault="008E5846" w:rsidP="008E5846">
      <w:r w:rsidRPr="008E5846">
        <w:rPr>
          <w:b/>
        </w:rPr>
        <w:t>Summary</w:t>
      </w:r>
    </w:p>
    <w:p w14:paraId="419DE932" w14:textId="77777777" w:rsidR="005671F8" w:rsidRDefault="00720F8D" w:rsidP="008E5846">
      <w:r w:rsidRPr="00A86F0A">
        <w:rPr>
          <w:color w:val="000000" w:themeColor="text1"/>
        </w:rPr>
        <w:t xml:space="preserve">The primary divinatory theory Iamblichus promotes is a theurgical approach to divination, and he does so in his arguments and key information regarding divination. </w:t>
      </w:r>
      <w:r w:rsidR="004139AD" w:rsidRPr="00A86F0A">
        <w:rPr>
          <w:color w:val="000000" w:themeColor="text1"/>
        </w:rPr>
        <w:t xml:space="preserve">Although divination is mentioned throughout </w:t>
      </w:r>
      <w:r w:rsidR="004139AD" w:rsidRPr="00A86F0A">
        <w:rPr>
          <w:i/>
          <w:iCs/>
          <w:color w:val="000000" w:themeColor="text1"/>
        </w:rPr>
        <w:t>De Mysteriis</w:t>
      </w:r>
      <w:r w:rsidR="004139AD" w:rsidRPr="00A86F0A">
        <w:rPr>
          <w:color w:val="000000" w:themeColor="text1"/>
        </w:rPr>
        <w:t xml:space="preserve">, Iamblichus focuses his arguments on the subject primarily </w:t>
      </w:r>
      <w:r w:rsidR="004139AD" w:rsidRPr="00A86F0A">
        <w:rPr>
          <w:color w:val="000000" w:themeColor="text1"/>
        </w:rPr>
        <w:lastRenderedPageBreak/>
        <w:t>in Book III, where he, according to Athan</w:t>
      </w:r>
      <w:r w:rsidR="007E0D9C">
        <w:rPr>
          <w:color w:val="000000" w:themeColor="text1"/>
        </w:rPr>
        <w:t>a</w:t>
      </w:r>
      <w:r w:rsidR="004139AD" w:rsidRPr="00A86F0A">
        <w:rPr>
          <w:color w:val="000000" w:themeColor="text1"/>
        </w:rPr>
        <w:t>ssiadi</w:t>
      </w:r>
      <w:r w:rsidR="00436C94">
        <w:rPr>
          <w:color w:val="000000" w:themeColor="text1"/>
        </w:rPr>
        <w:t>,</w:t>
      </w:r>
      <w:r w:rsidR="004139AD" w:rsidRPr="00A86F0A">
        <w:rPr>
          <w:color w:val="000000" w:themeColor="text1"/>
        </w:rPr>
        <w:t xml:space="preserve"> deals in a ‘critical… fashion with the different kinds of divination practiced in his day’</w:t>
      </w:r>
      <w:r w:rsidR="00DC4E31" w:rsidRPr="00A86F0A">
        <w:rPr>
          <w:color w:val="000000" w:themeColor="text1"/>
        </w:rPr>
        <w:t>,</w:t>
      </w:r>
      <w:r w:rsidR="00DC4E31" w:rsidRPr="00583CCC">
        <w:rPr>
          <w:color w:val="70AD47" w:themeColor="accent6"/>
        </w:rPr>
        <w:t xml:space="preserve"> </w:t>
      </w:r>
      <w:r w:rsidR="00DC4E31">
        <w:t xml:space="preserve">thus </w:t>
      </w:r>
      <w:r>
        <w:t>producing</w:t>
      </w:r>
      <w:r w:rsidR="00DC4E31">
        <w:t xml:space="preserve"> a ‘theoretical framework’ upon which he references his position on practices that can be ‘classified or rejected’.</w:t>
      </w:r>
      <w:r w:rsidR="00DC4E31">
        <w:rPr>
          <w:rStyle w:val="FootnoteReference"/>
        </w:rPr>
        <w:footnoteReference w:id="16"/>
      </w:r>
      <w:r>
        <w:t xml:space="preserve"> </w:t>
      </w:r>
      <w:r w:rsidR="00436C94">
        <w:t xml:space="preserve">Key areas of </w:t>
      </w:r>
      <w:r w:rsidR="00EA3AB4">
        <w:t>info</w:t>
      </w:r>
      <w:r w:rsidR="00436C94">
        <w:t xml:space="preserve">rmation in Book III </w:t>
      </w:r>
      <w:r w:rsidR="00EA3AB4">
        <w:t>explore divination in sleep, divination through divine possession, divination of oracles,</w:t>
      </w:r>
      <w:r w:rsidR="00BC7914">
        <w:t xml:space="preserve"> theurgical divination,</w:t>
      </w:r>
      <w:r w:rsidR="00EA3AB4">
        <w:t xml:space="preserve"> and forms of divination to avoid such as divination accomplished by human skill (artificial forms)</w:t>
      </w:r>
      <w:r w:rsidR="00BC7914">
        <w:t xml:space="preserve"> and false apparitions.</w:t>
      </w:r>
      <w:r w:rsidR="00EA3AB4">
        <w:t xml:space="preserve"> </w:t>
      </w:r>
      <w:r w:rsidR="00EA3AB4">
        <w:rPr>
          <w:rStyle w:val="FootnoteReference"/>
        </w:rPr>
        <w:footnoteReference w:id="17"/>
      </w:r>
      <w:r w:rsidR="00BC7914">
        <w:t xml:space="preserve"> </w:t>
      </w:r>
    </w:p>
    <w:p w14:paraId="6756C2F9" w14:textId="77777777" w:rsidR="005671F8" w:rsidRDefault="005671F8" w:rsidP="008E5846"/>
    <w:p w14:paraId="280E543C" w14:textId="3AFAF49C" w:rsidR="002C7522" w:rsidRPr="004139AD" w:rsidRDefault="00BC7914" w:rsidP="008E5846">
      <w:r>
        <w:t>Beyond this book, Iamblichus emphasizes divination in VI.3-4 stating that the ‘artificial contrivance’ in divination related to sacrifice is inferior and can only predict ‘trifling’ occurrences.</w:t>
      </w:r>
      <w:r w:rsidR="005671F8">
        <w:rPr>
          <w:rStyle w:val="FootnoteReference"/>
        </w:rPr>
        <w:footnoteReference w:id="18"/>
      </w:r>
      <w:r w:rsidR="005671F8">
        <w:t xml:space="preserve"> In IX.5, Iamblichus argues against the use of the stars in divination </w:t>
      </w:r>
      <w:r w:rsidR="004C1FE2">
        <w:t>while</w:t>
      </w:r>
      <w:r w:rsidR="005671F8">
        <w:t xml:space="preserve"> emphasiz</w:t>
      </w:r>
      <w:r w:rsidR="004C1FE2">
        <w:t>ing</w:t>
      </w:r>
      <w:r w:rsidR="005671F8">
        <w:t xml:space="preserve"> theurgy and </w:t>
      </w:r>
      <w:r w:rsidR="004C1FE2">
        <w:t>remarks</w:t>
      </w:r>
      <w:r w:rsidR="005671F8">
        <w:t xml:space="preserve"> in X.4 on the notion of the theurgical approach to divination connecting us to the gods.</w:t>
      </w:r>
      <w:r w:rsidR="005671F8">
        <w:rPr>
          <w:rStyle w:val="FootnoteReference"/>
        </w:rPr>
        <w:footnoteReference w:id="19"/>
      </w:r>
    </w:p>
    <w:p w14:paraId="2768EF09" w14:textId="5DF793BB" w:rsidR="008E5846" w:rsidRDefault="008E5846" w:rsidP="008E5846"/>
    <w:p w14:paraId="7DEB4B7D" w14:textId="77777777" w:rsidR="00E31AAF" w:rsidRDefault="00E31AAF" w:rsidP="008E5846"/>
    <w:p w14:paraId="20065A50" w14:textId="31A63D4F" w:rsidR="008E5846" w:rsidRPr="0081425D" w:rsidRDefault="008E5846" w:rsidP="008E5846">
      <w:pPr>
        <w:rPr>
          <w:b/>
        </w:rPr>
      </w:pPr>
      <w:r w:rsidRPr="008E5846">
        <w:rPr>
          <w:b/>
        </w:rPr>
        <w:t>Analysis</w:t>
      </w:r>
    </w:p>
    <w:p w14:paraId="1060BC6E" w14:textId="68E848DA" w:rsidR="00A317FE" w:rsidRDefault="000C4A67" w:rsidP="008E5846">
      <w:r w:rsidRPr="00EF07BD">
        <w:rPr>
          <w:color w:val="000000" w:themeColor="text1"/>
        </w:rPr>
        <w:t xml:space="preserve">Iamblichus’ </w:t>
      </w:r>
      <w:r w:rsidRPr="00EF07BD">
        <w:rPr>
          <w:i/>
          <w:iCs/>
          <w:color w:val="000000" w:themeColor="text1"/>
        </w:rPr>
        <w:t xml:space="preserve">De Mysteriis </w:t>
      </w:r>
      <w:r w:rsidRPr="00EF07BD">
        <w:rPr>
          <w:color w:val="000000" w:themeColor="text1"/>
        </w:rPr>
        <w:t>is clearly and logically structured.</w:t>
      </w:r>
      <w:r w:rsidR="00663545" w:rsidRPr="00EF07BD">
        <w:rPr>
          <w:color w:val="000000" w:themeColor="text1"/>
        </w:rPr>
        <w:t xml:space="preserve"> </w:t>
      </w:r>
      <w:r w:rsidR="007E0D9C">
        <w:rPr>
          <w:color w:val="000000" w:themeColor="text1"/>
        </w:rPr>
        <w:t>It</w:t>
      </w:r>
      <w:r w:rsidR="009842A0" w:rsidRPr="00EF07BD">
        <w:rPr>
          <w:color w:val="000000" w:themeColor="text1"/>
        </w:rPr>
        <w:t xml:space="preserve"> is</w:t>
      </w:r>
      <w:r w:rsidR="00BC01A8" w:rsidRPr="00EF07BD">
        <w:rPr>
          <w:color w:val="000000" w:themeColor="text1"/>
        </w:rPr>
        <w:t xml:space="preserve"> organized into ten books each addressing various aspects of divination</w:t>
      </w:r>
      <w:r w:rsidR="009842A0" w:rsidRPr="00EF07BD">
        <w:rPr>
          <w:color w:val="000000" w:themeColor="text1"/>
        </w:rPr>
        <w:t xml:space="preserve">, </w:t>
      </w:r>
      <w:r w:rsidR="00BC01A8" w:rsidRPr="00EF07BD">
        <w:rPr>
          <w:color w:val="000000" w:themeColor="text1"/>
        </w:rPr>
        <w:t>theurgy</w:t>
      </w:r>
      <w:r w:rsidR="009842A0" w:rsidRPr="00EF07BD">
        <w:rPr>
          <w:color w:val="000000" w:themeColor="text1"/>
        </w:rPr>
        <w:t xml:space="preserve"> and broader religious</w:t>
      </w:r>
      <w:r w:rsidR="000620FD" w:rsidRPr="00EF07BD">
        <w:rPr>
          <w:color w:val="000000" w:themeColor="text1"/>
        </w:rPr>
        <w:t xml:space="preserve"> concepts common in late antiquity</w:t>
      </w:r>
      <w:r w:rsidR="00BC01A8" w:rsidRPr="00EF07BD">
        <w:rPr>
          <w:color w:val="000000" w:themeColor="text1"/>
        </w:rPr>
        <w:t>.</w:t>
      </w:r>
      <w:r w:rsidR="00BC01A8">
        <w:t xml:space="preserve"> </w:t>
      </w:r>
      <w:r w:rsidR="00663545">
        <w:t xml:space="preserve">Throughout this work, Iamblichus restates Porphyry’s various inquiries then immediately addresses </w:t>
      </w:r>
      <w:r w:rsidR="004C1FE2">
        <w:t>his</w:t>
      </w:r>
      <w:r w:rsidR="00663545">
        <w:t xml:space="preserve"> concern</w:t>
      </w:r>
      <w:r w:rsidR="004C1FE2">
        <w:t>s</w:t>
      </w:r>
      <w:r w:rsidR="00663545">
        <w:t xml:space="preserve"> in the subsequent passages. </w:t>
      </w:r>
    </w:p>
    <w:p w14:paraId="538B4D23" w14:textId="221B0AF6" w:rsidR="00663545" w:rsidRDefault="00663545" w:rsidP="008E5846"/>
    <w:p w14:paraId="028051A4" w14:textId="520623B3" w:rsidR="00663545" w:rsidRPr="0002313D" w:rsidRDefault="0002313D" w:rsidP="008E5846">
      <w:pPr>
        <w:rPr>
          <w:color w:val="70AD47" w:themeColor="accent6"/>
        </w:rPr>
      </w:pPr>
      <w:r>
        <w:t>This structure</w:t>
      </w:r>
      <w:r w:rsidR="00BC01A8">
        <w:t>,</w:t>
      </w:r>
      <w:r w:rsidR="007A2A3E">
        <w:t xml:space="preserve"> according to</w:t>
      </w:r>
      <w:r w:rsidR="00663545">
        <w:t xml:space="preserve"> Addey</w:t>
      </w:r>
      <w:r w:rsidR="007A2A3E">
        <w:t xml:space="preserve">, </w:t>
      </w:r>
      <w:r>
        <w:t xml:space="preserve">fits </w:t>
      </w:r>
      <w:r w:rsidR="007A2A3E">
        <w:t xml:space="preserve">within the framework of </w:t>
      </w:r>
      <w:r w:rsidR="00663545">
        <w:t xml:space="preserve">two philosophical genres; </w:t>
      </w:r>
      <w:r w:rsidR="007A2A3E">
        <w:t>‘</w:t>
      </w:r>
      <w:r w:rsidR="00663545" w:rsidRPr="007A2A3E">
        <w:t>Problem and Solutions</w:t>
      </w:r>
      <w:r w:rsidR="007A2A3E">
        <w:t>’</w:t>
      </w:r>
      <w:r w:rsidR="00663545" w:rsidRPr="007A2A3E">
        <w:t xml:space="preserve"> </w:t>
      </w:r>
      <w:r w:rsidR="00663545">
        <w:t xml:space="preserve">and </w:t>
      </w:r>
      <w:r w:rsidR="00DD39AD">
        <w:t xml:space="preserve">the tradition of </w:t>
      </w:r>
      <w:r w:rsidR="007A2A3E">
        <w:t>‘</w:t>
      </w:r>
      <w:r w:rsidR="007E0D9C" w:rsidRPr="007A2A3E">
        <w:t>Platonic</w:t>
      </w:r>
      <w:r w:rsidR="00DD39AD" w:rsidRPr="007A2A3E">
        <w:t xml:space="preserve"> dialogue</w:t>
      </w:r>
      <w:r w:rsidR="007A2A3E">
        <w:t>’.</w:t>
      </w:r>
      <w:r w:rsidR="007A2A3E">
        <w:rPr>
          <w:rStyle w:val="FootnoteReference"/>
        </w:rPr>
        <w:footnoteReference w:id="20"/>
      </w:r>
      <w:r w:rsidR="007A2A3E">
        <w:t xml:space="preserve"> Addey</w:t>
      </w:r>
      <w:r w:rsidR="00BC01A8">
        <w:t xml:space="preserve"> explains that the ‘Problem and Solutions’ genre is generally structed with a question posed followed by a ‘range of possible solutions’</w:t>
      </w:r>
      <w:r>
        <w:t>,</w:t>
      </w:r>
      <w:r w:rsidR="0069655E">
        <w:t xml:space="preserve"> and</w:t>
      </w:r>
      <w:r w:rsidR="007E0D9C">
        <w:t xml:space="preserve"> </w:t>
      </w:r>
      <w:r w:rsidR="0069655E">
        <w:t>the ‘dialogue’ structure exists within Porphyry and Iamblichus’ exchange.</w:t>
      </w:r>
      <w:r w:rsidR="0069655E">
        <w:rPr>
          <w:rStyle w:val="FootnoteReference"/>
        </w:rPr>
        <w:footnoteReference w:id="21"/>
      </w:r>
      <w:r>
        <w:t xml:space="preserve"> Addey </w:t>
      </w:r>
      <w:r w:rsidR="007E0D9C">
        <w:t xml:space="preserve">claims that the </w:t>
      </w:r>
      <w:r>
        <w:t>dialogue process</w:t>
      </w:r>
      <w:r w:rsidR="000620FD">
        <w:t xml:space="preserve"> </w:t>
      </w:r>
      <w:r w:rsidR="007E0D9C">
        <w:t>is</w:t>
      </w:r>
      <w:r w:rsidR="000620FD">
        <w:t xml:space="preserve"> </w:t>
      </w:r>
      <w:r>
        <w:t xml:space="preserve">‘central to the teaching methods and practices of Neoplatonist philosophers,’ </w:t>
      </w:r>
      <w:r w:rsidR="000620FD">
        <w:t>and allow</w:t>
      </w:r>
      <w:r w:rsidR="007E0D9C">
        <w:t>s</w:t>
      </w:r>
      <w:r>
        <w:t xml:space="preserve"> ‘intellectual inquiry’, a structure which supports the complex topic of divination.</w:t>
      </w:r>
      <w:r w:rsidR="006928F5">
        <w:rPr>
          <w:rStyle w:val="FootnoteReference"/>
        </w:rPr>
        <w:footnoteReference w:id="22"/>
      </w:r>
      <w:r>
        <w:t xml:space="preserve"> </w:t>
      </w:r>
      <w:r w:rsidR="007A2A3E" w:rsidRPr="00EF07BD">
        <w:rPr>
          <w:color w:val="000000" w:themeColor="text1"/>
        </w:rPr>
        <w:t xml:space="preserve">Both </w:t>
      </w:r>
      <w:r w:rsidR="007E0D9C" w:rsidRPr="00EF07BD">
        <w:rPr>
          <w:color w:val="000000" w:themeColor="text1"/>
        </w:rPr>
        <w:t>genres</w:t>
      </w:r>
      <w:r w:rsidR="000620FD" w:rsidRPr="00EF07BD">
        <w:rPr>
          <w:color w:val="000000" w:themeColor="text1"/>
        </w:rPr>
        <w:t xml:space="preserve"> of</w:t>
      </w:r>
      <w:r w:rsidR="007A2A3E" w:rsidRPr="00EF07BD">
        <w:rPr>
          <w:color w:val="000000" w:themeColor="text1"/>
        </w:rPr>
        <w:t xml:space="preserve"> </w:t>
      </w:r>
      <w:r w:rsidR="000620FD" w:rsidRPr="00EF07BD">
        <w:rPr>
          <w:color w:val="000000" w:themeColor="text1"/>
        </w:rPr>
        <w:t>‘</w:t>
      </w:r>
      <w:r w:rsidR="007A2A3E" w:rsidRPr="00EF07BD">
        <w:rPr>
          <w:color w:val="000000" w:themeColor="text1"/>
        </w:rPr>
        <w:t>Problem and Solutions’ and the tradition of ‘</w:t>
      </w:r>
      <w:r w:rsidR="005D192D" w:rsidRPr="00EF07BD">
        <w:rPr>
          <w:color w:val="000000" w:themeColor="text1"/>
        </w:rPr>
        <w:t>Platonic</w:t>
      </w:r>
      <w:r w:rsidR="007A2A3E" w:rsidRPr="00EF07BD">
        <w:rPr>
          <w:color w:val="000000" w:themeColor="text1"/>
        </w:rPr>
        <w:t xml:space="preserve"> dialogue’ aid </w:t>
      </w:r>
      <w:r w:rsidR="007A2A3E" w:rsidRPr="00EF07BD">
        <w:rPr>
          <w:i/>
          <w:iCs/>
          <w:color w:val="000000" w:themeColor="text1"/>
        </w:rPr>
        <w:t xml:space="preserve">De Mysteriis </w:t>
      </w:r>
      <w:r w:rsidR="007A2A3E" w:rsidRPr="00EF07BD">
        <w:rPr>
          <w:color w:val="000000" w:themeColor="text1"/>
        </w:rPr>
        <w:t xml:space="preserve">in being accessible to fellow </w:t>
      </w:r>
      <w:r w:rsidRPr="00EF07BD">
        <w:rPr>
          <w:color w:val="000000" w:themeColor="text1"/>
        </w:rPr>
        <w:t>Neoplatonists</w:t>
      </w:r>
      <w:r w:rsidR="007A2A3E" w:rsidRPr="00EF07BD">
        <w:rPr>
          <w:color w:val="000000" w:themeColor="text1"/>
        </w:rPr>
        <w:t xml:space="preserve"> and others familiar with the important and related philosophical and literary traditions of their time.</w:t>
      </w:r>
    </w:p>
    <w:p w14:paraId="384C40F6" w14:textId="23187E63" w:rsidR="00A317FE" w:rsidRDefault="00A317FE" w:rsidP="008E5846"/>
    <w:p w14:paraId="7DB572BA" w14:textId="72E83A01" w:rsidR="00A317FE" w:rsidRDefault="006928F5" w:rsidP="008E5846">
      <w:r>
        <w:t xml:space="preserve">Iamblichus deals with the concepts of divination </w:t>
      </w:r>
      <w:r w:rsidR="000620FD">
        <w:t>in a manner distinct from that of</w:t>
      </w:r>
      <w:r>
        <w:t xml:space="preserve"> Porphyry </w:t>
      </w:r>
      <w:r w:rsidR="000620FD">
        <w:t xml:space="preserve">as revealed in </w:t>
      </w:r>
      <w:r>
        <w:t xml:space="preserve">the way Iamblichus </w:t>
      </w:r>
      <w:r w:rsidR="000620FD">
        <w:t>responds to</w:t>
      </w:r>
      <w:r>
        <w:t xml:space="preserve"> his peer’s questions. Iamblichus seems particularly shocked at times by </w:t>
      </w:r>
      <w:r w:rsidR="000620FD">
        <w:t>many</w:t>
      </w:r>
      <w:r>
        <w:t xml:space="preserve"> of Porphyry’s questions regarding divination, specifically in Book III, but, as explained by </w:t>
      </w:r>
      <w:r w:rsidR="007E0D9C">
        <w:t>Athanassiadi</w:t>
      </w:r>
      <w:r>
        <w:t>, he ‘patiently… elucidates obscure points… and dispels doubts’ in relation to Porphyry’s concerns.</w:t>
      </w:r>
      <w:r>
        <w:rPr>
          <w:rStyle w:val="FootnoteReference"/>
        </w:rPr>
        <w:footnoteReference w:id="23"/>
      </w:r>
      <w:r w:rsidR="0023181E">
        <w:t xml:space="preserve"> </w:t>
      </w:r>
      <w:r w:rsidR="007E0D9C">
        <w:t xml:space="preserve">This is done with care that Iamblichus </w:t>
      </w:r>
      <w:r w:rsidR="007E0D9C" w:rsidRPr="00EF07BD">
        <w:rPr>
          <w:color w:val="000000" w:themeColor="text1"/>
        </w:rPr>
        <w:t>was addressing, perhaps, a larger audience</w:t>
      </w:r>
      <w:r w:rsidR="007E0D9C">
        <w:t xml:space="preserve">; </w:t>
      </w:r>
      <w:r w:rsidR="00AE0CC8">
        <w:t>Afterall</w:t>
      </w:r>
      <w:r w:rsidR="007E0D9C">
        <w:t xml:space="preserve">, as Addey claims, not all of Porphyry’s questions pertaining to divination represent his own views but ‘represent a </w:t>
      </w:r>
      <w:r w:rsidR="00AE0CC8">
        <w:t>broad</w:t>
      </w:r>
      <w:r w:rsidR="007E0D9C">
        <w:t xml:space="preserve"> variety of perspectives’.</w:t>
      </w:r>
      <w:r w:rsidR="007E0D9C">
        <w:rPr>
          <w:rStyle w:val="FootnoteReference"/>
        </w:rPr>
        <w:footnoteReference w:id="24"/>
      </w:r>
      <w:r w:rsidR="00AE0CC8">
        <w:t xml:space="preserve"> </w:t>
      </w:r>
      <w:r w:rsidR="004C1FE2">
        <w:lastRenderedPageBreak/>
        <w:t xml:space="preserve">Notably, </w:t>
      </w:r>
      <w:r w:rsidR="0023181E">
        <w:t xml:space="preserve">Iamblichus </w:t>
      </w:r>
      <w:r w:rsidR="004C1FE2">
        <w:t>approaches concepts</w:t>
      </w:r>
      <w:r w:rsidR="0023181E">
        <w:t xml:space="preserve"> of divination by distinguishing</w:t>
      </w:r>
      <w:r w:rsidR="007E0D9C">
        <w:t xml:space="preserve"> </w:t>
      </w:r>
      <w:r w:rsidR="000620FD">
        <w:t xml:space="preserve">three </w:t>
      </w:r>
      <w:r w:rsidR="0023181E">
        <w:t>different approaches to</w:t>
      </w:r>
      <w:r w:rsidR="004C2B82">
        <w:t xml:space="preserve"> the explanations</w:t>
      </w:r>
      <w:r w:rsidR="0023181E">
        <w:t xml:space="preserve"> </w:t>
      </w:r>
      <w:r w:rsidR="004C1FE2">
        <w:t xml:space="preserve">of </w:t>
      </w:r>
      <w:r w:rsidR="0023181E">
        <w:t>divination</w:t>
      </w:r>
      <w:r w:rsidR="004C2B82">
        <w:t xml:space="preserve"> in Book I.2</w:t>
      </w:r>
      <w:r w:rsidR="000620FD">
        <w:t>; theological, philosophical and theurgical</w:t>
      </w:r>
      <w:r w:rsidR="0023181E">
        <w:t>.</w:t>
      </w:r>
      <w:r w:rsidR="004C2B82">
        <w:rPr>
          <w:rStyle w:val="FootnoteReference"/>
        </w:rPr>
        <w:footnoteReference w:id="25"/>
      </w:r>
      <w:r w:rsidR="0023181E">
        <w:t xml:space="preserve"> Athanassiadi defines this as a ‘tripartite division’ </w:t>
      </w:r>
      <w:r w:rsidR="000620FD">
        <w:t>in</w:t>
      </w:r>
      <w:r w:rsidR="0023181E">
        <w:t xml:space="preserve"> referencing divination.</w:t>
      </w:r>
      <w:r w:rsidR="0023181E">
        <w:rPr>
          <w:rStyle w:val="FootnoteReference"/>
        </w:rPr>
        <w:footnoteReference w:id="26"/>
      </w:r>
      <w:r w:rsidR="00EF4D6F">
        <w:t xml:space="preserve"> </w:t>
      </w:r>
    </w:p>
    <w:p w14:paraId="1F228D49" w14:textId="77777777" w:rsidR="007E0D9C" w:rsidRDefault="007E0D9C" w:rsidP="008E5846"/>
    <w:p w14:paraId="3D122F33" w14:textId="44DA4F99" w:rsidR="00A317FE" w:rsidRPr="00C14D1F" w:rsidRDefault="00D93203" w:rsidP="008E5846">
      <w:pPr>
        <w:rPr>
          <w:rFonts w:ascii="Cambria" w:hAnsi="Cambria"/>
        </w:rPr>
      </w:pPr>
      <w:r w:rsidRPr="00EF07BD">
        <w:rPr>
          <w:color w:val="000000" w:themeColor="text1"/>
        </w:rPr>
        <w:t>Compared to Porphyry, Iamblichus has contrasting philosophies and concepts of divination</w:t>
      </w:r>
      <w:r w:rsidR="00B35F00" w:rsidRPr="00EF07BD">
        <w:rPr>
          <w:color w:val="000000" w:themeColor="text1"/>
        </w:rPr>
        <w:t xml:space="preserve">, particularly </w:t>
      </w:r>
      <w:r w:rsidR="00E12E48" w:rsidRPr="00EF07BD">
        <w:rPr>
          <w:color w:val="000000" w:themeColor="text1"/>
        </w:rPr>
        <w:t xml:space="preserve">in </w:t>
      </w:r>
      <w:r w:rsidR="00C14D1F" w:rsidRPr="00EF07BD">
        <w:rPr>
          <w:color w:val="000000" w:themeColor="text1"/>
        </w:rPr>
        <w:t>his</w:t>
      </w:r>
      <w:r w:rsidR="00E12E48" w:rsidRPr="00EF07BD">
        <w:rPr>
          <w:color w:val="000000" w:themeColor="text1"/>
        </w:rPr>
        <w:t xml:space="preserve"> theurgic connection to </w:t>
      </w:r>
      <w:r w:rsidR="00C14D1F" w:rsidRPr="00EF07BD">
        <w:rPr>
          <w:color w:val="000000" w:themeColor="text1"/>
        </w:rPr>
        <w:t>the topic</w:t>
      </w:r>
      <w:r w:rsidRPr="00EF07BD">
        <w:rPr>
          <w:color w:val="000000" w:themeColor="text1"/>
        </w:rPr>
        <w:t xml:space="preserve">. </w:t>
      </w:r>
      <w:r w:rsidR="00B23E3A" w:rsidRPr="00EF07BD">
        <w:rPr>
          <w:color w:val="000000" w:themeColor="text1"/>
        </w:rPr>
        <w:t>According to Schott, while theurgy remained central to Iamblichu</w:t>
      </w:r>
      <w:r w:rsidR="004C1FE2">
        <w:rPr>
          <w:color w:val="000000" w:themeColor="text1"/>
        </w:rPr>
        <w:t>s’ divinatory process</w:t>
      </w:r>
      <w:r w:rsidR="00B23E3A" w:rsidRPr="00EF07BD">
        <w:rPr>
          <w:color w:val="000000" w:themeColor="text1"/>
        </w:rPr>
        <w:t>, Porphyry objected to it on the presumption that via theurgy the gods were subject to ‘human cajoling… [involving] ritual offerings.</w:t>
      </w:r>
      <w:r w:rsidR="00B23E3A" w:rsidRPr="00EF07BD">
        <w:rPr>
          <w:rStyle w:val="FootnoteReference"/>
          <w:color w:val="000000" w:themeColor="text1"/>
        </w:rPr>
        <w:footnoteReference w:id="27"/>
      </w:r>
      <w:r w:rsidR="00C14D1F" w:rsidRPr="00EF07BD">
        <w:rPr>
          <w:color w:val="000000" w:themeColor="text1"/>
        </w:rPr>
        <w:t xml:space="preserve"> Iamblichus combatted this notion by emphasizing</w:t>
      </w:r>
      <w:r w:rsidR="00E06151" w:rsidRPr="00EF07BD">
        <w:rPr>
          <w:color w:val="000000" w:themeColor="text1"/>
        </w:rPr>
        <w:t xml:space="preserve"> in Book III.17 that humans do not draw down the gods, for the gods do not work in service of human beings, instea</w:t>
      </w:r>
      <w:r w:rsidR="00E70FDA" w:rsidRPr="00EF07BD">
        <w:rPr>
          <w:color w:val="000000" w:themeColor="text1"/>
        </w:rPr>
        <w:t>d the gods make use of ‘all that is subservient to [them]’</w:t>
      </w:r>
      <w:r w:rsidR="00E06151" w:rsidRPr="00EF07BD">
        <w:rPr>
          <w:color w:val="000000" w:themeColor="text1"/>
        </w:rPr>
        <w:t>.</w:t>
      </w:r>
      <w:r w:rsidR="00E06151" w:rsidRPr="00EF07BD">
        <w:rPr>
          <w:rStyle w:val="FootnoteReference"/>
          <w:color w:val="000000" w:themeColor="text1"/>
        </w:rPr>
        <w:footnoteReference w:id="28"/>
      </w:r>
      <w:r w:rsidR="00E12E48" w:rsidRPr="00EF07BD">
        <w:rPr>
          <w:rFonts w:ascii=".Apple Color Emoji UI" w:eastAsiaTheme="minorHAnsi" w:hAnsi=".Apple Color Emoji UI" w:cs=".Apple Color Emoji UI"/>
          <w:color w:val="000000" w:themeColor="text1"/>
        </w:rPr>
        <w:t xml:space="preserve"> </w:t>
      </w:r>
      <w:r w:rsidR="00E70FDA" w:rsidRPr="00D04400">
        <w:rPr>
          <w:rFonts w:ascii="Cambria" w:eastAsiaTheme="minorHAnsi" w:hAnsi="Cambria" w:cs="Apple Color Emoji"/>
        </w:rPr>
        <w:t>In another distinction</w:t>
      </w:r>
      <w:r w:rsidR="00C14D1F" w:rsidRPr="00D04400">
        <w:rPr>
          <w:rFonts w:ascii="Cambria" w:eastAsiaTheme="minorHAnsi" w:hAnsi="Cambria" w:cs="Apple Color Emoji"/>
        </w:rPr>
        <w:t>, Iamblichus is steadfast in his elevation of the theurgic process of divination</w:t>
      </w:r>
      <w:r w:rsidR="00E70FDA" w:rsidRPr="00D04400">
        <w:rPr>
          <w:rFonts w:ascii="Cambria" w:eastAsiaTheme="minorHAnsi" w:hAnsi="Cambria" w:cs="Apple Color Emoji"/>
        </w:rPr>
        <w:t xml:space="preserve"> regarding </w:t>
      </w:r>
      <w:r w:rsidR="004C1FE2">
        <w:rPr>
          <w:rFonts w:ascii="Cambria" w:eastAsiaTheme="minorHAnsi" w:hAnsi="Cambria" w:cs="Apple Color Emoji"/>
        </w:rPr>
        <w:t>‘</w:t>
      </w:r>
      <w:r w:rsidR="00E70FDA" w:rsidRPr="00D04400">
        <w:rPr>
          <w:rFonts w:ascii="Cambria" w:eastAsiaTheme="minorHAnsi" w:hAnsi="Cambria" w:cs="Apple Color Emoji"/>
        </w:rPr>
        <w:t>matter</w:t>
      </w:r>
      <w:r w:rsidR="004C1FE2">
        <w:rPr>
          <w:rFonts w:ascii="Cambria" w:eastAsiaTheme="minorHAnsi" w:hAnsi="Cambria" w:cs="Apple Color Emoji"/>
        </w:rPr>
        <w:t>’</w:t>
      </w:r>
      <w:r w:rsidR="00C14D1F" w:rsidRPr="00D04400">
        <w:rPr>
          <w:rFonts w:ascii="Cambria" w:eastAsiaTheme="minorHAnsi" w:hAnsi="Cambria" w:cs="Apple Color Emoji"/>
        </w:rPr>
        <w:t xml:space="preserve">. In an example, </w:t>
      </w:r>
      <w:r w:rsidR="00962375" w:rsidRPr="00D04400">
        <w:rPr>
          <w:rFonts w:ascii="Cambria" w:eastAsiaTheme="minorHAnsi" w:hAnsi="Cambria" w:cs="Apple Color Emoji"/>
        </w:rPr>
        <w:t>Iamblichus</w:t>
      </w:r>
      <w:r w:rsidR="00C14D1F" w:rsidRPr="00D04400">
        <w:rPr>
          <w:rFonts w:ascii="Cambria" w:eastAsiaTheme="minorHAnsi" w:hAnsi="Cambria" w:cs="Apple Color Emoji"/>
        </w:rPr>
        <w:t xml:space="preserve"> states that talismans often used in divinatory processes are not theurgic, nor are idols, for these items are ‘artificial’ and are largely of bad practice.</w:t>
      </w:r>
      <w:r w:rsidR="00C14D1F" w:rsidRPr="00D04400">
        <w:rPr>
          <w:rStyle w:val="FootnoteReference"/>
          <w:rFonts w:ascii="Cambria" w:eastAsiaTheme="minorHAnsi" w:hAnsi="Cambria" w:cs="Apple Color Emoji"/>
        </w:rPr>
        <w:footnoteReference w:id="29"/>
      </w:r>
    </w:p>
    <w:p w14:paraId="7CDDB7B3" w14:textId="4590C769" w:rsidR="00A93058" w:rsidRDefault="00A93058" w:rsidP="008E5846"/>
    <w:p w14:paraId="250B107E" w14:textId="4FCFAC75" w:rsidR="00A317FE" w:rsidRPr="00622AA3" w:rsidRDefault="0092382B" w:rsidP="008E5846">
      <w:pPr>
        <w:rPr>
          <w:rFonts w:ascii="Cambria" w:hAnsi="Cambria"/>
        </w:rPr>
      </w:pPr>
      <w:r w:rsidRPr="0006604F">
        <w:rPr>
          <w:color w:val="000000" w:themeColor="text1"/>
        </w:rPr>
        <w:t xml:space="preserve">Throughout </w:t>
      </w:r>
      <w:r w:rsidRPr="0006604F">
        <w:rPr>
          <w:i/>
          <w:iCs/>
          <w:color w:val="000000" w:themeColor="text1"/>
        </w:rPr>
        <w:t>De Mysteriis</w:t>
      </w:r>
      <w:r w:rsidRPr="0006604F">
        <w:rPr>
          <w:color w:val="000000" w:themeColor="text1"/>
        </w:rPr>
        <w:t>, Iamblichus mentions a variety of sources to support his arguments on both divination and theurgy</w:t>
      </w:r>
      <w:r w:rsidR="009842A0" w:rsidRPr="0006604F">
        <w:rPr>
          <w:color w:val="000000" w:themeColor="text1"/>
        </w:rPr>
        <w:t xml:space="preserve">, but this, according to Clarke, is done in </w:t>
      </w:r>
      <w:r w:rsidR="00962375">
        <w:rPr>
          <w:color w:val="000000" w:themeColor="text1"/>
        </w:rPr>
        <w:t xml:space="preserve">a </w:t>
      </w:r>
      <w:r w:rsidR="009842A0" w:rsidRPr="0006604F">
        <w:rPr>
          <w:color w:val="000000" w:themeColor="text1"/>
        </w:rPr>
        <w:t>‘largely sweeping’ manner</w:t>
      </w:r>
      <w:r w:rsidRPr="0006604F">
        <w:rPr>
          <w:color w:val="000000" w:themeColor="text1"/>
        </w:rPr>
        <w:t>.</w:t>
      </w:r>
      <w:r w:rsidR="009842A0" w:rsidRPr="0006604F">
        <w:rPr>
          <w:rStyle w:val="FootnoteReference"/>
          <w:color w:val="000000" w:themeColor="text1"/>
        </w:rPr>
        <w:footnoteReference w:id="30"/>
      </w:r>
      <w:r w:rsidR="00A93058" w:rsidRPr="0006604F">
        <w:rPr>
          <w:color w:val="000000" w:themeColor="text1"/>
        </w:rPr>
        <w:t xml:space="preserve"> In Book I </w:t>
      </w:r>
      <w:r w:rsidR="00B9000D" w:rsidRPr="0006604F">
        <w:rPr>
          <w:color w:val="000000" w:themeColor="text1"/>
        </w:rPr>
        <w:t xml:space="preserve">Iamblichus </w:t>
      </w:r>
      <w:r w:rsidR="00962375">
        <w:rPr>
          <w:color w:val="000000" w:themeColor="text1"/>
        </w:rPr>
        <w:t>outlines three</w:t>
      </w:r>
      <w:r w:rsidR="00B9000D" w:rsidRPr="0006604F">
        <w:rPr>
          <w:color w:val="000000" w:themeColor="text1"/>
        </w:rPr>
        <w:t xml:space="preserve"> sources he </w:t>
      </w:r>
      <w:r w:rsidR="004C1FE2">
        <w:rPr>
          <w:color w:val="000000" w:themeColor="text1"/>
        </w:rPr>
        <w:t>utilizes</w:t>
      </w:r>
      <w:r w:rsidR="00B9000D" w:rsidRPr="0006604F">
        <w:rPr>
          <w:color w:val="000000" w:themeColor="text1"/>
        </w:rPr>
        <w:t xml:space="preserve"> in his responses to Porphyry, stating that Porphyry’s questions require an examination ‘on the basis of the traditions of the sages of Chaldaea,… teachings of the prophets of Egypt… and the speculations of the philosophers’.</w:t>
      </w:r>
      <w:r w:rsidR="00B9000D" w:rsidRPr="0006604F">
        <w:rPr>
          <w:rStyle w:val="FootnoteReference"/>
          <w:color w:val="000000" w:themeColor="text1"/>
        </w:rPr>
        <w:footnoteReference w:id="31"/>
      </w:r>
      <w:r w:rsidR="00B9000D" w:rsidRPr="0006604F">
        <w:rPr>
          <w:color w:val="000000" w:themeColor="text1"/>
        </w:rPr>
        <w:t xml:space="preserve"> </w:t>
      </w:r>
      <w:r w:rsidR="00622AA3" w:rsidRPr="0006604F">
        <w:rPr>
          <w:rFonts w:ascii="Cambria" w:eastAsiaTheme="minorHAnsi" w:hAnsi="Cambria" w:cs="Apple Color Emoji"/>
          <w:color w:val="000000" w:themeColor="text1"/>
        </w:rPr>
        <w:t xml:space="preserve">An analysis of why these sources were mentioned at the outset </w:t>
      </w:r>
      <w:r w:rsidR="00962375">
        <w:rPr>
          <w:rFonts w:ascii="Cambria" w:eastAsiaTheme="minorHAnsi" w:hAnsi="Cambria" w:cs="Apple Color Emoji"/>
          <w:color w:val="000000" w:themeColor="text1"/>
        </w:rPr>
        <w:t>illuminates</w:t>
      </w:r>
      <w:r w:rsidR="00622AA3" w:rsidRPr="0006604F">
        <w:rPr>
          <w:rFonts w:ascii="Cambria" w:eastAsiaTheme="minorHAnsi" w:hAnsi="Cambria" w:cs="Apple Color Emoji"/>
          <w:color w:val="000000" w:themeColor="text1"/>
        </w:rPr>
        <w:t xml:space="preserve"> the larger framework of which this text was written; Iamblichus was influenced by his interest in </w:t>
      </w:r>
      <w:r w:rsidR="00622AA3">
        <w:rPr>
          <w:rFonts w:ascii="Cambria" w:eastAsiaTheme="minorHAnsi" w:hAnsi="Cambria" w:cs="Apple Color Emoji"/>
        </w:rPr>
        <w:t>ancient wisdom</w:t>
      </w:r>
      <w:r w:rsidR="009B3FBE">
        <w:rPr>
          <w:rFonts w:ascii="Cambria" w:eastAsiaTheme="minorHAnsi" w:hAnsi="Cambria" w:cs="Apple Color Emoji"/>
        </w:rPr>
        <w:t xml:space="preserve"> and, according to Clarke, connected the Platonic doctrine to the Chaldaean Oracles</w:t>
      </w:r>
      <w:r w:rsidR="009842A0">
        <w:rPr>
          <w:rFonts w:ascii="Cambria" w:eastAsiaTheme="minorHAnsi" w:hAnsi="Cambria" w:cs="Apple Color Emoji"/>
        </w:rPr>
        <w:t xml:space="preserve">, Egyptian theology (of which he covers in Books VII and VIII) and ‘related notions in the </w:t>
      </w:r>
      <w:r w:rsidR="009842A0" w:rsidRPr="009842A0">
        <w:rPr>
          <w:rFonts w:ascii="Cambria" w:eastAsiaTheme="minorHAnsi" w:hAnsi="Cambria" w:cs="Apple Color Emoji"/>
          <w:i/>
          <w:iCs/>
        </w:rPr>
        <w:t>Corpus Hermeticum</w:t>
      </w:r>
      <w:r w:rsidR="009842A0">
        <w:rPr>
          <w:rFonts w:ascii="Cambria" w:eastAsiaTheme="minorHAnsi" w:hAnsi="Cambria" w:cs="Apple Color Emoji"/>
        </w:rPr>
        <w:t>’.</w:t>
      </w:r>
      <w:r w:rsidR="009B3FBE">
        <w:rPr>
          <w:rStyle w:val="FootnoteReference"/>
          <w:rFonts w:ascii="Cambria" w:eastAsiaTheme="minorHAnsi" w:hAnsi="Cambria" w:cs="Apple Color Emoji"/>
        </w:rPr>
        <w:footnoteReference w:id="32"/>
      </w:r>
    </w:p>
    <w:p w14:paraId="1AFF14F2" w14:textId="46D34608" w:rsidR="00A317FE" w:rsidRDefault="00A317FE" w:rsidP="008E5846"/>
    <w:p w14:paraId="3E24FFBF" w14:textId="01111C74" w:rsidR="00787E7D" w:rsidRDefault="00460478" w:rsidP="008E5846">
      <w:pPr>
        <w:rPr>
          <w:rFonts w:ascii=".Apple Color Emoji UI" w:eastAsiaTheme="minorHAnsi" w:hAnsi=".Apple Color Emoji UI" w:cs=".Apple Color Emoji UI"/>
        </w:rPr>
      </w:pPr>
      <w:r w:rsidRPr="006A19F8">
        <w:rPr>
          <w:color w:val="000000" w:themeColor="text1"/>
        </w:rPr>
        <w:t xml:space="preserve">Iamblichus’ arguments for divination are </w:t>
      </w:r>
      <w:r w:rsidR="00962375">
        <w:rPr>
          <w:color w:val="000000" w:themeColor="text1"/>
        </w:rPr>
        <w:t>s</w:t>
      </w:r>
      <w:r w:rsidRPr="006A19F8">
        <w:rPr>
          <w:color w:val="000000" w:themeColor="text1"/>
        </w:rPr>
        <w:t>upported by his concepts of theurgy, but he does not provide explicit evidence regarding the effectiveness of his divination methods.</w:t>
      </w:r>
      <w:r w:rsidR="005847C8" w:rsidRPr="006A19F8">
        <w:rPr>
          <w:color w:val="000000" w:themeColor="text1"/>
        </w:rPr>
        <w:t xml:space="preserve"> Instead, Iamblichus, as elucidated by Addey, distinguishes common methods of divination familiar to the Neoplatonists by dividing forms of divination into two categories upon which he expounds: ‘inductive divination’ and ‘inspired divination’.</w:t>
      </w:r>
      <w:r w:rsidR="005847C8" w:rsidRPr="006A19F8">
        <w:rPr>
          <w:rStyle w:val="FootnoteReference"/>
          <w:color w:val="000000" w:themeColor="text1"/>
        </w:rPr>
        <w:footnoteReference w:id="33"/>
      </w:r>
      <w:r w:rsidR="005847C8" w:rsidRPr="006A19F8">
        <w:rPr>
          <w:color w:val="000000" w:themeColor="text1"/>
        </w:rPr>
        <w:t xml:space="preserve">  </w:t>
      </w:r>
      <w:r w:rsidR="005847C8">
        <w:t>While the former is subject to human limitations, the latter is strictly a power belonging to the gods that the individual can open himself to experiencing</w:t>
      </w:r>
      <w:r w:rsidR="00622AA3">
        <w:t xml:space="preserve">. </w:t>
      </w:r>
      <w:r w:rsidR="00297109" w:rsidRPr="004C1FE2">
        <w:rPr>
          <w:rFonts w:eastAsiaTheme="minorHAnsi"/>
        </w:rPr>
        <w:t xml:space="preserve">This </w:t>
      </w:r>
      <w:r w:rsidR="00CA705A" w:rsidRPr="004C1FE2">
        <w:rPr>
          <w:rFonts w:eastAsiaTheme="minorHAnsi"/>
        </w:rPr>
        <w:t>differentiation</w:t>
      </w:r>
      <w:r w:rsidR="00297109" w:rsidRPr="004C1FE2">
        <w:rPr>
          <w:rFonts w:eastAsiaTheme="minorHAnsi"/>
        </w:rPr>
        <w:t xml:space="preserve"> aids Iamblichus in illustrating the differences in effectiveness for various forms of divination </w:t>
      </w:r>
      <w:r w:rsidR="00CA705A" w:rsidRPr="004C1FE2">
        <w:rPr>
          <w:rFonts w:eastAsiaTheme="minorHAnsi"/>
        </w:rPr>
        <w:t xml:space="preserve">and proposes that the most accurate form is inspired divination, for it </w:t>
      </w:r>
      <w:r w:rsidR="00962375" w:rsidRPr="004C1FE2">
        <w:rPr>
          <w:rFonts w:eastAsiaTheme="minorHAnsi"/>
        </w:rPr>
        <w:t>avoids</w:t>
      </w:r>
      <w:r w:rsidR="00CA705A" w:rsidRPr="004C1FE2">
        <w:rPr>
          <w:rFonts w:eastAsiaTheme="minorHAnsi"/>
        </w:rPr>
        <w:t xml:space="preserve"> human error</w:t>
      </w:r>
      <w:r w:rsidR="002C7522" w:rsidRPr="004C1FE2">
        <w:rPr>
          <w:rFonts w:eastAsiaTheme="minorHAnsi"/>
        </w:rPr>
        <w:t>.</w:t>
      </w:r>
      <w:r w:rsidR="002C7522">
        <w:rPr>
          <w:rFonts w:ascii=".Apple Color Emoji UI" w:eastAsiaTheme="minorHAnsi" w:hAnsi=".Apple Color Emoji UI" w:cs=".Apple Color Emoji UI"/>
        </w:rPr>
        <w:t xml:space="preserve"> </w:t>
      </w:r>
    </w:p>
    <w:p w14:paraId="7C3DDC51" w14:textId="77777777" w:rsidR="00787E7D" w:rsidRDefault="00787E7D" w:rsidP="008E5846">
      <w:pPr>
        <w:rPr>
          <w:rFonts w:ascii=".Apple Color Emoji UI" w:eastAsiaTheme="minorHAnsi" w:hAnsi=".Apple Color Emoji UI" w:cs=".Apple Color Emoji UI"/>
        </w:rPr>
      </w:pPr>
    </w:p>
    <w:p w14:paraId="4837B3B8" w14:textId="7CFEAE3D" w:rsidR="00EF60E2" w:rsidRPr="004C1FE2" w:rsidRDefault="002C7522" w:rsidP="008E5846">
      <w:pPr>
        <w:rPr>
          <w:rFonts w:eastAsiaTheme="minorHAnsi"/>
        </w:rPr>
      </w:pPr>
      <w:r w:rsidRPr="004C1FE2">
        <w:rPr>
          <w:rFonts w:eastAsiaTheme="minorHAnsi"/>
        </w:rPr>
        <w:lastRenderedPageBreak/>
        <w:t>An example of this</w:t>
      </w:r>
      <w:r w:rsidR="00622AA3" w:rsidRPr="004C1FE2">
        <w:rPr>
          <w:rFonts w:eastAsiaTheme="minorHAnsi"/>
        </w:rPr>
        <w:t xml:space="preserve"> argument</w:t>
      </w:r>
      <w:r w:rsidRPr="004C1FE2">
        <w:rPr>
          <w:rFonts w:eastAsiaTheme="minorHAnsi"/>
        </w:rPr>
        <w:t xml:space="preserve"> is found in Book III.2 where Iamblichus addresses dream divination by distinguishing </w:t>
      </w:r>
      <w:r w:rsidR="00787E7D" w:rsidRPr="004C1FE2">
        <w:rPr>
          <w:rFonts w:eastAsiaTheme="minorHAnsi"/>
        </w:rPr>
        <w:t>‘human dreams’ from those that are ‘god-sent’. Porphyry speaks about divination in sleep involving an ‘encounter… [with] things in the future…[during which] we… are no longer conscious of things’.</w:t>
      </w:r>
      <w:r w:rsidR="00787E7D" w:rsidRPr="004C1FE2">
        <w:rPr>
          <w:rStyle w:val="FootnoteReference"/>
          <w:rFonts w:eastAsiaTheme="minorHAnsi"/>
        </w:rPr>
        <w:footnoteReference w:id="34"/>
      </w:r>
      <w:r w:rsidR="00787E7D" w:rsidRPr="004C1FE2">
        <w:rPr>
          <w:rFonts w:eastAsiaTheme="minorHAnsi"/>
        </w:rPr>
        <w:t xml:space="preserve"> Iamblichus responds that this is a human or inductive form of divination, </w:t>
      </w:r>
      <w:r w:rsidR="00622AA3" w:rsidRPr="004C1FE2">
        <w:rPr>
          <w:rFonts w:eastAsiaTheme="minorHAnsi"/>
        </w:rPr>
        <w:t>whereas</w:t>
      </w:r>
      <w:r w:rsidR="00787E7D" w:rsidRPr="004C1FE2">
        <w:rPr>
          <w:rFonts w:eastAsiaTheme="minorHAnsi"/>
        </w:rPr>
        <w:t xml:space="preserve"> a divine or inspired form would be like</w:t>
      </w:r>
      <w:r w:rsidR="00622AA3" w:rsidRPr="004C1FE2">
        <w:rPr>
          <w:rFonts w:eastAsiaTheme="minorHAnsi"/>
        </w:rPr>
        <w:t>ly</w:t>
      </w:r>
      <w:r w:rsidR="00787E7D" w:rsidRPr="004C1FE2">
        <w:rPr>
          <w:rFonts w:eastAsiaTheme="minorHAnsi"/>
        </w:rPr>
        <w:t xml:space="preserve"> to occur </w:t>
      </w:r>
      <w:r w:rsidR="00622AA3" w:rsidRPr="004C1FE2">
        <w:rPr>
          <w:rFonts w:eastAsiaTheme="minorHAnsi"/>
        </w:rPr>
        <w:t>in-between wake and sleep or when the mind is active and is instead seized by the divine.</w:t>
      </w:r>
      <w:r w:rsidR="00622AA3" w:rsidRPr="004C1FE2">
        <w:rPr>
          <w:rStyle w:val="FootnoteReference"/>
          <w:rFonts w:eastAsiaTheme="minorHAnsi"/>
        </w:rPr>
        <w:footnoteReference w:id="35"/>
      </w:r>
    </w:p>
    <w:p w14:paraId="236FE996" w14:textId="1760DAEA" w:rsidR="00A317FE" w:rsidRDefault="00A317FE" w:rsidP="008E5846"/>
    <w:p w14:paraId="7169FF6E" w14:textId="77777777" w:rsidR="004C1FE2" w:rsidRDefault="00C35213" w:rsidP="008E5846">
      <w:r w:rsidRPr="006A19F8">
        <w:rPr>
          <w:color w:val="000000" w:themeColor="text1"/>
        </w:rPr>
        <w:t xml:space="preserve">The greatest strength of </w:t>
      </w:r>
      <w:r w:rsidRPr="006A19F8">
        <w:rPr>
          <w:i/>
          <w:iCs/>
          <w:color w:val="000000" w:themeColor="text1"/>
        </w:rPr>
        <w:t>De Mysteriis</w:t>
      </w:r>
      <w:r w:rsidRPr="006A19F8">
        <w:rPr>
          <w:color w:val="000000" w:themeColor="text1"/>
        </w:rPr>
        <w:t xml:space="preserve"> is Iamblichus’ consistent support for the place of theurgy in divination. </w:t>
      </w:r>
      <w:r w:rsidR="00E034AB">
        <w:t xml:space="preserve">Unification with the gods was a theurgic concept, and </w:t>
      </w:r>
      <w:r>
        <w:t xml:space="preserve">Campion </w:t>
      </w:r>
      <w:r w:rsidR="004C4FE3">
        <w:t>writes on Iamblichus’ insistence that divination was the only vehicle to unite us with the gods</w:t>
      </w:r>
      <w:r w:rsidR="00E034AB">
        <w:t xml:space="preserve"> in this process</w:t>
      </w:r>
      <w:r w:rsidR="004C4FE3">
        <w:t>.</w:t>
      </w:r>
      <w:r w:rsidR="004C4FE3">
        <w:rPr>
          <w:rStyle w:val="FootnoteReference"/>
        </w:rPr>
        <w:footnoteReference w:id="36"/>
      </w:r>
      <w:r w:rsidR="004C4FE3">
        <w:t xml:space="preserve"> </w:t>
      </w:r>
      <w:r w:rsidR="00E034AB">
        <w:t xml:space="preserve">This ascent to the gods is explored in </w:t>
      </w:r>
      <w:r w:rsidR="00E034AB">
        <w:rPr>
          <w:i/>
          <w:iCs/>
        </w:rPr>
        <w:t xml:space="preserve">De Mysteriis </w:t>
      </w:r>
      <w:r w:rsidR="00E034AB">
        <w:t xml:space="preserve">III.20 </w:t>
      </w:r>
      <w:r w:rsidR="008C34F5">
        <w:t xml:space="preserve">in Iamblichus’ remarks regarding the </w:t>
      </w:r>
      <w:r w:rsidR="00B75551">
        <w:t>enlightenment</w:t>
      </w:r>
      <w:r w:rsidR="008C34F5">
        <w:t xml:space="preserve"> of the individual by the gods </w:t>
      </w:r>
      <w:r w:rsidR="00D04400">
        <w:t>in</w:t>
      </w:r>
      <w:r w:rsidR="008C34F5">
        <w:t xml:space="preserve"> the soul</w:t>
      </w:r>
      <w:r w:rsidR="00D04400">
        <w:t xml:space="preserve"> </w:t>
      </w:r>
      <w:r w:rsidR="008C34F5">
        <w:t>sharing in these divine works.</w:t>
      </w:r>
      <w:r w:rsidR="008C34F5">
        <w:rPr>
          <w:rStyle w:val="FootnoteReference"/>
        </w:rPr>
        <w:footnoteReference w:id="37"/>
      </w:r>
      <w:r w:rsidR="008C34F5">
        <w:t xml:space="preserve"> </w:t>
      </w:r>
    </w:p>
    <w:p w14:paraId="60A822DE" w14:textId="77777777" w:rsidR="004C1FE2" w:rsidRDefault="004C1FE2" w:rsidP="008E5846"/>
    <w:p w14:paraId="5CF3473D" w14:textId="2D4E8201" w:rsidR="00C35213" w:rsidRDefault="004C4FE3" w:rsidP="008E5846">
      <w:r>
        <w:t>Iamblichus</w:t>
      </w:r>
      <w:r w:rsidR="00B75551">
        <w:t xml:space="preserve"> continues to </w:t>
      </w:r>
      <w:r>
        <w:t xml:space="preserve"> demonstrate throughout </w:t>
      </w:r>
      <w:r w:rsidRPr="00E034AB">
        <w:rPr>
          <w:i/>
          <w:iCs/>
        </w:rPr>
        <w:t>De Mysteriis</w:t>
      </w:r>
      <w:r>
        <w:t xml:space="preserve"> that theurgy is essential</w:t>
      </w:r>
      <w:r w:rsidR="00B75551">
        <w:t xml:space="preserve"> and states that</w:t>
      </w:r>
      <w:r>
        <w:t xml:space="preserve"> </w:t>
      </w:r>
      <w:r w:rsidR="00D04400">
        <w:t>through</w:t>
      </w:r>
      <w:r>
        <w:t xml:space="preserve"> ‘divine mantic prediction’ we are ‘conjoined with the gods’.</w:t>
      </w:r>
      <w:r>
        <w:rPr>
          <w:rStyle w:val="FootnoteReference"/>
        </w:rPr>
        <w:footnoteReference w:id="38"/>
      </w:r>
      <w:r>
        <w:t xml:space="preserve"> </w:t>
      </w:r>
      <w:r w:rsidRPr="00D04400">
        <w:t xml:space="preserve">Shaw determines that Iamblichus </w:t>
      </w:r>
      <w:r w:rsidR="00D04400" w:rsidRPr="00D04400">
        <w:t>upheld</w:t>
      </w:r>
      <w:r w:rsidRPr="00D04400">
        <w:t xml:space="preserve"> Plato’s</w:t>
      </w:r>
      <w:r w:rsidR="00831EAB" w:rsidRPr="00D04400">
        <w:t xml:space="preserve"> </w:t>
      </w:r>
      <w:r w:rsidRPr="00D04400">
        <w:t>‘positive orientation’ to the cosmos through theurgy and Iamblichus demonstrates this through his responses to Porphyry.</w:t>
      </w:r>
      <w:r w:rsidRPr="00D04400">
        <w:rPr>
          <w:rStyle w:val="FootnoteReference"/>
        </w:rPr>
        <w:footnoteReference w:id="39"/>
      </w:r>
      <w:r w:rsidR="00E034AB" w:rsidRPr="00D04400">
        <w:t xml:space="preserve"> </w:t>
      </w:r>
      <w:r w:rsidR="00B75551" w:rsidRPr="00D04400">
        <w:t xml:space="preserve">Iamblichus is clear that divination in the theurgic manner operates </w:t>
      </w:r>
      <w:r w:rsidR="00831EAB" w:rsidRPr="00D04400">
        <w:t xml:space="preserve">strictly </w:t>
      </w:r>
      <w:r w:rsidR="00B75551" w:rsidRPr="00D04400">
        <w:t>from an ascending connection to the gods and the continual participation of divine acts.</w:t>
      </w:r>
      <w:r w:rsidR="004E4E2C" w:rsidRPr="00D04400">
        <w:t xml:space="preserve"> </w:t>
      </w:r>
      <w:r w:rsidR="00E034AB" w:rsidRPr="00D04400">
        <w:t>Addey expands the theurgic significance in divination by stating that ‘the theurgist, who practiced inspired divination in theurgic ritual, must also have been a philosopher’, further illuminating the scope and significance of theurgy in divination.</w:t>
      </w:r>
      <w:r w:rsidR="00E034AB" w:rsidRPr="00D04400">
        <w:rPr>
          <w:rStyle w:val="FootnoteReference"/>
        </w:rPr>
        <w:footnoteReference w:id="40"/>
      </w:r>
      <w:r w:rsidR="004C1FE2">
        <w:t xml:space="preserve"> All of these concepts strengthen Iamblichus’ arguments for theurgical divination and work to dispel many of theurgy’s common misconceptions of the time.</w:t>
      </w:r>
    </w:p>
    <w:p w14:paraId="4B9FE2A6" w14:textId="77777777" w:rsidR="00C35213" w:rsidRDefault="00C35213" w:rsidP="008E5846"/>
    <w:p w14:paraId="6685A1B6" w14:textId="1EA17058" w:rsidR="00E935B0" w:rsidRDefault="00E935B0" w:rsidP="008E5846">
      <w:pPr>
        <w:rPr>
          <w:color w:val="70AD47" w:themeColor="accent6"/>
        </w:rPr>
      </w:pPr>
      <w:r>
        <w:t xml:space="preserve">The greatest weakness of </w:t>
      </w:r>
      <w:r>
        <w:rPr>
          <w:i/>
          <w:iCs/>
        </w:rPr>
        <w:t xml:space="preserve">De Mysteriis </w:t>
      </w:r>
      <w:r>
        <w:t xml:space="preserve">is </w:t>
      </w:r>
      <w:r w:rsidR="00B71DCF">
        <w:t>the choice by</w:t>
      </w:r>
      <w:r>
        <w:t xml:space="preserve"> Iamblichus</w:t>
      </w:r>
      <w:r w:rsidR="00B71DCF">
        <w:t xml:space="preserve"> to write under a guise in delivering his arguments pertaining to divination</w:t>
      </w:r>
      <w:r>
        <w:t>. Although both Clarke and Schott claim that it was, indeed, Iamblichus who wrote under the guise of the Egyptian prophet Abamon, this literary ta</w:t>
      </w:r>
      <w:r w:rsidR="00C35213">
        <w:t>c</w:t>
      </w:r>
      <w:r>
        <w:t>tic may not be as straightforward</w:t>
      </w:r>
      <w:r w:rsidR="00C35213">
        <w:t xml:space="preserve"> as hiding his identity </w:t>
      </w:r>
      <w:r w:rsidR="00B71DCF">
        <w:t xml:space="preserve">from the </w:t>
      </w:r>
      <w:r w:rsidR="00C35213">
        <w:t>Christians</w:t>
      </w:r>
      <w:r w:rsidR="00B71DCF">
        <w:t xml:space="preserve"> or upholding the tradition of pseudonyms and attributions to divine authors common in antiquity</w:t>
      </w:r>
      <w:r>
        <w:t>.</w:t>
      </w:r>
      <w:r>
        <w:rPr>
          <w:rStyle w:val="FootnoteReference"/>
        </w:rPr>
        <w:footnoteReference w:id="41"/>
      </w:r>
      <w:r w:rsidR="00B71DCF">
        <w:t xml:space="preserve"> </w:t>
      </w:r>
      <w:r>
        <w:t xml:space="preserve"> </w:t>
      </w:r>
      <w:r w:rsidR="00B71DCF" w:rsidRPr="006A19F8">
        <w:rPr>
          <w:color w:val="000000" w:themeColor="text1"/>
        </w:rPr>
        <w:t xml:space="preserve">It is possible that the process of taking on a guise would, </w:t>
      </w:r>
      <w:r w:rsidR="00D04400">
        <w:rPr>
          <w:color w:val="000000" w:themeColor="text1"/>
        </w:rPr>
        <w:t>instead</w:t>
      </w:r>
      <w:r w:rsidR="00B71DCF" w:rsidRPr="006A19F8">
        <w:rPr>
          <w:color w:val="000000" w:themeColor="text1"/>
        </w:rPr>
        <w:t>,</w:t>
      </w:r>
      <w:r w:rsidR="00C35213" w:rsidRPr="006A19F8">
        <w:rPr>
          <w:color w:val="000000" w:themeColor="text1"/>
        </w:rPr>
        <w:t xml:space="preserve"> distance Iamblichus from his work and devalue </w:t>
      </w:r>
      <w:r w:rsidR="00B71DCF" w:rsidRPr="006A19F8">
        <w:rPr>
          <w:color w:val="000000" w:themeColor="text1"/>
        </w:rPr>
        <w:t xml:space="preserve">the </w:t>
      </w:r>
      <w:r w:rsidR="00C35213" w:rsidRPr="006A19F8">
        <w:rPr>
          <w:color w:val="000000" w:themeColor="text1"/>
        </w:rPr>
        <w:t>Platonist connection to his idea</w:t>
      </w:r>
      <w:r w:rsidR="00B71DCF" w:rsidRPr="006A19F8">
        <w:rPr>
          <w:color w:val="000000" w:themeColor="text1"/>
        </w:rPr>
        <w:t>s</w:t>
      </w:r>
      <w:r w:rsidR="00C35213" w:rsidRPr="006A19F8">
        <w:rPr>
          <w:color w:val="000000" w:themeColor="text1"/>
        </w:rPr>
        <w:t xml:space="preserve"> and concepts regarding divination and its intrinsic link to theurgy.</w:t>
      </w:r>
      <w:r w:rsidR="00B71DCF" w:rsidRPr="006A19F8">
        <w:rPr>
          <w:color w:val="000000" w:themeColor="text1"/>
        </w:rPr>
        <w:t xml:space="preserve"> </w:t>
      </w:r>
      <w:r w:rsidR="00B71DCF">
        <w:rPr>
          <w:color w:val="000000" w:themeColor="text1"/>
        </w:rPr>
        <w:t>Iamblichus was such a</w:t>
      </w:r>
      <w:r w:rsidR="00D04400">
        <w:rPr>
          <w:color w:val="000000" w:themeColor="text1"/>
        </w:rPr>
        <w:t xml:space="preserve">n esteemed </w:t>
      </w:r>
      <w:r w:rsidR="00897098">
        <w:rPr>
          <w:color w:val="000000" w:themeColor="text1"/>
        </w:rPr>
        <w:t>philosopher</w:t>
      </w:r>
      <w:r w:rsidR="00B71DCF">
        <w:rPr>
          <w:color w:val="000000" w:themeColor="text1"/>
        </w:rPr>
        <w:t xml:space="preserve"> that </w:t>
      </w:r>
      <w:r w:rsidR="00D04400">
        <w:rPr>
          <w:color w:val="000000" w:themeColor="text1"/>
        </w:rPr>
        <w:t>Emperor</w:t>
      </w:r>
      <w:r w:rsidR="00B71DCF">
        <w:rPr>
          <w:color w:val="000000" w:themeColor="text1"/>
        </w:rPr>
        <w:t xml:space="preserve"> Julian</w:t>
      </w:r>
      <w:r w:rsidR="00897098">
        <w:rPr>
          <w:color w:val="000000" w:themeColor="text1"/>
        </w:rPr>
        <w:t xml:space="preserve"> who was able to ‘</w:t>
      </w:r>
      <w:r w:rsidR="00D04400">
        <w:rPr>
          <w:color w:val="000000" w:themeColor="text1"/>
        </w:rPr>
        <w:t>briefly</w:t>
      </w:r>
      <w:r w:rsidR="00897098">
        <w:rPr>
          <w:color w:val="000000" w:themeColor="text1"/>
        </w:rPr>
        <w:t xml:space="preserve"> [restore] the official pagan religion’ in Rome</w:t>
      </w:r>
      <w:r w:rsidR="00FE2E14">
        <w:rPr>
          <w:color w:val="000000" w:themeColor="text1"/>
        </w:rPr>
        <w:t xml:space="preserve"> was, according to Campion, an ‘enthusiastic follower’</w:t>
      </w:r>
      <w:r w:rsidR="00897098">
        <w:rPr>
          <w:color w:val="000000" w:themeColor="text1"/>
        </w:rPr>
        <w:t xml:space="preserve"> of Iamblichus</w:t>
      </w:r>
      <w:r w:rsidR="004C1FE2">
        <w:rPr>
          <w:color w:val="000000" w:themeColor="text1"/>
        </w:rPr>
        <w:t>, so it not certain why a guise would have aided his work</w:t>
      </w:r>
      <w:r w:rsidR="00FE2E14">
        <w:rPr>
          <w:color w:val="000000" w:themeColor="text1"/>
        </w:rPr>
        <w:t>.</w:t>
      </w:r>
      <w:r w:rsidR="00FE2E14">
        <w:rPr>
          <w:rStyle w:val="FootnoteReference"/>
          <w:color w:val="000000" w:themeColor="text1"/>
        </w:rPr>
        <w:footnoteReference w:id="42"/>
      </w:r>
      <w:r w:rsidR="00897098">
        <w:rPr>
          <w:color w:val="000000" w:themeColor="text1"/>
        </w:rPr>
        <w:t xml:space="preserve"> </w:t>
      </w:r>
      <w:r w:rsidR="00897098">
        <w:rPr>
          <w:color w:val="000000" w:themeColor="text1"/>
        </w:rPr>
        <w:lastRenderedPageBreak/>
        <w:t>If the use of a pseudonym didn’t weaken Iamblichus’ theories, it is at least unclear if this truly supported his effort of establishing his arguments for divination.</w:t>
      </w:r>
    </w:p>
    <w:p w14:paraId="37A16C67" w14:textId="06593713" w:rsidR="000655BA" w:rsidRPr="00C35213" w:rsidRDefault="000655BA" w:rsidP="008E5846">
      <w:pPr>
        <w:rPr>
          <w:color w:val="70AD47" w:themeColor="accent6"/>
        </w:rPr>
      </w:pPr>
    </w:p>
    <w:p w14:paraId="69F8B03D" w14:textId="77777777" w:rsidR="00E034AB" w:rsidRDefault="00E034AB" w:rsidP="008E5846"/>
    <w:p w14:paraId="5A343360" w14:textId="563E5B03" w:rsidR="00A317FE" w:rsidRPr="007E0D9C" w:rsidRDefault="008E5846" w:rsidP="004244C7">
      <w:pPr>
        <w:rPr>
          <w:b/>
        </w:rPr>
      </w:pPr>
      <w:r w:rsidRPr="008E5846">
        <w:rPr>
          <w:b/>
        </w:rPr>
        <w:t>Conclusion</w:t>
      </w:r>
    </w:p>
    <w:p w14:paraId="50B1BC71" w14:textId="2BD66F14" w:rsidR="008E5846" w:rsidRPr="0006604F" w:rsidRDefault="004111ED" w:rsidP="00DD1AAC">
      <w:pPr>
        <w:rPr>
          <w:color w:val="70AD47" w:themeColor="accent6"/>
        </w:rPr>
      </w:pPr>
      <w:r w:rsidRPr="003F6996">
        <w:t xml:space="preserve">This essay critically </w:t>
      </w:r>
      <w:r>
        <w:t>reviewed</w:t>
      </w:r>
      <w:r w:rsidRPr="003F6996">
        <w:t xml:space="preserve"> </w:t>
      </w:r>
      <w:r>
        <w:t xml:space="preserve">Iamblichus’ arguments for divination in </w:t>
      </w:r>
      <w:r>
        <w:rPr>
          <w:i/>
        </w:rPr>
        <w:t>De Mysteriis</w:t>
      </w:r>
      <w:r>
        <w:t>.</w:t>
      </w:r>
      <w:r>
        <w:rPr>
          <w:rStyle w:val="FootnoteReference"/>
        </w:rPr>
        <w:footnoteReference w:id="43"/>
      </w:r>
      <w:r w:rsidRPr="003F6996">
        <w:t xml:space="preserve"> </w:t>
      </w:r>
      <w:r>
        <w:t xml:space="preserve">By examining two central terms: ‘Theurgy’ and ‘Divination’. </w:t>
      </w:r>
      <w:proofErr w:type="gramStart"/>
      <w:r w:rsidR="00A86F0A">
        <w:t>It</w:t>
      </w:r>
      <w:proofErr w:type="gramEnd"/>
      <w:r w:rsidR="00A86F0A">
        <w:t xml:space="preserve"> contextualized </w:t>
      </w:r>
      <w:r w:rsidR="00A86F0A" w:rsidRPr="00A86F0A">
        <w:rPr>
          <w:color w:val="000000" w:themeColor="text1"/>
        </w:rPr>
        <w:t>criticisms</w:t>
      </w:r>
      <w:r w:rsidR="00A86F0A">
        <w:rPr>
          <w:color w:val="000000" w:themeColor="text1"/>
        </w:rPr>
        <w:t xml:space="preserve"> of divination and related concepts of theurgy that</w:t>
      </w:r>
      <w:r w:rsidR="00A86F0A" w:rsidRPr="00A86F0A">
        <w:rPr>
          <w:color w:val="000000" w:themeColor="text1"/>
        </w:rPr>
        <w:t xml:space="preserve"> Porphyry brings forth in his </w:t>
      </w:r>
      <w:r w:rsidR="00A86F0A" w:rsidRPr="00A86F0A">
        <w:rPr>
          <w:i/>
          <w:iCs/>
          <w:color w:val="000000" w:themeColor="text1"/>
        </w:rPr>
        <w:t>Letter to Anebo</w:t>
      </w:r>
      <w:r w:rsidR="00A86F0A" w:rsidRPr="00A86F0A">
        <w:rPr>
          <w:color w:val="000000" w:themeColor="text1"/>
        </w:rPr>
        <w:t xml:space="preserve"> through Iamblichus’ responses in </w:t>
      </w:r>
      <w:r w:rsidR="00A86F0A" w:rsidRPr="00A86F0A">
        <w:rPr>
          <w:i/>
          <w:iCs/>
          <w:color w:val="000000" w:themeColor="text1"/>
        </w:rPr>
        <w:t>De Mysteriis</w:t>
      </w:r>
      <w:r w:rsidR="00A86F0A">
        <w:rPr>
          <w:color w:val="000000" w:themeColor="text1"/>
        </w:rPr>
        <w:t>. Further, this essay contextualized Iamblichus’</w:t>
      </w:r>
      <w:r w:rsidR="00A86F0A" w:rsidRPr="00A86F0A">
        <w:rPr>
          <w:color w:val="000000" w:themeColor="text1"/>
        </w:rPr>
        <w:t xml:space="preserve"> theurgic framework central to </w:t>
      </w:r>
      <w:r w:rsidR="00A86F0A">
        <w:rPr>
          <w:color w:val="000000" w:themeColor="text1"/>
        </w:rPr>
        <w:t>his</w:t>
      </w:r>
      <w:r w:rsidR="00A86F0A" w:rsidRPr="00A86F0A">
        <w:rPr>
          <w:color w:val="000000" w:themeColor="text1"/>
        </w:rPr>
        <w:t xml:space="preserve"> conceptions of divination</w:t>
      </w:r>
      <w:r w:rsidR="00A86F0A">
        <w:rPr>
          <w:i/>
          <w:iCs/>
          <w:color w:val="000000" w:themeColor="text1"/>
        </w:rPr>
        <w:t xml:space="preserve"> </w:t>
      </w:r>
      <w:r w:rsidR="00A86F0A">
        <w:rPr>
          <w:color w:val="000000" w:themeColor="text1"/>
        </w:rPr>
        <w:t xml:space="preserve">within the </w:t>
      </w:r>
      <w:r w:rsidR="00A86F0A" w:rsidRPr="00A86F0A">
        <w:rPr>
          <w:color w:val="000000" w:themeColor="text1"/>
        </w:rPr>
        <w:t>changing religious landscape</w:t>
      </w:r>
      <w:r w:rsidR="00A86F0A">
        <w:rPr>
          <w:color w:val="000000" w:themeColor="text1"/>
        </w:rPr>
        <w:t xml:space="preserve"> as well as Platonic concepts of soul.</w:t>
      </w:r>
      <w:r w:rsidR="008D1DE1">
        <w:t xml:space="preserve"> </w:t>
      </w:r>
      <w:r w:rsidR="00A86F0A" w:rsidRPr="00A86F0A">
        <w:rPr>
          <w:color w:val="000000" w:themeColor="text1"/>
        </w:rPr>
        <w:t xml:space="preserve">This essay summarized the primary divinatory theory Iamblichus promoted as a theurgical </w:t>
      </w:r>
      <w:r w:rsidR="0006604F" w:rsidRPr="00A86F0A">
        <w:rPr>
          <w:color w:val="000000" w:themeColor="text1"/>
        </w:rPr>
        <w:t>one and</w:t>
      </w:r>
      <w:r w:rsidR="00A86F0A" w:rsidRPr="00A86F0A">
        <w:rPr>
          <w:color w:val="000000" w:themeColor="text1"/>
        </w:rPr>
        <w:t xml:space="preserve"> explored the critical areas of which divination was examined in </w:t>
      </w:r>
      <w:r w:rsidR="00A86F0A" w:rsidRPr="00A86F0A">
        <w:rPr>
          <w:i/>
          <w:iCs/>
          <w:color w:val="000000" w:themeColor="text1"/>
        </w:rPr>
        <w:t xml:space="preserve">De Mysteriis, </w:t>
      </w:r>
      <w:r w:rsidR="00A86F0A" w:rsidRPr="00A86F0A">
        <w:rPr>
          <w:color w:val="000000" w:themeColor="text1"/>
        </w:rPr>
        <w:t>focusing primarily on Book III.</w:t>
      </w:r>
      <w:r w:rsidR="005A32E7">
        <w:rPr>
          <w:color w:val="000000" w:themeColor="text1"/>
        </w:rPr>
        <w:t xml:space="preserve"> </w:t>
      </w:r>
      <w:r w:rsidR="0006604F">
        <w:rPr>
          <w:color w:val="000000" w:themeColor="text1"/>
        </w:rPr>
        <w:t>Additionally</w:t>
      </w:r>
      <w:r w:rsidR="005A32E7">
        <w:rPr>
          <w:color w:val="000000" w:themeColor="text1"/>
        </w:rPr>
        <w:t xml:space="preserve">, this essay analyzed </w:t>
      </w:r>
      <w:r w:rsidR="00EF07BD">
        <w:rPr>
          <w:color w:val="000000" w:themeColor="text1"/>
        </w:rPr>
        <w:t>Iamblichus’ arguments for divination and found that</w:t>
      </w:r>
      <w:r w:rsidR="00EF07BD" w:rsidRPr="00583CCC">
        <w:rPr>
          <w:color w:val="70AD47" w:themeColor="accent6"/>
        </w:rPr>
        <w:t xml:space="preserve"> </w:t>
      </w:r>
      <w:r w:rsidR="00EF07BD" w:rsidRPr="00EF07BD">
        <w:rPr>
          <w:i/>
          <w:iCs/>
          <w:color w:val="000000" w:themeColor="text1"/>
        </w:rPr>
        <w:t xml:space="preserve">De Mysteriis </w:t>
      </w:r>
      <w:r w:rsidR="00EF07BD" w:rsidRPr="00EF07BD">
        <w:rPr>
          <w:color w:val="000000" w:themeColor="text1"/>
        </w:rPr>
        <w:t>is clearly and logically organized utilizing two distinct philosophical genres: ‘Problem and Solutions’ and the tradition of ‘</w:t>
      </w:r>
      <w:r w:rsidR="00D04400" w:rsidRPr="00EF07BD">
        <w:rPr>
          <w:color w:val="000000" w:themeColor="text1"/>
        </w:rPr>
        <w:t>Platonic</w:t>
      </w:r>
      <w:r w:rsidR="00EF07BD" w:rsidRPr="00EF07BD">
        <w:rPr>
          <w:color w:val="000000" w:themeColor="text1"/>
        </w:rPr>
        <w:t xml:space="preserve"> dialogue’.</w:t>
      </w:r>
      <w:r w:rsidR="00EF07BD" w:rsidRPr="00EF07BD">
        <w:rPr>
          <w:rStyle w:val="FootnoteReference"/>
          <w:color w:val="000000" w:themeColor="text1"/>
        </w:rPr>
        <w:footnoteReference w:id="44"/>
      </w:r>
      <w:r w:rsidR="00EF07BD">
        <w:rPr>
          <w:color w:val="000000" w:themeColor="text1"/>
        </w:rPr>
        <w:t xml:space="preserve"> This essay established that</w:t>
      </w:r>
      <w:r w:rsidR="00EF07BD" w:rsidRPr="00EF07BD">
        <w:rPr>
          <w:color w:val="000000" w:themeColor="text1"/>
        </w:rPr>
        <w:t xml:space="preserve"> Iamblichus dealt with the concepts of divination by addressing Porphyry’s questions with care, as if he were addressing, perhaps, a larger audience</w:t>
      </w:r>
      <w:r w:rsidR="00EF07BD">
        <w:rPr>
          <w:color w:val="000000" w:themeColor="text1"/>
        </w:rPr>
        <w:t xml:space="preserve">. It analyzed examples of </w:t>
      </w:r>
      <w:r w:rsidR="00EF07BD" w:rsidRPr="0006604F">
        <w:rPr>
          <w:color w:val="000000" w:themeColor="text1"/>
        </w:rPr>
        <w:t xml:space="preserve">Porphyry and Iamblichus’ contrasting philosophies and concepts of divination, </w:t>
      </w:r>
      <w:r w:rsidR="0006604F">
        <w:rPr>
          <w:color w:val="000000" w:themeColor="text1"/>
        </w:rPr>
        <w:t xml:space="preserve">including </w:t>
      </w:r>
      <w:r w:rsidR="00EF07BD" w:rsidRPr="0006604F">
        <w:rPr>
          <w:color w:val="000000" w:themeColor="text1"/>
        </w:rPr>
        <w:t>Iamblichus</w:t>
      </w:r>
      <w:r w:rsidR="0006604F">
        <w:rPr>
          <w:color w:val="000000" w:themeColor="text1"/>
        </w:rPr>
        <w:t xml:space="preserve">’ argument that </w:t>
      </w:r>
      <w:r w:rsidR="00EF07BD" w:rsidRPr="0006604F">
        <w:rPr>
          <w:color w:val="000000" w:themeColor="text1"/>
        </w:rPr>
        <w:t>that humans do not draw down the gods, instead the gods make use of ‘all that is subservient to [them]’.</w:t>
      </w:r>
      <w:r w:rsidR="00EF07BD" w:rsidRPr="0006604F">
        <w:rPr>
          <w:rStyle w:val="FootnoteReference"/>
          <w:color w:val="000000" w:themeColor="text1"/>
        </w:rPr>
        <w:footnoteReference w:id="45"/>
      </w:r>
      <w:r w:rsidR="0006604F" w:rsidRPr="0006604F">
        <w:rPr>
          <w:color w:val="000000" w:themeColor="text1"/>
        </w:rPr>
        <w:t xml:space="preserve"> This essay established the three primary sources Iamblichus employed in </w:t>
      </w:r>
      <w:r w:rsidR="0006604F" w:rsidRPr="0006604F">
        <w:rPr>
          <w:i/>
          <w:iCs/>
          <w:color w:val="000000" w:themeColor="text1"/>
        </w:rPr>
        <w:t xml:space="preserve">De Mysteriis </w:t>
      </w:r>
      <w:r w:rsidR="0006604F" w:rsidRPr="0006604F">
        <w:rPr>
          <w:color w:val="000000" w:themeColor="text1"/>
        </w:rPr>
        <w:t xml:space="preserve">as being </w:t>
      </w:r>
      <w:r w:rsidR="0006604F">
        <w:t>‘</w:t>
      </w:r>
      <w:r w:rsidR="0006604F" w:rsidRPr="0006604F">
        <w:rPr>
          <w:color w:val="000000" w:themeColor="text1"/>
        </w:rPr>
        <w:t>the traditions of the sages of Chaldaea,… teachings of the prophets of Egypt… and the speculations of the philosophers’.</w:t>
      </w:r>
      <w:r w:rsidR="0006604F">
        <w:rPr>
          <w:rStyle w:val="FootnoteReference"/>
        </w:rPr>
        <w:footnoteReference w:id="46"/>
      </w:r>
      <w:r w:rsidR="0006604F">
        <w:rPr>
          <w:color w:val="000000" w:themeColor="text1"/>
        </w:rPr>
        <w:t xml:space="preserve"> Lastly, this essay analyzed </w:t>
      </w:r>
      <w:r w:rsidR="0006604F" w:rsidRPr="0006604F">
        <w:rPr>
          <w:color w:val="000000" w:themeColor="text1"/>
        </w:rPr>
        <w:t xml:space="preserve">the greatest strength of </w:t>
      </w:r>
      <w:r w:rsidR="0006604F" w:rsidRPr="0006604F">
        <w:rPr>
          <w:i/>
          <w:iCs/>
          <w:color w:val="000000" w:themeColor="text1"/>
        </w:rPr>
        <w:t>De Mysteriis</w:t>
      </w:r>
      <w:r w:rsidR="0006604F" w:rsidRPr="0006604F">
        <w:rPr>
          <w:color w:val="000000" w:themeColor="text1"/>
        </w:rPr>
        <w:t xml:space="preserve"> as Iamblichus’ consistent support for the place of theurgy in divination and found that the greatest</w:t>
      </w:r>
      <w:r w:rsidR="004C1FE2">
        <w:rPr>
          <w:color w:val="000000" w:themeColor="text1"/>
        </w:rPr>
        <w:t xml:space="preserve"> weakness</w:t>
      </w:r>
      <w:r w:rsidR="0006604F" w:rsidRPr="0006604F">
        <w:rPr>
          <w:color w:val="000000" w:themeColor="text1"/>
        </w:rPr>
        <w:t xml:space="preserve"> </w:t>
      </w:r>
      <w:r w:rsidR="0006604F">
        <w:rPr>
          <w:color w:val="000000" w:themeColor="text1"/>
        </w:rPr>
        <w:t>was</w:t>
      </w:r>
      <w:r w:rsidR="0006604F" w:rsidRPr="0006604F">
        <w:rPr>
          <w:color w:val="000000" w:themeColor="text1"/>
        </w:rPr>
        <w:t xml:space="preserve"> his use of a pseudonym. </w:t>
      </w:r>
    </w:p>
    <w:p w14:paraId="0991B26E" w14:textId="77777777" w:rsidR="00A33C58" w:rsidRDefault="00A33C58">
      <w:pPr>
        <w:rPr>
          <w:rFonts w:eastAsiaTheme="minorEastAsia"/>
          <w:b/>
        </w:rPr>
      </w:pPr>
      <w:r>
        <w:rPr>
          <w:b/>
        </w:rPr>
        <w:br w:type="page"/>
      </w:r>
    </w:p>
    <w:p w14:paraId="6E135FE9" w14:textId="775EC3FD" w:rsidR="00E534FE" w:rsidRPr="006B7343" w:rsidRDefault="006B7343" w:rsidP="006B7343">
      <w:pPr>
        <w:pStyle w:val="NormalWeb"/>
        <w:jc w:val="center"/>
        <w:divId w:val="778257664"/>
        <w:rPr>
          <w:b/>
        </w:rPr>
      </w:pPr>
      <w:r w:rsidRPr="006B7343">
        <w:rPr>
          <w:b/>
        </w:rPr>
        <w:lastRenderedPageBreak/>
        <w:t>Bibliography</w:t>
      </w:r>
    </w:p>
    <w:p w14:paraId="02D2A5F5" w14:textId="77777777" w:rsidR="006B7343" w:rsidRPr="00DD5385" w:rsidRDefault="006B7343" w:rsidP="006B7343">
      <w:pPr>
        <w:pStyle w:val="NormalWeb"/>
        <w:divId w:val="778257664"/>
      </w:pPr>
    </w:p>
    <w:p w14:paraId="25546544" w14:textId="552929A2" w:rsidR="006B7343" w:rsidRPr="00B90DB4" w:rsidRDefault="006B7343" w:rsidP="006B7343">
      <w:pPr>
        <w:pStyle w:val="NormalWeb"/>
        <w:divId w:val="778257664"/>
        <w:rPr>
          <w:b/>
          <w:sz w:val="22"/>
          <w:szCs w:val="22"/>
        </w:rPr>
      </w:pPr>
      <w:r w:rsidRPr="00B90DB4">
        <w:rPr>
          <w:b/>
          <w:sz w:val="22"/>
          <w:szCs w:val="22"/>
        </w:rPr>
        <w:t>Primary Source</w:t>
      </w:r>
    </w:p>
    <w:p w14:paraId="4CB1DE23" w14:textId="1D70601F" w:rsidR="009C5C88" w:rsidRPr="00B90DB4" w:rsidRDefault="009C5C88" w:rsidP="00B90DB4">
      <w:pPr>
        <w:divId w:val="778257664"/>
        <w:rPr>
          <w:color w:val="000000"/>
          <w:sz w:val="22"/>
          <w:szCs w:val="22"/>
        </w:rPr>
      </w:pPr>
      <w:r w:rsidRPr="00B90DB4">
        <w:rPr>
          <w:color w:val="000000"/>
          <w:sz w:val="22"/>
          <w:szCs w:val="22"/>
        </w:rPr>
        <w:t xml:space="preserve">Iamblichus, </w:t>
      </w:r>
      <w:r w:rsidRPr="00B90DB4">
        <w:rPr>
          <w:i/>
          <w:iCs/>
          <w:color w:val="000000"/>
          <w:sz w:val="22"/>
          <w:szCs w:val="22"/>
        </w:rPr>
        <w:t xml:space="preserve">De Mysteriis, </w:t>
      </w:r>
      <w:r w:rsidRPr="00B90DB4">
        <w:rPr>
          <w:color w:val="000000"/>
          <w:sz w:val="22"/>
          <w:szCs w:val="22"/>
        </w:rPr>
        <w:t xml:space="preserve">in </w:t>
      </w:r>
      <w:r w:rsidRPr="00B90DB4">
        <w:rPr>
          <w:i/>
          <w:iCs/>
          <w:color w:val="000000"/>
          <w:sz w:val="22"/>
          <w:szCs w:val="22"/>
        </w:rPr>
        <w:t xml:space="preserve">On the Mysteries, </w:t>
      </w:r>
      <w:r w:rsidRPr="00B90DB4">
        <w:rPr>
          <w:color w:val="000000"/>
          <w:sz w:val="22"/>
          <w:szCs w:val="22"/>
        </w:rPr>
        <w:t xml:space="preserve">trans. by Emma C. Clarke, John M. Dillon, and Jackson P. </w:t>
      </w:r>
      <w:proofErr w:type="spellStart"/>
      <w:r w:rsidRPr="00B90DB4">
        <w:rPr>
          <w:color w:val="000000"/>
          <w:sz w:val="22"/>
          <w:szCs w:val="22"/>
        </w:rPr>
        <w:t>Hershbell</w:t>
      </w:r>
      <w:proofErr w:type="spellEnd"/>
      <w:r w:rsidRPr="00B90DB4">
        <w:rPr>
          <w:color w:val="000000"/>
          <w:sz w:val="22"/>
          <w:szCs w:val="22"/>
        </w:rPr>
        <w:t xml:space="preserve"> (Atlanta: Society of Biblical Literature, 2003)</w:t>
      </w:r>
    </w:p>
    <w:p w14:paraId="3B7B6FF9" w14:textId="77777777" w:rsidR="00B90DB4" w:rsidRPr="00B90DB4" w:rsidRDefault="00B90DB4" w:rsidP="00DD5385">
      <w:pPr>
        <w:pStyle w:val="NormalWeb"/>
        <w:divId w:val="778257664"/>
        <w:rPr>
          <w:b/>
          <w:sz w:val="22"/>
          <w:szCs w:val="22"/>
        </w:rPr>
      </w:pPr>
    </w:p>
    <w:p w14:paraId="203C6F05" w14:textId="7B24526F" w:rsidR="00DD1AAC" w:rsidRPr="00B90DB4" w:rsidRDefault="006B7343" w:rsidP="00DD5385">
      <w:pPr>
        <w:pStyle w:val="NormalWeb"/>
        <w:divId w:val="778257664"/>
        <w:rPr>
          <w:b/>
          <w:sz w:val="22"/>
          <w:szCs w:val="22"/>
        </w:rPr>
      </w:pPr>
      <w:r w:rsidRPr="00B90DB4">
        <w:rPr>
          <w:b/>
          <w:sz w:val="22"/>
          <w:szCs w:val="22"/>
        </w:rPr>
        <w:t>Secondary Sources</w:t>
      </w:r>
    </w:p>
    <w:p w14:paraId="368D4174" w14:textId="68235AF1" w:rsidR="009C5C88" w:rsidRPr="00B90DB4" w:rsidRDefault="009C5C88" w:rsidP="00DD5385">
      <w:pPr>
        <w:pStyle w:val="NormalWeb"/>
        <w:divId w:val="778257664"/>
        <w:rPr>
          <w:b/>
          <w:sz w:val="22"/>
          <w:szCs w:val="22"/>
        </w:rPr>
      </w:pPr>
      <w:r w:rsidRPr="00B90DB4">
        <w:rPr>
          <w:color w:val="000000"/>
          <w:sz w:val="22"/>
          <w:szCs w:val="22"/>
        </w:rPr>
        <w:t xml:space="preserve">Addey, Crystal, </w:t>
      </w:r>
      <w:r w:rsidRPr="00B90DB4">
        <w:rPr>
          <w:i/>
          <w:iCs/>
          <w:color w:val="000000"/>
          <w:sz w:val="22"/>
          <w:szCs w:val="22"/>
        </w:rPr>
        <w:t xml:space="preserve">Divination and Theurgy in Neoplatonism: Oracles of the Gods </w:t>
      </w:r>
      <w:r w:rsidRPr="00B90DB4">
        <w:rPr>
          <w:color w:val="000000"/>
          <w:sz w:val="22"/>
          <w:szCs w:val="22"/>
        </w:rPr>
        <w:t>(New York: Routledge, 2014)</w:t>
      </w:r>
    </w:p>
    <w:p w14:paraId="0AF2539B" w14:textId="32E294C7" w:rsidR="009C5C88" w:rsidRPr="00B90DB4" w:rsidRDefault="00B90DB4" w:rsidP="00DD5385">
      <w:pPr>
        <w:pStyle w:val="NormalWeb"/>
        <w:divId w:val="778257664"/>
        <w:rPr>
          <w:color w:val="000000"/>
          <w:sz w:val="22"/>
          <w:szCs w:val="22"/>
        </w:rPr>
      </w:pPr>
      <w:r w:rsidRPr="00B90DB4">
        <w:rPr>
          <w:b/>
          <w:sz w:val="22"/>
          <w:szCs w:val="22"/>
        </w:rPr>
        <w:t xml:space="preserve">--- </w:t>
      </w:r>
      <w:r w:rsidRPr="00B90DB4">
        <w:rPr>
          <w:color w:val="000000"/>
          <w:sz w:val="22"/>
          <w:szCs w:val="22"/>
        </w:rPr>
        <w:t xml:space="preserve">'Oracles, Dreams and Astrology in Iamblichus' De Mysteriis' in </w:t>
      </w:r>
      <w:r w:rsidRPr="00B90DB4">
        <w:rPr>
          <w:i/>
          <w:iCs/>
          <w:color w:val="000000"/>
          <w:sz w:val="22"/>
          <w:szCs w:val="22"/>
        </w:rPr>
        <w:t xml:space="preserve">Seeing with Different Eyes: Essays in Astrology and Divination, </w:t>
      </w:r>
      <w:r w:rsidRPr="00B90DB4">
        <w:rPr>
          <w:color w:val="000000"/>
          <w:sz w:val="22"/>
          <w:szCs w:val="22"/>
        </w:rPr>
        <w:t>ed. by Patrick Currey and Angela Voss (Newcastle, Cambridge Scholars Publishing, 2007)</w:t>
      </w:r>
    </w:p>
    <w:p w14:paraId="3972742E" w14:textId="1C5B072D" w:rsidR="00B90DB4" w:rsidRPr="00B90DB4" w:rsidRDefault="00B90DB4" w:rsidP="00DD5385">
      <w:pPr>
        <w:pStyle w:val="NormalWeb"/>
        <w:divId w:val="778257664"/>
        <w:rPr>
          <w:color w:val="000000"/>
          <w:sz w:val="22"/>
          <w:szCs w:val="22"/>
        </w:rPr>
      </w:pPr>
      <w:r w:rsidRPr="00B90DB4">
        <w:rPr>
          <w:color w:val="000000"/>
          <w:sz w:val="22"/>
          <w:szCs w:val="22"/>
        </w:rPr>
        <w:t xml:space="preserve">Anton, John. P., 'Theourgia - </w:t>
      </w:r>
      <w:proofErr w:type="spellStart"/>
      <w:r w:rsidRPr="00B90DB4">
        <w:rPr>
          <w:color w:val="000000"/>
          <w:sz w:val="22"/>
          <w:szCs w:val="22"/>
        </w:rPr>
        <w:t>Demiourgia</w:t>
      </w:r>
      <w:proofErr w:type="spellEnd"/>
      <w:r w:rsidRPr="00B90DB4">
        <w:rPr>
          <w:color w:val="000000"/>
          <w:sz w:val="22"/>
          <w:szCs w:val="22"/>
        </w:rPr>
        <w:t xml:space="preserve">: A Controversial Issue in Hellenistic Thought and Religion', in </w:t>
      </w:r>
      <w:r w:rsidRPr="00B90DB4">
        <w:rPr>
          <w:i/>
          <w:iCs/>
          <w:color w:val="000000"/>
          <w:sz w:val="22"/>
          <w:szCs w:val="22"/>
        </w:rPr>
        <w:t xml:space="preserve">Neoplatonism and Gnosticism, </w:t>
      </w:r>
      <w:r w:rsidRPr="00B90DB4">
        <w:rPr>
          <w:color w:val="000000"/>
          <w:sz w:val="22"/>
          <w:szCs w:val="22"/>
        </w:rPr>
        <w:t>ed. By Richard T. Wallis and Jay Bregman (Albany, State University of New York Press, 1992)</w:t>
      </w:r>
    </w:p>
    <w:p w14:paraId="6B2F0D28" w14:textId="44A948F3" w:rsidR="00B90DB4" w:rsidRPr="00B90DB4" w:rsidRDefault="00B90DB4" w:rsidP="00DD5385">
      <w:pPr>
        <w:pStyle w:val="NormalWeb"/>
        <w:divId w:val="778257664"/>
        <w:rPr>
          <w:color w:val="000000"/>
          <w:sz w:val="22"/>
          <w:szCs w:val="22"/>
        </w:rPr>
      </w:pPr>
      <w:r w:rsidRPr="00B90DB4">
        <w:rPr>
          <w:color w:val="000000"/>
          <w:sz w:val="22"/>
          <w:szCs w:val="22"/>
        </w:rPr>
        <w:t xml:space="preserve">Athanassiadi, </w:t>
      </w:r>
      <w:proofErr w:type="spellStart"/>
      <w:r w:rsidRPr="00B90DB4">
        <w:rPr>
          <w:color w:val="000000"/>
          <w:sz w:val="22"/>
          <w:szCs w:val="22"/>
        </w:rPr>
        <w:t>Polymnia</w:t>
      </w:r>
      <w:proofErr w:type="spellEnd"/>
      <w:r w:rsidRPr="00B90DB4">
        <w:rPr>
          <w:color w:val="000000"/>
          <w:sz w:val="22"/>
          <w:szCs w:val="22"/>
        </w:rPr>
        <w:t xml:space="preserve">, 'Dreams, Theurgy and Freelance Divination: The Testimony of Iamblichus', </w:t>
      </w:r>
      <w:r w:rsidRPr="00B90DB4">
        <w:rPr>
          <w:i/>
          <w:iCs/>
          <w:color w:val="000000"/>
          <w:sz w:val="22"/>
          <w:szCs w:val="22"/>
        </w:rPr>
        <w:t>The Journal of Roman Studies</w:t>
      </w:r>
      <w:r w:rsidRPr="00B90DB4">
        <w:rPr>
          <w:color w:val="000000"/>
          <w:sz w:val="22"/>
          <w:szCs w:val="22"/>
        </w:rPr>
        <w:t>, vol. 83, (1993)</w:t>
      </w:r>
    </w:p>
    <w:p w14:paraId="2D607D0D" w14:textId="33B125B6" w:rsidR="00B90DB4" w:rsidRPr="00B90DB4" w:rsidRDefault="00B90DB4" w:rsidP="00DD5385">
      <w:pPr>
        <w:pStyle w:val="NormalWeb"/>
        <w:divId w:val="778257664"/>
        <w:rPr>
          <w:color w:val="000000"/>
          <w:sz w:val="22"/>
          <w:szCs w:val="22"/>
        </w:rPr>
      </w:pPr>
      <w:r w:rsidRPr="00B90DB4">
        <w:rPr>
          <w:color w:val="000000"/>
          <w:sz w:val="22"/>
          <w:szCs w:val="22"/>
        </w:rPr>
        <w:t xml:space="preserve">Blacker, Carmen and Michael Loewe (eds), </w:t>
      </w:r>
      <w:r w:rsidRPr="00B90DB4">
        <w:rPr>
          <w:i/>
          <w:iCs/>
          <w:color w:val="000000"/>
          <w:sz w:val="22"/>
          <w:szCs w:val="22"/>
        </w:rPr>
        <w:t xml:space="preserve">Oracles and Divination, </w:t>
      </w:r>
      <w:r w:rsidRPr="00B90DB4">
        <w:rPr>
          <w:color w:val="000000"/>
          <w:sz w:val="22"/>
          <w:szCs w:val="22"/>
        </w:rPr>
        <w:t>(Boulder: Shambhala, 1981)</w:t>
      </w:r>
    </w:p>
    <w:p w14:paraId="2E0079F4" w14:textId="33A09D8C" w:rsidR="00B90DB4" w:rsidRPr="00B90DB4" w:rsidRDefault="00B90DB4" w:rsidP="00DD5385">
      <w:pPr>
        <w:pStyle w:val="NormalWeb"/>
        <w:divId w:val="778257664"/>
        <w:rPr>
          <w:color w:val="000000"/>
          <w:sz w:val="22"/>
          <w:szCs w:val="22"/>
        </w:rPr>
      </w:pPr>
      <w:r w:rsidRPr="00B90DB4">
        <w:rPr>
          <w:color w:val="000000"/>
          <w:sz w:val="22"/>
          <w:szCs w:val="22"/>
        </w:rPr>
        <w:t>Campion,</w:t>
      </w:r>
      <w:r w:rsidRPr="00B90DB4">
        <w:rPr>
          <w:color w:val="000000"/>
          <w:sz w:val="22"/>
          <w:szCs w:val="22"/>
        </w:rPr>
        <w:t xml:space="preserve"> </w:t>
      </w:r>
      <w:r w:rsidRPr="00B90DB4">
        <w:rPr>
          <w:color w:val="000000"/>
          <w:sz w:val="22"/>
          <w:szCs w:val="22"/>
        </w:rPr>
        <w:t>Nicholas</w:t>
      </w:r>
      <w:r w:rsidRPr="00B90DB4">
        <w:rPr>
          <w:color w:val="000000"/>
          <w:sz w:val="22"/>
          <w:szCs w:val="22"/>
        </w:rPr>
        <w:t>,</w:t>
      </w:r>
      <w:r w:rsidRPr="00B90DB4">
        <w:rPr>
          <w:color w:val="000000"/>
          <w:sz w:val="22"/>
          <w:szCs w:val="22"/>
        </w:rPr>
        <w:t xml:space="preserve"> </w:t>
      </w:r>
      <w:r w:rsidRPr="00B90DB4">
        <w:rPr>
          <w:i/>
          <w:iCs/>
          <w:color w:val="000000"/>
          <w:sz w:val="22"/>
          <w:szCs w:val="22"/>
        </w:rPr>
        <w:t>A History of Western Astrology, Volume 1: The Ancient World</w:t>
      </w:r>
      <w:r w:rsidRPr="00B90DB4">
        <w:rPr>
          <w:color w:val="000000"/>
          <w:sz w:val="22"/>
          <w:szCs w:val="22"/>
        </w:rPr>
        <w:t xml:space="preserve"> (New York and London: Bloomsbury Academic, 2013)</w:t>
      </w:r>
    </w:p>
    <w:p w14:paraId="33C8CF2A" w14:textId="72DB2EA0" w:rsidR="00B90DB4" w:rsidRPr="00B90DB4" w:rsidRDefault="00B90DB4" w:rsidP="00DD5385">
      <w:pPr>
        <w:pStyle w:val="NormalWeb"/>
        <w:divId w:val="778257664"/>
        <w:rPr>
          <w:color w:val="000000"/>
          <w:sz w:val="22"/>
          <w:szCs w:val="22"/>
        </w:rPr>
      </w:pPr>
      <w:r w:rsidRPr="00B90DB4">
        <w:rPr>
          <w:color w:val="000000"/>
          <w:sz w:val="22"/>
          <w:szCs w:val="22"/>
        </w:rPr>
        <w:t xml:space="preserve">Clarke, </w:t>
      </w:r>
      <w:r w:rsidRPr="00B90DB4">
        <w:rPr>
          <w:color w:val="000000"/>
          <w:sz w:val="22"/>
          <w:szCs w:val="22"/>
        </w:rPr>
        <w:t xml:space="preserve">Emma C. et al, 'Introduction', in </w:t>
      </w:r>
      <w:r w:rsidRPr="00B90DB4">
        <w:rPr>
          <w:i/>
          <w:iCs/>
          <w:color w:val="000000"/>
          <w:sz w:val="22"/>
          <w:szCs w:val="22"/>
        </w:rPr>
        <w:t xml:space="preserve">On the Mysteries, </w:t>
      </w:r>
      <w:r w:rsidRPr="00B90DB4">
        <w:rPr>
          <w:color w:val="000000"/>
          <w:sz w:val="22"/>
          <w:szCs w:val="22"/>
        </w:rPr>
        <w:t xml:space="preserve">trans. by Emma C. Clarke, John M. Dillon, and Jackson P. </w:t>
      </w:r>
      <w:proofErr w:type="spellStart"/>
      <w:r w:rsidRPr="00B90DB4">
        <w:rPr>
          <w:color w:val="000000"/>
          <w:sz w:val="22"/>
          <w:szCs w:val="22"/>
        </w:rPr>
        <w:t>Hershbell</w:t>
      </w:r>
      <w:proofErr w:type="spellEnd"/>
      <w:r w:rsidRPr="00B90DB4">
        <w:rPr>
          <w:color w:val="000000"/>
          <w:sz w:val="22"/>
          <w:szCs w:val="22"/>
        </w:rPr>
        <w:t xml:space="preserve"> (Atlanta: Society of Biblical Literature, 2003)</w:t>
      </w:r>
    </w:p>
    <w:p w14:paraId="5D989BA5" w14:textId="4AAD97F6" w:rsidR="00B90DB4" w:rsidRPr="00B90DB4" w:rsidRDefault="00B90DB4" w:rsidP="00DD5385">
      <w:pPr>
        <w:pStyle w:val="NormalWeb"/>
        <w:divId w:val="778257664"/>
        <w:rPr>
          <w:color w:val="000000"/>
          <w:sz w:val="22"/>
          <w:szCs w:val="22"/>
        </w:rPr>
      </w:pPr>
      <w:proofErr w:type="spellStart"/>
      <w:r w:rsidRPr="00B90DB4">
        <w:rPr>
          <w:color w:val="000000"/>
          <w:sz w:val="22"/>
          <w:szCs w:val="22"/>
        </w:rPr>
        <w:t>Finamore</w:t>
      </w:r>
      <w:proofErr w:type="spellEnd"/>
      <w:r w:rsidRPr="00B90DB4">
        <w:rPr>
          <w:color w:val="000000"/>
          <w:sz w:val="22"/>
          <w:szCs w:val="22"/>
        </w:rPr>
        <w:t xml:space="preserve">, J. F. and J. M. Dillon 'Iamblichus on the Soul', </w:t>
      </w:r>
      <w:r w:rsidRPr="00B90DB4">
        <w:rPr>
          <w:i/>
          <w:iCs/>
          <w:color w:val="000000"/>
          <w:sz w:val="22"/>
          <w:szCs w:val="22"/>
        </w:rPr>
        <w:t xml:space="preserve">The Classical Review, </w:t>
      </w:r>
      <w:r w:rsidRPr="00B90DB4">
        <w:rPr>
          <w:color w:val="000000"/>
          <w:sz w:val="22"/>
          <w:szCs w:val="22"/>
        </w:rPr>
        <w:t>vol. 55, no. 1 (2005)</w:t>
      </w:r>
    </w:p>
    <w:p w14:paraId="00AB98CE" w14:textId="1BD3851D" w:rsidR="00B90DB4" w:rsidRPr="00B90DB4" w:rsidRDefault="00B90DB4" w:rsidP="00DD5385">
      <w:pPr>
        <w:pStyle w:val="NormalWeb"/>
        <w:divId w:val="778257664"/>
        <w:rPr>
          <w:color w:val="000000"/>
          <w:sz w:val="22"/>
          <w:szCs w:val="22"/>
        </w:rPr>
      </w:pPr>
      <w:r w:rsidRPr="00B90DB4">
        <w:rPr>
          <w:color w:val="000000"/>
          <w:sz w:val="22"/>
          <w:szCs w:val="22"/>
        </w:rPr>
        <w:t xml:space="preserve">Pearson, Birger A., 'Theurgic Tendencies in Gnosticism and Iamblichus's Conception of Theurgy', in </w:t>
      </w:r>
      <w:r w:rsidRPr="00B90DB4">
        <w:rPr>
          <w:i/>
          <w:iCs/>
          <w:color w:val="000000"/>
          <w:sz w:val="22"/>
          <w:szCs w:val="22"/>
        </w:rPr>
        <w:t xml:space="preserve">Neoplatonism and Gnosticism, </w:t>
      </w:r>
      <w:r w:rsidRPr="00B90DB4">
        <w:rPr>
          <w:color w:val="000000"/>
          <w:sz w:val="22"/>
          <w:szCs w:val="22"/>
        </w:rPr>
        <w:t>ed. By Richard T. Wallis and Jay Bregman (Albany, State University of New York Press, 1992)</w:t>
      </w:r>
    </w:p>
    <w:p w14:paraId="1CA65C0A" w14:textId="539F32E5" w:rsidR="00B90DB4" w:rsidRPr="00B90DB4" w:rsidRDefault="00B90DB4" w:rsidP="00DD5385">
      <w:pPr>
        <w:pStyle w:val="NormalWeb"/>
        <w:divId w:val="778257664"/>
        <w:rPr>
          <w:color w:val="000000"/>
          <w:sz w:val="22"/>
          <w:szCs w:val="22"/>
        </w:rPr>
      </w:pPr>
      <w:r w:rsidRPr="00B90DB4">
        <w:rPr>
          <w:color w:val="000000"/>
          <w:sz w:val="22"/>
          <w:szCs w:val="22"/>
        </w:rPr>
        <w:t>Schott</w:t>
      </w:r>
      <w:r w:rsidRPr="00B90DB4">
        <w:rPr>
          <w:color w:val="000000"/>
          <w:sz w:val="22"/>
          <w:szCs w:val="22"/>
        </w:rPr>
        <w:t xml:space="preserve">, </w:t>
      </w:r>
      <w:r w:rsidRPr="00B90DB4">
        <w:rPr>
          <w:color w:val="000000"/>
          <w:sz w:val="22"/>
          <w:szCs w:val="22"/>
        </w:rPr>
        <w:t xml:space="preserve">Jeremy, 'Philosophies of Language, Theories of Translation, and Imperial Intellectual Production: The Cases of Porphyry, Iamblichus, and Eusebius', </w:t>
      </w:r>
      <w:r w:rsidRPr="00B90DB4">
        <w:rPr>
          <w:i/>
          <w:iCs/>
          <w:color w:val="000000"/>
          <w:sz w:val="22"/>
          <w:szCs w:val="22"/>
        </w:rPr>
        <w:t>Church History</w:t>
      </w:r>
      <w:r w:rsidRPr="00B90DB4">
        <w:rPr>
          <w:color w:val="000000"/>
          <w:sz w:val="22"/>
          <w:szCs w:val="22"/>
        </w:rPr>
        <w:t>, vol. 78, no. 4 (2009)</w:t>
      </w:r>
    </w:p>
    <w:p w14:paraId="054FB81A" w14:textId="6EFC6A4E" w:rsidR="009C5C88" w:rsidRPr="00E0502A" w:rsidRDefault="00B90DB4" w:rsidP="00EC6ABE">
      <w:pPr>
        <w:pStyle w:val="NormalWeb"/>
        <w:divId w:val="778257664"/>
        <w:rPr>
          <w:b/>
        </w:rPr>
      </w:pPr>
      <w:r w:rsidRPr="00B90DB4">
        <w:rPr>
          <w:color w:val="000000"/>
          <w:sz w:val="22"/>
          <w:szCs w:val="22"/>
        </w:rPr>
        <w:t xml:space="preserve">Shaw, Gregory, </w:t>
      </w:r>
      <w:r w:rsidRPr="00B90DB4">
        <w:rPr>
          <w:i/>
          <w:iCs/>
          <w:color w:val="000000"/>
          <w:sz w:val="22"/>
          <w:szCs w:val="22"/>
        </w:rPr>
        <w:t>Theurgy and the Soul: The Neoplatonism of Iamblichus</w:t>
      </w:r>
      <w:r w:rsidRPr="00B90DB4">
        <w:rPr>
          <w:color w:val="000000"/>
          <w:sz w:val="22"/>
          <w:szCs w:val="22"/>
        </w:rPr>
        <w:t xml:space="preserve"> (Kettering, OH, Angelico Press, 2014 [1995])</w:t>
      </w:r>
      <w:r w:rsidR="00EC6ABE" w:rsidRPr="00E0502A">
        <w:rPr>
          <w:b/>
        </w:rPr>
        <w:t xml:space="preserve"> </w:t>
      </w:r>
    </w:p>
    <w:p w14:paraId="4D931371" w14:textId="77777777" w:rsidR="00DD5385" w:rsidRPr="00E0502A" w:rsidRDefault="00DD5385" w:rsidP="00DD5385">
      <w:pPr>
        <w:pStyle w:val="NormalWeb"/>
        <w:divId w:val="778257664"/>
        <w:rPr>
          <w:b/>
          <w:sz w:val="22"/>
          <w:szCs w:val="22"/>
        </w:rPr>
      </w:pPr>
    </w:p>
    <w:sectPr w:rsidR="00DD5385" w:rsidRPr="00E0502A" w:rsidSect="00E519D1">
      <w:headerReference w:type="even" r:id="rId12"/>
      <w:head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1C41C8" w14:textId="77777777" w:rsidR="00642D1A" w:rsidRDefault="00642D1A" w:rsidP="003F6996">
      <w:r>
        <w:separator/>
      </w:r>
    </w:p>
  </w:endnote>
  <w:endnote w:type="continuationSeparator" w:id="0">
    <w:p w14:paraId="4FCF8F44" w14:textId="77777777" w:rsidR="00642D1A" w:rsidRDefault="00642D1A" w:rsidP="003F69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pple Color Emoji UI">
    <w:altName w:val="Calibri"/>
    <w:panose1 w:val="020B0604020202020204"/>
    <w:charset w:val="00"/>
    <w:family w:val="auto"/>
    <w:notTrueType/>
    <w:pitch w:val="default"/>
    <w:sig w:usb0="00000003" w:usb1="00000000" w:usb2="00000000" w:usb3="00000000" w:csb0="00000001" w:csb1="00000000"/>
  </w:font>
  <w:font w:name="Apple Color Emoji">
    <w:panose1 w:val="00000000000000000000"/>
    <w:charset w:val="00"/>
    <w:family w:val="auto"/>
    <w:pitch w:val="variable"/>
    <w:sig w:usb0="00000003" w:usb1="18000000" w:usb2="14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C23F57" w14:textId="77777777" w:rsidR="00642D1A" w:rsidRDefault="00642D1A" w:rsidP="003F6996">
      <w:r>
        <w:separator/>
      </w:r>
    </w:p>
  </w:footnote>
  <w:footnote w:type="continuationSeparator" w:id="0">
    <w:p w14:paraId="2D1D8878" w14:textId="77777777" w:rsidR="00642D1A" w:rsidRDefault="00642D1A" w:rsidP="003F6996">
      <w:r>
        <w:continuationSeparator/>
      </w:r>
    </w:p>
  </w:footnote>
  <w:footnote w:id="1">
    <w:p w14:paraId="1416AB4C" w14:textId="41F9BA82" w:rsidR="00EA3AB4" w:rsidRPr="00FE0CFB" w:rsidRDefault="00EA3AB4" w:rsidP="00FE0CFB">
      <w:pPr>
        <w:rPr>
          <w:color w:val="000000"/>
          <w:sz w:val="20"/>
          <w:szCs w:val="20"/>
        </w:rPr>
      </w:pPr>
      <w:r>
        <w:rPr>
          <w:rStyle w:val="FootnoteReference"/>
        </w:rPr>
        <w:footnoteRef/>
      </w:r>
      <w:r>
        <w:t xml:space="preserve"> </w:t>
      </w:r>
      <w:r w:rsidRPr="00A317FE">
        <w:rPr>
          <w:color w:val="000000"/>
          <w:sz w:val="20"/>
          <w:szCs w:val="20"/>
        </w:rPr>
        <w:t xml:space="preserve">Iamblichus, </w:t>
      </w:r>
      <w:r w:rsidRPr="00A317FE">
        <w:rPr>
          <w:i/>
          <w:iCs/>
          <w:color w:val="000000"/>
          <w:sz w:val="20"/>
          <w:szCs w:val="20"/>
        </w:rPr>
        <w:t xml:space="preserve">De Mysteriis, </w:t>
      </w:r>
      <w:r w:rsidRPr="00A317FE">
        <w:rPr>
          <w:color w:val="000000"/>
          <w:sz w:val="20"/>
          <w:szCs w:val="20"/>
        </w:rPr>
        <w:t xml:space="preserve">in </w:t>
      </w:r>
      <w:r w:rsidRPr="00A317FE">
        <w:rPr>
          <w:i/>
          <w:iCs/>
          <w:color w:val="000000"/>
          <w:sz w:val="20"/>
          <w:szCs w:val="20"/>
        </w:rPr>
        <w:t xml:space="preserve">On the Mysteries, </w:t>
      </w:r>
      <w:r w:rsidRPr="00A317FE">
        <w:rPr>
          <w:color w:val="000000"/>
          <w:sz w:val="20"/>
          <w:szCs w:val="20"/>
        </w:rPr>
        <w:t xml:space="preserve">trans. by Emma C. Clarke, John M. Dillon, and Jackson P. </w:t>
      </w:r>
      <w:proofErr w:type="spellStart"/>
      <w:r w:rsidRPr="00A317FE">
        <w:rPr>
          <w:color w:val="000000"/>
          <w:sz w:val="20"/>
          <w:szCs w:val="20"/>
        </w:rPr>
        <w:t>Hershbell</w:t>
      </w:r>
      <w:proofErr w:type="spellEnd"/>
      <w:r w:rsidRPr="00A317FE">
        <w:rPr>
          <w:color w:val="000000"/>
          <w:sz w:val="20"/>
          <w:szCs w:val="20"/>
        </w:rPr>
        <w:t xml:space="preserve"> (Atlanta: Society of Biblical Literature, 2003)</w:t>
      </w:r>
    </w:p>
  </w:footnote>
  <w:footnote w:id="2">
    <w:p w14:paraId="687B9ACB" w14:textId="0F734359" w:rsidR="00EA3AB4" w:rsidRDefault="00EA3AB4">
      <w:pPr>
        <w:pStyle w:val="FootnoteText"/>
      </w:pPr>
      <w:r>
        <w:rPr>
          <w:rStyle w:val="FootnoteReference"/>
        </w:rPr>
        <w:footnoteRef/>
      </w:r>
      <w:r>
        <w:t xml:space="preserve"> </w:t>
      </w:r>
      <w:sdt>
        <w:sdtPr>
          <w:id w:val="-1635240336"/>
          <w:placeholder>
            <w:docPart w:val="DefaultPlaceholder_-1854013440"/>
          </w:placeholder>
          <w15:webExtensionCreated/>
        </w:sdtPr>
        <w:sdtContent>
          <w:r>
            <w:rPr>
              <w:color w:val="000000"/>
            </w:rPr>
            <w:t xml:space="preserve">John P. Anton, 'Theourgia - </w:t>
          </w:r>
          <w:proofErr w:type="spellStart"/>
          <w:r>
            <w:rPr>
              <w:color w:val="000000"/>
            </w:rPr>
            <w:t>Demiourgia</w:t>
          </w:r>
          <w:proofErr w:type="spellEnd"/>
          <w:r>
            <w:rPr>
              <w:color w:val="000000"/>
            </w:rPr>
            <w:t xml:space="preserve">: A Controversial Issue in Hellenistic Thought and Religion', in </w:t>
          </w:r>
          <w:r>
            <w:rPr>
              <w:i/>
              <w:iCs/>
              <w:color w:val="000000"/>
            </w:rPr>
            <w:t xml:space="preserve">Neoplatonism and Gnosticism, </w:t>
          </w:r>
          <w:r>
            <w:rPr>
              <w:color w:val="000000"/>
            </w:rPr>
            <w:t>ed. By Richard T. Wallis and Jay Bregman (Albany, State University of New York Press, 1992), pp. 17-18</w:t>
          </w:r>
        </w:sdtContent>
      </w:sdt>
    </w:p>
  </w:footnote>
  <w:footnote w:id="3">
    <w:p w14:paraId="75D001C2" w14:textId="2B779467" w:rsidR="00EA3AB4" w:rsidRPr="00661D0E" w:rsidRDefault="00EA3AB4" w:rsidP="00661D0E">
      <w:pPr>
        <w:rPr>
          <w:color w:val="000000"/>
          <w:sz w:val="20"/>
          <w:szCs w:val="20"/>
        </w:rPr>
      </w:pPr>
      <w:r>
        <w:rPr>
          <w:rStyle w:val="FootnoteReference"/>
        </w:rPr>
        <w:footnoteRef/>
      </w:r>
      <w:r w:rsidRPr="003E682C">
        <w:rPr>
          <w:color w:val="000000"/>
          <w:sz w:val="20"/>
          <w:szCs w:val="20"/>
        </w:rPr>
        <w:t xml:space="preserve">Carmen Blacker and Michael Loewe (eds), </w:t>
      </w:r>
      <w:r w:rsidRPr="003E682C">
        <w:rPr>
          <w:i/>
          <w:iCs/>
          <w:color w:val="000000"/>
          <w:sz w:val="20"/>
          <w:szCs w:val="20"/>
        </w:rPr>
        <w:t xml:space="preserve">Oracles and Divination, </w:t>
      </w:r>
      <w:r w:rsidRPr="003E682C">
        <w:rPr>
          <w:color w:val="000000"/>
          <w:sz w:val="20"/>
          <w:szCs w:val="20"/>
        </w:rPr>
        <w:t>(Boulder: Shambhala, 1981), p.1</w:t>
      </w:r>
    </w:p>
  </w:footnote>
  <w:footnote w:id="4">
    <w:p w14:paraId="38681A4A" w14:textId="2829E547" w:rsidR="00EA3AB4" w:rsidRPr="004111ED" w:rsidRDefault="00EA3AB4" w:rsidP="004111ED">
      <w:pPr>
        <w:rPr>
          <w:color w:val="000000"/>
          <w:sz w:val="20"/>
          <w:szCs w:val="20"/>
        </w:rPr>
      </w:pPr>
      <w:r>
        <w:rPr>
          <w:rStyle w:val="FootnoteReference"/>
        </w:rPr>
        <w:footnoteRef/>
      </w:r>
      <w:r>
        <w:t xml:space="preserve"> </w:t>
      </w:r>
      <w:r>
        <w:rPr>
          <w:color w:val="000000"/>
          <w:sz w:val="20"/>
          <w:szCs w:val="20"/>
        </w:rPr>
        <w:t xml:space="preserve">Emma C. Clarke et al, 'Introduction', in </w:t>
      </w:r>
      <w:r>
        <w:rPr>
          <w:i/>
          <w:iCs/>
          <w:color w:val="000000"/>
          <w:sz w:val="20"/>
          <w:szCs w:val="20"/>
        </w:rPr>
        <w:t xml:space="preserve">On the Mysteries, </w:t>
      </w:r>
      <w:r>
        <w:rPr>
          <w:color w:val="000000"/>
          <w:sz w:val="20"/>
          <w:szCs w:val="20"/>
        </w:rPr>
        <w:t xml:space="preserve">trans. by Emma C. Clarke, John M. Dillon, and Jackson P. </w:t>
      </w:r>
      <w:proofErr w:type="spellStart"/>
      <w:r>
        <w:rPr>
          <w:color w:val="000000"/>
          <w:sz w:val="20"/>
          <w:szCs w:val="20"/>
        </w:rPr>
        <w:t>Hershbell</w:t>
      </w:r>
      <w:proofErr w:type="spellEnd"/>
      <w:r>
        <w:rPr>
          <w:color w:val="000000"/>
          <w:sz w:val="20"/>
          <w:szCs w:val="20"/>
        </w:rPr>
        <w:t xml:space="preserve"> (Atlanta: Society of Biblical Literature, 2003), pp. xvii, xx</w:t>
      </w:r>
    </w:p>
  </w:footnote>
  <w:footnote w:id="5">
    <w:p w14:paraId="0C4D9B1F" w14:textId="572294EF" w:rsidR="00EA3AB4" w:rsidRPr="001C3FA7" w:rsidRDefault="00EA3AB4" w:rsidP="001C3FA7">
      <w:pPr>
        <w:rPr>
          <w:color w:val="000000"/>
          <w:sz w:val="20"/>
          <w:szCs w:val="20"/>
        </w:rPr>
      </w:pPr>
      <w:r>
        <w:rPr>
          <w:rStyle w:val="FootnoteReference"/>
        </w:rPr>
        <w:footnoteRef/>
      </w:r>
      <w:r>
        <w:t xml:space="preserve"> </w:t>
      </w:r>
      <w:r>
        <w:rPr>
          <w:color w:val="000000"/>
          <w:sz w:val="20"/>
          <w:szCs w:val="20"/>
        </w:rPr>
        <w:t xml:space="preserve">Nicholas Campion, </w:t>
      </w:r>
      <w:r>
        <w:rPr>
          <w:i/>
          <w:iCs/>
          <w:color w:val="000000"/>
          <w:sz w:val="20"/>
          <w:szCs w:val="20"/>
        </w:rPr>
        <w:t>A History of Western Astrology, Volume 1: The Ancient World</w:t>
      </w:r>
      <w:r>
        <w:rPr>
          <w:color w:val="000000"/>
          <w:sz w:val="20"/>
          <w:szCs w:val="20"/>
        </w:rPr>
        <w:t xml:space="preserve"> (New York and London: Bloomsbury Academic, 2013), pp. 264</w:t>
      </w:r>
    </w:p>
  </w:footnote>
  <w:footnote w:id="6">
    <w:p w14:paraId="6F63DFCD" w14:textId="6A99B93C" w:rsidR="00EA3AB4" w:rsidRPr="00E3141B" w:rsidRDefault="00EA3AB4" w:rsidP="00E3141B">
      <w:pPr>
        <w:rPr>
          <w:color w:val="000000"/>
          <w:sz w:val="20"/>
          <w:szCs w:val="20"/>
        </w:rPr>
      </w:pPr>
      <w:r>
        <w:rPr>
          <w:rStyle w:val="FootnoteReference"/>
        </w:rPr>
        <w:footnoteRef/>
      </w:r>
      <w:r>
        <w:t xml:space="preserve"> </w:t>
      </w:r>
      <w:proofErr w:type="spellStart"/>
      <w:r>
        <w:rPr>
          <w:color w:val="000000"/>
          <w:sz w:val="20"/>
          <w:szCs w:val="20"/>
        </w:rPr>
        <w:t>Polymnia</w:t>
      </w:r>
      <w:proofErr w:type="spellEnd"/>
      <w:r>
        <w:rPr>
          <w:color w:val="000000"/>
          <w:sz w:val="20"/>
          <w:szCs w:val="20"/>
        </w:rPr>
        <w:t xml:space="preserve"> Athanassiadi, 'Dreams, Theurgy and Freelance Divination: The Testimony of Iamblichus', </w:t>
      </w:r>
      <w:r>
        <w:rPr>
          <w:i/>
          <w:iCs/>
          <w:color w:val="000000"/>
          <w:sz w:val="20"/>
          <w:szCs w:val="20"/>
        </w:rPr>
        <w:t>The Journal of Roman Studies</w:t>
      </w:r>
      <w:r>
        <w:rPr>
          <w:color w:val="000000"/>
          <w:sz w:val="20"/>
          <w:szCs w:val="20"/>
        </w:rPr>
        <w:t>, vol. 83, (1993), p. 117, and Clarke et al, 'Introduction', p. xxvii</w:t>
      </w:r>
    </w:p>
  </w:footnote>
  <w:footnote w:id="7">
    <w:p w14:paraId="4078822D" w14:textId="0451AE12" w:rsidR="00EA3AB4" w:rsidRDefault="00EA3AB4" w:rsidP="00E3141B">
      <w:pPr>
        <w:rPr>
          <w:color w:val="000000"/>
          <w:sz w:val="20"/>
          <w:szCs w:val="20"/>
        </w:rPr>
      </w:pPr>
      <w:r>
        <w:rPr>
          <w:rStyle w:val="FootnoteReference"/>
        </w:rPr>
        <w:footnoteRef/>
      </w:r>
      <w:r>
        <w:t xml:space="preserve"> </w:t>
      </w:r>
      <w:r>
        <w:rPr>
          <w:color w:val="000000"/>
          <w:sz w:val="20"/>
          <w:szCs w:val="20"/>
        </w:rPr>
        <w:t xml:space="preserve">Crystal Addey, </w:t>
      </w:r>
      <w:r>
        <w:rPr>
          <w:i/>
          <w:iCs/>
          <w:color w:val="000000"/>
          <w:sz w:val="20"/>
          <w:szCs w:val="20"/>
        </w:rPr>
        <w:t xml:space="preserve">Divination and Theurgy in Neoplatonism: Oracles of the Gods </w:t>
      </w:r>
      <w:r>
        <w:rPr>
          <w:color w:val="000000"/>
          <w:sz w:val="20"/>
          <w:szCs w:val="20"/>
        </w:rPr>
        <w:t xml:space="preserve">(New York: Routledge, 2014), p. 127, and 'Oracles, Dreams and Astrology in Iamblichus' De Mysteriis' in </w:t>
      </w:r>
      <w:r>
        <w:rPr>
          <w:i/>
          <w:iCs/>
          <w:color w:val="000000"/>
          <w:sz w:val="20"/>
          <w:szCs w:val="20"/>
        </w:rPr>
        <w:t xml:space="preserve">Seeing with Different Eyes: Essays in Astrology and Divination, </w:t>
      </w:r>
      <w:r>
        <w:rPr>
          <w:color w:val="000000"/>
          <w:sz w:val="20"/>
          <w:szCs w:val="20"/>
        </w:rPr>
        <w:t>ed. by Patrick Currey and Angela Voss (Newcastle, Cambridge Scholars Publishing, 2007), p. 36</w:t>
      </w:r>
    </w:p>
    <w:p w14:paraId="73932E0D" w14:textId="2D48FB08" w:rsidR="00EA3AB4" w:rsidRPr="00E3141B" w:rsidRDefault="00EA3AB4" w:rsidP="00E3141B">
      <w:pPr>
        <w:rPr>
          <w:color w:val="000000"/>
          <w:sz w:val="20"/>
          <w:szCs w:val="20"/>
        </w:rPr>
      </w:pPr>
    </w:p>
  </w:footnote>
  <w:footnote w:id="8">
    <w:p w14:paraId="4A4671DD" w14:textId="1D2CBBF9" w:rsidR="00EA3AB4" w:rsidRPr="00350EAD" w:rsidRDefault="00EA3AB4" w:rsidP="00350EAD">
      <w:pPr>
        <w:rPr>
          <w:color w:val="000000"/>
          <w:sz w:val="20"/>
          <w:szCs w:val="20"/>
        </w:rPr>
      </w:pPr>
      <w:r>
        <w:rPr>
          <w:rStyle w:val="FootnoteReference"/>
        </w:rPr>
        <w:footnoteRef/>
      </w:r>
      <w:r>
        <w:t xml:space="preserve"> </w:t>
      </w:r>
      <w:r>
        <w:rPr>
          <w:color w:val="000000"/>
          <w:sz w:val="20"/>
          <w:szCs w:val="20"/>
        </w:rPr>
        <w:t xml:space="preserve">Jeremy Schott, 'Philosophies of Language, Theories of Translation, and Imperial Intellectual Production: The Cases of Porphyry, Iamblichus, and Eusebius', </w:t>
      </w:r>
      <w:r>
        <w:rPr>
          <w:i/>
          <w:iCs/>
          <w:color w:val="000000"/>
          <w:sz w:val="20"/>
          <w:szCs w:val="20"/>
        </w:rPr>
        <w:t>Church History</w:t>
      </w:r>
      <w:r>
        <w:rPr>
          <w:color w:val="000000"/>
          <w:sz w:val="20"/>
          <w:szCs w:val="20"/>
        </w:rPr>
        <w:t>, vol. 78, no. 4 (2009), p. 856</w:t>
      </w:r>
    </w:p>
  </w:footnote>
  <w:footnote w:id="9">
    <w:p w14:paraId="703795F0" w14:textId="6018EF66" w:rsidR="00EA3AB4" w:rsidRPr="00A800CF" w:rsidRDefault="00EA3AB4" w:rsidP="00A800CF">
      <w:pPr>
        <w:rPr>
          <w:color w:val="000000"/>
          <w:sz w:val="20"/>
          <w:szCs w:val="20"/>
        </w:rPr>
      </w:pPr>
      <w:r>
        <w:rPr>
          <w:rStyle w:val="FootnoteReference"/>
        </w:rPr>
        <w:footnoteRef/>
      </w:r>
      <w:r>
        <w:t xml:space="preserve"> </w:t>
      </w:r>
      <w:r>
        <w:rPr>
          <w:color w:val="000000"/>
          <w:sz w:val="20"/>
          <w:szCs w:val="20"/>
        </w:rPr>
        <w:t xml:space="preserve">Addey, </w:t>
      </w:r>
      <w:r>
        <w:rPr>
          <w:i/>
          <w:iCs/>
          <w:color w:val="000000"/>
          <w:sz w:val="20"/>
          <w:szCs w:val="20"/>
        </w:rPr>
        <w:t>Divination and Theurgy in Neoplatonism</w:t>
      </w:r>
      <w:r>
        <w:rPr>
          <w:color w:val="000000"/>
          <w:sz w:val="20"/>
          <w:szCs w:val="20"/>
        </w:rPr>
        <w:t>, p. 129</w:t>
      </w:r>
    </w:p>
  </w:footnote>
  <w:footnote w:id="10">
    <w:p w14:paraId="6BAD772A" w14:textId="77777777" w:rsidR="00EA3AB4" w:rsidRPr="00AC7CAF" w:rsidRDefault="00EA3AB4" w:rsidP="009601AB">
      <w:pPr>
        <w:rPr>
          <w:color w:val="000000"/>
          <w:sz w:val="20"/>
          <w:szCs w:val="20"/>
        </w:rPr>
      </w:pPr>
      <w:r>
        <w:rPr>
          <w:rStyle w:val="FootnoteReference"/>
        </w:rPr>
        <w:footnoteRef/>
      </w:r>
      <w:r>
        <w:t xml:space="preserve"> </w:t>
      </w:r>
      <w:r>
        <w:rPr>
          <w:color w:val="000000"/>
          <w:sz w:val="20"/>
          <w:szCs w:val="20"/>
        </w:rPr>
        <w:t xml:space="preserve">J. F. </w:t>
      </w:r>
      <w:proofErr w:type="spellStart"/>
      <w:r>
        <w:rPr>
          <w:color w:val="000000"/>
          <w:sz w:val="20"/>
          <w:szCs w:val="20"/>
        </w:rPr>
        <w:t>Finamore</w:t>
      </w:r>
      <w:proofErr w:type="spellEnd"/>
      <w:r>
        <w:rPr>
          <w:color w:val="000000"/>
          <w:sz w:val="20"/>
          <w:szCs w:val="20"/>
        </w:rPr>
        <w:t xml:space="preserve"> and J. M. Dillon 'Iamblichus on the Soul', </w:t>
      </w:r>
      <w:r>
        <w:rPr>
          <w:i/>
          <w:iCs/>
          <w:color w:val="000000"/>
          <w:sz w:val="20"/>
          <w:szCs w:val="20"/>
        </w:rPr>
        <w:t xml:space="preserve">The Classical Review, </w:t>
      </w:r>
      <w:r>
        <w:rPr>
          <w:color w:val="000000"/>
          <w:sz w:val="20"/>
          <w:szCs w:val="20"/>
        </w:rPr>
        <w:t>vol. 55, no. 1 (2005), p. 96</w:t>
      </w:r>
    </w:p>
  </w:footnote>
  <w:footnote w:id="11">
    <w:p w14:paraId="20906DDF" w14:textId="34C730CF" w:rsidR="00EA3AB4" w:rsidRPr="00CD19F3" w:rsidRDefault="00EA3AB4" w:rsidP="00CD19F3">
      <w:pPr>
        <w:rPr>
          <w:color w:val="000000"/>
          <w:sz w:val="20"/>
          <w:szCs w:val="20"/>
        </w:rPr>
      </w:pPr>
      <w:r>
        <w:rPr>
          <w:rStyle w:val="FootnoteReference"/>
        </w:rPr>
        <w:footnoteRef/>
      </w:r>
      <w:r>
        <w:t xml:space="preserve"> </w:t>
      </w:r>
      <w:r>
        <w:rPr>
          <w:color w:val="000000"/>
          <w:sz w:val="20"/>
          <w:szCs w:val="20"/>
        </w:rPr>
        <w:t xml:space="preserve">Iamblichus, </w:t>
      </w:r>
      <w:r>
        <w:rPr>
          <w:i/>
          <w:iCs/>
          <w:color w:val="000000"/>
          <w:sz w:val="20"/>
          <w:szCs w:val="20"/>
        </w:rPr>
        <w:t xml:space="preserve">De Mysteriis, </w:t>
      </w:r>
      <w:r>
        <w:rPr>
          <w:color w:val="000000"/>
          <w:sz w:val="20"/>
          <w:szCs w:val="20"/>
        </w:rPr>
        <w:t>III.17</w:t>
      </w:r>
    </w:p>
  </w:footnote>
  <w:footnote w:id="12">
    <w:p w14:paraId="52FF4C55" w14:textId="31E90C2D" w:rsidR="00EA3AB4" w:rsidRPr="00CD19F3" w:rsidRDefault="00EA3AB4" w:rsidP="00CD19F3">
      <w:pPr>
        <w:rPr>
          <w:color w:val="000000"/>
          <w:sz w:val="20"/>
          <w:szCs w:val="20"/>
        </w:rPr>
      </w:pPr>
      <w:r>
        <w:rPr>
          <w:rStyle w:val="FootnoteReference"/>
        </w:rPr>
        <w:footnoteRef/>
      </w:r>
      <w:r>
        <w:t xml:space="preserve"> </w:t>
      </w:r>
      <w:r>
        <w:rPr>
          <w:color w:val="000000"/>
          <w:sz w:val="20"/>
          <w:szCs w:val="20"/>
        </w:rPr>
        <w:t xml:space="preserve">Gregory Shaw, </w:t>
      </w:r>
      <w:r>
        <w:rPr>
          <w:i/>
          <w:iCs/>
          <w:color w:val="000000"/>
          <w:sz w:val="20"/>
          <w:szCs w:val="20"/>
        </w:rPr>
        <w:t>Theurgy and the Soul: The Neoplatonism of Iamblichus</w:t>
      </w:r>
      <w:r>
        <w:rPr>
          <w:color w:val="000000"/>
          <w:sz w:val="20"/>
          <w:szCs w:val="20"/>
        </w:rPr>
        <w:t xml:space="preserve"> (Kettering, OH, Angelico Press, 2014 [1995]), p.17</w:t>
      </w:r>
    </w:p>
  </w:footnote>
  <w:footnote w:id="13">
    <w:p w14:paraId="4FCFFE43" w14:textId="544EB2DB" w:rsidR="00EA3AB4" w:rsidRPr="00301ECC" w:rsidRDefault="00EA3AB4" w:rsidP="00301ECC">
      <w:pPr>
        <w:rPr>
          <w:color w:val="000000"/>
          <w:sz w:val="20"/>
          <w:szCs w:val="20"/>
        </w:rPr>
      </w:pPr>
      <w:r>
        <w:rPr>
          <w:rStyle w:val="FootnoteReference"/>
        </w:rPr>
        <w:footnoteRef/>
      </w:r>
      <w:r>
        <w:t xml:space="preserve"> </w:t>
      </w:r>
      <w:r>
        <w:rPr>
          <w:color w:val="000000"/>
          <w:sz w:val="20"/>
          <w:szCs w:val="20"/>
        </w:rPr>
        <w:t xml:space="preserve">Birger A. Pearson, 'Theurgic Tendencies in Gnosticism and Iamblichus's Conception of Theurgy', in </w:t>
      </w:r>
      <w:r>
        <w:rPr>
          <w:i/>
          <w:iCs/>
          <w:color w:val="000000"/>
          <w:sz w:val="20"/>
          <w:szCs w:val="20"/>
        </w:rPr>
        <w:t xml:space="preserve">Neoplatonism and Gnosticism, </w:t>
      </w:r>
      <w:r>
        <w:rPr>
          <w:color w:val="000000"/>
          <w:sz w:val="20"/>
          <w:szCs w:val="20"/>
        </w:rPr>
        <w:t>ed. By Richard T. Wallis and Jay Bregman (Albany, State University of New York Press, 1992), p. 256</w:t>
      </w:r>
    </w:p>
  </w:footnote>
  <w:footnote w:id="14">
    <w:p w14:paraId="7A83930C" w14:textId="75618C9C" w:rsidR="00EA3AB4" w:rsidRPr="00EF60E2" w:rsidRDefault="00EA3AB4" w:rsidP="00EF60E2">
      <w:pPr>
        <w:rPr>
          <w:color w:val="000000"/>
          <w:sz w:val="20"/>
          <w:szCs w:val="20"/>
        </w:rPr>
      </w:pPr>
      <w:r>
        <w:rPr>
          <w:rStyle w:val="FootnoteReference"/>
        </w:rPr>
        <w:footnoteRef/>
      </w:r>
      <w:r>
        <w:t xml:space="preserve"> </w:t>
      </w:r>
      <w:r>
        <w:rPr>
          <w:color w:val="000000"/>
          <w:sz w:val="20"/>
          <w:szCs w:val="20"/>
        </w:rPr>
        <w:t xml:space="preserve">Nicholas Campion, </w:t>
      </w:r>
      <w:r>
        <w:rPr>
          <w:i/>
          <w:iCs/>
          <w:color w:val="000000"/>
          <w:sz w:val="20"/>
          <w:szCs w:val="20"/>
        </w:rPr>
        <w:t>A History of Western Astrology, Volume 1: The Ancient World</w:t>
      </w:r>
      <w:r>
        <w:rPr>
          <w:color w:val="000000"/>
          <w:sz w:val="20"/>
          <w:szCs w:val="20"/>
        </w:rPr>
        <w:t xml:space="preserve"> (New York and London: Bloomsbury Academic, 2013), p. 264</w:t>
      </w:r>
    </w:p>
  </w:footnote>
  <w:footnote w:id="15">
    <w:p w14:paraId="0E426604" w14:textId="1DC664DF" w:rsidR="00EA3AB4" w:rsidRPr="00EF60E2" w:rsidRDefault="00EA3AB4" w:rsidP="00EF60E2">
      <w:pPr>
        <w:rPr>
          <w:color w:val="000000"/>
          <w:sz w:val="20"/>
          <w:szCs w:val="20"/>
        </w:rPr>
      </w:pPr>
      <w:r>
        <w:rPr>
          <w:rStyle w:val="FootnoteReference"/>
        </w:rPr>
        <w:footnoteRef/>
      </w:r>
      <w:r>
        <w:t xml:space="preserve"> </w:t>
      </w:r>
      <w:r>
        <w:rPr>
          <w:color w:val="000000"/>
          <w:sz w:val="20"/>
          <w:szCs w:val="20"/>
        </w:rPr>
        <w:t xml:space="preserve">Campion, </w:t>
      </w:r>
      <w:r>
        <w:rPr>
          <w:i/>
          <w:iCs/>
          <w:color w:val="000000"/>
          <w:sz w:val="20"/>
          <w:szCs w:val="20"/>
        </w:rPr>
        <w:t>A History of Western Astrology,</w:t>
      </w:r>
      <w:r>
        <w:rPr>
          <w:color w:val="000000"/>
          <w:sz w:val="20"/>
          <w:szCs w:val="20"/>
        </w:rPr>
        <w:t xml:space="preserve"> pp. 264</w:t>
      </w:r>
    </w:p>
  </w:footnote>
  <w:footnote w:id="16">
    <w:p w14:paraId="17A132A3" w14:textId="687BEBF6" w:rsidR="00EA3AB4" w:rsidRPr="00DC4E31" w:rsidRDefault="00EA3AB4" w:rsidP="00DC4E31">
      <w:pPr>
        <w:rPr>
          <w:color w:val="000000"/>
          <w:sz w:val="20"/>
          <w:szCs w:val="20"/>
        </w:rPr>
      </w:pPr>
      <w:r>
        <w:rPr>
          <w:rStyle w:val="FootnoteReference"/>
        </w:rPr>
        <w:footnoteRef/>
      </w:r>
      <w:r>
        <w:t xml:space="preserve"> </w:t>
      </w:r>
      <w:r>
        <w:rPr>
          <w:color w:val="000000"/>
          <w:sz w:val="20"/>
          <w:szCs w:val="20"/>
        </w:rPr>
        <w:t>Athanassiadi, 'Dreams, Theurgy and Freelance Divination', pp. 115, 119</w:t>
      </w:r>
    </w:p>
  </w:footnote>
  <w:footnote w:id="17">
    <w:p w14:paraId="164B0B72" w14:textId="56F90087" w:rsidR="00EA3AB4" w:rsidRDefault="00EA3AB4">
      <w:pPr>
        <w:pStyle w:val="FootnoteText"/>
      </w:pPr>
      <w:r>
        <w:rPr>
          <w:rStyle w:val="FootnoteReference"/>
        </w:rPr>
        <w:footnoteRef/>
      </w:r>
      <w:r>
        <w:t xml:space="preserve"> </w:t>
      </w:r>
      <w:r>
        <w:rPr>
          <w:color w:val="000000"/>
        </w:rPr>
        <w:t xml:space="preserve">Iamblichus, </w:t>
      </w:r>
      <w:r>
        <w:rPr>
          <w:i/>
          <w:iCs/>
          <w:color w:val="000000"/>
        </w:rPr>
        <w:t xml:space="preserve">De Mysteriis, </w:t>
      </w:r>
      <w:r>
        <w:rPr>
          <w:color w:val="000000"/>
        </w:rPr>
        <w:t>III.2-3, 7, 12, 15</w:t>
      </w:r>
      <w:r w:rsidR="00BC7914">
        <w:rPr>
          <w:color w:val="000000"/>
        </w:rPr>
        <w:t>, 20, 28</w:t>
      </w:r>
    </w:p>
  </w:footnote>
  <w:footnote w:id="18">
    <w:p w14:paraId="0574F333" w14:textId="080D976C" w:rsidR="005671F8" w:rsidRDefault="005671F8">
      <w:pPr>
        <w:pStyle w:val="FootnoteText"/>
      </w:pPr>
      <w:r>
        <w:rPr>
          <w:rStyle w:val="FootnoteReference"/>
        </w:rPr>
        <w:footnoteRef/>
      </w:r>
      <w:r>
        <w:t xml:space="preserve"> </w:t>
      </w:r>
      <w:r>
        <w:rPr>
          <w:color w:val="000000"/>
        </w:rPr>
        <w:t xml:space="preserve">Iamblichus, </w:t>
      </w:r>
      <w:r>
        <w:rPr>
          <w:i/>
          <w:iCs/>
          <w:color w:val="000000"/>
        </w:rPr>
        <w:t xml:space="preserve">De Mysteriis, </w:t>
      </w:r>
      <w:r>
        <w:rPr>
          <w:color w:val="000000"/>
        </w:rPr>
        <w:t>V.3-4</w:t>
      </w:r>
    </w:p>
  </w:footnote>
  <w:footnote w:id="19">
    <w:p w14:paraId="1F4B0978" w14:textId="59D954B6" w:rsidR="005671F8" w:rsidRDefault="005671F8">
      <w:pPr>
        <w:pStyle w:val="FootnoteText"/>
      </w:pPr>
      <w:r>
        <w:rPr>
          <w:rStyle w:val="FootnoteReference"/>
        </w:rPr>
        <w:footnoteRef/>
      </w:r>
      <w:r>
        <w:t xml:space="preserve"> </w:t>
      </w:r>
      <w:r>
        <w:rPr>
          <w:color w:val="000000"/>
        </w:rPr>
        <w:t xml:space="preserve">Iamblichus, </w:t>
      </w:r>
      <w:r>
        <w:rPr>
          <w:i/>
          <w:iCs/>
          <w:color w:val="000000"/>
        </w:rPr>
        <w:t xml:space="preserve">De Mysteriis, </w:t>
      </w:r>
      <w:r>
        <w:rPr>
          <w:color w:val="000000"/>
        </w:rPr>
        <w:t>IX.5, X.4</w:t>
      </w:r>
    </w:p>
  </w:footnote>
  <w:footnote w:id="20">
    <w:p w14:paraId="6CB37883" w14:textId="7C990707" w:rsidR="00EA3AB4" w:rsidRPr="007A2A3E" w:rsidRDefault="00EA3AB4" w:rsidP="007A2A3E">
      <w:pPr>
        <w:rPr>
          <w:color w:val="000000"/>
          <w:sz w:val="20"/>
          <w:szCs w:val="20"/>
        </w:rPr>
      </w:pPr>
      <w:r>
        <w:rPr>
          <w:rStyle w:val="FootnoteReference"/>
        </w:rPr>
        <w:footnoteRef/>
      </w:r>
      <w:r>
        <w:t xml:space="preserve"> </w:t>
      </w:r>
      <w:r w:rsidRPr="007A2A3E">
        <w:rPr>
          <w:color w:val="000000"/>
          <w:sz w:val="20"/>
          <w:szCs w:val="20"/>
        </w:rPr>
        <w:t xml:space="preserve">Addey, </w:t>
      </w:r>
      <w:r w:rsidRPr="007A2A3E">
        <w:rPr>
          <w:i/>
          <w:iCs/>
          <w:color w:val="000000"/>
          <w:sz w:val="20"/>
          <w:szCs w:val="20"/>
        </w:rPr>
        <w:t>Divination and Theurgy in Neoplatonism</w:t>
      </w:r>
      <w:r w:rsidRPr="007A2A3E">
        <w:rPr>
          <w:color w:val="000000"/>
          <w:sz w:val="20"/>
          <w:szCs w:val="20"/>
        </w:rPr>
        <w:t xml:space="preserve">, p. </w:t>
      </w:r>
      <w:r>
        <w:rPr>
          <w:color w:val="000000"/>
          <w:sz w:val="20"/>
          <w:szCs w:val="20"/>
        </w:rPr>
        <w:t>128</w:t>
      </w:r>
    </w:p>
  </w:footnote>
  <w:footnote w:id="21">
    <w:p w14:paraId="1D383034" w14:textId="77C9323B" w:rsidR="00EA3AB4" w:rsidRDefault="00EA3AB4">
      <w:pPr>
        <w:pStyle w:val="FootnoteText"/>
      </w:pPr>
      <w:r>
        <w:rPr>
          <w:rStyle w:val="FootnoteReference"/>
        </w:rPr>
        <w:footnoteRef/>
      </w:r>
      <w:r>
        <w:t xml:space="preserve"> </w:t>
      </w:r>
      <w:r w:rsidRPr="007A2A3E">
        <w:rPr>
          <w:color w:val="000000"/>
        </w:rPr>
        <w:t xml:space="preserve">Addey, </w:t>
      </w:r>
      <w:r w:rsidRPr="007A2A3E">
        <w:rPr>
          <w:i/>
          <w:iCs/>
          <w:color w:val="000000"/>
        </w:rPr>
        <w:t>Divination and Theurgy in Neoplatonism</w:t>
      </w:r>
      <w:r w:rsidRPr="007A2A3E">
        <w:rPr>
          <w:color w:val="000000"/>
        </w:rPr>
        <w:t xml:space="preserve">, pp. </w:t>
      </w:r>
      <w:r>
        <w:rPr>
          <w:color w:val="000000"/>
        </w:rPr>
        <w:t>131-133</w:t>
      </w:r>
    </w:p>
  </w:footnote>
  <w:footnote w:id="22">
    <w:p w14:paraId="3333EFF3" w14:textId="79B6E857" w:rsidR="00EA3AB4" w:rsidRDefault="00EA3AB4">
      <w:pPr>
        <w:pStyle w:val="FootnoteText"/>
      </w:pPr>
      <w:r>
        <w:rPr>
          <w:rStyle w:val="FootnoteReference"/>
        </w:rPr>
        <w:footnoteRef/>
      </w:r>
      <w:r>
        <w:t xml:space="preserve"> </w:t>
      </w:r>
      <w:r w:rsidRPr="007A2A3E">
        <w:rPr>
          <w:color w:val="000000"/>
        </w:rPr>
        <w:t xml:space="preserve">Addey, </w:t>
      </w:r>
      <w:r w:rsidRPr="007A2A3E">
        <w:rPr>
          <w:i/>
          <w:iCs/>
          <w:color w:val="000000"/>
        </w:rPr>
        <w:t>Divination and Theurgy in Neoplatonism</w:t>
      </w:r>
      <w:r w:rsidRPr="007A2A3E">
        <w:rPr>
          <w:color w:val="000000"/>
        </w:rPr>
        <w:t xml:space="preserve">, pp. </w:t>
      </w:r>
      <w:r>
        <w:rPr>
          <w:color w:val="000000"/>
        </w:rPr>
        <w:t>133-134</w:t>
      </w:r>
    </w:p>
  </w:footnote>
  <w:footnote w:id="23">
    <w:p w14:paraId="087E6539" w14:textId="08716EDE" w:rsidR="00EA3AB4" w:rsidRPr="006928F5" w:rsidRDefault="00EA3AB4" w:rsidP="006928F5">
      <w:pPr>
        <w:rPr>
          <w:color w:val="000000"/>
          <w:sz w:val="20"/>
          <w:szCs w:val="20"/>
        </w:rPr>
      </w:pPr>
      <w:r>
        <w:rPr>
          <w:rStyle w:val="FootnoteReference"/>
        </w:rPr>
        <w:footnoteRef/>
      </w:r>
      <w:r>
        <w:t xml:space="preserve"> </w:t>
      </w:r>
      <w:r>
        <w:rPr>
          <w:color w:val="000000"/>
          <w:sz w:val="20"/>
          <w:szCs w:val="20"/>
        </w:rPr>
        <w:t xml:space="preserve">Iamblichus, </w:t>
      </w:r>
      <w:r>
        <w:rPr>
          <w:i/>
          <w:iCs/>
          <w:color w:val="000000"/>
          <w:sz w:val="20"/>
          <w:szCs w:val="20"/>
        </w:rPr>
        <w:t xml:space="preserve">De Mysteriis, </w:t>
      </w:r>
      <w:r>
        <w:rPr>
          <w:color w:val="000000"/>
          <w:sz w:val="20"/>
          <w:szCs w:val="20"/>
        </w:rPr>
        <w:t>III, and Athanassiadi, 'Dreams, Theurgy and Freelance Divination', p. 119</w:t>
      </w:r>
    </w:p>
  </w:footnote>
  <w:footnote w:id="24">
    <w:p w14:paraId="4EBE1981" w14:textId="77777777" w:rsidR="00EA3AB4" w:rsidRPr="00D5157E" w:rsidRDefault="00EA3AB4" w:rsidP="007E0D9C">
      <w:pPr>
        <w:rPr>
          <w:color w:val="000000"/>
          <w:sz w:val="20"/>
          <w:szCs w:val="20"/>
        </w:rPr>
      </w:pPr>
      <w:r>
        <w:rPr>
          <w:rStyle w:val="FootnoteReference"/>
        </w:rPr>
        <w:footnoteRef/>
      </w:r>
      <w:r>
        <w:t xml:space="preserve"> </w:t>
      </w:r>
      <w:r>
        <w:rPr>
          <w:color w:val="000000"/>
          <w:sz w:val="20"/>
          <w:szCs w:val="20"/>
        </w:rPr>
        <w:t xml:space="preserve">Addey, </w:t>
      </w:r>
      <w:r>
        <w:rPr>
          <w:i/>
          <w:iCs/>
          <w:color w:val="000000"/>
          <w:sz w:val="20"/>
          <w:szCs w:val="20"/>
        </w:rPr>
        <w:t>Divination and Theurgy in Neoplatonism</w:t>
      </w:r>
      <w:r>
        <w:rPr>
          <w:color w:val="000000"/>
          <w:sz w:val="20"/>
          <w:szCs w:val="20"/>
        </w:rPr>
        <w:t>, p. 141</w:t>
      </w:r>
    </w:p>
  </w:footnote>
  <w:footnote w:id="25">
    <w:p w14:paraId="0C1CE034" w14:textId="042C7DB3" w:rsidR="00EA3AB4" w:rsidRDefault="00EA3AB4">
      <w:pPr>
        <w:pStyle w:val="FootnoteText"/>
      </w:pPr>
      <w:r>
        <w:rPr>
          <w:rStyle w:val="FootnoteReference"/>
        </w:rPr>
        <w:footnoteRef/>
      </w:r>
      <w:r>
        <w:t xml:space="preserve"> </w:t>
      </w:r>
      <w:r>
        <w:rPr>
          <w:color w:val="000000"/>
        </w:rPr>
        <w:t xml:space="preserve">Iamblichus, </w:t>
      </w:r>
      <w:r>
        <w:rPr>
          <w:i/>
          <w:iCs/>
          <w:color w:val="000000"/>
        </w:rPr>
        <w:t xml:space="preserve">De Mysteriis, </w:t>
      </w:r>
      <w:r>
        <w:rPr>
          <w:color w:val="000000"/>
        </w:rPr>
        <w:t>I.2</w:t>
      </w:r>
    </w:p>
  </w:footnote>
  <w:footnote w:id="26">
    <w:p w14:paraId="599A28BE" w14:textId="086332D3" w:rsidR="00EA3AB4" w:rsidRDefault="00EA3AB4">
      <w:pPr>
        <w:pStyle w:val="FootnoteText"/>
      </w:pPr>
      <w:r>
        <w:rPr>
          <w:rStyle w:val="FootnoteReference"/>
        </w:rPr>
        <w:footnoteRef/>
      </w:r>
      <w:r>
        <w:t xml:space="preserve"> </w:t>
      </w:r>
      <w:r>
        <w:rPr>
          <w:color w:val="000000"/>
        </w:rPr>
        <w:t>Athanassiadi, 'Dreams, Theurgy and Freelance Divination', p. 119</w:t>
      </w:r>
    </w:p>
  </w:footnote>
  <w:footnote w:id="27">
    <w:p w14:paraId="47716906" w14:textId="6FDCD533" w:rsidR="00EA3AB4" w:rsidRPr="00756DD9" w:rsidRDefault="00EA3AB4" w:rsidP="00756DD9">
      <w:pPr>
        <w:rPr>
          <w:color w:val="000000"/>
          <w:sz w:val="20"/>
          <w:szCs w:val="20"/>
        </w:rPr>
      </w:pPr>
      <w:r>
        <w:rPr>
          <w:rStyle w:val="FootnoteReference"/>
        </w:rPr>
        <w:footnoteRef/>
      </w:r>
      <w:r>
        <w:t xml:space="preserve"> </w:t>
      </w:r>
      <w:r>
        <w:rPr>
          <w:color w:val="000000"/>
          <w:sz w:val="20"/>
          <w:szCs w:val="20"/>
        </w:rPr>
        <w:t xml:space="preserve">Jeremy Schott, 'Philosophies of Language, Theories of Translation, and Imperial Intellectual Production: The Cases of Porphyry, Iamblichus, and Eusebius', </w:t>
      </w:r>
      <w:r>
        <w:rPr>
          <w:i/>
          <w:iCs/>
          <w:color w:val="000000"/>
          <w:sz w:val="20"/>
          <w:szCs w:val="20"/>
        </w:rPr>
        <w:t>Church History</w:t>
      </w:r>
      <w:r>
        <w:rPr>
          <w:color w:val="000000"/>
          <w:sz w:val="20"/>
          <w:szCs w:val="20"/>
        </w:rPr>
        <w:t>, vol. 78, no. 4 (2009), p. 856</w:t>
      </w:r>
    </w:p>
  </w:footnote>
  <w:footnote w:id="28">
    <w:p w14:paraId="76A08AF4" w14:textId="5BF3E702" w:rsidR="00EA3AB4" w:rsidRDefault="00EA3AB4">
      <w:pPr>
        <w:pStyle w:val="FootnoteText"/>
      </w:pPr>
      <w:r>
        <w:rPr>
          <w:rStyle w:val="FootnoteReference"/>
        </w:rPr>
        <w:footnoteRef/>
      </w:r>
      <w:r>
        <w:t xml:space="preserve"> </w:t>
      </w:r>
      <w:r>
        <w:rPr>
          <w:color w:val="000000"/>
        </w:rPr>
        <w:t xml:space="preserve">Iamblichus, </w:t>
      </w:r>
      <w:r>
        <w:rPr>
          <w:i/>
          <w:iCs/>
          <w:color w:val="000000"/>
        </w:rPr>
        <w:t xml:space="preserve">De Mysteriis </w:t>
      </w:r>
      <w:r>
        <w:rPr>
          <w:color w:val="000000"/>
        </w:rPr>
        <w:t>III.17.140</w:t>
      </w:r>
    </w:p>
  </w:footnote>
  <w:footnote w:id="29">
    <w:p w14:paraId="0FC3EE92" w14:textId="425B941B" w:rsidR="00EA3AB4" w:rsidRPr="00C14D1F" w:rsidRDefault="00EA3AB4" w:rsidP="00C14D1F">
      <w:pPr>
        <w:rPr>
          <w:color w:val="000000"/>
          <w:sz w:val="20"/>
          <w:szCs w:val="20"/>
        </w:rPr>
      </w:pPr>
      <w:r>
        <w:rPr>
          <w:rStyle w:val="FootnoteReference"/>
        </w:rPr>
        <w:footnoteRef/>
      </w:r>
      <w:r>
        <w:t xml:space="preserve"> </w:t>
      </w:r>
      <w:r>
        <w:rPr>
          <w:color w:val="000000"/>
          <w:sz w:val="20"/>
          <w:szCs w:val="20"/>
        </w:rPr>
        <w:t xml:space="preserve">Iamblichus, </w:t>
      </w:r>
      <w:r>
        <w:rPr>
          <w:i/>
          <w:iCs/>
          <w:color w:val="000000"/>
          <w:sz w:val="20"/>
          <w:szCs w:val="20"/>
        </w:rPr>
        <w:t xml:space="preserve">De Mysteriis </w:t>
      </w:r>
      <w:r>
        <w:rPr>
          <w:color w:val="000000"/>
          <w:sz w:val="20"/>
          <w:szCs w:val="20"/>
        </w:rPr>
        <w:t>III.28</w:t>
      </w:r>
    </w:p>
  </w:footnote>
  <w:footnote w:id="30">
    <w:p w14:paraId="6C2E8D47" w14:textId="74DF90AA" w:rsidR="00EA3AB4" w:rsidRDefault="00EA3AB4">
      <w:pPr>
        <w:pStyle w:val="FootnoteText"/>
      </w:pPr>
      <w:r>
        <w:rPr>
          <w:rStyle w:val="FootnoteReference"/>
        </w:rPr>
        <w:footnoteRef/>
      </w:r>
      <w:r>
        <w:t xml:space="preserve"> </w:t>
      </w:r>
      <w:r>
        <w:rPr>
          <w:color w:val="000000"/>
        </w:rPr>
        <w:t>Clarke et al, 'Introduction', pp. xlix</w:t>
      </w:r>
    </w:p>
  </w:footnote>
  <w:footnote w:id="31">
    <w:p w14:paraId="726A0292" w14:textId="387B0765" w:rsidR="00EA3AB4" w:rsidRPr="00B9000D" w:rsidRDefault="00EA3AB4" w:rsidP="00B9000D">
      <w:pPr>
        <w:rPr>
          <w:color w:val="000000"/>
          <w:sz w:val="20"/>
          <w:szCs w:val="20"/>
        </w:rPr>
      </w:pPr>
      <w:r>
        <w:rPr>
          <w:rStyle w:val="FootnoteReference"/>
        </w:rPr>
        <w:footnoteRef/>
      </w:r>
      <w:r>
        <w:t xml:space="preserve"> </w:t>
      </w:r>
      <w:r>
        <w:rPr>
          <w:color w:val="000000"/>
          <w:sz w:val="20"/>
          <w:szCs w:val="20"/>
        </w:rPr>
        <w:t xml:space="preserve">Iamblichus, </w:t>
      </w:r>
      <w:r>
        <w:rPr>
          <w:i/>
          <w:iCs/>
          <w:color w:val="000000"/>
          <w:sz w:val="20"/>
          <w:szCs w:val="20"/>
        </w:rPr>
        <w:t xml:space="preserve">De Mysteriis, </w:t>
      </w:r>
      <w:r>
        <w:rPr>
          <w:color w:val="000000"/>
          <w:sz w:val="20"/>
          <w:szCs w:val="20"/>
        </w:rPr>
        <w:t>I.1.5</w:t>
      </w:r>
    </w:p>
  </w:footnote>
  <w:footnote w:id="32">
    <w:p w14:paraId="2E4F4F6A" w14:textId="026FAD16" w:rsidR="00EA3AB4" w:rsidRPr="009B3FBE" w:rsidRDefault="00EA3AB4" w:rsidP="009B3FBE">
      <w:pPr>
        <w:rPr>
          <w:color w:val="000000"/>
          <w:sz w:val="20"/>
          <w:szCs w:val="20"/>
        </w:rPr>
      </w:pPr>
      <w:r>
        <w:rPr>
          <w:rStyle w:val="FootnoteReference"/>
        </w:rPr>
        <w:footnoteRef/>
      </w:r>
      <w:r>
        <w:t xml:space="preserve"> </w:t>
      </w:r>
      <w:r>
        <w:rPr>
          <w:color w:val="000000"/>
          <w:sz w:val="20"/>
          <w:szCs w:val="20"/>
        </w:rPr>
        <w:t xml:space="preserve">Clarke et al, 'Introduction', pp. xx, xxxviii, </w:t>
      </w:r>
      <w:r w:rsidRPr="009842A0">
        <w:rPr>
          <w:color w:val="000000"/>
          <w:sz w:val="20"/>
          <w:szCs w:val="20"/>
        </w:rPr>
        <w:t>xlix</w:t>
      </w:r>
      <w:r>
        <w:rPr>
          <w:color w:val="000000"/>
          <w:sz w:val="20"/>
          <w:szCs w:val="20"/>
        </w:rPr>
        <w:t xml:space="preserve"> </w:t>
      </w:r>
    </w:p>
  </w:footnote>
  <w:footnote w:id="33">
    <w:p w14:paraId="4D757AE6" w14:textId="3F114C7B" w:rsidR="00EA3AB4" w:rsidRPr="005847C8" w:rsidRDefault="00EA3AB4" w:rsidP="005847C8">
      <w:pPr>
        <w:rPr>
          <w:color w:val="000000"/>
          <w:sz w:val="20"/>
          <w:szCs w:val="20"/>
        </w:rPr>
      </w:pPr>
      <w:r>
        <w:rPr>
          <w:rStyle w:val="FootnoteReference"/>
        </w:rPr>
        <w:footnoteRef/>
      </w:r>
      <w:r>
        <w:t xml:space="preserve"> </w:t>
      </w:r>
      <w:r>
        <w:rPr>
          <w:color w:val="000000"/>
          <w:sz w:val="20"/>
          <w:szCs w:val="20"/>
        </w:rPr>
        <w:t>Addey, 'Oracles, Dreams and Astrology in Iamblichus' De Mysteriis', p. 36</w:t>
      </w:r>
    </w:p>
  </w:footnote>
  <w:footnote w:id="34">
    <w:p w14:paraId="235BF1C6" w14:textId="653B61D2" w:rsidR="00EA3AB4" w:rsidRPr="00787E7D" w:rsidRDefault="00EA3AB4" w:rsidP="00787E7D">
      <w:pPr>
        <w:rPr>
          <w:color w:val="000000"/>
          <w:sz w:val="20"/>
          <w:szCs w:val="20"/>
        </w:rPr>
      </w:pPr>
      <w:r>
        <w:rPr>
          <w:rStyle w:val="FootnoteReference"/>
        </w:rPr>
        <w:footnoteRef/>
      </w:r>
      <w:r>
        <w:t xml:space="preserve"> </w:t>
      </w:r>
      <w:r>
        <w:rPr>
          <w:color w:val="000000"/>
          <w:sz w:val="20"/>
          <w:szCs w:val="20"/>
        </w:rPr>
        <w:t xml:space="preserve">Iamblichus, </w:t>
      </w:r>
      <w:r>
        <w:rPr>
          <w:i/>
          <w:iCs/>
          <w:color w:val="000000"/>
          <w:sz w:val="20"/>
          <w:szCs w:val="20"/>
        </w:rPr>
        <w:t xml:space="preserve">De Mysteriis </w:t>
      </w:r>
      <w:r>
        <w:rPr>
          <w:color w:val="000000"/>
          <w:sz w:val="20"/>
          <w:szCs w:val="20"/>
        </w:rPr>
        <w:t>III.2.103</w:t>
      </w:r>
    </w:p>
  </w:footnote>
  <w:footnote w:id="35">
    <w:p w14:paraId="284ED78B" w14:textId="3DB9A8D4" w:rsidR="00EA3AB4" w:rsidRDefault="00EA3AB4">
      <w:pPr>
        <w:pStyle w:val="FootnoteText"/>
      </w:pPr>
      <w:r>
        <w:rPr>
          <w:rStyle w:val="FootnoteReference"/>
        </w:rPr>
        <w:footnoteRef/>
      </w:r>
      <w:r>
        <w:t xml:space="preserve"> </w:t>
      </w:r>
      <w:r>
        <w:rPr>
          <w:color w:val="000000"/>
        </w:rPr>
        <w:t xml:space="preserve">Iamblichus, </w:t>
      </w:r>
      <w:r>
        <w:rPr>
          <w:i/>
          <w:iCs/>
          <w:color w:val="000000"/>
        </w:rPr>
        <w:t xml:space="preserve">De Mysteriis </w:t>
      </w:r>
      <w:r>
        <w:rPr>
          <w:color w:val="000000"/>
        </w:rPr>
        <w:t>III.2.103-105</w:t>
      </w:r>
    </w:p>
  </w:footnote>
  <w:footnote w:id="36">
    <w:p w14:paraId="6A659C5F" w14:textId="0EAB3BE6" w:rsidR="00EA3AB4" w:rsidRPr="004C4FE3" w:rsidRDefault="00EA3AB4" w:rsidP="004C4FE3">
      <w:pPr>
        <w:rPr>
          <w:color w:val="000000"/>
          <w:sz w:val="20"/>
          <w:szCs w:val="20"/>
        </w:rPr>
      </w:pPr>
      <w:r>
        <w:rPr>
          <w:rStyle w:val="FootnoteReference"/>
        </w:rPr>
        <w:footnoteRef/>
      </w:r>
      <w:r>
        <w:t xml:space="preserve"> </w:t>
      </w:r>
      <w:r w:rsidRPr="004C4FE3">
        <w:rPr>
          <w:color w:val="000000"/>
          <w:sz w:val="20"/>
          <w:szCs w:val="20"/>
        </w:rPr>
        <w:t xml:space="preserve">Nicholas Campion, </w:t>
      </w:r>
      <w:r w:rsidRPr="004C4FE3">
        <w:rPr>
          <w:i/>
          <w:iCs/>
          <w:color w:val="000000"/>
          <w:sz w:val="20"/>
          <w:szCs w:val="20"/>
        </w:rPr>
        <w:t>A History of Western Astrology, Volume 1: The Ancient World</w:t>
      </w:r>
      <w:r w:rsidRPr="004C4FE3">
        <w:rPr>
          <w:color w:val="000000"/>
          <w:sz w:val="20"/>
          <w:szCs w:val="20"/>
        </w:rPr>
        <w:t xml:space="preserve"> (New York and London: Bloomsbury Academic, 2013), pp. 2</w:t>
      </w:r>
      <w:r>
        <w:rPr>
          <w:color w:val="000000"/>
          <w:sz w:val="20"/>
          <w:szCs w:val="20"/>
        </w:rPr>
        <w:t>64</w:t>
      </w:r>
    </w:p>
  </w:footnote>
  <w:footnote w:id="37">
    <w:p w14:paraId="50534101" w14:textId="3D79AC62" w:rsidR="00EA3AB4" w:rsidRDefault="00EA3AB4">
      <w:pPr>
        <w:pStyle w:val="FootnoteText"/>
      </w:pPr>
      <w:r>
        <w:rPr>
          <w:rStyle w:val="FootnoteReference"/>
        </w:rPr>
        <w:footnoteRef/>
      </w:r>
      <w:r>
        <w:t xml:space="preserve"> </w:t>
      </w:r>
      <w:r w:rsidRPr="004C4FE3">
        <w:rPr>
          <w:color w:val="000000"/>
        </w:rPr>
        <w:t xml:space="preserve">Iamblichus, </w:t>
      </w:r>
      <w:r w:rsidRPr="004C4FE3">
        <w:rPr>
          <w:i/>
          <w:iCs/>
          <w:color w:val="000000"/>
        </w:rPr>
        <w:t xml:space="preserve">De Mysteriis, </w:t>
      </w:r>
      <w:r>
        <w:rPr>
          <w:color w:val="000000"/>
        </w:rPr>
        <w:t>III.20</w:t>
      </w:r>
    </w:p>
  </w:footnote>
  <w:footnote w:id="38">
    <w:p w14:paraId="431A3A27" w14:textId="43A6E9BE" w:rsidR="00EA3AB4" w:rsidRPr="004C4FE3" w:rsidRDefault="00EA3AB4" w:rsidP="004C4FE3">
      <w:pPr>
        <w:rPr>
          <w:color w:val="000000"/>
          <w:sz w:val="20"/>
          <w:szCs w:val="20"/>
        </w:rPr>
      </w:pPr>
      <w:r>
        <w:rPr>
          <w:rStyle w:val="FootnoteReference"/>
        </w:rPr>
        <w:footnoteRef/>
      </w:r>
      <w:r>
        <w:t xml:space="preserve"> </w:t>
      </w:r>
      <w:r w:rsidRPr="004C4FE3">
        <w:rPr>
          <w:color w:val="000000"/>
          <w:sz w:val="20"/>
          <w:szCs w:val="20"/>
        </w:rPr>
        <w:t xml:space="preserve">Iamblichus, </w:t>
      </w:r>
      <w:r w:rsidRPr="004C4FE3">
        <w:rPr>
          <w:i/>
          <w:iCs/>
          <w:color w:val="000000"/>
          <w:sz w:val="20"/>
          <w:szCs w:val="20"/>
        </w:rPr>
        <w:t xml:space="preserve">De Mysteriis, </w:t>
      </w:r>
      <w:r>
        <w:rPr>
          <w:color w:val="000000"/>
          <w:sz w:val="20"/>
          <w:szCs w:val="20"/>
        </w:rPr>
        <w:t>X.4</w:t>
      </w:r>
    </w:p>
  </w:footnote>
  <w:footnote w:id="39">
    <w:p w14:paraId="34843522" w14:textId="3D559569" w:rsidR="00EA3AB4" w:rsidRPr="004C4FE3" w:rsidRDefault="00EA3AB4" w:rsidP="004C4FE3">
      <w:pPr>
        <w:rPr>
          <w:color w:val="000000"/>
          <w:sz w:val="20"/>
          <w:szCs w:val="20"/>
        </w:rPr>
      </w:pPr>
      <w:r>
        <w:rPr>
          <w:rStyle w:val="FootnoteReference"/>
        </w:rPr>
        <w:footnoteRef/>
      </w:r>
      <w:r>
        <w:t xml:space="preserve"> </w:t>
      </w:r>
      <w:r w:rsidRPr="004C4FE3">
        <w:rPr>
          <w:color w:val="000000"/>
          <w:sz w:val="20"/>
          <w:szCs w:val="20"/>
        </w:rPr>
        <w:t xml:space="preserve">Gregory Shaw, </w:t>
      </w:r>
      <w:r w:rsidRPr="004C4FE3">
        <w:rPr>
          <w:i/>
          <w:iCs/>
          <w:color w:val="000000"/>
          <w:sz w:val="20"/>
          <w:szCs w:val="20"/>
        </w:rPr>
        <w:t>Theurgy and the Soul: The Neoplatonism of Iamblichus</w:t>
      </w:r>
      <w:r w:rsidRPr="004C4FE3">
        <w:rPr>
          <w:color w:val="000000"/>
          <w:sz w:val="20"/>
          <w:szCs w:val="20"/>
        </w:rPr>
        <w:t xml:space="preserve"> (Kettering, OH, Angelico Press, 2014 [1995]), p</w:t>
      </w:r>
      <w:r>
        <w:rPr>
          <w:color w:val="000000"/>
          <w:sz w:val="20"/>
          <w:szCs w:val="20"/>
        </w:rPr>
        <w:t>p. 16-17</w:t>
      </w:r>
    </w:p>
  </w:footnote>
  <w:footnote w:id="40">
    <w:p w14:paraId="5485B34D" w14:textId="3CB5D8F1" w:rsidR="00EA3AB4" w:rsidRPr="00E034AB" w:rsidRDefault="00EA3AB4" w:rsidP="00E034AB">
      <w:pPr>
        <w:rPr>
          <w:color w:val="000000"/>
          <w:sz w:val="20"/>
          <w:szCs w:val="20"/>
        </w:rPr>
      </w:pPr>
      <w:r>
        <w:rPr>
          <w:rStyle w:val="FootnoteReference"/>
        </w:rPr>
        <w:footnoteRef/>
      </w:r>
      <w:r>
        <w:t xml:space="preserve"> </w:t>
      </w:r>
      <w:r w:rsidRPr="00E034AB">
        <w:rPr>
          <w:color w:val="000000"/>
          <w:sz w:val="20"/>
          <w:szCs w:val="20"/>
        </w:rPr>
        <w:t xml:space="preserve">Addey, 'Oracles, Dreams and Astrology in Iamblichus' De Mysteriis', p. </w:t>
      </w:r>
      <w:r>
        <w:rPr>
          <w:color w:val="000000"/>
          <w:sz w:val="20"/>
          <w:szCs w:val="20"/>
        </w:rPr>
        <w:t>40</w:t>
      </w:r>
    </w:p>
  </w:footnote>
  <w:footnote w:id="41">
    <w:p w14:paraId="2B091CD1" w14:textId="48140432" w:rsidR="00EA3AB4" w:rsidRPr="00E935B0" w:rsidRDefault="00EA3AB4" w:rsidP="00E935B0">
      <w:pPr>
        <w:rPr>
          <w:color w:val="000000"/>
          <w:sz w:val="20"/>
          <w:szCs w:val="20"/>
        </w:rPr>
      </w:pPr>
      <w:r>
        <w:rPr>
          <w:rStyle w:val="FootnoteReference"/>
        </w:rPr>
        <w:footnoteRef/>
      </w:r>
      <w:r>
        <w:t xml:space="preserve"> </w:t>
      </w:r>
      <w:r w:rsidRPr="00C35213">
        <w:rPr>
          <w:sz w:val="20"/>
          <w:szCs w:val="20"/>
        </w:rPr>
        <w:t xml:space="preserve">Clarke et al, 'Introduction', pp. </w:t>
      </w:r>
      <w:r>
        <w:rPr>
          <w:sz w:val="20"/>
          <w:szCs w:val="20"/>
        </w:rPr>
        <w:t>xxvii-xxviii, xxxi</w:t>
      </w:r>
      <w:r w:rsidRPr="00C35213">
        <w:rPr>
          <w:sz w:val="20"/>
          <w:szCs w:val="20"/>
        </w:rPr>
        <w:t xml:space="preserve"> and </w:t>
      </w:r>
      <w:r w:rsidRPr="00C35213">
        <w:rPr>
          <w:color w:val="000000"/>
          <w:sz w:val="20"/>
          <w:szCs w:val="20"/>
        </w:rPr>
        <w:t>Schott</w:t>
      </w:r>
      <w:r w:rsidRPr="00E935B0">
        <w:rPr>
          <w:color w:val="000000"/>
          <w:sz w:val="20"/>
          <w:szCs w:val="20"/>
        </w:rPr>
        <w:t>, 'Philosophies of Language, Theories of Translation', p. 85</w:t>
      </w:r>
      <w:r>
        <w:rPr>
          <w:color w:val="000000"/>
          <w:sz w:val="20"/>
          <w:szCs w:val="20"/>
        </w:rPr>
        <w:t>6</w:t>
      </w:r>
    </w:p>
  </w:footnote>
  <w:footnote w:id="42">
    <w:p w14:paraId="752238F6" w14:textId="52D287F7" w:rsidR="00EA3AB4" w:rsidRPr="00FE2E14" w:rsidRDefault="00EA3AB4" w:rsidP="00FE2E14">
      <w:pPr>
        <w:rPr>
          <w:color w:val="000000"/>
          <w:sz w:val="20"/>
          <w:szCs w:val="20"/>
        </w:rPr>
      </w:pPr>
      <w:r>
        <w:rPr>
          <w:rStyle w:val="FootnoteReference"/>
        </w:rPr>
        <w:footnoteRef/>
      </w:r>
      <w:r>
        <w:t xml:space="preserve"> </w:t>
      </w:r>
      <w:r>
        <w:rPr>
          <w:color w:val="000000"/>
          <w:sz w:val="20"/>
          <w:szCs w:val="20"/>
        </w:rPr>
        <w:t xml:space="preserve">Campion, </w:t>
      </w:r>
      <w:r>
        <w:rPr>
          <w:i/>
          <w:iCs/>
          <w:color w:val="000000"/>
          <w:sz w:val="20"/>
          <w:szCs w:val="20"/>
        </w:rPr>
        <w:t>A History of Western Astrology,</w:t>
      </w:r>
      <w:r>
        <w:rPr>
          <w:color w:val="000000"/>
          <w:sz w:val="20"/>
          <w:szCs w:val="20"/>
        </w:rPr>
        <w:t xml:space="preserve"> p. 265</w:t>
      </w:r>
    </w:p>
  </w:footnote>
  <w:footnote w:id="43">
    <w:p w14:paraId="7240F8AA" w14:textId="77CE6150" w:rsidR="00EA3AB4" w:rsidRPr="00FE0CFB" w:rsidRDefault="00EA3AB4" w:rsidP="004111ED">
      <w:pPr>
        <w:rPr>
          <w:color w:val="000000"/>
          <w:sz w:val="20"/>
          <w:szCs w:val="20"/>
        </w:rPr>
      </w:pPr>
      <w:r>
        <w:rPr>
          <w:rStyle w:val="FootnoteReference"/>
        </w:rPr>
        <w:footnoteRef/>
      </w:r>
      <w:r>
        <w:t xml:space="preserve"> </w:t>
      </w:r>
      <w:r w:rsidRPr="00A317FE">
        <w:rPr>
          <w:color w:val="000000"/>
          <w:sz w:val="20"/>
          <w:szCs w:val="20"/>
        </w:rPr>
        <w:t xml:space="preserve">Iamblichus, </w:t>
      </w:r>
      <w:r w:rsidRPr="00A317FE">
        <w:rPr>
          <w:i/>
          <w:iCs/>
          <w:color w:val="000000"/>
          <w:sz w:val="20"/>
          <w:szCs w:val="20"/>
        </w:rPr>
        <w:t>De Mysteriis</w:t>
      </w:r>
    </w:p>
  </w:footnote>
  <w:footnote w:id="44">
    <w:p w14:paraId="770D2141" w14:textId="68F9E5B6" w:rsidR="00EA3AB4" w:rsidRDefault="00EA3AB4">
      <w:pPr>
        <w:pStyle w:val="FootnoteText"/>
      </w:pPr>
      <w:r>
        <w:rPr>
          <w:rStyle w:val="FootnoteReference"/>
        </w:rPr>
        <w:footnoteRef/>
      </w:r>
      <w:r>
        <w:t xml:space="preserve"> </w:t>
      </w:r>
      <w:r w:rsidRPr="007A2A3E">
        <w:rPr>
          <w:color w:val="000000"/>
        </w:rPr>
        <w:t xml:space="preserve">Addey, </w:t>
      </w:r>
      <w:r w:rsidRPr="007A2A3E">
        <w:rPr>
          <w:i/>
          <w:iCs/>
          <w:color w:val="000000"/>
        </w:rPr>
        <w:t>Divination and Theurgy in Neoplatonism</w:t>
      </w:r>
      <w:r w:rsidRPr="007A2A3E">
        <w:rPr>
          <w:color w:val="000000"/>
        </w:rPr>
        <w:t xml:space="preserve">, pp. </w:t>
      </w:r>
      <w:r>
        <w:rPr>
          <w:color w:val="000000"/>
        </w:rPr>
        <w:t>128-134</w:t>
      </w:r>
    </w:p>
  </w:footnote>
  <w:footnote w:id="45">
    <w:p w14:paraId="6CE55A1B" w14:textId="77777777" w:rsidR="00EA3AB4" w:rsidRDefault="00EA3AB4" w:rsidP="00EF07BD">
      <w:pPr>
        <w:pStyle w:val="FootnoteText"/>
      </w:pPr>
      <w:r>
        <w:rPr>
          <w:rStyle w:val="FootnoteReference"/>
        </w:rPr>
        <w:footnoteRef/>
      </w:r>
      <w:r>
        <w:t xml:space="preserve"> </w:t>
      </w:r>
      <w:r>
        <w:rPr>
          <w:color w:val="000000"/>
        </w:rPr>
        <w:t xml:space="preserve">Iamblichus, </w:t>
      </w:r>
      <w:r>
        <w:rPr>
          <w:i/>
          <w:iCs/>
          <w:color w:val="000000"/>
        </w:rPr>
        <w:t xml:space="preserve">De Mysteriis </w:t>
      </w:r>
      <w:r>
        <w:rPr>
          <w:color w:val="000000"/>
        </w:rPr>
        <w:t>III.17.140</w:t>
      </w:r>
    </w:p>
  </w:footnote>
  <w:footnote w:id="46">
    <w:p w14:paraId="70D73D8B" w14:textId="77777777" w:rsidR="00EA3AB4" w:rsidRPr="00B9000D" w:rsidRDefault="00EA3AB4" w:rsidP="0006604F">
      <w:pPr>
        <w:rPr>
          <w:color w:val="000000"/>
          <w:sz w:val="20"/>
          <w:szCs w:val="20"/>
        </w:rPr>
      </w:pPr>
      <w:r>
        <w:rPr>
          <w:rStyle w:val="FootnoteReference"/>
        </w:rPr>
        <w:footnoteRef/>
      </w:r>
      <w:r>
        <w:t xml:space="preserve"> </w:t>
      </w:r>
      <w:r>
        <w:rPr>
          <w:color w:val="000000"/>
          <w:sz w:val="20"/>
          <w:szCs w:val="20"/>
        </w:rPr>
        <w:t xml:space="preserve">Iamblichus, </w:t>
      </w:r>
      <w:r>
        <w:rPr>
          <w:i/>
          <w:iCs/>
          <w:color w:val="000000"/>
          <w:sz w:val="20"/>
          <w:szCs w:val="20"/>
        </w:rPr>
        <w:t xml:space="preserve">De Mysteriis, </w:t>
      </w:r>
      <w:r>
        <w:rPr>
          <w:color w:val="000000"/>
          <w:sz w:val="20"/>
          <w:szCs w:val="20"/>
        </w:rPr>
        <w:t>I.1.5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9772446"/>
      <w:docPartObj>
        <w:docPartGallery w:val="Page Numbers (Top of Page)"/>
        <w:docPartUnique/>
      </w:docPartObj>
    </w:sdtPr>
    <w:sdtContent>
      <w:p w14:paraId="3A965534" w14:textId="77777777" w:rsidR="00EA3AB4" w:rsidRDefault="00EA3AB4" w:rsidP="00BD3C2D">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44F74E0" w14:textId="77777777" w:rsidR="00EA3AB4" w:rsidRDefault="00EA3AB4" w:rsidP="003F6996">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05884791"/>
      <w:docPartObj>
        <w:docPartGallery w:val="Page Numbers (Top of Page)"/>
        <w:docPartUnique/>
      </w:docPartObj>
    </w:sdtPr>
    <w:sdtContent>
      <w:p w14:paraId="23140299" w14:textId="77777777" w:rsidR="00EA3AB4" w:rsidRDefault="00EA3AB4" w:rsidP="00BD3C2D">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1B46F10" w14:textId="77777777" w:rsidR="00EA3AB4" w:rsidRPr="003F6996" w:rsidRDefault="00EA3AB4" w:rsidP="003F6996">
    <w:pPr>
      <w:pStyle w:val="Header"/>
      <w:tabs>
        <w:tab w:val="clear" w:pos="4680"/>
      </w:tabs>
      <w:ind w:right="360"/>
    </w:pPr>
    <w:r w:rsidRPr="003F6996">
      <w:t>Christina Giles</w:t>
    </w:r>
    <w:r>
      <w:t xml:space="preserve"> </w:t>
    </w:r>
    <w:r w:rsidRPr="003F77E0">
      <w:t>1805673</w:t>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C034BBD"/>
    <w:multiLevelType w:val="multilevel"/>
    <w:tmpl w:val="9C90BEA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CBF4638"/>
    <w:multiLevelType w:val="multilevel"/>
    <w:tmpl w:val="3C620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E876684"/>
    <w:multiLevelType w:val="multilevel"/>
    <w:tmpl w:val="4F2A5A5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336F"/>
    <w:rsid w:val="00015D5A"/>
    <w:rsid w:val="0001696D"/>
    <w:rsid w:val="00016D02"/>
    <w:rsid w:val="000216DF"/>
    <w:rsid w:val="00022023"/>
    <w:rsid w:val="0002313D"/>
    <w:rsid w:val="00025FBA"/>
    <w:rsid w:val="00032E22"/>
    <w:rsid w:val="000620FD"/>
    <w:rsid w:val="000655BA"/>
    <w:rsid w:val="0006604F"/>
    <w:rsid w:val="00077406"/>
    <w:rsid w:val="00085ECA"/>
    <w:rsid w:val="000916D5"/>
    <w:rsid w:val="000B3C8A"/>
    <w:rsid w:val="000B57F6"/>
    <w:rsid w:val="000B6B19"/>
    <w:rsid w:val="000C0B39"/>
    <w:rsid w:val="000C4A67"/>
    <w:rsid w:val="000C5171"/>
    <w:rsid w:val="000D3063"/>
    <w:rsid w:val="000D3E7F"/>
    <w:rsid w:val="000D732B"/>
    <w:rsid w:val="000E09E1"/>
    <w:rsid w:val="000E65F0"/>
    <w:rsid w:val="000E69DE"/>
    <w:rsid w:val="000F2DDD"/>
    <w:rsid w:val="00112942"/>
    <w:rsid w:val="00117657"/>
    <w:rsid w:val="00130914"/>
    <w:rsid w:val="00131611"/>
    <w:rsid w:val="00133E3C"/>
    <w:rsid w:val="00144D91"/>
    <w:rsid w:val="00144F70"/>
    <w:rsid w:val="001554B1"/>
    <w:rsid w:val="00171F4C"/>
    <w:rsid w:val="001730A6"/>
    <w:rsid w:val="00175AC6"/>
    <w:rsid w:val="0018640C"/>
    <w:rsid w:val="00186C00"/>
    <w:rsid w:val="001A253B"/>
    <w:rsid w:val="001A30AD"/>
    <w:rsid w:val="001A74A2"/>
    <w:rsid w:val="001C04D5"/>
    <w:rsid w:val="001C07EF"/>
    <w:rsid w:val="001C3FA7"/>
    <w:rsid w:val="001C6348"/>
    <w:rsid w:val="001D24AB"/>
    <w:rsid w:val="001D50A7"/>
    <w:rsid w:val="001E1659"/>
    <w:rsid w:val="001E27E1"/>
    <w:rsid w:val="001E4F61"/>
    <w:rsid w:val="001F2D08"/>
    <w:rsid w:val="002008CC"/>
    <w:rsid w:val="00201ACC"/>
    <w:rsid w:val="00203772"/>
    <w:rsid w:val="00215A27"/>
    <w:rsid w:val="00217468"/>
    <w:rsid w:val="00223D96"/>
    <w:rsid w:val="00226A35"/>
    <w:rsid w:val="0023181E"/>
    <w:rsid w:val="00232D48"/>
    <w:rsid w:val="00235914"/>
    <w:rsid w:val="00237779"/>
    <w:rsid w:val="00253E57"/>
    <w:rsid w:val="002559EF"/>
    <w:rsid w:val="0027442B"/>
    <w:rsid w:val="00281C3F"/>
    <w:rsid w:val="00281F3C"/>
    <w:rsid w:val="0028525C"/>
    <w:rsid w:val="00285A66"/>
    <w:rsid w:val="00297109"/>
    <w:rsid w:val="00297475"/>
    <w:rsid w:val="002B022A"/>
    <w:rsid w:val="002B3424"/>
    <w:rsid w:val="002C7522"/>
    <w:rsid w:val="002D00CE"/>
    <w:rsid w:val="002D1556"/>
    <w:rsid w:val="002D16FA"/>
    <w:rsid w:val="002E7FD2"/>
    <w:rsid w:val="002F19D3"/>
    <w:rsid w:val="002F3C3A"/>
    <w:rsid w:val="002F48C2"/>
    <w:rsid w:val="002F6A03"/>
    <w:rsid w:val="002F723A"/>
    <w:rsid w:val="00301ECC"/>
    <w:rsid w:val="0030718C"/>
    <w:rsid w:val="00311BB8"/>
    <w:rsid w:val="003157EF"/>
    <w:rsid w:val="0031622A"/>
    <w:rsid w:val="00350EAD"/>
    <w:rsid w:val="003545E4"/>
    <w:rsid w:val="0036225E"/>
    <w:rsid w:val="00371E0E"/>
    <w:rsid w:val="00373076"/>
    <w:rsid w:val="00382037"/>
    <w:rsid w:val="00384D96"/>
    <w:rsid w:val="003857F1"/>
    <w:rsid w:val="00387A55"/>
    <w:rsid w:val="00395C45"/>
    <w:rsid w:val="003A7C03"/>
    <w:rsid w:val="003B7589"/>
    <w:rsid w:val="003C1FDA"/>
    <w:rsid w:val="003D2D40"/>
    <w:rsid w:val="003D448B"/>
    <w:rsid w:val="003E682C"/>
    <w:rsid w:val="003F6996"/>
    <w:rsid w:val="003F77E0"/>
    <w:rsid w:val="004008CF"/>
    <w:rsid w:val="00401630"/>
    <w:rsid w:val="0040187F"/>
    <w:rsid w:val="004111ED"/>
    <w:rsid w:val="004139AD"/>
    <w:rsid w:val="004244C7"/>
    <w:rsid w:val="00434BB6"/>
    <w:rsid w:val="00436C94"/>
    <w:rsid w:val="00440724"/>
    <w:rsid w:val="00444AED"/>
    <w:rsid w:val="00447BE0"/>
    <w:rsid w:val="00460478"/>
    <w:rsid w:val="00477509"/>
    <w:rsid w:val="004810A4"/>
    <w:rsid w:val="00483109"/>
    <w:rsid w:val="00492412"/>
    <w:rsid w:val="00492ECA"/>
    <w:rsid w:val="00494968"/>
    <w:rsid w:val="004A16EF"/>
    <w:rsid w:val="004A312D"/>
    <w:rsid w:val="004B51C6"/>
    <w:rsid w:val="004C0156"/>
    <w:rsid w:val="004C1779"/>
    <w:rsid w:val="004C1A2B"/>
    <w:rsid w:val="004C1FE2"/>
    <w:rsid w:val="004C2B82"/>
    <w:rsid w:val="004C485D"/>
    <w:rsid w:val="004C4FE3"/>
    <w:rsid w:val="004E4E2C"/>
    <w:rsid w:val="004F1FA4"/>
    <w:rsid w:val="004F3705"/>
    <w:rsid w:val="004F3A6A"/>
    <w:rsid w:val="00514199"/>
    <w:rsid w:val="005160FD"/>
    <w:rsid w:val="00516481"/>
    <w:rsid w:val="00523B92"/>
    <w:rsid w:val="00527011"/>
    <w:rsid w:val="0053690E"/>
    <w:rsid w:val="005369CA"/>
    <w:rsid w:val="005405D4"/>
    <w:rsid w:val="0054570C"/>
    <w:rsid w:val="00546639"/>
    <w:rsid w:val="00547038"/>
    <w:rsid w:val="005519E8"/>
    <w:rsid w:val="005671F8"/>
    <w:rsid w:val="00570C38"/>
    <w:rsid w:val="00581432"/>
    <w:rsid w:val="00583CCC"/>
    <w:rsid w:val="005847C8"/>
    <w:rsid w:val="00594050"/>
    <w:rsid w:val="005A02EF"/>
    <w:rsid w:val="005A32E7"/>
    <w:rsid w:val="005B131A"/>
    <w:rsid w:val="005B6FAA"/>
    <w:rsid w:val="005C5C55"/>
    <w:rsid w:val="005D192D"/>
    <w:rsid w:val="005D4907"/>
    <w:rsid w:val="005E0D8B"/>
    <w:rsid w:val="005E1F59"/>
    <w:rsid w:val="005E4B11"/>
    <w:rsid w:val="005F0617"/>
    <w:rsid w:val="005F5B83"/>
    <w:rsid w:val="005F643C"/>
    <w:rsid w:val="00605A02"/>
    <w:rsid w:val="00605C31"/>
    <w:rsid w:val="00613609"/>
    <w:rsid w:val="00622AA3"/>
    <w:rsid w:val="006327AD"/>
    <w:rsid w:val="00632D1D"/>
    <w:rsid w:val="00642D1A"/>
    <w:rsid w:val="00643F0D"/>
    <w:rsid w:val="00660B6A"/>
    <w:rsid w:val="00661D0E"/>
    <w:rsid w:val="00663545"/>
    <w:rsid w:val="00667FB1"/>
    <w:rsid w:val="006739B3"/>
    <w:rsid w:val="0067572B"/>
    <w:rsid w:val="006807FF"/>
    <w:rsid w:val="006928F5"/>
    <w:rsid w:val="006932EB"/>
    <w:rsid w:val="00693B98"/>
    <w:rsid w:val="0069655E"/>
    <w:rsid w:val="006A19F8"/>
    <w:rsid w:val="006A27C6"/>
    <w:rsid w:val="006A2899"/>
    <w:rsid w:val="006A2A83"/>
    <w:rsid w:val="006A6AA2"/>
    <w:rsid w:val="006B7343"/>
    <w:rsid w:val="006C0D10"/>
    <w:rsid w:val="006C5721"/>
    <w:rsid w:val="006D1C91"/>
    <w:rsid w:val="006D347B"/>
    <w:rsid w:val="006D7EE6"/>
    <w:rsid w:val="006E0C1C"/>
    <w:rsid w:val="006E168A"/>
    <w:rsid w:val="006E2B7C"/>
    <w:rsid w:val="006F3911"/>
    <w:rsid w:val="00716506"/>
    <w:rsid w:val="00720F8D"/>
    <w:rsid w:val="007276F9"/>
    <w:rsid w:val="00731DDA"/>
    <w:rsid w:val="00734FCA"/>
    <w:rsid w:val="00743325"/>
    <w:rsid w:val="00755E68"/>
    <w:rsid w:val="00756657"/>
    <w:rsid w:val="00756DD9"/>
    <w:rsid w:val="007642FB"/>
    <w:rsid w:val="00766E55"/>
    <w:rsid w:val="00773593"/>
    <w:rsid w:val="00787A6F"/>
    <w:rsid w:val="00787E7D"/>
    <w:rsid w:val="007A2A3E"/>
    <w:rsid w:val="007B276B"/>
    <w:rsid w:val="007B30E0"/>
    <w:rsid w:val="007B5AC4"/>
    <w:rsid w:val="007D0CC5"/>
    <w:rsid w:val="007D648D"/>
    <w:rsid w:val="007D7316"/>
    <w:rsid w:val="007E0D9C"/>
    <w:rsid w:val="007E3909"/>
    <w:rsid w:val="007F1548"/>
    <w:rsid w:val="007F4724"/>
    <w:rsid w:val="007F5D40"/>
    <w:rsid w:val="00803921"/>
    <w:rsid w:val="00805166"/>
    <w:rsid w:val="008052C0"/>
    <w:rsid w:val="008076B5"/>
    <w:rsid w:val="00813D4D"/>
    <w:rsid w:val="0081425D"/>
    <w:rsid w:val="008170DF"/>
    <w:rsid w:val="00824C22"/>
    <w:rsid w:val="00830BC7"/>
    <w:rsid w:val="0083147A"/>
    <w:rsid w:val="00831558"/>
    <w:rsid w:val="00831EAB"/>
    <w:rsid w:val="00864C19"/>
    <w:rsid w:val="00871458"/>
    <w:rsid w:val="008717A4"/>
    <w:rsid w:val="00875C0D"/>
    <w:rsid w:val="00880942"/>
    <w:rsid w:val="00884E95"/>
    <w:rsid w:val="00887BD4"/>
    <w:rsid w:val="00891064"/>
    <w:rsid w:val="0089336F"/>
    <w:rsid w:val="00893C4C"/>
    <w:rsid w:val="00896BA0"/>
    <w:rsid w:val="00897098"/>
    <w:rsid w:val="008A0FD5"/>
    <w:rsid w:val="008B628B"/>
    <w:rsid w:val="008C34F5"/>
    <w:rsid w:val="008D1DE1"/>
    <w:rsid w:val="008E5846"/>
    <w:rsid w:val="008F0EDD"/>
    <w:rsid w:val="009037DC"/>
    <w:rsid w:val="00914C23"/>
    <w:rsid w:val="00915ADE"/>
    <w:rsid w:val="0092382B"/>
    <w:rsid w:val="00924EB4"/>
    <w:rsid w:val="009256DD"/>
    <w:rsid w:val="009332FE"/>
    <w:rsid w:val="00935A32"/>
    <w:rsid w:val="00936CD0"/>
    <w:rsid w:val="009509EC"/>
    <w:rsid w:val="009568C7"/>
    <w:rsid w:val="009601AB"/>
    <w:rsid w:val="00962375"/>
    <w:rsid w:val="0096263B"/>
    <w:rsid w:val="00966420"/>
    <w:rsid w:val="00981728"/>
    <w:rsid w:val="00982EB4"/>
    <w:rsid w:val="009842A0"/>
    <w:rsid w:val="0098454D"/>
    <w:rsid w:val="00984701"/>
    <w:rsid w:val="00985C00"/>
    <w:rsid w:val="009906C9"/>
    <w:rsid w:val="00992536"/>
    <w:rsid w:val="009A3AC0"/>
    <w:rsid w:val="009B0DA4"/>
    <w:rsid w:val="009B1791"/>
    <w:rsid w:val="009B3FBE"/>
    <w:rsid w:val="009B48F9"/>
    <w:rsid w:val="009C3AF3"/>
    <w:rsid w:val="009C5C88"/>
    <w:rsid w:val="009C6B76"/>
    <w:rsid w:val="009D303A"/>
    <w:rsid w:val="009E1442"/>
    <w:rsid w:val="009E1FD6"/>
    <w:rsid w:val="009E3A67"/>
    <w:rsid w:val="009E612E"/>
    <w:rsid w:val="009F28A2"/>
    <w:rsid w:val="009F54A7"/>
    <w:rsid w:val="009F5AB9"/>
    <w:rsid w:val="009F78E2"/>
    <w:rsid w:val="00A027C5"/>
    <w:rsid w:val="00A02B22"/>
    <w:rsid w:val="00A05139"/>
    <w:rsid w:val="00A05F0C"/>
    <w:rsid w:val="00A11F71"/>
    <w:rsid w:val="00A14D09"/>
    <w:rsid w:val="00A17E91"/>
    <w:rsid w:val="00A23787"/>
    <w:rsid w:val="00A24D54"/>
    <w:rsid w:val="00A265CF"/>
    <w:rsid w:val="00A317FE"/>
    <w:rsid w:val="00A33C58"/>
    <w:rsid w:val="00A3544F"/>
    <w:rsid w:val="00A35D88"/>
    <w:rsid w:val="00A44F59"/>
    <w:rsid w:val="00A46B95"/>
    <w:rsid w:val="00A52411"/>
    <w:rsid w:val="00A54058"/>
    <w:rsid w:val="00A56AA1"/>
    <w:rsid w:val="00A61B90"/>
    <w:rsid w:val="00A642B1"/>
    <w:rsid w:val="00A655D1"/>
    <w:rsid w:val="00A800CF"/>
    <w:rsid w:val="00A82F79"/>
    <w:rsid w:val="00A86F0A"/>
    <w:rsid w:val="00A93058"/>
    <w:rsid w:val="00AA7FB7"/>
    <w:rsid w:val="00AB458B"/>
    <w:rsid w:val="00AC00B2"/>
    <w:rsid w:val="00AC600B"/>
    <w:rsid w:val="00AC7CAF"/>
    <w:rsid w:val="00AD1EB5"/>
    <w:rsid w:val="00AD2D99"/>
    <w:rsid w:val="00AE0CC8"/>
    <w:rsid w:val="00AF2993"/>
    <w:rsid w:val="00AF5EC4"/>
    <w:rsid w:val="00B07295"/>
    <w:rsid w:val="00B128EF"/>
    <w:rsid w:val="00B23053"/>
    <w:rsid w:val="00B23E3A"/>
    <w:rsid w:val="00B2690D"/>
    <w:rsid w:val="00B32BB6"/>
    <w:rsid w:val="00B3382B"/>
    <w:rsid w:val="00B35F00"/>
    <w:rsid w:val="00B5062F"/>
    <w:rsid w:val="00B56B3F"/>
    <w:rsid w:val="00B71DCF"/>
    <w:rsid w:val="00B74C82"/>
    <w:rsid w:val="00B75551"/>
    <w:rsid w:val="00B82D8C"/>
    <w:rsid w:val="00B833DD"/>
    <w:rsid w:val="00B83FDB"/>
    <w:rsid w:val="00B86DEF"/>
    <w:rsid w:val="00B87E79"/>
    <w:rsid w:val="00B87EBB"/>
    <w:rsid w:val="00B9000D"/>
    <w:rsid w:val="00B90DB4"/>
    <w:rsid w:val="00B91B30"/>
    <w:rsid w:val="00BA1091"/>
    <w:rsid w:val="00BA2F67"/>
    <w:rsid w:val="00BB5EB1"/>
    <w:rsid w:val="00BC00F5"/>
    <w:rsid w:val="00BC01A8"/>
    <w:rsid w:val="00BC51F7"/>
    <w:rsid w:val="00BC7914"/>
    <w:rsid w:val="00BD3C2D"/>
    <w:rsid w:val="00BD4048"/>
    <w:rsid w:val="00BE2CAB"/>
    <w:rsid w:val="00C05292"/>
    <w:rsid w:val="00C11F9D"/>
    <w:rsid w:val="00C1368A"/>
    <w:rsid w:val="00C14D1F"/>
    <w:rsid w:val="00C1664D"/>
    <w:rsid w:val="00C228A2"/>
    <w:rsid w:val="00C25367"/>
    <w:rsid w:val="00C3411A"/>
    <w:rsid w:val="00C35213"/>
    <w:rsid w:val="00C352CD"/>
    <w:rsid w:val="00C42D01"/>
    <w:rsid w:val="00C46BBE"/>
    <w:rsid w:val="00C53281"/>
    <w:rsid w:val="00C56D17"/>
    <w:rsid w:val="00C709B4"/>
    <w:rsid w:val="00C7319E"/>
    <w:rsid w:val="00C73F18"/>
    <w:rsid w:val="00C82424"/>
    <w:rsid w:val="00C82BD3"/>
    <w:rsid w:val="00C86553"/>
    <w:rsid w:val="00C90777"/>
    <w:rsid w:val="00C91947"/>
    <w:rsid w:val="00C94889"/>
    <w:rsid w:val="00C97501"/>
    <w:rsid w:val="00CA1B8D"/>
    <w:rsid w:val="00CA705A"/>
    <w:rsid w:val="00CB12C9"/>
    <w:rsid w:val="00CD173A"/>
    <w:rsid w:val="00CD19F3"/>
    <w:rsid w:val="00CD246E"/>
    <w:rsid w:val="00CD6CFE"/>
    <w:rsid w:val="00CE3522"/>
    <w:rsid w:val="00CF0830"/>
    <w:rsid w:val="00D006B9"/>
    <w:rsid w:val="00D04400"/>
    <w:rsid w:val="00D145EF"/>
    <w:rsid w:val="00D316CE"/>
    <w:rsid w:val="00D35C0A"/>
    <w:rsid w:val="00D36126"/>
    <w:rsid w:val="00D42380"/>
    <w:rsid w:val="00D4463D"/>
    <w:rsid w:val="00D47957"/>
    <w:rsid w:val="00D5157E"/>
    <w:rsid w:val="00D74745"/>
    <w:rsid w:val="00D860E4"/>
    <w:rsid w:val="00D87BB8"/>
    <w:rsid w:val="00D93203"/>
    <w:rsid w:val="00D951BA"/>
    <w:rsid w:val="00D95890"/>
    <w:rsid w:val="00DC4E31"/>
    <w:rsid w:val="00DC72C9"/>
    <w:rsid w:val="00DD1AAC"/>
    <w:rsid w:val="00DD39AD"/>
    <w:rsid w:val="00DD5385"/>
    <w:rsid w:val="00DE0224"/>
    <w:rsid w:val="00DF3292"/>
    <w:rsid w:val="00DF4588"/>
    <w:rsid w:val="00DF53F3"/>
    <w:rsid w:val="00E0206D"/>
    <w:rsid w:val="00E034AB"/>
    <w:rsid w:val="00E0502A"/>
    <w:rsid w:val="00E06151"/>
    <w:rsid w:val="00E128BF"/>
    <w:rsid w:val="00E12E48"/>
    <w:rsid w:val="00E1550F"/>
    <w:rsid w:val="00E3141B"/>
    <w:rsid w:val="00E31AAF"/>
    <w:rsid w:val="00E33F80"/>
    <w:rsid w:val="00E367D3"/>
    <w:rsid w:val="00E41DAA"/>
    <w:rsid w:val="00E44C3C"/>
    <w:rsid w:val="00E519D1"/>
    <w:rsid w:val="00E534FE"/>
    <w:rsid w:val="00E538DB"/>
    <w:rsid w:val="00E550DF"/>
    <w:rsid w:val="00E70FDA"/>
    <w:rsid w:val="00E729A4"/>
    <w:rsid w:val="00E80BF2"/>
    <w:rsid w:val="00E82E8E"/>
    <w:rsid w:val="00E935B0"/>
    <w:rsid w:val="00E97361"/>
    <w:rsid w:val="00EA3AB4"/>
    <w:rsid w:val="00EB3F7C"/>
    <w:rsid w:val="00EB46E5"/>
    <w:rsid w:val="00EC3EBD"/>
    <w:rsid w:val="00EC6ABE"/>
    <w:rsid w:val="00EC7C8F"/>
    <w:rsid w:val="00ED1296"/>
    <w:rsid w:val="00ED3ABA"/>
    <w:rsid w:val="00EF07BD"/>
    <w:rsid w:val="00EF0BD3"/>
    <w:rsid w:val="00EF4781"/>
    <w:rsid w:val="00EF4D6F"/>
    <w:rsid w:val="00EF60E2"/>
    <w:rsid w:val="00EF7730"/>
    <w:rsid w:val="00F119DD"/>
    <w:rsid w:val="00F15D45"/>
    <w:rsid w:val="00F33575"/>
    <w:rsid w:val="00F34B2A"/>
    <w:rsid w:val="00F35628"/>
    <w:rsid w:val="00F44A2B"/>
    <w:rsid w:val="00F474AD"/>
    <w:rsid w:val="00F60111"/>
    <w:rsid w:val="00F745E3"/>
    <w:rsid w:val="00F771DD"/>
    <w:rsid w:val="00F8039D"/>
    <w:rsid w:val="00F81754"/>
    <w:rsid w:val="00F93FD3"/>
    <w:rsid w:val="00F95C91"/>
    <w:rsid w:val="00FA525C"/>
    <w:rsid w:val="00FA7D3D"/>
    <w:rsid w:val="00FB133A"/>
    <w:rsid w:val="00FB3046"/>
    <w:rsid w:val="00FB5249"/>
    <w:rsid w:val="00FC21D4"/>
    <w:rsid w:val="00FC6878"/>
    <w:rsid w:val="00FE0CFB"/>
    <w:rsid w:val="00FE2E14"/>
    <w:rsid w:val="00FF2C96"/>
    <w:rsid w:val="00FF4A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0564E78"/>
  <w15:chartTrackingRefBased/>
  <w15:docId w15:val="{22416B99-8092-F64C-A932-F79FEADD3E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2E14"/>
    <w:rPr>
      <w:rFonts w:ascii="Times New Roman" w:eastAsia="Times New Roman" w:hAnsi="Times New Roman" w:cs="Times New Roman"/>
    </w:rPr>
  </w:style>
  <w:style w:type="paragraph" w:styleId="Heading1">
    <w:name w:val="heading 1"/>
    <w:basedOn w:val="Normal"/>
    <w:next w:val="Normal"/>
    <w:link w:val="Heading1Char"/>
    <w:uiPriority w:val="9"/>
    <w:qFormat/>
    <w:rsid w:val="003F77E0"/>
    <w:pPr>
      <w:keepNext/>
      <w:keepLines/>
      <w:spacing w:before="240"/>
      <w:outlineLvl w:val="0"/>
    </w:pPr>
    <w:rPr>
      <w:rFonts w:eastAsiaTheme="majorEastAsia" w:cstheme="majorBidi"/>
      <w:b/>
      <w:color w:val="002060"/>
      <w:szCs w:val="32"/>
    </w:rPr>
  </w:style>
  <w:style w:type="paragraph" w:styleId="Heading2">
    <w:name w:val="heading 2"/>
    <w:basedOn w:val="Normal"/>
    <w:next w:val="Normal"/>
    <w:link w:val="Heading2Char"/>
    <w:uiPriority w:val="9"/>
    <w:unhideWhenUsed/>
    <w:qFormat/>
    <w:rsid w:val="002E7FD2"/>
    <w:pPr>
      <w:keepNext/>
      <w:keepLines/>
      <w:spacing w:before="240"/>
      <w:outlineLvl w:val="1"/>
    </w:pPr>
    <w:rPr>
      <w:rFonts w:eastAsiaTheme="majorEastAsia" w:cstheme="majorBidi"/>
      <w:b/>
      <w:color w:val="2F5496" w:themeColor="accent1" w:themeShade="BF"/>
      <w:szCs w:val="26"/>
    </w:rPr>
  </w:style>
  <w:style w:type="paragraph" w:styleId="Heading3">
    <w:name w:val="heading 3"/>
    <w:basedOn w:val="Normal"/>
    <w:next w:val="Normal"/>
    <w:link w:val="Heading3Char"/>
    <w:uiPriority w:val="9"/>
    <w:unhideWhenUsed/>
    <w:qFormat/>
    <w:rsid w:val="002B022A"/>
    <w:pPr>
      <w:keepNext/>
      <w:keepLines/>
      <w:spacing w:before="40"/>
      <w:outlineLvl w:val="2"/>
    </w:pPr>
    <w:rPr>
      <w:rFonts w:eastAsiaTheme="majorEastAsia" w:cstheme="majorBidi"/>
      <w:b/>
      <w:color w:val="ED7D31" w:themeColor="accent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E7FD2"/>
    <w:rPr>
      <w:rFonts w:ascii="Times New Roman" w:eastAsiaTheme="majorEastAsia" w:hAnsi="Times New Roman" w:cstheme="majorBidi"/>
      <w:b/>
      <w:color w:val="2F5496" w:themeColor="accent1" w:themeShade="BF"/>
      <w:szCs w:val="26"/>
    </w:rPr>
  </w:style>
  <w:style w:type="paragraph" w:customStyle="1" w:styleId="SophiaH1">
    <w:name w:val="Sophia H1"/>
    <w:basedOn w:val="Normal"/>
    <w:rsid w:val="00731DDA"/>
    <w:rPr>
      <w:b/>
    </w:rPr>
  </w:style>
  <w:style w:type="paragraph" w:customStyle="1" w:styleId="SophiaNormal">
    <w:name w:val="Sophia Normal"/>
    <w:basedOn w:val="Normal"/>
    <w:rsid w:val="00731DDA"/>
  </w:style>
  <w:style w:type="paragraph" w:customStyle="1" w:styleId="SophiaH2">
    <w:name w:val="Sophia H2"/>
    <w:basedOn w:val="SophiaH1"/>
    <w:rsid w:val="003F6996"/>
    <w:rPr>
      <w:b w:val="0"/>
      <w:color w:val="7030A0"/>
    </w:rPr>
  </w:style>
  <w:style w:type="character" w:customStyle="1" w:styleId="Heading1Char">
    <w:name w:val="Heading 1 Char"/>
    <w:basedOn w:val="DefaultParagraphFont"/>
    <w:link w:val="Heading1"/>
    <w:uiPriority w:val="9"/>
    <w:rsid w:val="003F77E0"/>
    <w:rPr>
      <w:rFonts w:ascii="Times New Roman" w:eastAsiaTheme="majorEastAsia" w:hAnsi="Times New Roman" w:cstheme="majorBidi"/>
      <w:b/>
      <w:color w:val="002060"/>
      <w:szCs w:val="32"/>
    </w:rPr>
  </w:style>
  <w:style w:type="paragraph" w:styleId="Header">
    <w:name w:val="header"/>
    <w:basedOn w:val="Normal"/>
    <w:link w:val="HeaderChar"/>
    <w:uiPriority w:val="99"/>
    <w:unhideWhenUsed/>
    <w:rsid w:val="003F6996"/>
    <w:pPr>
      <w:tabs>
        <w:tab w:val="center" w:pos="4680"/>
        <w:tab w:val="right" w:pos="9360"/>
      </w:tabs>
    </w:pPr>
  </w:style>
  <w:style w:type="character" w:customStyle="1" w:styleId="HeaderChar">
    <w:name w:val="Header Char"/>
    <w:basedOn w:val="DefaultParagraphFont"/>
    <w:link w:val="Header"/>
    <w:uiPriority w:val="99"/>
    <w:rsid w:val="003F6996"/>
  </w:style>
  <w:style w:type="paragraph" w:styleId="Footer">
    <w:name w:val="footer"/>
    <w:basedOn w:val="Normal"/>
    <w:link w:val="FooterChar"/>
    <w:uiPriority w:val="99"/>
    <w:unhideWhenUsed/>
    <w:rsid w:val="003F6996"/>
    <w:pPr>
      <w:tabs>
        <w:tab w:val="center" w:pos="4680"/>
        <w:tab w:val="right" w:pos="9360"/>
      </w:tabs>
    </w:pPr>
  </w:style>
  <w:style w:type="character" w:customStyle="1" w:styleId="FooterChar">
    <w:name w:val="Footer Char"/>
    <w:basedOn w:val="DefaultParagraphFont"/>
    <w:link w:val="Footer"/>
    <w:uiPriority w:val="99"/>
    <w:rsid w:val="003F6996"/>
  </w:style>
  <w:style w:type="character" w:styleId="PageNumber">
    <w:name w:val="page number"/>
    <w:basedOn w:val="DefaultParagraphFont"/>
    <w:uiPriority w:val="99"/>
    <w:semiHidden/>
    <w:unhideWhenUsed/>
    <w:rsid w:val="003F6996"/>
  </w:style>
  <w:style w:type="paragraph" w:styleId="Title">
    <w:name w:val="Title"/>
    <w:basedOn w:val="Normal"/>
    <w:next w:val="Normal"/>
    <w:link w:val="TitleChar"/>
    <w:uiPriority w:val="10"/>
    <w:qFormat/>
    <w:rsid w:val="00492ECA"/>
    <w:pPr>
      <w:contextualSpacing/>
    </w:pPr>
    <w:rPr>
      <w:rFonts w:eastAsiaTheme="majorEastAsia" w:cstheme="majorBidi"/>
      <w:spacing w:val="-10"/>
      <w:kern w:val="28"/>
      <w:sz w:val="28"/>
      <w:szCs w:val="56"/>
    </w:rPr>
  </w:style>
  <w:style w:type="character" w:customStyle="1" w:styleId="TitleChar">
    <w:name w:val="Title Char"/>
    <w:basedOn w:val="DefaultParagraphFont"/>
    <w:link w:val="Title"/>
    <w:uiPriority w:val="10"/>
    <w:rsid w:val="00492ECA"/>
    <w:rPr>
      <w:rFonts w:ascii="Times New Roman" w:eastAsiaTheme="majorEastAsia" w:hAnsi="Times New Roman" w:cstheme="majorBidi"/>
      <w:spacing w:val="-10"/>
      <w:kern w:val="28"/>
      <w:sz w:val="28"/>
      <w:szCs w:val="56"/>
    </w:rPr>
  </w:style>
  <w:style w:type="paragraph" w:styleId="Subtitle">
    <w:name w:val="Subtitle"/>
    <w:basedOn w:val="Normal"/>
    <w:next w:val="Normal"/>
    <w:link w:val="SubtitleChar"/>
    <w:uiPriority w:val="11"/>
    <w:qFormat/>
    <w:rsid w:val="00492ECA"/>
    <w:pPr>
      <w:numPr>
        <w:ilvl w:val="1"/>
      </w:numPr>
      <w:spacing w:after="160"/>
    </w:pPr>
    <w:rPr>
      <w:rFonts w:eastAsiaTheme="minorEastAsia"/>
      <w:spacing w:val="15"/>
      <w:szCs w:val="22"/>
    </w:rPr>
  </w:style>
  <w:style w:type="character" w:customStyle="1" w:styleId="SubtitleChar">
    <w:name w:val="Subtitle Char"/>
    <w:basedOn w:val="DefaultParagraphFont"/>
    <w:link w:val="Subtitle"/>
    <w:uiPriority w:val="11"/>
    <w:rsid w:val="00492ECA"/>
    <w:rPr>
      <w:rFonts w:ascii="Times New Roman" w:eastAsiaTheme="minorEastAsia" w:hAnsi="Times New Roman"/>
      <w:spacing w:val="15"/>
      <w:szCs w:val="22"/>
    </w:rPr>
  </w:style>
  <w:style w:type="character" w:customStyle="1" w:styleId="Heading3Char">
    <w:name w:val="Heading 3 Char"/>
    <w:basedOn w:val="DefaultParagraphFont"/>
    <w:link w:val="Heading3"/>
    <w:uiPriority w:val="9"/>
    <w:rsid w:val="002B022A"/>
    <w:rPr>
      <w:rFonts w:ascii="Times New Roman" w:eastAsiaTheme="majorEastAsia" w:hAnsi="Times New Roman" w:cstheme="majorBidi"/>
      <w:b/>
      <w:color w:val="ED7D31" w:themeColor="accent2"/>
    </w:rPr>
  </w:style>
  <w:style w:type="character" w:styleId="PlaceholderText">
    <w:name w:val="Placeholder Text"/>
    <w:basedOn w:val="DefaultParagraphFont"/>
    <w:uiPriority w:val="99"/>
    <w:semiHidden/>
    <w:rsid w:val="00EC3EBD"/>
    <w:rPr>
      <w:color w:val="808080"/>
    </w:rPr>
  </w:style>
  <w:style w:type="paragraph" w:styleId="FootnoteText">
    <w:name w:val="footnote text"/>
    <w:basedOn w:val="Normal"/>
    <w:link w:val="FootnoteTextChar"/>
    <w:uiPriority w:val="99"/>
    <w:semiHidden/>
    <w:unhideWhenUsed/>
    <w:rsid w:val="00EC3EBD"/>
    <w:rPr>
      <w:sz w:val="20"/>
      <w:szCs w:val="20"/>
    </w:rPr>
  </w:style>
  <w:style w:type="character" w:customStyle="1" w:styleId="FootnoteTextChar">
    <w:name w:val="Footnote Text Char"/>
    <w:basedOn w:val="DefaultParagraphFont"/>
    <w:link w:val="FootnoteText"/>
    <w:uiPriority w:val="99"/>
    <w:semiHidden/>
    <w:rsid w:val="00EC3EBD"/>
    <w:rPr>
      <w:rFonts w:ascii="Times New Roman" w:hAnsi="Times New Roman"/>
      <w:sz w:val="20"/>
      <w:szCs w:val="20"/>
    </w:rPr>
  </w:style>
  <w:style w:type="character" w:styleId="FootnoteReference">
    <w:name w:val="footnote reference"/>
    <w:basedOn w:val="DefaultParagraphFont"/>
    <w:uiPriority w:val="99"/>
    <w:semiHidden/>
    <w:unhideWhenUsed/>
    <w:rsid w:val="00EC3EBD"/>
    <w:rPr>
      <w:vertAlign w:val="superscript"/>
    </w:rPr>
  </w:style>
  <w:style w:type="character" w:styleId="Hyperlink">
    <w:name w:val="Hyperlink"/>
    <w:basedOn w:val="DefaultParagraphFont"/>
    <w:uiPriority w:val="99"/>
    <w:unhideWhenUsed/>
    <w:rsid w:val="00E538DB"/>
    <w:rPr>
      <w:color w:val="0000FF"/>
      <w:u w:val="single"/>
    </w:rPr>
  </w:style>
  <w:style w:type="paragraph" w:styleId="NormalWeb">
    <w:name w:val="Normal (Web)"/>
    <w:basedOn w:val="Normal"/>
    <w:uiPriority w:val="99"/>
    <w:unhideWhenUsed/>
    <w:rsid w:val="007E3909"/>
    <w:pPr>
      <w:spacing w:before="100" w:beforeAutospacing="1" w:after="100" w:afterAutospacing="1"/>
    </w:pPr>
    <w:rPr>
      <w:rFonts w:eastAsiaTheme="minorEastAsia"/>
    </w:rPr>
  </w:style>
  <w:style w:type="character" w:styleId="UnresolvedMention">
    <w:name w:val="Unresolved Mention"/>
    <w:basedOn w:val="DefaultParagraphFont"/>
    <w:uiPriority w:val="99"/>
    <w:semiHidden/>
    <w:unhideWhenUsed/>
    <w:rsid w:val="007E3909"/>
    <w:rPr>
      <w:color w:val="605E5C"/>
      <w:shd w:val="clear" w:color="auto" w:fill="E1DFDD"/>
    </w:rPr>
  </w:style>
  <w:style w:type="character" w:styleId="FollowedHyperlink">
    <w:name w:val="FollowedHyperlink"/>
    <w:basedOn w:val="DefaultParagraphFont"/>
    <w:uiPriority w:val="99"/>
    <w:semiHidden/>
    <w:unhideWhenUsed/>
    <w:rsid w:val="009F54A7"/>
    <w:rPr>
      <w:color w:val="954F72" w:themeColor="followedHyperlink"/>
      <w:u w:val="single"/>
    </w:rPr>
  </w:style>
  <w:style w:type="paragraph" w:styleId="BalloonText">
    <w:name w:val="Balloon Text"/>
    <w:basedOn w:val="Normal"/>
    <w:link w:val="BalloonTextChar"/>
    <w:uiPriority w:val="99"/>
    <w:semiHidden/>
    <w:unhideWhenUsed/>
    <w:rsid w:val="000F2DDD"/>
    <w:rPr>
      <w:sz w:val="18"/>
      <w:szCs w:val="18"/>
    </w:rPr>
  </w:style>
  <w:style w:type="character" w:customStyle="1" w:styleId="BalloonTextChar">
    <w:name w:val="Balloon Text Char"/>
    <w:basedOn w:val="DefaultParagraphFont"/>
    <w:link w:val="BalloonText"/>
    <w:uiPriority w:val="99"/>
    <w:semiHidden/>
    <w:rsid w:val="000F2DDD"/>
    <w:rPr>
      <w:rFonts w:ascii="Times New Roman" w:eastAsia="Times New Roman" w:hAnsi="Times New Roman" w:cs="Times New Roman"/>
      <w:sz w:val="18"/>
      <w:szCs w:val="18"/>
    </w:rPr>
  </w:style>
  <w:style w:type="character" w:styleId="CommentReference">
    <w:name w:val="annotation reference"/>
    <w:basedOn w:val="DefaultParagraphFont"/>
    <w:uiPriority w:val="99"/>
    <w:semiHidden/>
    <w:unhideWhenUsed/>
    <w:rsid w:val="00D145EF"/>
    <w:rPr>
      <w:sz w:val="16"/>
      <w:szCs w:val="16"/>
    </w:rPr>
  </w:style>
  <w:style w:type="paragraph" w:styleId="CommentText">
    <w:name w:val="annotation text"/>
    <w:basedOn w:val="Normal"/>
    <w:link w:val="CommentTextChar"/>
    <w:uiPriority w:val="99"/>
    <w:unhideWhenUsed/>
    <w:rsid w:val="00D145EF"/>
    <w:rPr>
      <w:sz w:val="20"/>
      <w:szCs w:val="20"/>
    </w:rPr>
  </w:style>
  <w:style w:type="character" w:customStyle="1" w:styleId="CommentTextChar">
    <w:name w:val="Comment Text Char"/>
    <w:basedOn w:val="DefaultParagraphFont"/>
    <w:link w:val="CommentText"/>
    <w:uiPriority w:val="99"/>
    <w:rsid w:val="00D145EF"/>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D145EF"/>
    <w:rPr>
      <w:b/>
      <w:bCs/>
    </w:rPr>
  </w:style>
  <w:style w:type="character" w:customStyle="1" w:styleId="CommentSubjectChar">
    <w:name w:val="Comment Subject Char"/>
    <w:basedOn w:val="CommentTextChar"/>
    <w:link w:val="CommentSubject"/>
    <w:uiPriority w:val="99"/>
    <w:semiHidden/>
    <w:rsid w:val="00D145EF"/>
    <w:rPr>
      <w:rFonts w:ascii="Times New Roman" w:eastAsia="Times New Roman" w:hAnsi="Times New Roman" w:cs="Times New Roman"/>
      <w:b/>
      <w:bCs/>
      <w:sz w:val="20"/>
      <w:szCs w:val="20"/>
    </w:rPr>
  </w:style>
  <w:style w:type="character" w:customStyle="1" w:styleId="apple-converted-space">
    <w:name w:val="apple-converted-space"/>
    <w:basedOn w:val="DefaultParagraphFont"/>
    <w:rsid w:val="00743325"/>
  </w:style>
  <w:style w:type="paragraph" w:styleId="Revision">
    <w:name w:val="Revision"/>
    <w:hidden/>
    <w:uiPriority w:val="99"/>
    <w:semiHidden/>
    <w:rsid w:val="004A312D"/>
    <w:rPr>
      <w:rFonts w:ascii="Times New Roman" w:eastAsia="Times New Roman" w:hAnsi="Times New Roman" w:cs="Times New Roman"/>
    </w:rPr>
  </w:style>
  <w:style w:type="paragraph" w:styleId="ListParagraph">
    <w:name w:val="List Paragraph"/>
    <w:basedOn w:val="Normal"/>
    <w:uiPriority w:val="34"/>
    <w:qFormat/>
    <w:rsid w:val="00F35628"/>
    <w:pPr>
      <w:ind w:left="720"/>
      <w:contextualSpacing/>
    </w:pPr>
  </w:style>
  <w:style w:type="character" w:customStyle="1" w:styleId="contnote">
    <w:name w:val="contnote"/>
    <w:basedOn w:val="DefaultParagraphFont"/>
    <w:rsid w:val="00E97361"/>
  </w:style>
  <w:style w:type="paragraph" w:styleId="EndnoteText">
    <w:name w:val="endnote text"/>
    <w:basedOn w:val="Normal"/>
    <w:link w:val="EndnoteTextChar"/>
    <w:uiPriority w:val="99"/>
    <w:semiHidden/>
    <w:unhideWhenUsed/>
    <w:rsid w:val="00E3141B"/>
    <w:rPr>
      <w:sz w:val="20"/>
      <w:szCs w:val="20"/>
    </w:rPr>
  </w:style>
  <w:style w:type="character" w:customStyle="1" w:styleId="EndnoteTextChar">
    <w:name w:val="Endnote Text Char"/>
    <w:basedOn w:val="DefaultParagraphFont"/>
    <w:link w:val="EndnoteText"/>
    <w:uiPriority w:val="99"/>
    <w:semiHidden/>
    <w:rsid w:val="00E3141B"/>
    <w:rPr>
      <w:rFonts w:ascii="Times New Roman" w:eastAsia="Times New Roman" w:hAnsi="Times New Roman" w:cs="Times New Roman"/>
      <w:sz w:val="20"/>
      <w:szCs w:val="20"/>
    </w:rPr>
  </w:style>
  <w:style w:type="character" w:styleId="EndnoteReference">
    <w:name w:val="endnote reference"/>
    <w:basedOn w:val="DefaultParagraphFont"/>
    <w:uiPriority w:val="99"/>
    <w:semiHidden/>
    <w:unhideWhenUsed/>
    <w:rsid w:val="00E3141B"/>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946110">
      <w:bodyDiv w:val="1"/>
      <w:marLeft w:val="0"/>
      <w:marRight w:val="0"/>
      <w:marTop w:val="0"/>
      <w:marBottom w:val="0"/>
      <w:divBdr>
        <w:top w:val="none" w:sz="0" w:space="0" w:color="auto"/>
        <w:left w:val="none" w:sz="0" w:space="0" w:color="auto"/>
        <w:bottom w:val="none" w:sz="0" w:space="0" w:color="auto"/>
        <w:right w:val="none" w:sz="0" w:space="0" w:color="auto"/>
      </w:divBdr>
    </w:div>
    <w:div w:id="54206001">
      <w:bodyDiv w:val="1"/>
      <w:marLeft w:val="0"/>
      <w:marRight w:val="0"/>
      <w:marTop w:val="0"/>
      <w:marBottom w:val="0"/>
      <w:divBdr>
        <w:top w:val="none" w:sz="0" w:space="0" w:color="auto"/>
        <w:left w:val="none" w:sz="0" w:space="0" w:color="auto"/>
        <w:bottom w:val="none" w:sz="0" w:space="0" w:color="auto"/>
        <w:right w:val="none" w:sz="0" w:space="0" w:color="auto"/>
      </w:divBdr>
    </w:div>
    <w:div w:id="59258694">
      <w:bodyDiv w:val="1"/>
      <w:marLeft w:val="0"/>
      <w:marRight w:val="0"/>
      <w:marTop w:val="0"/>
      <w:marBottom w:val="0"/>
      <w:divBdr>
        <w:top w:val="none" w:sz="0" w:space="0" w:color="auto"/>
        <w:left w:val="none" w:sz="0" w:space="0" w:color="auto"/>
        <w:bottom w:val="none" w:sz="0" w:space="0" w:color="auto"/>
        <w:right w:val="none" w:sz="0" w:space="0" w:color="auto"/>
      </w:divBdr>
    </w:div>
    <w:div w:id="68357433">
      <w:bodyDiv w:val="1"/>
      <w:marLeft w:val="0"/>
      <w:marRight w:val="0"/>
      <w:marTop w:val="0"/>
      <w:marBottom w:val="0"/>
      <w:divBdr>
        <w:top w:val="none" w:sz="0" w:space="0" w:color="auto"/>
        <w:left w:val="none" w:sz="0" w:space="0" w:color="auto"/>
        <w:bottom w:val="none" w:sz="0" w:space="0" w:color="auto"/>
        <w:right w:val="none" w:sz="0" w:space="0" w:color="auto"/>
      </w:divBdr>
    </w:div>
    <w:div w:id="77144913">
      <w:bodyDiv w:val="1"/>
      <w:marLeft w:val="0"/>
      <w:marRight w:val="0"/>
      <w:marTop w:val="0"/>
      <w:marBottom w:val="0"/>
      <w:divBdr>
        <w:top w:val="none" w:sz="0" w:space="0" w:color="auto"/>
        <w:left w:val="none" w:sz="0" w:space="0" w:color="auto"/>
        <w:bottom w:val="none" w:sz="0" w:space="0" w:color="auto"/>
        <w:right w:val="none" w:sz="0" w:space="0" w:color="auto"/>
      </w:divBdr>
    </w:div>
    <w:div w:id="87584311">
      <w:bodyDiv w:val="1"/>
      <w:marLeft w:val="0"/>
      <w:marRight w:val="0"/>
      <w:marTop w:val="0"/>
      <w:marBottom w:val="0"/>
      <w:divBdr>
        <w:top w:val="none" w:sz="0" w:space="0" w:color="auto"/>
        <w:left w:val="none" w:sz="0" w:space="0" w:color="auto"/>
        <w:bottom w:val="none" w:sz="0" w:space="0" w:color="auto"/>
        <w:right w:val="none" w:sz="0" w:space="0" w:color="auto"/>
      </w:divBdr>
    </w:div>
    <w:div w:id="95951073">
      <w:bodyDiv w:val="1"/>
      <w:marLeft w:val="0"/>
      <w:marRight w:val="0"/>
      <w:marTop w:val="0"/>
      <w:marBottom w:val="0"/>
      <w:divBdr>
        <w:top w:val="none" w:sz="0" w:space="0" w:color="auto"/>
        <w:left w:val="none" w:sz="0" w:space="0" w:color="auto"/>
        <w:bottom w:val="none" w:sz="0" w:space="0" w:color="auto"/>
        <w:right w:val="none" w:sz="0" w:space="0" w:color="auto"/>
      </w:divBdr>
    </w:div>
    <w:div w:id="123083537">
      <w:bodyDiv w:val="1"/>
      <w:marLeft w:val="0"/>
      <w:marRight w:val="0"/>
      <w:marTop w:val="0"/>
      <w:marBottom w:val="0"/>
      <w:divBdr>
        <w:top w:val="none" w:sz="0" w:space="0" w:color="auto"/>
        <w:left w:val="none" w:sz="0" w:space="0" w:color="auto"/>
        <w:bottom w:val="none" w:sz="0" w:space="0" w:color="auto"/>
        <w:right w:val="none" w:sz="0" w:space="0" w:color="auto"/>
      </w:divBdr>
    </w:div>
    <w:div w:id="127550903">
      <w:bodyDiv w:val="1"/>
      <w:marLeft w:val="0"/>
      <w:marRight w:val="0"/>
      <w:marTop w:val="0"/>
      <w:marBottom w:val="0"/>
      <w:divBdr>
        <w:top w:val="none" w:sz="0" w:space="0" w:color="auto"/>
        <w:left w:val="none" w:sz="0" w:space="0" w:color="auto"/>
        <w:bottom w:val="none" w:sz="0" w:space="0" w:color="auto"/>
        <w:right w:val="none" w:sz="0" w:space="0" w:color="auto"/>
      </w:divBdr>
    </w:div>
    <w:div w:id="160436995">
      <w:bodyDiv w:val="1"/>
      <w:marLeft w:val="0"/>
      <w:marRight w:val="0"/>
      <w:marTop w:val="0"/>
      <w:marBottom w:val="0"/>
      <w:divBdr>
        <w:top w:val="none" w:sz="0" w:space="0" w:color="auto"/>
        <w:left w:val="none" w:sz="0" w:space="0" w:color="auto"/>
        <w:bottom w:val="none" w:sz="0" w:space="0" w:color="auto"/>
        <w:right w:val="none" w:sz="0" w:space="0" w:color="auto"/>
      </w:divBdr>
    </w:div>
    <w:div w:id="169101428">
      <w:bodyDiv w:val="1"/>
      <w:marLeft w:val="0"/>
      <w:marRight w:val="0"/>
      <w:marTop w:val="0"/>
      <w:marBottom w:val="0"/>
      <w:divBdr>
        <w:top w:val="none" w:sz="0" w:space="0" w:color="auto"/>
        <w:left w:val="none" w:sz="0" w:space="0" w:color="auto"/>
        <w:bottom w:val="none" w:sz="0" w:space="0" w:color="auto"/>
        <w:right w:val="none" w:sz="0" w:space="0" w:color="auto"/>
      </w:divBdr>
    </w:div>
    <w:div w:id="217085247">
      <w:bodyDiv w:val="1"/>
      <w:marLeft w:val="0"/>
      <w:marRight w:val="0"/>
      <w:marTop w:val="0"/>
      <w:marBottom w:val="0"/>
      <w:divBdr>
        <w:top w:val="none" w:sz="0" w:space="0" w:color="auto"/>
        <w:left w:val="none" w:sz="0" w:space="0" w:color="auto"/>
        <w:bottom w:val="none" w:sz="0" w:space="0" w:color="auto"/>
        <w:right w:val="none" w:sz="0" w:space="0" w:color="auto"/>
      </w:divBdr>
    </w:div>
    <w:div w:id="224607684">
      <w:bodyDiv w:val="1"/>
      <w:marLeft w:val="0"/>
      <w:marRight w:val="0"/>
      <w:marTop w:val="0"/>
      <w:marBottom w:val="0"/>
      <w:divBdr>
        <w:top w:val="none" w:sz="0" w:space="0" w:color="auto"/>
        <w:left w:val="none" w:sz="0" w:space="0" w:color="auto"/>
        <w:bottom w:val="none" w:sz="0" w:space="0" w:color="auto"/>
        <w:right w:val="none" w:sz="0" w:space="0" w:color="auto"/>
      </w:divBdr>
    </w:div>
    <w:div w:id="229191079">
      <w:bodyDiv w:val="1"/>
      <w:marLeft w:val="0"/>
      <w:marRight w:val="0"/>
      <w:marTop w:val="0"/>
      <w:marBottom w:val="0"/>
      <w:divBdr>
        <w:top w:val="none" w:sz="0" w:space="0" w:color="auto"/>
        <w:left w:val="none" w:sz="0" w:space="0" w:color="auto"/>
        <w:bottom w:val="none" w:sz="0" w:space="0" w:color="auto"/>
        <w:right w:val="none" w:sz="0" w:space="0" w:color="auto"/>
      </w:divBdr>
    </w:div>
    <w:div w:id="234440458">
      <w:bodyDiv w:val="1"/>
      <w:marLeft w:val="0"/>
      <w:marRight w:val="0"/>
      <w:marTop w:val="0"/>
      <w:marBottom w:val="0"/>
      <w:divBdr>
        <w:top w:val="none" w:sz="0" w:space="0" w:color="auto"/>
        <w:left w:val="none" w:sz="0" w:space="0" w:color="auto"/>
        <w:bottom w:val="none" w:sz="0" w:space="0" w:color="auto"/>
        <w:right w:val="none" w:sz="0" w:space="0" w:color="auto"/>
      </w:divBdr>
    </w:div>
    <w:div w:id="247273451">
      <w:bodyDiv w:val="1"/>
      <w:marLeft w:val="0"/>
      <w:marRight w:val="0"/>
      <w:marTop w:val="0"/>
      <w:marBottom w:val="0"/>
      <w:divBdr>
        <w:top w:val="none" w:sz="0" w:space="0" w:color="auto"/>
        <w:left w:val="none" w:sz="0" w:space="0" w:color="auto"/>
        <w:bottom w:val="none" w:sz="0" w:space="0" w:color="auto"/>
        <w:right w:val="none" w:sz="0" w:space="0" w:color="auto"/>
      </w:divBdr>
    </w:div>
    <w:div w:id="269051144">
      <w:bodyDiv w:val="1"/>
      <w:marLeft w:val="0"/>
      <w:marRight w:val="0"/>
      <w:marTop w:val="0"/>
      <w:marBottom w:val="0"/>
      <w:divBdr>
        <w:top w:val="none" w:sz="0" w:space="0" w:color="auto"/>
        <w:left w:val="none" w:sz="0" w:space="0" w:color="auto"/>
        <w:bottom w:val="none" w:sz="0" w:space="0" w:color="auto"/>
        <w:right w:val="none" w:sz="0" w:space="0" w:color="auto"/>
      </w:divBdr>
    </w:div>
    <w:div w:id="290484245">
      <w:bodyDiv w:val="1"/>
      <w:marLeft w:val="0"/>
      <w:marRight w:val="0"/>
      <w:marTop w:val="0"/>
      <w:marBottom w:val="0"/>
      <w:divBdr>
        <w:top w:val="none" w:sz="0" w:space="0" w:color="auto"/>
        <w:left w:val="none" w:sz="0" w:space="0" w:color="auto"/>
        <w:bottom w:val="none" w:sz="0" w:space="0" w:color="auto"/>
        <w:right w:val="none" w:sz="0" w:space="0" w:color="auto"/>
      </w:divBdr>
    </w:div>
    <w:div w:id="296954012">
      <w:bodyDiv w:val="1"/>
      <w:marLeft w:val="0"/>
      <w:marRight w:val="0"/>
      <w:marTop w:val="0"/>
      <w:marBottom w:val="0"/>
      <w:divBdr>
        <w:top w:val="none" w:sz="0" w:space="0" w:color="auto"/>
        <w:left w:val="none" w:sz="0" w:space="0" w:color="auto"/>
        <w:bottom w:val="none" w:sz="0" w:space="0" w:color="auto"/>
        <w:right w:val="none" w:sz="0" w:space="0" w:color="auto"/>
      </w:divBdr>
    </w:div>
    <w:div w:id="303243569">
      <w:bodyDiv w:val="1"/>
      <w:marLeft w:val="0"/>
      <w:marRight w:val="0"/>
      <w:marTop w:val="0"/>
      <w:marBottom w:val="0"/>
      <w:divBdr>
        <w:top w:val="none" w:sz="0" w:space="0" w:color="auto"/>
        <w:left w:val="none" w:sz="0" w:space="0" w:color="auto"/>
        <w:bottom w:val="none" w:sz="0" w:space="0" w:color="auto"/>
        <w:right w:val="none" w:sz="0" w:space="0" w:color="auto"/>
      </w:divBdr>
    </w:div>
    <w:div w:id="315190771">
      <w:bodyDiv w:val="1"/>
      <w:marLeft w:val="0"/>
      <w:marRight w:val="0"/>
      <w:marTop w:val="0"/>
      <w:marBottom w:val="0"/>
      <w:divBdr>
        <w:top w:val="none" w:sz="0" w:space="0" w:color="auto"/>
        <w:left w:val="none" w:sz="0" w:space="0" w:color="auto"/>
        <w:bottom w:val="none" w:sz="0" w:space="0" w:color="auto"/>
        <w:right w:val="none" w:sz="0" w:space="0" w:color="auto"/>
      </w:divBdr>
    </w:div>
    <w:div w:id="322854923">
      <w:bodyDiv w:val="1"/>
      <w:marLeft w:val="0"/>
      <w:marRight w:val="0"/>
      <w:marTop w:val="0"/>
      <w:marBottom w:val="0"/>
      <w:divBdr>
        <w:top w:val="none" w:sz="0" w:space="0" w:color="auto"/>
        <w:left w:val="none" w:sz="0" w:space="0" w:color="auto"/>
        <w:bottom w:val="none" w:sz="0" w:space="0" w:color="auto"/>
        <w:right w:val="none" w:sz="0" w:space="0" w:color="auto"/>
      </w:divBdr>
    </w:div>
    <w:div w:id="357244166">
      <w:bodyDiv w:val="1"/>
      <w:marLeft w:val="0"/>
      <w:marRight w:val="0"/>
      <w:marTop w:val="0"/>
      <w:marBottom w:val="0"/>
      <w:divBdr>
        <w:top w:val="none" w:sz="0" w:space="0" w:color="auto"/>
        <w:left w:val="none" w:sz="0" w:space="0" w:color="auto"/>
        <w:bottom w:val="none" w:sz="0" w:space="0" w:color="auto"/>
        <w:right w:val="none" w:sz="0" w:space="0" w:color="auto"/>
      </w:divBdr>
    </w:div>
    <w:div w:id="357585730">
      <w:bodyDiv w:val="1"/>
      <w:marLeft w:val="0"/>
      <w:marRight w:val="0"/>
      <w:marTop w:val="0"/>
      <w:marBottom w:val="0"/>
      <w:divBdr>
        <w:top w:val="none" w:sz="0" w:space="0" w:color="auto"/>
        <w:left w:val="none" w:sz="0" w:space="0" w:color="auto"/>
        <w:bottom w:val="none" w:sz="0" w:space="0" w:color="auto"/>
        <w:right w:val="none" w:sz="0" w:space="0" w:color="auto"/>
      </w:divBdr>
    </w:div>
    <w:div w:id="367951162">
      <w:bodyDiv w:val="1"/>
      <w:marLeft w:val="0"/>
      <w:marRight w:val="0"/>
      <w:marTop w:val="0"/>
      <w:marBottom w:val="0"/>
      <w:divBdr>
        <w:top w:val="none" w:sz="0" w:space="0" w:color="auto"/>
        <w:left w:val="none" w:sz="0" w:space="0" w:color="auto"/>
        <w:bottom w:val="none" w:sz="0" w:space="0" w:color="auto"/>
        <w:right w:val="none" w:sz="0" w:space="0" w:color="auto"/>
      </w:divBdr>
    </w:div>
    <w:div w:id="384722646">
      <w:bodyDiv w:val="1"/>
      <w:marLeft w:val="0"/>
      <w:marRight w:val="0"/>
      <w:marTop w:val="0"/>
      <w:marBottom w:val="0"/>
      <w:divBdr>
        <w:top w:val="none" w:sz="0" w:space="0" w:color="auto"/>
        <w:left w:val="none" w:sz="0" w:space="0" w:color="auto"/>
        <w:bottom w:val="none" w:sz="0" w:space="0" w:color="auto"/>
        <w:right w:val="none" w:sz="0" w:space="0" w:color="auto"/>
      </w:divBdr>
    </w:div>
    <w:div w:id="385107016">
      <w:bodyDiv w:val="1"/>
      <w:marLeft w:val="0"/>
      <w:marRight w:val="0"/>
      <w:marTop w:val="0"/>
      <w:marBottom w:val="0"/>
      <w:divBdr>
        <w:top w:val="none" w:sz="0" w:space="0" w:color="auto"/>
        <w:left w:val="none" w:sz="0" w:space="0" w:color="auto"/>
        <w:bottom w:val="none" w:sz="0" w:space="0" w:color="auto"/>
        <w:right w:val="none" w:sz="0" w:space="0" w:color="auto"/>
      </w:divBdr>
    </w:div>
    <w:div w:id="401300137">
      <w:bodyDiv w:val="1"/>
      <w:marLeft w:val="0"/>
      <w:marRight w:val="0"/>
      <w:marTop w:val="0"/>
      <w:marBottom w:val="0"/>
      <w:divBdr>
        <w:top w:val="none" w:sz="0" w:space="0" w:color="auto"/>
        <w:left w:val="none" w:sz="0" w:space="0" w:color="auto"/>
        <w:bottom w:val="none" w:sz="0" w:space="0" w:color="auto"/>
        <w:right w:val="none" w:sz="0" w:space="0" w:color="auto"/>
      </w:divBdr>
    </w:div>
    <w:div w:id="406616306">
      <w:bodyDiv w:val="1"/>
      <w:marLeft w:val="0"/>
      <w:marRight w:val="0"/>
      <w:marTop w:val="0"/>
      <w:marBottom w:val="0"/>
      <w:divBdr>
        <w:top w:val="none" w:sz="0" w:space="0" w:color="auto"/>
        <w:left w:val="none" w:sz="0" w:space="0" w:color="auto"/>
        <w:bottom w:val="none" w:sz="0" w:space="0" w:color="auto"/>
        <w:right w:val="none" w:sz="0" w:space="0" w:color="auto"/>
      </w:divBdr>
    </w:div>
    <w:div w:id="433408069">
      <w:bodyDiv w:val="1"/>
      <w:marLeft w:val="0"/>
      <w:marRight w:val="0"/>
      <w:marTop w:val="0"/>
      <w:marBottom w:val="0"/>
      <w:divBdr>
        <w:top w:val="none" w:sz="0" w:space="0" w:color="auto"/>
        <w:left w:val="none" w:sz="0" w:space="0" w:color="auto"/>
        <w:bottom w:val="none" w:sz="0" w:space="0" w:color="auto"/>
        <w:right w:val="none" w:sz="0" w:space="0" w:color="auto"/>
      </w:divBdr>
    </w:div>
    <w:div w:id="457458595">
      <w:bodyDiv w:val="1"/>
      <w:marLeft w:val="0"/>
      <w:marRight w:val="0"/>
      <w:marTop w:val="0"/>
      <w:marBottom w:val="0"/>
      <w:divBdr>
        <w:top w:val="none" w:sz="0" w:space="0" w:color="auto"/>
        <w:left w:val="none" w:sz="0" w:space="0" w:color="auto"/>
        <w:bottom w:val="none" w:sz="0" w:space="0" w:color="auto"/>
        <w:right w:val="none" w:sz="0" w:space="0" w:color="auto"/>
      </w:divBdr>
    </w:div>
    <w:div w:id="459569464">
      <w:bodyDiv w:val="1"/>
      <w:marLeft w:val="0"/>
      <w:marRight w:val="0"/>
      <w:marTop w:val="0"/>
      <w:marBottom w:val="0"/>
      <w:divBdr>
        <w:top w:val="none" w:sz="0" w:space="0" w:color="auto"/>
        <w:left w:val="none" w:sz="0" w:space="0" w:color="auto"/>
        <w:bottom w:val="none" w:sz="0" w:space="0" w:color="auto"/>
        <w:right w:val="none" w:sz="0" w:space="0" w:color="auto"/>
      </w:divBdr>
    </w:div>
    <w:div w:id="460195164">
      <w:bodyDiv w:val="1"/>
      <w:marLeft w:val="0"/>
      <w:marRight w:val="0"/>
      <w:marTop w:val="0"/>
      <w:marBottom w:val="0"/>
      <w:divBdr>
        <w:top w:val="none" w:sz="0" w:space="0" w:color="auto"/>
        <w:left w:val="none" w:sz="0" w:space="0" w:color="auto"/>
        <w:bottom w:val="none" w:sz="0" w:space="0" w:color="auto"/>
        <w:right w:val="none" w:sz="0" w:space="0" w:color="auto"/>
      </w:divBdr>
    </w:div>
    <w:div w:id="465008118">
      <w:bodyDiv w:val="1"/>
      <w:marLeft w:val="0"/>
      <w:marRight w:val="0"/>
      <w:marTop w:val="0"/>
      <w:marBottom w:val="0"/>
      <w:divBdr>
        <w:top w:val="none" w:sz="0" w:space="0" w:color="auto"/>
        <w:left w:val="none" w:sz="0" w:space="0" w:color="auto"/>
        <w:bottom w:val="none" w:sz="0" w:space="0" w:color="auto"/>
        <w:right w:val="none" w:sz="0" w:space="0" w:color="auto"/>
      </w:divBdr>
    </w:div>
    <w:div w:id="469983217">
      <w:bodyDiv w:val="1"/>
      <w:marLeft w:val="0"/>
      <w:marRight w:val="0"/>
      <w:marTop w:val="0"/>
      <w:marBottom w:val="0"/>
      <w:divBdr>
        <w:top w:val="none" w:sz="0" w:space="0" w:color="auto"/>
        <w:left w:val="none" w:sz="0" w:space="0" w:color="auto"/>
        <w:bottom w:val="none" w:sz="0" w:space="0" w:color="auto"/>
        <w:right w:val="none" w:sz="0" w:space="0" w:color="auto"/>
      </w:divBdr>
    </w:div>
    <w:div w:id="476848289">
      <w:bodyDiv w:val="1"/>
      <w:marLeft w:val="0"/>
      <w:marRight w:val="0"/>
      <w:marTop w:val="0"/>
      <w:marBottom w:val="0"/>
      <w:divBdr>
        <w:top w:val="none" w:sz="0" w:space="0" w:color="auto"/>
        <w:left w:val="none" w:sz="0" w:space="0" w:color="auto"/>
        <w:bottom w:val="none" w:sz="0" w:space="0" w:color="auto"/>
        <w:right w:val="none" w:sz="0" w:space="0" w:color="auto"/>
      </w:divBdr>
    </w:div>
    <w:div w:id="487745448">
      <w:bodyDiv w:val="1"/>
      <w:marLeft w:val="0"/>
      <w:marRight w:val="0"/>
      <w:marTop w:val="0"/>
      <w:marBottom w:val="0"/>
      <w:divBdr>
        <w:top w:val="none" w:sz="0" w:space="0" w:color="auto"/>
        <w:left w:val="none" w:sz="0" w:space="0" w:color="auto"/>
        <w:bottom w:val="none" w:sz="0" w:space="0" w:color="auto"/>
        <w:right w:val="none" w:sz="0" w:space="0" w:color="auto"/>
      </w:divBdr>
    </w:div>
    <w:div w:id="492382493">
      <w:bodyDiv w:val="1"/>
      <w:marLeft w:val="0"/>
      <w:marRight w:val="0"/>
      <w:marTop w:val="0"/>
      <w:marBottom w:val="0"/>
      <w:divBdr>
        <w:top w:val="none" w:sz="0" w:space="0" w:color="auto"/>
        <w:left w:val="none" w:sz="0" w:space="0" w:color="auto"/>
        <w:bottom w:val="none" w:sz="0" w:space="0" w:color="auto"/>
        <w:right w:val="none" w:sz="0" w:space="0" w:color="auto"/>
      </w:divBdr>
    </w:div>
    <w:div w:id="520095135">
      <w:bodyDiv w:val="1"/>
      <w:marLeft w:val="0"/>
      <w:marRight w:val="0"/>
      <w:marTop w:val="0"/>
      <w:marBottom w:val="0"/>
      <w:divBdr>
        <w:top w:val="none" w:sz="0" w:space="0" w:color="auto"/>
        <w:left w:val="none" w:sz="0" w:space="0" w:color="auto"/>
        <w:bottom w:val="none" w:sz="0" w:space="0" w:color="auto"/>
        <w:right w:val="none" w:sz="0" w:space="0" w:color="auto"/>
      </w:divBdr>
    </w:div>
    <w:div w:id="563956414">
      <w:bodyDiv w:val="1"/>
      <w:marLeft w:val="0"/>
      <w:marRight w:val="0"/>
      <w:marTop w:val="0"/>
      <w:marBottom w:val="0"/>
      <w:divBdr>
        <w:top w:val="none" w:sz="0" w:space="0" w:color="auto"/>
        <w:left w:val="none" w:sz="0" w:space="0" w:color="auto"/>
        <w:bottom w:val="none" w:sz="0" w:space="0" w:color="auto"/>
        <w:right w:val="none" w:sz="0" w:space="0" w:color="auto"/>
      </w:divBdr>
    </w:div>
    <w:div w:id="577444302">
      <w:bodyDiv w:val="1"/>
      <w:marLeft w:val="0"/>
      <w:marRight w:val="0"/>
      <w:marTop w:val="0"/>
      <w:marBottom w:val="0"/>
      <w:divBdr>
        <w:top w:val="none" w:sz="0" w:space="0" w:color="auto"/>
        <w:left w:val="none" w:sz="0" w:space="0" w:color="auto"/>
        <w:bottom w:val="none" w:sz="0" w:space="0" w:color="auto"/>
        <w:right w:val="none" w:sz="0" w:space="0" w:color="auto"/>
      </w:divBdr>
    </w:div>
    <w:div w:id="581915669">
      <w:bodyDiv w:val="1"/>
      <w:marLeft w:val="0"/>
      <w:marRight w:val="0"/>
      <w:marTop w:val="0"/>
      <w:marBottom w:val="0"/>
      <w:divBdr>
        <w:top w:val="none" w:sz="0" w:space="0" w:color="auto"/>
        <w:left w:val="none" w:sz="0" w:space="0" w:color="auto"/>
        <w:bottom w:val="none" w:sz="0" w:space="0" w:color="auto"/>
        <w:right w:val="none" w:sz="0" w:space="0" w:color="auto"/>
      </w:divBdr>
    </w:div>
    <w:div w:id="607658111">
      <w:bodyDiv w:val="1"/>
      <w:marLeft w:val="0"/>
      <w:marRight w:val="0"/>
      <w:marTop w:val="0"/>
      <w:marBottom w:val="0"/>
      <w:divBdr>
        <w:top w:val="none" w:sz="0" w:space="0" w:color="auto"/>
        <w:left w:val="none" w:sz="0" w:space="0" w:color="auto"/>
        <w:bottom w:val="none" w:sz="0" w:space="0" w:color="auto"/>
        <w:right w:val="none" w:sz="0" w:space="0" w:color="auto"/>
      </w:divBdr>
    </w:div>
    <w:div w:id="617641756">
      <w:bodyDiv w:val="1"/>
      <w:marLeft w:val="0"/>
      <w:marRight w:val="0"/>
      <w:marTop w:val="0"/>
      <w:marBottom w:val="0"/>
      <w:divBdr>
        <w:top w:val="none" w:sz="0" w:space="0" w:color="auto"/>
        <w:left w:val="none" w:sz="0" w:space="0" w:color="auto"/>
        <w:bottom w:val="none" w:sz="0" w:space="0" w:color="auto"/>
        <w:right w:val="none" w:sz="0" w:space="0" w:color="auto"/>
      </w:divBdr>
    </w:div>
    <w:div w:id="618224911">
      <w:bodyDiv w:val="1"/>
      <w:marLeft w:val="0"/>
      <w:marRight w:val="0"/>
      <w:marTop w:val="0"/>
      <w:marBottom w:val="0"/>
      <w:divBdr>
        <w:top w:val="none" w:sz="0" w:space="0" w:color="auto"/>
        <w:left w:val="none" w:sz="0" w:space="0" w:color="auto"/>
        <w:bottom w:val="none" w:sz="0" w:space="0" w:color="auto"/>
        <w:right w:val="none" w:sz="0" w:space="0" w:color="auto"/>
      </w:divBdr>
    </w:div>
    <w:div w:id="642584650">
      <w:bodyDiv w:val="1"/>
      <w:marLeft w:val="0"/>
      <w:marRight w:val="0"/>
      <w:marTop w:val="0"/>
      <w:marBottom w:val="0"/>
      <w:divBdr>
        <w:top w:val="none" w:sz="0" w:space="0" w:color="auto"/>
        <w:left w:val="none" w:sz="0" w:space="0" w:color="auto"/>
        <w:bottom w:val="none" w:sz="0" w:space="0" w:color="auto"/>
        <w:right w:val="none" w:sz="0" w:space="0" w:color="auto"/>
      </w:divBdr>
    </w:div>
    <w:div w:id="652756767">
      <w:bodyDiv w:val="1"/>
      <w:marLeft w:val="0"/>
      <w:marRight w:val="0"/>
      <w:marTop w:val="0"/>
      <w:marBottom w:val="0"/>
      <w:divBdr>
        <w:top w:val="none" w:sz="0" w:space="0" w:color="auto"/>
        <w:left w:val="none" w:sz="0" w:space="0" w:color="auto"/>
        <w:bottom w:val="none" w:sz="0" w:space="0" w:color="auto"/>
        <w:right w:val="none" w:sz="0" w:space="0" w:color="auto"/>
      </w:divBdr>
    </w:div>
    <w:div w:id="658465923">
      <w:bodyDiv w:val="1"/>
      <w:marLeft w:val="0"/>
      <w:marRight w:val="0"/>
      <w:marTop w:val="0"/>
      <w:marBottom w:val="0"/>
      <w:divBdr>
        <w:top w:val="none" w:sz="0" w:space="0" w:color="auto"/>
        <w:left w:val="none" w:sz="0" w:space="0" w:color="auto"/>
        <w:bottom w:val="none" w:sz="0" w:space="0" w:color="auto"/>
        <w:right w:val="none" w:sz="0" w:space="0" w:color="auto"/>
      </w:divBdr>
    </w:div>
    <w:div w:id="662512472">
      <w:bodyDiv w:val="1"/>
      <w:marLeft w:val="0"/>
      <w:marRight w:val="0"/>
      <w:marTop w:val="0"/>
      <w:marBottom w:val="0"/>
      <w:divBdr>
        <w:top w:val="none" w:sz="0" w:space="0" w:color="auto"/>
        <w:left w:val="none" w:sz="0" w:space="0" w:color="auto"/>
        <w:bottom w:val="none" w:sz="0" w:space="0" w:color="auto"/>
        <w:right w:val="none" w:sz="0" w:space="0" w:color="auto"/>
      </w:divBdr>
    </w:div>
    <w:div w:id="695665047">
      <w:bodyDiv w:val="1"/>
      <w:marLeft w:val="0"/>
      <w:marRight w:val="0"/>
      <w:marTop w:val="0"/>
      <w:marBottom w:val="0"/>
      <w:divBdr>
        <w:top w:val="none" w:sz="0" w:space="0" w:color="auto"/>
        <w:left w:val="none" w:sz="0" w:space="0" w:color="auto"/>
        <w:bottom w:val="none" w:sz="0" w:space="0" w:color="auto"/>
        <w:right w:val="none" w:sz="0" w:space="0" w:color="auto"/>
      </w:divBdr>
    </w:div>
    <w:div w:id="711076710">
      <w:bodyDiv w:val="1"/>
      <w:marLeft w:val="0"/>
      <w:marRight w:val="0"/>
      <w:marTop w:val="0"/>
      <w:marBottom w:val="0"/>
      <w:divBdr>
        <w:top w:val="none" w:sz="0" w:space="0" w:color="auto"/>
        <w:left w:val="none" w:sz="0" w:space="0" w:color="auto"/>
        <w:bottom w:val="none" w:sz="0" w:space="0" w:color="auto"/>
        <w:right w:val="none" w:sz="0" w:space="0" w:color="auto"/>
      </w:divBdr>
    </w:div>
    <w:div w:id="731847674">
      <w:bodyDiv w:val="1"/>
      <w:marLeft w:val="0"/>
      <w:marRight w:val="0"/>
      <w:marTop w:val="0"/>
      <w:marBottom w:val="0"/>
      <w:divBdr>
        <w:top w:val="none" w:sz="0" w:space="0" w:color="auto"/>
        <w:left w:val="none" w:sz="0" w:space="0" w:color="auto"/>
        <w:bottom w:val="none" w:sz="0" w:space="0" w:color="auto"/>
        <w:right w:val="none" w:sz="0" w:space="0" w:color="auto"/>
      </w:divBdr>
    </w:div>
    <w:div w:id="746808668">
      <w:bodyDiv w:val="1"/>
      <w:marLeft w:val="0"/>
      <w:marRight w:val="0"/>
      <w:marTop w:val="0"/>
      <w:marBottom w:val="0"/>
      <w:divBdr>
        <w:top w:val="none" w:sz="0" w:space="0" w:color="auto"/>
        <w:left w:val="none" w:sz="0" w:space="0" w:color="auto"/>
        <w:bottom w:val="none" w:sz="0" w:space="0" w:color="auto"/>
        <w:right w:val="none" w:sz="0" w:space="0" w:color="auto"/>
      </w:divBdr>
    </w:div>
    <w:div w:id="758405358">
      <w:bodyDiv w:val="1"/>
      <w:marLeft w:val="0"/>
      <w:marRight w:val="0"/>
      <w:marTop w:val="0"/>
      <w:marBottom w:val="0"/>
      <w:divBdr>
        <w:top w:val="none" w:sz="0" w:space="0" w:color="auto"/>
        <w:left w:val="none" w:sz="0" w:space="0" w:color="auto"/>
        <w:bottom w:val="none" w:sz="0" w:space="0" w:color="auto"/>
        <w:right w:val="none" w:sz="0" w:space="0" w:color="auto"/>
      </w:divBdr>
    </w:div>
    <w:div w:id="758986873">
      <w:bodyDiv w:val="1"/>
      <w:marLeft w:val="0"/>
      <w:marRight w:val="0"/>
      <w:marTop w:val="0"/>
      <w:marBottom w:val="0"/>
      <w:divBdr>
        <w:top w:val="none" w:sz="0" w:space="0" w:color="auto"/>
        <w:left w:val="none" w:sz="0" w:space="0" w:color="auto"/>
        <w:bottom w:val="none" w:sz="0" w:space="0" w:color="auto"/>
        <w:right w:val="none" w:sz="0" w:space="0" w:color="auto"/>
      </w:divBdr>
    </w:div>
    <w:div w:id="775901145">
      <w:bodyDiv w:val="1"/>
      <w:marLeft w:val="0"/>
      <w:marRight w:val="0"/>
      <w:marTop w:val="0"/>
      <w:marBottom w:val="0"/>
      <w:divBdr>
        <w:top w:val="none" w:sz="0" w:space="0" w:color="auto"/>
        <w:left w:val="none" w:sz="0" w:space="0" w:color="auto"/>
        <w:bottom w:val="none" w:sz="0" w:space="0" w:color="auto"/>
        <w:right w:val="none" w:sz="0" w:space="0" w:color="auto"/>
      </w:divBdr>
    </w:div>
    <w:div w:id="778257664">
      <w:bodyDiv w:val="1"/>
      <w:marLeft w:val="0"/>
      <w:marRight w:val="0"/>
      <w:marTop w:val="0"/>
      <w:marBottom w:val="0"/>
      <w:divBdr>
        <w:top w:val="none" w:sz="0" w:space="0" w:color="auto"/>
        <w:left w:val="none" w:sz="0" w:space="0" w:color="auto"/>
        <w:bottom w:val="none" w:sz="0" w:space="0" w:color="auto"/>
        <w:right w:val="none" w:sz="0" w:space="0" w:color="auto"/>
      </w:divBdr>
    </w:div>
    <w:div w:id="788817616">
      <w:bodyDiv w:val="1"/>
      <w:marLeft w:val="0"/>
      <w:marRight w:val="0"/>
      <w:marTop w:val="0"/>
      <w:marBottom w:val="0"/>
      <w:divBdr>
        <w:top w:val="none" w:sz="0" w:space="0" w:color="auto"/>
        <w:left w:val="none" w:sz="0" w:space="0" w:color="auto"/>
        <w:bottom w:val="none" w:sz="0" w:space="0" w:color="auto"/>
        <w:right w:val="none" w:sz="0" w:space="0" w:color="auto"/>
      </w:divBdr>
    </w:div>
    <w:div w:id="797065865">
      <w:bodyDiv w:val="1"/>
      <w:marLeft w:val="0"/>
      <w:marRight w:val="0"/>
      <w:marTop w:val="0"/>
      <w:marBottom w:val="0"/>
      <w:divBdr>
        <w:top w:val="none" w:sz="0" w:space="0" w:color="auto"/>
        <w:left w:val="none" w:sz="0" w:space="0" w:color="auto"/>
        <w:bottom w:val="none" w:sz="0" w:space="0" w:color="auto"/>
        <w:right w:val="none" w:sz="0" w:space="0" w:color="auto"/>
      </w:divBdr>
    </w:div>
    <w:div w:id="800538152">
      <w:bodyDiv w:val="1"/>
      <w:marLeft w:val="0"/>
      <w:marRight w:val="0"/>
      <w:marTop w:val="0"/>
      <w:marBottom w:val="0"/>
      <w:divBdr>
        <w:top w:val="none" w:sz="0" w:space="0" w:color="auto"/>
        <w:left w:val="none" w:sz="0" w:space="0" w:color="auto"/>
        <w:bottom w:val="none" w:sz="0" w:space="0" w:color="auto"/>
        <w:right w:val="none" w:sz="0" w:space="0" w:color="auto"/>
      </w:divBdr>
    </w:div>
    <w:div w:id="816996862">
      <w:bodyDiv w:val="1"/>
      <w:marLeft w:val="0"/>
      <w:marRight w:val="0"/>
      <w:marTop w:val="0"/>
      <w:marBottom w:val="0"/>
      <w:divBdr>
        <w:top w:val="none" w:sz="0" w:space="0" w:color="auto"/>
        <w:left w:val="none" w:sz="0" w:space="0" w:color="auto"/>
        <w:bottom w:val="none" w:sz="0" w:space="0" w:color="auto"/>
        <w:right w:val="none" w:sz="0" w:space="0" w:color="auto"/>
      </w:divBdr>
    </w:div>
    <w:div w:id="838891644">
      <w:bodyDiv w:val="1"/>
      <w:marLeft w:val="0"/>
      <w:marRight w:val="0"/>
      <w:marTop w:val="0"/>
      <w:marBottom w:val="0"/>
      <w:divBdr>
        <w:top w:val="none" w:sz="0" w:space="0" w:color="auto"/>
        <w:left w:val="none" w:sz="0" w:space="0" w:color="auto"/>
        <w:bottom w:val="none" w:sz="0" w:space="0" w:color="auto"/>
        <w:right w:val="none" w:sz="0" w:space="0" w:color="auto"/>
      </w:divBdr>
    </w:div>
    <w:div w:id="840585316">
      <w:bodyDiv w:val="1"/>
      <w:marLeft w:val="0"/>
      <w:marRight w:val="0"/>
      <w:marTop w:val="0"/>
      <w:marBottom w:val="0"/>
      <w:divBdr>
        <w:top w:val="none" w:sz="0" w:space="0" w:color="auto"/>
        <w:left w:val="none" w:sz="0" w:space="0" w:color="auto"/>
        <w:bottom w:val="none" w:sz="0" w:space="0" w:color="auto"/>
        <w:right w:val="none" w:sz="0" w:space="0" w:color="auto"/>
      </w:divBdr>
    </w:div>
    <w:div w:id="868303197">
      <w:bodyDiv w:val="1"/>
      <w:marLeft w:val="0"/>
      <w:marRight w:val="0"/>
      <w:marTop w:val="0"/>
      <w:marBottom w:val="0"/>
      <w:divBdr>
        <w:top w:val="none" w:sz="0" w:space="0" w:color="auto"/>
        <w:left w:val="none" w:sz="0" w:space="0" w:color="auto"/>
        <w:bottom w:val="none" w:sz="0" w:space="0" w:color="auto"/>
        <w:right w:val="none" w:sz="0" w:space="0" w:color="auto"/>
      </w:divBdr>
      <w:divsChild>
        <w:div w:id="869024945">
          <w:marLeft w:val="0"/>
          <w:marRight w:val="0"/>
          <w:marTop w:val="240"/>
          <w:marBottom w:val="240"/>
          <w:divBdr>
            <w:top w:val="none" w:sz="0" w:space="0" w:color="auto"/>
            <w:left w:val="none" w:sz="0" w:space="0" w:color="auto"/>
            <w:bottom w:val="none" w:sz="0" w:space="0" w:color="auto"/>
            <w:right w:val="none" w:sz="0" w:space="0" w:color="auto"/>
          </w:divBdr>
        </w:div>
        <w:div w:id="1777016513">
          <w:marLeft w:val="0"/>
          <w:marRight w:val="0"/>
          <w:marTop w:val="240"/>
          <w:marBottom w:val="240"/>
          <w:divBdr>
            <w:top w:val="none" w:sz="0" w:space="0" w:color="auto"/>
            <w:left w:val="none" w:sz="0" w:space="0" w:color="auto"/>
            <w:bottom w:val="none" w:sz="0" w:space="0" w:color="auto"/>
            <w:right w:val="none" w:sz="0" w:space="0" w:color="auto"/>
          </w:divBdr>
        </w:div>
        <w:div w:id="1736779520">
          <w:marLeft w:val="0"/>
          <w:marRight w:val="0"/>
          <w:marTop w:val="240"/>
          <w:marBottom w:val="240"/>
          <w:divBdr>
            <w:top w:val="none" w:sz="0" w:space="0" w:color="auto"/>
            <w:left w:val="none" w:sz="0" w:space="0" w:color="auto"/>
            <w:bottom w:val="none" w:sz="0" w:space="0" w:color="auto"/>
            <w:right w:val="none" w:sz="0" w:space="0" w:color="auto"/>
          </w:divBdr>
        </w:div>
      </w:divsChild>
    </w:div>
    <w:div w:id="868639773">
      <w:bodyDiv w:val="1"/>
      <w:marLeft w:val="0"/>
      <w:marRight w:val="0"/>
      <w:marTop w:val="0"/>
      <w:marBottom w:val="0"/>
      <w:divBdr>
        <w:top w:val="none" w:sz="0" w:space="0" w:color="auto"/>
        <w:left w:val="none" w:sz="0" w:space="0" w:color="auto"/>
        <w:bottom w:val="none" w:sz="0" w:space="0" w:color="auto"/>
        <w:right w:val="none" w:sz="0" w:space="0" w:color="auto"/>
      </w:divBdr>
    </w:div>
    <w:div w:id="874999535">
      <w:bodyDiv w:val="1"/>
      <w:marLeft w:val="0"/>
      <w:marRight w:val="0"/>
      <w:marTop w:val="0"/>
      <w:marBottom w:val="0"/>
      <w:divBdr>
        <w:top w:val="none" w:sz="0" w:space="0" w:color="auto"/>
        <w:left w:val="none" w:sz="0" w:space="0" w:color="auto"/>
        <w:bottom w:val="none" w:sz="0" w:space="0" w:color="auto"/>
        <w:right w:val="none" w:sz="0" w:space="0" w:color="auto"/>
      </w:divBdr>
    </w:div>
    <w:div w:id="876161981">
      <w:bodyDiv w:val="1"/>
      <w:marLeft w:val="0"/>
      <w:marRight w:val="0"/>
      <w:marTop w:val="0"/>
      <w:marBottom w:val="0"/>
      <w:divBdr>
        <w:top w:val="none" w:sz="0" w:space="0" w:color="auto"/>
        <w:left w:val="none" w:sz="0" w:space="0" w:color="auto"/>
        <w:bottom w:val="none" w:sz="0" w:space="0" w:color="auto"/>
        <w:right w:val="none" w:sz="0" w:space="0" w:color="auto"/>
      </w:divBdr>
    </w:div>
    <w:div w:id="883368946">
      <w:bodyDiv w:val="1"/>
      <w:marLeft w:val="0"/>
      <w:marRight w:val="0"/>
      <w:marTop w:val="0"/>
      <w:marBottom w:val="0"/>
      <w:divBdr>
        <w:top w:val="none" w:sz="0" w:space="0" w:color="auto"/>
        <w:left w:val="none" w:sz="0" w:space="0" w:color="auto"/>
        <w:bottom w:val="none" w:sz="0" w:space="0" w:color="auto"/>
        <w:right w:val="none" w:sz="0" w:space="0" w:color="auto"/>
      </w:divBdr>
    </w:div>
    <w:div w:id="886332656">
      <w:bodyDiv w:val="1"/>
      <w:marLeft w:val="0"/>
      <w:marRight w:val="0"/>
      <w:marTop w:val="0"/>
      <w:marBottom w:val="0"/>
      <w:divBdr>
        <w:top w:val="none" w:sz="0" w:space="0" w:color="auto"/>
        <w:left w:val="none" w:sz="0" w:space="0" w:color="auto"/>
        <w:bottom w:val="none" w:sz="0" w:space="0" w:color="auto"/>
        <w:right w:val="none" w:sz="0" w:space="0" w:color="auto"/>
      </w:divBdr>
    </w:div>
    <w:div w:id="912935320">
      <w:bodyDiv w:val="1"/>
      <w:marLeft w:val="0"/>
      <w:marRight w:val="0"/>
      <w:marTop w:val="0"/>
      <w:marBottom w:val="0"/>
      <w:divBdr>
        <w:top w:val="none" w:sz="0" w:space="0" w:color="auto"/>
        <w:left w:val="none" w:sz="0" w:space="0" w:color="auto"/>
        <w:bottom w:val="none" w:sz="0" w:space="0" w:color="auto"/>
        <w:right w:val="none" w:sz="0" w:space="0" w:color="auto"/>
      </w:divBdr>
    </w:div>
    <w:div w:id="924994189">
      <w:bodyDiv w:val="1"/>
      <w:marLeft w:val="0"/>
      <w:marRight w:val="0"/>
      <w:marTop w:val="0"/>
      <w:marBottom w:val="0"/>
      <w:divBdr>
        <w:top w:val="none" w:sz="0" w:space="0" w:color="auto"/>
        <w:left w:val="none" w:sz="0" w:space="0" w:color="auto"/>
        <w:bottom w:val="none" w:sz="0" w:space="0" w:color="auto"/>
        <w:right w:val="none" w:sz="0" w:space="0" w:color="auto"/>
      </w:divBdr>
    </w:div>
    <w:div w:id="936792303">
      <w:bodyDiv w:val="1"/>
      <w:marLeft w:val="0"/>
      <w:marRight w:val="0"/>
      <w:marTop w:val="0"/>
      <w:marBottom w:val="0"/>
      <w:divBdr>
        <w:top w:val="none" w:sz="0" w:space="0" w:color="auto"/>
        <w:left w:val="none" w:sz="0" w:space="0" w:color="auto"/>
        <w:bottom w:val="none" w:sz="0" w:space="0" w:color="auto"/>
        <w:right w:val="none" w:sz="0" w:space="0" w:color="auto"/>
      </w:divBdr>
    </w:div>
    <w:div w:id="940916606">
      <w:bodyDiv w:val="1"/>
      <w:marLeft w:val="0"/>
      <w:marRight w:val="0"/>
      <w:marTop w:val="0"/>
      <w:marBottom w:val="0"/>
      <w:divBdr>
        <w:top w:val="none" w:sz="0" w:space="0" w:color="auto"/>
        <w:left w:val="none" w:sz="0" w:space="0" w:color="auto"/>
        <w:bottom w:val="none" w:sz="0" w:space="0" w:color="auto"/>
        <w:right w:val="none" w:sz="0" w:space="0" w:color="auto"/>
      </w:divBdr>
    </w:div>
    <w:div w:id="944533144">
      <w:bodyDiv w:val="1"/>
      <w:marLeft w:val="0"/>
      <w:marRight w:val="0"/>
      <w:marTop w:val="0"/>
      <w:marBottom w:val="0"/>
      <w:divBdr>
        <w:top w:val="none" w:sz="0" w:space="0" w:color="auto"/>
        <w:left w:val="none" w:sz="0" w:space="0" w:color="auto"/>
        <w:bottom w:val="none" w:sz="0" w:space="0" w:color="auto"/>
        <w:right w:val="none" w:sz="0" w:space="0" w:color="auto"/>
      </w:divBdr>
    </w:div>
    <w:div w:id="953558134">
      <w:bodyDiv w:val="1"/>
      <w:marLeft w:val="0"/>
      <w:marRight w:val="0"/>
      <w:marTop w:val="0"/>
      <w:marBottom w:val="0"/>
      <w:divBdr>
        <w:top w:val="none" w:sz="0" w:space="0" w:color="auto"/>
        <w:left w:val="none" w:sz="0" w:space="0" w:color="auto"/>
        <w:bottom w:val="none" w:sz="0" w:space="0" w:color="auto"/>
        <w:right w:val="none" w:sz="0" w:space="0" w:color="auto"/>
      </w:divBdr>
    </w:div>
    <w:div w:id="977298065">
      <w:bodyDiv w:val="1"/>
      <w:marLeft w:val="0"/>
      <w:marRight w:val="0"/>
      <w:marTop w:val="0"/>
      <w:marBottom w:val="0"/>
      <w:divBdr>
        <w:top w:val="none" w:sz="0" w:space="0" w:color="auto"/>
        <w:left w:val="none" w:sz="0" w:space="0" w:color="auto"/>
        <w:bottom w:val="none" w:sz="0" w:space="0" w:color="auto"/>
        <w:right w:val="none" w:sz="0" w:space="0" w:color="auto"/>
      </w:divBdr>
    </w:div>
    <w:div w:id="977690116">
      <w:bodyDiv w:val="1"/>
      <w:marLeft w:val="0"/>
      <w:marRight w:val="0"/>
      <w:marTop w:val="0"/>
      <w:marBottom w:val="0"/>
      <w:divBdr>
        <w:top w:val="none" w:sz="0" w:space="0" w:color="auto"/>
        <w:left w:val="none" w:sz="0" w:space="0" w:color="auto"/>
        <w:bottom w:val="none" w:sz="0" w:space="0" w:color="auto"/>
        <w:right w:val="none" w:sz="0" w:space="0" w:color="auto"/>
      </w:divBdr>
      <w:divsChild>
        <w:div w:id="2110805947">
          <w:marLeft w:val="0"/>
          <w:marRight w:val="0"/>
          <w:marTop w:val="0"/>
          <w:marBottom w:val="0"/>
          <w:divBdr>
            <w:top w:val="none" w:sz="0" w:space="0" w:color="auto"/>
            <w:left w:val="none" w:sz="0" w:space="0" w:color="auto"/>
            <w:bottom w:val="none" w:sz="0" w:space="0" w:color="auto"/>
            <w:right w:val="none" w:sz="0" w:space="0" w:color="auto"/>
          </w:divBdr>
        </w:div>
      </w:divsChild>
    </w:div>
    <w:div w:id="981085331">
      <w:bodyDiv w:val="1"/>
      <w:marLeft w:val="0"/>
      <w:marRight w:val="0"/>
      <w:marTop w:val="0"/>
      <w:marBottom w:val="0"/>
      <w:divBdr>
        <w:top w:val="none" w:sz="0" w:space="0" w:color="auto"/>
        <w:left w:val="none" w:sz="0" w:space="0" w:color="auto"/>
        <w:bottom w:val="none" w:sz="0" w:space="0" w:color="auto"/>
        <w:right w:val="none" w:sz="0" w:space="0" w:color="auto"/>
      </w:divBdr>
    </w:div>
    <w:div w:id="983433518">
      <w:bodyDiv w:val="1"/>
      <w:marLeft w:val="0"/>
      <w:marRight w:val="0"/>
      <w:marTop w:val="0"/>
      <w:marBottom w:val="0"/>
      <w:divBdr>
        <w:top w:val="none" w:sz="0" w:space="0" w:color="auto"/>
        <w:left w:val="none" w:sz="0" w:space="0" w:color="auto"/>
        <w:bottom w:val="none" w:sz="0" w:space="0" w:color="auto"/>
        <w:right w:val="none" w:sz="0" w:space="0" w:color="auto"/>
      </w:divBdr>
    </w:div>
    <w:div w:id="999843742">
      <w:bodyDiv w:val="1"/>
      <w:marLeft w:val="0"/>
      <w:marRight w:val="0"/>
      <w:marTop w:val="0"/>
      <w:marBottom w:val="0"/>
      <w:divBdr>
        <w:top w:val="none" w:sz="0" w:space="0" w:color="auto"/>
        <w:left w:val="none" w:sz="0" w:space="0" w:color="auto"/>
        <w:bottom w:val="none" w:sz="0" w:space="0" w:color="auto"/>
        <w:right w:val="none" w:sz="0" w:space="0" w:color="auto"/>
      </w:divBdr>
    </w:div>
    <w:div w:id="1004236425">
      <w:bodyDiv w:val="1"/>
      <w:marLeft w:val="0"/>
      <w:marRight w:val="0"/>
      <w:marTop w:val="0"/>
      <w:marBottom w:val="0"/>
      <w:divBdr>
        <w:top w:val="none" w:sz="0" w:space="0" w:color="auto"/>
        <w:left w:val="none" w:sz="0" w:space="0" w:color="auto"/>
        <w:bottom w:val="none" w:sz="0" w:space="0" w:color="auto"/>
        <w:right w:val="none" w:sz="0" w:space="0" w:color="auto"/>
      </w:divBdr>
    </w:div>
    <w:div w:id="1013842500">
      <w:bodyDiv w:val="1"/>
      <w:marLeft w:val="0"/>
      <w:marRight w:val="0"/>
      <w:marTop w:val="0"/>
      <w:marBottom w:val="0"/>
      <w:divBdr>
        <w:top w:val="none" w:sz="0" w:space="0" w:color="auto"/>
        <w:left w:val="none" w:sz="0" w:space="0" w:color="auto"/>
        <w:bottom w:val="none" w:sz="0" w:space="0" w:color="auto"/>
        <w:right w:val="none" w:sz="0" w:space="0" w:color="auto"/>
      </w:divBdr>
    </w:div>
    <w:div w:id="1024752033">
      <w:bodyDiv w:val="1"/>
      <w:marLeft w:val="0"/>
      <w:marRight w:val="0"/>
      <w:marTop w:val="0"/>
      <w:marBottom w:val="0"/>
      <w:divBdr>
        <w:top w:val="none" w:sz="0" w:space="0" w:color="auto"/>
        <w:left w:val="none" w:sz="0" w:space="0" w:color="auto"/>
        <w:bottom w:val="none" w:sz="0" w:space="0" w:color="auto"/>
        <w:right w:val="none" w:sz="0" w:space="0" w:color="auto"/>
      </w:divBdr>
    </w:div>
    <w:div w:id="1046610187">
      <w:bodyDiv w:val="1"/>
      <w:marLeft w:val="0"/>
      <w:marRight w:val="0"/>
      <w:marTop w:val="0"/>
      <w:marBottom w:val="0"/>
      <w:divBdr>
        <w:top w:val="none" w:sz="0" w:space="0" w:color="auto"/>
        <w:left w:val="none" w:sz="0" w:space="0" w:color="auto"/>
        <w:bottom w:val="none" w:sz="0" w:space="0" w:color="auto"/>
        <w:right w:val="none" w:sz="0" w:space="0" w:color="auto"/>
      </w:divBdr>
    </w:div>
    <w:div w:id="1083263879">
      <w:bodyDiv w:val="1"/>
      <w:marLeft w:val="0"/>
      <w:marRight w:val="0"/>
      <w:marTop w:val="0"/>
      <w:marBottom w:val="0"/>
      <w:divBdr>
        <w:top w:val="none" w:sz="0" w:space="0" w:color="auto"/>
        <w:left w:val="none" w:sz="0" w:space="0" w:color="auto"/>
        <w:bottom w:val="none" w:sz="0" w:space="0" w:color="auto"/>
        <w:right w:val="none" w:sz="0" w:space="0" w:color="auto"/>
      </w:divBdr>
    </w:div>
    <w:div w:id="1091198864">
      <w:bodyDiv w:val="1"/>
      <w:marLeft w:val="0"/>
      <w:marRight w:val="0"/>
      <w:marTop w:val="0"/>
      <w:marBottom w:val="0"/>
      <w:divBdr>
        <w:top w:val="none" w:sz="0" w:space="0" w:color="auto"/>
        <w:left w:val="none" w:sz="0" w:space="0" w:color="auto"/>
        <w:bottom w:val="none" w:sz="0" w:space="0" w:color="auto"/>
        <w:right w:val="none" w:sz="0" w:space="0" w:color="auto"/>
      </w:divBdr>
    </w:div>
    <w:div w:id="1104301980">
      <w:bodyDiv w:val="1"/>
      <w:marLeft w:val="0"/>
      <w:marRight w:val="0"/>
      <w:marTop w:val="0"/>
      <w:marBottom w:val="0"/>
      <w:divBdr>
        <w:top w:val="none" w:sz="0" w:space="0" w:color="auto"/>
        <w:left w:val="none" w:sz="0" w:space="0" w:color="auto"/>
        <w:bottom w:val="none" w:sz="0" w:space="0" w:color="auto"/>
        <w:right w:val="none" w:sz="0" w:space="0" w:color="auto"/>
      </w:divBdr>
    </w:div>
    <w:div w:id="1132291200">
      <w:bodyDiv w:val="1"/>
      <w:marLeft w:val="0"/>
      <w:marRight w:val="0"/>
      <w:marTop w:val="0"/>
      <w:marBottom w:val="0"/>
      <w:divBdr>
        <w:top w:val="none" w:sz="0" w:space="0" w:color="auto"/>
        <w:left w:val="none" w:sz="0" w:space="0" w:color="auto"/>
        <w:bottom w:val="none" w:sz="0" w:space="0" w:color="auto"/>
        <w:right w:val="none" w:sz="0" w:space="0" w:color="auto"/>
      </w:divBdr>
      <w:divsChild>
        <w:div w:id="464549534">
          <w:marLeft w:val="0"/>
          <w:marRight w:val="0"/>
          <w:marTop w:val="240"/>
          <w:marBottom w:val="240"/>
          <w:divBdr>
            <w:top w:val="none" w:sz="0" w:space="0" w:color="auto"/>
            <w:left w:val="none" w:sz="0" w:space="0" w:color="auto"/>
            <w:bottom w:val="none" w:sz="0" w:space="0" w:color="auto"/>
            <w:right w:val="none" w:sz="0" w:space="0" w:color="auto"/>
          </w:divBdr>
        </w:div>
      </w:divsChild>
    </w:div>
    <w:div w:id="1140420628">
      <w:bodyDiv w:val="1"/>
      <w:marLeft w:val="0"/>
      <w:marRight w:val="0"/>
      <w:marTop w:val="0"/>
      <w:marBottom w:val="0"/>
      <w:divBdr>
        <w:top w:val="none" w:sz="0" w:space="0" w:color="auto"/>
        <w:left w:val="none" w:sz="0" w:space="0" w:color="auto"/>
        <w:bottom w:val="none" w:sz="0" w:space="0" w:color="auto"/>
        <w:right w:val="none" w:sz="0" w:space="0" w:color="auto"/>
      </w:divBdr>
      <w:divsChild>
        <w:div w:id="838275629">
          <w:marLeft w:val="0"/>
          <w:marRight w:val="0"/>
          <w:marTop w:val="0"/>
          <w:marBottom w:val="0"/>
          <w:divBdr>
            <w:top w:val="none" w:sz="0" w:space="0" w:color="auto"/>
            <w:left w:val="none" w:sz="0" w:space="0" w:color="auto"/>
            <w:bottom w:val="none" w:sz="0" w:space="0" w:color="auto"/>
            <w:right w:val="none" w:sz="0" w:space="0" w:color="auto"/>
          </w:divBdr>
        </w:div>
        <w:div w:id="1754741602">
          <w:marLeft w:val="0"/>
          <w:marRight w:val="0"/>
          <w:marTop w:val="0"/>
          <w:marBottom w:val="0"/>
          <w:divBdr>
            <w:top w:val="none" w:sz="0" w:space="0" w:color="auto"/>
            <w:left w:val="none" w:sz="0" w:space="0" w:color="auto"/>
            <w:bottom w:val="none" w:sz="0" w:space="0" w:color="auto"/>
            <w:right w:val="none" w:sz="0" w:space="0" w:color="auto"/>
          </w:divBdr>
        </w:div>
      </w:divsChild>
    </w:div>
    <w:div w:id="1165441387">
      <w:bodyDiv w:val="1"/>
      <w:marLeft w:val="0"/>
      <w:marRight w:val="0"/>
      <w:marTop w:val="0"/>
      <w:marBottom w:val="0"/>
      <w:divBdr>
        <w:top w:val="none" w:sz="0" w:space="0" w:color="auto"/>
        <w:left w:val="none" w:sz="0" w:space="0" w:color="auto"/>
        <w:bottom w:val="none" w:sz="0" w:space="0" w:color="auto"/>
        <w:right w:val="none" w:sz="0" w:space="0" w:color="auto"/>
      </w:divBdr>
    </w:div>
    <w:div w:id="1170759649">
      <w:bodyDiv w:val="1"/>
      <w:marLeft w:val="0"/>
      <w:marRight w:val="0"/>
      <w:marTop w:val="0"/>
      <w:marBottom w:val="0"/>
      <w:divBdr>
        <w:top w:val="none" w:sz="0" w:space="0" w:color="auto"/>
        <w:left w:val="none" w:sz="0" w:space="0" w:color="auto"/>
        <w:bottom w:val="none" w:sz="0" w:space="0" w:color="auto"/>
        <w:right w:val="none" w:sz="0" w:space="0" w:color="auto"/>
      </w:divBdr>
    </w:div>
    <w:div w:id="1177697148">
      <w:bodyDiv w:val="1"/>
      <w:marLeft w:val="0"/>
      <w:marRight w:val="0"/>
      <w:marTop w:val="0"/>
      <w:marBottom w:val="0"/>
      <w:divBdr>
        <w:top w:val="none" w:sz="0" w:space="0" w:color="auto"/>
        <w:left w:val="none" w:sz="0" w:space="0" w:color="auto"/>
        <w:bottom w:val="none" w:sz="0" w:space="0" w:color="auto"/>
        <w:right w:val="none" w:sz="0" w:space="0" w:color="auto"/>
      </w:divBdr>
    </w:div>
    <w:div w:id="1182204750">
      <w:bodyDiv w:val="1"/>
      <w:marLeft w:val="0"/>
      <w:marRight w:val="0"/>
      <w:marTop w:val="0"/>
      <w:marBottom w:val="0"/>
      <w:divBdr>
        <w:top w:val="none" w:sz="0" w:space="0" w:color="auto"/>
        <w:left w:val="none" w:sz="0" w:space="0" w:color="auto"/>
        <w:bottom w:val="none" w:sz="0" w:space="0" w:color="auto"/>
        <w:right w:val="none" w:sz="0" w:space="0" w:color="auto"/>
      </w:divBdr>
    </w:div>
    <w:div w:id="1183859447">
      <w:bodyDiv w:val="1"/>
      <w:marLeft w:val="0"/>
      <w:marRight w:val="0"/>
      <w:marTop w:val="0"/>
      <w:marBottom w:val="0"/>
      <w:divBdr>
        <w:top w:val="none" w:sz="0" w:space="0" w:color="auto"/>
        <w:left w:val="none" w:sz="0" w:space="0" w:color="auto"/>
        <w:bottom w:val="none" w:sz="0" w:space="0" w:color="auto"/>
        <w:right w:val="none" w:sz="0" w:space="0" w:color="auto"/>
      </w:divBdr>
    </w:div>
    <w:div w:id="1187061973">
      <w:bodyDiv w:val="1"/>
      <w:marLeft w:val="0"/>
      <w:marRight w:val="0"/>
      <w:marTop w:val="0"/>
      <w:marBottom w:val="0"/>
      <w:divBdr>
        <w:top w:val="none" w:sz="0" w:space="0" w:color="auto"/>
        <w:left w:val="none" w:sz="0" w:space="0" w:color="auto"/>
        <w:bottom w:val="none" w:sz="0" w:space="0" w:color="auto"/>
        <w:right w:val="none" w:sz="0" w:space="0" w:color="auto"/>
      </w:divBdr>
    </w:div>
    <w:div w:id="1190291641">
      <w:bodyDiv w:val="1"/>
      <w:marLeft w:val="0"/>
      <w:marRight w:val="0"/>
      <w:marTop w:val="0"/>
      <w:marBottom w:val="0"/>
      <w:divBdr>
        <w:top w:val="none" w:sz="0" w:space="0" w:color="auto"/>
        <w:left w:val="none" w:sz="0" w:space="0" w:color="auto"/>
        <w:bottom w:val="none" w:sz="0" w:space="0" w:color="auto"/>
        <w:right w:val="none" w:sz="0" w:space="0" w:color="auto"/>
      </w:divBdr>
    </w:div>
    <w:div w:id="1209952777">
      <w:bodyDiv w:val="1"/>
      <w:marLeft w:val="0"/>
      <w:marRight w:val="0"/>
      <w:marTop w:val="0"/>
      <w:marBottom w:val="0"/>
      <w:divBdr>
        <w:top w:val="none" w:sz="0" w:space="0" w:color="auto"/>
        <w:left w:val="none" w:sz="0" w:space="0" w:color="auto"/>
        <w:bottom w:val="none" w:sz="0" w:space="0" w:color="auto"/>
        <w:right w:val="none" w:sz="0" w:space="0" w:color="auto"/>
      </w:divBdr>
    </w:div>
    <w:div w:id="1212882549">
      <w:bodyDiv w:val="1"/>
      <w:marLeft w:val="0"/>
      <w:marRight w:val="0"/>
      <w:marTop w:val="0"/>
      <w:marBottom w:val="0"/>
      <w:divBdr>
        <w:top w:val="none" w:sz="0" w:space="0" w:color="auto"/>
        <w:left w:val="none" w:sz="0" w:space="0" w:color="auto"/>
        <w:bottom w:val="none" w:sz="0" w:space="0" w:color="auto"/>
        <w:right w:val="none" w:sz="0" w:space="0" w:color="auto"/>
      </w:divBdr>
    </w:div>
    <w:div w:id="1213469476">
      <w:bodyDiv w:val="1"/>
      <w:marLeft w:val="0"/>
      <w:marRight w:val="0"/>
      <w:marTop w:val="0"/>
      <w:marBottom w:val="0"/>
      <w:divBdr>
        <w:top w:val="none" w:sz="0" w:space="0" w:color="auto"/>
        <w:left w:val="none" w:sz="0" w:space="0" w:color="auto"/>
        <w:bottom w:val="none" w:sz="0" w:space="0" w:color="auto"/>
        <w:right w:val="none" w:sz="0" w:space="0" w:color="auto"/>
      </w:divBdr>
    </w:div>
    <w:div w:id="1228298209">
      <w:bodyDiv w:val="1"/>
      <w:marLeft w:val="0"/>
      <w:marRight w:val="0"/>
      <w:marTop w:val="0"/>
      <w:marBottom w:val="0"/>
      <w:divBdr>
        <w:top w:val="none" w:sz="0" w:space="0" w:color="auto"/>
        <w:left w:val="none" w:sz="0" w:space="0" w:color="auto"/>
        <w:bottom w:val="none" w:sz="0" w:space="0" w:color="auto"/>
        <w:right w:val="none" w:sz="0" w:space="0" w:color="auto"/>
      </w:divBdr>
    </w:div>
    <w:div w:id="1233270521">
      <w:bodyDiv w:val="1"/>
      <w:marLeft w:val="0"/>
      <w:marRight w:val="0"/>
      <w:marTop w:val="0"/>
      <w:marBottom w:val="0"/>
      <w:divBdr>
        <w:top w:val="none" w:sz="0" w:space="0" w:color="auto"/>
        <w:left w:val="none" w:sz="0" w:space="0" w:color="auto"/>
        <w:bottom w:val="none" w:sz="0" w:space="0" w:color="auto"/>
        <w:right w:val="none" w:sz="0" w:space="0" w:color="auto"/>
      </w:divBdr>
    </w:div>
    <w:div w:id="1236861331">
      <w:bodyDiv w:val="1"/>
      <w:marLeft w:val="0"/>
      <w:marRight w:val="0"/>
      <w:marTop w:val="0"/>
      <w:marBottom w:val="0"/>
      <w:divBdr>
        <w:top w:val="none" w:sz="0" w:space="0" w:color="auto"/>
        <w:left w:val="none" w:sz="0" w:space="0" w:color="auto"/>
        <w:bottom w:val="none" w:sz="0" w:space="0" w:color="auto"/>
        <w:right w:val="none" w:sz="0" w:space="0" w:color="auto"/>
      </w:divBdr>
    </w:div>
    <w:div w:id="1263369668">
      <w:bodyDiv w:val="1"/>
      <w:marLeft w:val="0"/>
      <w:marRight w:val="0"/>
      <w:marTop w:val="0"/>
      <w:marBottom w:val="0"/>
      <w:divBdr>
        <w:top w:val="none" w:sz="0" w:space="0" w:color="auto"/>
        <w:left w:val="none" w:sz="0" w:space="0" w:color="auto"/>
        <w:bottom w:val="none" w:sz="0" w:space="0" w:color="auto"/>
        <w:right w:val="none" w:sz="0" w:space="0" w:color="auto"/>
      </w:divBdr>
    </w:div>
    <w:div w:id="1265072455">
      <w:bodyDiv w:val="1"/>
      <w:marLeft w:val="0"/>
      <w:marRight w:val="0"/>
      <w:marTop w:val="0"/>
      <w:marBottom w:val="0"/>
      <w:divBdr>
        <w:top w:val="none" w:sz="0" w:space="0" w:color="auto"/>
        <w:left w:val="none" w:sz="0" w:space="0" w:color="auto"/>
        <w:bottom w:val="none" w:sz="0" w:space="0" w:color="auto"/>
        <w:right w:val="none" w:sz="0" w:space="0" w:color="auto"/>
      </w:divBdr>
    </w:div>
    <w:div w:id="1267350125">
      <w:bodyDiv w:val="1"/>
      <w:marLeft w:val="0"/>
      <w:marRight w:val="0"/>
      <w:marTop w:val="0"/>
      <w:marBottom w:val="0"/>
      <w:divBdr>
        <w:top w:val="none" w:sz="0" w:space="0" w:color="auto"/>
        <w:left w:val="none" w:sz="0" w:space="0" w:color="auto"/>
        <w:bottom w:val="none" w:sz="0" w:space="0" w:color="auto"/>
        <w:right w:val="none" w:sz="0" w:space="0" w:color="auto"/>
      </w:divBdr>
    </w:div>
    <w:div w:id="1285893236">
      <w:bodyDiv w:val="1"/>
      <w:marLeft w:val="0"/>
      <w:marRight w:val="0"/>
      <w:marTop w:val="0"/>
      <w:marBottom w:val="0"/>
      <w:divBdr>
        <w:top w:val="none" w:sz="0" w:space="0" w:color="auto"/>
        <w:left w:val="none" w:sz="0" w:space="0" w:color="auto"/>
        <w:bottom w:val="none" w:sz="0" w:space="0" w:color="auto"/>
        <w:right w:val="none" w:sz="0" w:space="0" w:color="auto"/>
      </w:divBdr>
    </w:div>
    <w:div w:id="1296334060">
      <w:bodyDiv w:val="1"/>
      <w:marLeft w:val="0"/>
      <w:marRight w:val="0"/>
      <w:marTop w:val="0"/>
      <w:marBottom w:val="0"/>
      <w:divBdr>
        <w:top w:val="none" w:sz="0" w:space="0" w:color="auto"/>
        <w:left w:val="none" w:sz="0" w:space="0" w:color="auto"/>
        <w:bottom w:val="none" w:sz="0" w:space="0" w:color="auto"/>
        <w:right w:val="none" w:sz="0" w:space="0" w:color="auto"/>
      </w:divBdr>
    </w:div>
    <w:div w:id="1302343335">
      <w:bodyDiv w:val="1"/>
      <w:marLeft w:val="0"/>
      <w:marRight w:val="0"/>
      <w:marTop w:val="0"/>
      <w:marBottom w:val="0"/>
      <w:divBdr>
        <w:top w:val="none" w:sz="0" w:space="0" w:color="auto"/>
        <w:left w:val="none" w:sz="0" w:space="0" w:color="auto"/>
        <w:bottom w:val="none" w:sz="0" w:space="0" w:color="auto"/>
        <w:right w:val="none" w:sz="0" w:space="0" w:color="auto"/>
      </w:divBdr>
    </w:div>
    <w:div w:id="1351646008">
      <w:bodyDiv w:val="1"/>
      <w:marLeft w:val="0"/>
      <w:marRight w:val="0"/>
      <w:marTop w:val="0"/>
      <w:marBottom w:val="0"/>
      <w:divBdr>
        <w:top w:val="none" w:sz="0" w:space="0" w:color="auto"/>
        <w:left w:val="none" w:sz="0" w:space="0" w:color="auto"/>
        <w:bottom w:val="none" w:sz="0" w:space="0" w:color="auto"/>
        <w:right w:val="none" w:sz="0" w:space="0" w:color="auto"/>
      </w:divBdr>
    </w:div>
    <w:div w:id="1354527722">
      <w:bodyDiv w:val="1"/>
      <w:marLeft w:val="0"/>
      <w:marRight w:val="0"/>
      <w:marTop w:val="0"/>
      <w:marBottom w:val="0"/>
      <w:divBdr>
        <w:top w:val="none" w:sz="0" w:space="0" w:color="auto"/>
        <w:left w:val="none" w:sz="0" w:space="0" w:color="auto"/>
        <w:bottom w:val="none" w:sz="0" w:space="0" w:color="auto"/>
        <w:right w:val="none" w:sz="0" w:space="0" w:color="auto"/>
      </w:divBdr>
    </w:div>
    <w:div w:id="1358696439">
      <w:bodyDiv w:val="1"/>
      <w:marLeft w:val="0"/>
      <w:marRight w:val="0"/>
      <w:marTop w:val="0"/>
      <w:marBottom w:val="0"/>
      <w:divBdr>
        <w:top w:val="none" w:sz="0" w:space="0" w:color="auto"/>
        <w:left w:val="none" w:sz="0" w:space="0" w:color="auto"/>
        <w:bottom w:val="none" w:sz="0" w:space="0" w:color="auto"/>
        <w:right w:val="none" w:sz="0" w:space="0" w:color="auto"/>
      </w:divBdr>
    </w:div>
    <w:div w:id="1372723515">
      <w:bodyDiv w:val="1"/>
      <w:marLeft w:val="0"/>
      <w:marRight w:val="0"/>
      <w:marTop w:val="0"/>
      <w:marBottom w:val="0"/>
      <w:divBdr>
        <w:top w:val="none" w:sz="0" w:space="0" w:color="auto"/>
        <w:left w:val="none" w:sz="0" w:space="0" w:color="auto"/>
        <w:bottom w:val="none" w:sz="0" w:space="0" w:color="auto"/>
        <w:right w:val="none" w:sz="0" w:space="0" w:color="auto"/>
      </w:divBdr>
      <w:divsChild>
        <w:div w:id="405996506">
          <w:marLeft w:val="0"/>
          <w:marRight w:val="0"/>
          <w:marTop w:val="0"/>
          <w:marBottom w:val="0"/>
          <w:divBdr>
            <w:top w:val="none" w:sz="0" w:space="0" w:color="auto"/>
            <w:left w:val="none" w:sz="0" w:space="0" w:color="auto"/>
            <w:bottom w:val="none" w:sz="0" w:space="0" w:color="auto"/>
            <w:right w:val="none" w:sz="0" w:space="0" w:color="auto"/>
          </w:divBdr>
        </w:div>
        <w:div w:id="1379433102">
          <w:marLeft w:val="0"/>
          <w:marRight w:val="0"/>
          <w:marTop w:val="0"/>
          <w:marBottom w:val="0"/>
          <w:divBdr>
            <w:top w:val="none" w:sz="0" w:space="0" w:color="auto"/>
            <w:left w:val="none" w:sz="0" w:space="0" w:color="auto"/>
            <w:bottom w:val="none" w:sz="0" w:space="0" w:color="auto"/>
            <w:right w:val="none" w:sz="0" w:space="0" w:color="auto"/>
          </w:divBdr>
        </w:div>
      </w:divsChild>
    </w:div>
    <w:div w:id="1372807214">
      <w:bodyDiv w:val="1"/>
      <w:marLeft w:val="0"/>
      <w:marRight w:val="0"/>
      <w:marTop w:val="0"/>
      <w:marBottom w:val="0"/>
      <w:divBdr>
        <w:top w:val="none" w:sz="0" w:space="0" w:color="auto"/>
        <w:left w:val="none" w:sz="0" w:space="0" w:color="auto"/>
        <w:bottom w:val="none" w:sz="0" w:space="0" w:color="auto"/>
        <w:right w:val="none" w:sz="0" w:space="0" w:color="auto"/>
      </w:divBdr>
    </w:div>
    <w:div w:id="1376612553">
      <w:bodyDiv w:val="1"/>
      <w:marLeft w:val="0"/>
      <w:marRight w:val="0"/>
      <w:marTop w:val="0"/>
      <w:marBottom w:val="0"/>
      <w:divBdr>
        <w:top w:val="none" w:sz="0" w:space="0" w:color="auto"/>
        <w:left w:val="none" w:sz="0" w:space="0" w:color="auto"/>
        <w:bottom w:val="none" w:sz="0" w:space="0" w:color="auto"/>
        <w:right w:val="none" w:sz="0" w:space="0" w:color="auto"/>
      </w:divBdr>
    </w:div>
    <w:div w:id="1376807407">
      <w:bodyDiv w:val="1"/>
      <w:marLeft w:val="0"/>
      <w:marRight w:val="0"/>
      <w:marTop w:val="0"/>
      <w:marBottom w:val="0"/>
      <w:divBdr>
        <w:top w:val="none" w:sz="0" w:space="0" w:color="auto"/>
        <w:left w:val="none" w:sz="0" w:space="0" w:color="auto"/>
        <w:bottom w:val="none" w:sz="0" w:space="0" w:color="auto"/>
        <w:right w:val="none" w:sz="0" w:space="0" w:color="auto"/>
      </w:divBdr>
    </w:div>
    <w:div w:id="1378772110">
      <w:bodyDiv w:val="1"/>
      <w:marLeft w:val="0"/>
      <w:marRight w:val="0"/>
      <w:marTop w:val="0"/>
      <w:marBottom w:val="0"/>
      <w:divBdr>
        <w:top w:val="none" w:sz="0" w:space="0" w:color="auto"/>
        <w:left w:val="none" w:sz="0" w:space="0" w:color="auto"/>
        <w:bottom w:val="none" w:sz="0" w:space="0" w:color="auto"/>
        <w:right w:val="none" w:sz="0" w:space="0" w:color="auto"/>
      </w:divBdr>
    </w:div>
    <w:div w:id="1425490382">
      <w:bodyDiv w:val="1"/>
      <w:marLeft w:val="0"/>
      <w:marRight w:val="0"/>
      <w:marTop w:val="0"/>
      <w:marBottom w:val="0"/>
      <w:divBdr>
        <w:top w:val="none" w:sz="0" w:space="0" w:color="auto"/>
        <w:left w:val="none" w:sz="0" w:space="0" w:color="auto"/>
        <w:bottom w:val="none" w:sz="0" w:space="0" w:color="auto"/>
        <w:right w:val="none" w:sz="0" w:space="0" w:color="auto"/>
      </w:divBdr>
    </w:div>
    <w:div w:id="1426420412">
      <w:bodyDiv w:val="1"/>
      <w:marLeft w:val="0"/>
      <w:marRight w:val="0"/>
      <w:marTop w:val="0"/>
      <w:marBottom w:val="0"/>
      <w:divBdr>
        <w:top w:val="none" w:sz="0" w:space="0" w:color="auto"/>
        <w:left w:val="none" w:sz="0" w:space="0" w:color="auto"/>
        <w:bottom w:val="none" w:sz="0" w:space="0" w:color="auto"/>
        <w:right w:val="none" w:sz="0" w:space="0" w:color="auto"/>
      </w:divBdr>
    </w:div>
    <w:div w:id="1500003830">
      <w:bodyDiv w:val="1"/>
      <w:marLeft w:val="0"/>
      <w:marRight w:val="0"/>
      <w:marTop w:val="0"/>
      <w:marBottom w:val="0"/>
      <w:divBdr>
        <w:top w:val="none" w:sz="0" w:space="0" w:color="auto"/>
        <w:left w:val="none" w:sz="0" w:space="0" w:color="auto"/>
        <w:bottom w:val="none" w:sz="0" w:space="0" w:color="auto"/>
        <w:right w:val="none" w:sz="0" w:space="0" w:color="auto"/>
      </w:divBdr>
    </w:div>
    <w:div w:id="1500149045">
      <w:bodyDiv w:val="1"/>
      <w:marLeft w:val="0"/>
      <w:marRight w:val="0"/>
      <w:marTop w:val="0"/>
      <w:marBottom w:val="0"/>
      <w:divBdr>
        <w:top w:val="none" w:sz="0" w:space="0" w:color="auto"/>
        <w:left w:val="none" w:sz="0" w:space="0" w:color="auto"/>
        <w:bottom w:val="none" w:sz="0" w:space="0" w:color="auto"/>
        <w:right w:val="none" w:sz="0" w:space="0" w:color="auto"/>
      </w:divBdr>
    </w:div>
    <w:div w:id="1515001002">
      <w:bodyDiv w:val="1"/>
      <w:marLeft w:val="0"/>
      <w:marRight w:val="0"/>
      <w:marTop w:val="0"/>
      <w:marBottom w:val="0"/>
      <w:divBdr>
        <w:top w:val="none" w:sz="0" w:space="0" w:color="auto"/>
        <w:left w:val="none" w:sz="0" w:space="0" w:color="auto"/>
        <w:bottom w:val="none" w:sz="0" w:space="0" w:color="auto"/>
        <w:right w:val="none" w:sz="0" w:space="0" w:color="auto"/>
      </w:divBdr>
    </w:div>
    <w:div w:id="1531601002">
      <w:bodyDiv w:val="1"/>
      <w:marLeft w:val="0"/>
      <w:marRight w:val="0"/>
      <w:marTop w:val="0"/>
      <w:marBottom w:val="0"/>
      <w:divBdr>
        <w:top w:val="none" w:sz="0" w:space="0" w:color="auto"/>
        <w:left w:val="none" w:sz="0" w:space="0" w:color="auto"/>
        <w:bottom w:val="none" w:sz="0" w:space="0" w:color="auto"/>
        <w:right w:val="none" w:sz="0" w:space="0" w:color="auto"/>
      </w:divBdr>
    </w:div>
    <w:div w:id="1538742361">
      <w:bodyDiv w:val="1"/>
      <w:marLeft w:val="0"/>
      <w:marRight w:val="0"/>
      <w:marTop w:val="0"/>
      <w:marBottom w:val="0"/>
      <w:divBdr>
        <w:top w:val="none" w:sz="0" w:space="0" w:color="auto"/>
        <w:left w:val="none" w:sz="0" w:space="0" w:color="auto"/>
        <w:bottom w:val="none" w:sz="0" w:space="0" w:color="auto"/>
        <w:right w:val="none" w:sz="0" w:space="0" w:color="auto"/>
      </w:divBdr>
    </w:div>
    <w:div w:id="1547520685">
      <w:bodyDiv w:val="1"/>
      <w:marLeft w:val="0"/>
      <w:marRight w:val="0"/>
      <w:marTop w:val="0"/>
      <w:marBottom w:val="0"/>
      <w:divBdr>
        <w:top w:val="none" w:sz="0" w:space="0" w:color="auto"/>
        <w:left w:val="none" w:sz="0" w:space="0" w:color="auto"/>
        <w:bottom w:val="none" w:sz="0" w:space="0" w:color="auto"/>
        <w:right w:val="none" w:sz="0" w:space="0" w:color="auto"/>
      </w:divBdr>
    </w:div>
    <w:div w:id="1559365380">
      <w:bodyDiv w:val="1"/>
      <w:marLeft w:val="0"/>
      <w:marRight w:val="0"/>
      <w:marTop w:val="0"/>
      <w:marBottom w:val="0"/>
      <w:divBdr>
        <w:top w:val="none" w:sz="0" w:space="0" w:color="auto"/>
        <w:left w:val="none" w:sz="0" w:space="0" w:color="auto"/>
        <w:bottom w:val="none" w:sz="0" w:space="0" w:color="auto"/>
        <w:right w:val="none" w:sz="0" w:space="0" w:color="auto"/>
      </w:divBdr>
    </w:div>
    <w:div w:id="1578132448">
      <w:bodyDiv w:val="1"/>
      <w:marLeft w:val="0"/>
      <w:marRight w:val="0"/>
      <w:marTop w:val="0"/>
      <w:marBottom w:val="0"/>
      <w:divBdr>
        <w:top w:val="none" w:sz="0" w:space="0" w:color="auto"/>
        <w:left w:val="none" w:sz="0" w:space="0" w:color="auto"/>
        <w:bottom w:val="none" w:sz="0" w:space="0" w:color="auto"/>
        <w:right w:val="none" w:sz="0" w:space="0" w:color="auto"/>
      </w:divBdr>
    </w:div>
    <w:div w:id="1581523554">
      <w:bodyDiv w:val="1"/>
      <w:marLeft w:val="0"/>
      <w:marRight w:val="0"/>
      <w:marTop w:val="0"/>
      <w:marBottom w:val="0"/>
      <w:divBdr>
        <w:top w:val="none" w:sz="0" w:space="0" w:color="auto"/>
        <w:left w:val="none" w:sz="0" w:space="0" w:color="auto"/>
        <w:bottom w:val="none" w:sz="0" w:space="0" w:color="auto"/>
        <w:right w:val="none" w:sz="0" w:space="0" w:color="auto"/>
      </w:divBdr>
    </w:div>
    <w:div w:id="1595043807">
      <w:bodyDiv w:val="1"/>
      <w:marLeft w:val="0"/>
      <w:marRight w:val="0"/>
      <w:marTop w:val="0"/>
      <w:marBottom w:val="0"/>
      <w:divBdr>
        <w:top w:val="none" w:sz="0" w:space="0" w:color="auto"/>
        <w:left w:val="none" w:sz="0" w:space="0" w:color="auto"/>
        <w:bottom w:val="none" w:sz="0" w:space="0" w:color="auto"/>
        <w:right w:val="none" w:sz="0" w:space="0" w:color="auto"/>
      </w:divBdr>
    </w:div>
    <w:div w:id="1600915834">
      <w:bodyDiv w:val="1"/>
      <w:marLeft w:val="0"/>
      <w:marRight w:val="0"/>
      <w:marTop w:val="0"/>
      <w:marBottom w:val="0"/>
      <w:divBdr>
        <w:top w:val="none" w:sz="0" w:space="0" w:color="auto"/>
        <w:left w:val="none" w:sz="0" w:space="0" w:color="auto"/>
        <w:bottom w:val="none" w:sz="0" w:space="0" w:color="auto"/>
        <w:right w:val="none" w:sz="0" w:space="0" w:color="auto"/>
      </w:divBdr>
    </w:div>
    <w:div w:id="1606381131">
      <w:bodyDiv w:val="1"/>
      <w:marLeft w:val="0"/>
      <w:marRight w:val="0"/>
      <w:marTop w:val="0"/>
      <w:marBottom w:val="0"/>
      <w:divBdr>
        <w:top w:val="none" w:sz="0" w:space="0" w:color="auto"/>
        <w:left w:val="none" w:sz="0" w:space="0" w:color="auto"/>
        <w:bottom w:val="none" w:sz="0" w:space="0" w:color="auto"/>
        <w:right w:val="none" w:sz="0" w:space="0" w:color="auto"/>
      </w:divBdr>
    </w:div>
    <w:div w:id="1614705876">
      <w:bodyDiv w:val="1"/>
      <w:marLeft w:val="0"/>
      <w:marRight w:val="0"/>
      <w:marTop w:val="0"/>
      <w:marBottom w:val="0"/>
      <w:divBdr>
        <w:top w:val="none" w:sz="0" w:space="0" w:color="auto"/>
        <w:left w:val="none" w:sz="0" w:space="0" w:color="auto"/>
        <w:bottom w:val="none" w:sz="0" w:space="0" w:color="auto"/>
        <w:right w:val="none" w:sz="0" w:space="0" w:color="auto"/>
      </w:divBdr>
    </w:div>
    <w:div w:id="1620450793">
      <w:bodyDiv w:val="1"/>
      <w:marLeft w:val="0"/>
      <w:marRight w:val="0"/>
      <w:marTop w:val="0"/>
      <w:marBottom w:val="0"/>
      <w:divBdr>
        <w:top w:val="none" w:sz="0" w:space="0" w:color="auto"/>
        <w:left w:val="none" w:sz="0" w:space="0" w:color="auto"/>
        <w:bottom w:val="none" w:sz="0" w:space="0" w:color="auto"/>
        <w:right w:val="none" w:sz="0" w:space="0" w:color="auto"/>
      </w:divBdr>
      <w:divsChild>
        <w:div w:id="2000645267">
          <w:marLeft w:val="0"/>
          <w:marRight w:val="0"/>
          <w:marTop w:val="240"/>
          <w:marBottom w:val="240"/>
          <w:divBdr>
            <w:top w:val="none" w:sz="0" w:space="0" w:color="auto"/>
            <w:left w:val="none" w:sz="0" w:space="0" w:color="auto"/>
            <w:bottom w:val="none" w:sz="0" w:space="0" w:color="auto"/>
            <w:right w:val="none" w:sz="0" w:space="0" w:color="auto"/>
          </w:divBdr>
        </w:div>
      </w:divsChild>
    </w:div>
    <w:div w:id="1625578292">
      <w:bodyDiv w:val="1"/>
      <w:marLeft w:val="0"/>
      <w:marRight w:val="0"/>
      <w:marTop w:val="0"/>
      <w:marBottom w:val="0"/>
      <w:divBdr>
        <w:top w:val="none" w:sz="0" w:space="0" w:color="auto"/>
        <w:left w:val="none" w:sz="0" w:space="0" w:color="auto"/>
        <w:bottom w:val="none" w:sz="0" w:space="0" w:color="auto"/>
        <w:right w:val="none" w:sz="0" w:space="0" w:color="auto"/>
      </w:divBdr>
    </w:div>
    <w:div w:id="1631012201">
      <w:bodyDiv w:val="1"/>
      <w:marLeft w:val="0"/>
      <w:marRight w:val="0"/>
      <w:marTop w:val="0"/>
      <w:marBottom w:val="0"/>
      <w:divBdr>
        <w:top w:val="none" w:sz="0" w:space="0" w:color="auto"/>
        <w:left w:val="none" w:sz="0" w:space="0" w:color="auto"/>
        <w:bottom w:val="none" w:sz="0" w:space="0" w:color="auto"/>
        <w:right w:val="none" w:sz="0" w:space="0" w:color="auto"/>
      </w:divBdr>
      <w:divsChild>
        <w:div w:id="109015127">
          <w:marLeft w:val="0"/>
          <w:marRight w:val="0"/>
          <w:marTop w:val="0"/>
          <w:marBottom w:val="0"/>
          <w:divBdr>
            <w:top w:val="none" w:sz="0" w:space="0" w:color="auto"/>
            <w:left w:val="none" w:sz="0" w:space="0" w:color="auto"/>
            <w:bottom w:val="none" w:sz="0" w:space="0" w:color="auto"/>
            <w:right w:val="none" w:sz="0" w:space="0" w:color="auto"/>
          </w:divBdr>
        </w:div>
      </w:divsChild>
    </w:div>
    <w:div w:id="1631863962">
      <w:bodyDiv w:val="1"/>
      <w:marLeft w:val="0"/>
      <w:marRight w:val="0"/>
      <w:marTop w:val="0"/>
      <w:marBottom w:val="0"/>
      <w:divBdr>
        <w:top w:val="none" w:sz="0" w:space="0" w:color="auto"/>
        <w:left w:val="none" w:sz="0" w:space="0" w:color="auto"/>
        <w:bottom w:val="none" w:sz="0" w:space="0" w:color="auto"/>
        <w:right w:val="none" w:sz="0" w:space="0" w:color="auto"/>
      </w:divBdr>
    </w:div>
    <w:div w:id="1639913152">
      <w:bodyDiv w:val="1"/>
      <w:marLeft w:val="0"/>
      <w:marRight w:val="0"/>
      <w:marTop w:val="0"/>
      <w:marBottom w:val="0"/>
      <w:divBdr>
        <w:top w:val="none" w:sz="0" w:space="0" w:color="auto"/>
        <w:left w:val="none" w:sz="0" w:space="0" w:color="auto"/>
        <w:bottom w:val="none" w:sz="0" w:space="0" w:color="auto"/>
        <w:right w:val="none" w:sz="0" w:space="0" w:color="auto"/>
      </w:divBdr>
    </w:div>
    <w:div w:id="1657102021">
      <w:bodyDiv w:val="1"/>
      <w:marLeft w:val="0"/>
      <w:marRight w:val="0"/>
      <w:marTop w:val="0"/>
      <w:marBottom w:val="0"/>
      <w:divBdr>
        <w:top w:val="none" w:sz="0" w:space="0" w:color="auto"/>
        <w:left w:val="none" w:sz="0" w:space="0" w:color="auto"/>
        <w:bottom w:val="none" w:sz="0" w:space="0" w:color="auto"/>
        <w:right w:val="none" w:sz="0" w:space="0" w:color="auto"/>
      </w:divBdr>
      <w:divsChild>
        <w:div w:id="1766266206">
          <w:marLeft w:val="0"/>
          <w:marRight w:val="0"/>
          <w:marTop w:val="0"/>
          <w:marBottom w:val="0"/>
          <w:divBdr>
            <w:top w:val="none" w:sz="0" w:space="0" w:color="auto"/>
            <w:left w:val="none" w:sz="0" w:space="0" w:color="auto"/>
            <w:bottom w:val="none" w:sz="0" w:space="0" w:color="auto"/>
            <w:right w:val="none" w:sz="0" w:space="0" w:color="auto"/>
          </w:divBdr>
        </w:div>
        <w:div w:id="1189634938">
          <w:marLeft w:val="0"/>
          <w:marRight w:val="0"/>
          <w:marTop w:val="0"/>
          <w:marBottom w:val="0"/>
          <w:divBdr>
            <w:top w:val="none" w:sz="0" w:space="0" w:color="auto"/>
            <w:left w:val="none" w:sz="0" w:space="0" w:color="auto"/>
            <w:bottom w:val="none" w:sz="0" w:space="0" w:color="auto"/>
            <w:right w:val="none" w:sz="0" w:space="0" w:color="auto"/>
          </w:divBdr>
        </w:div>
      </w:divsChild>
    </w:div>
    <w:div w:id="1668091252">
      <w:bodyDiv w:val="1"/>
      <w:marLeft w:val="0"/>
      <w:marRight w:val="0"/>
      <w:marTop w:val="0"/>
      <w:marBottom w:val="0"/>
      <w:divBdr>
        <w:top w:val="none" w:sz="0" w:space="0" w:color="auto"/>
        <w:left w:val="none" w:sz="0" w:space="0" w:color="auto"/>
        <w:bottom w:val="none" w:sz="0" w:space="0" w:color="auto"/>
        <w:right w:val="none" w:sz="0" w:space="0" w:color="auto"/>
      </w:divBdr>
    </w:div>
    <w:div w:id="1679045099">
      <w:bodyDiv w:val="1"/>
      <w:marLeft w:val="0"/>
      <w:marRight w:val="0"/>
      <w:marTop w:val="0"/>
      <w:marBottom w:val="0"/>
      <w:divBdr>
        <w:top w:val="none" w:sz="0" w:space="0" w:color="auto"/>
        <w:left w:val="none" w:sz="0" w:space="0" w:color="auto"/>
        <w:bottom w:val="none" w:sz="0" w:space="0" w:color="auto"/>
        <w:right w:val="none" w:sz="0" w:space="0" w:color="auto"/>
      </w:divBdr>
    </w:div>
    <w:div w:id="1690181728">
      <w:bodyDiv w:val="1"/>
      <w:marLeft w:val="0"/>
      <w:marRight w:val="0"/>
      <w:marTop w:val="0"/>
      <w:marBottom w:val="0"/>
      <w:divBdr>
        <w:top w:val="none" w:sz="0" w:space="0" w:color="auto"/>
        <w:left w:val="none" w:sz="0" w:space="0" w:color="auto"/>
        <w:bottom w:val="none" w:sz="0" w:space="0" w:color="auto"/>
        <w:right w:val="none" w:sz="0" w:space="0" w:color="auto"/>
      </w:divBdr>
    </w:div>
    <w:div w:id="1691762919">
      <w:bodyDiv w:val="1"/>
      <w:marLeft w:val="0"/>
      <w:marRight w:val="0"/>
      <w:marTop w:val="0"/>
      <w:marBottom w:val="0"/>
      <w:divBdr>
        <w:top w:val="none" w:sz="0" w:space="0" w:color="auto"/>
        <w:left w:val="none" w:sz="0" w:space="0" w:color="auto"/>
        <w:bottom w:val="none" w:sz="0" w:space="0" w:color="auto"/>
        <w:right w:val="none" w:sz="0" w:space="0" w:color="auto"/>
      </w:divBdr>
    </w:div>
    <w:div w:id="1713337000">
      <w:bodyDiv w:val="1"/>
      <w:marLeft w:val="0"/>
      <w:marRight w:val="0"/>
      <w:marTop w:val="0"/>
      <w:marBottom w:val="0"/>
      <w:divBdr>
        <w:top w:val="none" w:sz="0" w:space="0" w:color="auto"/>
        <w:left w:val="none" w:sz="0" w:space="0" w:color="auto"/>
        <w:bottom w:val="none" w:sz="0" w:space="0" w:color="auto"/>
        <w:right w:val="none" w:sz="0" w:space="0" w:color="auto"/>
      </w:divBdr>
    </w:div>
    <w:div w:id="1714841107">
      <w:bodyDiv w:val="1"/>
      <w:marLeft w:val="0"/>
      <w:marRight w:val="0"/>
      <w:marTop w:val="0"/>
      <w:marBottom w:val="0"/>
      <w:divBdr>
        <w:top w:val="none" w:sz="0" w:space="0" w:color="auto"/>
        <w:left w:val="none" w:sz="0" w:space="0" w:color="auto"/>
        <w:bottom w:val="none" w:sz="0" w:space="0" w:color="auto"/>
        <w:right w:val="none" w:sz="0" w:space="0" w:color="auto"/>
      </w:divBdr>
    </w:div>
    <w:div w:id="1731462976">
      <w:bodyDiv w:val="1"/>
      <w:marLeft w:val="0"/>
      <w:marRight w:val="0"/>
      <w:marTop w:val="0"/>
      <w:marBottom w:val="0"/>
      <w:divBdr>
        <w:top w:val="none" w:sz="0" w:space="0" w:color="auto"/>
        <w:left w:val="none" w:sz="0" w:space="0" w:color="auto"/>
        <w:bottom w:val="none" w:sz="0" w:space="0" w:color="auto"/>
        <w:right w:val="none" w:sz="0" w:space="0" w:color="auto"/>
      </w:divBdr>
    </w:div>
    <w:div w:id="1759592216">
      <w:bodyDiv w:val="1"/>
      <w:marLeft w:val="0"/>
      <w:marRight w:val="0"/>
      <w:marTop w:val="0"/>
      <w:marBottom w:val="0"/>
      <w:divBdr>
        <w:top w:val="none" w:sz="0" w:space="0" w:color="auto"/>
        <w:left w:val="none" w:sz="0" w:space="0" w:color="auto"/>
        <w:bottom w:val="none" w:sz="0" w:space="0" w:color="auto"/>
        <w:right w:val="none" w:sz="0" w:space="0" w:color="auto"/>
      </w:divBdr>
    </w:div>
    <w:div w:id="1760715464">
      <w:bodyDiv w:val="1"/>
      <w:marLeft w:val="0"/>
      <w:marRight w:val="0"/>
      <w:marTop w:val="0"/>
      <w:marBottom w:val="0"/>
      <w:divBdr>
        <w:top w:val="none" w:sz="0" w:space="0" w:color="auto"/>
        <w:left w:val="none" w:sz="0" w:space="0" w:color="auto"/>
        <w:bottom w:val="none" w:sz="0" w:space="0" w:color="auto"/>
        <w:right w:val="none" w:sz="0" w:space="0" w:color="auto"/>
      </w:divBdr>
    </w:div>
    <w:div w:id="1763725053">
      <w:bodyDiv w:val="1"/>
      <w:marLeft w:val="0"/>
      <w:marRight w:val="0"/>
      <w:marTop w:val="0"/>
      <w:marBottom w:val="0"/>
      <w:divBdr>
        <w:top w:val="none" w:sz="0" w:space="0" w:color="auto"/>
        <w:left w:val="none" w:sz="0" w:space="0" w:color="auto"/>
        <w:bottom w:val="none" w:sz="0" w:space="0" w:color="auto"/>
        <w:right w:val="none" w:sz="0" w:space="0" w:color="auto"/>
      </w:divBdr>
    </w:div>
    <w:div w:id="1805351507">
      <w:bodyDiv w:val="1"/>
      <w:marLeft w:val="0"/>
      <w:marRight w:val="0"/>
      <w:marTop w:val="0"/>
      <w:marBottom w:val="0"/>
      <w:divBdr>
        <w:top w:val="none" w:sz="0" w:space="0" w:color="auto"/>
        <w:left w:val="none" w:sz="0" w:space="0" w:color="auto"/>
        <w:bottom w:val="none" w:sz="0" w:space="0" w:color="auto"/>
        <w:right w:val="none" w:sz="0" w:space="0" w:color="auto"/>
      </w:divBdr>
    </w:div>
    <w:div w:id="1820918619">
      <w:bodyDiv w:val="1"/>
      <w:marLeft w:val="0"/>
      <w:marRight w:val="0"/>
      <w:marTop w:val="0"/>
      <w:marBottom w:val="0"/>
      <w:divBdr>
        <w:top w:val="none" w:sz="0" w:space="0" w:color="auto"/>
        <w:left w:val="none" w:sz="0" w:space="0" w:color="auto"/>
        <w:bottom w:val="none" w:sz="0" w:space="0" w:color="auto"/>
        <w:right w:val="none" w:sz="0" w:space="0" w:color="auto"/>
      </w:divBdr>
    </w:div>
    <w:div w:id="1824078296">
      <w:bodyDiv w:val="1"/>
      <w:marLeft w:val="0"/>
      <w:marRight w:val="0"/>
      <w:marTop w:val="0"/>
      <w:marBottom w:val="0"/>
      <w:divBdr>
        <w:top w:val="none" w:sz="0" w:space="0" w:color="auto"/>
        <w:left w:val="none" w:sz="0" w:space="0" w:color="auto"/>
        <w:bottom w:val="none" w:sz="0" w:space="0" w:color="auto"/>
        <w:right w:val="none" w:sz="0" w:space="0" w:color="auto"/>
      </w:divBdr>
    </w:div>
    <w:div w:id="1836607669">
      <w:bodyDiv w:val="1"/>
      <w:marLeft w:val="0"/>
      <w:marRight w:val="0"/>
      <w:marTop w:val="0"/>
      <w:marBottom w:val="0"/>
      <w:divBdr>
        <w:top w:val="none" w:sz="0" w:space="0" w:color="auto"/>
        <w:left w:val="none" w:sz="0" w:space="0" w:color="auto"/>
        <w:bottom w:val="none" w:sz="0" w:space="0" w:color="auto"/>
        <w:right w:val="none" w:sz="0" w:space="0" w:color="auto"/>
      </w:divBdr>
    </w:div>
    <w:div w:id="1839227923">
      <w:bodyDiv w:val="1"/>
      <w:marLeft w:val="0"/>
      <w:marRight w:val="0"/>
      <w:marTop w:val="0"/>
      <w:marBottom w:val="0"/>
      <w:divBdr>
        <w:top w:val="none" w:sz="0" w:space="0" w:color="auto"/>
        <w:left w:val="none" w:sz="0" w:space="0" w:color="auto"/>
        <w:bottom w:val="none" w:sz="0" w:space="0" w:color="auto"/>
        <w:right w:val="none" w:sz="0" w:space="0" w:color="auto"/>
      </w:divBdr>
      <w:divsChild>
        <w:div w:id="1547257963">
          <w:marLeft w:val="0"/>
          <w:marRight w:val="0"/>
          <w:marTop w:val="0"/>
          <w:marBottom w:val="0"/>
          <w:divBdr>
            <w:top w:val="none" w:sz="0" w:space="0" w:color="auto"/>
            <w:left w:val="none" w:sz="0" w:space="0" w:color="auto"/>
            <w:bottom w:val="none" w:sz="0" w:space="0" w:color="auto"/>
            <w:right w:val="none" w:sz="0" w:space="0" w:color="auto"/>
          </w:divBdr>
        </w:div>
        <w:div w:id="1176723592">
          <w:marLeft w:val="0"/>
          <w:marRight w:val="0"/>
          <w:marTop w:val="0"/>
          <w:marBottom w:val="0"/>
          <w:divBdr>
            <w:top w:val="none" w:sz="0" w:space="0" w:color="auto"/>
            <w:left w:val="none" w:sz="0" w:space="0" w:color="auto"/>
            <w:bottom w:val="none" w:sz="0" w:space="0" w:color="auto"/>
            <w:right w:val="none" w:sz="0" w:space="0" w:color="auto"/>
          </w:divBdr>
        </w:div>
      </w:divsChild>
    </w:div>
    <w:div w:id="1840924584">
      <w:bodyDiv w:val="1"/>
      <w:marLeft w:val="0"/>
      <w:marRight w:val="0"/>
      <w:marTop w:val="0"/>
      <w:marBottom w:val="0"/>
      <w:divBdr>
        <w:top w:val="none" w:sz="0" w:space="0" w:color="auto"/>
        <w:left w:val="none" w:sz="0" w:space="0" w:color="auto"/>
        <w:bottom w:val="none" w:sz="0" w:space="0" w:color="auto"/>
        <w:right w:val="none" w:sz="0" w:space="0" w:color="auto"/>
      </w:divBdr>
    </w:div>
    <w:div w:id="1855916790">
      <w:bodyDiv w:val="1"/>
      <w:marLeft w:val="0"/>
      <w:marRight w:val="0"/>
      <w:marTop w:val="0"/>
      <w:marBottom w:val="0"/>
      <w:divBdr>
        <w:top w:val="none" w:sz="0" w:space="0" w:color="auto"/>
        <w:left w:val="none" w:sz="0" w:space="0" w:color="auto"/>
        <w:bottom w:val="none" w:sz="0" w:space="0" w:color="auto"/>
        <w:right w:val="none" w:sz="0" w:space="0" w:color="auto"/>
      </w:divBdr>
    </w:div>
    <w:div w:id="1873299750">
      <w:bodyDiv w:val="1"/>
      <w:marLeft w:val="0"/>
      <w:marRight w:val="0"/>
      <w:marTop w:val="0"/>
      <w:marBottom w:val="0"/>
      <w:divBdr>
        <w:top w:val="none" w:sz="0" w:space="0" w:color="auto"/>
        <w:left w:val="none" w:sz="0" w:space="0" w:color="auto"/>
        <w:bottom w:val="none" w:sz="0" w:space="0" w:color="auto"/>
        <w:right w:val="none" w:sz="0" w:space="0" w:color="auto"/>
      </w:divBdr>
    </w:div>
    <w:div w:id="1875383028">
      <w:bodyDiv w:val="1"/>
      <w:marLeft w:val="0"/>
      <w:marRight w:val="0"/>
      <w:marTop w:val="0"/>
      <w:marBottom w:val="0"/>
      <w:divBdr>
        <w:top w:val="none" w:sz="0" w:space="0" w:color="auto"/>
        <w:left w:val="none" w:sz="0" w:space="0" w:color="auto"/>
        <w:bottom w:val="none" w:sz="0" w:space="0" w:color="auto"/>
        <w:right w:val="none" w:sz="0" w:space="0" w:color="auto"/>
      </w:divBdr>
    </w:div>
    <w:div w:id="1875462045">
      <w:bodyDiv w:val="1"/>
      <w:marLeft w:val="0"/>
      <w:marRight w:val="0"/>
      <w:marTop w:val="0"/>
      <w:marBottom w:val="0"/>
      <w:divBdr>
        <w:top w:val="none" w:sz="0" w:space="0" w:color="auto"/>
        <w:left w:val="none" w:sz="0" w:space="0" w:color="auto"/>
        <w:bottom w:val="none" w:sz="0" w:space="0" w:color="auto"/>
        <w:right w:val="none" w:sz="0" w:space="0" w:color="auto"/>
      </w:divBdr>
    </w:div>
    <w:div w:id="1877156335">
      <w:bodyDiv w:val="1"/>
      <w:marLeft w:val="0"/>
      <w:marRight w:val="0"/>
      <w:marTop w:val="0"/>
      <w:marBottom w:val="0"/>
      <w:divBdr>
        <w:top w:val="none" w:sz="0" w:space="0" w:color="auto"/>
        <w:left w:val="none" w:sz="0" w:space="0" w:color="auto"/>
        <w:bottom w:val="none" w:sz="0" w:space="0" w:color="auto"/>
        <w:right w:val="none" w:sz="0" w:space="0" w:color="auto"/>
      </w:divBdr>
      <w:divsChild>
        <w:div w:id="619073361">
          <w:marLeft w:val="0"/>
          <w:marRight w:val="0"/>
          <w:marTop w:val="0"/>
          <w:marBottom w:val="0"/>
          <w:divBdr>
            <w:top w:val="none" w:sz="0" w:space="0" w:color="auto"/>
            <w:left w:val="none" w:sz="0" w:space="0" w:color="auto"/>
            <w:bottom w:val="none" w:sz="0" w:space="0" w:color="auto"/>
            <w:right w:val="none" w:sz="0" w:space="0" w:color="auto"/>
          </w:divBdr>
          <w:divsChild>
            <w:div w:id="1795053568">
              <w:marLeft w:val="0"/>
              <w:marRight w:val="0"/>
              <w:marTop w:val="0"/>
              <w:marBottom w:val="0"/>
              <w:divBdr>
                <w:top w:val="none" w:sz="0" w:space="0" w:color="auto"/>
                <w:left w:val="none" w:sz="0" w:space="0" w:color="auto"/>
                <w:bottom w:val="none" w:sz="0" w:space="0" w:color="auto"/>
                <w:right w:val="none" w:sz="0" w:space="0" w:color="auto"/>
              </w:divBdr>
              <w:divsChild>
                <w:div w:id="1505050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4487269">
      <w:bodyDiv w:val="1"/>
      <w:marLeft w:val="0"/>
      <w:marRight w:val="0"/>
      <w:marTop w:val="0"/>
      <w:marBottom w:val="0"/>
      <w:divBdr>
        <w:top w:val="none" w:sz="0" w:space="0" w:color="auto"/>
        <w:left w:val="none" w:sz="0" w:space="0" w:color="auto"/>
        <w:bottom w:val="none" w:sz="0" w:space="0" w:color="auto"/>
        <w:right w:val="none" w:sz="0" w:space="0" w:color="auto"/>
      </w:divBdr>
    </w:div>
    <w:div w:id="1917744369">
      <w:bodyDiv w:val="1"/>
      <w:marLeft w:val="0"/>
      <w:marRight w:val="0"/>
      <w:marTop w:val="0"/>
      <w:marBottom w:val="0"/>
      <w:divBdr>
        <w:top w:val="none" w:sz="0" w:space="0" w:color="auto"/>
        <w:left w:val="none" w:sz="0" w:space="0" w:color="auto"/>
        <w:bottom w:val="none" w:sz="0" w:space="0" w:color="auto"/>
        <w:right w:val="none" w:sz="0" w:space="0" w:color="auto"/>
      </w:divBdr>
    </w:div>
    <w:div w:id="1940748206">
      <w:bodyDiv w:val="1"/>
      <w:marLeft w:val="0"/>
      <w:marRight w:val="0"/>
      <w:marTop w:val="0"/>
      <w:marBottom w:val="0"/>
      <w:divBdr>
        <w:top w:val="none" w:sz="0" w:space="0" w:color="auto"/>
        <w:left w:val="none" w:sz="0" w:space="0" w:color="auto"/>
        <w:bottom w:val="none" w:sz="0" w:space="0" w:color="auto"/>
        <w:right w:val="none" w:sz="0" w:space="0" w:color="auto"/>
      </w:divBdr>
    </w:div>
    <w:div w:id="1954441426">
      <w:bodyDiv w:val="1"/>
      <w:marLeft w:val="0"/>
      <w:marRight w:val="0"/>
      <w:marTop w:val="0"/>
      <w:marBottom w:val="0"/>
      <w:divBdr>
        <w:top w:val="none" w:sz="0" w:space="0" w:color="auto"/>
        <w:left w:val="none" w:sz="0" w:space="0" w:color="auto"/>
        <w:bottom w:val="none" w:sz="0" w:space="0" w:color="auto"/>
        <w:right w:val="none" w:sz="0" w:space="0" w:color="auto"/>
      </w:divBdr>
    </w:div>
    <w:div w:id="1963682698">
      <w:bodyDiv w:val="1"/>
      <w:marLeft w:val="0"/>
      <w:marRight w:val="0"/>
      <w:marTop w:val="0"/>
      <w:marBottom w:val="0"/>
      <w:divBdr>
        <w:top w:val="none" w:sz="0" w:space="0" w:color="auto"/>
        <w:left w:val="none" w:sz="0" w:space="0" w:color="auto"/>
        <w:bottom w:val="none" w:sz="0" w:space="0" w:color="auto"/>
        <w:right w:val="none" w:sz="0" w:space="0" w:color="auto"/>
      </w:divBdr>
    </w:div>
    <w:div w:id="1964577542">
      <w:bodyDiv w:val="1"/>
      <w:marLeft w:val="0"/>
      <w:marRight w:val="0"/>
      <w:marTop w:val="0"/>
      <w:marBottom w:val="0"/>
      <w:divBdr>
        <w:top w:val="none" w:sz="0" w:space="0" w:color="auto"/>
        <w:left w:val="none" w:sz="0" w:space="0" w:color="auto"/>
        <w:bottom w:val="none" w:sz="0" w:space="0" w:color="auto"/>
        <w:right w:val="none" w:sz="0" w:space="0" w:color="auto"/>
      </w:divBdr>
    </w:div>
    <w:div w:id="1977221626">
      <w:bodyDiv w:val="1"/>
      <w:marLeft w:val="0"/>
      <w:marRight w:val="0"/>
      <w:marTop w:val="0"/>
      <w:marBottom w:val="0"/>
      <w:divBdr>
        <w:top w:val="none" w:sz="0" w:space="0" w:color="auto"/>
        <w:left w:val="none" w:sz="0" w:space="0" w:color="auto"/>
        <w:bottom w:val="none" w:sz="0" w:space="0" w:color="auto"/>
        <w:right w:val="none" w:sz="0" w:space="0" w:color="auto"/>
      </w:divBdr>
    </w:div>
    <w:div w:id="2001034355">
      <w:bodyDiv w:val="1"/>
      <w:marLeft w:val="0"/>
      <w:marRight w:val="0"/>
      <w:marTop w:val="0"/>
      <w:marBottom w:val="0"/>
      <w:divBdr>
        <w:top w:val="none" w:sz="0" w:space="0" w:color="auto"/>
        <w:left w:val="none" w:sz="0" w:space="0" w:color="auto"/>
        <w:bottom w:val="none" w:sz="0" w:space="0" w:color="auto"/>
        <w:right w:val="none" w:sz="0" w:space="0" w:color="auto"/>
      </w:divBdr>
    </w:div>
    <w:div w:id="2035643332">
      <w:bodyDiv w:val="1"/>
      <w:marLeft w:val="0"/>
      <w:marRight w:val="0"/>
      <w:marTop w:val="0"/>
      <w:marBottom w:val="0"/>
      <w:divBdr>
        <w:top w:val="none" w:sz="0" w:space="0" w:color="auto"/>
        <w:left w:val="none" w:sz="0" w:space="0" w:color="auto"/>
        <w:bottom w:val="none" w:sz="0" w:space="0" w:color="auto"/>
        <w:right w:val="none" w:sz="0" w:space="0" w:color="auto"/>
      </w:divBdr>
    </w:div>
    <w:div w:id="2048017744">
      <w:bodyDiv w:val="1"/>
      <w:marLeft w:val="0"/>
      <w:marRight w:val="0"/>
      <w:marTop w:val="0"/>
      <w:marBottom w:val="0"/>
      <w:divBdr>
        <w:top w:val="none" w:sz="0" w:space="0" w:color="auto"/>
        <w:left w:val="none" w:sz="0" w:space="0" w:color="auto"/>
        <w:bottom w:val="none" w:sz="0" w:space="0" w:color="auto"/>
        <w:right w:val="none" w:sz="0" w:space="0" w:color="auto"/>
      </w:divBdr>
    </w:div>
    <w:div w:id="2057511231">
      <w:bodyDiv w:val="1"/>
      <w:marLeft w:val="0"/>
      <w:marRight w:val="0"/>
      <w:marTop w:val="0"/>
      <w:marBottom w:val="0"/>
      <w:divBdr>
        <w:top w:val="none" w:sz="0" w:space="0" w:color="auto"/>
        <w:left w:val="none" w:sz="0" w:space="0" w:color="auto"/>
        <w:bottom w:val="none" w:sz="0" w:space="0" w:color="auto"/>
        <w:right w:val="none" w:sz="0" w:space="0" w:color="auto"/>
      </w:divBdr>
    </w:div>
    <w:div w:id="2057923218">
      <w:bodyDiv w:val="1"/>
      <w:marLeft w:val="0"/>
      <w:marRight w:val="0"/>
      <w:marTop w:val="0"/>
      <w:marBottom w:val="0"/>
      <w:divBdr>
        <w:top w:val="none" w:sz="0" w:space="0" w:color="auto"/>
        <w:left w:val="none" w:sz="0" w:space="0" w:color="auto"/>
        <w:bottom w:val="none" w:sz="0" w:space="0" w:color="auto"/>
        <w:right w:val="none" w:sz="0" w:space="0" w:color="auto"/>
      </w:divBdr>
    </w:div>
    <w:div w:id="2069723252">
      <w:bodyDiv w:val="1"/>
      <w:marLeft w:val="0"/>
      <w:marRight w:val="0"/>
      <w:marTop w:val="0"/>
      <w:marBottom w:val="0"/>
      <w:divBdr>
        <w:top w:val="none" w:sz="0" w:space="0" w:color="auto"/>
        <w:left w:val="none" w:sz="0" w:space="0" w:color="auto"/>
        <w:bottom w:val="none" w:sz="0" w:space="0" w:color="auto"/>
        <w:right w:val="none" w:sz="0" w:space="0" w:color="auto"/>
      </w:divBdr>
    </w:div>
    <w:div w:id="2090346102">
      <w:bodyDiv w:val="1"/>
      <w:marLeft w:val="0"/>
      <w:marRight w:val="0"/>
      <w:marTop w:val="0"/>
      <w:marBottom w:val="0"/>
      <w:divBdr>
        <w:top w:val="none" w:sz="0" w:space="0" w:color="auto"/>
        <w:left w:val="none" w:sz="0" w:space="0" w:color="auto"/>
        <w:bottom w:val="none" w:sz="0" w:space="0" w:color="auto"/>
        <w:right w:val="none" w:sz="0" w:space="0" w:color="auto"/>
      </w:divBdr>
    </w:div>
    <w:div w:id="2097969540">
      <w:bodyDiv w:val="1"/>
      <w:marLeft w:val="0"/>
      <w:marRight w:val="0"/>
      <w:marTop w:val="0"/>
      <w:marBottom w:val="0"/>
      <w:divBdr>
        <w:top w:val="none" w:sz="0" w:space="0" w:color="auto"/>
        <w:left w:val="none" w:sz="0" w:space="0" w:color="auto"/>
        <w:bottom w:val="none" w:sz="0" w:space="0" w:color="auto"/>
        <w:right w:val="none" w:sz="0" w:space="0" w:color="auto"/>
      </w:divBdr>
    </w:div>
    <w:div w:id="2108964302">
      <w:bodyDiv w:val="1"/>
      <w:marLeft w:val="0"/>
      <w:marRight w:val="0"/>
      <w:marTop w:val="0"/>
      <w:marBottom w:val="0"/>
      <w:divBdr>
        <w:top w:val="none" w:sz="0" w:space="0" w:color="auto"/>
        <w:left w:val="none" w:sz="0" w:space="0" w:color="auto"/>
        <w:bottom w:val="none" w:sz="0" w:space="0" w:color="auto"/>
        <w:right w:val="none" w:sz="0" w:space="0" w:color="auto"/>
      </w:divBdr>
    </w:div>
    <w:div w:id="2138259760">
      <w:bodyDiv w:val="1"/>
      <w:marLeft w:val="0"/>
      <w:marRight w:val="0"/>
      <w:marTop w:val="0"/>
      <w:marBottom w:val="0"/>
      <w:divBdr>
        <w:top w:val="none" w:sz="0" w:space="0" w:color="auto"/>
        <w:left w:val="none" w:sz="0" w:space="0" w:color="auto"/>
        <w:bottom w:val="none" w:sz="0" w:space="0" w:color="auto"/>
        <w:right w:val="none" w:sz="0" w:space="0" w:color="auto"/>
      </w:divBdr>
    </w:div>
    <w:div w:id="2146848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customXml" Target="ink/ink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efaultPlaceholder_-1854013440"/>
        <w:category>
          <w:name w:val="General"/>
          <w:gallery w:val="placeholder"/>
        </w:category>
        <w:types>
          <w:type w:val="bbPlcHdr"/>
        </w:types>
        <w:behaviors>
          <w:behavior w:val="content"/>
        </w:behaviors>
        <w:guid w:val="{E3B380A7-8E36-9F45-B720-1F04D722708F}"/>
      </w:docPartPr>
      <w:docPartBody>
        <w:p w:rsidR="00C36D5D" w:rsidRDefault="00C36D5D">
          <w:r w:rsidRPr="00C047DE">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pple Color Emoji UI">
    <w:altName w:val="Calibri"/>
    <w:panose1 w:val="020B0604020202020204"/>
    <w:charset w:val="00"/>
    <w:family w:val="auto"/>
    <w:notTrueType/>
    <w:pitch w:val="default"/>
    <w:sig w:usb0="00000003" w:usb1="00000000" w:usb2="00000000" w:usb3="00000000" w:csb0="00000001" w:csb1="00000000"/>
  </w:font>
  <w:font w:name="Apple Color Emoji">
    <w:panose1 w:val="00000000000000000000"/>
    <w:charset w:val="00"/>
    <w:family w:val="auto"/>
    <w:pitch w:val="variable"/>
    <w:sig w:usb0="00000003" w:usb1="18000000" w:usb2="14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37F2"/>
    <w:rsid w:val="0003042D"/>
    <w:rsid w:val="00044AFE"/>
    <w:rsid w:val="003456B9"/>
    <w:rsid w:val="00365C20"/>
    <w:rsid w:val="003E2E18"/>
    <w:rsid w:val="00751094"/>
    <w:rsid w:val="00A1246E"/>
    <w:rsid w:val="00C36D5D"/>
    <w:rsid w:val="00C60A6A"/>
    <w:rsid w:val="00CA0768"/>
    <w:rsid w:val="00D537F2"/>
    <w:rsid w:val="00D850B8"/>
    <w:rsid w:val="00DC08C8"/>
    <w:rsid w:val="00F16E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1246E"/>
    <w:rPr>
      <w:color w:val="808080"/>
    </w:rPr>
  </w:style>
  <w:style w:type="paragraph" w:customStyle="1" w:styleId="71581B4737C20747A349244E7B98C4E7">
    <w:name w:val="71581B4737C20747A349244E7B98C4E7"/>
    <w:rsid w:val="00C36D5D"/>
  </w:style>
  <w:style w:type="paragraph" w:customStyle="1" w:styleId="E7302E94C2B64242BB11523AEF89F735">
    <w:name w:val="E7302E94C2B64242BB11523AEF89F735"/>
    <w:rsid w:val="00C36D5D"/>
  </w:style>
  <w:style w:type="paragraph" w:customStyle="1" w:styleId="6236208DC67632408F489E0B66924520">
    <w:name w:val="6236208DC67632408F489E0B66924520"/>
    <w:rsid w:val="00C36D5D"/>
  </w:style>
  <w:style w:type="paragraph" w:customStyle="1" w:styleId="B784C54D6DC5284CA726DF189145D35D">
    <w:name w:val="B784C54D6DC5284CA726DF189145D35D"/>
    <w:rsid w:val="00C36D5D"/>
  </w:style>
  <w:style w:type="paragraph" w:customStyle="1" w:styleId="2E09D5FAD08FF24BB63FB7B70590BEFD">
    <w:name w:val="2E09D5FAD08FF24BB63FB7B70590BEFD"/>
    <w:rsid w:val="00C36D5D"/>
  </w:style>
  <w:style w:type="paragraph" w:customStyle="1" w:styleId="F775961781D6AF4D93E77C81805FA087">
    <w:name w:val="F775961781D6AF4D93E77C81805FA087"/>
    <w:rsid w:val="00C36D5D"/>
  </w:style>
  <w:style w:type="paragraph" w:customStyle="1" w:styleId="38DA7471DF97EA439572D1420CB357EE">
    <w:name w:val="38DA7471DF97EA439572D1420CB357EE"/>
    <w:rsid w:val="00C36D5D"/>
  </w:style>
  <w:style w:type="paragraph" w:customStyle="1" w:styleId="CDD550A36781064CA3F89AD04710ECBD">
    <w:name w:val="CDD550A36781064CA3F89AD04710ECBD"/>
    <w:rsid w:val="00C36D5D"/>
  </w:style>
  <w:style w:type="paragraph" w:customStyle="1" w:styleId="00FA196D23C5D242A2D2C781FFB12597">
    <w:name w:val="00FA196D23C5D242A2D2C781FFB12597"/>
    <w:rsid w:val="00C36D5D"/>
  </w:style>
  <w:style w:type="paragraph" w:customStyle="1" w:styleId="CD43D4C8B185944DA148C2F9810812BE">
    <w:name w:val="CD43D4C8B185944DA148C2F9810812BE"/>
    <w:rsid w:val="00C36D5D"/>
  </w:style>
  <w:style w:type="paragraph" w:customStyle="1" w:styleId="934DD0AFF828644893F8391A45F406EE">
    <w:name w:val="934DD0AFF828644893F8391A45F406EE"/>
    <w:rsid w:val="003456B9"/>
  </w:style>
  <w:style w:type="paragraph" w:customStyle="1" w:styleId="E1E00B697DF3A24A8132F8AA832114BF">
    <w:name w:val="E1E00B697DF3A24A8132F8AA832114BF"/>
    <w:rsid w:val="003456B9"/>
  </w:style>
  <w:style w:type="paragraph" w:customStyle="1" w:styleId="A15082E853EA8D48A869DD0B2DD9F33B">
    <w:name w:val="A15082E853EA8D48A869DD0B2DD9F33B"/>
    <w:rsid w:val="003456B9"/>
  </w:style>
  <w:style w:type="paragraph" w:customStyle="1" w:styleId="85695CF5EB77CE46809BE6BDF224696D">
    <w:name w:val="85695CF5EB77CE46809BE6BDF224696D"/>
    <w:rsid w:val="003456B9"/>
  </w:style>
  <w:style w:type="paragraph" w:customStyle="1" w:styleId="5E1F4F3FDD8D7A44A08D09D8047D7098">
    <w:name w:val="5E1F4F3FDD8D7A44A08D09D8047D7098"/>
    <w:rsid w:val="003456B9"/>
  </w:style>
  <w:style w:type="paragraph" w:customStyle="1" w:styleId="2E1376C6FEB9C8429DB47368A8C79FDC">
    <w:name w:val="2E1376C6FEB9C8429DB47368A8C79FDC"/>
    <w:rsid w:val="00CA0768"/>
  </w:style>
  <w:style w:type="paragraph" w:customStyle="1" w:styleId="E5829EAA93CC774EBB86A22B6DACB2E3">
    <w:name w:val="E5829EAA93CC774EBB86A22B6DACB2E3"/>
    <w:rsid w:val="00CA0768"/>
  </w:style>
  <w:style w:type="paragraph" w:customStyle="1" w:styleId="A81E32395EC98C4FB02FFC6AF70B5A40">
    <w:name w:val="A81E32395EC98C4FB02FFC6AF70B5A40"/>
    <w:rsid w:val="00CA0768"/>
  </w:style>
  <w:style w:type="paragraph" w:customStyle="1" w:styleId="1E9A3AC359AFBF4AA76CEC923F8577B0">
    <w:name w:val="1E9A3AC359AFBF4AA76CEC923F8577B0"/>
    <w:rsid w:val="00CA0768"/>
  </w:style>
  <w:style w:type="paragraph" w:customStyle="1" w:styleId="F31BBDE971228C41B52F8DC88A75946D">
    <w:name w:val="F31BBDE971228C41B52F8DC88A75946D"/>
    <w:rsid w:val="003E2E18"/>
  </w:style>
  <w:style w:type="paragraph" w:customStyle="1" w:styleId="427FF2FA74A4DA4F8CBBDC3D63ABDDC7">
    <w:name w:val="427FF2FA74A4DA4F8CBBDC3D63ABDDC7"/>
    <w:rsid w:val="00A1246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11-12T20:15:54.175"/>
    </inkml:context>
    <inkml:brush xml:id="br0">
      <inkml:brushProperty name="width" value="0.05" units="cm"/>
      <inkml:brushProperty name="height" value="0.05" units="cm"/>
    </inkml:brush>
  </inkml:definitions>
  <inkml:trace contextRef="#ctx0" brushRef="#br0">1 275 24575,'21'29'0,"-14"-20"0,17 20 0,-19-26 0,1 2 0,-1 0 0,1-2 0,-1 2 0,0-2 0,1 0 0,-3 2 0,1-5 0,-3 5 0,4-5 0,-5 5 0,5-1 0,-2-1 0,3 2 0,-1-2 0,-2 2 0,2-2 0,-4 2 0,4-4 0,-5 3 0,5-3 0,-2 1 0,3-4 0,-1-4 0,1-4 0,1-2 0,-1-4 0,0 2 0,1-5 0,-1 2 0,1-3 0,0-5 0,4-1 0,-3-3 0,6-1 0,-3 4 0,3-2 0,0 6 0,-3-2 0,-1 3 0,-4 4 0,1 1 0,-1 7 0,0 0 0,-1 4 0,-2-1 0,2 1 0,-4 2 0,1 1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B934A58-CD6B-C348-A3D0-AB058F4B5A1A}">
  <we:reference id="wa104380122" version="1.0.0.1" store="en-US" storeType="OMEX"/>
  <we:alternateReferences>
    <we:reference id="WA104380122" version="1.0.0.1" store="WA104380122" storeType="OMEX"/>
  </we:alternateReferences>
  <we:properties>
    <we:property name="biblioId" value="-936138665"/>
    <we:property name="cit:1239672350" value="&quot;{\&quot;docs\&quot;:[{\&quot;id\&quot;:\&quot;doc:5be8b6bee4b02374b62f053c\&quot;,\&quot;pageReplace\&quot;:\&quot;\&quot;,\&quot;author\&quot;:true,\&quot;year\&quot;:true,\&quot;prefix\&quot;:\&quot;\&quot;,\&quot;suffix\&quot;:\&quot;\&quot;}],\&quot;position\&quot;:\&quot;footnote\&quot;}&quot;"/>
    <we:property name="cit:1384292306" value="&quot;{\&quot;docs\&quot;:[{\&quot;pageReplace\&quot;:\&quot;\&quot;,\&quot;author\&quot;:true,\&quot;year\&quot;:true,\&quot;prefix\&quot;:\&quot;\&quot;,\&quot;suffix\&quot;:\&quot;\&quot;,\&quot;id\&quot;:\&quot;doc:5be7a203e4b04998503da39e\&quot;}],\&quot;position\&quot;:\&quot;footnote\&quot;}&quot;"/>
    <we:property name="cit:1802104560" value="&quot;{\&quot;docs\&quot;:[{\&quot;id\&quot;:\&quot;doc:5be8b6bee4b02374b62f053c\&quot;,\&quot;pageReplace\&quot;:\&quot;\&quot;,\&quot;author\&quot;:true,\&quot;year\&quot;:true,\&quot;prefix\&quot;:\&quot;\&quot;,\&quot;suffix\&quot;:\&quot;\&quot;}],\&quot;position\&quot;:\&quot;footnote\&quot;}&quot;"/>
    <we:property name="cit:1931620672" value="&quot;{\&quot;docs\&quot;:[{\&quot;id\&quot;:\&quot;doc:5be8bcd9e4b0f20392868a50\&quot;,\&quot;pageReplace\&quot;:\&quot;\&quot;,\&quot;author\&quot;:true,\&quot;year\&quot;:true,\&quot;prefix\&quot;:\&quot;\&quot;,\&quot;suffix\&quot;:\&quot;\&quot;}],\&quot;position\&quot;:\&quot;footnote\&quot;}&quot;"/>
    <we:property name="cit:1943340695" value="&quot;{\&quot;docs\&quot;:[{\&quot;id\&quot;:\&quot;doc:5be7a1d6e4b04152ad39cc99\&quot;,\&quot;pageReplace\&quot;:\&quot;\&quot;,\&quot;author\&quot;:true,\&quot;year\&quot;:true,\&quot;prefix\&quot;:\&quot;\&quot;,\&quot;suffix\&quot;:\&quot;\&quot;}],\&quot;position\&quot;:\&quot;body\&quot;}&quot;"/>
    <we:property name="cit:1990431568" value="&quot;{\&quot;docs\&quot;:[{\&quot;id\&quot;:\&quot;doc:5be88560e4b0e163a5e84ae2\&quot;,\&quot;pageReplace\&quot;:\&quot;\&quot;,\&quot;author\&quot;:true,\&quot;year\&quot;:true,\&quot;prefix\&quot;:\&quot;\&quot;,\&quot;suffix\&quot;:\&quot;\&quot;}],\&quot;position\&quot;:\&quot;footnote\&quot;}&quot;"/>
    <we:property name="cit:225114359" value="&quot;{\&quot;docs\&quot;:[{\&quot;pageReplace\&quot;:\&quot;\&quot;,\&quot;author\&quot;:true,\&quot;year\&quot;:true,\&quot;prefix\&quot;:\&quot;\&quot;,\&quot;suffix\&quot;:\&quot;\&quot;,\&quot;id\&quot;:\&quot;doc:5be7a203e4b04998503da39e\&quot;}],\&quot;position\&quot;:\&quot;footnote\&quot;}&quot;"/>
    <we:property name="cit:503326980" value="&quot;{\&quot;docs\&quot;:[{\&quot;id\&quot;:\&quot;doc:5be89357e4b0e163a5e84da6\&quot;,\&quot;pageReplace\&quot;:\&quot;\&quot;,\&quot;author\&quot;:true,\&quot;year\&quot;:true,\&quot;prefix\&quot;:\&quot;\&quot;,\&quot;suffix\&quot;:\&quot;\&quot;}],\&quot;position\&quot;:\&quot;footnote\&quot;}&quot;"/>
    <we:property name="cit:_1105113891" value="&quot;{\&quot;docs\&quot;:[{\&quot;pageReplace\&quot;:\&quot;\&quot;,\&quot;author\&quot;:true,\&quot;year\&quot;:true,\&quot;prefix\&quot;:\&quot;\&quot;,\&quot;suffix\&quot;:\&quot;\&quot;,\&quot;id\&quot;:\&quot;doc:5be85ecee4b023db724d1b74\&quot;}],\&quot;position\&quot;:\&quot;footnote\&quot;}&quot;"/>
    <we:property name="cit:_1115363667" value="&quot;{\&quot;docs\&quot;:[{\&quot;pageReplace\&quot;:\&quot;\&quot;,\&quot;author\&quot;:true,\&quot;year\&quot;:true,\&quot;prefix\&quot;:\&quot;\&quot;,\&quot;suffix\&quot;:\&quot;\&quot;,\&quot;id\&quot;:\&quot;doc:5be7a203e4b04998503da39e\&quot;}],\&quot;position\&quot;:\&quot;footnote\&quot;}&quot;"/>
    <we:property name="cit:_1231849655" value="&quot;{\&quot;docs\&quot;:[{\&quot;id\&quot;:\&quot;doc:5be85ecee4b023db724d1b74\&quot;,\&quot;pageReplace\&quot;:\&quot;\&quot;,\&quot;author\&quot;:true,\&quot;year\&quot;:true,\&quot;prefix\&quot;:\&quot;\&quot;,\&quot;suffix\&quot;:\&quot;\&quot;}],\&quot;position\&quot;:\&quot;body\&quot;}&quot;"/>
    <we:property name="cit:_1295141806" value="&quot;{\&quot;docs\&quot;:[{\&quot;pageReplace\&quot;:\&quot;\&quot;,\&quot;author\&quot;:true,\&quot;year\&quot;:true,\&quot;prefix\&quot;:\&quot;\&quot;,\&quot;suffix\&quot;:\&quot;\&quot;,\&quot;id\&quot;:\&quot;doc:5be7a203e4b04998503da39e\&quot;}],\&quot;position\&quot;:\&quot;footnote\&quot;}&quot;"/>
    <we:property name="cit:_1393413261" value="&quot;{\&quot;docs\&quot;:[{\&quot;pageReplace\&quot;:\&quot;\&quot;,\&quot;author\&quot;:true,\&quot;year\&quot;:true,\&quot;prefix\&quot;:\&quot;\&quot;,\&quot;suffix\&quot;:\&quot;\&quot;,\&quot;id\&quot;:\&quot;doc:5be7a203e4b04998503da39e\&quot;}],\&quot;position\&quot;:\&quot;footnote\&quot;}&quot;"/>
    <we:property name="cit:_1524085619" value="&quot;{\&quot;docs\&quot;:[{\&quot;id\&quot;:\&quot;doc:5be872e8e4b02374b62ef024\&quot;,\&quot;pageReplace\&quot;:\&quot;\&quot;,\&quot;author\&quot;:true,\&quot;year\&quot;:true,\&quot;prefix\&quot;:\&quot;\&quot;,\&quot;suffix\&quot;:\&quot;\&quot;}],\&quot;position\&quot;:\&quot;footnote\&quot;}&quot;"/>
    <we:property name="cit:_1524472966" value="&quot;{\&quot;docs\&quot;:[{\&quot;id\&quot;:\&quot;doc:5be8bcd9e4b0f20392868a50\&quot;,\&quot;pageReplace\&quot;:\&quot;\&quot;,\&quot;author\&quot;:true,\&quot;year\&quot;:true,\&quot;prefix\&quot;:\&quot;\&quot;,\&quot;suffix\&quot;:\&quot;\&quot;}],\&quot;position\&quot;:\&quot;footnote\&quot;}&quot;"/>
    <we:property name="cit:_1557860374" value="&quot;{\&quot;docs\&quot;:[{\&quot;id\&quot;:\&quot;doc:5be7a203e4b04998503da39e\&quot;,\&quot;pageReplace\&quot;:\&quot;\&quot;,\&quot;author\&quot;:true,\&quot;year\&quot;:true,\&quot;prefix\&quot;:\&quot;\&quot;,\&quot;suffix\&quot;:\&quot;\&quot;}],\&quot;position\&quot;:\&quot;footnote\&quot;}&quot;"/>
    <we:property name="cit:_2093995893" value="&quot;{\&quot;docs\&quot;:[{\&quot;id\&quot;:\&quot;doc:5be7a203e4b04998503da39e\&quot;,\&quot;pageReplace\&quot;:\&quot;\&quot;,\&quot;author\&quot;:true,\&quot;year\&quot;:true,\&quot;prefix\&quot;:\&quot;\&quot;,\&quot;suffix\&quot;:\&quot;\&quot;}],\&quot;position\&quot;:\&quot;footnote\&quot;}&quot;"/>
    <we:property name="cit:_2116585223" value="&quot;{\&quot;docs\&quot;:[{\&quot;id\&quot;:\&quot;doc:5be7a1d6e4b04152ad39cc99\&quot;,\&quot;pageReplace\&quot;:\&quot;\&quot;,\&quot;author\&quot;:true,\&quot;year\&quot;:true,\&quot;prefix\&quot;:\&quot;\&quot;,\&quot;suffix\&quot;:\&quot;\&quot;}],\&quot;position\&quot;:\&quot;footnote\&quot;}&quot;"/>
    <we:property name="cit:_372620264" value="&quot;{\&quot;docs\&quot;:[{\&quot;pageReplace\&quot;:\&quot;\&quot;,\&quot;author\&quot;:true,\&quot;year\&quot;:true,\&quot;prefix\&quot;:\&quot;\&quot;,\&quot;suffix\&quot;:\&quot;\&quot;,\&quot;id\&quot;:\&quot;doc:5be7a203e4b04998503da39e\&quot;}],\&quot;position\&quot;:\&quot;footnote\&quot;}&quot;"/>
    <we:property name="cit:_463503382" value="&quot;{\&quot;docs\&quot;:[{\&quot;id\&quot;:\&quot;doc:5be7a1d6e4b04152ad39cc99\&quot;,\&quot;pageReplace\&quot;:\&quot;\&quot;,\&quot;author\&quot;:true,\&quot;year\&quot;:true,\&quot;prefix\&quot;:\&quot;\&quot;,\&quot;suffix\&quot;:\&quot;\&quot;}],\&quot;position\&quot;:\&quot;footnote\&quot;}&quot;"/>
    <we:property name="cit:_47691776" value="&quot;{\&quot;docs\&quot;:[{\&quot;id\&quot;:\&quot;doc:5be7a203e4b04998503da39e\&quot;,\&quot;pageReplace\&quot;:\&quot;\&quot;,\&quot;author\&quot;:true,\&quot;year\&quot;:true,\&quot;prefix\&quot;:\&quot;\&quot;,\&quot;suffix\&quot;:\&quot;\&quot;}],\&quot;position\&quot;:\&quot;body\&quot;}&quot;"/>
    <we:property name="cit:_493112733" value="&quot;{\&quot;docs\&quot;:[{\&quot;id\&quot;:\&quot;doc:5be89499e4b00ebaae797b4e\&quot;,\&quot;pageReplace\&quot;:\&quot;\&quot;,\&quot;author\&quot;:true,\&quot;year\&quot;:true,\&quot;prefix\&quot;:\&quot;\&quot;,\&quot;suffix\&quot;:\&quot;\&quot;}],\&quot;position\&quot;:\&quot;footnote\&quot;}&quot;"/>
    <we:property name="cit:_745954710" value="&quot;{\&quot;docs\&quot;:[{\&quot;pageReplace\&quot;:\&quot;\&quot;,\&quot;author\&quot;:true,\&quot;year\&quot;:true,\&quot;prefix\&quot;:\&quot;\&quot;,\&quot;suffix\&quot;:\&quot;\&quot;,\&quot;id\&quot;:\&quot;doc:5be85ecee4b023db724d1b74\&quot;}],\&quot;position\&quot;:\&quot;footnote\&quot;}&quot;"/>
    <we:property name="cit:_759373685" value="&quot;{\&quot;docs\&quot;:[{\&quot;pageReplace\&quot;:\&quot;\&quot;,\&quot;author\&quot;:true,\&quot;year\&quot;:true,\&quot;prefix\&quot;:\&quot;\&quot;,\&quot;suffix\&quot;:\&quot;\&quot;,\&quot;id\&quot;:\&quot;doc:5be85ecee4b023db724d1b74\&quot;}],\&quot;position\&quot;:\&quot;footnote\&quot;}&quot;"/>
    <we:property name="cit:_850488777" value="&quot;{\&quot;docs\&quot;:[{\&quot;id\&quot;:\&quot;doc:5be872e8e4b02374b62ef024\&quot;,\&quot;pageReplace\&quot;:\&quot;\&quot;,\&quot;author\&quot;:true,\&quot;year\&quot;:true,\&quot;prefix\&quot;:\&quot;\&quot;,\&quot;suffix\&quot;:\&quot;\&quot;}],\&quot;position\&quot;:\&quot;footnote\&quot;}&quot;"/>
    <we:property name="cit:_92871493" value="&quot;{\&quot;docs\&quot;:[{\&quot;pageReplace\&quot;:\&quot;\&quot;,\&quot;author\&quot;:true,\&quot;year\&quot;:true,\&quot;prefix\&quot;:\&quot;\&quot;,\&quot;suffix\&quot;:\&quot;\&quot;,\&quot;id\&quot;:\&quot;doc:5be7a1d6e4b04152ad39cc99\&quot;}],\&quot;position\&quot;:\&quot;footnote\&quot;}&quot;"/>
    <we:property name="citationStyle" value="&quot;{\&quot;id\&quot;:\&quot;rwuserstyle:5aa2745ddbf33207d332016a\&quot;,\&quot;styleType\&quot;:\&quot;refworks\&quot;,\&quot;name\&quot;:\&quot;MHRA-Modern Humanities Research Association (Notes &amp; Bibliography)\&quot;,\&quot;userId\&quot;:\&quot;user:59e9b3ede4b0e70d30447d67\&quot;,\&quot;isInstitutional\&quot;:true,\&quot;citeStyle\&quot;:\&quot;INTEXT_ONLY\&quot;,\&quot;isSorted\&quot;:true,\&quot;usesNumbers\&quot;:false,\&quot;$$hashKey\&quot;:\&quot;object:1933\&quot;}&quot;"/>
    <we:property name="contentControlsValues" value="&quot;{}&quot;"/>
    <we:property name="optionsValues" value="&quot;{\&quot;doc:5be7a203e4b04998503da39e&amp;-47691776\&quot;:{\&quot;id\&quot;:\&quot;doc:5be7a203e4b04998503da39e\&quot;,\&quot;pageReplace\&quot;:\&quot;\&quot;,\&quot;author\&quot;:true,\&quot;year\&quot;:true,\&quot;prefix\&quot;:\&quot;\&quot;,\&quot;suffix\&quot;:\&quot;\&quot;},\&quot;doc:5be7a1d6e4b04152ad39cc99&amp;-92871493\&quot;:{\&quot;pageReplace\&quot;:\&quot;\&quot;,\&quot;author\&quot;:true,\&quot;year\&quot;:true,\&quot;prefix\&quot;:\&quot;\&quot;,\&quot;suffix\&quot;:\&quot;\&quot;,\&quot;id\&quot;:\&quot;doc:5be7a1d6e4b04152ad39cc99\&quot;},\&quot;doc:5be7a203e4b04998503da39e&amp;225114359\&quot;:{\&quot;pageReplace\&quot;:\&quot;\&quot;,\&quot;author\&quot;:true,\&quot;year\&quot;:true,\&quot;prefix\&quot;:\&quot;\&quot;,\&quot;suffix\&quot;:\&quot;\&quot;,\&quot;id\&quot;:\&quot;doc:5be7a203e4b04998503da39e\&quot;},\&quot;doc:5be85ecee4b023db724d1b74&amp;-745954710\&quot;:{\&quot;pageReplace\&quot;:\&quot;\&quot;,\&quot;author\&quot;:true,\&quot;year\&quot;:true,\&quot;prefix\&quot;:\&quot;\&quot;,\&quot;suffix\&quot;:\&quot;\&quot;,\&quot;id\&quot;:\&quot;doc:5be85ecee4b023db724d1b74\&quot;},\&quot;doc:5be85ecee4b023db724d1b74&amp;-759373685\&quot;:{\&quot;pageReplace\&quot;:\&quot;\&quot;,\&quot;author\&quot;:true,\&quot;year\&quot;:true,\&quot;prefix\&quot;:\&quot;\&quot;,\&quot;suffix\&quot;:\&quot;\&quot;,\&quot;id\&quot;:\&quot;doc:5be85ecee4b023db724d1b74\&quot;},\&quot;doc:5be7a203e4b04998503da39e&amp;-1115363667\&quot;:{\&quot;pageReplace\&quot;:\&quot;\&quot;,\&quot;author\&quot;:true,\&quot;year\&quot;:true,\&quot;prefix\&quot;:\&quot;\&quot;,\&quot;suffix\&quot;:\&quot;\&quot;,\&quot;id\&quot;:\&quot;doc:5be7a203e4b04998503da39e\&quot;},\&quot;doc:5be7a203e4b04998503da39e&amp;-372620264\&quot;:{\&quot;pageReplace\&quot;:\&quot;\&quot;,\&quot;author\&quot;:true,\&quot;year\&quot;:true,\&quot;prefix\&quot;:\&quot;\&quot;,\&quot;suffix\&quot;:\&quot;\&quot;,\&quot;id\&quot;:\&quot;doc:5be7a203e4b04998503da39e\&quot;},\&quot;doc:5be7a203e4b04998503da39e&amp;-1393413261\&quot;:{\&quot;pageReplace\&quot;:\&quot;\&quot;,\&quot;author\&quot;:true,\&quot;year\&quot;:true,\&quot;prefix\&quot;:\&quot;\&quot;,\&quot;suffix\&quot;:\&quot;\&quot;,\&quot;id\&quot;:\&quot;doc:5be7a203e4b04998503da39e\&quot;},\&quot;doc:5be8b6bee4b02374b62f053c&amp;1802104560\&quot;:{\&quot;id\&quot;:\&quot;doc:5be8b6bee4b02374b62f053c\&quot;,\&quot;pageReplace\&quot;:\&quot;\&quot;,\&quot;author\&quot;:true,\&quot;year\&quot;:true,\&quot;prefix\&quot;:\&quot;\&quot;,\&quot;suffix\&quot;:\&quot;\&quot;},\&quot;doc:5be8bcd9e4b0f20392868a50&amp;-1524472966\&quot;:{\&quot;id\&quot;:\&quot;doc:5be8bcd9e4b0f20392868a50\&quot;,\&quot;pageReplace\&quot;:\&quot;\&quot;,\&quot;author\&quot;:true,\&quot;year\&quot;:true,\&quot;prefix\&quot;:\&quot;\&quot;,\&quot;suffix\&quot;:\&quot;\&quot;},\&quot;doc:5be7a203e4b04998503da39e&amp;-1295141806\&quot;:{\&quot;pageReplace\&quot;:\&quot;\&quot;,\&quot;author\&quot;:true,\&quot;year\&quot;:true,\&quot;prefix\&quot;:\&quot;\&quot;,\&quot;suffix\&quot;:\&quot;\&quot;,\&quot;id\&quot;:\&quot;doc:5be7a203e4b04998503da39e\&quot;},\&quot;doc:5be7a1d6e4b04152ad39cc99&amp;-463503382\&quot;:{\&quot;id\&quot;:\&quot;doc:5be7a1d6e4b04152ad39cc99\&quot;,\&quot;pageReplace\&quot;:\&quot;\&quot;,\&quot;author\&quot;:true,\&quot;year\&quot;:true,\&quot;prefix\&quot;:\&quot;\&quot;,\&quot;suffix\&quot;:\&quot;\&quot;},\&quot;doc:5be8b6bee4b02374b62f053c&amp;1239672350\&quot;:{\&quot;id\&quot;:\&quot;doc:5be8b6bee4b02374b62f053c\&quot;,\&quot;pageReplace\&quot;:\&quot;\&quot;,\&quot;author\&quot;:true,\&quot;year\&quot;:true,\&quot;prefix\&quot;:\&quot;\&quot;,\&quot;suffix\&quot;:\&quot;\&quot;},\&quot;doc:5be8bcd9e4b0f20392868a50&amp;1931620672\&quot;:{\&quot;id\&quot;:\&quot;doc:5be8bcd9e4b0f20392868a50\&quot;,\&quot;pageReplace\&quot;:\&quot;\&quot;,\&quot;author\&quot;:true,\&quot;year\&quot;:true,\&quot;prefix\&quot;:\&quot;\&quot;,\&quot;suffix\&quot;:\&quot;\&quot;},\&quot;doc:5be7a203e4b04998503da39e&amp;1384292306\&quot;:{\&quot;pageReplace\&quot;:\&quot;\&quot;,\&quot;author\&quot;:true,\&quot;year\&quot;:true,\&quot;prefix\&quot;:\&quot;\&quot;,\&quot;suffix\&quot;:\&quot;\&quot;,\&quot;id\&quot;:\&quot;doc:5be7a203e4b04998503da39e\&quot;},\&quot;doc:5be7a1d6e4b04152ad39cc99&amp;-2116585223\&quot;:{\&quot;id\&quot;:\&quot;doc:5be7a1d6e4b04152ad39cc99\&quot;,\&quot;pageReplace\&quot;:\&quot;\&quot;,\&quot;author\&quot;:true,\&quot;year\&quot;:true,\&quot;prefix\&quot;:\&quot;\&quot;,\&quot;suffix\&quot;:\&quot;\&quot;},\&quot;doc:5be7a1d6e4b04152ad39cc99&amp;1943340695\&quot;:{\&quot;id\&quot;:\&quot;doc:5be7a1d6e4b04152ad39cc99\&quot;,\&quot;pageReplace\&quot;:\&quot;\&quot;,\&quot;author\&quot;:true,\&quot;year\&quot;:true,\&quot;prefix\&quot;:\&quot;\&quot;,\&quot;suffix\&quot;:\&quot;\&quot;},\&quot;doc:5be85ecee4b023db724d1b74&amp;-1231849655\&quot;:{\&quot;id\&quot;:\&quot;doc:5be85ecee4b023db724d1b74\&quot;,\&quot;pageReplace\&quot;:\&quot;\&quot;,\&quot;author\&quot;:true,\&quot;year\&quot;:true,\&quot;prefix\&quot;:\&quot;\&quot;,\&quot;suffix\&quot;:\&quot;\&quot;},\&quot;doc:5be85ecee4b023db724d1b74&amp;-1105113891\&quot;:{\&quot;pageReplace\&quot;:\&quot;\&quot;,\&quot;author\&quot;:true,\&quot;year\&quot;:true,\&quot;prefix\&quot;:\&quot;\&quot;,\&quot;suffix\&quot;:\&quot;\&quot;,\&quot;id\&quot;:\&quot;doc:5be85ecee4b023db724d1b74\&quot;},\&quot;doc:5be872e8e4b02374b62ef024&amp;-1524085619\&quot;:{\&quot;id\&quot;:\&quot;doc:5be872e8e4b02374b62ef024\&quot;,\&quot;pageReplace\&quot;:\&quot;\&quot;,\&quot;author\&quot;:true,\&quot;year\&quot;:true,\&quot;prefix\&quot;:\&quot;\&quot;,\&quot;suffix\&quot;:\&quot;\&quot;},\&quot;doc:5be88560e4b0e163a5e84ae2&amp;1990431568\&quot;:{\&quot;id\&quot;:\&quot;doc:5be88560e4b0e163a5e84ae2\&quot;,\&quot;pageReplace\&quot;:\&quot;\&quot;,\&quot;author\&quot;:true,\&quot;year\&quot;:true,\&quot;prefix\&quot;:\&quot;\&quot;,\&quot;suffix\&quot;:\&quot;\&quot;},\&quot;doc:5be7a203e4b04998503da39e&amp;-1557860374\&quot;:{\&quot;id\&quot;:\&quot;doc:5be7a203e4b04998503da39e\&quot;,\&quot;pageReplace\&quot;:\&quot;\&quot;,\&quot;author\&quot;:true,\&quot;year\&quot;:true,\&quot;prefix\&quot;:\&quot;\&quot;,\&quot;suffix\&quot;:\&quot;\&quot;},\&quot;doc:5be89357e4b0e163a5e84da6&amp;503326980\&quot;:{\&quot;id\&quot;:\&quot;doc:5be89357e4b0e163a5e84da6\&quot;,\&quot;pageReplace\&quot;:\&quot;\&quot;,\&quot;author\&quot;:true,\&quot;year\&quot;:true,\&quot;prefix\&quot;:\&quot;\&quot;,\&quot;suffix\&quot;:\&quot;\&quot;},\&quot;doc:5be89499e4b00ebaae797b4e&amp;-493112733\&quot;:{\&quot;id\&quot;:\&quot;doc:5be89499e4b00ebaae797b4e\&quot;,\&quot;pageReplace\&quot;:\&quot;\&quot;,\&quot;author\&quot;:true,\&quot;year\&quot;:true,\&quot;prefix\&quot;:\&quot;\&quot;,\&quot;suffix\&quot;:\&quot;\&quot;}}&quot;"/>
  </we:properties>
  <we:bindings>
    <we:binding id="1239672350" type="text" appref="2659726960"/>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FC69B1-4B12-874A-A50F-DA9D3B5D3C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2105</TotalTime>
  <Pages>9</Pages>
  <Words>2711</Words>
  <Characters>15453</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christina@ebbandglow.com</dc:creator>
  <cp:keywords/>
  <dc:description/>
  <cp:lastModifiedBy>Christina Giles (1805673)</cp:lastModifiedBy>
  <cp:revision>69</cp:revision>
  <cp:lastPrinted>2019-06-17T21:33:00Z</cp:lastPrinted>
  <dcterms:created xsi:type="dcterms:W3CDTF">2019-06-05T19:26:00Z</dcterms:created>
  <dcterms:modified xsi:type="dcterms:W3CDTF">2019-06-17T22:32:00Z</dcterms:modified>
</cp:coreProperties>
</file>