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AD6DA35" w:rsidP="7AD6DA35" w:rsidRDefault="7AD6DA35" w14:paraId="452B6CF6" w14:textId="7AD81AA7">
      <w:pPr>
        <w:spacing w:after="193" w:line="259" w:lineRule="auto"/>
        <w:ind w:left="2799" w:righ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3F73AD81" w:rsidP="7AD6DA35" w:rsidRDefault="3F73AD81" w14:paraId="142112B9" w14:textId="726238BA">
      <w:pPr>
        <w:tabs>
          <w:tab w:val="center" w:leader="none" w:pos="5564"/>
        </w:tabs>
        <w:spacing w:after="434" w:line="259" w:lineRule="auto"/>
        <w:ind w:left="-15" w:right="0" w:hanging="10" w:firstLine="0"/>
        <w:jc w:val="cente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7AD6DA35" w:rsidR="3F73AD8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r w:rsidRPr="7AD6DA35" w:rsidR="3F73AD8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3F73AD81" w:rsidP="7AD6DA35" w:rsidRDefault="3F73AD81" w14:paraId="1CE59734" w14:textId="644603FE">
      <w:pPr>
        <w:spacing w:after="0" w:line="259" w:lineRule="auto"/>
        <w:ind w:left="0" w:righ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US"/>
        </w:rPr>
      </w:pPr>
      <w:r w:rsidRPr="7AD6DA35" w:rsidR="3F73AD81">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t xml:space="preserve"> </w:t>
      </w:r>
    </w:p>
    <w:p w:rsidR="7AD6DA35" w:rsidP="7AD6DA35" w:rsidRDefault="7AD6DA35" w14:paraId="401B81D4" w14:textId="796EE11D">
      <w:pPr>
        <w:spacing w:after="0" w:line="259" w:lineRule="auto"/>
        <w:ind w:left="2799" w:right="0" w:hanging="10" w:firstLine="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3F73AD81" w:rsidP="7AD6DA35" w:rsidRDefault="3F73AD81" w14:paraId="1EB84526" w14:textId="7D01C577">
      <w:pPr>
        <w:spacing w:after="44" w:line="259" w:lineRule="auto"/>
        <w:ind w:left="1661" w:right="0" w:hanging="10" w:firstLine="0"/>
        <w:rPr>
          <w:rFonts w:ascii="Arial" w:hAnsi="Arial" w:eastAsia="Arial" w:cs="Arial"/>
          <w:b w:val="0"/>
          <w:bCs w:val="0"/>
          <w:i w:val="0"/>
          <w:iCs w:val="0"/>
          <w:caps w:val="0"/>
          <w:smallCaps w:val="0"/>
          <w:noProof w:val="0"/>
          <w:color w:val="000000" w:themeColor="text1" w:themeTint="FF" w:themeShade="FF"/>
          <w:sz w:val="24"/>
          <w:szCs w:val="24"/>
          <w:lang w:val="en-US"/>
        </w:rPr>
      </w:pPr>
      <w:r w:rsidR="3F73AD81">
        <w:drawing>
          <wp:inline wp14:editId="6F2B4327" wp14:anchorId="3BB2F966">
            <wp:extent cx="5353050" cy="1483828"/>
            <wp:effectExtent l="0" t="0" r="0" b="0"/>
            <wp:docPr id="39490797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94907972" name="Picture 394907972"/>
                    <pic:cNvPicPr/>
                  </pic:nvPicPr>
                  <pic:blipFill>
                    <a:blip xmlns:r="http://schemas.openxmlformats.org/officeDocument/2006/relationships" r:embed="rId767850174">
                      <a:extLst>
                        <a:ext uri="{28A0092B-C50C-407E-A947-70E740481C1C}">
                          <a14:useLocalDpi xmlns:a14="http://schemas.microsoft.com/office/drawing/2010/main"/>
                        </a:ext>
                      </a:extLst>
                    </a:blip>
                    <a:stretch>
                      <a:fillRect/>
                    </a:stretch>
                  </pic:blipFill>
                  <pic:spPr>
                    <a:xfrm rot="0">
                      <a:off x="0" y="0"/>
                      <a:ext cx="5353050" cy="1483828"/>
                    </a:xfrm>
                    <a:prstGeom prst="rect">
                      <a:avLst/>
                    </a:prstGeom>
                  </pic:spPr>
                </pic:pic>
              </a:graphicData>
            </a:graphic>
          </wp:inline>
        </w:drawing>
      </w:r>
    </w:p>
    <w:p w:rsidR="3F73AD81" w:rsidP="7AD6DA35" w:rsidRDefault="3F73AD81" w14:paraId="0DCDBC59" w14:textId="58C02BDD">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58"/>
          <w:szCs w:val="58"/>
          <w:lang w:val="en-US"/>
        </w:rPr>
      </w:pPr>
      <w:r w:rsidRPr="7AD6DA35" w:rsidR="3F73AD81">
        <w:rPr>
          <w:rFonts w:ascii="Arial" w:hAnsi="Arial" w:eastAsia="Arial" w:cs="Arial"/>
          <w:b w:val="0"/>
          <w:bCs w:val="0"/>
          <w:i w:val="0"/>
          <w:iCs w:val="0"/>
          <w:caps w:val="0"/>
          <w:smallCaps w:val="0"/>
          <w:noProof w:val="0"/>
          <w:color w:val="000000" w:themeColor="text1" w:themeTint="FF" w:themeShade="FF"/>
          <w:sz w:val="58"/>
          <w:szCs w:val="58"/>
          <w:lang w:val="en-GB"/>
        </w:rPr>
        <w:t xml:space="preserve"> </w:t>
      </w:r>
    </w:p>
    <w:p w:rsidR="3F73AD81" w:rsidP="7AD6DA35" w:rsidRDefault="3F73AD81" w14:paraId="7B736A7A" w14:textId="7A6D56D5">
      <w:pPr>
        <w:spacing w:after="0" w:line="259" w:lineRule="auto"/>
        <w:ind w:left="10" w:right="958" w:hanging="10"/>
        <w:jc w:val="right"/>
        <w:rPr>
          <w:rFonts w:ascii="Arial" w:hAnsi="Arial" w:eastAsia="Arial" w:cs="Arial"/>
          <w:b w:val="0"/>
          <w:bCs w:val="0"/>
          <w:i w:val="0"/>
          <w:iCs w:val="0"/>
          <w:caps w:val="0"/>
          <w:smallCaps w:val="0"/>
          <w:noProof w:val="0"/>
          <w:color w:val="000000" w:themeColor="text1" w:themeTint="FF" w:themeShade="FF"/>
          <w:sz w:val="58"/>
          <w:szCs w:val="58"/>
          <w:lang w:val="en-US"/>
        </w:rPr>
      </w:pPr>
      <w:r w:rsidRPr="7AD6DA35" w:rsidR="3F73AD81">
        <w:rPr>
          <w:rFonts w:ascii="Arial" w:hAnsi="Arial" w:eastAsia="Arial" w:cs="Arial"/>
          <w:b w:val="0"/>
          <w:bCs w:val="0"/>
          <w:i w:val="0"/>
          <w:iCs w:val="0"/>
          <w:caps w:val="0"/>
          <w:smallCaps w:val="0"/>
          <w:noProof w:val="0"/>
          <w:color w:val="000000" w:themeColor="text1" w:themeTint="FF" w:themeShade="FF"/>
          <w:sz w:val="58"/>
          <w:szCs w:val="58"/>
          <w:lang w:val="en-GB"/>
        </w:rPr>
        <w:t xml:space="preserve">Sefydliad Dysgu Canol Dinas / </w:t>
      </w:r>
    </w:p>
    <w:p w:rsidR="3F73AD81" w:rsidP="7AD6DA35" w:rsidRDefault="3F73AD81" w14:paraId="5B308C42" w14:textId="49978B98">
      <w:pPr>
        <w:spacing w:after="0" w:line="259" w:lineRule="auto"/>
        <w:ind w:left="10" w:right="1322" w:hanging="10"/>
        <w:jc w:val="right"/>
        <w:rPr>
          <w:rFonts w:ascii="Arial" w:hAnsi="Arial" w:eastAsia="Arial" w:cs="Arial"/>
          <w:b w:val="0"/>
          <w:bCs w:val="0"/>
          <w:i w:val="0"/>
          <w:iCs w:val="0"/>
          <w:caps w:val="0"/>
          <w:smallCaps w:val="0"/>
          <w:noProof w:val="0"/>
          <w:color w:val="000000" w:themeColor="text1" w:themeTint="FF" w:themeShade="FF"/>
          <w:sz w:val="58"/>
          <w:szCs w:val="58"/>
          <w:lang w:val="en-US"/>
        </w:rPr>
      </w:pPr>
      <w:r w:rsidRPr="7AD6DA35" w:rsidR="3F73AD81">
        <w:rPr>
          <w:rFonts w:ascii="Arial" w:hAnsi="Arial" w:eastAsia="Arial" w:cs="Arial"/>
          <w:b w:val="0"/>
          <w:bCs w:val="0"/>
          <w:i w:val="0"/>
          <w:iCs w:val="0"/>
          <w:caps w:val="0"/>
          <w:smallCaps w:val="0"/>
          <w:noProof w:val="0"/>
          <w:color w:val="000000" w:themeColor="text1" w:themeTint="FF" w:themeShade="FF"/>
          <w:sz w:val="58"/>
          <w:szCs w:val="58"/>
          <w:lang w:val="en-GB"/>
        </w:rPr>
        <w:t xml:space="preserve">Institute of </w:t>
      </w:r>
      <w:r w:rsidRPr="7AD6DA35" w:rsidR="3B94254A">
        <w:rPr>
          <w:rFonts w:ascii="Arial" w:hAnsi="Arial" w:eastAsia="Arial" w:cs="Arial"/>
          <w:b w:val="0"/>
          <w:bCs w:val="0"/>
          <w:i w:val="0"/>
          <w:iCs w:val="0"/>
          <w:caps w:val="0"/>
          <w:smallCaps w:val="0"/>
          <w:noProof w:val="0"/>
          <w:color w:val="000000" w:themeColor="text1" w:themeTint="FF" w:themeShade="FF"/>
          <w:sz w:val="58"/>
          <w:szCs w:val="58"/>
          <w:lang w:val="en-GB"/>
        </w:rPr>
        <w:t>Inner-City</w:t>
      </w:r>
      <w:r w:rsidRPr="7AD6DA35" w:rsidR="3F73AD81">
        <w:rPr>
          <w:rFonts w:ascii="Arial" w:hAnsi="Arial" w:eastAsia="Arial" w:cs="Arial"/>
          <w:b w:val="0"/>
          <w:bCs w:val="0"/>
          <w:i w:val="0"/>
          <w:iCs w:val="0"/>
          <w:caps w:val="0"/>
          <w:smallCaps w:val="0"/>
          <w:noProof w:val="0"/>
          <w:color w:val="000000" w:themeColor="text1" w:themeTint="FF" w:themeShade="FF"/>
          <w:sz w:val="58"/>
          <w:szCs w:val="58"/>
          <w:lang w:val="en-GB"/>
        </w:rPr>
        <w:t xml:space="preserve"> Learning  </w:t>
      </w:r>
    </w:p>
    <w:p w:rsidR="3F73AD81" w:rsidP="7AD6DA35" w:rsidRDefault="3F73AD81" w14:paraId="07376A48" w14:textId="663B6F4E">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0"/>
          <w:szCs w:val="20"/>
          <w:lang w:val="en-US"/>
        </w:rPr>
      </w:pPr>
      <w:r w:rsidRPr="7AD6DA35" w:rsidR="3F73AD8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3F73AD81" w:rsidP="7AD6DA35" w:rsidRDefault="3F73AD81" w14:paraId="0AF962B6" w14:textId="01B69126">
      <w:pPr>
        <w:spacing w:after="321"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0"/>
          <w:szCs w:val="20"/>
          <w:lang w:val="en-US"/>
        </w:rPr>
      </w:pPr>
      <w:r w:rsidRPr="7AD6DA35" w:rsidR="3F73AD81">
        <w:rPr>
          <w:rFonts w:ascii="Arial" w:hAnsi="Arial" w:eastAsia="Arial" w:cs="Arial"/>
          <w:b w:val="0"/>
          <w:bCs w:val="0"/>
          <w:i w:val="0"/>
          <w:iCs w:val="0"/>
          <w:caps w:val="0"/>
          <w:smallCaps w:val="0"/>
          <w:noProof w:val="0"/>
          <w:color w:val="000000" w:themeColor="text1" w:themeTint="FF" w:themeShade="FF"/>
          <w:sz w:val="20"/>
          <w:szCs w:val="20"/>
          <w:lang w:val="en-GB"/>
        </w:rPr>
        <w:t xml:space="preserve"> </w:t>
      </w:r>
    </w:p>
    <w:p w:rsidR="3F73AD81" w:rsidP="7AD6DA35" w:rsidRDefault="3F73AD81" w14:paraId="75E16A03" w14:textId="49A95D03">
      <w:pPr>
        <w:spacing w:after="0" w:line="259" w:lineRule="auto"/>
        <w:ind w:left="413" w:right="0" w:hanging="10" w:firstLine="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7AD6DA35" w:rsidR="3F73AD81">
        <w:rPr>
          <w:rFonts w:ascii="Arial" w:hAnsi="Arial" w:eastAsia="Arial" w:cs="Arial"/>
          <w:b w:val="0"/>
          <w:bCs w:val="0"/>
          <w:i w:val="0"/>
          <w:iCs w:val="0"/>
          <w:caps w:val="0"/>
          <w:smallCaps w:val="0"/>
          <w:noProof w:val="0"/>
          <w:color w:val="000000" w:themeColor="text1" w:themeTint="FF" w:themeShade="FF"/>
          <w:sz w:val="56"/>
          <w:szCs w:val="56"/>
          <w:lang w:val="en-GB"/>
        </w:rPr>
        <w:t xml:space="preserve"> </w:t>
      </w:r>
    </w:p>
    <w:p w:rsidR="3F73AD81" w:rsidP="7AD6DA35" w:rsidRDefault="3F73AD81" w14:paraId="2F65D17D" w14:textId="03D9C45B">
      <w:pPr>
        <w:spacing w:after="0" w:line="259" w:lineRule="auto"/>
        <w:ind w:left="413" w:right="0" w:hanging="10" w:firstLine="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7AD6DA35" w:rsidR="3F73AD81">
        <w:rPr>
          <w:rFonts w:ascii="Arial" w:hAnsi="Arial" w:eastAsia="Arial" w:cs="Arial"/>
          <w:b w:val="0"/>
          <w:bCs w:val="0"/>
          <w:i w:val="0"/>
          <w:iCs w:val="0"/>
          <w:caps w:val="0"/>
          <w:smallCaps w:val="0"/>
          <w:noProof w:val="0"/>
          <w:color w:val="000000" w:themeColor="text1" w:themeTint="FF" w:themeShade="FF"/>
          <w:sz w:val="56"/>
          <w:szCs w:val="56"/>
          <w:lang w:val="en-GB"/>
        </w:rPr>
        <w:t xml:space="preserve"> </w:t>
      </w:r>
    </w:p>
    <w:p w:rsidR="3F73AD81" w:rsidP="7AD6DA35" w:rsidRDefault="3F73AD81" w14:paraId="501AEDD2" w14:textId="196EDCC2">
      <w:pPr>
        <w:spacing w:after="0" w:line="259" w:lineRule="auto"/>
        <w:ind w:left="2611" w:right="0" w:hanging="10"/>
        <w:rPr>
          <w:rFonts w:ascii="Arial" w:hAnsi="Arial" w:eastAsia="Arial" w:cs="Arial"/>
          <w:b w:val="0"/>
          <w:bCs w:val="0"/>
          <w:i w:val="0"/>
          <w:iCs w:val="0"/>
          <w:caps w:val="0"/>
          <w:smallCaps w:val="0"/>
          <w:noProof w:val="0"/>
          <w:color w:val="000000" w:themeColor="text1" w:themeTint="FF" w:themeShade="FF"/>
          <w:sz w:val="56"/>
          <w:szCs w:val="56"/>
          <w:lang w:val="en-US"/>
        </w:rPr>
      </w:pPr>
      <w:r w:rsidRPr="7AD6DA35" w:rsidR="3F73AD81">
        <w:rPr>
          <w:rFonts w:ascii="Arial" w:hAnsi="Arial" w:eastAsia="Arial" w:cs="Arial"/>
          <w:b w:val="0"/>
          <w:bCs w:val="0"/>
          <w:i w:val="0"/>
          <w:iCs w:val="0"/>
          <w:caps w:val="0"/>
          <w:smallCaps w:val="0"/>
          <w:noProof w:val="0"/>
          <w:color w:val="000000" w:themeColor="text1" w:themeTint="FF" w:themeShade="FF"/>
          <w:sz w:val="56"/>
          <w:szCs w:val="56"/>
          <w:lang w:val="en-GB"/>
        </w:rPr>
        <w:t>BA Leadership and Management</w:t>
      </w:r>
    </w:p>
    <w:p w:rsidR="7AD6DA35" w:rsidP="7AD6DA35" w:rsidRDefault="7AD6DA35" w14:paraId="5C47C1A3" w14:textId="2BCF91EF">
      <w:pPr>
        <w:spacing w:after="0" w:line="259" w:lineRule="auto"/>
        <w:ind w:left="452" w:right="0" w:hanging="10" w:firstLine="0"/>
        <w:jc w:val="center"/>
        <w:rPr>
          <w:rFonts w:ascii="Arial" w:hAnsi="Arial" w:eastAsia="Arial" w:cs="Arial"/>
          <w:b w:val="0"/>
          <w:bCs w:val="0"/>
          <w:i w:val="0"/>
          <w:iCs w:val="0"/>
          <w:caps w:val="0"/>
          <w:smallCaps w:val="0"/>
          <w:noProof w:val="0"/>
          <w:color w:val="000000" w:themeColor="text1" w:themeTint="FF" w:themeShade="FF"/>
          <w:sz w:val="70"/>
          <w:szCs w:val="70"/>
          <w:lang w:val="en-GB"/>
        </w:rPr>
      </w:pPr>
    </w:p>
    <w:p w:rsidR="7AD6DA35" w:rsidP="7AD6DA35" w:rsidRDefault="7AD6DA35" w14:paraId="39F4EAED" w14:textId="757C3BAA">
      <w:pPr>
        <w:pStyle w:val="Normal"/>
      </w:pPr>
    </w:p>
    <w:p w:rsidR="7AD6DA35" w:rsidP="7AD6DA35" w:rsidRDefault="7AD6DA35" w14:paraId="2B3891FD" w14:textId="156390CD">
      <w:pPr>
        <w:spacing w:after="262" w:line="259" w:lineRule="auto"/>
        <w:ind w:left="30" w:right="0" w:hanging="10" w:firstLine="0"/>
        <w:jc w:val="center"/>
        <w:rPr>
          <w:rFonts w:ascii="Arial" w:hAnsi="Arial" w:eastAsia="Arial" w:cs="Arial"/>
          <w:b w:val="0"/>
          <w:bCs w:val="0"/>
          <w:i w:val="0"/>
          <w:iCs w:val="0"/>
          <w:caps w:val="0"/>
          <w:smallCaps w:val="0"/>
          <w:noProof w:val="0"/>
          <w:color w:val="000000" w:themeColor="text1" w:themeTint="FF" w:themeShade="FF"/>
          <w:sz w:val="32"/>
          <w:szCs w:val="32"/>
          <w:lang w:val="en-US"/>
        </w:rPr>
      </w:pPr>
    </w:p>
    <w:p w:rsidR="79BAD1FD" w:rsidP="7AD6DA35" w:rsidRDefault="79BAD1FD" w14:paraId="78FA6E89" w14:textId="7BC6B9F9">
      <w:pPr>
        <w:spacing w:after="0" w:line="259" w:lineRule="auto"/>
        <w:ind w:left="10" w:right="58" w:hanging="1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7AD6DA35" w:rsidR="79BAD1FD">
        <w:rPr>
          <w:rFonts w:ascii="Arial" w:hAnsi="Arial" w:eastAsia="Arial" w:cs="Arial"/>
          <w:b w:val="1"/>
          <w:bCs w:val="1"/>
          <w:i w:val="0"/>
          <w:iCs w:val="0"/>
          <w:caps w:val="0"/>
          <w:smallCaps w:val="0"/>
          <w:noProof w:val="0"/>
          <w:color w:val="000000" w:themeColor="text1" w:themeTint="FF" w:themeShade="FF"/>
          <w:sz w:val="56"/>
          <w:szCs w:val="56"/>
          <w:lang w:val="en-GB"/>
        </w:rPr>
        <w:t xml:space="preserve">Full Name: Kodesha Grant  </w:t>
      </w:r>
    </w:p>
    <w:p w:rsidR="79BAD1FD" w:rsidP="7AD6DA35" w:rsidRDefault="79BAD1FD" w14:paraId="1D162260" w14:textId="6B372B23">
      <w:pPr>
        <w:spacing w:after="0" w:line="259" w:lineRule="auto"/>
        <w:ind w:left="97" w:right="0" w:hanging="10" w:firstLine="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7AD6DA35" w:rsidR="79BAD1FD">
        <w:rPr>
          <w:rFonts w:ascii="Arial" w:hAnsi="Arial" w:eastAsia="Arial" w:cs="Arial"/>
          <w:b w:val="1"/>
          <w:bCs w:val="1"/>
          <w:i w:val="0"/>
          <w:iCs w:val="0"/>
          <w:caps w:val="0"/>
          <w:smallCaps w:val="0"/>
          <w:noProof w:val="0"/>
          <w:color w:val="000000" w:themeColor="text1" w:themeTint="FF" w:themeShade="FF"/>
          <w:sz w:val="56"/>
          <w:szCs w:val="56"/>
          <w:lang w:val="en-GB"/>
        </w:rPr>
        <w:t xml:space="preserve"> </w:t>
      </w:r>
    </w:p>
    <w:p w:rsidR="79BAD1FD" w:rsidP="7AD6DA35" w:rsidRDefault="79BAD1FD" w14:paraId="66CFD00A" w14:textId="3AFCA98B">
      <w:pPr>
        <w:spacing w:after="0" w:line="259" w:lineRule="auto"/>
        <w:ind w:left="10" w:right="61" w:hanging="10"/>
        <w:jc w:val="center"/>
        <w:rPr>
          <w:rFonts w:ascii="Arial" w:hAnsi="Arial" w:eastAsia="Arial" w:cs="Arial"/>
          <w:b w:val="0"/>
          <w:bCs w:val="0"/>
          <w:i w:val="0"/>
          <w:iCs w:val="0"/>
          <w:caps w:val="0"/>
          <w:smallCaps w:val="0"/>
          <w:noProof w:val="0"/>
          <w:color w:val="000000" w:themeColor="text1" w:themeTint="FF" w:themeShade="FF"/>
          <w:sz w:val="56"/>
          <w:szCs w:val="56"/>
          <w:lang w:val="en-US"/>
        </w:rPr>
      </w:pPr>
      <w:r w:rsidRPr="7AD6DA35" w:rsidR="79BAD1FD">
        <w:rPr>
          <w:rFonts w:ascii="Arial" w:hAnsi="Arial" w:eastAsia="Arial" w:cs="Arial"/>
          <w:b w:val="1"/>
          <w:bCs w:val="1"/>
          <w:i w:val="0"/>
          <w:iCs w:val="0"/>
          <w:caps w:val="0"/>
          <w:smallCaps w:val="0"/>
          <w:noProof w:val="0"/>
          <w:color w:val="000000" w:themeColor="text1" w:themeTint="FF" w:themeShade="FF"/>
          <w:sz w:val="56"/>
          <w:szCs w:val="56"/>
          <w:lang w:val="en-GB"/>
        </w:rPr>
        <w:t>Student Number</w:t>
      </w:r>
      <w:r w:rsidRPr="7AD6DA35" w:rsidR="79BAD1FD">
        <w:rPr>
          <w:rFonts w:ascii="Arial" w:hAnsi="Arial" w:eastAsia="Arial" w:cs="Arial"/>
          <w:b w:val="0"/>
          <w:bCs w:val="0"/>
          <w:i w:val="0"/>
          <w:iCs w:val="0"/>
          <w:caps w:val="0"/>
          <w:smallCaps w:val="0"/>
          <w:noProof w:val="0"/>
          <w:color w:val="000000" w:themeColor="text1" w:themeTint="FF" w:themeShade="FF"/>
          <w:sz w:val="56"/>
          <w:szCs w:val="56"/>
          <w:lang w:val="en-GB"/>
        </w:rPr>
        <w:t xml:space="preserve"> :2310545</w:t>
      </w:r>
    </w:p>
    <w:p w:rsidR="79BAD1FD" w:rsidP="7AD6DA35" w:rsidRDefault="79BAD1FD" w14:paraId="14C780D8" w14:textId="1DD68E44">
      <w:pPr>
        <w:spacing w:after="38" w:line="259" w:lineRule="auto"/>
        <w:ind w:left="0" w:right="8" w:hanging="10" w:firstLine="0"/>
        <w:jc w:val="center"/>
        <w:rPr>
          <w:rFonts w:ascii="Arial" w:hAnsi="Arial" w:eastAsia="Arial" w:cs="Arial"/>
          <w:b w:val="0"/>
          <w:bCs w:val="0"/>
          <w:i w:val="0"/>
          <w:iCs w:val="0"/>
          <w:caps w:val="0"/>
          <w:smallCaps w:val="0"/>
          <w:noProof w:val="0"/>
          <w:color w:val="000000" w:themeColor="text1" w:themeTint="FF" w:themeShade="FF"/>
          <w:sz w:val="18"/>
          <w:szCs w:val="18"/>
          <w:lang w:val="en-US"/>
        </w:rPr>
      </w:pPr>
      <w:r w:rsidRPr="7AD6DA35" w:rsidR="79BAD1FD">
        <w:rPr>
          <w:rFonts w:ascii="Arial" w:hAnsi="Arial" w:eastAsia="Arial" w:cs="Arial"/>
          <w:b w:val="1"/>
          <w:bCs w:val="1"/>
          <w:i w:val="1"/>
          <w:iCs w:val="1"/>
          <w:caps w:val="0"/>
          <w:smallCaps w:val="0"/>
          <w:noProof w:val="0"/>
          <w:color w:val="000000" w:themeColor="text1" w:themeTint="FF" w:themeShade="FF"/>
          <w:sz w:val="18"/>
          <w:szCs w:val="18"/>
          <w:lang w:val="en-GB"/>
        </w:rPr>
        <w:t xml:space="preserve"> </w:t>
      </w:r>
    </w:p>
    <w:p w:rsidR="79BAD1FD" w:rsidP="7AD6DA35" w:rsidRDefault="79BAD1FD" w14:paraId="08E9CA29" w14:textId="78E91153">
      <w:pPr>
        <w:spacing w:after="148" w:line="259" w:lineRule="auto"/>
        <w:ind w:left="0" w:right="0" w:hanging="10" w:firstLine="0"/>
        <w:rPr>
          <w:rFonts w:ascii="Calibri" w:hAnsi="Calibri" w:eastAsia="Calibri" w:cs="Calibri"/>
          <w:b w:val="0"/>
          <w:bCs w:val="0"/>
          <w:i w:val="0"/>
          <w:iCs w:val="0"/>
          <w:caps w:val="0"/>
          <w:smallCaps w:val="0"/>
          <w:noProof w:val="0"/>
          <w:color w:val="000000" w:themeColor="text1" w:themeTint="FF" w:themeShade="FF"/>
          <w:sz w:val="22"/>
          <w:szCs w:val="22"/>
          <w:lang w:val="en-GB"/>
        </w:rPr>
      </w:pPr>
      <w:r w:rsidRPr="7AD6DA35" w:rsidR="79BAD1F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79BAD1FD" w:rsidP="7AD6DA35" w:rsidRDefault="79BAD1FD" w14:paraId="479B2588" w14:textId="6E798C5F">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40"/>
          <w:szCs w:val="40"/>
          <w:lang w:val="en-US"/>
        </w:rPr>
      </w:pPr>
      <w:r w:rsidRPr="7AD6DA35" w:rsidR="79BAD1FD">
        <w:rPr>
          <w:rFonts w:ascii="Calibri" w:hAnsi="Calibri" w:eastAsia="Calibri" w:cs="Calibri"/>
          <w:b w:val="0"/>
          <w:bCs w:val="0"/>
          <w:i w:val="0"/>
          <w:iCs w:val="0"/>
          <w:caps w:val="0"/>
          <w:smallCaps w:val="0"/>
          <w:noProof w:val="0"/>
          <w:color w:val="000000" w:themeColor="text1" w:themeTint="FF" w:themeShade="FF"/>
          <w:sz w:val="40"/>
          <w:szCs w:val="40"/>
          <w:lang w:val="en-GB"/>
        </w:rPr>
        <w:t xml:space="preserve"> </w:t>
      </w:r>
      <w:r w:rsidRPr="7AD6DA35" w:rsidR="79BAD1FD">
        <w:rPr>
          <w:rFonts w:ascii="Arial" w:hAnsi="Arial" w:eastAsia="Arial" w:cs="Arial"/>
          <w:b w:val="0"/>
          <w:bCs w:val="0"/>
          <w:i w:val="0"/>
          <w:iCs w:val="0"/>
          <w:caps w:val="0"/>
          <w:smallCaps w:val="0"/>
          <w:noProof w:val="0"/>
          <w:color w:val="000000" w:themeColor="text1" w:themeTint="FF" w:themeShade="FF"/>
          <w:sz w:val="40"/>
          <w:szCs w:val="40"/>
          <w:lang w:val="en-GB"/>
        </w:rPr>
        <w:t xml:space="preserve"> </w:t>
      </w:r>
    </w:p>
    <w:p w:rsidR="79BAD1FD" w:rsidP="7AD6DA35" w:rsidRDefault="79BAD1FD" w14:paraId="7ACDCBEB" w14:textId="7BD3E258">
      <w:pPr>
        <w:pStyle w:val="Normal"/>
      </w:pPr>
      <w:r w:rsidRPr="7AD6DA35" w:rsidR="79BAD1FD">
        <w:rPr>
          <w:rFonts w:ascii="Arial" w:hAnsi="Arial" w:eastAsia="Arial" w:cs="Arial"/>
          <w:b w:val="1"/>
          <w:bCs w:val="1"/>
          <w:i w:val="0"/>
          <w:iCs w:val="0"/>
          <w:caps w:val="0"/>
          <w:smallCaps w:val="0"/>
          <w:noProof w:val="0"/>
          <w:color w:val="000000" w:themeColor="text1" w:themeTint="FF" w:themeShade="FF"/>
          <w:sz w:val="52"/>
          <w:szCs w:val="52"/>
          <w:lang w:val="en-GB"/>
        </w:rPr>
        <w:t>Supervisor Name: Dr Olu Adegbite</w:t>
      </w:r>
    </w:p>
    <w:p w:rsidR="7AD6DA35" w:rsidP="7AD6DA35" w:rsidRDefault="7AD6DA35" w14:paraId="73AF49E9" w14:textId="167C6999">
      <w:pPr>
        <w:pStyle w:val="Normal"/>
      </w:pPr>
    </w:p>
    <w:p w:rsidR="7AD6DA35" w:rsidP="7AD6DA35" w:rsidRDefault="7AD6DA35" w14:paraId="1DA88407" w14:textId="253127F8">
      <w:pPr>
        <w:pStyle w:val="Normal"/>
      </w:pPr>
    </w:p>
    <w:p w:rsidR="7AD6DA35" w:rsidP="7AD6DA35" w:rsidRDefault="7AD6DA35" w14:paraId="55C2BE6D" w14:textId="5D5D7169">
      <w:pPr>
        <w:pStyle w:val="Normal"/>
      </w:pPr>
    </w:p>
    <w:p w:rsidR="7AD6DA35" w:rsidP="7AD6DA35" w:rsidRDefault="7AD6DA35" w14:paraId="075F7AF0" w14:textId="156E495B">
      <w:pPr>
        <w:pStyle w:val="Normal"/>
      </w:pPr>
    </w:p>
    <w:p w:rsidR="7AD6DA35" w:rsidP="7AD6DA35" w:rsidRDefault="7AD6DA35" w14:paraId="36DA9A3C" w14:textId="5433C17D">
      <w:pPr>
        <w:pStyle w:val="Normal"/>
      </w:pPr>
    </w:p>
    <w:p w:rsidR="7AD6DA35" w:rsidP="7AD6DA35" w:rsidRDefault="7AD6DA35" w14:paraId="1CAD3CCF" w14:textId="67E38479">
      <w:pPr>
        <w:pStyle w:val="Normal"/>
      </w:pPr>
    </w:p>
    <w:p w:rsidR="7AD6DA35" w:rsidP="7AD6DA35" w:rsidRDefault="7AD6DA35" w14:paraId="7B3E47BA" w14:textId="29B1AF59">
      <w:pPr>
        <w:pStyle w:val="Normal"/>
      </w:pPr>
    </w:p>
    <w:p w:rsidR="7AD6DA35" w:rsidP="7AD6DA35" w:rsidRDefault="7AD6DA35" w14:paraId="0A336735" w14:textId="17F85B50">
      <w:pPr>
        <w:pStyle w:val="Normal"/>
      </w:pPr>
    </w:p>
    <w:p w:rsidR="7AD6DA35" w:rsidP="7AD6DA35" w:rsidRDefault="7AD6DA35" w14:paraId="16D92173" w14:textId="016AE4D1">
      <w:pPr>
        <w:pStyle w:val="Normal"/>
      </w:pPr>
    </w:p>
    <w:p w:rsidR="7AD6DA35" w:rsidP="7AD6DA35" w:rsidRDefault="7AD6DA35" w14:paraId="042162CA" w14:textId="130F3E79">
      <w:pPr>
        <w:pStyle w:val="Normal"/>
      </w:pPr>
    </w:p>
    <w:p w:rsidR="7AD6DA35" w:rsidP="7AD6DA35" w:rsidRDefault="7AD6DA35" w14:paraId="3D0DE968" w14:textId="5C33C277">
      <w:pPr>
        <w:pStyle w:val="Normal"/>
      </w:pPr>
    </w:p>
    <w:p w:rsidR="7AD6DA35" w:rsidP="7AD6DA35" w:rsidRDefault="7AD6DA35" w14:paraId="64737CA8" w14:textId="003CF5A7">
      <w:pPr>
        <w:pStyle w:val="Normal"/>
      </w:pPr>
    </w:p>
    <w:p w:rsidR="7AD6DA35" w:rsidP="7AD6DA35" w:rsidRDefault="7AD6DA35" w14:paraId="0EAA60AC" w14:textId="51321AF5">
      <w:pPr>
        <w:pStyle w:val="Normal"/>
      </w:pPr>
    </w:p>
    <w:p w:rsidR="7AD6DA35" w:rsidP="7AD6DA35" w:rsidRDefault="7AD6DA35" w14:paraId="2A6392A5" w14:textId="78EF1E68">
      <w:pPr>
        <w:pStyle w:val="Normal"/>
      </w:pPr>
    </w:p>
    <w:p w:rsidR="7AD6DA35" w:rsidP="7AD6DA35" w:rsidRDefault="7AD6DA35" w14:paraId="692DA576" w14:textId="4681B98C">
      <w:pPr>
        <w:pStyle w:val="Normal"/>
      </w:pPr>
    </w:p>
    <w:p w:rsidR="7AD6DA35" w:rsidP="7AD6DA35" w:rsidRDefault="7AD6DA35" w14:paraId="3B9C8639" w14:textId="475A7BF1">
      <w:pPr>
        <w:spacing w:after="0" w:line="259" w:lineRule="auto"/>
        <w:ind w:left="10" w:right="56" w:hanging="10"/>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AD6DA35" w:rsidP="7AD6DA35" w:rsidRDefault="7AD6DA35" w14:paraId="3EEB26A1" w14:textId="5AF23EA1">
      <w:pPr>
        <w:spacing w:after="0" w:line="259" w:lineRule="auto"/>
        <w:ind w:left="10" w:right="56" w:hanging="10"/>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7AD6DA35" w:rsidP="7AD6DA35" w:rsidRDefault="7AD6DA35" w14:paraId="30257BAC" w14:textId="57CC6585">
      <w:pPr>
        <w:spacing w:after="0" w:line="259" w:lineRule="auto"/>
        <w:ind w:left="10" w:right="56" w:hanging="10"/>
        <w:jc w:val="center"/>
        <w:rPr>
          <w:rFonts w:ascii="Arial" w:hAnsi="Arial" w:eastAsia="Arial" w:cs="Arial"/>
          <w:b w:val="0"/>
          <w:bCs w:val="0"/>
          <w:i w:val="0"/>
          <w:iCs w:val="0"/>
          <w:caps w:val="0"/>
          <w:smallCaps w:val="0"/>
          <w:noProof w:val="0"/>
          <w:color w:val="000000" w:themeColor="text1" w:themeTint="FF" w:themeShade="FF"/>
          <w:sz w:val="24"/>
          <w:szCs w:val="24"/>
          <w:lang w:val="en-GB"/>
        </w:rPr>
      </w:pPr>
    </w:p>
    <w:p w:rsidR="6C4C189B" w:rsidP="7AD6DA35" w:rsidRDefault="6C4C189B" w14:paraId="173BA073" w14:textId="59C9C85E">
      <w:pPr>
        <w:spacing w:after="0" w:line="259" w:lineRule="auto"/>
        <w:ind w:left="10" w:right="56" w:hanging="10"/>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Dissertation submitted as part of the requirements for the award of BA Leadership and Management</w:t>
      </w:r>
    </w:p>
    <w:p w:rsidR="7AD6DA35" w:rsidP="7AD6DA35" w:rsidRDefault="7AD6DA35" w14:paraId="5C9CF339" w14:textId="588011A4">
      <w:pPr>
        <w:spacing w:after="0" w:line="259" w:lineRule="auto"/>
        <w:ind w:left="10" w:right="57" w:hanging="10"/>
        <w:rPr>
          <w:rFonts w:ascii="Arial" w:hAnsi="Arial" w:eastAsia="Arial" w:cs="Arial"/>
          <w:b w:val="0"/>
          <w:bCs w:val="0"/>
          <w:i w:val="0"/>
          <w:iCs w:val="0"/>
          <w:caps w:val="0"/>
          <w:smallCaps w:val="0"/>
          <w:noProof w:val="0"/>
          <w:color w:val="000000" w:themeColor="text1" w:themeTint="FF" w:themeShade="FF"/>
          <w:sz w:val="24"/>
          <w:szCs w:val="24"/>
          <w:lang w:val="en-US"/>
        </w:rPr>
      </w:pPr>
    </w:p>
    <w:p w:rsidR="6C4C189B" w:rsidP="7AD6DA35" w:rsidRDefault="6C4C189B" w14:paraId="464F75B8" w14:textId="29D8381B">
      <w:pPr>
        <w:spacing w:after="0" w:line="259" w:lineRule="auto"/>
        <w:ind w:left="8" w:right="0" w:hanging="10" w:firstLine="0"/>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4C189B" w:rsidP="7AD6DA35" w:rsidRDefault="6C4C189B" w14:paraId="1734CAC8" w14:textId="32E1B464">
      <w:pPr>
        <w:spacing w:after="141" w:line="259" w:lineRule="auto"/>
        <w:ind w:left="10" w:right="54" w:hanging="10"/>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July/2026</w:t>
      </w:r>
      <w:r w:rsidRPr="7AD6DA35" w:rsidR="6C4C189B">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6C4C189B" w:rsidP="7AD6DA35" w:rsidRDefault="6C4C189B" w14:paraId="4CFC5725" w14:textId="54E3E571">
      <w:pPr>
        <w:spacing w:after="0" w:line="259" w:lineRule="auto"/>
        <w:ind w:left="0" w:right="0" w:hanging="10" w:firstLine="0"/>
        <w:rPr>
          <w:rFonts w:ascii="Calibri" w:hAnsi="Calibri" w:eastAsia="Calibri" w:cs="Calibri"/>
          <w:b w:val="0"/>
          <w:bCs w:val="0"/>
          <w:i w:val="0"/>
          <w:iCs w:val="0"/>
          <w:caps w:val="0"/>
          <w:smallCaps w:val="0"/>
          <w:noProof w:val="0"/>
          <w:color w:val="000000" w:themeColor="text1" w:themeTint="FF" w:themeShade="FF"/>
          <w:sz w:val="22"/>
          <w:szCs w:val="22"/>
          <w:lang w:val="en-US"/>
        </w:rPr>
      </w:pPr>
      <w:r w:rsidRPr="7AD6DA35" w:rsidR="6C4C18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C4C189B" w:rsidP="7AD6DA35" w:rsidRDefault="6C4C189B" w14:paraId="7F1460B5" w14:textId="60EABC4F">
      <w:pPr>
        <w:spacing w:after="0" w:line="259" w:lineRule="auto"/>
        <w:ind w:left="0" w:right="0" w:hanging="10" w:firstLine="0"/>
        <w:rPr>
          <w:rFonts w:ascii="Calibri" w:hAnsi="Calibri" w:eastAsia="Calibri" w:cs="Calibri"/>
          <w:b w:val="0"/>
          <w:bCs w:val="0"/>
          <w:i w:val="0"/>
          <w:iCs w:val="0"/>
          <w:caps w:val="0"/>
          <w:smallCaps w:val="0"/>
          <w:noProof w:val="0"/>
          <w:color w:val="000000" w:themeColor="text1" w:themeTint="FF" w:themeShade="FF"/>
          <w:sz w:val="22"/>
          <w:szCs w:val="22"/>
          <w:lang w:val="en-US"/>
        </w:rPr>
      </w:pPr>
      <w:r w:rsidRPr="7AD6DA35" w:rsidR="6C4C189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p>
    <w:p w:rsidR="6C4C189B" w:rsidP="7AD6DA35" w:rsidRDefault="6C4C189B" w14:paraId="4A2E14DD" w14:textId="1C641D3E">
      <w:pPr>
        <w:pStyle w:val="Heading2"/>
        <w:keepNext w:val="1"/>
        <w:keepLines w:val="1"/>
        <w:spacing w:after="12" w:line="249" w:lineRule="auto"/>
        <w:ind w:left="2189" w:hanging="10"/>
        <w:jc w:val="left"/>
        <w:rPr>
          <w:rFonts w:ascii="Arial" w:hAnsi="Arial" w:eastAsia="Arial" w:cs="Arial"/>
          <w:b w:val="1"/>
          <w:bCs w:val="1"/>
          <w:i w:val="0"/>
          <w:iCs w:val="0"/>
          <w:caps w:val="0"/>
          <w:smallCaps w:val="0"/>
          <w:noProof w:val="0"/>
          <w:color w:val="000000" w:themeColor="text1" w:themeTint="FF" w:themeShade="FF"/>
          <w:sz w:val="28"/>
          <w:szCs w:val="28"/>
          <w:lang w:val="en-US"/>
        </w:rPr>
      </w:pPr>
      <w:bookmarkStart w:name="_Toc968574512" w:id="1792216828"/>
      <w:r w:rsidRPr="7AD6DA35" w:rsidR="6C4C189B">
        <w:rPr>
          <w:rFonts w:ascii="Arial" w:hAnsi="Arial" w:eastAsia="Arial" w:cs="Arial"/>
          <w:b w:val="1"/>
          <w:bCs w:val="1"/>
          <w:i w:val="0"/>
          <w:iCs w:val="0"/>
          <w:caps w:val="0"/>
          <w:smallCaps w:val="0"/>
          <w:noProof w:val="0"/>
          <w:color w:val="000000" w:themeColor="text1" w:themeTint="FF" w:themeShade="FF"/>
          <w:sz w:val="28"/>
          <w:szCs w:val="28"/>
          <w:lang w:val="en-GB"/>
        </w:rPr>
        <w:t>How to Structure Your Dissertation</w:t>
      </w:r>
      <w:bookmarkEnd w:id="1792216828"/>
      <w:r w:rsidRPr="7AD6DA35" w:rsidR="6C4C189B">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6C4C189B" w:rsidP="7AD6DA35" w:rsidRDefault="6C4C189B" w14:paraId="49CD4B57" w14:textId="04C2FB8D">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6C4C189B">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6C4C189B" w:rsidP="7AD6DA35" w:rsidRDefault="6C4C189B" w14:paraId="65024157" w14:textId="083C06D9">
      <w:pPr>
        <w:spacing w:after="5" w:line="249" w:lineRule="auto"/>
        <w:ind w:left="-5" w:right="34" w:hanging="1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6C4C189B">
        <w:rPr>
          <w:rFonts w:ascii="Arial" w:hAnsi="Arial" w:eastAsia="Arial" w:cs="Arial"/>
          <w:b w:val="0"/>
          <w:bCs w:val="0"/>
          <w:i w:val="0"/>
          <w:iCs w:val="0"/>
          <w:caps w:val="0"/>
          <w:smallCaps w:val="0"/>
          <w:noProof w:val="0"/>
          <w:color w:val="000000" w:themeColor="text1" w:themeTint="FF" w:themeShade="FF"/>
          <w:sz w:val="22"/>
          <w:szCs w:val="22"/>
          <w:lang w:val="en-GB"/>
        </w:rPr>
        <w:t xml:space="preserve">The following is a </w:t>
      </w:r>
      <w:r w:rsidRPr="7AD6DA35" w:rsidR="6C4C189B">
        <w:rPr>
          <w:rFonts w:ascii="Arial" w:hAnsi="Arial" w:eastAsia="Arial" w:cs="Arial"/>
          <w:b w:val="1"/>
          <w:bCs w:val="1"/>
          <w:i w:val="0"/>
          <w:iCs w:val="0"/>
          <w:caps w:val="0"/>
          <w:smallCaps w:val="0"/>
          <w:noProof w:val="0"/>
          <w:color w:val="000000" w:themeColor="text1" w:themeTint="FF" w:themeShade="FF"/>
          <w:sz w:val="22"/>
          <w:szCs w:val="22"/>
          <w:lang w:val="en-GB"/>
        </w:rPr>
        <w:t>guide only</w:t>
      </w:r>
      <w:r w:rsidRPr="7AD6DA35" w:rsidR="6C4C189B">
        <w:rPr>
          <w:rFonts w:ascii="Arial" w:hAnsi="Arial" w:eastAsia="Arial" w:cs="Arial"/>
          <w:b w:val="0"/>
          <w:bCs w:val="0"/>
          <w:i w:val="0"/>
          <w:iCs w:val="0"/>
          <w:caps w:val="0"/>
          <w:smallCaps w:val="0"/>
          <w:noProof w:val="0"/>
          <w:color w:val="000000" w:themeColor="text1" w:themeTint="FF" w:themeShade="FF"/>
          <w:sz w:val="22"/>
          <w:szCs w:val="22"/>
          <w:lang w:val="en-GB"/>
        </w:rPr>
        <w:t xml:space="preserve"> to help you write and structure your Dissertation. </w:t>
      </w:r>
    </w:p>
    <w:p w:rsidR="6C4C189B" w:rsidP="7AD6DA35" w:rsidRDefault="6C4C189B" w14:paraId="0BE62564" w14:textId="17548214">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6C4C18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C4C189B" w:rsidP="7AD6DA35" w:rsidRDefault="6C4C189B" w14:paraId="77D53191" w14:textId="0391FABD">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6C4C18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C4C189B" w:rsidP="7AD6DA35" w:rsidRDefault="6C4C189B" w14:paraId="7270F0F0" w14:textId="215498DD">
      <w:pPr>
        <w:spacing w:after="5" w:line="249" w:lineRule="auto"/>
        <w:ind w:left="-5" w:right="34" w:hanging="10"/>
        <w:rPr>
          <w:rFonts w:ascii="Arial" w:hAnsi="Arial" w:eastAsia="Arial" w:cs="Arial"/>
          <w:b w:val="0"/>
          <w:bCs w:val="0"/>
          <w:i w:val="0"/>
          <w:iCs w:val="0"/>
          <w:caps w:val="0"/>
          <w:smallCaps w:val="0"/>
          <w:noProof w:val="0"/>
          <w:color w:val="FF0000"/>
          <w:sz w:val="22"/>
          <w:szCs w:val="22"/>
          <w:lang w:val="en-US"/>
        </w:rPr>
      </w:pPr>
      <w:r w:rsidRPr="7AD6DA35" w:rsidR="6C4C189B">
        <w:rPr>
          <w:rFonts w:ascii="Arial" w:hAnsi="Arial" w:eastAsia="Arial" w:cs="Arial"/>
          <w:b w:val="0"/>
          <w:bCs w:val="0"/>
          <w:i w:val="0"/>
          <w:iCs w:val="0"/>
          <w:caps w:val="0"/>
          <w:smallCaps w:val="0"/>
          <w:noProof w:val="0"/>
          <w:color w:val="000000" w:themeColor="text1" w:themeTint="FF" w:themeShade="FF"/>
          <w:sz w:val="22"/>
          <w:szCs w:val="22"/>
          <w:lang w:val="en-GB"/>
        </w:rPr>
        <w:t xml:space="preserve">Remember that each of these sections must start on a </w:t>
      </w:r>
      <w:r w:rsidRPr="7AD6DA35" w:rsidR="6C4C189B">
        <w:rPr>
          <w:rFonts w:ascii="Arial" w:hAnsi="Arial" w:eastAsia="Arial" w:cs="Arial"/>
          <w:b w:val="1"/>
          <w:bCs w:val="1"/>
          <w:i w:val="0"/>
          <w:iCs w:val="0"/>
          <w:caps w:val="0"/>
          <w:smallCaps w:val="0"/>
          <w:noProof w:val="0"/>
          <w:color w:val="FF0000"/>
          <w:sz w:val="22"/>
          <w:szCs w:val="22"/>
          <w:lang w:val="en-GB"/>
        </w:rPr>
        <w:t>NEW PAGE</w:t>
      </w:r>
      <w:r w:rsidRPr="7AD6DA35" w:rsidR="6C4C189B">
        <w:rPr>
          <w:rFonts w:ascii="Arial" w:hAnsi="Arial" w:eastAsia="Arial" w:cs="Arial"/>
          <w:b w:val="0"/>
          <w:bCs w:val="0"/>
          <w:i w:val="0"/>
          <w:iCs w:val="0"/>
          <w:caps w:val="0"/>
          <w:smallCaps w:val="0"/>
          <w:noProof w:val="0"/>
          <w:color w:val="FF0000"/>
          <w:sz w:val="22"/>
          <w:szCs w:val="22"/>
          <w:lang w:val="en-GB"/>
        </w:rPr>
        <w:t xml:space="preserve">. </w:t>
      </w:r>
    </w:p>
    <w:p w:rsidR="6C4C189B" w:rsidP="7AD6DA35" w:rsidRDefault="6C4C189B" w14:paraId="1055123A" w14:textId="200CC68B">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6C4C18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C4C189B" w:rsidP="7AD6DA35" w:rsidRDefault="6C4C189B" w14:paraId="01B6D019" w14:textId="527509AB">
      <w:pPr>
        <w:pStyle w:val="Heading2"/>
        <w:keepNext w:val="1"/>
        <w:keepLines w:val="1"/>
        <w:spacing w:after="12" w:line="249" w:lineRule="auto"/>
        <w:ind w:left="10" w:right="57" w:hanging="10"/>
        <w:jc w:val="center"/>
        <w:rPr>
          <w:rFonts w:ascii="Arial" w:hAnsi="Arial" w:eastAsia="Arial" w:cs="Arial"/>
          <w:b w:val="1"/>
          <w:bCs w:val="1"/>
          <w:i w:val="0"/>
          <w:iCs w:val="0"/>
          <w:caps w:val="0"/>
          <w:smallCaps w:val="0"/>
          <w:noProof w:val="0"/>
          <w:color w:val="000000" w:themeColor="text1" w:themeTint="FF" w:themeShade="FF"/>
          <w:sz w:val="28"/>
          <w:szCs w:val="28"/>
          <w:lang w:val="en-US"/>
        </w:rPr>
      </w:pPr>
      <w:bookmarkStart w:name="_Toc955845747" w:id="1273501875"/>
      <w:r w:rsidRPr="7AD6DA35" w:rsidR="6C4C189B">
        <w:rPr>
          <w:rFonts w:ascii="Arial" w:hAnsi="Arial" w:eastAsia="Arial" w:cs="Arial"/>
          <w:b w:val="1"/>
          <w:bCs w:val="1"/>
          <w:i w:val="0"/>
          <w:iCs w:val="0"/>
          <w:caps w:val="0"/>
          <w:smallCaps w:val="0"/>
          <w:noProof w:val="0"/>
          <w:color w:val="000000" w:themeColor="text1" w:themeTint="FF" w:themeShade="FF"/>
          <w:sz w:val="28"/>
          <w:szCs w:val="28"/>
          <w:lang w:val="en-GB"/>
        </w:rPr>
        <w:t>DECLARATION</w:t>
      </w:r>
      <w:bookmarkEnd w:id="1273501875"/>
      <w:r w:rsidRPr="7AD6DA35" w:rsidR="6C4C189B">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6C4C189B" w:rsidP="7AD6DA35" w:rsidRDefault="6C4C189B" w14:paraId="518F22FF" w14:textId="004E5999">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6C4C189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6C4C189B" w:rsidP="7AD6DA35" w:rsidRDefault="6C4C189B" w14:paraId="362963C8" w14:textId="08E97F06">
      <w:pPr>
        <w:spacing w:after="5" w:line="249" w:lineRule="auto"/>
        <w:ind w:left="-5" w:right="39" w:hanging="10"/>
        <w:rPr>
          <w:rFonts w:ascii="Arial" w:hAnsi="Arial" w:eastAsia="Arial" w:cs="Arial"/>
          <w:b w:val="0"/>
          <w:bCs w:val="0"/>
          <w:i w:val="0"/>
          <w:iCs w:val="0"/>
          <w:caps w:val="0"/>
          <w:smallCaps w:val="0"/>
          <w:noProof w:val="0"/>
          <w:color w:val="000000" w:themeColor="text1" w:themeTint="FF" w:themeShade="FF"/>
          <w:sz w:val="24"/>
          <w:szCs w:val="24"/>
          <w:lang w:val="en-US"/>
        </w:rPr>
      </w:pP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 xml:space="preserve">I, </w:t>
      </w:r>
      <w:r w:rsidRPr="7AD6DA35" w:rsidR="2757D9EE">
        <w:rPr>
          <w:rFonts w:ascii="Arial" w:hAnsi="Arial" w:eastAsia="Arial" w:cs="Arial"/>
          <w:b w:val="0"/>
          <w:bCs w:val="0"/>
          <w:i w:val="1"/>
          <w:iCs w:val="1"/>
          <w:caps w:val="0"/>
          <w:smallCaps w:val="0"/>
          <w:noProof w:val="0"/>
          <w:color w:val="000000" w:themeColor="text1" w:themeTint="FF" w:themeShade="FF"/>
          <w:sz w:val="24"/>
          <w:szCs w:val="24"/>
          <w:lang w:val="en-GB"/>
        </w:rPr>
        <w:t>Kodesha Grant</w:t>
      </w: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 xml:space="preserve">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 </w:t>
      </w:r>
    </w:p>
    <w:p w:rsidR="6C4C189B" w:rsidP="7AD6DA35" w:rsidRDefault="6C4C189B" w14:paraId="19540E6A" w14:textId="4BAA0F61">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4"/>
          <w:szCs w:val="24"/>
          <w:lang w:val="en-US"/>
        </w:rPr>
      </w:pP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4C189B" w:rsidP="7AD6DA35" w:rsidRDefault="6C4C189B" w14:paraId="12277153" w14:textId="1FD9B933">
      <w:pPr>
        <w:pStyle w:val="Normal"/>
        <w:suppressLineNumbers w:val="0"/>
        <w:bidi w:val="0"/>
        <w:spacing w:before="0" w:beforeAutospacing="off" w:after="33" w:afterAutospacing="off" w:line="249" w:lineRule="auto"/>
        <w:ind w:left="-5" w:right="4319" w:hanging="10"/>
        <w:jc w:val="left"/>
        <w:rPr>
          <w:rFonts w:ascii="Arial" w:hAnsi="Arial" w:eastAsia="Arial" w:cs="Arial"/>
          <w:b w:val="0"/>
          <w:bCs w:val="0"/>
          <w:i w:val="0"/>
          <w:iCs w:val="0"/>
          <w:caps w:val="0"/>
          <w:smallCaps w:val="0"/>
          <w:noProof w:val="0"/>
          <w:color w:val="000000" w:themeColor="text1" w:themeTint="FF" w:themeShade="FF"/>
          <w:sz w:val="24"/>
          <w:szCs w:val="24"/>
          <w:lang w:val="en-US"/>
        </w:rPr>
      </w:pP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Signature</w:t>
      </w:r>
      <w:r w:rsidRPr="7AD6DA35" w:rsidR="0E71222B">
        <w:rPr>
          <w:rFonts w:ascii="Arial" w:hAnsi="Arial" w:eastAsia="Arial" w:cs="Arial"/>
          <w:b w:val="0"/>
          <w:bCs w:val="0"/>
          <w:i w:val="0"/>
          <w:iCs w:val="0"/>
          <w:caps w:val="0"/>
          <w:smallCaps w:val="0"/>
          <w:noProof w:val="0"/>
          <w:color w:val="000000" w:themeColor="text1" w:themeTint="FF" w:themeShade="FF"/>
          <w:sz w:val="24"/>
          <w:szCs w:val="24"/>
          <w:lang w:val="en-GB"/>
        </w:rPr>
        <w:t>:</w:t>
      </w:r>
      <w:r w:rsidRPr="7AD6DA35" w:rsidR="128225B6">
        <w:rPr>
          <w:rFonts w:ascii="Arial" w:hAnsi="Arial" w:eastAsia="Arial" w:cs="Arial"/>
          <w:b w:val="0"/>
          <w:bCs w:val="0"/>
          <w:i w:val="0"/>
          <w:iCs w:val="0"/>
          <w:caps w:val="0"/>
          <w:smallCaps w:val="0"/>
          <w:noProof w:val="0"/>
          <w:color w:val="000000" w:themeColor="text1" w:themeTint="FF" w:themeShade="FF"/>
          <w:sz w:val="24"/>
          <w:szCs w:val="24"/>
          <w:lang w:val="en-GB"/>
        </w:rPr>
        <w:t xml:space="preserve"> K. Grant</w:t>
      </w: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6C4C189B" w:rsidP="7AD6DA35" w:rsidRDefault="6C4C189B" w14:paraId="44C008AF" w14:textId="3248F4C5">
      <w:pPr>
        <w:pStyle w:val="Normal"/>
        <w:suppressLineNumbers w:val="0"/>
        <w:bidi w:val="0"/>
        <w:spacing w:before="0" w:beforeAutospacing="off" w:after="5" w:afterAutospacing="off" w:line="249" w:lineRule="auto"/>
        <w:ind w:left="-5" w:right="39" w:hanging="10"/>
        <w:jc w:val="left"/>
      </w:pP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 xml:space="preserve">Date: </w:t>
      </w:r>
      <w:r w:rsidRPr="7AD6DA35" w:rsidR="532ED7BC">
        <w:rPr>
          <w:rFonts w:ascii="Arial" w:hAnsi="Arial" w:eastAsia="Arial" w:cs="Arial"/>
          <w:b w:val="0"/>
          <w:bCs w:val="0"/>
          <w:i w:val="0"/>
          <w:iCs w:val="0"/>
          <w:caps w:val="0"/>
          <w:smallCaps w:val="0"/>
          <w:noProof w:val="0"/>
          <w:color w:val="000000" w:themeColor="text1" w:themeTint="FF" w:themeShade="FF"/>
          <w:sz w:val="24"/>
          <w:szCs w:val="24"/>
          <w:lang w:val="en-GB"/>
        </w:rPr>
        <w:t>27/07/2026</w:t>
      </w:r>
    </w:p>
    <w:p w:rsidR="6C4C189B" w:rsidP="7AD6DA35" w:rsidRDefault="6C4C189B" w14:paraId="3384FF02" w14:textId="7A057D27">
      <w:pPr>
        <w:spacing w:after="14"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4"/>
          <w:szCs w:val="24"/>
          <w:lang w:val="en-US"/>
        </w:rPr>
      </w:pPr>
      <w:r w:rsidRPr="7AD6DA35" w:rsidR="6C4C189B">
        <w:rPr>
          <w:rFonts w:ascii="Arial" w:hAnsi="Arial" w:eastAsia="Arial" w:cs="Arial"/>
          <w:b w:val="0"/>
          <w:bCs w:val="0"/>
          <w:i w:val="0"/>
          <w:iCs w:val="0"/>
          <w:caps w:val="0"/>
          <w:smallCaps w:val="0"/>
          <w:noProof w:val="0"/>
          <w:color w:val="000000" w:themeColor="text1" w:themeTint="FF" w:themeShade="FF"/>
          <w:sz w:val="24"/>
          <w:szCs w:val="24"/>
          <w:lang w:val="en-GB"/>
        </w:rPr>
        <w:t xml:space="preserve"> </w:t>
      </w:r>
    </w:p>
    <w:p w:rsidR="7AD6DA35" w:rsidP="7AD6DA35" w:rsidRDefault="7AD6DA35" w14:paraId="57C00699" w14:textId="1067B5FF">
      <w:pPr>
        <w:pStyle w:val="Normal"/>
        <w:rPr>
          <w:rFonts w:ascii="Arial" w:hAnsi="Arial" w:eastAsia="Arial" w:cs="Arial"/>
          <w:b w:val="1"/>
          <w:bCs w:val="1"/>
          <w:i w:val="0"/>
          <w:iCs w:val="0"/>
          <w:caps w:val="0"/>
          <w:smallCaps w:val="0"/>
          <w:noProof w:val="0"/>
          <w:color w:val="000000" w:themeColor="text1" w:themeTint="FF" w:themeShade="FF"/>
          <w:sz w:val="28"/>
          <w:szCs w:val="28"/>
          <w:lang w:val="en-GB"/>
        </w:rPr>
      </w:pPr>
    </w:p>
    <w:p w:rsidR="7AD6DA35" w:rsidP="7AD6DA35" w:rsidRDefault="7AD6DA35" w14:paraId="08BF2971" w14:textId="2740B65A">
      <w:pPr>
        <w:pStyle w:val="Normal"/>
      </w:pPr>
    </w:p>
    <w:p w:rsidR="7AD6DA35" w:rsidP="7AD6DA35" w:rsidRDefault="7AD6DA35" w14:paraId="4E9BDDB8" w14:textId="621C263B">
      <w:pPr>
        <w:pStyle w:val="Normal"/>
      </w:pPr>
    </w:p>
    <w:p w:rsidR="7AD6DA35" w:rsidP="7AD6DA35" w:rsidRDefault="7AD6DA35" w14:paraId="3423D043" w14:textId="79BFCF88">
      <w:pPr>
        <w:pStyle w:val="Normal"/>
      </w:pPr>
    </w:p>
    <w:p w:rsidR="7AD6DA35" w:rsidP="7AD6DA35" w:rsidRDefault="7AD6DA35" w14:paraId="3829D9CA" w14:textId="0DFB143A">
      <w:pPr>
        <w:pStyle w:val="Normal"/>
      </w:pPr>
    </w:p>
    <w:p w:rsidR="7AD6DA35" w:rsidP="7AD6DA35" w:rsidRDefault="7AD6DA35" w14:paraId="248E9348" w14:textId="7983F3EB">
      <w:pPr>
        <w:pStyle w:val="Normal"/>
      </w:pPr>
    </w:p>
    <w:p w:rsidR="7AD6DA35" w:rsidP="7AD6DA35" w:rsidRDefault="7AD6DA35" w14:paraId="347AD900" w14:textId="1192CAAB">
      <w:pPr>
        <w:pStyle w:val="Normal"/>
      </w:pPr>
    </w:p>
    <w:p w:rsidR="7AD6DA35" w:rsidP="7AD6DA35" w:rsidRDefault="7AD6DA35" w14:paraId="11F2BBF0" w14:textId="1545BA02">
      <w:pPr>
        <w:pStyle w:val="Normal"/>
      </w:pPr>
    </w:p>
    <w:p w:rsidR="7AD6DA35" w:rsidP="7AD6DA35" w:rsidRDefault="7AD6DA35" w14:paraId="2D562671" w14:textId="07D654B6">
      <w:pPr>
        <w:pStyle w:val="Normal"/>
      </w:pPr>
    </w:p>
    <w:p w:rsidR="7AD6DA35" w:rsidP="7AD6DA35" w:rsidRDefault="7AD6DA35" w14:paraId="6F4F28E8" w14:textId="36B1C65B">
      <w:pPr>
        <w:pStyle w:val="Normal"/>
      </w:pPr>
    </w:p>
    <w:p w:rsidR="7AD6DA35" w:rsidP="7AD6DA35" w:rsidRDefault="7AD6DA35" w14:paraId="5800B311" w14:textId="42C51C8C">
      <w:pPr>
        <w:pStyle w:val="Normal"/>
      </w:pPr>
    </w:p>
    <w:p w:rsidR="7AD6DA35" w:rsidP="7AD6DA35" w:rsidRDefault="7AD6DA35" w14:paraId="17764A67" w14:textId="63F5B834">
      <w:pPr>
        <w:keepNext w:val="1"/>
        <w:keepLines w:val="1"/>
        <w:spacing w:after="12" w:line="249" w:lineRule="auto"/>
        <w:ind w:left="10" w:right="58" w:hanging="10"/>
        <w:jc w:val="center"/>
        <w:rPr>
          <w:rFonts w:ascii="Arial" w:hAnsi="Arial" w:eastAsia="Arial" w:cs="Arial"/>
          <w:b w:val="1"/>
          <w:bCs w:val="1"/>
          <w:i w:val="0"/>
          <w:iCs w:val="0"/>
          <w:caps w:val="0"/>
          <w:smallCaps w:val="0"/>
          <w:noProof w:val="0"/>
          <w:color w:val="000000" w:themeColor="text1" w:themeTint="FF" w:themeShade="FF"/>
          <w:sz w:val="28"/>
          <w:szCs w:val="28"/>
          <w:lang w:val="en-US"/>
        </w:rPr>
      </w:pPr>
    </w:p>
    <w:p w:rsidR="0989FF43" w:rsidP="7AD6DA35" w:rsidRDefault="0989FF43" w14:paraId="644DF934" w14:textId="571EC563">
      <w:pPr>
        <w:pStyle w:val="Heading2"/>
        <w:keepNext w:val="1"/>
        <w:keepLines w:val="1"/>
        <w:spacing w:after="12" w:line="249" w:lineRule="auto"/>
        <w:ind w:left="10" w:right="58" w:hanging="10"/>
        <w:jc w:val="center"/>
        <w:rPr>
          <w:rFonts w:ascii="Arial" w:hAnsi="Arial" w:eastAsia="Arial" w:cs="Arial"/>
          <w:b w:val="1"/>
          <w:bCs w:val="1"/>
          <w:i w:val="0"/>
          <w:iCs w:val="0"/>
          <w:caps w:val="0"/>
          <w:smallCaps w:val="0"/>
          <w:noProof w:val="0"/>
          <w:color w:val="000000" w:themeColor="text1" w:themeTint="FF" w:themeShade="FF"/>
          <w:sz w:val="28"/>
          <w:szCs w:val="28"/>
          <w:lang w:val="en-US"/>
        </w:rPr>
      </w:pPr>
      <w:bookmarkStart w:name="_Toc1235563214" w:id="411804434"/>
      <w:r w:rsidRPr="7AD6DA35" w:rsidR="0989FF43">
        <w:rPr>
          <w:rFonts w:ascii="Arial" w:hAnsi="Arial" w:eastAsia="Arial" w:cs="Arial"/>
          <w:b w:val="1"/>
          <w:bCs w:val="1"/>
          <w:i w:val="0"/>
          <w:iCs w:val="0"/>
          <w:caps w:val="0"/>
          <w:smallCaps w:val="0"/>
          <w:noProof w:val="0"/>
          <w:color w:val="000000" w:themeColor="text1" w:themeTint="FF" w:themeShade="FF"/>
          <w:sz w:val="28"/>
          <w:szCs w:val="28"/>
          <w:lang w:val="en-GB"/>
        </w:rPr>
        <w:t>ACKNOWLEDGEMENTS</w:t>
      </w:r>
      <w:bookmarkEnd w:id="411804434"/>
      <w:r w:rsidRPr="7AD6DA35" w:rsidR="0989FF43">
        <w:rPr>
          <w:rFonts w:ascii="Arial" w:hAnsi="Arial" w:eastAsia="Arial" w:cs="Arial"/>
          <w:b w:val="1"/>
          <w:bCs w:val="1"/>
          <w:i w:val="0"/>
          <w:iCs w:val="0"/>
          <w:caps w:val="0"/>
          <w:smallCaps w:val="0"/>
          <w:noProof w:val="0"/>
          <w:color w:val="000000" w:themeColor="text1" w:themeTint="FF" w:themeShade="FF"/>
          <w:sz w:val="28"/>
          <w:szCs w:val="28"/>
          <w:lang w:val="en-GB"/>
        </w:rPr>
        <w:t xml:space="preserve"> </w:t>
      </w:r>
    </w:p>
    <w:p w:rsidR="0989FF43" w:rsidP="7AD6DA35" w:rsidRDefault="0989FF43" w14:paraId="74998C9C" w14:textId="2A6648F2">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0989FF43">
        <w:rPr>
          <w:rFonts w:ascii="Arial" w:hAnsi="Arial" w:eastAsia="Arial" w:cs="Arial"/>
          <w:b w:val="1"/>
          <w:bCs w:val="1"/>
          <w:i w:val="1"/>
          <w:iCs w:val="1"/>
          <w:caps w:val="0"/>
          <w:smallCaps w:val="0"/>
          <w:noProof w:val="0"/>
          <w:color w:val="000000" w:themeColor="text1" w:themeTint="FF" w:themeShade="FF"/>
          <w:sz w:val="22"/>
          <w:szCs w:val="22"/>
          <w:lang w:val="en-GB"/>
        </w:rPr>
        <w:t xml:space="preserve"> </w:t>
      </w:r>
    </w:p>
    <w:p w:rsidR="0989FF43" w:rsidP="7AD6DA35" w:rsidRDefault="0989FF43" w14:paraId="7410365F" w14:textId="5BDDC1A3">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0989FF43">
        <w:rPr>
          <w:rFonts w:ascii="Arial" w:hAnsi="Arial" w:eastAsia="Arial" w:cs="Arial"/>
          <w:b w:val="1"/>
          <w:bCs w:val="1"/>
          <w:i w:val="1"/>
          <w:iCs w:val="1"/>
          <w:caps w:val="0"/>
          <w:smallCaps w:val="0"/>
          <w:noProof w:val="0"/>
          <w:color w:val="000000" w:themeColor="text1" w:themeTint="FF" w:themeShade="FF"/>
          <w:sz w:val="22"/>
          <w:szCs w:val="22"/>
          <w:lang w:val="en-GB"/>
        </w:rPr>
        <w:t xml:space="preserve"> </w:t>
      </w:r>
    </w:p>
    <w:p w:rsidR="0989FF43" w:rsidP="7AD6DA35" w:rsidRDefault="0989FF43" w14:paraId="0765F8A1" w14:textId="610319F2">
      <w:pPr>
        <w:spacing w:after="21"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0989FF43">
        <w:rPr>
          <w:rFonts w:ascii="Arial" w:hAnsi="Arial" w:eastAsia="Arial" w:cs="Arial"/>
          <w:b w:val="1"/>
          <w:bCs w:val="1"/>
          <w:i w:val="0"/>
          <w:iCs w:val="0"/>
          <w:caps w:val="0"/>
          <w:smallCaps w:val="0"/>
          <w:noProof w:val="0"/>
          <w:color w:val="000000" w:themeColor="text1" w:themeTint="FF" w:themeShade="FF"/>
          <w:sz w:val="22"/>
          <w:szCs w:val="22"/>
          <w:lang w:val="en-GB"/>
        </w:rPr>
        <w:t xml:space="preserve"> </w:t>
      </w:r>
    </w:p>
    <w:p w:rsidR="0989FF43" w:rsidP="7AD6DA35" w:rsidRDefault="0989FF43" w14:paraId="58623DF4" w14:textId="20E45BAB">
      <w:pPr>
        <w:spacing w:after="151" w:line="261" w:lineRule="auto"/>
        <w:ind w:left="-5" w:right="0" w:hanging="10"/>
        <w:rPr>
          <w:rFonts w:ascii="Arial" w:hAnsi="Arial" w:eastAsia="Arial" w:cs="Arial"/>
          <w:b w:val="0"/>
          <w:bCs w:val="0"/>
          <w:i w:val="0"/>
          <w:iCs w:val="0"/>
          <w:caps w:val="0"/>
          <w:smallCaps w:val="0"/>
          <w:noProof w:val="0"/>
          <w:color w:val="333333"/>
          <w:sz w:val="24"/>
          <w:szCs w:val="24"/>
          <w:lang w:val="en-US"/>
        </w:rPr>
      </w:pPr>
      <w:r w:rsidRPr="7AD6DA35" w:rsidR="0989FF43">
        <w:rPr>
          <w:rFonts w:ascii="Arial" w:hAnsi="Arial" w:eastAsia="Arial" w:cs="Arial"/>
          <w:b w:val="1"/>
          <w:bCs w:val="1"/>
          <w:i w:val="0"/>
          <w:iCs w:val="0"/>
          <w:caps w:val="0"/>
          <w:smallCaps w:val="0"/>
          <w:noProof w:val="0"/>
          <w:color w:val="333333"/>
          <w:sz w:val="24"/>
          <w:szCs w:val="24"/>
          <w:lang w:val="en-GB"/>
        </w:rPr>
        <w:t xml:space="preserve">Guidance: </w:t>
      </w:r>
      <w:r w:rsidRPr="7AD6DA35" w:rsidR="0989FF43">
        <w:rPr>
          <w:rFonts w:ascii="Arial" w:hAnsi="Arial" w:eastAsia="Arial" w:cs="Arial"/>
          <w:b w:val="0"/>
          <w:bCs w:val="0"/>
          <w:i w:val="0"/>
          <w:iCs w:val="0"/>
          <w:caps w:val="0"/>
          <w:smallCaps w:val="0"/>
          <w:noProof w:val="0"/>
          <w:color w:val="333333"/>
          <w:sz w:val="24"/>
          <w:szCs w:val="24"/>
          <w:lang w:val="en-GB"/>
        </w:rPr>
        <w:t xml:space="preserve">The acknowledgements section is a THANK YOU paragraph for everyone who has helped you whilst you have been researching and writing your dissertation.  </w:t>
      </w:r>
    </w:p>
    <w:p w:rsidR="0989FF43" w:rsidP="7AD6DA35" w:rsidRDefault="0989FF43" w14:paraId="10BD3364" w14:textId="2F7D91B4">
      <w:pPr>
        <w:spacing w:after="108" w:line="261" w:lineRule="auto"/>
        <w:ind w:left="-5" w:right="0" w:hanging="10"/>
        <w:rPr>
          <w:rFonts w:ascii="Arial" w:hAnsi="Arial" w:eastAsia="Arial" w:cs="Arial"/>
          <w:b w:val="0"/>
          <w:bCs w:val="0"/>
          <w:i w:val="0"/>
          <w:iCs w:val="0"/>
          <w:caps w:val="0"/>
          <w:smallCaps w:val="0"/>
          <w:noProof w:val="0"/>
          <w:color w:val="333333"/>
          <w:sz w:val="24"/>
          <w:szCs w:val="24"/>
          <w:lang w:val="en-US"/>
        </w:rPr>
      </w:pPr>
      <w:r w:rsidRPr="7AD6DA35" w:rsidR="0989FF43">
        <w:rPr>
          <w:rFonts w:ascii="Arial" w:hAnsi="Arial" w:eastAsia="Arial" w:cs="Arial"/>
          <w:b w:val="0"/>
          <w:bCs w:val="0"/>
          <w:i w:val="0"/>
          <w:iCs w:val="0"/>
          <w:caps w:val="0"/>
          <w:smallCaps w:val="0"/>
          <w:noProof w:val="0"/>
          <w:color w:val="333333"/>
          <w:sz w:val="24"/>
          <w:szCs w:val="24"/>
          <w:lang w:val="en-GB"/>
        </w:rPr>
        <w:t xml:space="preserve">This may be your supervisor or any other academic staff who have provided guidance and support; other students or colleagues that you've collaborated with; for example, librarians; external bodies who have given your assistance. </w:t>
      </w:r>
    </w:p>
    <w:p w:rsidR="0989FF43" w:rsidP="7AD6DA35" w:rsidRDefault="0989FF43" w14:paraId="05D5DF65" w14:textId="5FA73B6C">
      <w:pPr>
        <w:spacing w:after="0" w:line="259" w:lineRule="auto"/>
        <w:ind w:left="0" w:right="0" w:hanging="10" w:firstLine="0"/>
        <w:rPr>
          <w:rFonts w:ascii="Calibri" w:hAnsi="Calibri" w:eastAsia="Calibri" w:cs="Calibri"/>
          <w:b w:val="0"/>
          <w:bCs w:val="0"/>
          <w:i w:val="0"/>
          <w:iCs w:val="0"/>
          <w:caps w:val="0"/>
          <w:smallCaps w:val="0"/>
          <w:noProof w:val="0"/>
          <w:color w:val="000000" w:themeColor="text1" w:themeTint="FF" w:themeShade="FF"/>
          <w:sz w:val="22"/>
          <w:szCs w:val="22"/>
          <w:lang w:val="en-US"/>
        </w:rPr>
      </w:pPr>
      <w:r w:rsidRPr="7AD6DA35" w:rsidR="0989FF43">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p>
    <w:p w:rsidR="0989FF43" w:rsidP="7AD6DA35" w:rsidRDefault="0989FF43" w14:paraId="481F3F4A" w14:textId="094190A6">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4"/>
          <w:szCs w:val="24"/>
          <w:lang w:val="en-US"/>
        </w:rPr>
      </w:pPr>
      <w:r w:rsidRPr="7AD6DA35" w:rsidR="0989FF43">
        <w:rPr>
          <w:rFonts w:ascii="Arial" w:hAnsi="Arial" w:eastAsia="Arial" w:cs="Arial"/>
          <w:b w:val="0"/>
          <w:bCs w:val="0"/>
          <w:i w:val="0"/>
          <w:iCs w:val="0"/>
          <w:caps w:val="0"/>
          <w:smallCaps w:val="0"/>
          <w:noProof w:val="0"/>
          <w:color w:val="000000" w:themeColor="text1" w:themeTint="FF" w:themeShade="FF"/>
          <w:sz w:val="24"/>
          <w:szCs w:val="24"/>
          <w:lang w:val="en-GB"/>
        </w:rPr>
        <w:t xml:space="preserve">TABLE OF CONTENTS </w:t>
      </w:r>
    </w:p>
    <w:p w:rsidR="7AD6DA35" w:rsidP="7AD6DA35" w:rsidRDefault="7AD6DA35" w14:paraId="5527AB53" w14:textId="428C8BB4">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4"/>
          <w:szCs w:val="24"/>
          <w:lang w:val="en-US"/>
        </w:rPr>
      </w:pPr>
    </w:p>
    <w:p w:rsidR="0989FF43" w:rsidP="7AD6DA35" w:rsidRDefault="0989FF43" w14:paraId="7504E0A0" w14:textId="521AE5EC">
      <w:pPr>
        <w:spacing w:after="30" w:line="249" w:lineRule="auto"/>
        <w:ind w:left="-5" w:right="183" w:hanging="1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0989FF43">
        <w:rPr>
          <w:rFonts w:ascii="Arial" w:hAnsi="Arial" w:eastAsia="Arial" w:cs="Arial"/>
          <w:b w:val="1"/>
          <w:bCs w:val="1"/>
          <w:i w:val="0"/>
          <w:iCs w:val="0"/>
          <w:caps w:val="0"/>
          <w:smallCaps w:val="0"/>
          <w:noProof w:val="0"/>
          <w:color w:val="000000" w:themeColor="text1" w:themeTint="FF" w:themeShade="FF"/>
          <w:sz w:val="22"/>
          <w:szCs w:val="22"/>
          <w:lang w:val="en-GB"/>
        </w:rPr>
        <w:t>GUIDANCE</w:t>
      </w:r>
      <w:r w:rsidRPr="7AD6DA35" w:rsidR="0989FF43">
        <w:rPr>
          <w:rFonts w:ascii="Arial" w:hAnsi="Arial" w:eastAsia="Arial" w:cs="Arial"/>
          <w:b w:val="0"/>
          <w:bCs w:val="0"/>
          <w:i w:val="0"/>
          <w:iCs w:val="0"/>
          <w:caps w:val="0"/>
          <w:smallCaps w:val="0"/>
          <w:noProof w:val="0"/>
          <w:color w:val="000000" w:themeColor="text1" w:themeTint="FF" w:themeShade="FF"/>
          <w:sz w:val="22"/>
          <w:szCs w:val="22"/>
          <w:lang w:val="en-GB"/>
        </w:rPr>
        <w:t xml:space="preserve"> - List the different sections of your dissertation with corresponding page numbers. The contents have been provided for you in this Dissertation Template The words in this section do not count towards your word limit. This can be generated automatically. To update your page numbers, simply click on the word ‘Contents’ and select </w:t>
      </w:r>
    </w:p>
    <w:p w:rsidR="0989FF43" w:rsidP="7AD6DA35" w:rsidRDefault="0989FF43" w14:paraId="311E23EE" w14:textId="06338177">
      <w:pPr>
        <w:spacing w:after="5" w:line="249" w:lineRule="auto"/>
        <w:ind w:left="-5" w:right="34" w:hanging="1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0989FF43">
        <w:rPr>
          <w:rFonts w:ascii="Arial" w:hAnsi="Arial" w:eastAsia="Arial" w:cs="Arial"/>
          <w:b w:val="0"/>
          <w:bCs w:val="0"/>
          <w:i w:val="0"/>
          <w:iCs w:val="0"/>
          <w:caps w:val="0"/>
          <w:smallCaps w:val="0"/>
          <w:noProof w:val="0"/>
          <w:color w:val="000000" w:themeColor="text1" w:themeTint="FF" w:themeShade="FF"/>
          <w:sz w:val="22"/>
          <w:szCs w:val="22"/>
          <w:lang w:val="en-GB"/>
        </w:rPr>
        <w:t xml:space="preserve">‘Update Table’, this will update your page numbers. </w:t>
      </w:r>
    </w:p>
    <w:p w:rsidR="0989FF43" w:rsidP="7AD6DA35" w:rsidRDefault="0989FF43" w14:paraId="090FBC2B" w14:textId="6E020C67">
      <w:pPr>
        <w:spacing w:after="0" w:line="259" w:lineRule="auto"/>
        <w:ind w:left="0" w:right="0" w:hanging="10" w:firstLine="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0989FF43">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0989FF43" w:rsidP="7AD6DA35" w:rsidRDefault="0989FF43" w14:paraId="10D36349" w14:textId="01D436ED">
      <w:pPr>
        <w:spacing w:after="5" w:line="249" w:lineRule="auto"/>
        <w:ind w:left="-5" w:right="34" w:hanging="10"/>
        <w:rPr>
          <w:rFonts w:ascii="Arial" w:hAnsi="Arial" w:eastAsia="Arial" w:cs="Arial"/>
          <w:b w:val="0"/>
          <w:bCs w:val="0"/>
          <w:i w:val="0"/>
          <w:iCs w:val="0"/>
          <w:caps w:val="0"/>
          <w:smallCaps w:val="0"/>
          <w:noProof w:val="0"/>
          <w:color w:val="000000" w:themeColor="text1" w:themeTint="FF" w:themeShade="FF"/>
          <w:sz w:val="22"/>
          <w:szCs w:val="22"/>
          <w:lang w:val="en-US"/>
        </w:rPr>
      </w:pPr>
      <w:r w:rsidRPr="7AD6DA35" w:rsidR="0989FF43">
        <w:rPr>
          <w:rFonts w:ascii="Arial" w:hAnsi="Arial" w:eastAsia="Arial" w:cs="Arial"/>
          <w:b w:val="0"/>
          <w:bCs w:val="0"/>
          <w:i w:val="0"/>
          <w:iCs w:val="0"/>
          <w:caps w:val="0"/>
          <w:smallCaps w:val="0"/>
          <w:noProof w:val="0"/>
          <w:color w:val="000000" w:themeColor="text1" w:themeTint="FF" w:themeShade="FF"/>
          <w:sz w:val="22"/>
          <w:szCs w:val="22"/>
          <w:lang w:val="en-GB"/>
        </w:rPr>
        <w:t xml:space="preserve">Below is an </w:t>
      </w:r>
      <w:r w:rsidRPr="7AD6DA35" w:rsidR="0989FF43">
        <w:rPr>
          <w:rFonts w:ascii="Arial" w:hAnsi="Arial" w:eastAsia="Arial" w:cs="Arial"/>
          <w:b w:val="1"/>
          <w:bCs w:val="1"/>
          <w:i w:val="0"/>
          <w:iCs w:val="0"/>
          <w:caps w:val="0"/>
          <w:smallCaps w:val="0"/>
          <w:noProof w:val="0"/>
          <w:color w:val="000000" w:themeColor="text1" w:themeTint="FF" w:themeShade="FF"/>
          <w:sz w:val="22"/>
          <w:szCs w:val="22"/>
          <w:lang w:val="en-GB"/>
        </w:rPr>
        <w:t>example</w:t>
      </w:r>
      <w:r w:rsidRPr="7AD6DA35" w:rsidR="0989FF43">
        <w:rPr>
          <w:rFonts w:ascii="Arial" w:hAnsi="Arial" w:eastAsia="Arial" w:cs="Arial"/>
          <w:b w:val="0"/>
          <w:bCs w:val="0"/>
          <w:i w:val="0"/>
          <w:iCs w:val="0"/>
          <w:caps w:val="0"/>
          <w:smallCaps w:val="0"/>
          <w:noProof w:val="0"/>
          <w:color w:val="000000" w:themeColor="text1" w:themeTint="FF" w:themeShade="FF"/>
          <w:sz w:val="22"/>
          <w:szCs w:val="22"/>
          <w:lang w:val="en-GB"/>
        </w:rPr>
        <w:t xml:space="preserve"> of how this need to be presented based on your subheadings </w:t>
      </w:r>
      <w:r w:rsidRPr="7AD6DA35" w:rsidR="0989FF43">
        <w:rPr>
          <w:rFonts w:ascii="Arial" w:hAnsi="Arial" w:eastAsia="Arial" w:cs="Arial"/>
          <w:b w:val="1"/>
          <w:bCs w:val="1"/>
          <w:i w:val="0"/>
          <w:iCs w:val="0"/>
          <w:caps w:val="0"/>
          <w:smallCaps w:val="0"/>
          <w:noProof w:val="0"/>
          <w:color w:val="000000" w:themeColor="text1" w:themeTint="FF" w:themeShade="FF"/>
          <w:sz w:val="22"/>
          <w:szCs w:val="22"/>
          <w:lang w:val="en-GB"/>
        </w:rPr>
        <w:t>(not included in the word count)</w:t>
      </w:r>
    </w:p>
    <w:p w:rsidR="7AD6DA35" w:rsidP="7AD6DA35" w:rsidRDefault="7AD6DA35" w14:paraId="4EE3C787" w14:textId="76F3C021">
      <w:pPr>
        <w:pStyle w:val="Normal"/>
      </w:pPr>
    </w:p>
    <w:p w:rsidR="7AD6DA35" w:rsidP="7AD6DA35" w:rsidRDefault="7AD6DA35" w14:paraId="08226D9A" w14:textId="3CF3EE80">
      <w:pPr>
        <w:pStyle w:val="Heading1"/>
        <w:spacing w:line="300" w:lineRule="auto"/>
        <w:rPr>
          <w:rFonts w:ascii="Arial" w:hAnsi="Arial" w:eastAsia="Arial" w:cs="Arial"/>
          <w:b w:val="1"/>
          <w:bCs w:val="1"/>
          <w:color w:val="auto"/>
          <w:sz w:val="24"/>
          <w:szCs w:val="24"/>
        </w:rPr>
      </w:pPr>
    </w:p>
    <w:p w:rsidR="7AD6DA35" w:rsidP="7AD6DA35" w:rsidRDefault="7AD6DA35" w14:paraId="062C3DEB" w14:textId="33DB8FF4">
      <w:pPr>
        <w:pStyle w:val="Normal"/>
      </w:pPr>
    </w:p>
    <w:p w:rsidR="7AD6DA35" w:rsidP="7AD6DA35" w:rsidRDefault="7AD6DA35" w14:paraId="2F91424B" w14:textId="63538DF0">
      <w:pPr>
        <w:pStyle w:val="Normal"/>
      </w:pPr>
    </w:p>
    <w:p w:rsidR="7AD6DA35" w:rsidP="7AD6DA35" w:rsidRDefault="7AD6DA35" w14:paraId="5C07F4C4" w14:textId="4D03F81C">
      <w:pPr>
        <w:pStyle w:val="Normal"/>
      </w:pPr>
    </w:p>
    <w:p w:rsidR="7AD6DA35" w:rsidP="7AD6DA35" w:rsidRDefault="7AD6DA35" w14:paraId="2BF49810" w14:textId="4BC5D563">
      <w:pPr>
        <w:pStyle w:val="Normal"/>
      </w:pPr>
    </w:p>
    <w:p w:rsidR="7AD6DA35" w:rsidP="7AD6DA35" w:rsidRDefault="7AD6DA35" w14:paraId="27103832" w14:textId="0C66F644">
      <w:pPr>
        <w:pStyle w:val="Normal"/>
      </w:pPr>
    </w:p>
    <w:p w:rsidR="7AD6DA35" w:rsidP="7AD6DA35" w:rsidRDefault="7AD6DA35" w14:paraId="48DD601A" w14:textId="48E56438">
      <w:pPr>
        <w:pStyle w:val="Normal"/>
      </w:pPr>
    </w:p>
    <w:p w:rsidR="7AD6DA35" w:rsidP="7AD6DA35" w:rsidRDefault="7AD6DA35" w14:paraId="3BE205BA" w14:textId="2DE68CE3">
      <w:pPr>
        <w:pStyle w:val="Normal"/>
      </w:pPr>
    </w:p>
    <w:p w:rsidR="7AD6DA35" w:rsidP="7AD6DA35" w:rsidRDefault="7AD6DA35" w14:paraId="2B40BDF5" w14:textId="46201E2C">
      <w:pPr>
        <w:pStyle w:val="Normal"/>
      </w:pPr>
    </w:p>
    <w:p w:rsidR="7AD6DA35" w:rsidP="7AD6DA35" w:rsidRDefault="7AD6DA35" w14:paraId="1AA52D65" w14:textId="48A46EAE">
      <w:pPr>
        <w:pStyle w:val="Normal"/>
      </w:pPr>
    </w:p>
    <w:p w:rsidR="7AD6DA35" w:rsidP="7AD6DA35" w:rsidRDefault="7AD6DA35" w14:paraId="660C9CE4" w14:textId="4CAE91F5">
      <w:pPr>
        <w:pStyle w:val="Normal"/>
      </w:pPr>
    </w:p>
    <w:p w:rsidR="7AD6DA35" w:rsidP="7AD6DA35" w:rsidRDefault="7AD6DA35" w14:paraId="1E6FB261" w14:textId="6A400786">
      <w:pPr>
        <w:pStyle w:val="Normal"/>
      </w:pPr>
    </w:p>
    <w:sdt>
      <w:sdtPr>
        <w:id w:val="1897503857"/>
        <w:docPartObj>
          <w:docPartGallery w:val="Table of Contents"/>
          <w:docPartUnique/>
        </w:docPartObj>
      </w:sdtPr>
      <w:sdtContent>
        <w:p w:rsidR="7AD6DA35" w:rsidP="7AD6DA35" w:rsidRDefault="7AD6DA35" w14:paraId="53B24F1F" w14:textId="7E25E5DB">
          <w:pPr>
            <w:pStyle w:val="TOC2"/>
            <w:tabs>
              <w:tab w:val="right" w:leader="dot" w:pos="9360"/>
            </w:tabs>
            <w:bidi w:val="0"/>
          </w:pPr>
          <w:r>
            <w:fldChar w:fldCharType="begin"/>
          </w:r>
          <w:r>
            <w:instrText xml:space="preserve">TOC \o "1-9" \z \u \h</w:instrText>
          </w:r>
          <w:r>
            <w:fldChar w:fldCharType="separate"/>
          </w:r>
          <w:r>
            <w:fldChar w:fldCharType="begin"/>
          </w:r>
          <w:r>
            <w:instrText xml:space="preserve">HYPERLINK  \l  "_Toc968574512" </w:instrText>
          </w:r>
          <w:r>
            <w:fldChar w:fldCharType="separate"/>
          </w:r>
          <w:r w:rsidRPr="7AD6DA35" w:rsidR="7AD6DA35">
            <w:rPr>
              <w:rStyle w:val="Hyperlink"/>
            </w:rPr>
            <w:t>How to Structure Your Dissertation</w:t>
          </w:r>
          <w:r>
            <w:tab/>
          </w:r>
          <w:r>
            <w:fldChar w:fldCharType="begin"/>
          </w:r>
          <w:r>
            <w:instrText xml:space="preserve">PAGEREF _Toc968574512 \h</w:instrText>
          </w:r>
          <w:r>
            <w:fldChar w:fldCharType="separate"/>
          </w:r>
          <w:r w:rsidRPr="7AD6DA35" w:rsidR="7AD6DA35">
            <w:rPr>
              <w:rStyle w:val="Hyperlink"/>
            </w:rPr>
            <w:t>3</w:t>
          </w:r>
          <w:r>
            <w:fldChar w:fldCharType="end"/>
          </w:r>
          <w:r>
            <w:fldChar w:fldCharType="end"/>
          </w:r>
        </w:p>
        <w:p w:rsidR="7AD6DA35" w:rsidP="7AD6DA35" w:rsidRDefault="7AD6DA35" w14:paraId="50507307" w14:textId="2754B763">
          <w:pPr>
            <w:pStyle w:val="TOC2"/>
            <w:tabs>
              <w:tab w:val="right" w:leader="dot" w:pos="9360"/>
            </w:tabs>
            <w:bidi w:val="0"/>
          </w:pPr>
          <w:r>
            <w:fldChar w:fldCharType="begin"/>
          </w:r>
          <w:r>
            <w:instrText xml:space="preserve">HYPERLINK  \l  "_Toc955845747" </w:instrText>
          </w:r>
          <w:r>
            <w:fldChar w:fldCharType="separate"/>
          </w:r>
          <w:r w:rsidRPr="7AD6DA35" w:rsidR="7AD6DA35">
            <w:rPr>
              <w:rStyle w:val="Hyperlink"/>
            </w:rPr>
            <w:t>DECLARATION</w:t>
          </w:r>
          <w:r>
            <w:tab/>
          </w:r>
          <w:r>
            <w:fldChar w:fldCharType="begin"/>
          </w:r>
          <w:r>
            <w:instrText xml:space="preserve">PAGEREF _Toc955845747 \h</w:instrText>
          </w:r>
          <w:r>
            <w:fldChar w:fldCharType="separate"/>
          </w:r>
          <w:r w:rsidRPr="7AD6DA35" w:rsidR="7AD6DA35">
            <w:rPr>
              <w:rStyle w:val="Hyperlink"/>
            </w:rPr>
            <w:t>3</w:t>
          </w:r>
          <w:r>
            <w:fldChar w:fldCharType="end"/>
          </w:r>
          <w:r>
            <w:fldChar w:fldCharType="end"/>
          </w:r>
        </w:p>
        <w:p w:rsidR="7AD6DA35" w:rsidP="7AD6DA35" w:rsidRDefault="7AD6DA35" w14:paraId="119D06D5" w14:textId="638B65F6">
          <w:pPr>
            <w:pStyle w:val="TOC2"/>
            <w:tabs>
              <w:tab w:val="right" w:leader="dot" w:pos="9360"/>
            </w:tabs>
            <w:bidi w:val="0"/>
          </w:pPr>
          <w:r>
            <w:fldChar w:fldCharType="begin"/>
          </w:r>
          <w:r>
            <w:instrText xml:space="preserve">HYPERLINK  \l  "_Toc1235563214" </w:instrText>
          </w:r>
          <w:r>
            <w:fldChar w:fldCharType="separate"/>
          </w:r>
          <w:r w:rsidRPr="7AD6DA35" w:rsidR="7AD6DA35">
            <w:rPr>
              <w:rStyle w:val="Hyperlink"/>
            </w:rPr>
            <w:t>ACKNOWLEDGEMENTS</w:t>
          </w:r>
          <w:r>
            <w:tab/>
          </w:r>
          <w:r>
            <w:fldChar w:fldCharType="begin"/>
          </w:r>
          <w:r>
            <w:instrText xml:space="preserve">PAGEREF _Toc1235563214 \h</w:instrText>
          </w:r>
          <w:r>
            <w:fldChar w:fldCharType="separate"/>
          </w:r>
          <w:r w:rsidRPr="7AD6DA35" w:rsidR="7AD6DA35">
            <w:rPr>
              <w:rStyle w:val="Hyperlink"/>
            </w:rPr>
            <w:t>4</w:t>
          </w:r>
          <w:r>
            <w:fldChar w:fldCharType="end"/>
          </w:r>
          <w:r>
            <w:fldChar w:fldCharType="end"/>
          </w:r>
        </w:p>
        <w:p w:rsidR="7AD6DA35" w:rsidP="7AD6DA35" w:rsidRDefault="7AD6DA35" w14:paraId="091DC8A3" w14:textId="791FDAB3">
          <w:pPr>
            <w:pStyle w:val="TOC1"/>
            <w:tabs>
              <w:tab w:val="right" w:leader="dot" w:pos="9360"/>
            </w:tabs>
            <w:bidi w:val="0"/>
          </w:pPr>
          <w:r>
            <w:fldChar w:fldCharType="begin"/>
          </w:r>
          <w:r>
            <w:instrText xml:space="preserve">HYPERLINK  \l  "_Toc1475558618" </w:instrText>
          </w:r>
          <w:r>
            <w:fldChar w:fldCharType="separate"/>
          </w:r>
          <w:r w:rsidRPr="7AD6DA35" w:rsidR="7AD6DA35">
            <w:rPr>
              <w:rStyle w:val="Hyperlink"/>
            </w:rPr>
            <w:t>Chapter 1: Introduction</w:t>
          </w:r>
          <w:r>
            <w:tab/>
          </w:r>
          <w:r>
            <w:fldChar w:fldCharType="begin"/>
          </w:r>
          <w:r>
            <w:instrText xml:space="preserve">PAGEREF _Toc1475558618 \h</w:instrText>
          </w:r>
          <w:r>
            <w:fldChar w:fldCharType="separate"/>
          </w:r>
          <w:r w:rsidRPr="7AD6DA35" w:rsidR="7AD6DA35">
            <w:rPr>
              <w:rStyle w:val="Hyperlink"/>
            </w:rPr>
            <w:t>5</w:t>
          </w:r>
          <w:r>
            <w:fldChar w:fldCharType="end"/>
          </w:r>
          <w:r>
            <w:fldChar w:fldCharType="end"/>
          </w:r>
        </w:p>
        <w:p w:rsidR="7AD6DA35" w:rsidP="7AD6DA35" w:rsidRDefault="7AD6DA35" w14:paraId="1F012D59" w14:textId="31116124">
          <w:pPr>
            <w:pStyle w:val="TOC2"/>
            <w:tabs>
              <w:tab w:val="right" w:leader="dot" w:pos="9360"/>
            </w:tabs>
            <w:bidi w:val="0"/>
          </w:pPr>
          <w:r>
            <w:fldChar w:fldCharType="begin"/>
          </w:r>
          <w:r>
            <w:instrText xml:space="preserve">HYPERLINK  \l  "_Toc61055333" </w:instrText>
          </w:r>
          <w:r>
            <w:fldChar w:fldCharType="separate"/>
          </w:r>
          <w:r w:rsidRPr="7AD6DA35" w:rsidR="7AD6DA35">
            <w:rPr>
              <w:rStyle w:val="Hyperlink"/>
            </w:rPr>
            <w:t>Background of the Study</w:t>
          </w:r>
          <w:r>
            <w:tab/>
          </w:r>
          <w:r>
            <w:fldChar w:fldCharType="begin"/>
          </w:r>
          <w:r>
            <w:instrText xml:space="preserve">PAGEREF _Toc61055333 \h</w:instrText>
          </w:r>
          <w:r>
            <w:fldChar w:fldCharType="separate"/>
          </w:r>
          <w:r w:rsidRPr="7AD6DA35" w:rsidR="7AD6DA35">
            <w:rPr>
              <w:rStyle w:val="Hyperlink"/>
            </w:rPr>
            <w:t>5</w:t>
          </w:r>
          <w:r>
            <w:fldChar w:fldCharType="end"/>
          </w:r>
          <w:r>
            <w:fldChar w:fldCharType="end"/>
          </w:r>
        </w:p>
        <w:p w:rsidR="7AD6DA35" w:rsidP="7AD6DA35" w:rsidRDefault="7AD6DA35" w14:paraId="46A11462" w14:textId="20F18A35">
          <w:pPr>
            <w:pStyle w:val="TOC2"/>
            <w:tabs>
              <w:tab w:val="right" w:leader="dot" w:pos="9360"/>
            </w:tabs>
            <w:bidi w:val="0"/>
          </w:pPr>
          <w:r>
            <w:fldChar w:fldCharType="begin"/>
          </w:r>
          <w:r>
            <w:instrText xml:space="preserve">HYPERLINK  \l  "_Toc99947909" </w:instrText>
          </w:r>
          <w:r>
            <w:fldChar w:fldCharType="separate"/>
          </w:r>
          <w:r w:rsidRPr="7AD6DA35" w:rsidR="7AD6DA35">
            <w:rPr>
              <w:rStyle w:val="Hyperlink"/>
            </w:rPr>
            <w:t>Rationale and Justification for the Study</w:t>
          </w:r>
          <w:r>
            <w:tab/>
          </w:r>
          <w:r>
            <w:fldChar w:fldCharType="begin"/>
          </w:r>
          <w:r>
            <w:instrText xml:space="preserve">PAGEREF _Toc99947909 \h</w:instrText>
          </w:r>
          <w:r>
            <w:fldChar w:fldCharType="separate"/>
          </w:r>
          <w:r w:rsidRPr="7AD6DA35" w:rsidR="7AD6DA35">
            <w:rPr>
              <w:rStyle w:val="Hyperlink"/>
            </w:rPr>
            <w:t>5</w:t>
          </w:r>
          <w:r>
            <w:fldChar w:fldCharType="end"/>
          </w:r>
          <w:r>
            <w:fldChar w:fldCharType="end"/>
          </w:r>
        </w:p>
        <w:p w:rsidR="7AD6DA35" w:rsidP="7AD6DA35" w:rsidRDefault="7AD6DA35" w14:paraId="56F62BF1" w14:textId="5193C7F5">
          <w:pPr>
            <w:pStyle w:val="TOC2"/>
            <w:tabs>
              <w:tab w:val="right" w:leader="dot" w:pos="9360"/>
            </w:tabs>
            <w:bidi w:val="0"/>
          </w:pPr>
          <w:r>
            <w:fldChar w:fldCharType="begin"/>
          </w:r>
          <w:r>
            <w:instrText xml:space="preserve">HYPERLINK  \l  "_Toc793056720" </w:instrText>
          </w:r>
          <w:r>
            <w:fldChar w:fldCharType="separate"/>
          </w:r>
          <w:r w:rsidRPr="7AD6DA35" w:rsidR="7AD6DA35">
            <w:rPr>
              <w:rStyle w:val="Hyperlink"/>
            </w:rPr>
            <w:t>Research Problem</w:t>
          </w:r>
          <w:r>
            <w:tab/>
          </w:r>
          <w:r>
            <w:fldChar w:fldCharType="begin"/>
          </w:r>
          <w:r>
            <w:instrText xml:space="preserve">PAGEREF _Toc793056720 \h</w:instrText>
          </w:r>
          <w:r>
            <w:fldChar w:fldCharType="separate"/>
          </w:r>
          <w:r w:rsidRPr="7AD6DA35" w:rsidR="7AD6DA35">
            <w:rPr>
              <w:rStyle w:val="Hyperlink"/>
            </w:rPr>
            <w:t>5</w:t>
          </w:r>
          <w:r>
            <w:fldChar w:fldCharType="end"/>
          </w:r>
          <w:r>
            <w:fldChar w:fldCharType="end"/>
          </w:r>
        </w:p>
        <w:p w:rsidR="7AD6DA35" w:rsidP="7AD6DA35" w:rsidRDefault="7AD6DA35" w14:paraId="05978AC9" w14:textId="35E6883C">
          <w:pPr>
            <w:pStyle w:val="TOC2"/>
            <w:tabs>
              <w:tab w:val="right" w:leader="dot" w:pos="9360"/>
            </w:tabs>
            <w:bidi w:val="0"/>
          </w:pPr>
          <w:r>
            <w:fldChar w:fldCharType="begin"/>
          </w:r>
          <w:r>
            <w:instrText xml:space="preserve">HYPERLINK  \l  "_Toc96889703" </w:instrText>
          </w:r>
          <w:r>
            <w:fldChar w:fldCharType="separate"/>
          </w:r>
          <w:r w:rsidRPr="7AD6DA35" w:rsidR="7AD6DA35">
            <w:rPr>
              <w:rStyle w:val="Hyperlink"/>
            </w:rPr>
            <w:t>Research Aim</w:t>
          </w:r>
          <w:r>
            <w:tab/>
          </w:r>
          <w:r>
            <w:fldChar w:fldCharType="begin"/>
          </w:r>
          <w:r>
            <w:instrText xml:space="preserve">PAGEREF _Toc96889703 \h</w:instrText>
          </w:r>
          <w:r>
            <w:fldChar w:fldCharType="separate"/>
          </w:r>
          <w:r w:rsidRPr="7AD6DA35" w:rsidR="7AD6DA35">
            <w:rPr>
              <w:rStyle w:val="Hyperlink"/>
            </w:rPr>
            <w:t>6</w:t>
          </w:r>
          <w:r>
            <w:fldChar w:fldCharType="end"/>
          </w:r>
          <w:r>
            <w:fldChar w:fldCharType="end"/>
          </w:r>
        </w:p>
        <w:p w:rsidR="7AD6DA35" w:rsidP="7AD6DA35" w:rsidRDefault="7AD6DA35" w14:paraId="4DE7DD89" w14:textId="2AAD2D3A">
          <w:pPr>
            <w:pStyle w:val="TOC2"/>
            <w:tabs>
              <w:tab w:val="right" w:leader="dot" w:pos="9360"/>
            </w:tabs>
            <w:bidi w:val="0"/>
          </w:pPr>
          <w:r>
            <w:fldChar w:fldCharType="begin"/>
          </w:r>
          <w:r>
            <w:instrText xml:space="preserve">HYPERLINK  \l  "_Toc1568990759" </w:instrText>
          </w:r>
          <w:r>
            <w:fldChar w:fldCharType="separate"/>
          </w:r>
          <w:r w:rsidRPr="7AD6DA35" w:rsidR="7AD6DA35">
            <w:rPr>
              <w:rStyle w:val="Hyperlink"/>
            </w:rPr>
            <w:t>Research Objectives</w:t>
          </w:r>
          <w:r>
            <w:tab/>
          </w:r>
          <w:r>
            <w:fldChar w:fldCharType="begin"/>
          </w:r>
          <w:r>
            <w:instrText xml:space="preserve">PAGEREF _Toc1568990759 \h</w:instrText>
          </w:r>
          <w:r>
            <w:fldChar w:fldCharType="separate"/>
          </w:r>
          <w:r w:rsidRPr="7AD6DA35" w:rsidR="7AD6DA35">
            <w:rPr>
              <w:rStyle w:val="Hyperlink"/>
            </w:rPr>
            <w:t>6</w:t>
          </w:r>
          <w:r>
            <w:fldChar w:fldCharType="end"/>
          </w:r>
          <w:r>
            <w:fldChar w:fldCharType="end"/>
          </w:r>
        </w:p>
        <w:p w:rsidR="7AD6DA35" w:rsidP="7AD6DA35" w:rsidRDefault="7AD6DA35" w14:paraId="6E73476E" w14:textId="275149E0">
          <w:pPr>
            <w:pStyle w:val="TOC2"/>
            <w:tabs>
              <w:tab w:val="right" w:leader="dot" w:pos="9360"/>
            </w:tabs>
            <w:bidi w:val="0"/>
          </w:pPr>
          <w:r>
            <w:fldChar w:fldCharType="begin"/>
          </w:r>
          <w:r>
            <w:instrText xml:space="preserve">HYPERLINK  \l  "_Toc2053717160" </w:instrText>
          </w:r>
          <w:r>
            <w:fldChar w:fldCharType="separate"/>
          </w:r>
          <w:r w:rsidRPr="7AD6DA35" w:rsidR="7AD6DA35">
            <w:rPr>
              <w:rStyle w:val="Hyperlink"/>
            </w:rPr>
            <w:t>Research Questions</w:t>
          </w:r>
          <w:r>
            <w:tab/>
          </w:r>
          <w:r>
            <w:fldChar w:fldCharType="begin"/>
          </w:r>
          <w:r>
            <w:instrText xml:space="preserve">PAGEREF _Toc2053717160 \h</w:instrText>
          </w:r>
          <w:r>
            <w:fldChar w:fldCharType="separate"/>
          </w:r>
          <w:r w:rsidRPr="7AD6DA35" w:rsidR="7AD6DA35">
            <w:rPr>
              <w:rStyle w:val="Hyperlink"/>
            </w:rPr>
            <w:t>6</w:t>
          </w:r>
          <w:r>
            <w:fldChar w:fldCharType="end"/>
          </w:r>
          <w:r>
            <w:fldChar w:fldCharType="end"/>
          </w:r>
        </w:p>
        <w:p w:rsidR="7AD6DA35" w:rsidP="7AD6DA35" w:rsidRDefault="7AD6DA35" w14:paraId="0A39AE84" w14:textId="00ED14F6">
          <w:pPr>
            <w:pStyle w:val="TOC2"/>
            <w:tabs>
              <w:tab w:val="right" w:leader="dot" w:pos="9360"/>
            </w:tabs>
            <w:bidi w:val="0"/>
          </w:pPr>
          <w:r>
            <w:fldChar w:fldCharType="begin"/>
          </w:r>
          <w:r>
            <w:instrText xml:space="preserve">HYPERLINK  \l  "_Toc765300685" </w:instrText>
          </w:r>
          <w:r>
            <w:fldChar w:fldCharType="separate"/>
          </w:r>
          <w:r w:rsidRPr="7AD6DA35" w:rsidR="7AD6DA35">
            <w:rPr>
              <w:rStyle w:val="Hyperlink"/>
            </w:rPr>
            <w:t>Deliverables</w:t>
          </w:r>
          <w:r>
            <w:tab/>
          </w:r>
          <w:r>
            <w:fldChar w:fldCharType="begin"/>
          </w:r>
          <w:r>
            <w:instrText xml:space="preserve">PAGEREF _Toc765300685 \h</w:instrText>
          </w:r>
          <w:r>
            <w:fldChar w:fldCharType="separate"/>
          </w:r>
          <w:r w:rsidRPr="7AD6DA35" w:rsidR="7AD6DA35">
            <w:rPr>
              <w:rStyle w:val="Hyperlink"/>
            </w:rPr>
            <w:t>6</w:t>
          </w:r>
          <w:r>
            <w:fldChar w:fldCharType="end"/>
          </w:r>
          <w:r>
            <w:fldChar w:fldCharType="end"/>
          </w:r>
        </w:p>
        <w:p w:rsidR="7AD6DA35" w:rsidP="7AD6DA35" w:rsidRDefault="7AD6DA35" w14:paraId="13190377" w14:textId="16486BE4">
          <w:pPr>
            <w:pStyle w:val="TOC2"/>
            <w:tabs>
              <w:tab w:val="right" w:leader="dot" w:pos="9360"/>
            </w:tabs>
            <w:bidi w:val="0"/>
          </w:pPr>
          <w:r>
            <w:fldChar w:fldCharType="begin"/>
          </w:r>
          <w:r>
            <w:instrText xml:space="preserve">HYPERLINK  \l  "_Toc630088604" </w:instrText>
          </w:r>
          <w:r>
            <w:fldChar w:fldCharType="separate"/>
          </w:r>
          <w:r w:rsidRPr="7AD6DA35" w:rsidR="7AD6DA35">
            <w:rPr>
              <w:rStyle w:val="Hyperlink"/>
            </w:rPr>
            <w:t>Outline of Methodology</w:t>
          </w:r>
          <w:r>
            <w:tab/>
          </w:r>
          <w:r>
            <w:fldChar w:fldCharType="begin"/>
          </w:r>
          <w:r>
            <w:instrText xml:space="preserve">PAGEREF _Toc630088604 \h</w:instrText>
          </w:r>
          <w:r>
            <w:fldChar w:fldCharType="separate"/>
          </w:r>
          <w:r w:rsidRPr="7AD6DA35" w:rsidR="7AD6DA35">
            <w:rPr>
              <w:rStyle w:val="Hyperlink"/>
            </w:rPr>
            <w:t>7</w:t>
          </w:r>
          <w:r>
            <w:fldChar w:fldCharType="end"/>
          </w:r>
          <w:r>
            <w:fldChar w:fldCharType="end"/>
          </w:r>
        </w:p>
        <w:p w:rsidR="7AD6DA35" w:rsidP="7AD6DA35" w:rsidRDefault="7AD6DA35" w14:paraId="35758092" w14:textId="385CEB32">
          <w:pPr>
            <w:pStyle w:val="TOC2"/>
            <w:tabs>
              <w:tab w:val="right" w:leader="dot" w:pos="9360"/>
            </w:tabs>
            <w:bidi w:val="0"/>
          </w:pPr>
          <w:r>
            <w:fldChar w:fldCharType="begin"/>
          </w:r>
          <w:r>
            <w:instrText xml:space="preserve">HYPERLINK  \l  "_Toc1129928445" </w:instrText>
          </w:r>
          <w:r>
            <w:fldChar w:fldCharType="separate"/>
          </w:r>
          <w:r w:rsidRPr="7AD6DA35" w:rsidR="7AD6DA35">
            <w:rPr>
              <w:rStyle w:val="Hyperlink"/>
            </w:rPr>
            <w:t>Significance of the Study</w:t>
          </w:r>
          <w:r>
            <w:tab/>
          </w:r>
          <w:r>
            <w:fldChar w:fldCharType="begin"/>
          </w:r>
          <w:r>
            <w:instrText xml:space="preserve">PAGEREF _Toc1129928445 \h</w:instrText>
          </w:r>
          <w:r>
            <w:fldChar w:fldCharType="separate"/>
          </w:r>
          <w:r w:rsidRPr="7AD6DA35" w:rsidR="7AD6DA35">
            <w:rPr>
              <w:rStyle w:val="Hyperlink"/>
            </w:rPr>
            <w:t>7</w:t>
          </w:r>
          <w:r>
            <w:fldChar w:fldCharType="end"/>
          </w:r>
          <w:r>
            <w:fldChar w:fldCharType="end"/>
          </w:r>
        </w:p>
        <w:p w:rsidR="7AD6DA35" w:rsidP="7AD6DA35" w:rsidRDefault="7AD6DA35" w14:paraId="4A62B644" w14:textId="3D999F0F">
          <w:pPr>
            <w:pStyle w:val="TOC2"/>
            <w:tabs>
              <w:tab w:val="right" w:leader="dot" w:pos="9360"/>
            </w:tabs>
            <w:bidi w:val="0"/>
          </w:pPr>
          <w:r>
            <w:fldChar w:fldCharType="begin"/>
          </w:r>
          <w:r>
            <w:instrText xml:space="preserve">HYPERLINK  \l  "_Toc856236946" </w:instrText>
          </w:r>
          <w:r>
            <w:fldChar w:fldCharType="separate"/>
          </w:r>
          <w:r w:rsidRPr="7AD6DA35" w:rsidR="7AD6DA35">
            <w:rPr>
              <w:rStyle w:val="Hyperlink"/>
            </w:rPr>
            <w:t>Dissertation Structure</w:t>
          </w:r>
          <w:r>
            <w:tab/>
          </w:r>
          <w:r>
            <w:fldChar w:fldCharType="begin"/>
          </w:r>
          <w:r>
            <w:instrText xml:space="preserve">PAGEREF _Toc856236946 \h</w:instrText>
          </w:r>
          <w:r>
            <w:fldChar w:fldCharType="separate"/>
          </w:r>
          <w:r w:rsidRPr="7AD6DA35" w:rsidR="7AD6DA35">
            <w:rPr>
              <w:rStyle w:val="Hyperlink"/>
            </w:rPr>
            <w:t>8</w:t>
          </w:r>
          <w:r>
            <w:fldChar w:fldCharType="end"/>
          </w:r>
          <w:r>
            <w:fldChar w:fldCharType="end"/>
          </w:r>
        </w:p>
        <w:p w:rsidR="7AD6DA35" w:rsidP="7AD6DA35" w:rsidRDefault="7AD6DA35" w14:paraId="4CA736A4" w14:textId="0A14A4DF">
          <w:pPr>
            <w:pStyle w:val="TOC1"/>
            <w:tabs>
              <w:tab w:val="right" w:leader="dot" w:pos="9360"/>
            </w:tabs>
            <w:bidi w:val="0"/>
          </w:pPr>
          <w:r>
            <w:fldChar w:fldCharType="begin"/>
          </w:r>
          <w:r>
            <w:instrText xml:space="preserve">HYPERLINK  \l  "_Toc1591765566" </w:instrText>
          </w:r>
          <w:r>
            <w:fldChar w:fldCharType="separate"/>
          </w:r>
          <w:r w:rsidRPr="7AD6DA35" w:rsidR="7AD6DA35">
            <w:rPr>
              <w:rStyle w:val="Hyperlink"/>
            </w:rPr>
            <w:t>Chapter 2: Literature Review</w:t>
          </w:r>
          <w:r>
            <w:tab/>
          </w:r>
          <w:r>
            <w:fldChar w:fldCharType="begin"/>
          </w:r>
          <w:r>
            <w:instrText xml:space="preserve">PAGEREF _Toc1591765566 \h</w:instrText>
          </w:r>
          <w:r>
            <w:fldChar w:fldCharType="separate"/>
          </w:r>
          <w:r w:rsidRPr="7AD6DA35" w:rsidR="7AD6DA35">
            <w:rPr>
              <w:rStyle w:val="Hyperlink"/>
            </w:rPr>
            <w:t>8</w:t>
          </w:r>
          <w:r>
            <w:fldChar w:fldCharType="end"/>
          </w:r>
          <w:r>
            <w:fldChar w:fldCharType="end"/>
          </w:r>
        </w:p>
        <w:p w:rsidR="7AD6DA35" w:rsidP="7AD6DA35" w:rsidRDefault="7AD6DA35" w14:paraId="48CD97C2" w14:textId="66CEECC4">
          <w:pPr>
            <w:pStyle w:val="TOC2"/>
            <w:tabs>
              <w:tab w:val="right" w:leader="dot" w:pos="9360"/>
            </w:tabs>
            <w:bidi w:val="0"/>
          </w:pPr>
          <w:r>
            <w:fldChar w:fldCharType="begin"/>
          </w:r>
          <w:r>
            <w:instrText xml:space="preserve">HYPERLINK  \l  "_Toc557469550" </w:instrText>
          </w:r>
          <w:r>
            <w:fldChar w:fldCharType="separate"/>
          </w:r>
          <w:r w:rsidRPr="7AD6DA35" w:rsidR="7AD6DA35">
            <w:rPr>
              <w:rStyle w:val="Hyperlink"/>
            </w:rPr>
            <w:t>2.1. Chapter Overview</w:t>
          </w:r>
          <w:r>
            <w:tab/>
          </w:r>
          <w:r>
            <w:fldChar w:fldCharType="begin"/>
          </w:r>
          <w:r>
            <w:instrText xml:space="preserve">PAGEREF _Toc557469550 \h</w:instrText>
          </w:r>
          <w:r>
            <w:fldChar w:fldCharType="separate"/>
          </w:r>
          <w:r w:rsidRPr="7AD6DA35" w:rsidR="7AD6DA35">
            <w:rPr>
              <w:rStyle w:val="Hyperlink"/>
            </w:rPr>
            <w:t>9</w:t>
          </w:r>
          <w:r>
            <w:fldChar w:fldCharType="end"/>
          </w:r>
          <w:r>
            <w:fldChar w:fldCharType="end"/>
          </w:r>
        </w:p>
        <w:p w:rsidR="7AD6DA35" w:rsidP="7AD6DA35" w:rsidRDefault="7AD6DA35" w14:paraId="6D0A52CD" w14:textId="560F7A3A">
          <w:pPr>
            <w:pStyle w:val="TOC1"/>
            <w:tabs>
              <w:tab w:val="right" w:leader="dot" w:pos="9360"/>
            </w:tabs>
            <w:bidi w:val="0"/>
          </w:pPr>
          <w:r>
            <w:fldChar w:fldCharType="begin"/>
          </w:r>
          <w:r>
            <w:instrText xml:space="preserve">HYPERLINK  \l  "_Toc1446195104" </w:instrText>
          </w:r>
          <w:r>
            <w:fldChar w:fldCharType="separate"/>
          </w:r>
          <w:r w:rsidRPr="7AD6DA35" w:rsidR="7AD6DA35">
            <w:rPr>
              <w:rStyle w:val="Hyperlink"/>
            </w:rPr>
            <w:t>2.2. Industry and Company Overview</w:t>
          </w:r>
          <w:r>
            <w:tab/>
          </w:r>
          <w:r>
            <w:fldChar w:fldCharType="begin"/>
          </w:r>
          <w:r>
            <w:instrText xml:space="preserve">PAGEREF _Toc1446195104 \h</w:instrText>
          </w:r>
          <w:r>
            <w:fldChar w:fldCharType="separate"/>
          </w:r>
          <w:r w:rsidRPr="7AD6DA35" w:rsidR="7AD6DA35">
            <w:rPr>
              <w:rStyle w:val="Hyperlink"/>
            </w:rPr>
            <w:t>9</w:t>
          </w:r>
          <w:r>
            <w:fldChar w:fldCharType="end"/>
          </w:r>
          <w:r>
            <w:fldChar w:fldCharType="end"/>
          </w:r>
        </w:p>
        <w:p w:rsidR="7AD6DA35" w:rsidP="7AD6DA35" w:rsidRDefault="7AD6DA35" w14:paraId="43A860EE" w14:textId="0AAE8595">
          <w:pPr>
            <w:pStyle w:val="TOC1"/>
            <w:tabs>
              <w:tab w:val="right" w:leader="dot" w:pos="9360"/>
            </w:tabs>
            <w:bidi w:val="0"/>
          </w:pPr>
          <w:r>
            <w:fldChar w:fldCharType="begin"/>
          </w:r>
          <w:r>
            <w:instrText xml:space="preserve">HYPERLINK  \l  "_Toc376187407" </w:instrText>
          </w:r>
          <w:r>
            <w:fldChar w:fldCharType="separate"/>
          </w:r>
          <w:r w:rsidRPr="7AD6DA35" w:rsidR="7AD6DA35">
            <w:rPr>
              <w:rStyle w:val="Hyperlink"/>
            </w:rPr>
            <w:t>2.3. Importance of Information Systems in Public Sector Organisations</w:t>
          </w:r>
          <w:r>
            <w:tab/>
          </w:r>
          <w:r>
            <w:fldChar w:fldCharType="begin"/>
          </w:r>
          <w:r>
            <w:instrText xml:space="preserve">PAGEREF _Toc376187407 \h</w:instrText>
          </w:r>
          <w:r>
            <w:fldChar w:fldCharType="separate"/>
          </w:r>
          <w:r w:rsidRPr="7AD6DA35" w:rsidR="7AD6DA35">
            <w:rPr>
              <w:rStyle w:val="Hyperlink"/>
            </w:rPr>
            <w:t>10</w:t>
          </w:r>
          <w:r>
            <w:fldChar w:fldCharType="end"/>
          </w:r>
          <w:r>
            <w:fldChar w:fldCharType="end"/>
          </w:r>
        </w:p>
        <w:p w:rsidR="7AD6DA35" w:rsidP="7AD6DA35" w:rsidRDefault="7AD6DA35" w14:paraId="6E074F13" w14:textId="33D83065">
          <w:pPr>
            <w:pStyle w:val="TOC1"/>
            <w:tabs>
              <w:tab w:val="right" w:leader="dot" w:pos="9360"/>
            </w:tabs>
            <w:bidi w:val="0"/>
          </w:pPr>
          <w:r>
            <w:fldChar w:fldCharType="begin"/>
          </w:r>
          <w:r>
            <w:instrText xml:space="preserve">HYPERLINK  \l  "_Toc859206994" </w:instrText>
          </w:r>
          <w:r>
            <w:fldChar w:fldCharType="separate"/>
          </w:r>
          <w:r w:rsidRPr="7AD6DA35" w:rsidR="7AD6DA35">
            <w:rPr>
              <w:rStyle w:val="Hyperlink"/>
            </w:rPr>
            <w:t>2.4. Technical Failures and Continuing Operational Risk</w:t>
          </w:r>
          <w:r>
            <w:tab/>
          </w:r>
          <w:r>
            <w:fldChar w:fldCharType="begin"/>
          </w:r>
          <w:r>
            <w:instrText xml:space="preserve">PAGEREF _Toc859206994 \h</w:instrText>
          </w:r>
          <w:r>
            <w:fldChar w:fldCharType="separate"/>
          </w:r>
          <w:r w:rsidRPr="7AD6DA35" w:rsidR="7AD6DA35">
            <w:rPr>
              <w:rStyle w:val="Hyperlink"/>
            </w:rPr>
            <w:t>11</w:t>
          </w:r>
          <w:r>
            <w:fldChar w:fldCharType="end"/>
          </w:r>
          <w:r>
            <w:fldChar w:fldCharType="end"/>
          </w:r>
        </w:p>
        <w:p w:rsidR="7AD6DA35" w:rsidP="7AD6DA35" w:rsidRDefault="7AD6DA35" w14:paraId="131D796E" w14:textId="6D886BFB">
          <w:pPr>
            <w:pStyle w:val="TOC1"/>
            <w:tabs>
              <w:tab w:val="right" w:leader="dot" w:pos="9360"/>
            </w:tabs>
            <w:bidi w:val="0"/>
          </w:pPr>
          <w:r>
            <w:fldChar w:fldCharType="begin"/>
          </w:r>
          <w:r>
            <w:instrText xml:space="preserve">HYPERLINK  \l  "_Toc726126412" </w:instrText>
          </w:r>
          <w:r>
            <w:fldChar w:fldCharType="separate"/>
          </w:r>
          <w:r w:rsidRPr="7AD6DA35" w:rsidR="7AD6DA35">
            <w:rPr>
              <w:rStyle w:val="Hyperlink"/>
            </w:rPr>
            <w:t>2.5. Socio-Technical Systems (STS) Theory</w:t>
          </w:r>
          <w:r>
            <w:tab/>
          </w:r>
          <w:r>
            <w:fldChar w:fldCharType="begin"/>
          </w:r>
          <w:r>
            <w:instrText xml:space="preserve">PAGEREF _Toc726126412 \h</w:instrText>
          </w:r>
          <w:r>
            <w:fldChar w:fldCharType="separate"/>
          </w:r>
          <w:r w:rsidRPr="7AD6DA35" w:rsidR="7AD6DA35">
            <w:rPr>
              <w:rStyle w:val="Hyperlink"/>
            </w:rPr>
            <w:t>11</w:t>
          </w:r>
          <w:r>
            <w:fldChar w:fldCharType="end"/>
          </w:r>
          <w:r>
            <w:fldChar w:fldCharType="end"/>
          </w:r>
        </w:p>
        <w:p w:rsidR="7AD6DA35" w:rsidP="7AD6DA35" w:rsidRDefault="7AD6DA35" w14:paraId="3F88AC8E" w14:textId="1DAC6B5C">
          <w:pPr>
            <w:pStyle w:val="TOC1"/>
            <w:tabs>
              <w:tab w:val="right" w:leader="dot" w:pos="9360"/>
            </w:tabs>
            <w:bidi w:val="0"/>
          </w:pPr>
          <w:r>
            <w:fldChar w:fldCharType="begin"/>
          </w:r>
          <w:r>
            <w:instrText xml:space="preserve">HYPERLINK  \l  "_Toc1556547238" </w:instrText>
          </w:r>
          <w:r>
            <w:fldChar w:fldCharType="separate"/>
          </w:r>
          <w:r w:rsidRPr="7AD6DA35" w:rsidR="7AD6DA35">
            <w:rPr>
              <w:rStyle w:val="Hyperlink"/>
            </w:rPr>
            <w:t>2.6. Organisational Governance and Accountability</w:t>
          </w:r>
          <w:r>
            <w:tab/>
          </w:r>
          <w:r>
            <w:fldChar w:fldCharType="begin"/>
          </w:r>
          <w:r>
            <w:instrText xml:space="preserve">PAGEREF _Toc1556547238 \h</w:instrText>
          </w:r>
          <w:r>
            <w:fldChar w:fldCharType="separate"/>
          </w:r>
          <w:r w:rsidRPr="7AD6DA35" w:rsidR="7AD6DA35">
            <w:rPr>
              <w:rStyle w:val="Hyperlink"/>
            </w:rPr>
            <w:t>12</w:t>
          </w:r>
          <w:r>
            <w:fldChar w:fldCharType="end"/>
          </w:r>
          <w:r>
            <w:fldChar w:fldCharType="end"/>
          </w:r>
        </w:p>
        <w:p w:rsidR="7AD6DA35" w:rsidP="7AD6DA35" w:rsidRDefault="7AD6DA35" w14:paraId="4C89C019" w14:textId="08C2BEC3">
          <w:pPr>
            <w:pStyle w:val="TOC1"/>
            <w:tabs>
              <w:tab w:val="right" w:leader="dot" w:pos="9360"/>
            </w:tabs>
            <w:bidi w:val="0"/>
          </w:pPr>
          <w:r>
            <w:fldChar w:fldCharType="begin"/>
          </w:r>
          <w:r>
            <w:instrText xml:space="preserve">HYPERLINK  \l  "_Toc86328302" </w:instrText>
          </w:r>
          <w:r>
            <w:fldChar w:fldCharType="separate"/>
          </w:r>
          <w:r w:rsidRPr="7AD6DA35" w:rsidR="7AD6DA35">
            <w:rPr>
              <w:rStyle w:val="Hyperlink"/>
            </w:rPr>
            <w:t>2.7. Compensation, Legal Reforms, and Public Accountability</w:t>
          </w:r>
          <w:r>
            <w:tab/>
          </w:r>
          <w:r>
            <w:fldChar w:fldCharType="begin"/>
          </w:r>
          <w:r>
            <w:instrText xml:space="preserve">PAGEREF _Toc86328302 \h</w:instrText>
          </w:r>
          <w:r>
            <w:fldChar w:fldCharType="separate"/>
          </w:r>
          <w:r w:rsidRPr="7AD6DA35" w:rsidR="7AD6DA35">
            <w:rPr>
              <w:rStyle w:val="Hyperlink"/>
            </w:rPr>
            <w:t>13</w:t>
          </w:r>
          <w:r>
            <w:fldChar w:fldCharType="end"/>
          </w:r>
          <w:r>
            <w:fldChar w:fldCharType="end"/>
          </w:r>
        </w:p>
        <w:p w:rsidR="7AD6DA35" w:rsidP="7AD6DA35" w:rsidRDefault="7AD6DA35" w14:paraId="21F443FF" w14:textId="422BEF3F">
          <w:pPr>
            <w:pStyle w:val="TOC1"/>
            <w:tabs>
              <w:tab w:val="right" w:leader="dot" w:pos="9360"/>
            </w:tabs>
            <w:bidi w:val="0"/>
          </w:pPr>
          <w:r>
            <w:fldChar w:fldCharType="begin"/>
          </w:r>
          <w:r>
            <w:instrText xml:space="preserve">HYPERLINK  \l  "_Toc701733190" </w:instrText>
          </w:r>
          <w:r>
            <w:fldChar w:fldCharType="separate"/>
          </w:r>
          <w:r w:rsidRPr="7AD6DA35" w:rsidR="7AD6DA35">
            <w:rPr>
              <w:rStyle w:val="Hyperlink"/>
            </w:rPr>
            <w:t>2.8. Employee Engagement Theory</w:t>
          </w:r>
          <w:r>
            <w:tab/>
          </w:r>
          <w:r>
            <w:fldChar w:fldCharType="begin"/>
          </w:r>
          <w:r>
            <w:instrText xml:space="preserve">PAGEREF _Toc701733190 \h</w:instrText>
          </w:r>
          <w:r>
            <w:fldChar w:fldCharType="separate"/>
          </w:r>
          <w:r w:rsidRPr="7AD6DA35" w:rsidR="7AD6DA35">
            <w:rPr>
              <w:rStyle w:val="Hyperlink"/>
            </w:rPr>
            <w:t>14</w:t>
          </w:r>
          <w:r>
            <w:fldChar w:fldCharType="end"/>
          </w:r>
          <w:r>
            <w:fldChar w:fldCharType="end"/>
          </w:r>
        </w:p>
        <w:p w:rsidR="7AD6DA35" w:rsidP="7AD6DA35" w:rsidRDefault="7AD6DA35" w14:paraId="0FAC79AA" w14:textId="1C701801">
          <w:pPr>
            <w:pStyle w:val="TOC1"/>
            <w:tabs>
              <w:tab w:val="right" w:leader="dot" w:pos="9360"/>
            </w:tabs>
            <w:bidi w:val="0"/>
          </w:pPr>
          <w:r>
            <w:fldChar w:fldCharType="begin"/>
          </w:r>
          <w:r>
            <w:instrText xml:space="preserve">HYPERLINK  \l  "_Toc1396046057" </w:instrText>
          </w:r>
          <w:r>
            <w:fldChar w:fldCharType="separate"/>
          </w:r>
          <w:r w:rsidRPr="7AD6DA35" w:rsidR="7AD6DA35">
            <w:rPr>
              <w:rStyle w:val="Hyperlink"/>
            </w:rPr>
            <w:t>2.9. Transition Risks and Digital Transformation</w:t>
          </w:r>
          <w:r>
            <w:tab/>
          </w:r>
          <w:r>
            <w:fldChar w:fldCharType="begin"/>
          </w:r>
          <w:r>
            <w:instrText xml:space="preserve">PAGEREF _Toc1396046057 \h</w:instrText>
          </w:r>
          <w:r>
            <w:fldChar w:fldCharType="separate"/>
          </w:r>
          <w:r w:rsidRPr="7AD6DA35" w:rsidR="7AD6DA35">
            <w:rPr>
              <w:rStyle w:val="Hyperlink"/>
            </w:rPr>
            <w:t>15</w:t>
          </w:r>
          <w:r>
            <w:fldChar w:fldCharType="end"/>
          </w:r>
          <w:r>
            <w:fldChar w:fldCharType="end"/>
          </w:r>
        </w:p>
        <w:p w:rsidR="7AD6DA35" w:rsidP="7AD6DA35" w:rsidRDefault="7AD6DA35" w14:paraId="64BD0649" w14:textId="63EC42BC">
          <w:pPr>
            <w:pStyle w:val="TOC1"/>
            <w:tabs>
              <w:tab w:val="right" w:leader="dot" w:pos="9360"/>
            </w:tabs>
            <w:bidi w:val="0"/>
          </w:pPr>
          <w:r>
            <w:fldChar w:fldCharType="begin"/>
          </w:r>
          <w:r>
            <w:instrText xml:space="preserve">HYPERLINK  \l  "_Toc801011216" </w:instrText>
          </w:r>
          <w:r>
            <w:fldChar w:fldCharType="separate"/>
          </w:r>
          <w:r w:rsidRPr="7AD6DA35" w:rsidR="7AD6DA35">
            <w:rPr>
              <w:rStyle w:val="Hyperlink"/>
            </w:rPr>
            <w:t>2.2.1. Relationship Between the Main Themes</w:t>
          </w:r>
          <w:r>
            <w:tab/>
          </w:r>
          <w:r>
            <w:fldChar w:fldCharType="begin"/>
          </w:r>
          <w:r>
            <w:instrText xml:space="preserve">PAGEREF _Toc801011216 \h</w:instrText>
          </w:r>
          <w:r>
            <w:fldChar w:fldCharType="separate"/>
          </w:r>
          <w:r w:rsidRPr="7AD6DA35" w:rsidR="7AD6DA35">
            <w:rPr>
              <w:rStyle w:val="Hyperlink"/>
            </w:rPr>
            <w:t>15</w:t>
          </w:r>
          <w:r>
            <w:fldChar w:fldCharType="end"/>
          </w:r>
          <w:r>
            <w:fldChar w:fldCharType="end"/>
          </w:r>
        </w:p>
        <w:p w:rsidR="7AD6DA35" w:rsidP="7AD6DA35" w:rsidRDefault="7AD6DA35" w14:paraId="70171457" w14:textId="13EA143D">
          <w:pPr>
            <w:pStyle w:val="TOC1"/>
            <w:tabs>
              <w:tab w:val="right" w:leader="dot" w:pos="9360"/>
            </w:tabs>
            <w:bidi w:val="0"/>
          </w:pPr>
          <w:r>
            <w:fldChar w:fldCharType="begin"/>
          </w:r>
          <w:r>
            <w:instrText xml:space="preserve">HYPERLINK  \l  "_Toc740439696" </w:instrText>
          </w:r>
          <w:r>
            <w:fldChar w:fldCharType="separate"/>
          </w:r>
          <w:r w:rsidRPr="7AD6DA35" w:rsidR="7AD6DA35">
            <w:rPr>
              <w:rStyle w:val="Hyperlink"/>
            </w:rPr>
            <w:t>2.3.1. Research Gap</w:t>
          </w:r>
          <w:r>
            <w:tab/>
          </w:r>
          <w:r>
            <w:fldChar w:fldCharType="begin"/>
          </w:r>
          <w:r>
            <w:instrText xml:space="preserve">PAGEREF _Toc740439696 \h</w:instrText>
          </w:r>
          <w:r>
            <w:fldChar w:fldCharType="separate"/>
          </w:r>
          <w:r w:rsidRPr="7AD6DA35" w:rsidR="7AD6DA35">
            <w:rPr>
              <w:rStyle w:val="Hyperlink"/>
            </w:rPr>
            <w:t>16</w:t>
          </w:r>
          <w:r>
            <w:fldChar w:fldCharType="end"/>
          </w:r>
          <w:r>
            <w:fldChar w:fldCharType="end"/>
          </w:r>
        </w:p>
        <w:p w:rsidR="7AD6DA35" w:rsidP="7AD6DA35" w:rsidRDefault="7AD6DA35" w14:paraId="4E2E5315" w14:textId="4C608CF9">
          <w:pPr>
            <w:pStyle w:val="TOC1"/>
            <w:tabs>
              <w:tab w:val="right" w:leader="dot" w:pos="9360"/>
            </w:tabs>
            <w:bidi w:val="0"/>
          </w:pPr>
          <w:r>
            <w:fldChar w:fldCharType="begin"/>
          </w:r>
          <w:r>
            <w:instrText xml:space="preserve">HYPERLINK  \l  "_Toc1172516070" </w:instrText>
          </w:r>
          <w:r>
            <w:fldChar w:fldCharType="separate"/>
          </w:r>
          <w:r w:rsidRPr="7AD6DA35" w:rsidR="7AD6DA35">
            <w:rPr>
              <w:rStyle w:val="Hyperlink"/>
            </w:rPr>
            <w:t>Conceptual Framework and Research Propositions</w:t>
          </w:r>
          <w:r>
            <w:tab/>
          </w:r>
          <w:r>
            <w:fldChar w:fldCharType="begin"/>
          </w:r>
          <w:r>
            <w:instrText xml:space="preserve">PAGEREF _Toc1172516070 \h</w:instrText>
          </w:r>
          <w:r>
            <w:fldChar w:fldCharType="separate"/>
          </w:r>
          <w:r w:rsidRPr="7AD6DA35" w:rsidR="7AD6DA35">
            <w:rPr>
              <w:rStyle w:val="Hyperlink"/>
            </w:rPr>
            <w:t>17</w:t>
          </w:r>
          <w:r>
            <w:fldChar w:fldCharType="end"/>
          </w:r>
          <w:r>
            <w:fldChar w:fldCharType="end"/>
          </w:r>
        </w:p>
        <w:p w:rsidR="7AD6DA35" w:rsidP="7AD6DA35" w:rsidRDefault="7AD6DA35" w14:paraId="0D05E20C" w14:textId="49961DF9">
          <w:pPr>
            <w:pStyle w:val="TOC3"/>
            <w:tabs>
              <w:tab w:val="right" w:leader="dot" w:pos="9360"/>
            </w:tabs>
            <w:bidi w:val="0"/>
          </w:pPr>
          <w:r>
            <w:fldChar w:fldCharType="begin"/>
          </w:r>
          <w:r>
            <w:instrText xml:space="preserve">HYPERLINK  \l  "_Toc1313059056" </w:instrText>
          </w:r>
          <w:r>
            <w:fldChar w:fldCharType="separate"/>
          </w:r>
          <w:r w:rsidRPr="7AD6DA35" w:rsidR="7AD6DA35">
            <w:rPr>
              <w:rStyle w:val="Hyperlink"/>
            </w:rPr>
            <w:t>Independent Variables</w:t>
          </w:r>
          <w:r>
            <w:tab/>
          </w:r>
          <w:r>
            <w:fldChar w:fldCharType="begin"/>
          </w:r>
          <w:r>
            <w:instrText xml:space="preserve">PAGEREF _Toc1313059056 \h</w:instrText>
          </w:r>
          <w:r>
            <w:fldChar w:fldCharType="separate"/>
          </w:r>
          <w:r w:rsidRPr="7AD6DA35" w:rsidR="7AD6DA35">
            <w:rPr>
              <w:rStyle w:val="Hyperlink"/>
            </w:rPr>
            <w:t>17</w:t>
          </w:r>
          <w:r>
            <w:fldChar w:fldCharType="end"/>
          </w:r>
          <w:r>
            <w:fldChar w:fldCharType="end"/>
          </w:r>
        </w:p>
        <w:p w:rsidR="7AD6DA35" w:rsidP="7AD6DA35" w:rsidRDefault="7AD6DA35" w14:paraId="75B59871" w14:textId="25DB0D5B">
          <w:pPr>
            <w:pStyle w:val="TOC3"/>
            <w:tabs>
              <w:tab w:val="right" w:leader="dot" w:pos="9360"/>
            </w:tabs>
            <w:bidi w:val="0"/>
          </w:pPr>
          <w:r>
            <w:fldChar w:fldCharType="begin"/>
          </w:r>
          <w:r>
            <w:instrText xml:space="preserve">HYPERLINK  \l  "_Toc906104035" </w:instrText>
          </w:r>
          <w:r>
            <w:fldChar w:fldCharType="separate"/>
          </w:r>
          <w:r w:rsidRPr="7AD6DA35" w:rsidR="7AD6DA35">
            <w:rPr>
              <w:rStyle w:val="Hyperlink"/>
            </w:rPr>
            <w:t>Mediating Variable</w:t>
          </w:r>
          <w:r>
            <w:tab/>
          </w:r>
          <w:r>
            <w:fldChar w:fldCharType="begin"/>
          </w:r>
          <w:r>
            <w:instrText xml:space="preserve">PAGEREF _Toc906104035 \h</w:instrText>
          </w:r>
          <w:r>
            <w:fldChar w:fldCharType="separate"/>
          </w:r>
          <w:r w:rsidRPr="7AD6DA35" w:rsidR="7AD6DA35">
            <w:rPr>
              <w:rStyle w:val="Hyperlink"/>
            </w:rPr>
            <w:t>17</w:t>
          </w:r>
          <w:r>
            <w:fldChar w:fldCharType="end"/>
          </w:r>
          <w:r>
            <w:fldChar w:fldCharType="end"/>
          </w:r>
        </w:p>
        <w:p w:rsidR="7AD6DA35" w:rsidP="7AD6DA35" w:rsidRDefault="7AD6DA35" w14:paraId="51369DF3" w14:textId="4807DAD5">
          <w:pPr>
            <w:pStyle w:val="TOC3"/>
            <w:tabs>
              <w:tab w:val="right" w:leader="dot" w:pos="9360"/>
            </w:tabs>
            <w:bidi w:val="0"/>
          </w:pPr>
          <w:r>
            <w:fldChar w:fldCharType="begin"/>
          </w:r>
          <w:r>
            <w:instrText xml:space="preserve">HYPERLINK  \l  "_Toc888678217" </w:instrText>
          </w:r>
          <w:r>
            <w:fldChar w:fldCharType="separate"/>
          </w:r>
          <w:r w:rsidRPr="7AD6DA35" w:rsidR="7AD6DA35">
            <w:rPr>
              <w:rStyle w:val="Hyperlink"/>
            </w:rPr>
            <w:t>Dependent Variables</w:t>
          </w:r>
          <w:r>
            <w:tab/>
          </w:r>
          <w:r>
            <w:fldChar w:fldCharType="begin"/>
          </w:r>
          <w:r>
            <w:instrText xml:space="preserve">PAGEREF _Toc888678217 \h</w:instrText>
          </w:r>
          <w:r>
            <w:fldChar w:fldCharType="separate"/>
          </w:r>
          <w:r w:rsidRPr="7AD6DA35" w:rsidR="7AD6DA35">
            <w:rPr>
              <w:rStyle w:val="Hyperlink"/>
            </w:rPr>
            <w:t>17</w:t>
          </w:r>
          <w:r>
            <w:fldChar w:fldCharType="end"/>
          </w:r>
          <w:r>
            <w:fldChar w:fldCharType="end"/>
          </w:r>
        </w:p>
        <w:p w:rsidR="7AD6DA35" w:rsidP="7AD6DA35" w:rsidRDefault="7AD6DA35" w14:paraId="6B608A60" w14:textId="5BC0C043">
          <w:pPr>
            <w:pStyle w:val="TOC3"/>
            <w:tabs>
              <w:tab w:val="right" w:leader="dot" w:pos="9360"/>
            </w:tabs>
            <w:bidi w:val="0"/>
          </w:pPr>
          <w:r>
            <w:fldChar w:fldCharType="begin"/>
          </w:r>
          <w:r>
            <w:instrText xml:space="preserve">HYPERLINK  \l  "_Toc30741015" </w:instrText>
          </w:r>
          <w:r>
            <w:fldChar w:fldCharType="separate"/>
          </w:r>
          <w:r w:rsidRPr="7AD6DA35" w:rsidR="7AD6DA35">
            <w:rPr>
              <w:rStyle w:val="Hyperlink"/>
            </w:rPr>
            <w:t>Proposed Conceptual Framework</w:t>
          </w:r>
          <w:r>
            <w:tab/>
          </w:r>
          <w:r>
            <w:fldChar w:fldCharType="begin"/>
          </w:r>
          <w:r>
            <w:instrText xml:space="preserve">PAGEREF _Toc30741015 \h</w:instrText>
          </w:r>
          <w:r>
            <w:fldChar w:fldCharType="separate"/>
          </w:r>
          <w:r w:rsidRPr="7AD6DA35" w:rsidR="7AD6DA35">
            <w:rPr>
              <w:rStyle w:val="Hyperlink"/>
            </w:rPr>
            <w:t>17</w:t>
          </w:r>
          <w:r>
            <w:fldChar w:fldCharType="end"/>
          </w:r>
          <w:r>
            <w:fldChar w:fldCharType="end"/>
          </w:r>
        </w:p>
        <w:p w:rsidR="7AD6DA35" w:rsidP="7AD6DA35" w:rsidRDefault="7AD6DA35" w14:paraId="49129040" w14:textId="21F2C3BD">
          <w:pPr>
            <w:pStyle w:val="TOC3"/>
            <w:tabs>
              <w:tab w:val="right" w:leader="dot" w:pos="9360"/>
            </w:tabs>
            <w:bidi w:val="0"/>
          </w:pPr>
          <w:r>
            <w:fldChar w:fldCharType="begin"/>
          </w:r>
          <w:r>
            <w:instrText xml:space="preserve">HYPERLINK  \l  "_Toc432725846" </w:instrText>
          </w:r>
          <w:r>
            <w:fldChar w:fldCharType="separate"/>
          </w:r>
          <w:r w:rsidRPr="7AD6DA35" w:rsidR="7AD6DA35">
            <w:rPr>
              <w:rStyle w:val="Hyperlink"/>
            </w:rPr>
            <w:t>Research Propositions</w:t>
          </w:r>
          <w:r>
            <w:tab/>
          </w:r>
          <w:r>
            <w:fldChar w:fldCharType="begin"/>
          </w:r>
          <w:r>
            <w:instrText xml:space="preserve">PAGEREF _Toc432725846 \h</w:instrText>
          </w:r>
          <w:r>
            <w:fldChar w:fldCharType="separate"/>
          </w:r>
          <w:r w:rsidRPr="7AD6DA35" w:rsidR="7AD6DA35">
            <w:rPr>
              <w:rStyle w:val="Hyperlink"/>
            </w:rPr>
            <w:t>18</w:t>
          </w:r>
          <w:r>
            <w:fldChar w:fldCharType="end"/>
          </w:r>
          <w:r>
            <w:fldChar w:fldCharType="end"/>
          </w:r>
        </w:p>
        <w:p w:rsidR="7AD6DA35" w:rsidP="7AD6DA35" w:rsidRDefault="7AD6DA35" w14:paraId="7D2B6FAB" w14:textId="6A768613">
          <w:pPr>
            <w:pStyle w:val="TOC1"/>
            <w:tabs>
              <w:tab w:val="right" w:leader="dot" w:pos="9360"/>
            </w:tabs>
            <w:bidi w:val="0"/>
          </w:pPr>
          <w:r>
            <w:fldChar w:fldCharType="begin"/>
          </w:r>
          <w:r>
            <w:instrText xml:space="preserve">HYPERLINK  \l  "_Toc1547773446" </w:instrText>
          </w:r>
          <w:r>
            <w:fldChar w:fldCharType="separate"/>
          </w:r>
          <w:r w:rsidRPr="7AD6DA35" w:rsidR="7AD6DA35">
            <w:rPr>
              <w:rStyle w:val="Hyperlink"/>
            </w:rPr>
            <w:t>Chapter Summary</w:t>
          </w:r>
          <w:r>
            <w:tab/>
          </w:r>
          <w:r>
            <w:fldChar w:fldCharType="begin"/>
          </w:r>
          <w:r>
            <w:instrText xml:space="preserve">PAGEREF _Toc1547773446 \h</w:instrText>
          </w:r>
          <w:r>
            <w:fldChar w:fldCharType="separate"/>
          </w:r>
          <w:r w:rsidRPr="7AD6DA35" w:rsidR="7AD6DA35">
            <w:rPr>
              <w:rStyle w:val="Hyperlink"/>
            </w:rPr>
            <w:t>18</w:t>
          </w:r>
          <w:r>
            <w:fldChar w:fldCharType="end"/>
          </w:r>
          <w:r>
            <w:fldChar w:fldCharType="end"/>
          </w:r>
        </w:p>
        <w:p w:rsidR="7AD6DA35" w:rsidP="7AD6DA35" w:rsidRDefault="7AD6DA35" w14:paraId="735E6271" w14:textId="2F7042E2">
          <w:pPr>
            <w:pStyle w:val="TOC1"/>
            <w:tabs>
              <w:tab w:val="right" w:leader="dot" w:pos="9360"/>
            </w:tabs>
            <w:bidi w:val="0"/>
          </w:pPr>
          <w:r>
            <w:fldChar w:fldCharType="begin"/>
          </w:r>
          <w:r>
            <w:instrText xml:space="preserve">HYPERLINK  \l  "_Toc1429661569" </w:instrText>
          </w:r>
          <w:r>
            <w:fldChar w:fldCharType="separate"/>
          </w:r>
          <w:r w:rsidRPr="7AD6DA35" w:rsidR="7AD6DA35">
            <w:rPr>
              <w:rStyle w:val="Hyperlink"/>
            </w:rPr>
            <w:t>Chapter 3: Methodology</w:t>
          </w:r>
          <w:r>
            <w:tab/>
          </w:r>
          <w:r>
            <w:fldChar w:fldCharType="begin"/>
          </w:r>
          <w:r>
            <w:instrText xml:space="preserve">PAGEREF _Toc1429661569 \h</w:instrText>
          </w:r>
          <w:r>
            <w:fldChar w:fldCharType="separate"/>
          </w:r>
          <w:r w:rsidRPr="7AD6DA35" w:rsidR="7AD6DA35">
            <w:rPr>
              <w:rStyle w:val="Hyperlink"/>
            </w:rPr>
            <w:t>19</w:t>
          </w:r>
          <w:r>
            <w:fldChar w:fldCharType="end"/>
          </w:r>
          <w:r>
            <w:fldChar w:fldCharType="end"/>
          </w:r>
        </w:p>
        <w:p w:rsidR="7AD6DA35" w:rsidP="7AD6DA35" w:rsidRDefault="7AD6DA35" w14:paraId="2DBC7693" w14:textId="16DA7CB3">
          <w:pPr>
            <w:pStyle w:val="TOC1"/>
            <w:tabs>
              <w:tab w:val="right" w:leader="dot" w:pos="9360"/>
            </w:tabs>
            <w:bidi w:val="0"/>
          </w:pPr>
          <w:r>
            <w:fldChar w:fldCharType="begin"/>
          </w:r>
          <w:r>
            <w:instrText xml:space="preserve">HYPERLINK  \l  "_Toc853936598" </w:instrText>
          </w:r>
          <w:r>
            <w:fldChar w:fldCharType="separate"/>
          </w:r>
          <w:r w:rsidRPr="7AD6DA35" w:rsidR="7AD6DA35">
            <w:rPr>
              <w:rStyle w:val="Hyperlink"/>
            </w:rPr>
            <w:t>Chapter Overview</w:t>
          </w:r>
          <w:r>
            <w:tab/>
          </w:r>
          <w:r>
            <w:fldChar w:fldCharType="begin"/>
          </w:r>
          <w:r>
            <w:instrText xml:space="preserve">PAGEREF _Toc853936598 \h</w:instrText>
          </w:r>
          <w:r>
            <w:fldChar w:fldCharType="separate"/>
          </w:r>
          <w:r w:rsidRPr="7AD6DA35" w:rsidR="7AD6DA35">
            <w:rPr>
              <w:rStyle w:val="Hyperlink"/>
            </w:rPr>
            <w:t>20</w:t>
          </w:r>
          <w:r>
            <w:fldChar w:fldCharType="end"/>
          </w:r>
          <w:r>
            <w:fldChar w:fldCharType="end"/>
          </w:r>
        </w:p>
        <w:p w:rsidR="7AD6DA35" w:rsidP="7AD6DA35" w:rsidRDefault="7AD6DA35" w14:paraId="01D6E74C" w14:textId="2BAF14D9">
          <w:pPr>
            <w:pStyle w:val="TOC2"/>
            <w:tabs>
              <w:tab w:val="right" w:leader="dot" w:pos="9360"/>
            </w:tabs>
            <w:bidi w:val="0"/>
          </w:pPr>
          <w:r>
            <w:fldChar w:fldCharType="begin"/>
          </w:r>
          <w:r>
            <w:instrText xml:space="preserve">HYPERLINK  \l  "_Toc682793624" </w:instrText>
          </w:r>
          <w:r>
            <w:fldChar w:fldCharType="separate"/>
          </w:r>
          <w:r w:rsidRPr="7AD6DA35" w:rsidR="7AD6DA35">
            <w:rPr>
              <w:rStyle w:val="Hyperlink"/>
            </w:rPr>
            <w:t>3.1. Research Approach</w:t>
          </w:r>
          <w:r>
            <w:tab/>
          </w:r>
          <w:r>
            <w:fldChar w:fldCharType="begin"/>
          </w:r>
          <w:r>
            <w:instrText xml:space="preserve">PAGEREF _Toc682793624 \h</w:instrText>
          </w:r>
          <w:r>
            <w:fldChar w:fldCharType="separate"/>
          </w:r>
          <w:r w:rsidRPr="7AD6DA35" w:rsidR="7AD6DA35">
            <w:rPr>
              <w:rStyle w:val="Hyperlink"/>
            </w:rPr>
            <w:t>20</w:t>
          </w:r>
          <w:r>
            <w:fldChar w:fldCharType="end"/>
          </w:r>
          <w:r>
            <w:fldChar w:fldCharType="end"/>
          </w:r>
        </w:p>
        <w:p w:rsidR="7AD6DA35" w:rsidP="7AD6DA35" w:rsidRDefault="7AD6DA35" w14:paraId="79ADB824" w14:textId="7C32BFAA">
          <w:pPr>
            <w:pStyle w:val="TOC2"/>
            <w:tabs>
              <w:tab w:val="right" w:leader="dot" w:pos="9360"/>
            </w:tabs>
            <w:bidi w:val="0"/>
          </w:pPr>
          <w:r>
            <w:fldChar w:fldCharType="begin"/>
          </w:r>
          <w:r>
            <w:instrText xml:space="preserve">HYPERLINK  \l  "_Toc1851697025" </w:instrText>
          </w:r>
          <w:r>
            <w:fldChar w:fldCharType="separate"/>
          </w:r>
          <w:r w:rsidRPr="7AD6DA35" w:rsidR="7AD6DA35">
            <w:rPr>
              <w:rStyle w:val="Hyperlink"/>
            </w:rPr>
            <w:t>3.2. Case Study Strategy</w:t>
          </w:r>
          <w:r>
            <w:tab/>
          </w:r>
          <w:r>
            <w:fldChar w:fldCharType="begin"/>
          </w:r>
          <w:r>
            <w:instrText xml:space="preserve">PAGEREF _Toc1851697025 \h</w:instrText>
          </w:r>
          <w:r>
            <w:fldChar w:fldCharType="separate"/>
          </w:r>
          <w:r w:rsidRPr="7AD6DA35" w:rsidR="7AD6DA35">
            <w:rPr>
              <w:rStyle w:val="Hyperlink"/>
            </w:rPr>
            <w:t>21</w:t>
          </w:r>
          <w:r>
            <w:fldChar w:fldCharType="end"/>
          </w:r>
          <w:r>
            <w:fldChar w:fldCharType="end"/>
          </w:r>
        </w:p>
        <w:p w:rsidR="7AD6DA35" w:rsidP="7AD6DA35" w:rsidRDefault="7AD6DA35" w14:paraId="1852E8F5" w14:textId="0FDAF709">
          <w:pPr>
            <w:pStyle w:val="TOC2"/>
            <w:tabs>
              <w:tab w:val="right" w:leader="dot" w:pos="9360"/>
            </w:tabs>
            <w:bidi w:val="0"/>
          </w:pPr>
          <w:r>
            <w:fldChar w:fldCharType="begin"/>
          </w:r>
          <w:r>
            <w:instrText xml:space="preserve">HYPERLINK  \l  "_Toc566797893" </w:instrText>
          </w:r>
          <w:r>
            <w:fldChar w:fldCharType="separate"/>
          </w:r>
          <w:r w:rsidRPr="7AD6DA35" w:rsidR="7AD6DA35">
            <w:rPr>
              <w:rStyle w:val="Hyperlink"/>
            </w:rPr>
            <w:t>3.4. Data Collection Methods</w:t>
          </w:r>
          <w:r>
            <w:tab/>
          </w:r>
          <w:r>
            <w:fldChar w:fldCharType="begin"/>
          </w:r>
          <w:r>
            <w:instrText xml:space="preserve">PAGEREF _Toc566797893 \h</w:instrText>
          </w:r>
          <w:r>
            <w:fldChar w:fldCharType="separate"/>
          </w:r>
          <w:r w:rsidRPr="7AD6DA35" w:rsidR="7AD6DA35">
            <w:rPr>
              <w:rStyle w:val="Hyperlink"/>
            </w:rPr>
            <w:t>21</w:t>
          </w:r>
          <w:r>
            <w:fldChar w:fldCharType="end"/>
          </w:r>
          <w:r>
            <w:fldChar w:fldCharType="end"/>
          </w:r>
        </w:p>
        <w:p w:rsidR="7AD6DA35" w:rsidP="7AD6DA35" w:rsidRDefault="7AD6DA35" w14:paraId="752DF992" w14:textId="50244985">
          <w:pPr>
            <w:pStyle w:val="TOC3"/>
            <w:tabs>
              <w:tab w:val="right" w:leader="dot" w:pos="9360"/>
            </w:tabs>
            <w:bidi w:val="0"/>
          </w:pPr>
          <w:r>
            <w:fldChar w:fldCharType="begin"/>
          </w:r>
          <w:r>
            <w:instrText xml:space="preserve">HYPERLINK  \l  "_Toc113226337" </w:instrText>
          </w:r>
          <w:r>
            <w:fldChar w:fldCharType="separate"/>
          </w:r>
          <w:r w:rsidRPr="7AD6DA35" w:rsidR="7AD6DA35">
            <w:rPr>
              <w:rStyle w:val="Hyperlink"/>
            </w:rPr>
            <w:t>3.5. Public Inquiry Reports</w:t>
          </w:r>
          <w:r>
            <w:tab/>
          </w:r>
          <w:r>
            <w:fldChar w:fldCharType="begin"/>
          </w:r>
          <w:r>
            <w:instrText xml:space="preserve">PAGEREF _Toc113226337 \h</w:instrText>
          </w:r>
          <w:r>
            <w:fldChar w:fldCharType="separate"/>
          </w:r>
          <w:r w:rsidRPr="7AD6DA35" w:rsidR="7AD6DA35">
            <w:rPr>
              <w:rStyle w:val="Hyperlink"/>
            </w:rPr>
            <w:t>21</w:t>
          </w:r>
          <w:r>
            <w:fldChar w:fldCharType="end"/>
          </w:r>
          <w:r>
            <w:fldChar w:fldCharType="end"/>
          </w:r>
        </w:p>
        <w:p w:rsidR="7AD6DA35" w:rsidP="7AD6DA35" w:rsidRDefault="7AD6DA35" w14:paraId="175D53F9" w14:textId="72F4D4C4">
          <w:pPr>
            <w:pStyle w:val="TOC3"/>
            <w:tabs>
              <w:tab w:val="right" w:leader="dot" w:pos="9360"/>
            </w:tabs>
            <w:bidi w:val="0"/>
          </w:pPr>
          <w:r>
            <w:fldChar w:fldCharType="begin"/>
          </w:r>
          <w:r>
            <w:instrText xml:space="preserve">HYPERLINK  \l  "_Toc1771067257" </w:instrText>
          </w:r>
          <w:r>
            <w:fldChar w:fldCharType="separate"/>
          </w:r>
          <w:r w:rsidRPr="7AD6DA35" w:rsidR="7AD6DA35">
            <w:rPr>
              <w:rStyle w:val="Hyperlink"/>
            </w:rPr>
            <w:t>3.6. Government and Parliamentary Documents</w:t>
          </w:r>
          <w:r>
            <w:tab/>
          </w:r>
          <w:r>
            <w:fldChar w:fldCharType="begin"/>
          </w:r>
          <w:r>
            <w:instrText xml:space="preserve">PAGEREF _Toc1771067257 \h</w:instrText>
          </w:r>
          <w:r>
            <w:fldChar w:fldCharType="separate"/>
          </w:r>
          <w:r w:rsidRPr="7AD6DA35" w:rsidR="7AD6DA35">
            <w:rPr>
              <w:rStyle w:val="Hyperlink"/>
            </w:rPr>
            <w:t>22</w:t>
          </w:r>
          <w:r>
            <w:fldChar w:fldCharType="end"/>
          </w:r>
          <w:r>
            <w:fldChar w:fldCharType="end"/>
          </w:r>
        </w:p>
        <w:p w:rsidR="7AD6DA35" w:rsidP="7AD6DA35" w:rsidRDefault="7AD6DA35" w14:paraId="7133DE09" w14:textId="5BE5885E">
          <w:pPr>
            <w:pStyle w:val="TOC3"/>
            <w:tabs>
              <w:tab w:val="right" w:leader="dot" w:pos="9360"/>
            </w:tabs>
            <w:bidi w:val="0"/>
          </w:pPr>
          <w:r>
            <w:fldChar w:fldCharType="begin"/>
          </w:r>
          <w:r>
            <w:instrText xml:space="preserve">HYPERLINK  \l  "_Toc328255446" </w:instrText>
          </w:r>
          <w:r>
            <w:fldChar w:fldCharType="separate"/>
          </w:r>
          <w:r w:rsidRPr="7AD6DA35" w:rsidR="7AD6DA35">
            <w:rPr>
              <w:rStyle w:val="Hyperlink"/>
            </w:rPr>
            <w:t>3.7. Academic Literature</w:t>
          </w:r>
          <w:r>
            <w:tab/>
          </w:r>
          <w:r>
            <w:fldChar w:fldCharType="begin"/>
          </w:r>
          <w:r>
            <w:instrText xml:space="preserve">PAGEREF _Toc328255446 \h</w:instrText>
          </w:r>
          <w:r>
            <w:fldChar w:fldCharType="separate"/>
          </w:r>
          <w:r w:rsidRPr="7AD6DA35" w:rsidR="7AD6DA35">
            <w:rPr>
              <w:rStyle w:val="Hyperlink"/>
            </w:rPr>
            <w:t>22</w:t>
          </w:r>
          <w:r>
            <w:fldChar w:fldCharType="end"/>
          </w:r>
          <w:r>
            <w:fldChar w:fldCharType="end"/>
          </w:r>
        </w:p>
        <w:p w:rsidR="7AD6DA35" w:rsidP="7AD6DA35" w:rsidRDefault="7AD6DA35" w14:paraId="792C57BA" w14:textId="40619B26">
          <w:pPr>
            <w:pStyle w:val="TOC3"/>
            <w:tabs>
              <w:tab w:val="right" w:leader="dot" w:pos="9360"/>
            </w:tabs>
            <w:bidi w:val="0"/>
          </w:pPr>
          <w:r>
            <w:fldChar w:fldCharType="begin"/>
          </w:r>
          <w:r>
            <w:instrText xml:space="preserve">HYPERLINK  \l  "_Toc106718849" </w:instrText>
          </w:r>
          <w:r>
            <w:fldChar w:fldCharType="separate"/>
          </w:r>
          <w:r w:rsidRPr="7AD6DA35" w:rsidR="7AD6DA35">
            <w:rPr>
              <w:rStyle w:val="Hyperlink"/>
            </w:rPr>
            <w:t>3.8. Legal and Judicial Records</w:t>
          </w:r>
          <w:r>
            <w:tab/>
          </w:r>
          <w:r>
            <w:fldChar w:fldCharType="begin"/>
          </w:r>
          <w:r>
            <w:instrText xml:space="preserve">PAGEREF _Toc106718849 \h</w:instrText>
          </w:r>
          <w:r>
            <w:fldChar w:fldCharType="separate"/>
          </w:r>
          <w:r w:rsidRPr="7AD6DA35" w:rsidR="7AD6DA35">
            <w:rPr>
              <w:rStyle w:val="Hyperlink"/>
            </w:rPr>
            <w:t>22</w:t>
          </w:r>
          <w:r>
            <w:fldChar w:fldCharType="end"/>
          </w:r>
          <w:r>
            <w:fldChar w:fldCharType="end"/>
          </w:r>
        </w:p>
        <w:p w:rsidR="7AD6DA35" w:rsidP="7AD6DA35" w:rsidRDefault="7AD6DA35" w14:paraId="526C3E12" w14:textId="7E9928BE">
          <w:pPr>
            <w:pStyle w:val="TOC3"/>
            <w:tabs>
              <w:tab w:val="right" w:leader="dot" w:pos="9360"/>
            </w:tabs>
            <w:bidi w:val="0"/>
          </w:pPr>
          <w:r>
            <w:fldChar w:fldCharType="begin"/>
          </w:r>
          <w:r>
            <w:instrText xml:space="preserve">HYPERLINK  \l  "_Toc410850391" </w:instrText>
          </w:r>
          <w:r>
            <w:fldChar w:fldCharType="separate"/>
          </w:r>
          <w:r w:rsidRPr="7AD6DA35" w:rsidR="7AD6DA35">
            <w:rPr>
              <w:rStyle w:val="Hyperlink"/>
            </w:rPr>
            <w:t>3.9. Media Sources</w:t>
          </w:r>
          <w:r>
            <w:tab/>
          </w:r>
          <w:r>
            <w:fldChar w:fldCharType="begin"/>
          </w:r>
          <w:r>
            <w:instrText xml:space="preserve">PAGEREF _Toc410850391 \h</w:instrText>
          </w:r>
          <w:r>
            <w:fldChar w:fldCharType="separate"/>
          </w:r>
          <w:r w:rsidRPr="7AD6DA35" w:rsidR="7AD6DA35">
            <w:rPr>
              <w:rStyle w:val="Hyperlink"/>
            </w:rPr>
            <w:t>22</w:t>
          </w:r>
          <w:r>
            <w:fldChar w:fldCharType="end"/>
          </w:r>
          <w:r>
            <w:fldChar w:fldCharType="end"/>
          </w:r>
        </w:p>
        <w:p w:rsidR="7AD6DA35" w:rsidP="7AD6DA35" w:rsidRDefault="7AD6DA35" w14:paraId="52801089" w14:textId="494BB057">
          <w:pPr>
            <w:pStyle w:val="TOC2"/>
            <w:tabs>
              <w:tab w:val="right" w:leader="dot" w:pos="9360"/>
            </w:tabs>
            <w:bidi w:val="0"/>
          </w:pPr>
          <w:r>
            <w:fldChar w:fldCharType="begin"/>
          </w:r>
          <w:r>
            <w:instrText xml:space="preserve">HYPERLINK  \l  "_Toc481557958" </w:instrText>
          </w:r>
          <w:r>
            <w:fldChar w:fldCharType="separate"/>
          </w:r>
          <w:r w:rsidRPr="7AD6DA35" w:rsidR="7AD6DA35">
            <w:rPr>
              <w:rStyle w:val="Hyperlink"/>
            </w:rPr>
            <w:t>Data Analysis</w:t>
          </w:r>
          <w:r>
            <w:tab/>
          </w:r>
          <w:r>
            <w:fldChar w:fldCharType="begin"/>
          </w:r>
          <w:r>
            <w:instrText xml:space="preserve">PAGEREF _Toc481557958 \h</w:instrText>
          </w:r>
          <w:r>
            <w:fldChar w:fldCharType="separate"/>
          </w:r>
          <w:r w:rsidRPr="7AD6DA35" w:rsidR="7AD6DA35">
            <w:rPr>
              <w:rStyle w:val="Hyperlink"/>
            </w:rPr>
            <w:t>22</w:t>
          </w:r>
          <w:r>
            <w:fldChar w:fldCharType="end"/>
          </w:r>
          <w:r>
            <w:fldChar w:fldCharType="end"/>
          </w:r>
        </w:p>
        <w:p w:rsidR="7AD6DA35" w:rsidP="7AD6DA35" w:rsidRDefault="7AD6DA35" w14:paraId="4E366AED" w14:textId="65DE03DF">
          <w:pPr>
            <w:pStyle w:val="TOC3"/>
            <w:tabs>
              <w:tab w:val="right" w:leader="dot" w:pos="9360"/>
            </w:tabs>
            <w:bidi w:val="0"/>
          </w:pPr>
          <w:r>
            <w:fldChar w:fldCharType="begin"/>
          </w:r>
          <w:r>
            <w:instrText xml:space="preserve">HYPERLINK  \l  "_Toc2007683185" </w:instrText>
          </w:r>
          <w:r>
            <w:fldChar w:fldCharType="separate"/>
          </w:r>
          <w:r w:rsidRPr="7AD6DA35" w:rsidR="7AD6DA35">
            <w:rPr>
              <w:rStyle w:val="Hyperlink"/>
            </w:rPr>
            <w:t>Stage 1: Data Familiarisation</w:t>
          </w:r>
          <w:r>
            <w:tab/>
          </w:r>
          <w:r>
            <w:fldChar w:fldCharType="begin"/>
          </w:r>
          <w:r>
            <w:instrText xml:space="preserve">PAGEREF _Toc2007683185 \h</w:instrText>
          </w:r>
          <w:r>
            <w:fldChar w:fldCharType="separate"/>
          </w:r>
          <w:r w:rsidRPr="7AD6DA35" w:rsidR="7AD6DA35">
            <w:rPr>
              <w:rStyle w:val="Hyperlink"/>
            </w:rPr>
            <w:t>22</w:t>
          </w:r>
          <w:r>
            <w:fldChar w:fldCharType="end"/>
          </w:r>
          <w:r>
            <w:fldChar w:fldCharType="end"/>
          </w:r>
        </w:p>
        <w:p w:rsidR="7AD6DA35" w:rsidP="7AD6DA35" w:rsidRDefault="7AD6DA35" w14:paraId="61EF31B0" w14:textId="142D0C00">
          <w:pPr>
            <w:pStyle w:val="TOC3"/>
            <w:tabs>
              <w:tab w:val="right" w:leader="dot" w:pos="9360"/>
            </w:tabs>
            <w:bidi w:val="0"/>
          </w:pPr>
          <w:r>
            <w:fldChar w:fldCharType="begin"/>
          </w:r>
          <w:r>
            <w:instrText xml:space="preserve">HYPERLINK  \l  "_Toc561580235" </w:instrText>
          </w:r>
          <w:r>
            <w:fldChar w:fldCharType="separate"/>
          </w:r>
          <w:r w:rsidRPr="7AD6DA35" w:rsidR="7AD6DA35">
            <w:rPr>
              <w:rStyle w:val="Hyperlink"/>
            </w:rPr>
            <w:t>Stage 2: Coding</w:t>
          </w:r>
          <w:r>
            <w:tab/>
          </w:r>
          <w:r>
            <w:fldChar w:fldCharType="begin"/>
          </w:r>
          <w:r>
            <w:instrText xml:space="preserve">PAGEREF _Toc561580235 \h</w:instrText>
          </w:r>
          <w:r>
            <w:fldChar w:fldCharType="separate"/>
          </w:r>
          <w:r w:rsidRPr="7AD6DA35" w:rsidR="7AD6DA35">
            <w:rPr>
              <w:rStyle w:val="Hyperlink"/>
            </w:rPr>
            <w:t>23</w:t>
          </w:r>
          <w:r>
            <w:fldChar w:fldCharType="end"/>
          </w:r>
          <w:r>
            <w:fldChar w:fldCharType="end"/>
          </w:r>
        </w:p>
        <w:p w:rsidR="7AD6DA35" w:rsidP="7AD6DA35" w:rsidRDefault="7AD6DA35" w14:paraId="4A1DD7F1" w14:textId="5B616F35">
          <w:pPr>
            <w:pStyle w:val="TOC3"/>
            <w:tabs>
              <w:tab w:val="right" w:leader="dot" w:pos="9360"/>
            </w:tabs>
            <w:bidi w:val="0"/>
          </w:pPr>
          <w:r>
            <w:fldChar w:fldCharType="begin"/>
          </w:r>
          <w:r>
            <w:instrText xml:space="preserve">HYPERLINK  \l  "_Toc1896858476" </w:instrText>
          </w:r>
          <w:r>
            <w:fldChar w:fldCharType="separate"/>
          </w:r>
          <w:r w:rsidRPr="7AD6DA35" w:rsidR="7AD6DA35">
            <w:rPr>
              <w:rStyle w:val="Hyperlink"/>
            </w:rPr>
            <w:t>Stage 3: Theme Development</w:t>
          </w:r>
          <w:r>
            <w:tab/>
          </w:r>
          <w:r>
            <w:fldChar w:fldCharType="begin"/>
          </w:r>
          <w:r>
            <w:instrText xml:space="preserve">PAGEREF _Toc1896858476 \h</w:instrText>
          </w:r>
          <w:r>
            <w:fldChar w:fldCharType="separate"/>
          </w:r>
          <w:r w:rsidRPr="7AD6DA35" w:rsidR="7AD6DA35">
            <w:rPr>
              <w:rStyle w:val="Hyperlink"/>
            </w:rPr>
            <w:t>23</w:t>
          </w:r>
          <w:r>
            <w:fldChar w:fldCharType="end"/>
          </w:r>
          <w:r>
            <w:fldChar w:fldCharType="end"/>
          </w:r>
        </w:p>
        <w:p w:rsidR="7AD6DA35" w:rsidP="7AD6DA35" w:rsidRDefault="7AD6DA35" w14:paraId="62072AB7" w14:textId="6FC53276">
          <w:pPr>
            <w:pStyle w:val="TOC3"/>
            <w:tabs>
              <w:tab w:val="right" w:leader="dot" w:pos="9360"/>
            </w:tabs>
            <w:bidi w:val="0"/>
          </w:pPr>
          <w:r>
            <w:fldChar w:fldCharType="begin"/>
          </w:r>
          <w:r>
            <w:instrText xml:space="preserve">HYPERLINK  \l  "_Toc465676367" </w:instrText>
          </w:r>
          <w:r>
            <w:fldChar w:fldCharType="separate"/>
          </w:r>
          <w:r w:rsidRPr="7AD6DA35" w:rsidR="7AD6DA35">
            <w:rPr>
              <w:rStyle w:val="Hyperlink"/>
            </w:rPr>
            <w:t>Stage 4: Interpretation</w:t>
          </w:r>
          <w:r>
            <w:tab/>
          </w:r>
          <w:r>
            <w:fldChar w:fldCharType="begin"/>
          </w:r>
          <w:r>
            <w:instrText xml:space="preserve">PAGEREF _Toc465676367 \h</w:instrText>
          </w:r>
          <w:r>
            <w:fldChar w:fldCharType="separate"/>
          </w:r>
          <w:r w:rsidRPr="7AD6DA35" w:rsidR="7AD6DA35">
            <w:rPr>
              <w:rStyle w:val="Hyperlink"/>
            </w:rPr>
            <w:t>23</w:t>
          </w:r>
          <w:r>
            <w:fldChar w:fldCharType="end"/>
          </w:r>
          <w:r>
            <w:fldChar w:fldCharType="end"/>
          </w:r>
        </w:p>
        <w:p w:rsidR="7AD6DA35" w:rsidP="7AD6DA35" w:rsidRDefault="7AD6DA35" w14:paraId="4C512EC3" w14:textId="057DD871">
          <w:pPr>
            <w:pStyle w:val="TOC3"/>
            <w:tabs>
              <w:tab w:val="right" w:leader="dot" w:pos="9360"/>
            </w:tabs>
            <w:bidi w:val="0"/>
          </w:pPr>
          <w:r>
            <w:fldChar w:fldCharType="begin"/>
          </w:r>
          <w:r>
            <w:instrText xml:space="preserve">HYPERLINK  \l  "_Toc1684458972" </w:instrText>
          </w:r>
          <w:r>
            <w:fldChar w:fldCharType="separate"/>
          </w:r>
          <w:r w:rsidRPr="7AD6DA35" w:rsidR="7AD6DA35">
            <w:rPr>
              <w:rStyle w:val="Hyperlink"/>
            </w:rPr>
            <w:t>Stage 5: Synthesis</w:t>
          </w:r>
          <w:r>
            <w:tab/>
          </w:r>
          <w:r>
            <w:fldChar w:fldCharType="begin"/>
          </w:r>
          <w:r>
            <w:instrText xml:space="preserve">PAGEREF _Toc1684458972 \h</w:instrText>
          </w:r>
          <w:r>
            <w:fldChar w:fldCharType="separate"/>
          </w:r>
          <w:r w:rsidRPr="7AD6DA35" w:rsidR="7AD6DA35">
            <w:rPr>
              <w:rStyle w:val="Hyperlink"/>
            </w:rPr>
            <w:t>23</w:t>
          </w:r>
          <w:r>
            <w:fldChar w:fldCharType="end"/>
          </w:r>
          <w:r>
            <w:fldChar w:fldCharType="end"/>
          </w:r>
        </w:p>
        <w:p w:rsidR="7AD6DA35" w:rsidP="7AD6DA35" w:rsidRDefault="7AD6DA35" w14:paraId="55C2F7CB" w14:textId="1191C51A">
          <w:pPr>
            <w:pStyle w:val="TOC2"/>
            <w:tabs>
              <w:tab w:val="right" w:leader="dot" w:pos="9360"/>
            </w:tabs>
            <w:bidi w:val="0"/>
          </w:pPr>
          <w:r>
            <w:fldChar w:fldCharType="begin"/>
          </w:r>
          <w:r>
            <w:instrText xml:space="preserve">HYPERLINK  \l  "_Toc401757124" </w:instrText>
          </w:r>
          <w:r>
            <w:fldChar w:fldCharType="separate"/>
          </w:r>
          <w:r w:rsidRPr="7AD6DA35" w:rsidR="7AD6DA35">
            <w:rPr>
              <w:rStyle w:val="Hyperlink"/>
            </w:rPr>
            <w:t>Reliability and Validity</w:t>
          </w:r>
          <w:r>
            <w:tab/>
          </w:r>
          <w:r>
            <w:fldChar w:fldCharType="begin"/>
          </w:r>
          <w:r>
            <w:instrText xml:space="preserve">PAGEREF _Toc401757124 \h</w:instrText>
          </w:r>
          <w:r>
            <w:fldChar w:fldCharType="separate"/>
          </w:r>
          <w:r w:rsidRPr="7AD6DA35" w:rsidR="7AD6DA35">
            <w:rPr>
              <w:rStyle w:val="Hyperlink"/>
            </w:rPr>
            <w:t>23</w:t>
          </w:r>
          <w:r>
            <w:fldChar w:fldCharType="end"/>
          </w:r>
          <w:r>
            <w:fldChar w:fldCharType="end"/>
          </w:r>
        </w:p>
        <w:p w:rsidR="7AD6DA35" w:rsidP="7AD6DA35" w:rsidRDefault="7AD6DA35" w14:paraId="1B409640" w14:textId="5565064C">
          <w:pPr>
            <w:pStyle w:val="TOC2"/>
            <w:tabs>
              <w:tab w:val="right" w:leader="dot" w:pos="9360"/>
            </w:tabs>
            <w:bidi w:val="0"/>
          </w:pPr>
          <w:r>
            <w:fldChar w:fldCharType="begin"/>
          </w:r>
          <w:r>
            <w:instrText xml:space="preserve">HYPERLINK  \l  "_Toc1107891067" </w:instrText>
          </w:r>
          <w:r>
            <w:fldChar w:fldCharType="separate"/>
          </w:r>
          <w:r w:rsidRPr="7AD6DA35" w:rsidR="7AD6DA35">
            <w:rPr>
              <w:rStyle w:val="Hyperlink"/>
            </w:rPr>
            <w:t>Ethical Considerations</w:t>
          </w:r>
          <w:r>
            <w:tab/>
          </w:r>
          <w:r>
            <w:fldChar w:fldCharType="begin"/>
          </w:r>
          <w:r>
            <w:instrText xml:space="preserve">PAGEREF _Toc1107891067 \h</w:instrText>
          </w:r>
          <w:r>
            <w:fldChar w:fldCharType="separate"/>
          </w:r>
          <w:r w:rsidRPr="7AD6DA35" w:rsidR="7AD6DA35">
            <w:rPr>
              <w:rStyle w:val="Hyperlink"/>
            </w:rPr>
            <w:t>24</w:t>
          </w:r>
          <w:r>
            <w:fldChar w:fldCharType="end"/>
          </w:r>
          <w:r>
            <w:fldChar w:fldCharType="end"/>
          </w:r>
        </w:p>
        <w:p w:rsidR="7AD6DA35" w:rsidP="7AD6DA35" w:rsidRDefault="7AD6DA35" w14:paraId="035B69C7" w14:textId="49A87665">
          <w:pPr>
            <w:pStyle w:val="TOC2"/>
            <w:tabs>
              <w:tab w:val="right" w:leader="dot" w:pos="9360"/>
            </w:tabs>
            <w:bidi w:val="0"/>
          </w:pPr>
          <w:r>
            <w:fldChar w:fldCharType="begin"/>
          </w:r>
          <w:r>
            <w:instrText xml:space="preserve">HYPERLINK  \l  "_Toc1716756146" </w:instrText>
          </w:r>
          <w:r>
            <w:fldChar w:fldCharType="separate"/>
          </w:r>
          <w:r w:rsidRPr="7AD6DA35" w:rsidR="7AD6DA35">
            <w:rPr>
              <w:rStyle w:val="Hyperlink"/>
            </w:rPr>
            <w:t>Limitations</w:t>
          </w:r>
          <w:r>
            <w:tab/>
          </w:r>
          <w:r>
            <w:fldChar w:fldCharType="begin"/>
          </w:r>
          <w:r>
            <w:instrText xml:space="preserve">PAGEREF _Toc1716756146 \h</w:instrText>
          </w:r>
          <w:r>
            <w:fldChar w:fldCharType="separate"/>
          </w:r>
          <w:r w:rsidRPr="7AD6DA35" w:rsidR="7AD6DA35">
            <w:rPr>
              <w:rStyle w:val="Hyperlink"/>
            </w:rPr>
            <w:t>24</w:t>
          </w:r>
          <w:r>
            <w:fldChar w:fldCharType="end"/>
          </w:r>
          <w:r>
            <w:fldChar w:fldCharType="end"/>
          </w:r>
        </w:p>
        <w:p w:rsidR="7AD6DA35" w:rsidP="7AD6DA35" w:rsidRDefault="7AD6DA35" w14:paraId="2A8B8F9B" w14:textId="44F47E63">
          <w:pPr>
            <w:pStyle w:val="TOC2"/>
            <w:tabs>
              <w:tab w:val="right" w:leader="dot" w:pos="9360"/>
            </w:tabs>
            <w:bidi w:val="0"/>
          </w:pPr>
          <w:r>
            <w:fldChar w:fldCharType="begin"/>
          </w:r>
          <w:r>
            <w:instrText xml:space="preserve">HYPERLINK  \l  "_Toc2079644975" </w:instrText>
          </w:r>
          <w:r>
            <w:fldChar w:fldCharType="separate"/>
          </w:r>
          <w:r w:rsidRPr="7AD6DA35" w:rsidR="7AD6DA35">
            <w:rPr>
              <w:rStyle w:val="Hyperlink"/>
            </w:rPr>
            <w:t>Chapter 3: Conclusion</w:t>
          </w:r>
          <w:r>
            <w:tab/>
          </w:r>
          <w:r>
            <w:fldChar w:fldCharType="begin"/>
          </w:r>
          <w:r>
            <w:instrText xml:space="preserve">PAGEREF _Toc2079644975 \h</w:instrText>
          </w:r>
          <w:r>
            <w:fldChar w:fldCharType="separate"/>
          </w:r>
          <w:r w:rsidRPr="7AD6DA35" w:rsidR="7AD6DA35">
            <w:rPr>
              <w:rStyle w:val="Hyperlink"/>
            </w:rPr>
            <w:t>24</w:t>
          </w:r>
          <w:r>
            <w:fldChar w:fldCharType="end"/>
          </w:r>
          <w:r>
            <w:fldChar w:fldCharType="end"/>
          </w:r>
        </w:p>
        <w:p w:rsidR="7AD6DA35" w:rsidP="7AD6DA35" w:rsidRDefault="7AD6DA35" w14:paraId="05D1F274" w14:textId="3004A37A">
          <w:pPr>
            <w:pStyle w:val="TOC1"/>
            <w:tabs>
              <w:tab w:val="right" w:leader="dot" w:pos="9360"/>
            </w:tabs>
            <w:bidi w:val="0"/>
          </w:pPr>
          <w:r>
            <w:fldChar w:fldCharType="begin"/>
          </w:r>
          <w:r>
            <w:instrText xml:space="preserve">HYPERLINK  \l  "_Toc1636649491" </w:instrText>
          </w:r>
          <w:r>
            <w:fldChar w:fldCharType="separate"/>
          </w:r>
          <w:r w:rsidRPr="7AD6DA35" w:rsidR="7AD6DA35">
            <w:rPr>
              <w:rStyle w:val="Hyperlink"/>
            </w:rPr>
            <w:t>Chapter 4</w:t>
          </w:r>
          <w:r>
            <w:tab/>
          </w:r>
          <w:r>
            <w:fldChar w:fldCharType="begin"/>
          </w:r>
          <w:r>
            <w:instrText xml:space="preserve">PAGEREF _Toc1636649491 \h</w:instrText>
          </w:r>
          <w:r>
            <w:fldChar w:fldCharType="separate"/>
          </w:r>
          <w:r w:rsidRPr="7AD6DA35" w:rsidR="7AD6DA35">
            <w:rPr>
              <w:rStyle w:val="Hyperlink"/>
            </w:rPr>
            <w:t>26</w:t>
          </w:r>
          <w:r>
            <w:fldChar w:fldCharType="end"/>
          </w:r>
          <w:r>
            <w:fldChar w:fldCharType="end"/>
          </w:r>
        </w:p>
        <w:p w:rsidR="7AD6DA35" w:rsidP="7AD6DA35" w:rsidRDefault="7AD6DA35" w14:paraId="53612AE8" w14:textId="2689F4F5">
          <w:pPr>
            <w:pStyle w:val="TOC1"/>
            <w:tabs>
              <w:tab w:val="right" w:leader="dot" w:pos="9360"/>
            </w:tabs>
            <w:bidi w:val="0"/>
          </w:pPr>
          <w:r>
            <w:fldChar w:fldCharType="begin"/>
          </w:r>
          <w:r>
            <w:instrText xml:space="preserve">HYPERLINK  \l  "_Toc1671233443" </w:instrText>
          </w:r>
          <w:r>
            <w:fldChar w:fldCharType="separate"/>
          </w:r>
          <w:r w:rsidRPr="7AD6DA35" w:rsidR="7AD6DA35">
            <w:rPr>
              <w:rStyle w:val="Hyperlink"/>
            </w:rPr>
            <w:t>4.1. Presentation of Findings</w:t>
          </w:r>
          <w:r>
            <w:tab/>
          </w:r>
          <w:r>
            <w:fldChar w:fldCharType="begin"/>
          </w:r>
          <w:r>
            <w:instrText xml:space="preserve">PAGEREF _Toc1671233443 \h</w:instrText>
          </w:r>
          <w:r>
            <w:fldChar w:fldCharType="separate"/>
          </w:r>
          <w:r w:rsidRPr="7AD6DA35" w:rsidR="7AD6DA35">
            <w:rPr>
              <w:rStyle w:val="Hyperlink"/>
            </w:rPr>
            <w:t>26</w:t>
          </w:r>
          <w:r>
            <w:fldChar w:fldCharType="end"/>
          </w:r>
          <w:r>
            <w:fldChar w:fldCharType="end"/>
          </w:r>
        </w:p>
        <w:p w:rsidR="7AD6DA35" w:rsidP="7AD6DA35" w:rsidRDefault="7AD6DA35" w14:paraId="5129F366" w14:textId="4F5D9246">
          <w:pPr>
            <w:pStyle w:val="TOC1"/>
            <w:tabs>
              <w:tab w:val="right" w:leader="dot" w:pos="9360"/>
            </w:tabs>
            <w:bidi w:val="0"/>
          </w:pPr>
          <w:r>
            <w:fldChar w:fldCharType="begin"/>
          </w:r>
          <w:r>
            <w:instrText xml:space="preserve">HYPERLINK  \l  "_Toc931216138" </w:instrText>
          </w:r>
          <w:r>
            <w:fldChar w:fldCharType="separate"/>
          </w:r>
          <w:r w:rsidRPr="7AD6DA35" w:rsidR="7AD6DA35">
            <w:rPr>
              <w:rStyle w:val="Hyperlink"/>
            </w:rPr>
            <w:t>4.2. Finding One: Horizon System Failures and Technological Defects</w:t>
          </w:r>
          <w:r>
            <w:tab/>
          </w:r>
          <w:r>
            <w:fldChar w:fldCharType="begin"/>
          </w:r>
          <w:r>
            <w:instrText xml:space="preserve">PAGEREF _Toc931216138 \h</w:instrText>
          </w:r>
          <w:r>
            <w:fldChar w:fldCharType="separate"/>
          </w:r>
          <w:r w:rsidRPr="7AD6DA35" w:rsidR="7AD6DA35">
            <w:rPr>
              <w:rStyle w:val="Hyperlink"/>
            </w:rPr>
            <w:t>27</w:t>
          </w:r>
          <w:r>
            <w:fldChar w:fldCharType="end"/>
          </w:r>
          <w:r>
            <w:fldChar w:fldCharType="end"/>
          </w:r>
        </w:p>
        <w:p w:rsidR="7AD6DA35" w:rsidP="7AD6DA35" w:rsidRDefault="7AD6DA35" w14:paraId="25782F0A" w14:textId="528EBEEB">
          <w:pPr>
            <w:pStyle w:val="TOC3"/>
            <w:tabs>
              <w:tab w:val="right" w:leader="dot" w:pos="9360"/>
            </w:tabs>
            <w:bidi w:val="0"/>
          </w:pPr>
          <w:r>
            <w:fldChar w:fldCharType="begin"/>
          </w:r>
          <w:r>
            <w:instrText xml:space="preserve">HYPERLINK  \l  "_Toc734424400" </w:instrText>
          </w:r>
          <w:r>
            <w:fldChar w:fldCharType="separate"/>
          </w:r>
          <w:r w:rsidRPr="7AD6DA35" w:rsidR="7AD6DA35">
            <w:rPr>
              <w:rStyle w:val="Hyperlink"/>
            </w:rPr>
            <w:t>4.1. Sources Identifying Horizon System Defects</w:t>
          </w:r>
          <w:r>
            <w:tab/>
          </w:r>
          <w:r>
            <w:fldChar w:fldCharType="begin"/>
          </w:r>
          <w:r>
            <w:instrText xml:space="preserve">PAGEREF _Toc734424400 \h</w:instrText>
          </w:r>
          <w:r>
            <w:fldChar w:fldCharType="separate"/>
          </w:r>
          <w:r w:rsidRPr="7AD6DA35" w:rsidR="7AD6DA35">
            <w:rPr>
              <w:rStyle w:val="Hyperlink"/>
            </w:rPr>
            <w:t>27</w:t>
          </w:r>
          <w:r>
            <w:fldChar w:fldCharType="end"/>
          </w:r>
          <w:r>
            <w:fldChar w:fldCharType="end"/>
          </w:r>
        </w:p>
        <w:p w:rsidR="7AD6DA35" w:rsidP="7AD6DA35" w:rsidRDefault="7AD6DA35" w14:paraId="6FC55EA1" w14:textId="2EEE5005">
          <w:pPr>
            <w:pStyle w:val="TOC1"/>
            <w:tabs>
              <w:tab w:val="right" w:leader="dot" w:pos="9360"/>
            </w:tabs>
            <w:bidi w:val="0"/>
          </w:pPr>
          <w:r>
            <w:fldChar w:fldCharType="begin"/>
          </w:r>
          <w:r>
            <w:instrText xml:space="preserve">HYPERLINK  \l  "_Toc157835502" </w:instrText>
          </w:r>
          <w:r>
            <w:fldChar w:fldCharType="separate"/>
          </w:r>
          <w:r w:rsidRPr="7AD6DA35" w:rsidR="7AD6DA35">
            <w:rPr>
              <w:rStyle w:val="Hyperlink"/>
            </w:rPr>
            <w:t>Finding Two: Organisational Governance Failures</w:t>
          </w:r>
          <w:r>
            <w:tab/>
          </w:r>
          <w:r>
            <w:fldChar w:fldCharType="begin"/>
          </w:r>
          <w:r>
            <w:instrText xml:space="preserve">PAGEREF _Toc157835502 \h</w:instrText>
          </w:r>
          <w:r>
            <w:fldChar w:fldCharType="separate"/>
          </w:r>
          <w:r w:rsidRPr="7AD6DA35" w:rsidR="7AD6DA35">
            <w:rPr>
              <w:rStyle w:val="Hyperlink"/>
            </w:rPr>
            <w:t>28</w:t>
          </w:r>
          <w:r>
            <w:fldChar w:fldCharType="end"/>
          </w:r>
          <w:r>
            <w:fldChar w:fldCharType="end"/>
          </w:r>
        </w:p>
        <w:p w:rsidR="7AD6DA35" w:rsidP="7AD6DA35" w:rsidRDefault="7AD6DA35" w14:paraId="61521101" w14:textId="705ECFE4">
          <w:pPr>
            <w:pStyle w:val="TOC3"/>
            <w:tabs>
              <w:tab w:val="right" w:leader="dot" w:pos="9360"/>
            </w:tabs>
            <w:bidi w:val="0"/>
          </w:pPr>
          <w:r>
            <w:fldChar w:fldCharType="begin"/>
          </w:r>
          <w:r>
            <w:instrText xml:space="preserve">HYPERLINK  \l  "_Toc659181021" </w:instrText>
          </w:r>
          <w:r>
            <w:fldChar w:fldCharType="separate"/>
          </w:r>
          <w:r w:rsidRPr="7AD6DA35" w:rsidR="7AD6DA35">
            <w:rPr>
              <w:rStyle w:val="Hyperlink"/>
            </w:rPr>
            <w:t>4.1. Governance Failures Identified in Literature</w:t>
          </w:r>
          <w:r>
            <w:tab/>
          </w:r>
          <w:r>
            <w:fldChar w:fldCharType="begin"/>
          </w:r>
          <w:r>
            <w:instrText xml:space="preserve">PAGEREF _Toc659181021 \h</w:instrText>
          </w:r>
          <w:r>
            <w:fldChar w:fldCharType="separate"/>
          </w:r>
          <w:r w:rsidRPr="7AD6DA35" w:rsidR="7AD6DA35">
            <w:rPr>
              <w:rStyle w:val="Hyperlink"/>
            </w:rPr>
            <w:t>28</w:t>
          </w:r>
          <w:r>
            <w:fldChar w:fldCharType="end"/>
          </w:r>
          <w:r>
            <w:fldChar w:fldCharType="end"/>
          </w:r>
        </w:p>
        <w:p w:rsidR="7AD6DA35" w:rsidP="7AD6DA35" w:rsidRDefault="7AD6DA35" w14:paraId="58F2FE61" w14:textId="6AFF07B7">
          <w:pPr>
            <w:pStyle w:val="TOC1"/>
            <w:tabs>
              <w:tab w:val="right" w:leader="dot" w:pos="9360"/>
            </w:tabs>
            <w:bidi w:val="0"/>
          </w:pPr>
          <w:r>
            <w:fldChar w:fldCharType="begin"/>
          </w:r>
          <w:r>
            <w:instrText xml:space="preserve">HYPERLINK  \l  "_Toc1356901879" </w:instrText>
          </w:r>
          <w:r>
            <w:fldChar w:fldCharType="separate"/>
          </w:r>
          <w:r w:rsidRPr="7AD6DA35" w:rsidR="7AD6DA35">
            <w:rPr>
              <w:rStyle w:val="Hyperlink"/>
            </w:rPr>
            <w:t>Finding Three: Organisational Culture and Suppression of Concerns</w:t>
          </w:r>
          <w:r>
            <w:tab/>
          </w:r>
          <w:r>
            <w:fldChar w:fldCharType="begin"/>
          </w:r>
          <w:r>
            <w:instrText xml:space="preserve">PAGEREF _Toc1356901879 \h</w:instrText>
          </w:r>
          <w:r>
            <w:fldChar w:fldCharType="separate"/>
          </w:r>
          <w:r w:rsidRPr="7AD6DA35" w:rsidR="7AD6DA35">
            <w:rPr>
              <w:rStyle w:val="Hyperlink"/>
            </w:rPr>
            <w:t>28</w:t>
          </w:r>
          <w:r>
            <w:fldChar w:fldCharType="end"/>
          </w:r>
          <w:r>
            <w:fldChar w:fldCharType="end"/>
          </w:r>
        </w:p>
        <w:p w:rsidR="7AD6DA35" w:rsidP="7AD6DA35" w:rsidRDefault="7AD6DA35" w14:paraId="27F87736" w14:textId="65715679">
          <w:pPr>
            <w:pStyle w:val="TOC3"/>
            <w:tabs>
              <w:tab w:val="right" w:leader="dot" w:pos="9360"/>
            </w:tabs>
            <w:bidi w:val="0"/>
          </w:pPr>
          <w:r>
            <w:fldChar w:fldCharType="begin"/>
          </w:r>
          <w:r>
            <w:instrText xml:space="preserve">HYPERLINK  \l  "_Toc219128305" </w:instrText>
          </w:r>
          <w:r>
            <w:fldChar w:fldCharType="separate"/>
          </w:r>
          <w:r w:rsidRPr="7AD6DA35" w:rsidR="7AD6DA35">
            <w:rPr>
              <w:rStyle w:val="Hyperlink"/>
            </w:rPr>
            <w:t>4.1. Cultural Issues Identified Across Sources</w:t>
          </w:r>
          <w:r>
            <w:tab/>
          </w:r>
          <w:r>
            <w:fldChar w:fldCharType="begin"/>
          </w:r>
          <w:r>
            <w:instrText xml:space="preserve">PAGEREF _Toc219128305 \h</w:instrText>
          </w:r>
          <w:r>
            <w:fldChar w:fldCharType="separate"/>
          </w:r>
          <w:r w:rsidRPr="7AD6DA35" w:rsidR="7AD6DA35">
            <w:rPr>
              <w:rStyle w:val="Hyperlink"/>
            </w:rPr>
            <w:t>29</w:t>
          </w:r>
          <w:r>
            <w:fldChar w:fldCharType="end"/>
          </w:r>
          <w:r>
            <w:fldChar w:fldCharType="end"/>
          </w:r>
        </w:p>
        <w:p w:rsidR="7AD6DA35" w:rsidP="7AD6DA35" w:rsidRDefault="7AD6DA35" w14:paraId="0E88BD5C" w14:textId="22A274C3">
          <w:pPr>
            <w:pStyle w:val="TOC1"/>
            <w:tabs>
              <w:tab w:val="right" w:leader="dot" w:pos="9360"/>
            </w:tabs>
            <w:bidi w:val="0"/>
          </w:pPr>
          <w:r>
            <w:fldChar w:fldCharType="begin"/>
          </w:r>
          <w:r>
            <w:instrText xml:space="preserve">HYPERLINK  \l  "_Toc392425757" </w:instrText>
          </w:r>
          <w:r>
            <w:fldChar w:fldCharType="separate"/>
          </w:r>
          <w:r w:rsidRPr="7AD6DA35" w:rsidR="7AD6DA35">
            <w:rPr>
              <w:rStyle w:val="Hyperlink"/>
            </w:rPr>
            <w:t>Finding Four: Transition Risks and Digital Transformation Challenges</w:t>
          </w:r>
          <w:r>
            <w:tab/>
          </w:r>
          <w:r>
            <w:fldChar w:fldCharType="begin"/>
          </w:r>
          <w:r>
            <w:instrText xml:space="preserve">PAGEREF _Toc392425757 \h</w:instrText>
          </w:r>
          <w:r>
            <w:fldChar w:fldCharType="separate"/>
          </w:r>
          <w:r w:rsidRPr="7AD6DA35" w:rsidR="7AD6DA35">
            <w:rPr>
              <w:rStyle w:val="Hyperlink"/>
            </w:rPr>
            <w:t>29</w:t>
          </w:r>
          <w:r>
            <w:fldChar w:fldCharType="end"/>
          </w:r>
          <w:r>
            <w:fldChar w:fldCharType="end"/>
          </w:r>
        </w:p>
        <w:p w:rsidR="7AD6DA35" w:rsidP="7AD6DA35" w:rsidRDefault="7AD6DA35" w14:paraId="07113C89" w14:textId="6F1E4A42">
          <w:pPr>
            <w:pStyle w:val="TOC3"/>
            <w:tabs>
              <w:tab w:val="right" w:leader="dot" w:pos="9360"/>
            </w:tabs>
            <w:bidi w:val="0"/>
          </w:pPr>
          <w:r>
            <w:fldChar w:fldCharType="begin"/>
          </w:r>
          <w:r>
            <w:instrText xml:space="preserve">HYPERLINK  \l  "_Toc93191268" </w:instrText>
          </w:r>
          <w:r>
            <w:fldChar w:fldCharType="separate"/>
          </w:r>
          <w:r w:rsidRPr="7AD6DA35" w:rsidR="7AD6DA35">
            <w:rPr>
              <w:rStyle w:val="Hyperlink"/>
            </w:rPr>
            <w:t>4.1. Digital Transition Risks Identified</w:t>
          </w:r>
          <w:r>
            <w:tab/>
          </w:r>
          <w:r>
            <w:fldChar w:fldCharType="begin"/>
          </w:r>
          <w:r>
            <w:instrText xml:space="preserve">PAGEREF _Toc93191268 \h</w:instrText>
          </w:r>
          <w:r>
            <w:fldChar w:fldCharType="separate"/>
          </w:r>
          <w:r w:rsidRPr="7AD6DA35" w:rsidR="7AD6DA35">
            <w:rPr>
              <w:rStyle w:val="Hyperlink"/>
            </w:rPr>
            <w:t>29</w:t>
          </w:r>
          <w:r>
            <w:fldChar w:fldCharType="end"/>
          </w:r>
          <w:r>
            <w:fldChar w:fldCharType="end"/>
          </w:r>
        </w:p>
        <w:p w:rsidR="7AD6DA35" w:rsidP="7AD6DA35" w:rsidRDefault="7AD6DA35" w14:paraId="4F335BA0" w14:textId="7BACB312">
          <w:pPr>
            <w:pStyle w:val="TOC1"/>
            <w:tabs>
              <w:tab w:val="right" w:leader="dot" w:pos="9360"/>
            </w:tabs>
            <w:bidi w:val="0"/>
          </w:pPr>
          <w:r>
            <w:fldChar w:fldCharType="begin"/>
          </w:r>
          <w:r>
            <w:instrText xml:space="preserve">HYPERLINK  \l  "_Toc2093374510" </w:instrText>
          </w:r>
          <w:r>
            <w:fldChar w:fldCharType="separate"/>
          </w:r>
          <w:r w:rsidRPr="7AD6DA35" w:rsidR="7AD6DA35">
            <w:rPr>
              <w:rStyle w:val="Hyperlink"/>
            </w:rPr>
            <w:t>Analysis of Findings</w:t>
          </w:r>
          <w:r>
            <w:tab/>
          </w:r>
          <w:r>
            <w:fldChar w:fldCharType="begin"/>
          </w:r>
          <w:r>
            <w:instrText xml:space="preserve">PAGEREF _Toc2093374510 \h</w:instrText>
          </w:r>
          <w:r>
            <w:fldChar w:fldCharType="separate"/>
          </w:r>
          <w:r w:rsidRPr="7AD6DA35" w:rsidR="7AD6DA35">
            <w:rPr>
              <w:rStyle w:val="Hyperlink"/>
            </w:rPr>
            <w:t>30</w:t>
          </w:r>
          <w:r>
            <w:fldChar w:fldCharType="end"/>
          </w:r>
          <w:r>
            <w:fldChar w:fldCharType="end"/>
          </w:r>
        </w:p>
        <w:p w:rsidR="7AD6DA35" w:rsidP="7AD6DA35" w:rsidRDefault="7AD6DA35" w14:paraId="06EB0D82" w14:textId="09EB9293">
          <w:pPr>
            <w:pStyle w:val="TOC1"/>
            <w:tabs>
              <w:tab w:val="right" w:leader="dot" w:pos="9360"/>
            </w:tabs>
            <w:bidi w:val="0"/>
          </w:pPr>
          <w:r>
            <w:fldChar w:fldCharType="begin"/>
          </w:r>
          <w:r>
            <w:instrText xml:space="preserve">HYPERLINK  \l  "_Toc1721972319" </w:instrText>
          </w:r>
          <w:r>
            <w:fldChar w:fldCharType="separate"/>
          </w:r>
          <w:r w:rsidRPr="7AD6DA35" w:rsidR="7AD6DA35">
            <w:rPr>
              <w:rStyle w:val="Hyperlink"/>
            </w:rPr>
            <w:t>Evaluation of Findings</w:t>
          </w:r>
          <w:r>
            <w:tab/>
          </w:r>
          <w:r>
            <w:fldChar w:fldCharType="begin"/>
          </w:r>
          <w:r>
            <w:instrText xml:space="preserve">PAGEREF _Toc1721972319 \h</w:instrText>
          </w:r>
          <w:r>
            <w:fldChar w:fldCharType="separate"/>
          </w:r>
          <w:r w:rsidRPr="7AD6DA35" w:rsidR="7AD6DA35">
            <w:rPr>
              <w:rStyle w:val="Hyperlink"/>
            </w:rPr>
            <w:t>31</w:t>
          </w:r>
          <w:r>
            <w:fldChar w:fldCharType="end"/>
          </w:r>
          <w:r>
            <w:fldChar w:fldCharType="end"/>
          </w:r>
        </w:p>
        <w:p w:rsidR="7AD6DA35" w:rsidP="7AD6DA35" w:rsidRDefault="7AD6DA35" w14:paraId="330FD797" w14:textId="66E9ABD8">
          <w:pPr>
            <w:pStyle w:val="TOC1"/>
            <w:tabs>
              <w:tab w:val="right" w:leader="dot" w:pos="9360"/>
            </w:tabs>
            <w:bidi w:val="0"/>
          </w:pPr>
          <w:r>
            <w:fldChar w:fldCharType="begin"/>
          </w:r>
          <w:r>
            <w:instrText xml:space="preserve">HYPERLINK  \l  "_Toc1107164282" </w:instrText>
          </w:r>
          <w:r>
            <w:fldChar w:fldCharType="separate"/>
          </w:r>
          <w:r w:rsidRPr="7AD6DA35" w:rsidR="7AD6DA35">
            <w:rPr>
              <w:rStyle w:val="Hyperlink"/>
            </w:rPr>
            <w:t>Critical Discussion of Findings</w:t>
          </w:r>
          <w:r>
            <w:tab/>
          </w:r>
          <w:r>
            <w:fldChar w:fldCharType="begin"/>
          </w:r>
          <w:r>
            <w:instrText xml:space="preserve">PAGEREF _Toc1107164282 \h</w:instrText>
          </w:r>
          <w:r>
            <w:fldChar w:fldCharType="separate"/>
          </w:r>
          <w:r w:rsidRPr="7AD6DA35" w:rsidR="7AD6DA35">
            <w:rPr>
              <w:rStyle w:val="Hyperlink"/>
            </w:rPr>
            <w:t>32</w:t>
          </w:r>
          <w:r>
            <w:fldChar w:fldCharType="end"/>
          </w:r>
          <w:r>
            <w:fldChar w:fldCharType="end"/>
          </w:r>
        </w:p>
        <w:p w:rsidR="7AD6DA35" w:rsidP="7AD6DA35" w:rsidRDefault="7AD6DA35" w14:paraId="5D430173" w14:textId="00658302">
          <w:pPr>
            <w:pStyle w:val="TOC1"/>
            <w:tabs>
              <w:tab w:val="right" w:leader="dot" w:pos="9360"/>
            </w:tabs>
            <w:bidi w:val="0"/>
          </w:pPr>
          <w:r>
            <w:fldChar w:fldCharType="begin"/>
          </w:r>
          <w:r>
            <w:instrText xml:space="preserve">HYPERLINK  \l  "_Toc459717336" </w:instrText>
          </w:r>
          <w:r>
            <w:fldChar w:fldCharType="separate"/>
          </w:r>
          <w:r w:rsidRPr="7AD6DA35" w:rsidR="7AD6DA35">
            <w:rPr>
              <w:rStyle w:val="Hyperlink"/>
            </w:rPr>
            <w:t>Comparison with the Literature Review</w:t>
          </w:r>
          <w:r>
            <w:tab/>
          </w:r>
          <w:r>
            <w:fldChar w:fldCharType="begin"/>
          </w:r>
          <w:r>
            <w:instrText xml:space="preserve">PAGEREF _Toc459717336 \h</w:instrText>
          </w:r>
          <w:r>
            <w:fldChar w:fldCharType="separate"/>
          </w:r>
          <w:r w:rsidRPr="7AD6DA35" w:rsidR="7AD6DA35">
            <w:rPr>
              <w:rStyle w:val="Hyperlink"/>
            </w:rPr>
            <w:t>33</w:t>
          </w:r>
          <w:r>
            <w:fldChar w:fldCharType="end"/>
          </w:r>
          <w:r>
            <w:fldChar w:fldCharType="end"/>
          </w:r>
        </w:p>
        <w:p w:rsidR="7AD6DA35" w:rsidP="7AD6DA35" w:rsidRDefault="7AD6DA35" w14:paraId="306CEACB" w14:textId="317C91B0">
          <w:pPr>
            <w:pStyle w:val="TOC1"/>
            <w:tabs>
              <w:tab w:val="right" w:leader="dot" w:pos="9360"/>
            </w:tabs>
            <w:bidi w:val="0"/>
          </w:pPr>
          <w:r>
            <w:fldChar w:fldCharType="begin"/>
          </w:r>
          <w:r>
            <w:instrText xml:space="preserve">HYPERLINK  \l  "_Toc1258889949" </w:instrText>
          </w:r>
          <w:r>
            <w:fldChar w:fldCharType="separate"/>
          </w:r>
          <w:r w:rsidRPr="7AD6DA35" w:rsidR="7AD6DA35">
            <w:rPr>
              <w:rStyle w:val="Hyperlink"/>
            </w:rPr>
            <w:t>Implications of the Findings</w:t>
          </w:r>
          <w:r>
            <w:tab/>
          </w:r>
          <w:r>
            <w:fldChar w:fldCharType="begin"/>
          </w:r>
          <w:r>
            <w:instrText xml:space="preserve">PAGEREF _Toc1258889949 \h</w:instrText>
          </w:r>
          <w:r>
            <w:fldChar w:fldCharType="separate"/>
          </w:r>
          <w:r w:rsidRPr="7AD6DA35" w:rsidR="7AD6DA35">
            <w:rPr>
              <w:rStyle w:val="Hyperlink"/>
            </w:rPr>
            <w:t>34</w:t>
          </w:r>
          <w:r>
            <w:fldChar w:fldCharType="end"/>
          </w:r>
          <w:r>
            <w:fldChar w:fldCharType="end"/>
          </w:r>
        </w:p>
        <w:p w:rsidR="7AD6DA35" w:rsidP="7AD6DA35" w:rsidRDefault="7AD6DA35" w14:paraId="472E02A5" w14:textId="367F77CA">
          <w:pPr>
            <w:pStyle w:val="TOC2"/>
            <w:tabs>
              <w:tab w:val="right" w:leader="dot" w:pos="9360"/>
            </w:tabs>
            <w:bidi w:val="0"/>
          </w:pPr>
          <w:r>
            <w:fldChar w:fldCharType="begin"/>
          </w:r>
          <w:r>
            <w:instrText xml:space="preserve">HYPERLINK  \l  "_Toc2024850462" </w:instrText>
          </w:r>
          <w:r>
            <w:fldChar w:fldCharType="separate"/>
          </w:r>
          <w:r w:rsidRPr="7AD6DA35" w:rsidR="7AD6DA35">
            <w:rPr>
              <w:rStyle w:val="Hyperlink"/>
            </w:rPr>
            <w:t>Organisational Implications</w:t>
          </w:r>
          <w:r>
            <w:tab/>
          </w:r>
          <w:r>
            <w:fldChar w:fldCharType="begin"/>
          </w:r>
          <w:r>
            <w:instrText xml:space="preserve">PAGEREF _Toc2024850462 \h</w:instrText>
          </w:r>
          <w:r>
            <w:fldChar w:fldCharType="separate"/>
          </w:r>
          <w:r w:rsidRPr="7AD6DA35" w:rsidR="7AD6DA35">
            <w:rPr>
              <w:rStyle w:val="Hyperlink"/>
            </w:rPr>
            <w:t>34</w:t>
          </w:r>
          <w:r>
            <w:fldChar w:fldCharType="end"/>
          </w:r>
          <w:r>
            <w:fldChar w:fldCharType="end"/>
          </w:r>
        </w:p>
        <w:p w:rsidR="7AD6DA35" w:rsidP="7AD6DA35" w:rsidRDefault="7AD6DA35" w14:paraId="6F083FAC" w14:textId="6751E43A">
          <w:pPr>
            <w:pStyle w:val="TOC2"/>
            <w:tabs>
              <w:tab w:val="right" w:leader="dot" w:pos="9360"/>
            </w:tabs>
            <w:bidi w:val="0"/>
          </w:pPr>
          <w:r>
            <w:fldChar w:fldCharType="begin"/>
          </w:r>
          <w:r>
            <w:instrText xml:space="preserve">HYPERLINK  \l  "_Toc983272823" </w:instrText>
          </w:r>
          <w:r>
            <w:fldChar w:fldCharType="separate"/>
          </w:r>
          <w:r w:rsidRPr="7AD6DA35" w:rsidR="7AD6DA35">
            <w:rPr>
              <w:rStyle w:val="Hyperlink"/>
            </w:rPr>
            <w:t>Management Implications</w:t>
          </w:r>
          <w:r>
            <w:tab/>
          </w:r>
          <w:r>
            <w:fldChar w:fldCharType="begin"/>
          </w:r>
          <w:r>
            <w:instrText xml:space="preserve">PAGEREF _Toc983272823 \h</w:instrText>
          </w:r>
          <w:r>
            <w:fldChar w:fldCharType="separate"/>
          </w:r>
          <w:r w:rsidRPr="7AD6DA35" w:rsidR="7AD6DA35">
            <w:rPr>
              <w:rStyle w:val="Hyperlink"/>
            </w:rPr>
            <w:t>34</w:t>
          </w:r>
          <w:r>
            <w:fldChar w:fldCharType="end"/>
          </w:r>
          <w:r>
            <w:fldChar w:fldCharType="end"/>
          </w:r>
        </w:p>
        <w:p w:rsidR="7AD6DA35" w:rsidP="7AD6DA35" w:rsidRDefault="7AD6DA35" w14:paraId="7787712E" w14:textId="7DF7E6FB">
          <w:pPr>
            <w:pStyle w:val="TOC2"/>
            <w:tabs>
              <w:tab w:val="right" w:leader="dot" w:pos="9360"/>
            </w:tabs>
            <w:bidi w:val="0"/>
          </w:pPr>
          <w:r>
            <w:fldChar w:fldCharType="begin"/>
          </w:r>
          <w:r>
            <w:instrText xml:space="preserve">HYPERLINK  \l  "_Toc1650576945" </w:instrText>
          </w:r>
          <w:r>
            <w:fldChar w:fldCharType="separate"/>
          </w:r>
          <w:r w:rsidRPr="7AD6DA35" w:rsidR="7AD6DA35">
            <w:rPr>
              <w:rStyle w:val="Hyperlink"/>
            </w:rPr>
            <w:t>Governance Implications</w:t>
          </w:r>
          <w:r>
            <w:tab/>
          </w:r>
          <w:r>
            <w:fldChar w:fldCharType="begin"/>
          </w:r>
          <w:r>
            <w:instrText xml:space="preserve">PAGEREF _Toc1650576945 \h</w:instrText>
          </w:r>
          <w:r>
            <w:fldChar w:fldCharType="separate"/>
          </w:r>
          <w:r w:rsidRPr="7AD6DA35" w:rsidR="7AD6DA35">
            <w:rPr>
              <w:rStyle w:val="Hyperlink"/>
            </w:rPr>
            <w:t>35</w:t>
          </w:r>
          <w:r>
            <w:fldChar w:fldCharType="end"/>
          </w:r>
          <w:r>
            <w:fldChar w:fldCharType="end"/>
          </w:r>
        </w:p>
        <w:p w:rsidR="7AD6DA35" w:rsidP="7AD6DA35" w:rsidRDefault="7AD6DA35" w14:paraId="12BEA27C" w14:textId="053777CB">
          <w:pPr>
            <w:pStyle w:val="TOC2"/>
            <w:tabs>
              <w:tab w:val="right" w:leader="dot" w:pos="9360"/>
            </w:tabs>
            <w:bidi w:val="0"/>
          </w:pPr>
          <w:r>
            <w:fldChar w:fldCharType="begin"/>
          </w:r>
          <w:r>
            <w:instrText xml:space="preserve">HYPERLINK  \l  "_Toc1436630516" </w:instrText>
          </w:r>
          <w:r>
            <w:fldChar w:fldCharType="separate"/>
          </w:r>
          <w:r w:rsidRPr="7AD6DA35" w:rsidR="7AD6DA35">
            <w:rPr>
              <w:rStyle w:val="Hyperlink"/>
            </w:rPr>
            <w:t>Public Sector Implications</w:t>
          </w:r>
          <w:r>
            <w:tab/>
          </w:r>
          <w:r>
            <w:fldChar w:fldCharType="begin"/>
          </w:r>
          <w:r>
            <w:instrText xml:space="preserve">PAGEREF _Toc1436630516 \h</w:instrText>
          </w:r>
          <w:r>
            <w:fldChar w:fldCharType="separate"/>
          </w:r>
          <w:r w:rsidRPr="7AD6DA35" w:rsidR="7AD6DA35">
            <w:rPr>
              <w:rStyle w:val="Hyperlink"/>
            </w:rPr>
            <w:t>35</w:t>
          </w:r>
          <w:r>
            <w:fldChar w:fldCharType="end"/>
          </w:r>
          <w:r>
            <w:fldChar w:fldCharType="end"/>
          </w:r>
        </w:p>
        <w:p w:rsidR="7AD6DA35" w:rsidP="7AD6DA35" w:rsidRDefault="7AD6DA35" w14:paraId="49471333" w14:textId="09419C82">
          <w:pPr>
            <w:pStyle w:val="TOC2"/>
            <w:tabs>
              <w:tab w:val="right" w:leader="dot" w:pos="9360"/>
            </w:tabs>
            <w:bidi w:val="0"/>
          </w:pPr>
          <w:r>
            <w:fldChar w:fldCharType="begin"/>
          </w:r>
          <w:r>
            <w:instrText xml:space="preserve">HYPERLINK  \l  "_Toc914584447" </w:instrText>
          </w:r>
          <w:r>
            <w:fldChar w:fldCharType="separate"/>
          </w:r>
          <w:r w:rsidRPr="7AD6DA35" w:rsidR="7AD6DA35">
            <w:rPr>
              <w:rStyle w:val="Hyperlink"/>
            </w:rPr>
            <w:t>Future Research Implications</w:t>
          </w:r>
          <w:r>
            <w:tab/>
          </w:r>
          <w:r>
            <w:fldChar w:fldCharType="begin"/>
          </w:r>
          <w:r>
            <w:instrText xml:space="preserve">PAGEREF _Toc914584447 \h</w:instrText>
          </w:r>
          <w:r>
            <w:fldChar w:fldCharType="separate"/>
          </w:r>
          <w:r w:rsidRPr="7AD6DA35" w:rsidR="7AD6DA35">
            <w:rPr>
              <w:rStyle w:val="Hyperlink"/>
            </w:rPr>
            <w:t>35</w:t>
          </w:r>
          <w:r>
            <w:fldChar w:fldCharType="end"/>
          </w:r>
          <w:r>
            <w:fldChar w:fldCharType="end"/>
          </w:r>
        </w:p>
        <w:p w:rsidR="7AD6DA35" w:rsidP="7AD6DA35" w:rsidRDefault="7AD6DA35" w14:paraId="79223BCB" w14:textId="54F8C656">
          <w:pPr>
            <w:pStyle w:val="TOC1"/>
            <w:tabs>
              <w:tab w:val="right" w:leader="dot" w:pos="9360"/>
            </w:tabs>
            <w:bidi w:val="0"/>
          </w:pPr>
          <w:r>
            <w:fldChar w:fldCharType="begin"/>
          </w:r>
          <w:r>
            <w:instrText xml:space="preserve">HYPERLINK  \l  "_Toc12389634" </w:instrText>
          </w:r>
          <w:r>
            <w:fldChar w:fldCharType="separate"/>
          </w:r>
          <w:r w:rsidRPr="7AD6DA35" w:rsidR="7AD6DA35">
            <w:rPr>
              <w:rStyle w:val="Hyperlink"/>
            </w:rPr>
            <w:t>Chapter Summary</w:t>
          </w:r>
          <w:r>
            <w:tab/>
          </w:r>
          <w:r>
            <w:fldChar w:fldCharType="begin"/>
          </w:r>
          <w:r>
            <w:instrText xml:space="preserve">PAGEREF _Toc12389634 \h</w:instrText>
          </w:r>
          <w:r>
            <w:fldChar w:fldCharType="separate"/>
          </w:r>
          <w:r w:rsidRPr="7AD6DA35" w:rsidR="7AD6DA35">
            <w:rPr>
              <w:rStyle w:val="Hyperlink"/>
            </w:rPr>
            <w:t>35</w:t>
          </w:r>
          <w:r>
            <w:fldChar w:fldCharType="end"/>
          </w:r>
          <w:r>
            <w:fldChar w:fldCharType="end"/>
          </w:r>
        </w:p>
        <w:p w:rsidR="7AD6DA35" w:rsidP="7AD6DA35" w:rsidRDefault="7AD6DA35" w14:paraId="4409974F" w14:textId="2E249E63">
          <w:pPr>
            <w:pStyle w:val="TOC1"/>
            <w:tabs>
              <w:tab w:val="right" w:leader="dot" w:pos="9360"/>
            </w:tabs>
            <w:bidi w:val="0"/>
          </w:pPr>
          <w:r>
            <w:fldChar w:fldCharType="begin"/>
          </w:r>
          <w:r>
            <w:instrText xml:space="preserve">HYPERLINK  \l  "_Toc692634960" </w:instrText>
          </w:r>
          <w:r>
            <w:fldChar w:fldCharType="separate"/>
          </w:r>
          <w:r w:rsidRPr="7AD6DA35" w:rsidR="7AD6DA35">
            <w:rPr>
              <w:rStyle w:val="Hyperlink"/>
            </w:rPr>
            <w:t>Chapter 5: Conclusions and Recommendations</w:t>
          </w:r>
          <w:r>
            <w:tab/>
          </w:r>
          <w:r>
            <w:fldChar w:fldCharType="begin"/>
          </w:r>
          <w:r>
            <w:instrText xml:space="preserve">PAGEREF _Toc692634960 \h</w:instrText>
          </w:r>
          <w:r>
            <w:fldChar w:fldCharType="separate"/>
          </w:r>
          <w:r w:rsidRPr="7AD6DA35" w:rsidR="7AD6DA35">
            <w:rPr>
              <w:rStyle w:val="Hyperlink"/>
            </w:rPr>
            <w:t>36</w:t>
          </w:r>
          <w:r>
            <w:fldChar w:fldCharType="end"/>
          </w:r>
          <w:r>
            <w:fldChar w:fldCharType="end"/>
          </w:r>
        </w:p>
        <w:p w:rsidR="7AD6DA35" w:rsidP="7AD6DA35" w:rsidRDefault="7AD6DA35" w14:paraId="59ECCA11" w14:textId="2FBE0C1D">
          <w:pPr>
            <w:pStyle w:val="TOC1"/>
            <w:tabs>
              <w:tab w:val="right" w:leader="dot" w:pos="9360"/>
            </w:tabs>
            <w:bidi w:val="0"/>
          </w:pPr>
          <w:r>
            <w:fldChar w:fldCharType="begin"/>
          </w:r>
          <w:r>
            <w:instrText xml:space="preserve">HYPERLINK  \l  "_Toc1680252823" </w:instrText>
          </w:r>
          <w:r>
            <w:fldChar w:fldCharType="separate"/>
          </w:r>
          <w:r w:rsidRPr="7AD6DA35" w:rsidR="7AD6DA35">
            <w:rPr>
              <w:rStyle w:val="Hyperlink"/>
            </w:rPr>
            <w:t>5.1. Summary of the Study</w:t>
          </w:r>
          <w:r>
            <w:tab/>
          </w:r>
          <w:r>
            <w:fldChar w:fldCharType="begin"/>
          </w:r>
          <w:r>
            <w:instrText xml:space="preserve">PAGEREF _Toc1680252823 \h</w:instrText>
          </w:r>
          <w:r>
            <w:fldChar w:fldCharType="separate"/>
          </w:r>
          <w:r w:rsidRPr="7AD6DA35" w:rsidR="7AD6DA35">
            <w:rPr>
              <w:rStyle w:val="Hyperlink"/>
            </w:rPr>
            <w:t>37</w:t>
          </w:r>
          <w:r>
            <w:fldChar w:fldCharType="end"/>
          </w:r>
          <w:r>
            <w:fldChar w:fldCharType="end"/>
          </w:r>
        </w:p>
        <w:p w:rsidR="7AD6DA35" w:rsidP="7AD6DA35" w:rsidRDefault="7AD6DA35" w14:paraId="0122281B" w14:textId="2455BA0E">
          <w:pPr>
            <w:pStyle w:val="TOC1"/>
            <w:tabs>
              <w:tab w:val="right" w:leader="dot" w:pos="9360"/>
            </w:tabs>
            <w:bidi w:val="0"/>
          </w:pPr>
          <w:r>
            <w:fldChar w:fldCharType="begin"/>
          </w:r>
          <w:r>
            <w:instrText xml:space="preserve">HYPERLINK  \l  "_Toc1718835969" </w:instrText>
          </w:r>
          <w:r>
            <w:fldChar w:fldCharType="separate"/>
          </w:r>
          <w:r w:rsidRPr="7AD6DA35" w:rsidR="7AD6DA35">
            <w:rPr>
              <w:rStyle w:val="Hyperlink"/>
            </w:rPr>
            <w:t>5.1. Conclusions</w:t>
          </w:r>
          <w:r>
            <w:tab/>
          </w:r>
          <w:r>
            <w:fldChar w:fldCharType="begin"/>
          </w:r>
          <w:r>
            <w:instrText xml:space="preserve">PAGEREF _Toc1718835969 \h</w:instrText>
          </w:r>
          <w:r>
            <w:fldChar w:fldCharType="separate"/>
          </w:r>
          <w:r w:rsidRPr="7AD6DA35" w:rsidR="7AD6DA35">
            <w:rPr>
              <w:rStyle w:val="Hyperlink"/>
            </w:rPr>
            <w:t>38</w:t>
          </w:r>
          <w:r>
            <w:fldChar w:fldCharType="end"/>
          </w:r>
          <w:r>
            <w:fldChar w:fldCharType="end"/>
          </w:r>
        </w:p>
        <w:p w:rsidR="7AD6DA35" w:rsidP="7AD6DA35" w:rsidRDefault="7AD6DA35" w14:paraId="31069396" w14:textId="498F6526">
          <w:pPr>
            <w:pStyle w:val="TOC3"/>
            <w:tabs>
              <w:tab w:val="right" w:leader="dot" w:pos="9360"/>
            </w:tabs>
            <w:bidi w:val="0"/>
          </w:pPr>
          <w:r>
            <w:fldChar w:fldCharType="begin"/>
          </w:r>
          <w:r>
            <w:instrText xml:space="preserve">HYPERLINK  \l  "_Toc1610258740" </w:instrText>
          </w:r>
          <w:r>
            <w:fldChar w:fldCharType="separate"/>
          </w:r>
          <w:r w:rsidRPr="7AD6DA35" w:rsidR="7AD6DA35">
            <w:rPr>
              <w:rStyle w:val="Hyperlink"/>
            </w:rPr>
            <w:t>5.2.1. Objective 1: To examine the causes of the Horizon system failures</w:t>
          </w:r>
          <w:r>
            <w:tab/>
          </w:r>
          <w:r>
            <w:fldChar w:fldCharType="begin"/>
          </w:r>
          <w:r>
            <w:instrText xml:space="preserve">PAGEREF _Toc1610258740 \h</w:instrText>
          </w:r>
          <w:r>
            <w:fldChar w:fldCharType="separate"/>
          </w:r>
          <w:r w:rsidRPr="7AD6DA35" w:rsidR="7AD6DA35">
            <w:rPr>
              <w:rStyle w:val="Hyperlink"/>
            </w:rPr>
            <w:t>38</w:t>
          </w:r>
          <w:r>
            <w:fldChar w:fldCharType="end"/>
          </w:r>
          <w:r>
            <w:fldChar w:fldCharType="end"/>
          </w:r>
        </w:p>
        <w:p w:rsidR="7AD6DA35" w:rsidP="7AD6DA35" w:rsidRDefault="7AD6DA35" w14:paraId="04A53EE0" w14:textId="60252075">
          <w:pPr>
            <w:pStyle w:val="TOC3"/>
            <w:tabs>
              <w:tab w:val="right" w:leader="dot" w:pos="9360"/>
            </w:tabs>
            <w:bidi w:val="0"/>
          </w:pPr>
          <w:r>
            <w:fldChar w:fldCharType="begin"/>
          </w:r>
          <w:r>
            <w:instrText xml:space="preserve">HYPERLINK  \l  "_Toc739436577" </w:instrText>
          </w:r>
          <w:r>
            <w:fldChar w:fldCharType="separate"/>
          </w:r>
          <w:r w:rsidRPr="7AD6DA35" w:rsidR="7AD6DA35">
            <w:rPr>
              <w:rStyle w:val="Hyperlink"/>
            </w:rPr>
            <w:t>5.2.2. Objective 2: To analyse the role of organisational governance in the Horizon scandal</w:t>
          </w:r>
          <w:r>
            <w:tab/>
          </w:r>
          <w:r>
            <w:fldChar w:fldCharType="begin"/>
          </w:r>
          <w:r>
            <w:instrText xml:space="preserve">PAGEREF _Toc739436577 \h</w:instrText>
          </w:r>
          <w:r>
            <w:fldChar w:fldCharType="separate"/>
          </w:r>
          <w:r w:rsidRPr="7AD6DA35" w:rsidR="7AD6DA35">
            <w:rPr>
              <w:rStyle w:val="Hyperlink"/>
            </w:rPr>
            <w:t>38</w:t>
          </w:r>
          <w:r>
            <w:fldChar w:fldCharType="end"/>
          </w:r>
          <w:r>
            <w:fldChar w:fldCharType="end"/>
          </w:r>
        </w:p>
        <w:p w:rsidR="7AD6DA35" w:rsidP="7AD6DA35" w:rsidRDefault="7AD6DA35" w14:paraId="47A7E32C" w14:textId="2CC3AE48">
          <w:pPr>
            <w:pStyle w:val="TOC3"/>
            <w:tabs>
              <w:tab w:val="right" w:leader="dot" w:pos="9360"/>
            </w:tabs>
            <w:bidi w:val="0"/>
          </w:pPr>
          <w:r>
            <w:fldChar w:fldCharType="begin"/>
          </w:r>
          <w:r>
            <w:instrText xml:space="preserve">HYPERLINK  \l  "_Toc289458107" </w:instrText>
          </w:r>
          <w:r>
            <w:fldChar w:fldCharType="separate"/>
          </w:r>
          <w:r w:rsidRPr="7AD6DA35" w:rsidR="7AD6DA35">
            <w:rPr>
              <w:rStyle w:val="Hyperlink"/>
            </w:rPr>
            <w:t>5.2.3. Objective 3: To evaluate organisational transition risks associated with digital transformation</w:t>
          </w:r>
          <w:r>
            <w:tab/>
          </w:r>
          <w:r>
            <w:fldChar w:fldCharType="begin"/>
          </w:r>
          <w:r>
            <w:instrText xml:space="preserve">PAGEREF _Toc289458107 \h</w:instrText>
          </w:r>
          <w:r>
            <w:fldChar w:fldCharType="separate"/>
          </w:r>
          <w:r w:rsidRPr="7AD6DA35" w:rsidR="7AD6DA35">
            <w:rPr>
              <w:rStyle w:val="Hyperlink"/>
            </w:rPr>
            <w:t>39</w:t>
          </w:r>
          <w:r>
            <w:fldChar w:fldCharType="end"/>
          </w:r>
          <w:r>
            <w:fldChar w:fldCharType="end"/>
          </w:r>
        </w:p>
        <w:p w:rsidR="7AD6DA35" w:rsidP="7AD6DA35" w:rsidRDefault="7AD6DA35" w14:paraId="6C4B76AC" w14:textId="2466688C">
          <w:pPr>
            <w:pStyle w:val="TOC3"/>
            <w:tabs>
              <w:tab w:val="right" w:leader="dot" w:pos="9360"/>
            </w:tabs>
            <w:bidi w:val="0"/>
          </w:pPr>
          <w:r>
            <w:fldChar w:fldCharType="begin"/>
          </w:r>
          <w:r>
            <w:instrText xml:space="preserve">HYPERLINK  \l  "_Toc637727096" </w:instrText>
          </w:r>
          <w:r>
            <w:fldChar w:fldCharType="separate"/>
          </w:r>
          <w:r w:rsidRPr="7AD6DA35" w:rsidR="7AD6DA35">
            <w:rPr>
              <w:rStyle w:val="Hyperlink"/>
            </w:rPr>
            <w:t>5.3. Overall Conclusion</w:t>
          </w:r>
          <w:r>
            <w:tab/>
          </w:r>
          <w:r>
            <w:fldChar w:fldCharType="begin"/>
          </w:r>
          <w:r>
            <w:instrText xml:space="preserve">PAGEREF _Toc637727096 \h</w:instrText>
          </w:r>
          <w:r>
            <w:fldChar w:fldCharType="separate"/>
          </w:r>
          <w:r w:rsidRPr="7AD6DA35" w:rsidR="7AD6DA35">
            <w:rPr>
              <w:rStyle w:val="Hyperlink"/>
            </w:rPr>
            <w:t>39</w:t>
          </w:r>
          <w:r>
            <w:fldChar w:fldCharType="end"/>
          </w:r>
          <w:r>
            <w:fldChar w:fldCharType="end"/>
          </w:r>
        </w:p>
        <w:p w:rsidR="7AD6DA35" w:rsidP="7AD6DA35" w:rsidRDefault="7AD6DA35" w14:paraId="6BFFBECC" w14:textId="20252D88">
          <w:pPr>
            <w:pStyle w:val="TOC1"/>
            <w:tabs>
              <w:tab w:val="right" w:leader="dot" w:pos="9360"/>
            </w:tabs>
            <w:bidi w:val="0"/>
          </w:pPr>
          <w:r>
            <w:fldChar w:fldCharType="begin"/>
          </w:r>
          <w:r>
            <w:instrText xml:space="preserve">HYPERLINK  \l  "_Toc1931742089" </w:instrText>
          </w:r>
          <w:r>
            <w:fldChar w:fldCharType="separate"/>
          </w:r>
          <w:r w:rsidRPr="7AD6DA35" w:rsidR="7AD6DA35">
            <w:rPr>
              <w:rStyle w:val="Hyperlink"/>
            </w:rPr>
            <w:t>5.4. Recommendations and Action Plan</w:t>
          </w:r>
          <w:r>
            <w:tab/>
          </w:r>
          <w:r>
            <w:fldChar w:fldCharType="begin"/>
          </w:r>
          <w:r>
            <w:instrText xml:space="preserve">PAGEREF _Toc1931742089 \h</w:instrText>
          </w:r>
          <w:r>
            <w:fldChar w:fldCharType="separate"/>
          </w:r>
          <w:r w:rsidRPr="7AD6DA35" w:rsidR="7AD6DA35">
            <w:rPr>
              <w:rStyle w:val="Hyperlink"/>
            </w:rPr>
            <w:t>39</w:t>
          </w:r>
          <w:r>
            <w:fldChar w:fldCharType="end"/>
          </w:r>
          <w:r>
            <w:fldChar w:fldCharType="end"/>
          </w:r>
        </w:p>
        <w:p w:rsidR="7AD6DA35" w:rsidP="7AD6DA35" w:rsidRDefault="7AD6DA35" w14:paraId="5457AD34" w14:textId="4AEAA4BA">
          <w:pPr>
            <w:pStyle w:val="TOC3"/>
            <w:tabs>
              <w:tab w:val="right" w:leader="dot" w:pos="9360"/>
            </w:tabs>
            <w:bidi w:val="0"/>
          </w:pPr>
          <w:r>
            <w:fldChar w:fldCharType="begin"/>
          </w:r>
          <w:r>
            <w:instrText xml:space="preserve">HYPERLINK  \l  "_Toc539397900" </w:instrText>
          </w:r>
          <w:r>
            <w:fldChar w:fldCharType="separate"/>
          </w:r>
          <w:r w:rsidRPr="7AD6DA35" w:rsidR="7AD6DA35">
            <w:rPr>
              <w:rStyle w:val="Hyperlink"/>
            </w:rPr>
            <w:t>Recommendation 1: Strengthen Technology Governance Frameworks</w:t>
          </w:r>
          <w:r>
            <w:tab/>
          </w:r>
          <w:r>
            <w:fldChar w:fldCharType="begin"/>
          </w:r>
          <w:r>
            <w:instrText xml:space="preserve">PAGEREF _Toc539397900 \h</w:instrText>
          </w:r>
          <w:r>
            <w:fldChar w:fldCharType="separate"/>
          </w:r>
          <w:r w:rsidRPr="7AD6DA35" w:rsidR="7AD6DA35">
            <w:rPr>
              <w:rStyle w:val="Hyperlink"/>
            </w:rPr>
            <w:t>39</w:t>
          </w:r>
          <w:r>
            <w:fldChar w:fldCharType="end"/>
          </w:r>
          <w:r>
            <w:fldChar w:fldCharType="end"/>
          </w:r>
        </w:p>
        <w:p w:rsidR="7AD6DA35" w:rsidP="7AD6DA35" w:rsidRDefault="7AD6DA35" w14:paraId="4D369018" w14:textId="035D0D21">
          <w:pPr>
            <w:pStyle w:val="TOC3"/>
            <w:tabs>
              <w:tab w:val="right" w:leader="dot" w:pos="9360"/>
            </w:tabs>
            <w:bidi w:val="0"/>
          </w:pPr>
          <w:r>
            <w:fldChar w:fldCharType="begin"/>
          </w:r>
          <w:r>
            <w:instrText xml:space="preserve">HYPERLINK  \l  "_Toc652226521" </w:instrText>
          </w:r>
          <w:r>
            <w:fldChar w:fldCharType="separate"/>
          </w:r>
          <w:r w:rsidRPr="7AD6DA35" w:rsidR="7AD6DA35">
            <w:rPr>
              <w:rStyle w:val="Hyperlink"/>
            </w:rPr>
            <w:t>Recommendation 2: Enhance Board-Level Accountability</w:t>
          </w:r>
          <w:r>
            <w:tab/>
          </w:r>
          <w:r>
            <w:fldChar w:fldCharType="begin"/>
          </w:r>
          <w:r>
            <w:instrText xml:space="preserve">PAGEREF _Toc652226521 \h</w:instrText>
          </w:r>
          <w:r>
            <w:fldChar w:fldCharType="separate"/>
          </w:r>
          <w:r w:rsidRPr="7AD6DA35" w:rsidR="7AD6DA35">
            <w:rPr>
              <w:rStyle w:val="Hyperlink"/>
            </w:rPr>
            <w:t>40</w:t>
          </w:r>
          <w:r>
            <w:fldChar w:fldCharType="end"/>
          </w:r>
          <w:r>
            <w:fldChar w:fldCharType="end"/>
          </w:r>
        </w:p>
        <w:p w:rsidR="7AD6DA35" w:rsidP="7AD6DA35" w:rsidRDefault="7AD6DA35" w14:paraId="146AAD7C" w14:textId="4A1080AC">
          <w:pPr>
            <w:pStyle w:val="TOC3"/>
            <w:tabs>
              <w:tab w:val="right" w:leader="dot" w:pos="9360"/>
            </w:tabs>
            <w:bidi w:val="0"/>
          </w:pPr>
          <w:r>
            <w:fldChar w:fldCharType="begin"/>
          </w:r>
          <w:r>
            <w:instrText xml:space="preserve">HYPERLINK  \l  "_Toc1934058170" </w:instrText>
          </w:r>
          <w:r>
            <w:fldChar w:fldCharType="separate"/>
          </w:r>
          <w:r w:rsidRPr="7AD6DA35" w:rsidR="7AD6DA35">
            <w:rPr>
              <w:rStyle w:val="Hyperlink"/>
            </w:rPr>
            <w:t>Recommendation 3: Improve Whistleblowing and Escalation Mechanisms</w:t>
          </w:r>
          <w:r>
            <w:tab/>
          </w:r>
          <w:r>
            <w:fldChar w:fldCharType="begin"/>
          </w:r>
          <w:r>
            <w:instrText xml:space="preserve">PAGEREF _Toc1934058170 \h</w:instrText>
          </w:r>
          <w:r>
            <w:fldChar w:fldCharType="separate"/>
          </w:r>
          <w:r w:rsidRPr="7AD6DA35" w:rsidR="7AD6DA35">
            <w:rPr>
              <w:rStyle w:val="Hyperlink"/>
            </w:rPr>
            <w:t>40</w:t>
          </w:r>
          <w:r>
            <w:fldChar w:fldCharType="end"/>
          </w:r>
          <w:r>
            <w:fldChar w:fldCharType="end"/>
          </w:r>
        </w:p>
        <w:p w:rsidR="7AD6DA35" w:rsidP="7AD6DA35" w:rsidRDefault="7AD6DA35" w14:paraId="0DF9FE50" w14:textId="14894E74">
          <w:pPr>
            <w:pStyle w:val="TOC3"/>
            <w:tabs>
              <w:tab w:val="right" w:leader="dot" w:pos="9360"/>
            </w:tabs>
            <w:bidi w:val="0"/>
          </w:pPr>
          <w:r>
            <w:fldChar w:fldCharType="begin"/>
          </w:r>
          <w:r>
            <w:instrText xml:space="preserve">HYPERLINK  \l  "_Toc1193559089" </w:instrText>
          </w:r>
          <w:r>
            <w:fldChar w:fldCharType="separate"/>
          </w:r>
          <w:r w:rsidRPr="7AD6DA35" w:rsidR="7AD6DA35">
            <w:rPr>
              <w:rStyle w:val="Hyperlink"/>
            </w:rPr>
            <w:t>Recommendation 4: Strengthen Risk Management Practices</w:t>
          </w:r>
          <w:r>
            <w:tab/>
          </w:r>
          <w:r>
            <w:fldChar w:fldCharType="begin"/>
          </w:r>
          <w:r>
            <w:instrText xml:space="preserve">PAGEREF _Toc1193559089 \h</w:instrText>
          </w:r>
          <w:r>
            <w:fldChar w:fldCharType="separate"/>
          </w:r>
          <w:r w:rsidRPr="7AD6DA35" w:rsidR="7AD6DA35">
            <w:rPr>
              <w:rStyle w:val="Hyperlink"/>
            </w:rPr>
            <w:t>40</w:t>
          </w:r>
          <w:r>
            <w:fldChar w:fldCharType="end"/>
          </w:r>
          <w:r>
            <w:fldChar w:fldCharType="end"/>
          </w:r>
        </w:p>
        <w:p w:rsidR="7AD6DA35" w:rsidP="7AD6DA35" w:rsidRDefault="7AD6DA35" w14:paraId="420FB711" w14:textId="2C4E8A5B">
          <w:pPr>
            <w:pStyle w:val="TOC3"/>
            <w:tabs>
              <w:tab w:val="right" w:leader="dot" w:pos="9360"/>
            </w:tabs>
            <w:bidi w:val="0"/>
          </w:pPr>
          <w:r>
            <w:fldChar w:fldCharType="begin"/>
          </w:r>
          <w:r>
            <w:instrText xml:space="preserve">HYPERLINK  \l  "_Toc494016784" </w:instrText>
          </w:r>
          <w:r>
            <w:fldChar w:fldCharType="separate"/>
          </w:r>
          <w:r w:rsidRPr="7AD6DA35" w:rsidR="7AD6DA35">
            <w:rPr>
              <w:rStyle w:val="Hyperlink"/>
            </w:rPr>
            <w:t>Recommendation 5: Promote Organisational Transparency and Ethical Leadership</w:t>
          </w:r>
          <w:r>
            <w:tab/>
          </w:r>
          <w:r>
            <w:fldChar w:fldCharType="begin"/>
          </w:r>
          <w:r>
            <w:instrText xml:space="preserve">PAGEREF _Toc494016784 \h</w:instrText>
          </w:r>
          <w:r>
            <w:fldChar w:fldCharType="separate"/>
          </w:r>
          <w:r w:rsidRPr="7AD6DA35" w:rsidR="7AD6DA35">
            <w:rPr>
              <w:rStyle w:val="Hyperlink"/>
            </w:rPr>
            <w:t>41</w:t>
          </w:r>
          <w:r>
            <w:fldChar w:fldCharType="end"/>
          </w:r>
          <w:r>
            <w:fldChar w:fldCharType="end"/>
          </w:r>
        </w:p>
        <w:p w:rsidR="7AD6DA35" w:rsidP="7AD6DA35" w:rsidRDefault="7AD6DA35" w14:paraId="10E71778" w14:textId="34E23D72">
          <w:pPr>
            <w:pStyle w:val="TOC1"/>
            <w:tabs>
              <w:tab w:val="right" w:leader="dot" w:pos="9360"/>
            </w:tabs>
            <w:bidi w:val="0"/>
          </w:pPr>
          <w:r>
            <w:fldChar w:fldCharType="begin"/>
          </w:r>
          <w:r>
            <w:instrText xml:space="preserve">HYPERLINK  \l  "_Toc104232100" </w:instrText>
          </w:r>
          <w:r>
            <w:fldChar w:fldCharType="separate"/>
          </w:r>
          <w:r w:rsidRPr="7AD6DA35" w:rsidR="7AD6DA35">
            <w:rPr>
              <w:rStyle w:val="Hyperlink"/>
            </w:rPr>
            <w:t>Limitations of the Study</w:t>
          </w:r>
          <w:r>
            <w:tab/>
          </w:r>
          <w:r>
            <w:fldChar w:fldCharType="begin"/>
          </w:r>
          <w:r>
            <w:instrText xml:space="preserve">PAGEREF _Toc104232100 \h</w:instrText>
          </w:r>
          <w:r>
            <w:fldChar w:fldCharType="separate"/>
          </w:r>
          <w:r w:rsidRPr="7AD6DA35" w:rsidR="7AD6DA35">
            <w:rPr>
              <w:rStyle w:val="Hyperlink"/>
            </w:rPr>
            <w:t>41</w:t>
          </w:r>
          <w:r>
            <w:fldChar w:fldCharType="end"/>
          </w:r>
          <w:r>
            <w:fldChar w:fldCharType="end"/>
          </w:r>
        </w:p>
        <w:p w:rsidR="7AD6DA35" w:rsidP="7AD6DA35" w:rsidRDefault="7AD6DA35" w14:paraId="0DA6100C" w14:textId="76937CD3">
          <w:pPr>
            <w:pStyle w:val="TOC1"/>
            <w:tabs>
              <w:tab w:val="right" w:leader="dot" w:pos="9360"/>
            </w:tabs>
            <w:bidi w:val="0"/>
          </w:pPr>
          <w:r>
            <w:fldChar w:fldCharType="begin"/>
          </w:r>
          <w:r>
            <w:instrText xml:space="preserve">HYPERLINK  \l  "_Toc1315823457" </w:instrText>
          </w:r>
          <w:r>
            <w:fldChar w:fldCharType="separate"/>
          </w:r>
          <w:r w:rsidRPr="7AD6DA35" w:rsidR="7AD6DA35">
            <w:rPr>
              <w:rStyle w:val="Hyperlink"/>
            </w:rPr>
            <w:t>Future Work</w:t>
          </w:r>
          <w:r>
            <w:tab/>
          </w:r>
          <w:r>
            <w:fldChar w:fldCharType="begin"/>
          </w:r>
          <w:r>
            <w:instrText xml:space="preserve">PAGEREF _Toc1315823457 \h</w:instrText>
          </w:r>
          <w:r>
            <w:fldChar w:fldCharType="separate"/>
          </w:r>
          <w:r w:rsidRPr="7AD6DA35" w:rsidR="7AD6DA35">
            <w:rPr>
              <w:rStyle w:val="Hyperlink"/>
            </w:rPr>
            <w:t>42</w:t>
          </w:r>
          <w:r>
            <w:fldChar w:fldCharType="end"/>
          </w:r>
          <w:r>
            <w:fldChar w:fldCharType="end"/>
          </w:r>
        </w:p>
        <w:p w:rsidR="7AD6DA35" w:rsidP="7AD6DA35" w:rsidRDefault="7AD6DA35" w14:paraId="629CEBFB" w14:textId="58B8D935">
          <w:pPr>
            <w:pStyle w:val="TOC3"/>
            <w:tabs>
              <w:tab w:val="right" w:leader="dot" w:pos="9360"/>
            </w:tabs>
            <w:bidi w:val="0"/>
          </w:pPr>
          <w:r>
            <w:fldChar w:fldCharType="begin"/>
          </w:r>
          <w:r>
            <w:instrText xml:space="preserve">HYPERLINK  \l  "_Toc1006154697" </w:instrText>
          </w:r>
          <w:r>
            <w:fldChar w:fldCharType="separate"/>
          </w:r>
          <w:r w:rsidRPr="7AD6DA35" w:rsidR="7AD6DA35">
            <w:rPr>
              <w:rStyle w:val="Hyperlink"/>
            </w:rPr>
            <w:t>References</w:t>
          </w:r>
          <w:r>
            <w:tab/>
          </w:r>
          <w:r>
            <w:fldChar w:fldCharType="begin"/>
          </w:r>
          <w:r>
            <w:instrText xml:space="preserve">PAGEREF _Toc1006154697 \h</w:instrText>
          </w:r>
          <w:r>
            <w:fldChar w:fldCharType="separate"/>
          </w:r>
          <w:r w:rsidRPr="7AD6DA35" w:rsidR="7AD6DA35">
            <w:rPr>
              <w:rStyle w:val="Hyperlink"/>
            </w:rPr>
            <w:t>42</w:t>
          </w:r>
          <w:r>
            <w:fldChar w:fldCharType="end"/>
          </w:r>
          <w:r>
            <w:fldChar w:fldCharType="end"/>
          </w:r>
        </w:p>
        <w:p w:rsidR="7AD6DA35" w:rsidRDefault="7AD6DA35" w14:paraId="41C38796" w14:textId="31962040">
          <w:r>
            <w:fldChar w:fldCharType="end"/>
          </w:r>
        </w:p>
      </w:sdtContent>
    </w:sdt>
    <w:p w:rsidR="6CDC2F8A" w:rsidP="41AA5D55" w:rsidRDefault="6CDC2F8A" w14:paraId="0384A648" w14:textId="26BF6681">
      <w:pPr>
        <w:pStyle w:val="Heading1"/>
        <w:spacing w:line="300" w:lineRule="auto"/>
        <w:rPr>
          <w:rFonts w:ascii="Arial" w:hAnsi="Arial" w:eastAsia="Arial" w:cs="Arial"/>
          <w:b w:val="1"/>
          <w:bCs w:val="1"/>
          <w:color w:val="auto"/>
          <w:sz w:val="24"/>
          <w:szCs w:val="24"/>
        </w:rPr>
      </w:pPr>
      <w:bookmarkStart w:name="_Toc1475558618" w:id="1748677248"/>
      <w:r w:rsidRPr="7AD6DA35" w:rsidR="3E0C77A9">
        <w:rPr>
          <w:rFonts w:ascii="Arial" w:hAnsi="Arial" w:eastAsia="Arial" w:cs="Arial"/>
          <w:b w:val="1"/>
          <w:bCs w:val="1"/>
          <w:color w:val="auto"/>
          <w:sz w:val="24"/>
          <w:szCs w:val="24"/>
        </w:rPr>
        <w:t>Chapter 1: Introduction</w:t>
      </w:r>
      <w:bookmarkEnd w:id="1748677248"/>
    </w:p>
    <w:p w:rsidR="6CDC2F8A" w:rsidP="41AA5D55" w:rsidRDefault="46912748" w14:paraId="3983811F" w14:textId="619A51B0">
      <w:pPr>
        <w:spacing w:line="300" w:lineRule="auto"/>
      </w:pPr>
      <w:r w:rsidRPr="63AE8152">
        <w:rPr>
          <w:rFonts w:ascii="Arial" w:hAnsi="Arial" w:eastAsia="Arial" w:cs="Arial"/>
          <w:b/>
          <w:bCs/>
        </w:rPr>
        <w:t>A</w:t>
      </w:r>
      <w:r w:rsidRPr="63AE8152" w:rsidR="51B9F8C6">
        <w:rPr>
          <w:rFonts w:ascii="Arial" w:hAnsi="Arial" w:eastAsia="Arial" w:cs="Arial"/>
          <w:b/>
          <w:bCs/>
        </w:rPr>
        <w:t xml:space="preserve">n Analysis of the </w:t>
      </w:r>
      <w:r w:rsidRPr="63AE8152">
        <w:rPr>
          <w:rFonts w:ascii="Arial" w:hAnsi="Arial" w:eastAsia="Arial" w:cs="Arial"/>
          <w:b/>
          <w:bCs/>
        </w:rPr>
        <w:t>Horizon System Failures, Organisational Governance, and Transition Risks: A Case Study of the UK Post Office</w:t>
      </w:r>
    </w:p>
    <w:p w:rsidR="6CDC2F8A" w:rsidP="41AA5D55" w:rsidRDefault="6CDC2F8A" w14:paraId="16903715" w14:textId="14173934">
      <w:pPr>
        <w:pStyle w:val="Heading2"/>
        <w:spacing w:line="300" w:lineRule="auto"/>
        <w:rPr>
          <w:rFonts w:ascii="Arial" w:hAnsi="Arial" w:eastAsia="Arial" w:cs="Arial"/>
          <w:b w:val="1"/>
          <w:bCs w:val="1"/>
          <w:color w:val="auto"/>
          <w:sz w:val="24"/>
          <w:szCs w:val="24"/>
        </w:rPr>
      </w:pPr>
      <w:bookmarkStart w:name="_Toc61055333" w:id="1535817357"/>
      <w:r w:rsidRPr="7AD6DA35" w:rsidR="3E0C77A9">
        <w:rPr>
          <w:rFonts w:ascii="Arial" w:hAnsi="Arial" w:eastAsia="Arial" w:cs="Arial"/>
          <w:b w:val="1"/>
          <w:bCs w:val="1"/>
          <w:color w:val="auto"/>
          <w:sz w:val="24"/>
          <w:szCs w:val="24"/>
        </w:rPr>
        <w:t>Background of the Study</w:t>
      </w:r>
      <w:bookmarkEnd w:id="1535817357"/>
    </w:p>
    <w:p w:rsidR="6CDC2F8A" w:rsidP="41AA5D55" w:rsidRDefault="46912748" w14:paraId="450E3823" w14:textId="7D3E7F62">
      <w:pPr>
        <w:spacing w:line="300" w:lineRule="auto"/>
        <w:rPr>
          <w:rFonts w:ascii="Arial" w:hAnsi="Arial" w:eastAsia="Arial" w:cs="Arial"/>
        </w:rPr>
      </w:pPr>
      <w:r w:rsidRPr="7AD6DA35" w:rsidR="4D3852E9">
        <w:rPr>
          <w:rFonts w:ascii="Arial" w:hAnsi="Arial" w:eastAsia="Arial" w:cs="Arial"/>
        </w:rPr>
        <w:t>This study examines the Horizon IT system used by the UK Post Office and its role in supporting daily operational activities across branch networks. The system is responsible for essential functions such as financial transactions, customer services, accounting processes, and regulatory compliance. As a central operational tool, Horizon plays a critical role in ensuring the efficiency and reliability of Post Office services</w:t>
      </w:r>
      <w:r w:rsidRPr="7AD6DA35" w:rsidR="3C813099">
        <w:rPr>
          <w:rFonts w:ascii="Arial" w:hAnsi="Arial" w:eastAsia="Arial" w:cs="Arial"/>
        </w:rPr>
        <w:t xml:space="preserve"> </w:t>
      </w:r>
      <w:r w:rsidRPr="7AD6DA35" w:rsidR="2C4FB44B">
        <w:rPr>
          <w:rFonts w:ascii="Arial" w:hAnsi="Arial" w:eastAsia="Arial" w:cs="Arial"/>
        </w:rPr>
        <w:t>(Barocas et al.</w:t>
      </w:r>
      <w:r w:rsidRPr="7AD6DA35" w:rsidR="3C08BADE">
        <w:rPr>
          <w:rFonts w:ascii="Arial" w:hAnsi="Arial" w:eastAsia="Arial" w:cs="Arial"/>
        </w:rPr>
        <w:t>2023</w:t>
      </w:r>
      <w:r w:rsidRPr="7AD6DA35" w:rsidR="2C4FB44B">
        <w:rPr>
          <w:rFonts w:ascii="Arial" w:hAnsi="Arial" w:eastAsia="Arial" w:cs="Arial"/>
        </w:rPr>
        <w:t>)</w:t>
      </w:r>
      <w:r w:rsidRPr="7AD6DA35" w:rsidR="6D9F6ADE">
        <w:rPr>
          <w:rFonts w:ascii="Arial" w:hAnsi="Arial" w:eastAsia="Arial" w:cs="Arial"/>
        </w:rPr>
        <w:t>.</w:t>
      </w:r>
    </w:p>
    <w:p w:rsidR="6CDC2F8A" w:rsidP="41AA5D55" w:rsidRDefault="46912748" w14:paraId="01E071A1" w14:textId="37E6008C">
      <w:pPr>
        <w:spacing w:line="300" w:lineRule="auto"/>
        <w:rPr>
          <w:rFonts w:ascii="Arial" w:hAnsi="Arial" w:eastAsia="Arial" w:cs="Arial"/>
        </w:rPr>
      </w:pPr>
      <w:r w:rsidRPr="7AD6DA35" w:rsidR="4D3852E9">
        <w:rPr>
          <w:rFonts w:ascii="Arial" w:hAnsi="Arial" w:eastAsia="Arial" w:cs="Arial"/>
        </w:rPr>
        <w:t xml:space="preserve">However, concerns regarding the system’s reliability and accuracy have been raised over time. Evidence from various sources indicates that the system has produced discrepancies in financial data, which have impacted both the organisation and sub-postmasters. Despite these issues, the Horizon system has remained in use beyond its expected lifecycle. Planned replacement programmes, including the internally developed New Branch IT (NBIT) system, were not successfully implemented, leading to </w:t>
      </w:r>
      <w:r w:rsidRPr="7AD6DA35" w:rsidR="67326245">
        <w:rPr>
          <w:rFonts w:ascii="Arial" w:hAnsi="Arial" w:eastAsia="Arial" w:cs="Arial"/>
        </w:rPr>
        <w:t>continued</w:t>
      </w:r>
      <w:r w:rsidRPr="7AD6DA35" w:rsidR="4D3852E9">
        <w:rPr>
          <w:rFonts w:ascii="Arial" w:hAnsi="Arial" w:eastAsia="Arial" w:cs="Arial"/>
        </w:rPr>
        <w:t xml:space="preserve"> reliance on legacy technology. Subsequent transitions to external suppliers have also experienced delays, further extending the use of Horizon and</w:t>
      </w:r>
      <w:r w:rsidRPr="7AD6DA35" w:rsidR="4D3852E9">
        <w:rPr>
          <w:rFonts w:ascii="Arial" w:hAnsi="Arial" w:eastAsia="Arial" w:cs="Arial"/>
        </w:rPr>
        <w:t xml:space="preserve"> increasing organisational dependence on outdated systems</w:t>
      </w:r>
      <w:r w:rsidRPr="7AD6DA35" w:rsidR="20D17C39">
        <w:rPr>
          <w:rFonts w:ascii="Arial" w:hAnsi="Arial" w:eastAsia="Arial" w:cs="Arial"/>
        </w:rPr>
        <w:t xml:space="preserve"> </w:t>
      </w:r>
      <w:r w:rsidRPr="7AD6DA35" w:rsidR="20D17C39">
        <w:rPr>
          <w:rFonts w:ascii="Arial" w:hAnsi="Arial" w:eastAsia="Arial" w:cs="Arial"/>
        </w:rPr>
        <w:t>(Brennan et al.</w:t>
      </w:r>
      <w:r w:rsidRPr="7AD6DA35" w:rsidR="30A8EEAD">
        <w:rPr>
          <w:rFonts w:ascii="Arial" w:hAnsi="Arial" w:eastAsia="Arial" w:cs="Arial"/>
        </w:rPr>
        <w:t xml:space="preserve"> 2023</w:t>
      </w:r>
      <w:r w:rsidRPr="7AD6DA35" w:rsidR="20D17C39">
        <w:rPr>
          <w:rFonts w:ascii="Arial" w:hAnsi="Arial" w:eastAsia="Arial" w:cs="Arial"/>
        </w:rPr>
        <w:t>)</w:t>
      </w:r>
      <w:r w:rsidRPr="7AD6DA35" w:rsidR="058824F4">
        <w:rPr>
          <w:rFonts w:ascii="Arial" w:hAnsi="Arial" w:eastAsia="Arial" w:cs="Arial"/>
        </w:rPr>
        <w:t>.</w:t>
      </w:r>
    </w:p>
    <w:p w:rsidR="6CDC2F8A" w:rsidP="41AA5D55" w:rsidRDefault="6CDC2F8A" w14:paraId="0F5DB670" w14:textId="04A6CA8C">
      <w:pPr>
        <w:pStyle w:val="Heading2"/>
        <w:spacing w:line="300" w:lineRule="auto"/>
        <w:rPr>
          <w:rFonts w:ascii="Arial" w:hAnsi="Arial" w:eastAsia="Arial" w:cs="Arial"/>
          <w:b w:val="1"/>
          <w:bCs w:val="1"/>
          <w:color w:val="auto"/>
          <w:sz w:val="24"/>
          <w:szCs w:val="24"/>
        </w:rPr>
      </w:pPr>
      <w:bookmarkStart w:name="_Toc99947909" w:id="1938151586"/>
      <w:r w:rsidRPr="7AD6DA35" w:rsidR="3E0C77A9">
        <w:rPr>
          <w:rFonts w:ascii="Arial" w:hAnsi="Arial" w:eastAsia="Arial" w:cs="Arial"/>
          <w:b w:val="1"/>
          <w:bCs w:val="1"/>
          <w:color w:val="auto"/>
          <w:sz w:val="24"/>
          <w:szCs w:val="24"/>
        </w:rPr>
        <w:t>Rationale and Justification for the Study</w:t>
      </w:r>
      <w:bookmarkEnd w:id="1938151586"/>
    </w:p>
    <w:p w:rsidR="6CDC2F8A" w:rsidP="41AA5D55" w:rsidRDefault="46912748" w14:paraId="3FCFF564" w14:textId="0936750B">
      <w:pPr>
        <w:spacing w:line="300" w:lineRule="auto"/>
        <w:rPr>
          <w:rFonts w:ascii="Arial" w:hAnsi="Arial" w:eastAsia="Arial" w:cs="Arial"/>
        </w:rPr>
      </w:pPr>
      <w:r w:rsidRPr="7AD6DA35" w:rsidR="4D3852E9">
        <w:rPr>
          <w:rFonts w:ascii="Arial" w:hAnsi="Arial" w:eastAsia="Arial" w:cs="Arial"/>
        </w:rPr>
        <w:t>This research investigates an important case of IT system failure within a public sector organisation, focusing on the relationship between technology, governance, and risk management. The Horizon case is particularly significant due to its association with one of the most widely recognised miscarriages of justice in modern UK history. System inaccuracies contributed to the wrongful prosecution of sub-postmasters, resulting in serious financial, legal, and personal consequences</w:t>
      </w:r>
      <w:r w:rsidRPr="7AD6DA35" w:rsidR="7E25369B">
        <w:rPr>
          <w:rFonts w:ascii="Arial" w:hAnsi="Arial" w:eastAsia="Arial" w:cs="Arial"/>
        </w:rPr>
        <w:t xml:space="preserve"> </w:t>
      </w:r>
      <w:r w:rsidRPr="7AD6DA35" w:rsidR="7E25369B">
        <w:rPr>
          <w:rFonts w:ascii="Arial" w:hAnsi="Arial" w:eastAsia="Arial" w:cs="Arial"/>
        </w:rPr>
        <w:t>(Brennan et al.</w:t>
      </w:r>
      <w:r w:rsidRPr="7AD6DA35" w:rsidR="6DACBF80">
        <w:rPr>
          <w:rFonts w:ascii="Arial" w:hAnsi="Arial" w:eastAsia="Arial" w:cs="Arial"/>
        </w:rPr>
        <w:t>2023</w:t>
      </w:r>
      <w:r w:rsidRPr="7AD6DA35" w:rsidR="7E25369B">
        <w:rPr>
          <w:rFonts w:ascii="Arial" w:hAnsi="Arial" w:eastAsia="Arial" w:cs="Arial"/>
        </w:rPr>
        <w:t>)</w:t>
      </w:r>
      <w:r w:rsidRPr="7AD6DA35" w:rsidR="1455FF59">
        <w:rPr>
          <w:rFonts w:ascii="Arial" w:hAnsi="Arial" w:eastAsia="Arial" w:cs="Arial"/>
        </w:rPr>
        <w:t>.</w:t>
      </w:r>
    </w:p>
    <w:p w:rsidR="6CDC2F8A" w:rsidP="41AA5D55" w:rsidRDefault="46912748" w14:paraId="34BF90B6" w14:textId="1CF5AFCB">
      <w:pPr>
        <w:spacing w:line="300" w:lineRule="auto"/>
        <w:rPr>
          <w:rFonts w:ascii="Arial" w:hAnsi="Arial" w:eastAsia="Arial" w:cs="Arial"/>
        </w:rPr>
      </w:pPr>
      <w:r w:rsidRPr="7AD6DA35" w:rsidR="4D3852E9">
        <w:rPr>
          <w:rFonts w:ascii="Arial" w:hAnsi="Arial" w:eastAsia="Arial" w:cs="Arial"/>
        </w:rPr>
        <w:t>The study is justified by the need to understand how IT system failures, when combined with weak organisational governance, can lead to long-term and large-scale impacts. Additionally, the research contributes to broader academic discussions surrounding legacy systems, digital transformation, and risk management. By examining this case, the study aims to provide insights that are relevant to both public and private sector organisations facing similar challenges</w:t>
      </w:r>
      <w:r w:rsidRPr="7AD6DA35" w:rsidR="764B0220">
        <w:rPr>
          <w:rFonts w:ascii="Arial" w:hAnsi="Arial" w:eastAsia="Arial" w:cs="Arial"/>
        </w:rPr>
        <w:t xml:space="preserve"> </w:t>
      </w:r>
      <w:r w:rsidRPr="7AD6DA35" w:rsidR="764B0220">
        <w:rPr>
          <w:rFonts w:ascii="Arial" w:hAnsi="Arial" w:eastAsia="Arial" w:cs="Arial"/>
        </w:rPr>
        <w:t>(Lodge et al.</w:t>
      </w:r>
      <w:r w:rsidRPr="7AD6DA35" w:rsidR="67B5970C">
        <w:rPr>
          <w:rFonts w:ascii="Arial" w:hAnsi="Arial" w:eastAsia="Arial" w:cs="Arial"/>
        </w:rPr>
        <w:t xml:space="preserve"> 2025</w:t>
      </w:r>
      <w:r w:rsidRPr="7AD6DA35" w:rsidR="764B0220">
        <w:rPr>
          <w:rFonts w:ascii="Arial" w:hAnsi="Arial" w:eastAsia="Arial" w:cs="Arial"/>
        </w:rPr>
        <w:t>)</w:t>
      </w:r>
      <w:r w:rsidRPr="7AD6DA35" w:rsidR="7F706EEA">
        <w:rPr>
          <w:rFonts w:ascii="Arial" w:hAnsi="Arial" w:eastAsia="Arial" w:cs="Arial"/>
        </w:rPr>
        <w:t>.</w:t>
      </w:r>
    </w:p>
    <w:p w:rsidR="6CDC2F8A" w:rsidP="41AA5D55" w:rsidRDefault="6CDC2F8A" w14:paraId="6D4EEF49" w14:textId="7A764DD1">
      <w:pPr>
        <w:pStyle w:val="Heading2"/>
        <w:spacing w:line="300" w:lineRule="auto"/>
        <w:rPr>
          <w:rFonts w:ascii="Arial" w:hAnsi="Arial" w:eastAsia="Arial" w:cs="Arial"/>
          <w:b w:val="1"/>
          <w:bCs w:val="1"/>
          <w:color w:val="auto"/>
          <w:sz w:val="24"/>
          <w:szCs w:val="24"/>
        </w:rPr>
      </w:pPr>
      <w:bookmarkStart w:name="_Toc793056720" w:id="218719720"/>
      <w:r w:rsidRPr="7AD6DA35" w:rsidR="3E0C77A9">
        <w:rPr>
          <w:rFonts w:ascii="Arial" w:hAnsi="Arial" w:eastAsia="Arial" w:cs="Arial"/>
          <w:b w:val="1"/>
          <w:bCs w:val="1"/>
          <w:color w:val="auto"/>
          <w:sz w:val="24"/>
          <w:szCs w:val="24"/>
        </w:rPr>
        <w:t>Research Problem</w:t>
      </w:r>
      <w:bookmarkEnd w:id="218719720"/>
    </w:p>
    <w:p w:rsidR="6CDC2F8A" w:rsidP="41AA5D55" w:rsidRDefault="46912748" w14:paraId="5AA68C5E" w14:textId="6C166708">
      <w:pPr>
        <w:spacing w:line="300" w:lineRule="auto"/>
        <w:rPr>
          <w:rFonts w:ascii="Arial" w:hAnsi="Arial" w:eastAsia="Arial" w:cs="Arial"/>
        </w:rPr>
      </w:pPr>
      <w:r w:rsidRPr="7AD6DA35" w:rsidR="4D3852E9">
        <w:rPr>
          <w:rFonts w:ascii="Arial" w:hAnsi="Arial" w:eastAsia="Arial" w:cs="Arial"/>
        </w:rPr>
        <w:t>The study investigates the continued use of the Horizon system despite clear evidence of system faults and the existence of plans to replace it. The persistence of the system reflects challenges in governance, decision-making, and the management of technological change</w:t>
      </w:r>
      <w:r w:rsidRPr="7AD6DA35" w:rsidR="63FF0FF7">
        <w:rPr>
          <w:rFonts w:ascii="Arial" w:hAnsi="Arial" w:eastAsia="Arial" w:cs="Arial"/>
        </w:rPr>
        <w:t xml:space="preserve"> (Lodge et al.</w:t>
      </w:r>
      <w:r w:rsidRPr="7AD6DA35" w:rsidR="5D385690">
        <w:rPr>
          <w:rFonts w:ascii="Arial" w:hAnsi="Arial" w:eastAsia="Arial" w:cs="Arial"/>
        </w:rPr>
        <w:t>2025</w:t>
      </w:r>
      <w:r w:rsidRPr="7AD6DA35" w:rsidR="63FF0FF7">
        <w:rPr>
          <w:rFonts w:ascii="Arial" w:hAnsi="Arial" w:eastAsia="Arial" w:cs="Arial"/>
        </w:rPr>
        <w:t>)</w:t>
      </w:r>
      <w:r w:rsidRPr="7AD6DA35" w:rsidR="26DC8279">
        <w:rPr>
          <w:rFonts w:ascii="Arial" w:hAnsi="Arial" w:eastAsia="Arial" w:cs="Arial"/>
        </w:rPr>
        <w:t>.</w:t>
      </w:r>
    </w:p>
    <w:p w:rsidR="6CDC2F8A" w:rsidP="41AA5D55" w:rsidRDefault="46912748" w14:paraId="185B4CC2" w14:textId="56326C1B">
      <w:pPr>
        <w:spacing w:line="300" w:lineRule="auto"/>
        <w:rPr>
          <w:rFonts w:ascii="Arial" w:hAnsi="Arial" w:eastAsia="Arial" w:cs="Arial"/>
        </w:rPr>
      </w:pPr>
      <w:r w:rsidRPr="7AD6DA35" w:rsidR="4D3852E9">
        <w:rPr>
          <w:rFonts w:ascii="Arial" w:hAnsi="Arial" w:eastAsia="Arial" w:cs="Arial"/>
        </w:rPr>
        <w:t>The prolonged reliance on Horizon has created several risks, including financial costs associated with maintaining outdated systems, operational inefficiencies, and significant legal and reputational consequences. Furthermore, delays in implementing replacement systems have increased uncertainty and transition risks. As a result, the organisation remains dependent on a legacy system that may not meet current operational and technological requirements</w:t>
      </w:r>
      <w:r w:rsidRPr="7AD6DA35" w:rsidR="6322494C">
        <w:rPr>
          <w:rFonts w:ascii="Arial" w:hAnsi="Arial" w:eastAsia="Arial" w:cs="Arial"/>
        </w:rPr>
        <w:t xml:space="preserve"> </w:t>
      </w:r>
      <w:r w:rsidRPr="7AD6DA35" w:rsidR="673D7D79">
        <w:rPr>
          <w:rFonts w:ascii="Arial" w:hAnsi="Arial" w:eastAsia="Arial" w:cs="Arial"/>
        </w:rPr>
        <w:t>(Lodge et al.</w:t>
      </w:r>
      <w:r w:rsidRPr="7AD6DA35" w:rsidR="0CFC52A4">
        <w:rPr>
          <w:rFonts w:ascii="Arial" w:hAnsi="Arial" w:eastAsia="Arial" w:cs="Arial"/>
        </w:rPr>
        <w:t>2025</w:t>
      </w:r>
      <w:r w:rsidRPr="7AD6DA35" w:rsidR="673D7D79">
        <w:rPr>
          <w:rFonts w:ascii="Arial" w:hAnsi="Arial" w:eastAsia="Arial" w:cs="Arial"/>
        </w:rPr>
        <w:t>)</w:t>
      </w:r>
      <w:r w:rsidRPr="7AD6DA35" w:rsidR="5D9B3343">
        <w:rPr>
          <w:rFonts w:ascii="Arial" w:hAnsi="Arial" w:eastAsia="Arial" w:cs="Arial"/>
        </w:rPr>
        <w:t>.</w:t>
      </w:r>
    </w:p>
    <w:p w:rsidR="6CDC2F8A" w:rsidP="41AA5D55" w:rsidRDefault="6CDC2F8A" w14:paraId="0EAD0A45" w14:textId="0BCEC32D">
      <w:pPr>
        <w:pStyle w:val="Heading2"/>
        <w:spacing w:line="300" w:lineRule="auto"/>
        <w:rPr>
          <w:rFonts w:ascii="Arial" w:hAnsi="Arial" w:eastAsia="Arial" w:cs="Arial"/>
          <w:b w:val="1"/>
          <w:bCs w:val="1"/>
          <w:color w:val="auto"/>
          <w:sz w:val="24"/>
          <w:szCs w:val="24"/>
        </w:rPr>
      </w:pPr>
      <w:bookmarkStart w:name="_Toc96889703" w:id="236522792"/>
      <w:r w:rsidRPr="7AD6DA35" w:rsidR="3E0C77A9">
        <w:rPr>
          <w:rFonts w:ascii="Arial" w:hAnsi="Arial" w:eastAsia="Arial" w:cs="Arial"/>
          <w:b w:val="1"/>
          <w:bCs w:val="1"/>
          <w:color w:val="auto"/>
          <w:sz w:val="24"/>
          <w:szCs w:val="24"/>
        </w:rPr>
        <w:t>Research Aim</w:t>
      </w:r>
      <w:bookmarkEnd w:id="236522792"/>
    </w:p>
    <w:p w:rsidR="6CDC2F8A" w:rsidP="41AA5D55" w:rsidRDefault="2B63C0F0" w14:paraId="5DFB9E4E" w14:textId="31045D96">
      <w:pPr>
        <w:spacing w:line="300" w:lineRule="auto"/>
      </w:pPr>
      <w:r w:rsidRPr="7AD6DA35" w:rsidR="3C63B369">
        <w:rPr>
          <w:rFonts w:ascii="Arial" w:hAnsi="Arial" w:eastAsia="Arial" w:cs="Arial"/>
        </w:rPr>
        <w:t xml:space="preserve">The aim of this study is to examine the relationship between Horizon system failures, organisational governance, </w:t>
      </w:r>
      <w:r w:rsidRPr="7AD6DA35" w:rsidR="6901DEAE">
        <w:rPr>
          <w:rFonts w:ascii="Arial" w:hAnsi="Arial" w:eastAsia="Arial" w:cs="Arial"/>
        </w:rPr>
        <w:t xml:space="preserve">associated impact </w:t>
      </w:r>
      <w:r w:rsidRPr="7AD6DA35" w:rsidR="33370991">
        <w:rPr>
          <w:rFonts w:ascii="Arial" w:hAnsi="Arial" w:eastAsia="Arial" w:cs="Arial"/>
        </w:rPr>
        <w:t>on</w:t>
      </w:r>
      <w:r w:rsidRPr="7AD6DA35" w:rsidR="6901DEAE">
        <w:rPr>
          <w:rFonts w:ascii="Arial" w:hAnsi="Arial" w:eastAsia="Arial" w:cs="Arial"/>
        </w:rPr>
        <w:t xml:space="preserve"> rel</w:t>
      </w:r>
      <w:r w:rsidRPr="7AD6DA35" w:rsidR="453563AE">
        <w:rPr>
          <w:rFonts w:ascii="Arial" w:hAnsi="Arial" w:eastAsia="Arial" w:cs="Arial"/>
        </w:rPr>
        <w:t xml:space="preserve">evant </w:t>
      </w:r>
      <w:r w:rsidRPr="7AD6DA35" w:rsidR="6901DEAE">
        <w:rPr>
          <w:rFonts w:ascii="Arial" w:hAnsi="Arial" w:eastAsia="Arial" w:cs="Arial"/>
        </w:rPr>
        <w:t>stakeholders, a</w:t>
      </w:r>
      <w:r w:rsidRPr="7AD6DA35" w:rsidR="3C63B369">
        <w:rPr>
          <w:rFonts w:ascii="Arial" w:hAnsi="Arial" w:eastAsia="Arial" w:cs="Arial"/>
        </w:rPr>
        <w:t>nd transition risks within the UK Post Office</w:t>
      </w:r>
      <w:r w:rsidRPr="7AD6DA35" w:rsidR="607A5B46">
        <w:rPr>
          <w:rFonts w:ascii="Arial" w:hAnsi="Arial" w:eastAsia="Arial" w:cs="Arial"/>
        </w:rPr>
        <w:t xml:space="preserve"> </w:t>
      </w:r>
      <w:r w:rsidRPr="7AD6DA35" w:rsidR="607A5B46">
        <w:rPr>
          <w:rFonts w:ascii="Arial" w:hAnsi="Arial" w:eastAsia="Arial" w:cs="Arial"/>
        </w:rPr>
        <w:t>(Christie</w:t>
      </w:r>
      <w:r w:rsidRPr="7AD6DA35" w:rsidR="55C9A89B">
        <w:rPr>
          <w:rFonts w:ascii="Arial" w:hAnsi="Arial" w:eastAsia="Arial" w:cs="Arial"/>
        </w:rPr>
        <w:t xml:space="preserve"> 2020</w:t>
      </w:r>
      <w:r w:rsidRPr="7AD6DA35" w:rsidR="607A5B46">
        <w:rPr>
          <w:rFonts w:ascii="Arial" w:hAnsi="Arial" w:eastAsia="Arial" w:cs="Arial"/>
        </w:rPr>
        <w:t>)</w:t>
      </w:r>
      <w:r w:rsidRPr="7AD6DA35" w:rsidR="6DABDA0B">
        <w:rPr>
          <w:rFonts w:ascii="Arial" w:hAnsi="Arial" w:eastAsia="Arial" w:cs="Arial"/>
        </w:rPr>
        <w:t>.</w:t>
      </w:r>
    </w:p>
    <w:p w:rsidR="6CDC2F8A" w:rsidP="41AA5D55" w:rsidRDefault="6CDC2F8A" w14:paraId="18EADD96" w14:textId="21DF2429">
      <w:pPr>
        <w:pStyle w:val="Heading2"/>
        <w:spacing w:line="300" w:lineRule="auto"/>
        <w:rPr>
          <w:rFonts w:ascii="Arial" w:hAnsi="Arial" w:eastAsia="Arial" w:cs="Arial"/>
          <w:b w:val="1"/>
          <w:bCs w:val="1"/>
          <w:color w:val="auto"/>
          <w:sz w:val="24"/>
          <w:szCs w:val="24"/>
        </w:rPr>
      </w:pPr>
      <w:bookmarkStart w:name="_Toc1568990759" w:id="598677429"/>
      <w:r w:rsidRPr="7AD6DA35" w:rsidR="3E0C77A9">
        <w:rPr>
          <w:rFonts w:ascii="Arial" w:hAnsi="Arial" w:eastAsia="Arial" w:cs="Arial"/>
          <w:b w:val="1"/>
          <w:bCs w:val="1"/>
          <w:color w:val="auto"/>
          <w:sz w:val="24"/>
          <w:szCs w:val="24"/>
        </w:rPr>
        <w:t>Research Objectives</w:t>
      </w:r>
      <w:bookmarkEnd w:id="598677429"/>
    </w:p>
    <w:p w:rsidR="6CDC2F8A" w:rsidP="41AA5D55" w:rsidRDefault="6CDC2F8A" w14:paraId="081FFC7A" w14:textId="3F87594D">
      <w:pPr>
        <w:spacing w:line="300" w:lineRule="auto"/>
        <w:rPr>
          <w:rFonts w:ascii="Arial" w:hAnsi="Arial" w:eastAsia="Arial" w:cs="Arial"/>
        </w:rPr>
      </w:pPr>
      <w:r w:rsidRPr="41AA5D55">
        <w:rPr>
          <w:rFonts w:ascii="Arial" w:hAnsi="Arial" w:eastAsia="Arial" w:cs="Arial"/>
        </w:rPr>
        <w:t>The objectives of this study are as follows:</w:t>
      </w:r>
    </w:p>
    <w:p w:rsidR="6CDC2F8A" w:rsidP="622911A9" w:rsidRDefault="21486612" w14:paraId="671500FE" w14:textId="0FB0A164">
      <w:pPr>
        <w:spacing w:after="0" w:line="300" w:lineRule="auto"/>
        <w:rPr>
          <w:rFonts w:ascii="Arial" w:hAnsi="Arial" w:eastAsia="Arial" w:cs="Arial"/>
        </w:rPr>
      </w:pPr>
      <w:r w:rsidRPr="622911A9">
        <w:rPr>
          <w:rFonts w:ascii="Arial" w:hAnsi="Arial" w:eastAsia="Arial" w:cs="Arial"/>
        </w:rPr>
        <w:t>R</w:t>
      </w:r>
      <w:r w:rsidRPr="622911A9" w:rsidR="77BECB07">
        <w:rPr>
          <w:rFonts w:ascii="Arial" w:hAnsi="Arial" w:eastAsia="Arial" w:cs="Arial"/>
        </w:rPr>
        <w:t>O</w:t>
      </w:r>
      <w:r w:rsidRPr="622911A9">
        <w:rPr>
          <w:rFonts w:ascii="Arial" w:hAnsi="Arial" w:eastAsia="Arial" w:cs="Arial"/>
        </w:rPr>
        <w:t xml:space="preserve">1. </w:t>
      </w:r>
      <w:r w:rsidRPr="622911A9" w:rsidR="2B63C0F0">
        <w:rPr>
          <w:rFonts w:ascii="Arial" w:hAnsi="Arial" w:eastAsia="Arial" w:cs="Arial"/>
        </w:rPr>
        <w:t>To analyse the risks and limitations associated with the Horizon IT system</w:t>
      </w:r>
    </w:p>
    <w:p w:rsidR="6CDC2F8A" w:rsidP="622911A9" w:rsidRDefault="231268B1" w14:paraId="1D65A0DF" w14:textId="72F7C8B3">
      <w:pPr>
        <w:spacing w:after="0" w:line="300" w:lineRule="auto"/>
        <w:rPr>
          <w:rFonts w:ascii="Arial" w:hAnsi="Arial" w:eastAsia="Arial" w:cs="Arial"/>
        </w:rPr>
      </w:pPr>
      <w:r w:rsidRPr="622911A9">
        <w:rPr>
          <w:rFonts w:ascii="Arial" w:hAnsi="Arial" w:eastAsia="Arial" w:cs="Arial"/>
        </w:rPr>
        <w:t>R</w:t>
      </w:r>
      <w:r w:rsidRPr="622911A9" w:rsidR="6A03C01F">
        <w:rPr>
          <w:rFonts w:ascii="Arial" w:hAnsi="Arial" w:eastAsia="Arial" w:cs="Arial"/>
        </w:rPr>
        <w:t>O</w:t>
      </w:r>
      <w:r w:rsidRPr="622911A9">
        <w:rPr>
          <w:rFonts w:ascii="Arial" w:hAnsi="Arial" w:eastAsia="Arial" w:cs="Arial"/>
        </w:rPr>
        <w:t xml:space="preserve">2. </w:t>
      </w:r>
      <w:r w:rsidRPr="622911A9" w:rsidR="2B63C0F0">
        <w:rPr>
          <w:rFonts w:ascii="Arial" w:hAnsi="Arial" w:eastAsia="Arial" w:cs="Arial"/>
        </w:rPr>
        <w:t>To evaluate organisational governance structures and decision-making processes within the Post Office</w:t>
      </w:r>
    </w:p>
    <w:p w:rsidR="6CDC2F8A" w:rsidP="622911A9" w:rsidRDefault="538BAB75" w14:paraId="23885333" w14:textId="35E52BC3">
      <w:pPr>
        <w:spacing w:after="0" w:line="300" w:lineRule="auto"/>
        <w:rPr>
          <w:rFonts w:ascii="Arial" w:hAnsi="Arial" w:eastAsia="Arial" w:cs="Arial"/>
        </w:rPr>
      </w:pPr>
      <w:r w:rsidRPr="622911A9">
        <w:rPr>
          <w:rFonts w:ascii="Arial" w:hAnsi="Arial" w:eastAsia="Arial" w:cs="Arial"/>
        </w:rPr>
        <w:t>R</w:t>
      </w:r>
      <w:r w:rsidRPr="622911A9" w:rsidR="3E50F759">
        <w:rPr>
          <w:rFonts w:ascii="Arial" w:hAnsi="Arial" w:eastAsia="Arial" w:cs="Arial"/>
        </w:rPr>
        <w:t>O</w:t>
      </w:r>
      <w:r w:rsidRPr="622911A9">
        <w:rPr>
          <w:rFonts w:ascii="Arial" w:hAnsi="Arial" w:eastAsia="Arial" w:cs="Arial"/>
        </w:rPr>
        <w:t xml:space="preserve">3. </w:t>
      </w:r>
      <w:r w:rsidRPr="622911A9" w:rsidR="2B63C0F0">
        <w:rPr>
          <w:rFonts w:ascii="Arial" w:hAnsi="Arial" w:eastAsia="Arial" w:cs="Arial"/>
        </w:rPr>
        <w:t>To investigate the challenges involved in transitioning from legacy systems to modern IT solutions</w:t>
      </w:r>
    </w:p>
    <w:p w:rsidR="6CDC2F8A" w:rsidP="622911A9" w:rsidRDefault="0837F953" w14:paraId="69F5C8CB" w14:textId="104DF192">
      <w:pPr>
        <w:spacing w:after="0" w:line="300" w:lineRule="auto"/>
        <w:rPr>
          <w:rFonts w:ascii="Arial" w:hAnsi="Arial" w:eastAsia="Arial" w:cs="Arial"/>
        </w:rPr>
      </w:pPr>
      <w:r w:rsidRPr="622911A9">
        <w:rPr>
          <w:rFonts w:ascii="Arial" w:hAnsi="Arial" w:eastAsia="Arial" w:cs="Arial"/>
        </w:rPr>
        <w:t>R</w:t>
      </w:r>
      <w:r w:rsidRPr="622911A9" w:rsidR="328FD89C">
        <w:rPr>
          <w:rFonts w:ascii="Arial" w:hAnsi="Arial" w:eastAsia="Arial" w:cs="Arial"/>
        </w:rPr>
        <w:t>O</w:t>
      </w:r>
      <w:r w:rsidRPr="622911A9">
        <w:rPr>
          <w:rFonts w:ascii="Arial" w:hAnsi="Arial" w:eastAsia="Arial" w:cs="Arial"/>
        </w:rPr>
        <w:t xml:space="preserve">4. </w:t>
      </w:r>
      <w:r w:rsidRPr="622911A9" w:rsidR="2B63C0F0">
        <w:rPr>
          <w:rFonts w:ascii="Arial" w:hAnsi="Arial" w:eastAsia="Arial" w:cs="Arial"/>
        </w:rPr>
        <w:t xml:space="preserve">To assess the legal, operational, and </w:t>
      </w:r>
      <w:r w:rsidRPr="622911A9" w:rsidR="00B81FE1">
        <w:rPr>
          <w:rFonts w:ascii="Arial" w:hAnsi="Arial" w:eastAsia="Arial" w:cs="Arial"/>
        </w:rPr>
        <w:t xml:space="preserve">system failure of the </w:t>
      </w:r>
      <w:r w:rsidRPr="622911A9" w:rsidR="2B63C0F0">
        <w:rPr>
          <w:rFonts w:ascii="Arial" w:hAnsi="Arial" w:eastAsia="Arial" w:cs="Arial"/>
        </w:rPr>
        <w:t>Horizon scandal</w:t>
      </w:r>
      <w:r w:rsidRPr="622911A9" w:rsidR="717D561F">
        <w:rPr>
          <w:rFonts w:ascii="Arial" w:hAnsi="Arial" w:eastAsia="Arial" w:cs="Arial"/>
        </w:rPr>
        <w:t xml:space="preserve"> and its impact on the relevant stakeholders.</w:t>
      </w:r>
    </w:p>
    <w:p w:rsidR="6CDC2F8A" w:rsidP="41AA5D55" w:rsidRDefault="6CDC2F8A" w14:paraId="5FA32C55" w14:textId="074714AB">
      <w:pPr>
        <w:pStyle w:val="Heading2"/>
        <w:spacing w:line="300" w:lineRule="auto"/>
        <w:rPr>
          <w:rFonts w:ascii="Arial" w:hAnsi="Arial" w:eastAsia="Arial" w:cs="Arial"/>
          <w:b w:val="1"/>
          <w:bCs w:val="1"/>
          <w:color w:val="auto"/>
          <w:sz w:val="24"/>
          <w:szCs w:val="24"/>
        </w:rPr>
      </w:pPr>
      <w:bookmarkStart w:name="_Toc2053717160" w:id="338009182"/>
      <w:r w:rsidRPr="7AD6DA35" w:rsidR="3E0C77A9">
        <w:rPr>
          <w:rFonts w:ascii="Arial" w:hAnsi="Arial" w:eastAsia="Arial" w:cs="Arial"/>
          <w:b w:val="1"/>
          <w:bCs w:val="1"/>
          <w:color w:val="auto"/>
          <w:sz w:val="24"/>
          <w:szCs w:val="24"/>
        </w:rPr>
        <w:t>Research Questions</w:t>
      </w:r>
      <w:bookmarkEnd w:id="338009182"/>
    </w:p>
    <w:p w:rsidR="6CDC2F8A" w:rsidP="41AA5D55" w:rsidRDefault="6CDC2F8A" w14:paraId="1EBC2342" w14:textId="6A6B2FF7">
      <w:pPr>
        <w:spacing w:line="300" w:lineRule="auto"/>
        <w:rPr>
          <w:rFonts w:ascii="Arial" w:hAnsi="Arial" w:eastAsia="Arial" w:cs="Arial"/>
        </w:rPr>
      </w:pPr>
      <w:r w:rsidRPr="41AA5D55">
        <w:rPr>
          <w:rFonts w:ascii="Arial" w:hAnsi="Arial" w:eastAsia="Arial" w:cs="Arial"/>
        </w:rPr>
        <w:t>The study is guided by the following research questions:</w:t>
      </w:r>
    </w:p>
    <w:p w:rsidR="6CDC2F8A" w:rsidP="63AE8152" w:rsidRDefault="2073C97E" w14:paraId="1B7CBB37" w14:textId="5A1FF800">
      <w:pPr>
        <w:spacing w:after="0" w:line="300" w:lineRule="auto"/>
        <w:rPr>
          <w:rFonts w:ascii="Arial" w:hAnsi="Arial" w:eastAsia="Arial" w:cs="Arial"/>
        </w:rPr>
      </w:pPr>
      <w:r w:rsidRPr="63AE8152">
        <w:rPr>
          <w:rFonts w:ascii="Arial" w:hAnsi="Arial" w:eastAsia="Arial" w:cs="Arial"/>
        </w:rPr>
        <w:t>R</w:t>
      </w:r>
      <w:r w:rsidRPr="63AE8152" w:rsidR="6F598A9A">
        <w:rPr>
          <w:rFonts w:ascii="Arial" w:hAnsi="Arial" w:eastAsia="Arial" w:cs="Arial"/>
        </w:rPr>
        <w:t>Q</w:t>
      </w:r>
      <w:r w:rsidRPr="63AE8152">
        <w:rPr>
          <w:rFonts w:ascii="Arial" w:hAnsi="Arial" w:eastAsia="Arial" w:cs="Arial"/>
        </w:rPr>
        <w:t xml:space="preserve">1. </w:t>
      </w:r>
      <w:r w:rsidRPr="63AE8152" w:rsidR="46912748">
        <w:rPr>
          <w:rFonts w:ascii="Arial" w:hAnsi="Arial" w:eastAsia="Arial" w:cs="Arial"/>
        </w:rPr>
        <w:t xml:space="preserve">What </w:t>
      </w:r>
      <w:r w:rsidRPr="63AE8152" w:rsidR="34B07F5D">
        <w:rPr>
          <w:rFonts w:ascii="Arial" w:hAnsi="Arial" w:eastAsia="Arial" w:cs="Arial"/>
        </w:rPr>
        <w:t xml:space="preserve">are the </w:t>
      </w:r>
      <w:r w:rsidRPr="63AE8152" w:rsidR="46912748">
        <w:rPr>
          <w:rFonts w:ascii="Arial" w:hAnsi="Arial" w:eastAsia="Arial" w:cs="Arial"/>
        </w:rPr>
        <w:t>risks</w:t>
      </w:r>
      <w:r w:rsidRPr="63AE8152" w:rsidR="6937243B">
        <w:rPr>
          <w:rFonts w:ascii="Arial" w:hAnsi="Arial" w:eastAsia="Arial" w:cs="Arial"/>
        </w:rPr>
        <w:t xml:space="preserve"> and </w:t>
      </w:r>
      <w:r w:rsidRPr="63AE8152" w:rsidR="0DF0730D">
        <w:rPr>
          <w:rFonts w:ascii="Arial" w:hAnsi="Arial" w:eastAsia="Arial" w:cs="Arial"/>
        </w:rPr>
        <w:t>limitations</w:t>
      </w:r>
      <w:r w:rsidRPr="63AE8152" w:rsidR="6937243B">
        <w:rPr>
          <w:rFonts w:ascii="Arial" w:hAnsi="Arial" w:eastAsia="Arial" w:cs="Arial"/>
        </w:rPr>
        <w:t xml:space="preserve"> </w:t>
      </w:r>
      <w:r w:rsidRPr="63AE8152" w:rsidR="46912748">
        <w:rPr>
          <w:rFonts w:ascii="Arial" w:hAnsi="Arial" w:eastAsia="Arial" w:cs="Arial"/>
        </w:rPr>
        <w:t xml:space="preserve">associated with the Horizon </w:t>
      </w:r>
      <w:r w:rsidRPr="63AE8152" w:rsidR="66654488">
        <w:rPr>
          <w:rFonts w:ascii="Arial" w:hAnsi="Arial" w:eastAsia="Arial" w:cs="Arial"/>
        </w:rPr>
        <w:t xml:space="preserve">IT </w:t>
      </w:r>
      <w:r w:rsidRPr="63AE8152" w:rsidR="46912748">
        <w:rPr>
          <w:rFonts w:ascii="Arial" w:hAnsi="Arial" w:eastAsia="Arial" w:cs="Arial"/>
        </w:rPr>
        <w:t>system?</w:t>
      </w:r>
    </w:p>
    <w:p w:rsidR="6CDC2F8A" w:rsidP="63AE8152" w:rsidRDefault="42A5835E" w14:paraId="343A6078" w14:textId="56D63F49">
      <w:pPr>
        <w:spacing w:after="0" w:line="300" w:lineRule="auto"/>
        <w:rPr>
          <w:rFonts w:ascii="Arial" w:hAnsi="Arial" w:eastAsia="Arial" w:cs="Arial"/>
        </w:rPr>
      </w:pPr>
      <w:r w:rsidRPr="63AE8152">
        <w:rPr>
          <w:rFonts w:ascii="Arial" w:hAnsi="Arial" w:eastAsia="Arial" w:cs="Arial"/>
        </w:rPr>
        <w:t>R</w:t>
      </w:r>
      <w:r w:rsidRPr="63AE8152" w:rsidR="5697EE0B">
        <w:rPr>
          <w:rFonts w:ascii="Arial" w:hAnsi="Arial" w:eastAsia="Arial" w:cs="Arial"/>
        </w:rPr>
        <w:t>Q</w:t>
      </w:r>
      <w:r w:rsidRPr="63AE8152">
        <w:rPr>
          <w:rFonts w:ascii="Arial" w:hAnsi="Arial" w:eastAsia="Arial" w:cs="Arial"/>
        </w:rPr>
        <w:t xml:space="preserve">2. </w:t>
      </w:r>
      <w:r w:rsidRPr="63AE8152" w:rsidR="758E9A8E">
        <w:rPr>
          <w:rFonts w:ascii="Arial" w:hAnsi="Arial" w:eastAsia="Arial" w:cs="Arial"/>
        </w:rPr>
        <w:t xml:space="preserve">What </w:t>
      </w:r>
      <w:r w:rsidRPr="63AE8152" w:rsidR="0D3D8922">
        <w:rPr>
          <w:rFonts w:ascii="Arial" w:hAnsi="Arial" w:eastAsia="Arial" w:cs="Arial"/>
        </w:rPr>
        <w:t>are</w:t>
      </w:r>
      <w:r w:rsidRPr="63AE8152" w:rsidR="758E9A8E">
        <w:rPr>
          <w:rFonts w:ascii="Arial" w:hAnsi="Arial" w:eastAsia="Arial" w:cs="Arial"/>
        </w:rPr>
        <w:t xml:space="preserve"> the </w:t>
      </w:r>
      <w:r w:rsidRPr="63AE8152" w:rsidR="22AA7471">
        <w:rPr>
          <w:rFonts w:ascii="Arial" w:hAnsi="Arial" w:eastAsia="Arial" w:cs="Arial"/>
        </w:rPr>
        <w:t xml:space="preserve">organisational </w:t>
      </w:r>
      <w:r w:rsidRPr="63AE8152" w:rsidR="46912748">
        <w:rPr>
          <w:rFonts w:ascii="Arial" w:hAnsi="Arial" w:eastAsia="Arial" w:cs="Arial"/>
        </w:rPr>
        <w:t xml:space="preserve">governance </w:t>
      </w:r>
      <w:r w:rsidRPr="63AE8152" w:rsidR="443DB5CA">
        <w:rPr>
          <w:rFonts w:ascii="Arial" w:hAnsi="Arial" w:eastAsia="Arial" w:cs="Arial"/>
        </w:rPr>
        <w:t>structures and</w:t>
      </w:r>
      <w:r w:rsidRPr="63AE8152" w:rsidR="7BA6EF3F">
        <w:rPr>
          <w:rFonts w:ascii="Arial" w:hAnsi="Arial" w:eastAsia="Arial" w:cs="Arial"/>
        </w:rPr>
        <w:t xml:space="preserve"> </w:t>
      </w:r>
      <w:r w:rsidRPr="63AE8152" w:rsidR="6A94F04E">
        <w:rPr>
          <w:rFonts w:ascii="Arial" w:hAnsi="Arial" w:eastAsia="Arial" w:cs="Arial"/>
        </w:rPr>
        <w:t>decision</w:t>
      </w:r>
      <w:r w:rsidRPr="63AE8152" w:rsidR="7BA6EF3F">
        <w:rPr>
          <w:rFonts w:ascii="Arial" w:hAnsi="Arial" w:eastAsia="Arial" w:cs="Arial"/>
        </w:rPr>
        <w:t xml:space="preserve">-making processes within the </w:t>
      </w:r>
      <w:r w:rsidRPr="63AE8152" w:rsidR="3732F497">
        <w:rPr>
          <w:rFonts w:ascii="Arial" w:hAnsi="Arial" w:eastAsia="Arial" w:cs="Arial"/>
        </w:rPr>
        <w:t>post office</w:t>
      </w:r>
      <w:r w:rsidRPr="63AE8152" w:rsidR="7BA6EF3F">
        <w:rPr>
          <w:rFonts w:ascii="Arial" w:hAnsi="Arial" w:eastAsia="Arial" w:cs="Arial"/>
        </w:rPr>
        <w:t>.</w:t>
      </w:r>
    </w:p>
    <w:p w:rsidR="6CDC2F8A" w:rsidP="63AE8152" w:rsidRDefault="055D312C" w14:paraId="41DD9D2B" w14:textId="15FF46DD">
      <w:pPr>
        <w:spacing w:after="0" w:line="300" w:lineRule="auto"/>
      </w:pPr>
      <w:r w:rsidRPr="7AD6DA35" w:rsidR="68F6D363">
        <w:rPr>
          <w:rFonts w:ascii="Arial" w:hAnsi="Arial" w:eastAsia="Arial" w:cs="Arial"/>
        </w:rPr>
        <w:t>R</w:t>
      </w:r>
      <w:r w:rsidRPr="7AD6DA35" w:rsidR="47BB90F3">
        <w:rPr>
          <w:rFonts w:ascii="Arial" w:hAnsi="Arial" w:eastAsia="Arial" w:cs="Arial"/>
        </w:rPr>
        <w:t>Q</w:t>
      </w:r>
      <w:r w:rsidRPr="7AD6DA35" w:rsidR="68F6D363">
        <w:rPr>
          <w:rFonts w:ascii="Arial" w:hAnsi="Arial" w:eastAsia="Arial" w:cs="Arial"/>
        </w:rPr>
        <w:t xml:space="preserve">3. </w:t>
      </w:r>
      <w:r w:rsidRPr="7AD6DA35" w:rsidR="4D3852E9">
        <w:rPr>
          <w:rFonts w:ascii="Arial" w:hAnsi="Arial" w:eastAsia="Arial" w:cs="Arial"/>
        </w:rPr>
        <w:t>What</w:t>
      </w:r>
      <w:r w:rsidRPr="7AD6DA35" w:rsidR="73EE1EAF">
        <w:rPr>
          <w:rFonts w:ascii="Arial" w:hAnsi="Arial" w:eastAsia="Arial" w:cs="Arial"/>
        </w:rPr>
        <w:t xml:space="preserve"> are</w:t>
      </w:r>
      <w:r w:rsidRPr="7AD6DA35" w:rsidR="4D3852E9">
        <w:rPr>
          <w:rFonts w:ascii="Arial" w:hAnsi="Arial" w:eastAsia="Arial" w:cs="Arial"/>
        </w:rPr>
        <w:t xml:space="preserve"> </w:t>
      </w:r>
      <w:r w:rsidRPr="7AD6DA35" w:rsidR="7A0C0304">
        <w:rPr>
          <w:rFonts w:ascii="Arial" w:hAnsi="Arial" w:eastAsia="Arial" w:cs="Arial"/>
        </w:rPr>
        <w:t xml:space="preserve">the </w:t>
      </w:r>
      <w:r w:rsidRPr="7AD6DA35" w:rsidR="4D3852E9">
        <w:rPr>
          <w:rFonts w:ascii="Arial" w:hAnsi="Arial" w:eastAsia="Arial" w:cs="Arial"/>
        </w:rPr>
        <w:t xml:space="preserve">challenges </w:t>
      </w:r>
      <w:r w:rsidRPr="7AD6DA35" w:rsidR="3B569F60">
        <w:rPr>
          <w:rFonts w:ascii="Arial" w:hAnsi="Arial" w:eastAsia="Arial" w:cs="Arial"/>
        </w:rPr>
        <w:t xml:space="preserve">involved in </w:t>
      </w:r>
      <w:r w:rsidRPr="7AD6DA35" w:rsidR="13C0C1F9">
        <w:rPr>
          <w:rFonts w:ascii="Arial" w:hAnsi="Arial" w:eastAsia="Arial" w:cs="Arial"/>
        </w:rPr>
        <w:t>transitioning</w:t>
      </w:r>
      <w:r w:rsidRPr="7AD6DA35" w:rsidR="3B569F60">
        <w:rPr>
          <w:rFonts w:ascii="Arial" w:hAnsi="Arial" w:eastAsia="Arial" w:cs="Arial"/>
        </w:rPr>
        <w:t xml:space="preserve"> from </w:t>
      </w:r>
      <w:r w:rsidRPr="7AD6DA35" w:rsidR="4D7A4F13">
        <w:rPr>
          <w:rFonts w:ascii="Arial" w:hAnsi="Arial" w:eastAsia="Arial" w:cs="Arial"/>
        </w:rPr>
        <w:t>legacy</w:t>
      </w:r>
      <w:r w:rsidRPr="7AD6DA35" w:rsidR="3B569F60">
        <w:rPr>
          <w:rFonts w:ascii="Arial" w:hAnsi="Arial" w:eastAsia="Arial" w:cs="Arial"/>
        </w:rPr>
        <w:t xml:space="preserve"> </w:t>
      </w:r>
      <w:r w:rsidRPr="7AD6DA35" w:rsidR="25B6C415">
        <w:rPr>
          <w:rFonts w:ascii="Arial" w:hAnsi="Arial" w:eastAsia="Arial" w:cs="Arial"/>
        </w:rPr>
        <w:t>systems</w:t>
      </w:r>
      <w:r w:rsidRPr="7AD6DA35" w:rsidR="3B569F60">
        <w:rPr>
          <w:rFonts w:ascii="Arial" w:hAnsi="Arial" w:eastAsia="Arial" w:cs="Arial"/>
        </w:rPr>
        <w:t xml:space="preserve"> to a </w:t>
      </w:r>
      <w:r w:rsidRPr="7AD6DA35" w:rsidR="3797D617">
        <w:rPr>
          <w:rFonts w:ascii="Arial" w:hAnsi="Arial" w:eastAsia="Arial" w:cs="Arial"/>
        </w:rPr>
        <w:t xml:space="preserve">modern IT </w:t>
      </w:r>
      <w:r w:rsidRPr="7AD6DA35" w:rsidR="3797D617">
        <w:rPr>
          <w:rFonts w:ascii="Arial" w:hAnsi="Arial" w:eastAsia="Arial" w:cs="Arial"/>
        </w:rPr>
        <w:t>solution.</w:t>
      </w:r>
      <w:r w:rsidRPr="7AD6DA35" w:rsidR="3797D617">
        <w:rPr>
          <w:rFonts w:ascii="Arial" w:hAnsi="Arial" w:eastAsia="Arial" w:cs="Arial"/>
        </w:rPr>
        <w:t xml:space="preserve"> </w:t>
      </w:r>
    </w:p>
    <w:p w:rsidR="6CDC2F8A" w:rsidP="63AE8152" w:rsidRDefault="35E7D585" w14:paraId="38CD2BA0" w14:textId="2865350A">
      <w:pPr>
        <w:spacing w:after="0" w:line="300" w:lineRule="auto"/>
        <w:rPr>
          <w:rFonts w:ascii="Arial" w:hAnsi="Arial" w:eastAsia="Arial" w:cs="Arial"/>
        </w:rPr>
      </w:pPr>
      <w:r w:rsidRPr="7AD6DA35" w:rsidR="4E0351D5">
        <w:rPr>
          <w:rFonts w:ascii="Arial" w:hAnsi="Arial" w:eastAsia="Arial" w:cs="Arial"/>
        </w:rPr>
        <w:t>R</w:t>
      </w:r>
      <w:r w:rsidRPr="7AD6DA35" w:rsidR="160BEBDB">
        <w:rPr>
          <w:rFonts w:ascii="Arial" w:hAnsi="Arial" w:eastAsia="Arial" w:cs="Arial"/>
        </w:rPr>
        <w:t>Q</w:t>
      </w:r>
      <w:r w:rsidRPr="7AD6DA35" w:rsidR="4E0351D5">
        <w:rPr>
          <w:rFonts w:ascii="Arial" w:hAnsi="Arial" w:eastAsia="Arial" w:cs="Arial"/>
        </w:rPr>
        <w:t xml:space="preserve">4. </w:t>
      </w:r>
      <w:r w:rsidRPr="7AD6DA35" w:rsidR="4D3852E9">
        <w:rPr>
          <w:rFonts w:ascii="Arial" w:hAnsi="Arial" w:eastAsia="Arial" w:cs="Arial"/>
        </w:rPr>
        <w:t xml:space="preserve">How </w:t>
      </w:r>
      <w:r w:rsidRPr="7AD6DA35" w:rsidR="50D0CAAE">
        <w:rPr>
          <w:rFonts w:ascii="Arial" w:hAnsi="Arial" w:eastAsia="Arial" w:cs="Arial"/>
        </w:rPr>
        <w:t xml:space="preserve">does the </w:t>
      </w:r>
      <w:r w:rsidRPr="7AD6DA35" w:rsidR="4385C8F2">
        <w:rPr>
          <w:rFonts w:ascii="Arial" w:hAnsi="Arial" w:eastAsia="Arial" w:cs="Arial"/>
        </w:rPr>
        <w:t>legacy operational</w:t>
      </w:r>
      <w:r w:rsidRPr="7AD6DA35" w:rsidR="50D0CAAE">
        <w:rPr>
          <w:rFonts w:ascii="Arial" w:hAnsi="Arial" w:eastAsia="Arial" w:cs="Arial"/>
        </w:rPr>
        <w:t xml:space="preserve"> and system of horizon scandal </w:t>
      </w:r>
      <w:r w:rsidRPr="7AD6DA35" w:rsidR="4E005BD5">
        <w:rPr>
          <w:rFonts w:ascii="Arial" w:hAnsi="Arial" w:eastAsia="Arial" w:cs="Arial"/>
        </w:rPr>
        <w:t>impact</w:t>
      </w:r>
      <w:r w:rsidRPr="7AD6DA35" w:rsidR="4E005BD5">
        <w:rPr>
          <w:rFonts w:ascii="Arial" w:hAnsi="Arial" w:eastAsia="Arial" w:cs="Arial"/>
        </w:rPr>
        <w:t xml:space="preserve"> the relevant </w:t>
      </w:r>
      <w:r w:rsidRPr="7AD6DA35" w:rsidR="4E005BD5">
        <w:rPr>
          <w:rFonts w:ascii="Arial" w:hAnsi="Arial" w:eastAsia="Arial" w:cs="Arial"/>
        </w:rPr>
        <w:t>stakeholders.</w:t>
      </w:r>
      <w:r w:rsidRPr="7AD6DA35" w:rsidR="4E005BD5">
        <w:rPr>
          <w:rFonts w:ascii="Arial" w:hAnsi="Arial" w:eastAsia="Arial" w:cs="Arial"/>
        </w:rPr>
        <w:t xml:space="preserve"> </w:t>
      </w:r>
    </w:p>
    <w:p w:rsidR="6CDC2F8A" w:rsidP="41AA5D55" w:rsidRDefault="6CDC2F8A" w14:paraId="75B76EED" w14:textId="475C5086">
      <w:pPr>
        <w:pStyle w:val="Heading2"/>
        <w:spacing w:line="300" w:lineRule="auto"/>
        <w:rPr>
          <w:rFonts w:ascii="Arial" w:hAnsi="Arial" w:eastAsia="Arial" w:cs="Arial"/>
          <w:b w:val="1"/>
          <w:bCs w:val="1"/>
          <w:color w:val="auto"/>
          <w:sz w:val="24"/>
          <w:szCs w:val="24"/>
        </w:rPr>
      </w:pPr>
      <w:bookmarkStart w:name="_Toc765300685" w:id="1753507306"/>
      <w:r w:rsidRPr="7AD6DA35" w:rsidR="3E0C77A9">
        <w:rPr>
          <w:rFonts w:ascii="Arial" w:hAnsi="Arial" w:eastAsia="Arial" w:cs="Arial"/>
          <w:b w:val="1"/>
          <w:bCs w:val="1"/>
          <w:color w:val="auto"/>
          <w:sz w:val="24"/>
          <w:szCs w:val="24"/>
        </w:rPr>
        <w:t>Deliverables</w:t>
      </w:r>
      <w:bookmarkEnd w:id="1753507306"/>
    </w:p>
    <w:p w:rsidR="6CDC2F8A" w:rsidP="41AA5D55" w:rsidRDefault="46912748" w14:paraId="2EEE9916" w14:textId="2D07E652">
      <w:pPr>
        <w:spacing w:line="300" w:lineRule="auto"/>
        <w:rPr>
          <w:rFonts w:ascii="Arial" w:hAnsi="Arial" w:eastAsia="Arial" w:cs="Arial"/>
        </w:rPr>
      </w:pPr>
      <w:r w:rsidRPr="7AD6DA35" w:rsidR="4D3852E9">
        <w:rPr>
          <w:rFonts w:ascii="Arial" w:hAnsi="Arial" w:eastAsia="Arial" w:cs="Arial"/>
        </w:rPr>
        <w:t xml:space="preserve">This </w:t>
      </w:r>
      <w:r w:rsidRPr="7AD6DA35" w:rsidR="36473CDD">
        <w:rPr>
          <w:rFonts w:ascii="Arial" w:hAnsi="Arial" w:eastAsia="Arial" w:cs="Arial"/>
        </w:rPr>
        <w:t xml:space="preserve">study </w:t>
      </w:r>
      <w:r w:rsidRPr="7AD6DA35" w:rsidR="4D3852E9">
        <w:rPr>
          <w:rFonts w:ascii="Arial" w:hAnsi="Arial" w:eastAsia="Arial" w:cs="Arial"/>
        </w:rPr>
        <w:t>delivers a structured and critical analysis of the Horizon IT system and the associated organisational risks. The research produces an evaluation of governance effectiveness, an assessment of transition risks, and a discussion of the wider impact of system failures</w:t>
      </w:r>
      <w:r w:rsidRPr="7AD6DA35" w:rsidR="5E409B00">
        <w:rPr>
          <w:rFonts w:ascii="Arial" w:hAnsi="Arial" w:eastAsia="Arial" w:cs="Arial"/>
        </w:rPr>
        <w:t xml:space="preserve"> </w:t>
      </w:r>
      <w:r w:rsidRPr="7AD6DA35" w:rsidR="0706CC3D">
        <w:rPr>
          <w:rFonts w:ascii="Arial" w:hAnsi="Arial" w:eastAsia="Arial" w:cs="Arial"/>
        </w:rPr>
        <w:t>(Cooper</w:t>
      </w:r>
      <w:r w:rsidRPr="7AD6DA35" w:rsidR="1DF28FD4">
        <w:rPr>
          <w:rFonts w:ascii="Arial" w:hAnsi="Arial" w:eastAsia="Arial" w:cs="Arial"/>
        </w:rPr>
        <w:t xml:space="preserve"> </w:t>
      </w:r>
      <w:r w:rsidRPr="7AD6DA35" w:rsidR="1BFE184E">
        <w:rPr>
          <w:rFonts w:ascii="Arial" w:hAnsi="Arial" w:eastAsia="Arial" w:cs="Arial"/>
        </w:rPr>
        <w:t>2025</w:t>
      </w:r>
      <w:r w:rsidRPr="7AD6DA35" w:rsidR="0706CC3D">
        <w:rPr>
          <w:rFonts w:ascii="Arial" w:hAnsi="Arial" w:eastAsia="Arial" w:cs="Arial"/>
        </w:rPr>
        <w:t>)</w:t>
      </w:r>
      <w:r w:rsidRPr="7AD6DA35" w:rsidR="1B82A725">
        <w:rPr>
          <w:rFonts w:ascii="Arial" w:hAnsi="Arial" w:eastAsia="Arial" w:cs="Arial"/>
        </w:rPr>
        <w:t>.</w:t>
      </w:r>
    </w:p>
    <w:p w:rsidR="6CDC2F8A" w:rsidP="41AA5D55" w:rsidRDefault="46912748" w14:paraId="0694D33F" w14:textId="0944150F">
      <w:pPr>
        <w:spacing w:line="300" w:lineRule="auto"/>
        <w:rPr>
          <w:rFonts w:ascii="Arial" w:hAnsi="Arial" w:eastAsia="Arial" w:cs="Arial"/>
        </w:rPr>
      </w:pPr>
      <w:r w:rsidRPr="7AD6DA35" w:rsidR="4D3852E9">
        <w:rPr>
          <w:rFonts w:ascii="Arial" w:hAnsi="Arial" w:eastAsia="Arial" w:cs="Arial"/>
        </w:rPr>
        <w:t>In addition, the study provides evidence-based recommendations aimed at improving IT system management and organisational oversight. These deliverables contribute to both academic knowledge and practical understanding of IT governance within complex organisations</w:t>
      </w:r>
      <w:r w:rsidRPr="7AD6DA35" w:rsidR="0C5A1430">
        <w:rPr>
          <w:rFonts w:ascii="Arial" w:hAnsi="Arial" w:eastAsia="Arial" w:cs="Arial"/>
        </w:rPr>
        <w:t xml:space="preserve"> </w:t>
      </w:r>
      <w:r w:rsidRPr="7AD6DA35" w:rsidR="2BDAB538">
        <w:rPr>
          <w:rFonts w:ascii="Arial" w:hAnsi="Arial" w:eastAsia="Arial" w:cs="Arial"/>
        </w:rPr>
        <w:t>(Cooper</w:t>
      </w:r>
      <w:r w:rsidRPr="7AD6DA35" w:rsidR="6F3BBD88">
        <w:rPr>
          <w:rFonts w:ascii="Arial" w:hAnsi="Arial" w:eastAsia="Arial" w:cs="Arial"/>
        </w:rPr>
        <w:t xml:space="preserve"> </w:t>
      </w:r>
      <w:r w:rsidRPr="7AD6DA35" w:rsidR="6A7DBBE5">
        <w:rPr>
          <w:rFonts w:ascii="Arial" w:hAnsi="Arial" w:eastAsia="Arial" w:cs="Arial"/>
        </w:rPr>
        <w:t>2025</w:t>
      </w:r>
      <w:r w:rsidRPr="7AD6DA35" w:rsidR="2BDAB538">
        <w:rPr>
          <w:rFonts w:ascii="Arial" w:hAnsi="Arial" w:eastAsia="Arial" w:cs="Arial"/>
        </w:rPr>
        <w:t>)</w:t>
      </w:r>
      <w:r w:rsidRPr="7AD6DA35" w:rsidR="1786CF27">
        <w:rPr>
          <w:rFonts w:ascii="Arial" w:hAnsi="Arial" w:eastAsia="Arial" w:cs="Arial"/>
        </w:rPr>
        <w:t>.</w:t>
      </w:r>
    </w:p>
    <w:p w:rsidR="6CDC2F8A" w:rsidP="63AE8152" w:rsidRDefault="55E30BD2" w14:paraId="702CC254" w14:textId="60DDAB1F">
      <w:pPr>
        <w:pStyle w:val="Heading2"/>
        <w:spacing w:line="300" w:lineRule="auto"/>
        <w:rPr>
          <w:rFonts w:ascii="Arial" w:hAnsi="Arial" w:eastAsia="Arial" w:cs="Arial"/>
          <w:b w:val="1"/>
          <w:bCs w:val="1"/>
          <w:color w:val="auto"/>
          <w:sz w:val="24"/>
          <w:szCs w:val="24"/>
        </w:rPr>
      </w:pPr>
      <w:bookmarkStart w:name="_Toc630088604" w:id="317659767"/>
      <w:r w:rsidRPr="7AD6DA35" w:rsidR="38E80E62">
        <w:rPr>
          <w:rFonts w:ascii="Arial" w:hAnsi="Arial" w:eastAsia="Arial" w:cs="Arial"/>
          <w:b w:val="1"/>
          <w:bCs w:val="1"/>
          <w:color w:val="auto"/>
          <w:sz w:val="24"/>
          <w:szCs w:val="24"/>
        </w:rPr>
        <w:t xml:space="preserve">Outline of </w:t>
      </w:r>
      <w:r w:rsidRPr="7AD6DA35" w:rsidR="4D3852E9">
        <w:rPr>
          <w:rFonts w:ascii="Arial" w:hAnsi="Arial" w:eastAsia="Arial" w:cs="Arial"/>
          <w:b w:val="1"/>
          <w:bCs w:val="1"/>
          <w:color w:val="auto"/>
          <w:sz w:val="24"/>
          <w:szCs w:val="24"/>
        </w:rPr>
        <w:t>Methodology</w:t>
      </w:r>
      <w:bookmarkEnd w:id="317659767"/>
    </w:p>
    <w:p w:rsidR="6CDC2F8A" w:rsidP="41AA5D55" w:rsidRDefault="46912748" w14:paraId="2771FA08" w14:textId="6BDAEF15">
      <w:pPr>
        <w:spacing w:line="300" w:lineRule="auto"/>
        <w:rPr>
          <w:rFonts w:ascii="Arial" w:hAnsi="Arial" w:eastAsia="Arial" w:cs="Arial"/>
        </w:rPr>
      </w:pPr>
      <w:r w:rsidRPr="7AD6DA35" w:rsidR="4D3852E9">
        <w:rPr>
          <w:rFonts w:ascii="Arial" w:hAnsi="Arial" w:eastAsia="Arial" w:cs="Arial"/>
        </w:rPr>
        <w:t>This study adopts a qualitative secondary research methodology. It investigates existing data and documented evidence from a range of reliable sources, including reports from the Horizon IT Inquiry, government publications, industry reports, and peer-reviewed academic literature</w:t>
      </w:r>
      <w:r w:rsidRPr="7AD6DA35" w:rsidR="190EFF03">
        <w:rPr>
          <w:rFonts w:ascii="Arial" w:hAnsi="Arial" w:eastAsia="Arial" w:cs="Arial"/>
        </w:rPr>
        <w:t xml:space="preserve"> </w:t>
      </w:r>
      <w:r w:rsidRPr="7AD6DA35" w:rsidR="190EFF03">
        <w:rPr>
          <w:rFonts w:ascii="Arial" w:hAnsi="Arial" w:eastAsia="Arial" w:cs="Arial"/>
        </w:rPr>
        <w:t>(Schmeisky</w:t>
      </w:r>
      <w:r w:rsidRPr="7AD6DA35" w:rsidR="1B8B3636">
        <w:rPr>
          <w:rFonts w:ascii="Arial" w:hAnsi="Arial" w:eastAsia="Arial" w:cs="Arial"/>
        </w:rPr>
        <w:t xml:space="preserve"> 2026</w:t>
      </w:r>
      <w:r w:rsidRPr="7AD6DA35" w:rsidR="190EFF03">
        <w:rPr>
          <w:rFonts w:ascii="Arial" w:hAnsi="Arial" w:eastAsia="Arial" w:cs="Arial"/>
        </w:rPr>
        <w:t>)</w:t>
      </w:r>
    </w:p>
    <w:p w:rsidR="6CDC2F8A" w:rsidP="41AA5D55" w:rsidRDefault="46912748" w14:paraId="38089312" w14:textId="12696637">
      <w:pPr>
        <w:spacing w:line="300" w:lineRule="auto"/>
        <w:rPr>
          <w:rFonts w:ascii="Arial" w:hAnsi="Arial" w:eastAsia="Arial" w:cs="Arial"/>
        </w:rPr>
      </w:pPr>
      <w:r w:rsidRPr="7AD6DA35" w:rsidR="4D3852E9">
        <w:rPr>
          <w:rFonts w:ascii="Arial" w:hAnsi="Arial" w:eastAsia="Arial" w:cs="Arial"/>
        </w:rPr>
        <w:t>The research applies a thematic analysis approach to identify key issues related to system failure, governance weaknesses, and transition risks. This method enables the synthesis of information from multiple sources to develop a comprehensive understanding of the research problem. The use of secondary data is appropriate for this study, as the Horizon case has been extensively documented, allowing for in-depth analysis without primary data collection</w:t>
      </w:r>
      <w:r w:rsidRPr="7AD6DA35" w:rsidR="240F35F2">
        <w:rPr>
          <w:rFonts w:ascii="Arial" w:hAnsi="Arial" w:eastAsia="Arial" w:cs="Arial"/>
        </w:rPr>
        <w:t xml:space="preserve"> </w:t>
      </w:r>
      <w:r w:rsidRPr="7AD6DA35" w:rsidR="240F35F2">
        <w:rPr>
          <w:rFonts w:ascii="Arial" w:hAnsi="Arial" w:eastAsia="Arial" w:cs="Arial"/>
        </w:rPr>
        <w:t>(Schmeisky</w:t>
      </w:r>
      <w:r w:rsidRPr="7AD6DA35" w:rsidR="49451B85">
        <w:rPr>
          <w:rFonts w:ascii="Arial" w:hAnsi="Arial" w:eastAsia="Arial" w:cs="Arial"/>
        </w:rPr>
        <w:t xml:space="preserve"> 2026</w:t>
      </w:r>
      <w:r w:rsidRPr="7AD6DA35" w:rsidR="240F35F2">
        <w:rPr>
          <w:rFonts w:ascii="Arial" w:hAnsi="Arial" w:eastAsia="Arial" w:cs="Arial"/>
        </w:rPr>
        <w:t>)</w:t>
      </w:r>
    </w:p>
    <w:p w:rsidR="6CDC2F8A" w:rsidP="41AA5D55" w:rsidRDefault="46912748" w14:paraId="2ABE9AE8" w14:textId="2E86B6AA">
      <w:pPr>
        <w:pStyle w:val="Heading2"/>
        <w:spacing w:line="300" w:lineRule="auto"/>
        <w:rPr>
          <w:rFonts w:ascii="Arial" w:hAnsi="Arial" w:eastAsia="Arial" w:cs="Arial"/>
          <w:b w:val="1"/>
          <w:bCs w:val="1"/>
          <w:color w:val="auto"/>
          <w:sz w:val="24"/>
          <w:szCs w:val="24"/>
        </w:rPr>
      </w:pPr>
      <w:bookmarkStart w:name="_Toc1129928445" w:id="1940659981"/>
      <w:r w:rsidRPr="7AD6DA35" w:rsidR="4D3852E9">
        <w:rPr>
          <w:rFonts w:ascii="Arial" w:hAnsi="Arial" w:eastAsia="Arial" w:cs="Arial"/>
          <w:b w:val="1"/>
          <w:bCs w:val="1"/>
          <w:color w:val="auto"/>
          <w:sz w:val="24"/>
          <w:szCs w:val="24"/>
        </w:rPr>
        <w:t>Significance of the Study</w:t>
      </w:r>
      <w:bookmarkEnd w:id="1940659981"/>
    </w:p>
    <w:p w:rsidR="132D4531" w:rsidP="63AE8152" w:rsidRDefault="132D4531" w14:paraId="10236496" w14:textId="71BAFD75">
      <w:pPr>
        <w:spacing w:before="210" w:after="210" w:line="300" w:lineRule="auto"/>
        <w:rPr>
          <w:rFonts w:ascii="Arial" w:hAnsi="Arial" w:eastAsia="Arial" w:cs="Arial"/>
        </w:rPr>
      </w:pPr>
      <w:r w:rsidRPr="63AE8152">
        <w:rPr>
          <w:rFonts w:ascii="Arial" w:hAnsi="Arial" w:eastAsia="Arial" w:cs="Arial"/>
        </w:rPr>
        <w:t xml:space="preserve">This research is important because it provides valuable insights into the causes and consequences of large-scale IT system failures, organisational governance </w:t>
      </w:r>
      <w:r w:rsidRPr="63AE8152" w:rsidR="5B101926">
        <w:rPr>
          <w:rFonts w:ascii="Arial" w:hAnsi="Arial" w:eastAsia="Arial" w:cs="Arial"/>
        </w:rPr>
        <w:t>weaknesses,</w:t>
      </w:r>
      <w:r w:rsidRPr="63AE8152">
        <w:rPr>
          <w:rFonts w:ascii="Arial" w:hAnsi="Arial" w:eastAsia="Arial" w:cs="Arial"/>
        </w:rPr>
        <w:t xml:space="preserve"> and poorly managed technology transitions within public sector organisations. Using the UK Post Office Horizon scandal as a case study, the findings contribute to a deeper understanding of how technological, managerial, and governance failures can interact to create significant financial, operational, legal, and reputational risks.</w:t>
      </w:r>
    </w:p>
    <w:p w:rsidR="132D4531" w:rsidP="63AE8152" w:rsidRDefault="132D4531" w14:paraId="16589EDB" w14:textId="3C12F180">
      <w:pPr>
        <w:spacing w:before="210" w:after="210" w:line="300" w:lineRule="auto"/>
        <w:rPr>
          <w:rFonts w:ascii="Arial" w:hAnsi="Arial" w:eastAsia="Arial" w:cs="Arial"/>
        </w:rPr>
      </w:pPr>
      <w:r w:rsidRPr="7AD6DA35" w:rsidR="0189A096">
        <w:rPr>
          <w:rFonts w:ascii="Arial" w:hAnsi="Arial" w:eastAsia="Arial" w:cs="Arial"/>
        </w:rPr>
        <w:t xml:space="preserve">The findings will be of </w:t>
      </w:r>
      <w:r w:rsidRPr="7AD6DA35" w:rsidR="1A051F4F">
        <w:rPr>
          <w:rFonts w:ascii="Arial" w:hAnsi="Arial" w:eastAsia="Arial" w:cs="Arial"/>
        </w:rPr>
        <w:t>value</w:t>
      </w:r>
      <w:r w:rsidRPr="7AD6DA35" w:rsidR="0189A096">
        <w:rPr>
          <w:rFonts w:ascii="Arial" w:hAnsi="Arial" w:eastAsia="Arial" w:cs="Arial"/>
        </w:rPr>
        <w:t xml:space="preserve"> to policymakers, public sector leaders, governance professionals, risk </w:t>
      </w:r>
      <w:r w:rsidRPr="7AD6DA35" w:rsidR="0189A096">
        <w:rPr>
          <w:rFonts w:ascii="Arial" w:hAnsi="Arial" w:eastAsia="Arial" w:cs="Arial"/>
        </w:rPr>
        <w:t>managers</w:t>
      </w:r>
      <w:r w:rsidRPr="7AD6DA35" w:rsidR="6F999952">
        <w:rPr>
          <w:rFonts w:ascii="Arial" w:hAnsi="Arial" w:eastAsia="Arial" w:cs="Arial"/>
        </w:rPr>
        <w:t xml:space="preserve"> </w:t>
      </w:r>
      <w:r w:rsidRPr="7AD6DA35" w:rsidR="0189A096">
        <w:rPr>
          <w:rFonts w:ascii="Arial" w:hAnsi="Arial" w:eastAsia="Arial" w:cs="Arial"/>
        </w:rPr>
        <w:t xml:space="preserve">and IT practitioners by highlighting the critical importance of effective oversight, </w:t>
      </w:r>
      <w:r w:rsidRPr="7AD6DA35" w:rsidR="0189A096">
        <w:rPr>
          <w:rFonts w:ascii="Arial" w:hAnsi="Arial" w:eastAsia="Arial" w:cs="Arial"/>
        </w:rPr>
        <w:t>accountability</w:t>
      </w:r>
      <w:r w:rsidRPr="7AD6DA35" w:rsidR="0189A096">
        <w:rPr>
          <w:rFonts w:ascii="Arial" w:hAnsi="Arial" w:eastAsia="Arial" w:cs="Arial"/>
        </w:rPr>
        <w:t xml:space="preserve"> and robust risk management throughout the lifecycle of information systems. The research also offers practical lessons for </w:t>
      </w:r>
      <w:r w:rsidRPr="7AD6DA35" w:rsidR="0189A096">
        <w:rPr>
          <w:rFonts w:ascii="Arial" w:hAnsi="Arial" w:eastAsia="Arial" w:cs="Arial"/>
        </w:rPr>
        <w:t>organisations</w:t>
      </w:r>
      <w:r w:rsidRPr="7AD6DA35" w:rsidR="0189A096">
        <w:rPr>
          <w:rFonts w:ascii="Arial" w:hAnsi="Arial" w:eastAsia="Arial" w:cs="Arial"/>
        </w:rPr>
        <w:t xml:space="preserve"> undertaking digital transformation </w:t>
      </w:r>
      <w:r w:rsidRPr="7AD6DA35" w:rsidR="0189A096">
        <w:rPr>
          <w:rFonts w:ascii="Arial" w:hAnsi="Arial" w:eastAsia="Arial" w:cs="Arial"/>
        </w:rPr>
        <w:t>programmes</w:t>
      </w:r>
      <w:r w:rsidRPr="7AD6DA35" w:rsidR="0189A096">
        <w:rPr>
          <w:rFonts w:ascii="Arial" w:hAnsi="Arial" w:eastAsia="Arial" w:cs="Arial"/>
        </w:rPr>
        <w:t xml:space="preserve">, </w:t>
      </w:r>
      <w:r w:rsidRPr="7AD6DA35" w:rsidR="0189A096">
        <w:rPr>
          <w:rFonts w:ascii="Arial" w:hAnsi="Arial" w:eastAsia="Arial" w:cs="Arial"/>
        </w:rPr>
        <w:t>demonstrating</w:t>
      </w:r>
      <w:r w:rsidRPr="7AD6DA35" w:rsidR="0189A096">
        <w:rPr>
          <w:rFonts w:ascii="Arial" w:hAnsi="Arial" w:eastAsia="Arial" w:cs="Arial"/>
        </w:rPr>
        <w:t xml:space="preserve"> </w:t>
      </w:r>
      <w:r w:rsidRPr="7AD6DA35" w:rsidR="0189A096">
        <w:rPr>
          <w:rFonts w:ascii="Arial" w:hAnsi="Arial" w:eastAsia="Arial" w:cs="Arial"/>
        </w:rPr>
        <w:t>the risks associated with continued reliance on legacy systems and inadequate transition planning.</w:t>
      </w:r>
    </w:p>
    <w:p w:rsidR="132D4531" w:rsidP="63AE8152" w:rsidRDefault="132D4531" w14:paraId="1C0A7C5B" w14:textId="3B8AB86A">
      <w:pPr>
        <w:spacing w:before="210" w:after="210" w:line="300" w:lineRule="auto"/>
        <w:rPr>
          <w:rFonts w:ascii="Arial" w:hAnsi="Arial" w:eastAsia="Arial" w:cs="Arial"/>
        </w:rPr>
      </w:pPr>
      <w:r w:rsidRPr="63AE8152">
        <w:rPr>
          <w:rFonts w:ascii="Arial" w:hAnsi="Arial" w:eastAsia="Arial" w:cs="Arial"/>
        </w:rPr>
        <w:t>Furthermore, the study has important implications for organisational decision-making and public trust. By examining the wrongful prosecution of sub-postmasters, the research highlights the human and ethical consequences of failures in system governance and organisational culture. The findings reinforce the need for transparent, reliable, and accountable technological systems that protect both organisational interests and individual rights.</w:t>
      </w:r>
    </w:p>
    <w:p w:rsidR="132D4531" w:rsidP="63AE8152" w:rsidRDefault="132D4531" w14:paraId="474EBD13" w14:textId="55CC4A6F">
      <w:pPr>
        <w:spacing w:before="210" w:after="210" w:line="300" w:lineRule="auto"/>
        <w:rPr>
          <w:rFonts w:ascii="Arial" w:hAnsi="Arial" w:eastAsia="Arial" w:cs="Arial"/>
        </w:rPr>
      </w:pPr>
      <w:r w:rsidRPr="63AE8152">
        <w:rPr>
          <w:rFonts w:ascii="Arial" w:hAnsi="Arial" w:eastAsia="Arial" w:cs="Arial"/>
        </w:rPr>
        <w:t>Ultimately, this research aims to support the development of stronger governance frameworks, improved technology management practices, and more effective transition strategies. The lessons identified are relevant not only to the UK Post Office but also to other public and private sector organisations seeking to reduce technology-related risks, enhance accountability, and ensure successful digital transformation initiatives.</w:t>
      </w:r>
    </w:p>
    <w:p w:rsidR="6CDC2F8A" w:rsidP="63AE8152" w:rsidRDefault="2B29BB16" w14:paraId="14170E50" w14:textId="14189DA6">
      <w:pPr>
        <w:pStyle w:val="Heading2"/>
        <w:spacing w:line="300" w:lineRule="auto"/>
        <w:rPr>
          <w:rFonts w:ascii="Arial" w:hAnsi="Arial" w:eastAsia="Arial" w:cs="Arial"/>
          <w:b w:val="1"/>
          <w:bCs w:val="1"/>
          <w:color w:val="auto"/>
          <w:sz w:val="24"/>
          <w:szCs w:val="24"/>
        </w:rPr>
      </w:pPr>
      <w:bookmarkStart w:name="_Toc856236946" w:id="1252141461"/>
      <w:r w:rsidRPr="7AD6DA35" w:rsidR="3A22AD74">
        <w:rPr>
          <w:rFonts w:ascii="Arial" w:hAnsi="Arial" w:eastAsia="Arial" w:cs="Arial"/>
          <w:b w:val="1"/>
          <w:bCs w:val="1"/>
          <w:color w:val="auto"/>
          <w:sz w:val="24"/>
          <w:szCs w:val="24"/>
        </w:rPr>
        <w:t xml:space="preserve">Dissertation </w:t>
      </w:r>
      <w:r w:rsidRPr="7AD6DA35" w:rsidR="4D3852E9">
        <w:rPr>
          <w:rFonts w:ascii="Arial" w:hAnsi="Arial" w:eastAsia="Arial" w:cs="Arial"/>
          <w:b w:val="1"/>
          <w:bCs w:val="1"/>
          <w:color w:val="auto"/>
          <w:sz w:val="24"/>
          <w:szCs w:val="24"/>
        </w:rPr>
        <w:t>Structure</w:t>
      </w:r>
      <w:bookmarkEnd w:id="1252141461"/>
    </w:p>
    <w:p w:rsidR="622911A9" w:rsidP="7AD6DA35" w:rsidRDefault="622911A9" w14:paraId="0E4C549F" w14:textId="32F280EF">
      <w:pPr>
        <w:spacing w:before="281" w:after="281" w:line="300" w:lineRule="auto"/>
      </w:pPr>
      <w:r w:rsidRPr="7AD6DA35" w:rsidR="3C63B369">
        <w:rPr>
          <w:rFonts w:ascii="Arial" w:hAnsi="Arial" w:eastAsia="Arial" w:cs="Arial"/>
        </w:rPr>
        <w:t>Th</w:t>
      </w:r>
      <w:r w:rsidRPr="7AD6DA35" w:rsidR="65ABE055">
        <w:rPr>
          <w:rFonts w:ascii="Arial" w:hAnsi="Arial" w:eastAsia="Arial" w:cs="Arial"/>
        </w:rPr>
        <w:t xml:space="preserve">is is the </w:t>
      </w:r>
      <w:r w:rsidRPr="7AD6DA35" w:rsidR="3C63B369">
        <w:rPr>
          <w:rFonts w:ascii="Arial" w:hAnsi="Arial" w:eastAsia="Arial" w:cs="Arial"/>
        </w:rPr>
        <w:t xml:space="preserve">structure into </w:t>
      </w:r>
      <w:r w:rsidRPr="7AD6DA35" w:rsidR="1B81DA82">
        <w:rPr>
          <w:rFonts w:ascii="Arial" w:hAnsi="Arial" w:eastAsia="Arial" w:cs="Arial"/>
        </w:rPr>
        <w:t>six</w:t>
      </w:r>
      <w:r w:rsidRPr="7AD6DA35" w:rsidR="3C63B369">
        <w:rPr>
          <w:rFonts w:ascii="Arial" w:hAnsi="Arial" w:eastAsia="Arial" w:cs="Arial"/>
        </w:rPr>
        <w:t xml:space="preserve"> chapters</w:t>
      </w:r>
      <w:r w:rsidRPr="7AD6DA35" w:rsidR="11537A1E">
        <w:rPr>
          <w:rFonts w:ascii="Arial" w:hAnsi="Arial" w:eastAsia="Arial" w:cs="Arial"/>
        </w:rPr>
        <w:t xml:space="preserve"> of my research</w:t>
      </w:r>
      <w:r w:rsidRPr="7AD6DA35" w:rsidR="3C63B369">
        <w:rPr>
          <w:rFonts w:ascii="Arial" w:hAnsi="Arial" w:eastAsia="Arial" w:cs="Arial"/>
        </w:rPr>
        <w:t xml:space="preserve">. Chapter 1 introduces the research topic, outlining the background, research problem, aims, and </w:t>
      </w:r>
      <w:r w:rsidRPr="7AD6DA35" w:rsidR="3C63B369">
        <w:rPr>
          <w:rFonts w:ascii="Arial" w:hAnsi="Arial" w:eastAsia="Arial" w:cs="Arial"/>
        </w:rPr>
        <w:t>methodology</w:t>
      </w:r>
      <w:r w:rsidRPr="7AD6DA35" w:rsidR="3C63B369">
        <w:rPr>
          <w:rFonts w:ascii="Arial" w:hAnsi="Arial" w:eastAsia="Arial" w:cs="Arial"/>
        </w:rPr>
        <w:t xml:space="preserve">. Chapter 2 presents a review of relevant literature on IT system failures, </w:t>
      </w:r>
      <w:r w:rsidRPr="7AD6DA35" w:rsidR="3C63B369">
        <w:rPr>
          <w:rFonts w:ascii="Arial" w:hAnsi="Arial" w:eastAsia="Arial" w:cs="Arial"/>
        </w:rPr>
        <w:t>organisational</w:t>
      </w:r>
      <w:r w:rsidRPr="7AD6DA35" w:rsidR="3C63B369">
        <w:rPr>
          <w:rFonts w:ascii="Arial" w:hAnsi="Arial" w:eastAsia="Arial" w:cs="Arial"/>
        </w:rPr>
        <w:t xml:space="preserve"> governance, and legacy system risks. Chapter 3 explains the research </w:t>
      </w:r>
      <w:r w:rsidRPr="7AD6DA35" w:rsidR="3C63B369">
        <w:rPr>
          <w:rFonts w:ascii="Arial" w:hAnsi="Arial" w:eastAsia="Arial" w:cs="Arial"/>
        </w:rPr>
        <w:t>methodology</w:t>
      </w:r>
      <w:r w:rsidRPr="7AD6DA35" w:rsidR="3C63B369">
        <w:rPr>
          <w:rFonts w:ascii="Arial" w:hAnsi="Arial" w:eastAsia="Arial" w:cs="Arial"/>
        </w:rPr>
        <w:t xml:space="preserve"> and analytical approach in detail. Chapter 4 presents and analyses the findings derived from </w:t>
      </w:r>
      <w:r w:rsidRPr="7AD6DA35" w:rsidR="29E19631">
        <w:rPr>
          <w:rFonts w:ascii="Arial" w:hAnsi="Arial" w:eastAsia="Arial" w:cs="Arial"/>
        </w:rPr>
        <w:t>secondary</w:t>
      </w:r>
      <w:r w:rsidRPr="7AD6DA35" w:rsidR="3C63B369">
        <w:rPr>
          <w:rFonts w:ascii="Arial" w:hAnsi="Arial" w:eastAsia="Arial" w:cs="Arial"/>
        </w:rPr>
        <w:t xml:space="preserve"> data. Chapter 5 discusses the key findings and provides recommendations for improving practice. Finally, Chapter 6 concludes the study by </w:t>
      </w:r>
      <w:r w:rsidRPr="7AD6DA35" w:rsidR="3C63B369">
        <w:rPr>
          <w:rFonts w:ascii="Arial" w:hAnsi="Arial" w:eastAsia="Arial" w:cs="Arial"/>
        </w:rPr>
        <w:t>summarising</w:t>
      </w:r>
      <w:r w:rsidRPr="7AD6DA35" w:rsidR="3C63B369">
        <w:rPr>
          <w:rFonts w:ascii="Arial" w:hAnsi="Arial" w:eastAsia="Arial" w:cs="Arial"/>
        </w:rPr>
        <w:t xml:space="preserve"> the main insights and suggesting areas for future research.</w:t>
      </w:r>
    </w:p>
    <w:p w:rsidR="622911A9" w:rsidP="622911A9" w:rsidRDefault="622911A9" w14:paraId="577891AE" w14:textId="00165AD8"/>
    <w:p w:rsidR="622911A9" w:rsidP="622911A9" w:rsidRDefault="622911A9" w14:paraId="02822A1A" w14:textId="4C11D310"/>
    <w:p w:rsidR="622911A9" w:rsidP="622911A9" w:rsidRDefault="622911A9" w14:paraId="028B9778" w14:textId="7C05981F"/>
    <w:p w:rsidR="7AD6DA35" w:rsidRDefault="7AD6DA35" w14:paraId="29E43378" w14:textId="00A9E413"/>
    <w:p w:rsidR="7AD6DA35" w:rsidRDefault="7AD6DA35" w14:paraId="74705588" w14:textId="6A602071"/>
    <w:p w:rsidR="7AD6DA35" w:rsidRDefault="7AD6DA35" w14:paraId="4A0D2152" w14:textId="19732773"/>
    <w:p w:rsidR="1E1F2571" w:rsidP="63AE8152" w:rsidRDefault="1E1F2571" w14:paraId="393FA92C" w14:textId="77CC8FC0">
      <w:pPr>
        <w:pStyle w:val="Heading1"/>
        <w:spacing w:before="281" w:after="281" w:line="300" w:lineRule="auto"/>
        <w:rPr>
          <w:rFonts w:ascii="Arial" w:hAnsi="Arial" w:eastAsia="Arial" w:cs="Arial"/>
          <w:b w:val="1"/>
          <w:bCs w:val="1"/>
          <w:color w:val="auto"/>
          <w:sz w:val="24"/>
          <w:szCs w:val="24"/>
        </w:rPr>
      </w:pPr>
      <w:bookmarkStart w:name="_Toc1591765566" w:id="1591602860"/>
      <w:r w:rsidRPr="7AD6DA35" w:rsidR="09D311F1">
        <w:rPr>
          <w:rFonts w:ascii="Arial" w:hAnsi="Arial" w:eastAsia="Arial" w:cs="Arial"/>
          <w:b w:val="1"/>
          <w:bCs w:val="1"/>
          <w:color w:val="auto"/>
          <w:sz w:val="24"/>
          <w:szCs w:val="24"/>
        </w:rPr>
        <w:t>Chapter 2: Literature Review</w:t>
      </w:r>
      <w:bookmarkEnd w:id="1591602860"/>
    </w:p>
    <w:p w:rsidR="1E1F2571" w:rsidP="63AE8152" w:rsidRDefault="1E1F2571" w14:paraId="282BB5A1" w14:textId="56DDB14B">
      <w:pPr>
        <w:pStyle w:val="Heading2"/>
        <w:spacing w:before="261" w:after="261" w:line="300" w:lineRule="auto"/>
        <w:rPr>
          <w:rFonts w:ascii="Arial" w:hAnsi="Arial" w:eastAsia="Arial" w:cs="Arial"/>
          <w:b w:val="1"/>
          <w:bCs w:val="1"/>
          <w:color w:val="auto"/>
          <w:sz w:val="24"/>
          <w:szCs w:val="24"/>
        </w:rPr>
      </w:pPr>
      <w:bookmarkStart w:name="_Toc557469550" w:id="748514467"/>
      <w:r w:rsidRPr="7AD6DA35" w:rsidR="18F9016B">
        <w:rPr>
          <w:rFonts w:ascii="Arial" w:hAnsi="Arial" w:eastAsia="Arial" w:cs="Arial"/>
          <w:b w:val="1"/>
          <w:bCs w:val="1"/>
          <w:color w:val="auto"/>
          <w:sz w:val="24"/>
          <w:szCs w:val="24"/>
        </w:rPr>
        <w:t xml:space="preserve">2.1. </w:t>
      </w:r>
      <w:r w:rsidRPr="7AD6DA35" w:rsidR="09D311F1">
        <w:rPr>
          <w:rFonts w:ascii="Arial" w:hAnsi="Arial" w:eastAsia="Arial" w:cs="Arial"/>
          <w:b w:val="1"/>
          <w:bCs w:val="1"/>
          <w:color w:val="auto"/>
          <w:sz w:val="24"/>
          <w:szCs w:val="24"/>
        </w:rPr>
        <w:t>Chapter Overview</w:t>
      </w:r>
      <w:bookmarkEnd w:id="748514467"/>
    </w:p>
    <w:p w:rsidR="1E1F2571" w:rsidP="63AE8152" w:rsidRDefault="1E1F2571" w14:paraId="54CC91A1" w14:textId="79FD3AD4">
      <w:pPr>
        <w:spacing w:before="210" w:after="210" w:line="300" w:lineRule="auto"/>
        <w:rPr>
          <w:rFonts w:ascii="Arial" w:hAnsi="Arial" w:eastAsia="Arial" w:cs="Arial"/>
        </w:rPr>
      </w:pPr>
      <w:r w:rsidRPr="7AD6DA35" w:rsidR="09D311F1">
        <w:rPr>
          <w:rFonts w:ascii="Arial" w:hAnsi="Arial" w:eastAsia="Arial" w:cs="Arial"/>
        </w:rPr>
        <w:t xml:space="preserve">This chapter reviews existing literature relating to the Horizon IT system failures, organisational governance, and transition risks within the UK Post Office. The chapter draws on evidence from academic literature, government reports, the Horizon IT Inquiry, industry publications, and case study research to examine how technological failures, governance weaknesses, and transition management challenges contributed to one of the most significant public sector scandals in modern </w:t>
      </w:r>
      <w:r w:rsidRPr="7AD6DA35" w:rsidR="09D311F1">
        <w:rPr>
          <w:rFonts w:ascii="Arial" w:hAnsi="Arial" w:eastAsia="Arial" w:cs="Arial"/>
        </w:rPr>
        <w:t>UK history</w:t>
      </w:r>
      <w:r w:rsidRPr="7AD6DA35" w:rsidR="14EFBD35">
        <w:rPr>
          <w:rFonts w:ascii="Arial" w:hAnsi="Arial" w:eastAsia="Arial" w:cs="Arial"/>
        </w:rPr>
        <w:t xml:space="preserve"> (</w:t>
      </w:r>
      <w:r w:rsidRPr="7AD6DA35" w:rsidR="14EFBD35">
        <w:rPr>
          <w:rFonts w:ascii="Arial" w:hAnsi="Arial" w:eastAsia="Arial" w:cs="Arial"/>
        </w:rPr>
        <w:t>Shamseer et al. 2026)</w:t>
      </w:r>
      <w:r w:rsidRPr="7AD6DA35" w:rsidR="09D311F1">
        <w:rPr>
          <w:rFonts w:ascii="Arial" w:hAnsi="Arial" w:eastAsia="Arial" w:cs="Arial"/>
        </w:rPr>
        <w:t>.</w:t>
      </w:r>
    </w:p>
    <w:p w:rsidR="1E1F2571" w:rsidP="63AE8152" w:rsidRDefault="1E1F2571" w14:paraId="4E99414B" w14:textId="02D20270">
      <w:pPr>
        <w:spacing w:before="210" w:after="210" w:line="300" w:lineRule="auto"/>
        <w:rPr>
          <w:rFonts w:ascii="Arial" w:hAnsi="Arial" w:eastAsia="Arial" w:cs="Arial"/>
        </w:rPr>
      </w:pPr>
      <w:r w:rsidRPr="7AD6DA35" w:rsidR="09D311F1">
        <w:rPr>
          <w:rFonts w:ascii="Arial" w:hAnsi="Arial" w:eastAsia="Arial" w:cs="Arial"/>
        </w:rPr>
        <w:t>The literature review explores several key themes relevant to the research aim. These include the importance of information systems within public organisations, technical failures and operational risks associated with legacy systems, Socio-Technical Systems (STS) Theory, organisational governance and accountability, compensation and legal reforms arising from the Horizon scandal, employee engagement theory, and transition risks associated with replacing critical IT infrastructure. The chapter also examines the relationships between these themes, identifies gaps in the current literature, and develops a conceptual framework to guide the study</w:t>
      </w:r>
      <w:r w:rsidRPr="7AD6DA35" w:rsidR="78CCEECE">
        <w:rPr>
          <w:rFonts w:ascii="Arial" w:hAnsi="Arial" w:eastAsia="Arial" w:cs="Arial"/>
        </w:rPr>
        <w:t xml:space="preserve"> </w:t>
      </w:r>
      <w:r w:rsidRPr="7AD6DA35" w:rsidR="78CCEECE">
        <w:rPr>
          <w:rFonts w:ascii="Arial" w:hAnsi="Arial" w:eastAsia="Arial" w:cs="Arial"/>
        </w:rPr>
        <w:t>(Shamseer et al. 2026)</w:t>
      </w:r>
      <w:r w:rsidRPr="7AD6DA35" w:rsidR="3EFD3B49">
        <w:rPr>
          <w:rFonts w:ascii="Arial" w:hAnsi="Arial" w:eastAsia="Arial" w:cs="Arial"/>
        </w:rPr>
        <w:t>.</w:t>
      </w:r>
    </w:p>
    <w:p w:rsidR="1E1F2571" w:rsidP="63AE8152" w:rsidRDefault="1E1F2571" w14:paraId="1446BD5A" w14:textId="0052E813">
      <w:pPr>
        <w:spacing w:before="210" w:after="210" w:line="300" w:lineRule="auto"/>
        <w:rPr>
          <w:rFonts w:ascii="Arial" w:hAnsi="Arial" w:eastAsia="Arial" w:cs="Arial"/>
        </w:rPr>
      </w:pPr>
      <w:r w:rsidRPr="7AD6DA35" w:rsidR="09D311F1">
        <w:rPr>
          <w:rFonts w:ascii="Arial" w:hAnsi="Arial" w:eastAsia="Arial" w:cs="Arial"/>
        </w:rPr>
        <w:t>This review supports the research aim of examining, exploring, investigating, and evaluating the failures of the Horizon IT system, the role of organisational governance, and the risks associated with system transition within the UK Post Office</w:t>
      </w:r>
      <w:r w:rsidRPr="7AD6DA35" w:rsidR="302ABF4D">
        <w:rPr>
          <w:rFonts w:ascii="Arial" w:hAnsi="Arial" w:eastAsia="Arial" w:cs="Arial"/>
        </w:rPr>
        <w:t xml:space="preserve"> </w:t>
      </w:r>
      <w:r w:rsidRPr="7AD6DA35" w:rsidR="302ABF4D">
        <w:rPr>
          <w:rFonts w:ascii="Arial" w:hAnsi="Arial" w:eastAsia="Arial" w:cs="Arial"/>
        </w:rPr>
        <w:t>(Shamseer et al. 2026).</w:t>
      </w:r>
    </w:p>
    <w:p w:rsidR="1E1F2571" w:rsidP="63AE8152" w:rsidRDefault="1E1F2571" w14:paraId="5C782B6A" w14:textId="15E39986">
      <w:pPr>
        <w:pStyle w:val="Heading1"/>
        <w:spacing w:before="281" w:after="281" w:line="300" w:lineRule="auto"/>
        <w:rPr>
          <w:rFonts w:ascii="Arial" w:hAnsi="Arial" w:eastAsia="Arial" w:cs="Arial"/>
          <w:b w:val="1"/>
          <w:bCs w:val="1"/>
          <w:color w:val="auto"/>
          <w:sz w:val="24"/>
          <w:szCs w:val="24"/>
        </w:rPr>
      </w:pPr>
      <w:bookmarkStart w:name="_Toc1446195104" w:id="1015760562"/>
      <w:r w:rsidRPr="7AD6DA35" w:rsidR="3B10AD4B">
        <w:rPr>
          <w:rFonts w:ascii="Arial" w:hAnsi="Arial" w:eastAsia="Arial" w:cs="Arial"/>
          <w:b w:val="1"/>
          <w:bCs w:val="1"/>
          <w:color w:val="auto"/>
          <w:sz w:val="24"/>
          <w:szCs w:val="24"/>
        </w:rPr>
        <w:t xml:space="preserve">2.2. </w:t>
      </w:r>
      <w:r w:rsidRPr="7AD6DA35" w:rsidR="09D311F1">
        <w:rPr>
          <w:rFonts w:ascii="Arial" w:hAnsi="Arial" w:eastAsia="Arial" w:cs="Arial"/>
          <w:b w:val="1"/>
          <w:bCs w:val="1"/>
          <w:color w:val="auto"/>
          <w:sz w:val="24"/>
          <w:szCs w:val="24"/>
        </w:rPr>
        <w:t>Industry and Company Overview</w:t>
      </w:r>
      <w:bookmarkEnd w:id="1015760562"/>
    </w:p>
    <w:p w:rsidR="1E1F2571" w:rsidP="63AE8152" w:rsidRDefault="1E1F2571" w14:paraId="26F1D332" w14:textId="77ACE4D5">
      <w:pPr>
        <w:spacing w:before="210" w:after="210" w:line="300" w:lineRule="auto"/>
        <w:rPr>
          <w:rFonts w:ascii="Arial" w:hAnsi="Arial" w:eastAsia="Arial" w:cs="Arial"/>
        </w:rPr>
      </w:pPr>
      <w:r w:rsidRPr="7AD6DA35" w:rsidR="09D311F1">
        <w:rPr>
          <w:rFonts w:ascii="Arial" w:hAnsi="Arial" w:eastAsia="Arial" w:cs="Arial"/>
        </w:rPr>
        <w:t>The United Kingdom Post Office is one of the largest public service organisations in the country, operating through a network of approximately 11,500 branches that provide mail, banking, financial, and government-related services. The organisation relies heavily on information systems to support daily operations, process transactions, maintain financial records, and deliver services efficiently across its nationwide network</w:t>
      </w:r>
      <w:r w:rsidRPr="7AD6DA35" w:rsidR="76F6542A">
        <w:rPr>
          <w:rFonts w:ascii="Arial" w:hAnsi="Arial" w:eastAsia="Arial" w:cs="Arial"/>
        </w:rPr>
        <w:t xml:space="preserve"> </w:t>
      </w:r>
      <w:r w:rsidRPr="7AD6DA35" w:rsidR="76F6542A">
        <w:rPr>
          <w:rFonts w:ascii="Arial" w:hAnsi="Arial" w:eastAsia="Arial" w:cs="Arial"/>
        </w:rPr>
        <w:t>(Pollitt and Anaya 2016).</w:t>
      </w:r>
    </w:p>
    <w:p w:rsidR="1E1F2571" w:rsidP="63AE8152" w:rsidRDefault="1E1F2571" w14:paraId="41D1D3EA" w14:textId="3AE1DB23">
      <w:pPr>
        <w:spacing w:before="210" w:after="210" w:line="300" w:lineRule="auto"/>
        <w:rPr>
          <w:rFonts w:ascii="Arial" w:hAnsi="Arial" w:eastAsia="Arial" w:cs="Arial"/>
        </w:rPr>
      </w:pPr>
      <w:r w:rsidRPr="7AD6DA35" w:rsidR="09D311F1">
        <w:rPr>
          <w:rFonts w:ascii="Arial" w:hAnsi="Arial" w:eastAsia="Arial" w:cs="Arial"/>
        </w:rPr>
        <w:t xml:space="preserve">The Horizon system was introduced in 1999 by Fujitsu as a computerised accounting and transaction processing system designed to modernise branch operations. Horizon became central to the functioning of Post Office branches, recording financial </w:t>
      </w:r>
      <w:r w:rsidRPr="7AD6DA35" w:rsidR="09D311F1">
        <w:rPr>
          <w:rFonts w:ascii="Arial" w:hAnsi="Arial" w:eastAsia="Arial" w:cs="Arial"/>
        </w:rPr>
        <w:t>transactions, stock management, customer payments, and accounting information. As a mission-critical system, Horizon was embedded within almost every aspect of branch operations</w:t>
      </w:r>
      <w:r w:rsidRPr="7AD6DA35" w:rsidR="400CB6A3">
        <w:rPr>
          <w:rFonts w:ascii="Arial" w:hAnsi="Arial" w:eastAsia="Arial" w:cs="Arial"/>
        </w:rPr>
        <w:t xml:space="preserve"> </w:t>
      </w:r>
      <w:r w:rsidRPr="7AD6DA35" w:rsidR="400CB6A3">
        <w:rPr>
          <w:rFonts w:ascii="Arial" w:hAnsi="Arial" w:eastAsia="Arial" w:cs="Arial"/>
        </w:rPr>
        <w:t>(Pollitt and Anaya 2016).</w:t>
      </w:r>
    </w:p>
    <w:p w:rsidR="1E1F2571" w:rsidP="7AD6DA35" w:rsidRDefault="1E1F2571" w14:paraId="095EF166" w14:textId="3AE2224F">
      <w:pPr>
        <w:spacing w:before="210" w:after="210" w:line="300" w:lineRule="auto"/>
        <w:rPr>
          <w:rFonts w:ascii="Times New Roman" w:hAnsi="Times New Roman" w:eastAsia="Times New Roman" w:cs="Times New Roman"/>
        </w:rPr>
      </w:pPr>
      <w:r w:rsidRPr="7AD6DA35" w:rsidR="09D311F1">
        <w:rPr>
          <w:rFonts w:ascii="Arial" w:hAnsi="Arial" w:eastAsia="Arial" w:cs="Arial"/>
        </w:rPr>
        <w:t xml:space="preserve">Despite its importance, concerns </w:t>
      </w:r>
      <w:r w:rsidRPr="7AD6DA35" w:rsidR="09D311F1">
        <w:rPr>
          <w:rFonts w:ascii="Arial" w:hAnsi="Arial" w:eastAsia="Arial" w:cs="Arial"/>
        </w:rPr>
        <w:t>regarding</w:t>
      </w:r>
      <w:r w:rsidRPr="7AD6DA35" w:rsidR="09D311F1">
        <w:rPr>
          <w:rFonts w:ascii="Arial" w:hAnsi="Arial" w:eastAsia="Arial" w:cs="Arial"/>
        </w:rPr>
        <w:t xml:space="preserve"> system reliability </w:t>
      </w:r>
      <w:r w:rsidRPr="7AD6DA35" w:rsidR="09D311F1">
        <w:rPr>
          <w:rFonts w:ascii="Arial" w:hAnsi="Arial" w:eastAsia="Arial" w:cs="Arial"/>
        </w:rPr>
        <w:t>emerged</w:t>
      </w:r>
      <w:r w:rsidRPr="7AD6DA35" w:rsidR="09D311F1">
        <w:rPr>
          <w:rFonts w:ascii="Arial" w:hAnsi="Arial" w:eastAsia="Arial" w:cs="Arial"/>
        </w:rPr>
        <w:t xml:space="preserve"> shortly after implementation. Sub-postmasters began reporting unexplained accounting discrepancies, system errors, and financial shortfalls that they claimed were generated by faults within the system rather than by human error or criminal activity. For many years, these concerns were dismissed by the </w:t>
      </w:r>
      <w:r w:rsidRPr="7AD6DA35" w:rsidR="09D311F1">
        <w:rPr>
          <w:rFonts w:ascii="Arial" w:hAnsi="Arial" w:eastAsia="Arial" w:cs="Arial"/>
        </w:rPr>
        <w:t>organisation</w:t>
      </w:r>
      <w:r w:rsidRPr="7AD6DA35" w:rsidR="09D311F1">
        <w:rPr>
          <w:rFonts w:ascii="Arial" w:hAnsi="Arial" w:eastAsia="Arial" w:cs="Arial"/>
        </w:rPr>
        <w:t>, leading to legal actions against hundreds of</w:t>
      </w:r>
      <w:r w:rsidRPr="7AD6DA35" w:rsidR="41D8EF11">
        <w:rPr>
          <w:rFonts w:ascii="Arial" w:hAnsi="Arial" w:eastAsia="Arial" w:cs="Arial"/>
        </w:rPr>
        <w:t xml:space="preserve"> sub-postmasters (Pollitt and Anaya 2026)</w:t>
      </w:r>
      <w:r w:rsidRPr="7AD6DA35" w:rsidR="08718ACD">
        <w:rPr>
          <w:rFonts w:ascii="Arial" w:hAnsi="Arial" w:eastAsia="Arial" w:cs="Arial"/>
        </w:rPr>
        <w:t>.</w:t>
      </w:r>
      <w:r w:rsidRPr="7AD6DA35" w:rsidR="09D311F1">
        <w:rPr>
          <w:rFonts w:ascii="Arial" w:hAnsi="Arial" w:eastAsia="Arial" w:cs="Arial"/>
        </w:rPr>
        <w:t xml:space="preserve"> </w:t>
      </w:r>
    </w:p>
    <w:p w:rsidR="1E1F2571" w:rsidP="63AE8152" w:rsidRDefault="1E1F2571" w14:paraId="7E6B8FCE" w14:textId="48A3CA2D">
      <w:pPr>
        <w:spacing w:before="210" w:after="210" w:line="300" w:lineRule="auto"/>
        <w:rPr>
          <w:rFonts w:ascii="Arial" w:hAnsi="Arial" w:eastAsia="Arial" w:cs="Arial"/>
        </w:rPr>
      </w:pPr>
      <w:r w:rsidRPr="7AD6DA35" w:rsidR="09D311F1">
        <w:rPr>
          <w:rFonts w:ascii="Arial" w:hAnsi="Arial" w:eastAsia="Arial" w:cs="Arial"/>
        </w:rPr>
        <w:t>The Horizon scandal eventually became recognised as one of the largest miscarriages of justice in UK legal history. Public inquiries, court judgments, and independent investigations revealed serious concerns relating not only to the technology itself but also to organisational decision-making, risk management, governance practices, and accountability mechanisms. Consequently, the case has become an important example for understanding the interaction between technology failures, organisational governance, and public sector accountability</w:t>
      </w:r>
      <w:r w:rsidRPr="7AD6DA35" w:rsidR="67B29BAF">
        <w:rPr>
          <w:rFonts w:ascii="Arial" w:hAnsi="Arial" w:eastAsia="Arial" w:cs="Arial"/>
        </w:rPr>
        <w:t xml:space="preserve"> </w:t>
      </w:r>
      <w:r w:rsidRPr="7AD6DA35" w:rsidR="67B29BAF">
        <w:rPr>
          <w:rFonts w:ascii="Arial" w:hAnsi="Arial" w:eastAsia="Arial" w:cs="Arial"/>
        </w:rPr>
        <w:t>(Pollitt and Anaya 2016)</w:t>
      </w:r>
      <w:r w:rsidRPr="7AD6DA35" w:rsidR="67B29BAF">
        <w:rPr>
          <w:rFonts w:ascii="Arial" w:hAnsi="Arial" w:eastAsia="Arial" w:cs="Arial"/>
        </w:rPr>
        <w:t>.</w:t>
      </w:r>
    </w:p>
    <w:p w:rsidR="1E1F2571" w:rsidP="63AE8152" w:rsidRDefault="1E1F2571" w14:paraId="29C438B3" w14:textId="2D160C7A">
      <w:pPr>
        <w:pStyle w:val="Heading1"/>
        <w:spacing w:before="281" w:after="281" w:line="300" w:lineRule="auto"/>
        <w:rPr>
          <w:rFonts w:ascii="Arial" w:hAnsi="Arial" w:eastAsia="Arial" w:cs="Arial"/>
          <w:b w:val="1"/>
          <w:bCs w:val="1"/>
          <w:color w:val="auto"/>
          <w:sz w:val="24"/>
          <w:szCs w:val="24"/>
        </w:rPr>
      </w:pPr>
      <w:bookmarkStart w:name="_Toc376187407" w:id="1360062277"/>
      <w:r w:rsidRPr="7AD6DA35" w:rsidR="5B40B97F">
        <w:rPr>
          <w:rFonts w:ascii="Arial" w:hAnsi="Arial" w:eastAsia="Arial" w:cs="Arial"/>
          <w:b w:val="1"/>
          <w:bCs w:val="1"/>
          <w:color w:val="auto"/>
          <w:sz w:val="24"/>
          <w:szCs w:val="24"/>
        </w:rPr>
        <w:t xml:space="preserve">2.3. </w:t>
      </w:r>
      <w:r w:rsidRPr="7AD6DA35" w:rsidR="09D311F1">
        <w:rPr>
          <w:rFonts w:ascii="Arial" w:hAnsi="Arial" w:eastAsia="Arial" w:cs="Arial"/>
          <w:b w:val="1"/>
          <w:bCs w:val="1"/>
          <w:color w:val="auto"/>
          <w:sz w:val="24"/>
          <w:szCs w:val="24"/>
        </w:rPr>
        <w:t xml:space="preserve">Importance of Information Systems in Public Sector </w:t>
      </w:r>
      <w:r w:rsidRPr="7AD6DA35" w:rsidR="09D311F1">
        <w:rPr>
          <w:rFonts w:ascii="Arial" w:hAnsi="Arial" w:eastAsia="Arial" w:cs="Arial"/>
          <w:b w:val="1"/>
          <w:bCs w:val="1"/>
          <w:color w:val="auto"/>
          <w:sz w:val="24"/>
          <w:szCs w:val="24"/>
        </w:rPr>
        <w:t>Organisations</w:t>
      </w:r>
      <w:bookmarkEnd w:id="1360062277"/>
    </w:p>
    <w:p w:rsidR="1E1F2571" w:rsidP="63AE8152" w:rsidRDefault="1E1F2571" w14:paraId="18CC01E0" w14:textId="0F332C7B">
      <w:pPr>
        <w:spacing w:before="210" w:after="210" w:line="300" w:lineRule="auto"/>
        <w:rPr>
          <w:rFonts w:ascii="Arial" w:hAnsi="Arial" w:eastAsia="Arial" w:cs="Arial"/>
        </w:rPr>
      </w:pPr>
      <w:r w:rsidRPr="7AD6DA35" w:rsidR="09D311F1">
        <w:rPr>
          <w:rFonts w:ascii="Arial" w:hAnsi="Arial" w:eastAsia="Arial" w:cs="Arial"/>
        </w:rPr>
        <w:t>Information systems play a critical role in modern organisations by enabling operational efficiency, communication, financial management, and service delivery. According to Laudon and Laudon (2022), information systems are no longer simply tools supporting operations but are fundamental organisational assets that influence strategic decision-making</w:t>
      </w:r>
      <w:r w:rsidRPr="7AD6DA35" w:rsidR="2BBFDF85">
        <w:rPr>
          <w:rFonts w:ascii="Arial" w:hAnsi="Arial" w:eastAsia="Arial" w:cs="Arial"/>
        </w:rPr>
        <w:t xml:space="preserve"> </w:t>
      </w:r>
      <w:r w:rsidRPr="7AD6DA35" w:rsidR="2BBFDF85">
        <w:rPr>
          <w:rFonts w:ascii="Arial" w:hAnsi="Arial" w:eastAsia="Arial" w:cs="Arial"/>
        </w:rPr>
        <w:t>(Comber et al. 2008).</w:t>
      </w:r>
    </w:p>
    <w:p w:rsidR="1E1F2571" w:rsidP="63AE8152" w:rsidRDefault="1E1F2571" w14:paraId="062E888F" w14:textId="12E7E801">
      <w:pPr>
        <w:spacing w:before="210" w:after="210" w:line="300" w:lineRule="auto"/>
        <w:rPr>
          <w:rFonts w:ascii="Arial" w:hAnsi="Arial" w:eastAsia="Arial" w:cs="Arial"/>
        </w:rPr>
      </w:pPr>
      <w:r w:rsidRPr="7AD6DA35" w:rsidR="09D311F1">
        <w:rPr>
          <w:rFonts w:ascii="Arial" w:hAnsi="Arial" w:eastAsia="Arial" w:cs="Arial"/>
        </w:rPr>
        <w:t xml:space="preserve">Within public sector organisations, the reliability of information systems is particularly important because service failure can directly affect citizens, employees, and </w:t>
      </w:r>
      <w:r w:rsidRPr="7AD6DA35" w:rsidR="0EE74299">
        <w:rPr>
          <w:rFonts w:ascii="Arial" w:hAnsi="Arial" w:eastAsia="Arial" w:cs="Arial"/>
        </w:rPr>
        <w:t>a wider</w:t>
      </w:r>
      <w:r w:rsidRPr="7AD6DA35" w:rsidR="09D311F1">
        <w:rPr>
          <w:rFonts w:ascii="Arial" w:hAnsi="Arial" w:eastAsia="Arial" w:cs="Arial"/>
        </w:rPr>
        <w:t xml:space="preserve"> society. Janssen and van der Voort (2016) argue that digital technologies have become essential components of public service delivery, making effective governance and risk management crucial</w:t>
      </w:r>
      <w:r w:rsidRPr="7AD6DA35" w:rsidR="61F31A5F">
        <w:rPr>
          <w:rFonts w:ascii="Arial" w:hAnsi="Arial" w:eastAsia="Arial" w:cs="Arial"/>
        </w:rPr>
        <w:t xml:space="preserve"> </w:t>
      </w:r>
      <w:r w:rsidRPr="7AD6DA35" w:rsidR="61F31A5F">
        <w:rPr>
          <w:rFonts w:ascii="Arial" w:hAnsi="Arial" w:eastAsia="Arial" w:cs="Arial"/>
        </w:rPr>
        <w:t>(Comber et al. 2008).</w:t>
      </w:r>
    </w:p>
    <w:p w:rsidR="1E1F2571" w:rsidP="63AE8152" w:rsidRDefault="1E1F2571" w14:paraId="6990E208" w14:textId="3882C7CE">
      <w:pPr>
        <w:spacing w:before="210" w:after="210" w:line="300" w:lineRule="auto"/>
        <w:rPr>
          <w:rFonts w:ascii="Arial" w:hAnsi="Arial" w:eastAsia="Arial" w:cs="Arial"/>
        </w:rPr>
      </w:pPr>
      <w:r w:rsidRPr="7AD6DA35" w:rsidR="09D311F1">
        <w:rPr>
          <w:rFonts w:ascii="Arial" w:hAnsi="Arial" w:eastAsia="Arial" w:cs="Arial"/>
        </w:rPr>
        <w:t>The Horizon case demonstrates the consequences that can arise when critical systems become deeply integrated into organisational processes without sufficient safeguards. The system's central role within branch operations meant that any technical failure had organisational, financial, legal, and social consequences</w:t>
      </w:r>
      <w:r w:rsidRPr="7AD6DA35" w:rsidR="617FF8DD">
        <w:rPr>
          <w:rFonts w:ascii="Arial" w:hAnsi="Arial" w:eastAsia="Arial" w:cs="Arial"/>
        </w:rPr>
        <w:t xml:space="preserve"> </w:t>
      </w:r>
      <w:r w:rsidRPr="7AD6DA35" w:rsidR="617FF8DD">
        <w:rPr>
          <w:rFonts w:ascii="Arial" w:hAnsi="Arial" w:eastAsia="Arial" w:cs="Arial"/>
        </w:rPr>
        <w:t>(Comber et al. 2008).</w:t>
      </w:r>
    </w:p>
    <w:p w:rsidR="1E1F2571" w:rsidP="63AE8152" w:rsidRDefault="1E1F2571" w14:paraId="54771BF4" w14:textId="009C2890">
      <w:pPr>
        <w:spacing w:before="210" w:after="210" w:line="300" w:lineRule="auto"/>
        <w:rPr>
          <w:rFonts w:ascii="Arial" w:hAnsi="Arial" w:eastAsia="Arial" w:cs="Arial"/>
        </w:rPr>
      </w:pPr>
      <w:r w:rsidRPr="7AD6DA35" w:rsidR="09D311F1">
        <w:rPr>
          <w:rFonts w:ascii="Arial" w:hAnsi="Arial" w:eastAsia="Arial" w:cs="Arial"/>
        </w:rPr>
        <w:t xml:space="preserve">Literature on digital governance suggests that public sector organisations face unique challenges due to their accountability requirements, political oversight, and public </w:t>
      </w:r>
      <w:r w:rsidRPr="7AD6DA35" w:rsidR="09D311F1">
        <w:rPr>
          <w:rFonts w:ascii="Arial" w:hAnsi="Arial" w:eastAsia="Arial" w:cs="Arial"/>
        </w:rPr>
        <w:t>service obligations. Consequently, failures within public information systems can have broader implications than failures in private organisations, affecting public trust and institutional legitimacy</w:t>
      </w:r>
      <w:r w:rsidRPr="7AD6DA35" w:rsidR="4A566798">
        <w:rPr>
          <w:rFonts w:ascii="Arial" w:hAnsi="Arial" w:eastAsia="Arial" w:cs="Arial"/>
        </w:rPr>
        <w:t xml:space="preserve"> </w:t>
      </w:r>
      <w:r w:rsidRPr="7AD6DA35" w:rsidR="4A566798">
        <w:rPr>
          <w:rFonts w:ascii="Arial" w:hAnsi="Arial" w:eastAsia="Arial" w:cs="Arial"/>
        </w:rPr>
        <w:t>(Comber et al. 2008).</w:t>
      </w:r>
    </w:p>
    <w:p w:rsidR="1E1F2571" w:rsidP="63AE8152" w:rsidRDefault="1E1F2571" w14:paraId="3D008C03" w14:textId="6BA92164">
      <w:pPr>
        <w:pStyle w:val="Heading1"/>
        <w:spacing w:before="281" w:after="281" w:line="300" w:lineRule="auto"/>
        <w:rPr>
          <w:rFonts w:ascii="Arial" w:hAnsi="Arial" w:eastAsia="Arial" w:cs="Arial"/>
          <w:b w:val="1"/>
          <w:bCs w:val="1"/>
          <w:color w:val="auto"/>
          <w:sz w:val="24"/>
          <w:szCs w:val="24"/>
        </w:rPr>
      </w:pPr>
      <w:bookmarkStart w:name="_Toc859206994" w:id="95344761"/>
      <w:r w:rsidRPr="7AD6DA35" w:rsidR="4D448BEA">
        <w:rPr>
          <w:rFonts w:ascii="Arial" w:hAnsi="Arial" w:eastAsia="Arial" w:cs="Arial"/>
          <w:b w:val="1"/>
          <w:bCs w:val="1"/>
          <w:color w:val="auto"/>
          <w:sz w:val="24"/>
          <w:szCs w:val="24"/>
        </w:rPr>
        <w:t xml:space="preserve">2.4. </w:t>
      </w:r>
      <w:r w:rsidRPr="7AD6DA35" w:rsidR="09D311F1">
        <w:rPr>
          <w:rFonts w:ascii="Arial" w:hAnsi="Arial" w:eastAsia="Arial" w:cs="Arial"/>
          <w:b w:val="1"/>
          <w:bCs w:val="1"/>
          <w:color w:val="auto"/>
          <w:sz w:val="24"/>
          <w:szCs w:val="24"/>
        </w:rPr>
        <w:t>Technical Failures and Continuing Operational Risk</w:t>
      </w:r>
      <w:bookmarkEnd w:id="95344761"/>
    </w:p>
    <w:p w:rsidR="1E1F2571" w:rsidP="63AE8152" w:rsidRDefault="1E1F2571" w14:paraId="57B6D3B4" w14:textId="3092B2C8">
      <w:pPr>
        <w:spacing w:before="210" w:after="210" w:line="300" w:lineRule="auto"/>
        <w:rPr>
          <w:rFonts w:ascii="Arial" w:hAnsi="Arial" w:eastAsia="Arial" w:cs="Arial"/>
        </w:rPr>
      </w:pPr>
      <w:r w:rsidRPr="63AE8152">
        <w:rPr>
          <w:rFonts w:ascii="Arial" w:hAnsi="Arial" w:eastAsia="Arial" w:cs="Arial"/>
        </w:rPr>
        <w:t>A major theme within the literature concerns technical failures and the operational risks associated with continued reliance on ageing systems.</w:t>
      </w:r>
    </w:p>
    <w:p w:rsidR="1E1F2571" w:rsidP="63AE8152" w:rsidRDefault="1E1F2571" w14:paraId="757472F8" w14:textId="02EEF566">
      <w:pPr>
        <w:spacing w:before="210" w:after="210" w:line="300" w:lineRule="auto"/>
        <w:rPr>
          <w:rFonts w:ascii="Arial" w:hAnsi="Arial" w:eastAsia="Arial" w:cs="Arial"/>
        </w:rPr>
      </w:pPr>
      <w:r w:rsidRPr="63AE8152">
        <w:rPr>
          <w:rFonts w:ascii="Arial" w:hAnsi="Arial" w:eastAsia="Arial" w:cs="Arial"/>
        </w:rPr>
        <w:t xml:space="preserve">Legacy systems refer to outdated technologies that remain operational because they continue to perform essential business functions despite becoming technologically obsolete (Bisbal et al., 1999). Although legacy systems often provide operational stability, they are frequently associated with increasing maintenance costs, security vulnerabilities, reduced flexibility, and difficulties in </w:t>
      </w:r>
      <w:r w:rsidRPr="63AE8152" w:rsidR="3E387FFF">
        <w:rPr>
          <w:rFonts w:ascii="Arial" w:hAnsi="Arial" w:eastAsia="Arial" w:cs="Arial"/>
        </w:rPr>
        <w:t>integrating</w:t>
      </w:r>
      <w:r w:rsidRPr="63AE8152">
        <w:rPr>
          <w:rFonts w:ascii="Arial" w:hAnsi="Arial" w:eastAsia="Arial" w:cs="Arial"/>
        </w:rPr>
        <w:t xml:space="preserve"> modern technologies.</w:t>
      </w:r>
    </w:p>
    <w:p w:rsidR="1E1F2571" w:rsidP="63AE8152" w:rsidRDefault="1E1F2571" w14:paraId="4FD37234" w14:textId="6A0F934C">
      <w:pPr>
        <w:spacing w:before="210" w:after="210" w:line="300" w:lineRule="auto"/>
        <w:rPr>
          <w:rFonts w:ascii="Arial" w:hAnsi="Arial" w:eastAsia="Arial" w:cs="Arial"/>
        </w:rPr>
      </w:pPr>
      <w:r w:rsidRPr="7AD6DA35" w:rsidR="09D311F1">
        <w:rPr>
          <w:rFonts w:ascii="Arial" w:hAnsi="Arial" w:eastAsia="Arial" w:cs="Arial"/>
        </w:rPr>
        <w:t>Research indicates that organisations commonly delay system replacement because of perceived costs, operational disruptions, and implementation risks (Ward and Peppard, 2016). However, prolonged reliance on ageing systems may increase organisational exposure to technical failures and operational inefficiencies</w:t>
      </w:r>
      <w:r w:rsidRPr="7AD6DA35" w:rsidR="0FBBE3AB">
        <w:rPr>
          <w:rFonts w:ascii="Arial" w:hAnsi="Arial" w:eastAsia="Arial" w:cs="Arial"/>
        </w:rPr>
        <w:t xml:space="preserve"> </w:t>
      </w:r>
      <w:r w:rsidRPr="7AD6DA35" w:rsidR="0FBBE3AB">
        <w:rPr>
          <w:rFonts w:ascii="Arial" w:hAnsi="Arial" w:eastAsia="Arial" w:cs="Arial"/>
        </w:rPr>
        <w:t>(Tian et al. 2020).</w:t>
      </w:r>
    </w:p>
    <w:p w:rsidR="1E1F2571" w:rsidP="63AE8152" w:rsidRDefault="1E1F2571" w14:paraId="5C9C25D0" w14:textId="3E2863F1">
      <w:pPr>
        <w:spacing w:before="210" w:after="210" w:line="300" w:lineRule="auto"/>
        <w:rPr>
          <w:rFonts w:ascii="Arial" w:hAnsi="Arial" w:eastAsia="Arial" w:cs="Arial"/>
        </w:rPr>
      </w:pPr>
      <w:r w:rsidRPr="7AD6DA35" w:rsidR="09D311F1">
        <w:rPr>
          <w:rFonts w:ascii="Arial" w:hAnsi="Arial" w:eastAsia="Arial" w:cs="Arial"/>
        </w:rPr>
        <w:t xml:space="preserve">Evidence from the Horizon IT Inquiry suggests that concerns regarding system reliability </w:t>
      </w:r>
      <w:r w:rsidRPr="7AD6DA35" w:rsidR="1330D525">
        <w:rPr>
          <w:rFonts w:ascii="Arial" w:hAnsi="Arial" w:eastAsia="Arial" w:cs="Arial"/>
        </w:rPr>
        <w:t>have existed</w:t>
      </w:r>
      <w:r w:rsidRPr="7AD6DA35" w:rsidR="09D311F1">
        <w:rPr>
          <w:rFonts w:ascii="Arial" w:hAnsi="Arial" w:eastAsia="Arial" w:cs="Arial"/>
        </w:rPr>
        <w:t xml:space="preserve"> for many years. Reports highlighted various software defects, communication failures, accounting anomalies, and data integrity issues. The persistence of these problems created significant operational risks, particularly because the system was used as the primary source of evidence in financial investigations involving sub-postmasters</w:t>
      </w:r>
      <w:r w:rsidRPr="7AD6DA35" w:rsidR="7897684B">
        <w:rPr>
          <w:rFonts w:ascii="Arial" w:hAnsi="Arial" w:eastAsia="Arial" w:cs="Arial"/>
        </w:rPr>
        <w:t xml:space="preserve"> </w:t>
      </w:r>
      <w:r w:rsidRPr="7AD6DA35" w:rsidR="7897684B">
        <w:rPr>
          <w:rFonts w:ascii="Arial" w:hAnsi="Arial" w:eastAsia="Arial" w:cs="Arial"/>
        </w:rPr>
        <w:t>(Tian et al. 2020).</w:t>
      </w:r>
    </w:p>
    <w:p w:rsidR="1E1F2571" w:rsidP="63AE8152" w:rsidRDefault="1E1F2571" w14:paraId="20527FCB" w14:textId="6D0313EC">
      <w:pPr>
        <w:spacing w:before="210" w:after="210" w:line="300" w:lineRule="auto"/>
        <w:rPr>
          <w:rFonts w:ascii="Arial" w:hAnsi="Arial" w:eastAsia="Arial" w:cs="Arial"/>
        </w:rPr>
      </w:pPr>
      <w:r w:rsidRPr="7AD6DA35" w:rsidR="09D311F1">
        <w:rPr>
          <w:rFonts w:ascii="Arial" w:hAnsi="Arial" w:eastAsia="Arial" w:cs="Arial"/>
        </w:rPr>
        <w:t>Risk management literature suggests that organisations should continuously evaluate whether critical technologies remain fit for purpose throughout their lifecycle. Failure to address known system weaknesses may increase the likelihood of operational disruptions, financial losses, and reputational damag</w:t>
      </w:r>
      <w:r w:rsidRPr="7AD6DA35" w:rsidR="09D311F1">
        <w:rPr>
          <w:rFonts w:ascii="Arial" w:hAnsi="Arial" w:eastAsia="Arial" w:cs="Arial"/>
        </w:rPr>
        <w:t>e</w:t>
      </w:r>
      <w:r w:rsidRPr="7AD6DA35" w:rsidR="736569E1">
        <w:rPr>
          <w:rFonts w:ascii="Arial" w:hAnsi="Arial" w:eastAsia="Arial" w:cs="Arial"/>
        </w:rPr>
        <w:t xml:space="preserve"> </w:t>
      </w:r>
      <w:r w:rsidRPr="7AD6DA35" w:rsidR="736569E1">
        <w:rPr>
          <w:rFonts w:ascii="Arial" w:hAnsi="Arial" w:eastAsia="Arial" w:cs="Arial"/>
        </w:rPr>
        <w:t>(Tian et al. 2020).</w:t>
      </w:r>
    </w:p>
    <w:p w:rsidR="1E1F2571" w:rsidP="63AE8152" w:rsidRDefault="1E1F2571" w14:paraId="2E4FACDD" w14:textId="0D26076A">
      <w:pPr>
        <w:spacing w:before="210" w:after="210" w:line="300" w:lineRule="auto"/>
        <w:rPr>
          <w:rFonts w:ascii="Arial" w:hAnsi="Arial" w:eastAsia="Arial" w:cs="Arial"/>
        </w:rPr>
      </w:pPr>
      <w:r w:rsidRPr="7AD6DA35" w:rsidR="09D311F1">
        <w:rPr>
          <w:rFonts w:ascii="Arial" w:hAnsi="Arial" w:eastAsia="Arial" w:cs="Arial"/>
        </w:rPr>
        <w:t>The Post Office's continued reliance on Horizon following repeated allegations of system errors demonstrates the challenges organisations face when attempting to balance operational continuity with technological change. The literature suggests that long-term dependence on legacy systems can create organisational inertia, making replacement increasingly difficult and costly over tim</w:t>
      </w:r>
      <w:r w:rsidRPr="7AD6DA35" w:rsidR="09D311F1">
        <w:rPr>
          <w:rFonts w:ascii="Arial" w:hAnsi="Arial" w:eastAsia="Arial" w:cs="Arial"/>
        </w:rPr>
        <w:t>e</w:t>
      </w:r>
      <w:r w:rsidRPr="7AD6DA35" w:rsidR="73B9291D">
        <w:rPr>
          <w:rFonts w:ascii="Arial" w:hAnsi="Arial" w:eastAsia="Arial" w:cs="Arial"/>
        </w:rPr>
        <w:t xml:space="preserve"> </w:t>
      </w:r>
      <w:r w:rsidRPr="7AD6DA35" w:rsidR="73B9291D">
        <w:rPr>
          <w:rFonts w:ascii="Arial" w:hAnsi="Arial" w:eastAsia="Arial" w:cs="Arial"/>
        </w:rPr>
        <w:t>(Tian et al. 2020).</w:t>
      </w:r>
    </w:p>
    <w:p w:rsidR="1E1F2571" w:rsidP="63AE8152" w:rsidRDefault="1E1F2571" w14:paraId="30FFDF42" w14:textId="09FFDFA5">
      <w:pPr>
        <w:pStyle w:val="Heading1"/>
        <w:spacing w:before="281" w:after="281" w:line="300" w:lineRule="auto"/>
        <w:rPr>
          <w:rFonts w:ascii="Arial" w:hAnsi="Arial" w:eastAsia="Arial" w:cs="Arial"/>
          <w:b w:val="1"/>
          <w:bCs w:val="1"/>
          <w:color w:val="auto"/>
          <w:sz w:val="24"/>
          <w:szCs w:val="24"/>
        </w:rPr>
      </w:pPr>
      <w:bookmarkStart w:name="_Toc726126412" w:id="1644135016"/>
      <w:r w:rsidRPr="7AD6DA35" w:rsidR="04830E2C">
        <w:rPr>
          <w:rFonts w:ascii="Arial" w:hAnsi="Arial" w:eastAsia="Arial" w:cs="Arial"/>
          <w:b w:val="1"/>
          <w:bCs w:val="1"/>
          <w:color w:val="auto"/>
          <w:sz w:val="24"/>
          <w:szCs w:val="24"/>
        </w:rPr>
        <w:t xml:space="preserve">2.5. </w:t>
      </w:r>
      <w:r w:rsidRPr="7AD6DA35" w:rsidR="09D311F1">
        <w:rPr>
          <w:rFonts w:ascii="Arial" w:hAnsi="Arial" w:eastAsia="Arial" w:cs="Arial"/>
          <w:b w:val="1"/>
          <w:bCs w:val="1"/>
          <w:color w:val="auto"/>
          <w:sz w:val="24"/>
          <w:szCs w:val="24"/>
        </w:rPr>
        <w:t>Socio-Technical Systems (STS) Theory</w:t>
      </w:r>
      <w:bookmarkEnd w:id="1644135016"/>
    </w:p>
    <w:p w:rsidR="1E1F2571" w:rsidP="63AE8152" w:rsidRDefault="1E1F2571" w14:paraId="6459A653" w14:textId="07421CA6">
      <w:pPr>
        <w:spacing w:before="210" w:after="210" w:line="300" w:lineRule="auto"/>
        <w:rPr>
          <w:rFonts w:ascii="Arial" w:hAnsi="Arial" w:eastAsia="Arial" w:cs="Arial"/>
        </w:rPr>
      </w:pPr>
      <w:r w:rsidRPr="7AD6DA35" w:rsidR="09D311F1">
        <w:rPr>
          <w:rFonts w:ascii="Arial" w:hAnsi="Arial" w:eastAsia="Arial" w:cs="Arial"/>
        </w:rPr>
        <w:t>Socio-Technical Systems (STS) Theory provides an important framework for understanding the Horizon scandal. Originally developed by Trist and Bamforth (1951), STS theory argues that organisational outcomes are shaped by interactions between technological systems and social systems rather than by technological factors alone</w:t>
      </w:r>
      <w:r w:rsidRPr="7AD6DA35" w:rsidR="03017684">
        <w:rPr>
          <w:rFonts w:ascii="Times New Roman" w:hAnsi="Times New Roman" w:eastAsia="Times New Roman" w:cs="Times New Roman"/>
        </w:rPr>
        <w:t xml:space="preserve"> </w:t>
      </w:r>
      <w:r w:rsidRPr="7AD6DA35" w:rsidR="03017684">
        <w:rPr>
          <w:rFonts w:ascii="Arial" w:hAnsi="Arial" w:eastAsia="Arial" w:cs="Arial"/>
        </w:rPr>
        <w:t>(Appelbaum 2021).</w:t>
      </w:r>
    </w:p>
    <w:p w:rsidR="1E1F2571" w:rsidP="63AE8152" w:rsidRDefault="1E1F2571" w14:paraId="1AF48061" w14:textId="6FA47309">
      <w:pPr>
        <w:spacing w:before="210" w:after="210" w:line="300" w:lineRule="auto"/>
        <w:rPr>
          <w:rFonts w:ascii="Arial" w:hAnsi="Arial" w:eastAsia="Arial" w:cs="Arial"/>
        </w:rPr>
      </w:pPr>
      <w:r w:rsidRPr="63AE8152">
        <w:rPr>
          <w:rFonts w:ascii="Arial" w:hAnsi="Arial" w:eastAsia="Arial" w:cs="Arial"/>
        </w:rPr>
        <w:t>According to STS theory, organisations consist of two interconnected components:</w:t>
      </w:r>
    </w:p>
    <w:p w:rsidR="1E1F2571" w:rsidP="63AE8152" w:rsidRDefault="1E1F2571" w14:paraId="47042586" w14:textId="0D428948">
      <w:pPr>
        <w:pStyle w:val="ListParagraph"/>
        <w:numPr>
          <w:ilvl w:val="0"/>
          <w:numId w:val="16"/>
        </w:numPr>
        <w:spacing w:after="0" w:line="300" w:lineRule="auto"/>
        <w:rPr>
          <w:rFonts w:ascii="Arial" w:hAnsi="Arial" w:eastAsia="Arial" w:cs="Arial"/>
        </w:rPr>
      </w:pPr>
      <w:r w:rsidRPr="63AE8152">
        <w:rPr>
          <w:rFonts w:ascii="Arial" w:hAnsi="Arial" w:eastAsia="Arial" w:cs="Arial"/>
        </w:rPr>
        <w:t>The technical subsystem (technology, processes, infrastructure)</w:t>
      </w:r>
    </w:p>
    <w:p w:rsidR="1E1F2571" w:rsidP="63AE8152" w:rsidRDefault="1E1F2571" w14:paraId="414860E5" w14:textId="75C534FD">
      <w:pPr>
        <w:pStyle w:val="ListParagraph"/>
        <w:numPr>
          <w:ilvl w:val="0"/>
          <w:numId w:val="16"/>
        </w:numPr>
        <w:spacing w:after="0" w:line="300" w:lineRule="auto"/>
        <w:rPr>
          <w:rFonts w:ascii="Arial" w:hAnsi="Arial" w:eastAsia="Arial" w:cs="Arial"/>
        </w:rPr>
      </w:pPr>
      <w:r w:rsidRPr="63AE8152">
        <w:rPr>
          <w:rFonts w:ascii="Arial" w:hAnsi="Arial" w:eastAsia="Arial" w:cs="Arial"/>
        </w:rPr>
        <w:t>The social subsystem (employees, management, culture, relationships)</w:t>
      </w:r>
    </w:p>
    <w:p w:rsidR="1E1F2571" w:rsidP="63AE8152" w:rsidRDefault="1E1F2571" w14:paraId="6C7B825E" w14:textId="527E729C">
      <w:pPr>
        <w:spacing w:before="210" w:after="210" w:line="300" w:lineRule="auto"/>
        <w:rPr>
          <w:rFonts w:ascii="Arial" w:hAnsi="Arial" w:eastAsia="Arial" w:cs="Arial"/>
        </w:rPr>
      </w:pPr>
      <w:r w:rsidRPr="63AE8152">
        <w:rPr>
          <w:rFonts w:ascii="Arial" w:hAnsi="Arial" w:eastAsia="Arial" w:cs="Arial"/>
        </w:rPr>
        <w:t>Successful organisational performance depends on the alignment of both subsystems.</w:t>
      </w:r>
    </w:p>
    <w:p w:rsidR="1E1F2571" w:rsidP="63AE8152" w:rsidRDefault="1E1F2571" w14:paraId="7FFB2239" w14:textId="4FCC8879">
      <w:pPr>
        <w:spacing w:before="210" w:after="210" w:line="300" w:lineRule="auto"/>
        <w:rPr>
          <w:rFonts w:ascii="Arial" w:hAnsi="Arial" w:eastAsia="Arial" w:cs="Arial"/>
        </w:rPr>
      </w:pPr>
      <w:r w:rsidRPr="7AD6DA35" w:rsidR="09D311F1">
        <w:rPr>
          <w:rFonts w:ascii="Arial" w:hAnsi="Arial" w:eastAsia="Arial" w:cs="Arial"/>
        </w:rPr>
        <w:t>The Horizon case illustrates the significance of this interaction. While technical errors may have contributed to accounting discrepancies, the impact of these failures was amplified by organisational responses, management decisions, and governance structures. Rather than treating reported problems as potential system issues, management often attributed discrepancies to individual misconduc</w:t>
      </w:r>
      <w:r w:rsidRPr="7AD6DA35" w:rsidR="09D311F1">
        <w:rPr>
          <w:rFonts w:ascii="Arial" w:hAnsi="Arial" w:eastAsia="Arial" w:cs="Arial"/>
        </w:rPr>
        <w:t>t</w:t>
      </w:r>
      <w:r w:rsidRPr="7AD6DA35" w:rsidR="76C92C20">
        <w:rPr>
          <w:rFonts w:ascii="Arial" w:hAnsi="Arial" w:eastAsia="Arial" w:cs="Arial"/>
        </w:rPr>
        <w:t xml:space="preserve"> </w:t>
      </w:r>
      <w:r w:rsidRPr="7AD6DA35" w:rsidR="76C92C20">
        <w:rPr>
          <w:rFonts w:ascii="Arial" w:hAnsi="Arial" w:eastAsia="Arial" w:cs="Arial"/>
        </w:rPr>
        <w:t>(Appelbaum 2021).</w:t>
      </w:r>
    </w:p>
    <w:p w:rsidR="1E1F2571" w:rsidP="63AE8152" w:rsidRDefault="1E1F2571" w14:paraId="0C558652" w14:textId="18E4260D">
      <w:pPr>
        <w:spacing w:before="210" w:after="210" w:line="300" w:lineRule="auto"/>
        <w:rPr>
          <w:rFonts w:ascii="Arial" w:hAnsi="Arial" w:eastAsia="Arial" w:cs="Arial"/>
        </w:rPr>
      </w:pPr>
      <w:r w:rsidRPr="7AD6DA35" w:rsidR="09D311F1">
        <w:rPr>
          <w:rFonts w:ascii="Arial" w:hAnsi="Arial" w:eastAsia="Arial" w:cs="Arial"/>
        </w:rPr>
        <w:t>STS literature suggests that technology should not be viewed as infallible. Instead, organisations must recognise that technology operates within social and organisational contexts. Failures emerge not only from technical defects but also from communication breakdowns, inadequate oversight, and cultural barriers that prevent concerns from being addressed effectively</w:t>
      </w:r>
      <w:r w:rsidRPr="7AD6DA35" w:rsidR="0B5AA434">
        <w:rPr>
          <w:rFonts w:ascii="Arial" w:hAnsi="Arial" w:eastAsia="Arial" w:cs="Arial"/>
        </w:rPr>
        <w:t xml:space="preserve"> </w:t>
      </w:r>
      <w:r w:rsidRPr="7AD6DA35" w:rsidR="0B5AA434">
        <w:rPr>
          <w:rFonts w:ascii="Arial" w:hAnsi="Arial" w:eastAsia="Arial" w:cs="Arial"/>
        </w:rPr>
        <w:t>(Appelbaum 2021).</w:t>
      </w:r>
    </w:p>
    <w:p w:rsidR="1E1F2571" w:rsidP="63AE8152" w:rsidRDefault="1E1F2571" w14:paraId="05CF4761" w14:textId="1AA0AF45">
      <w:pPr>
        <w:spacing w:before="210" w:after="210" w:line="300" w:lineRule="auto"/>
        <w:rPr>
          <w:rFonts w:ascii="Arial" w:hAnsi="Arial" w:eastAsia="Arial" w:cs="Arial"/>
        </w:rPr>
      </w:pPr>
      <w:r w:rsidRPr="7AD6DA35" w:rsidR="09D311F1">
        <w:rPr>
          <w:rFonts w:ascii="Arial" w:hAnsi="Arial" w:eastAsia="Arial" w:cs="Arial"/>
        </w:rPr>
        <w:t>The application of STS theory therefore supports the argument that Horizon was not solely a technological failure but also a governance and organisational failure</w:t>
      </w:r>
      <w:r w:rsidRPr="7AD6DA35" w:rsidR="22EF4E02">
        <w:rPr>
          <w:rFonts w:ascii="Arial" w:hAnsi="Arial" w:eastAsia="Arial" w:cs="Arial"/>
        </w:rPr>
        <w:t xml:space="preserve"> </w:t>
      </w:r>
      <w:r w:rsidRPr="7AD6DA35" w:rsidR="22EF4E02">
        <w:rPr>
          <w:rFonts w:ascii="Arial" w:hAnsi="Arial" w:eastAsia="Arial" w:cs="Arial"/>
        </w:rPr>
        <w:t>(Appelbaum 2021).</w:t>
      </w:r>
    </w:p>
    <w:p w:rsidR="1E1F2571" w:rsidP="63AE8152" w:rsidRDefault="1E1F2571" w14:paraId="4B4CB9A9" w14:textId="29836FB5">
      <w:pPr>
        <w:pStyle w:val="Heading1"/>
        <w:spacing w:before="281" w:after="281" w:line="300" w:lineRule="auto"/>
        <w:rPr>
          <w:rFonts w:ascii="Arial" w:hAnsi="Arial" w:eastAsia="Arial" w:cs="Arial"/>
          <w:b w:val="1"/>
          <w:bCs w:val="1"/>
          <w:color w:val="auto"/>
          <w:sz w:val="24"/>
          <w:szCs w:val="24"/>
        </w:rPr>
      </w:pPr>
      <w:bookmarkStart w:name="_Toc1556547238" w:id="1319649793"/>
      <w:r w:rsidRPr="7AD6DA35" w:rsidR="634A432E">
        <w:rPr>
          <w:rFonts w:ascii="Arial" w:hAnsi="Arial" w:eastAsia="Arial" w:cs="Arial"/>
          <w:b w:val="1"/>
          <w:bCs w:val="1"/>
          <w:color w:val="auto"/>
          <w:sz w:val="24"/>
          <w:szCs w:val="24"/>
        </w:rPr>
        <w:t xml:space="preserve">2.6. </w:t>
      </w:r>
      <w:r w:rsidRPr="7AD6DA35" w:rsidR="09D311F1">
        <w:rPr>
          <w:rFonts w:ascii="Arial" w:hAnsi="Arial" w:eastAsia="Arial" w:cs="Arial"/>
          <w:b w:val="1"/>
          <w:bCs w:val="1"/>
          <w:color w:val="auto"/>
          <w:sz w:val="24"/>
          <w:szCs w:val="24"/>
        </w:rPr>
        <w:t>Organisational</w:t>
      </w:r>
      <w:r w:rsidRPr="7AD6DA35" w:rsidR="09D311F1">
        <w:rPr>
          <w:rFonts w:ascii="Arial" w:hAnsi="Arial" w:eastAsia="Arial" w:cs="Arial"/>
          <w:b w:val="1"/>
          <w:bCs w:val="1"/>
          <w:color w:val="auto"/>
          <w:sz w:val="24"/>
          <w:szCs w:val="24"/>
        </w:rPr>
        <w:t xml:space="preserve"> Governance and Accountability</w:t>
      </w:r>
      <w:bookmarkEnd w:id="1319649793"/>
    </w:p>
    <w:p w:rsidR="1E1F2571" w:rsidP="63AE8152" w:rsidRDefault="1E1F2571" w14:paraId="3FAC6CAC" w14:textId="7C0382D5">
      <w:pPr>
        <w:spacing w:before="210" w:after="210" w:line="300" w:lineRule="auto"/>
        <w:rPr>
          <w:rFonts w:ascii="Arial" w:hAnsi="Arial" w:eastAsia="Arial" w:cs="Arial"/>
        </w:rPr>
      </w:pPr>
      <w:r w:rsidRPr="63AE8152">
        <w:rPr>
          <w:rFonts w:ascii="Arial" w:hAnsi="Arial" w:eastAsia="Arial" w:cs="Arial"/>
        </w:rPr>
        <w:t>Governance refers to the structures, processes, and mechanisms through which organisations are directed, controlled, and held accountable (OECD, 2015).</w:t>
      </w:r>
    </w:p>
    <w:p w:rsidR="1E1F2571" w:rsidP="63AE8152" w:rsidRDefault="1E1F2571" w14:paraId="1B0FA44B" w14:textId="1EDA667A">
      <w:pPr>
        <w:spacing w:before="210" w:after="210" w:line="300" w:lineRule="auto"/>
        <w:rPr>
          <w:rFonts w:ascii="Arial" w:hAnsi="Arial" w:eastAsia="Arial" w:cs="Arial"/>
        </w:rPr>
      </w:pPr>
      <w:r w:rsidRPr="63AE8152">
        <w:rPr>
          <w:rFonts w:ascii="Arial" w:hAnsi="Arial" w:eastAsia="Arial" w:cs="Arial"/>
        </w:rPr>
        <w:t>Effective governance requires:</w:t>
      </w:r>
    </w:p>
    <w:p w:rsidR="1E1F2571" w:rsidP="63AE8152" w:rsidRDefault="1E1F2571" w14:paraId="2C4BDFD5" w14:textId="7C6CF739">
      <w:pPr>
        <w:pStyle w:val="ListParagraph"/>
        <w:numPr>
          <w:ilvl w:val="0"/>
          <w:numId w:val="15"/>
        </w:numPr>
        <w:spacing w:after="0" w:line="300" w:lineRule="auto"/>
        <w:rPr>
          <w:rFonts w:ascii="Arial" w:hAnsi="Arial" w:eastAsia="Arial" w:cs="Arial"/>
        </w:rPr>
      </w:pPr>
      <w:r w:rsidRPr="63AE8152">
        <w:rPr>
          <w:rFonts w:ascii="Arial" w:hAnsi="Arial" w:eastAsia="Arial" w:cs="Arial"/>
        </w:rPr>
        <w:t>Clear accountability structures</w:t>
      </w:r>
    </w:p>
    <w:p w:rsidR="1E1F2571" w:rsidP="63AE8152" w:rsidRDefault="1E1F2571" w14:paraId="1E461F69" w14:textId="78832B75">
      <w:pPr>
        <w:pStyle w:val="ListParagraph"/>
        <w:numPr>
          <w:ilvl w:val="0"/>
          <w:numId w:val="15"/>
        </w:numPr>
        <w:spacing w:after="0" w:line="300" w:lineRule="auto"/>
        <w:rPr>
          <w:rFonts w:ascii="Arial" w:hAnsi="Arial" w:eastAsia="Arial" w:cs="Arial"/>
        </w:rPr>
      </w:pPr>
      <w:r w:rsidRPr="63AE8152">
        <w:rPr>
          <w:rFonts w:ascii="Arial" w:hAnsi="Arial" w:eastAsia="Arial" w:cs="Arial"/>
        </w:rPr>
        <w:t>Transparent decision-making</w:t>
      </w:r>
    </w:p>
    <w:p w:rsidR="1E1F2571" w:rsidP="63AE8152" w:rsidRDefault="1E1F2571" w14:paraId="04508902" w14:textId="2377DAE3">
      <w:pPr>
        <w:pStyle w:val="ListParagraph"/>
        <w:numPr>
          <w:ilvl w:val="0"/>
          <w:numId w:val="15"/>
        </w:numPr>
        <w:spacing w:after="0" w:line="300" w:lineRule="auto"/>
        <w:rPr>
          <w:rFonts w:ascii="Arial" w:hAnsi="Arial" w:eastAsia="Arial" w:cs="Arial"/>
        </w:rPr>
      </w:pPr>
      <w:r w:rsidRPr="63AE8152">
        <w:rPr>
          <w:rFonts w:ascii="Arial" w:hAnsi="Arial" w:eastAsia="Arial" w:cs="Arial"/>
        </w:rPr>
        <w:t>Independent oversight</w:t>
      </w:r>
    </w:p>
    <w:p w:rsidR="1E1F2571" w:rsidP="63AE8152" w:rsidRDefault="1E1F2571" w14:paraId="0BD5D644" w14:textId="1072888E">
      <w:pPr>
        <w:pStyle w:val="ListParagraph"/>
        <w:numPr>
          <w:ilvl w:val="0"/>
          <w:numId w:val="15"/>
        </w:numPr>
        <w:spacing w:after="0" w:line="300" w:lineRule="auto"/>
        <w:rPr>
          <w:rFonts w:ascii="Arial" w:hAnsi="Arial" w:eastAsia="Arial" w:cs="Arial"/>
        </w:rPr>
      </w:pPr>
      <w:r w:rsidRPr="63AE8152">
        <w:rPr>
          <w:rFonts w:ascii="Arial" w:hAnsi="Arial" w:eastAsia="Arial" w:cs="Arial"/>
        </w:rPr>
        <w:lastRenderedPageBreak/>
        <w:t>Risk management processes</w:t>
      </w:r>
    </w:p>
    <w:p w:rsidR="1E1F2571" w:rsidP="63AE8152" w:rsidRDefault="1E1F2571" w14:paraId="70FE2EA5" w14:textId="7E727C39">
      <w:pPr>
        <w:pStyle w:val="ListParagraph"/>
        <w:numPr>
          <w:ilvl w:val="0"/>
          <w:numId w:val="15"/>
        </w:numPr>
        <w:spacing w:after="0" w:line="300" w:lineRule="auto"/>
        <w:rPr>
          <w:rFonts w:ascii="Arial" w:hAnsi="Arial" w:eastAsia="Arial" w:cs="Arial"/>
        </w:rPr>
      </w:pPr>
      <w:r w:rsidRPr="63AE8152">
        <w:rPr>
          <w:rFonts w:ascii="Arial" w:hAnsi="Arial" w:eastAsia="Arial" w:cs="Arial"/>
        </w:rPr>
        <w:t>Ethical leadership</w:t>
      </w:r>
    </w:p>
    <w:p w:rsidR="1E1F2571" w:rsidP="63AE8152" w:rsidRDefault="1E1F2571" w14:paraId="381E11BD" w14:textId="3B4AA897">
      <w:pPr>
        <w:spacing w:before="210" w:after="210" w:line="300" w:lineRule="auto"/>
        <w:rPr>
          <w:rFonts w:ascii="Arial" w:hAnsi="Arial" w:eastAsia="Arial" w:cs="Arial"/>
        </w:rPr>
      </w:pPr>
      <w:r w:rsidRPr="63AE8152">
        <w:rPr>
          <w:rFonts w:ascii="Arial" w:hAnsi="Arial" w:eastAsia="Arial" w:cs="Arial"/>
        </w:rPr>
        <w:t>Corporate governance literature suggests that organisations with weak governance often experience failures in oversight, risk identification, and organisational learning (Tricker, 2019).</w:t>
      </w:r>
    </w:p>
    <w:p w:rsidR="1E1F2571" w:rsidP="63AE8152" w:rsidRDefault="1E1F2571" w14:paraId="668F8911" w14:textId="048C1AEA">
      <w:pPr>
        <w:spacing w:before="210" w:after="210" w:line="300" w:lineRule="auto"/>
        <w:rPr>
          <w:rFonts w:ascii="Arial" w:hAnsi="Arial" w:eastAsia="Arial" w:cs="Arial"/>
        </w:rPr>
      </w:pPr>
      <w:r w:rsidRPr="63AE8152">
        <w:rPr>
          <w:rFonts w:ascii="Arial" w:hAnsi="Arial" w:eastAsia="Arial" w:cs="Arial"/>
        </w:rPr>
        <w:t>Several studies examining the Post Office scandal have identified governance weaknesses as a key contributing factor. Evidence suggests that warnings from sub-postmasters, technical experts, and external stakeholders were not adequately investigated. Concerns regarding the reliability of Horizon persisted for years without sufficient escalation or corrective action.</w:t>
      </w:r>
    </w:p>
    <w:p w:rsidR="1E1F2571" w:rsidP="63AE8152" w:rsidRDefault="1E1F2571" w14:paraId="0AE34D4B" w14:textId="745FE484">
      <w:pPr>
        <w:spacing w:before="210" w:after="210" w:line="300" w:lineRule="auto"/>
        <w:rPr>
          <w:rFonts w:ascii="Arial" w:hAnsi="Arial" w:eastAsia="Arial" w:cs="Arial"/>
        </w:rPr>
      </w:pPr>
      <w:r w:rsidRPr="63AE8152">
        <w:rPr>
          <w:rFonts w:ascii="Arial" w:hAnsi="Arial" w:eastAsia="Arial" w:cs="Arial"/>
        </w:rPr>
        <w:t xml:space="preserve">The Horizon IT Inquiry has highlighted questions relating to leadership accountability, </w:t>
      </w:r>
      <w:r w:rsidRPr="63AE8152" w:rsidR="7136BA47">
        <w:rPr>
          <w:rFonts w:ascii="Arial" w:hAnsi="Arial" w:eastAsia="Arial" w:cs="Arial"/>
        </w:rPr>
        <w:t>evidence of</w:t>
      </w:r>
      <w:r w:rsidRPr="63AE8152">
        <w:rPr>
          <w:rFonts w:ascii="Arial" w:hAnsi="Arial" w:eastAsia="Arial" w:cs="Arial"/>
        </w:rPr>
        <w:t xml:space="preserve"> disclosure, organisational culture, and board-level oversight. Governance failures appear to have contributed to delayed recognition of risks and reduced organisational responsiveness to emerging concerns.</w:t>
      </w:r>
    </w:p>
    <w:p w:rsidR="1E1F2571" w:rsidP="63AE8152" w:rsidRDefault="1E1F2571" w14:paraId="1DF24B50" w14:textId="0E416E7D">
      <w:pPr>
        <w:spacing w:before="210" w:after="210" w:line="300" w:lineRule="auto"/>
        <w:rPr>
          <w:rFonts w:ascii="Arial" w:hAnsi="Arial" w:eastAsia="Arial" w:cs="Arial"/>
        </w:rPr>
      </w:pPr>
      <w:r w:rsidRPr="63AE8152">
        <w:rPr>
          <w:rFonts w:ascii="Arial" w:hAnsi="Arial" w:eastAsia="Arial" w:cs="Arial"/>
        </w:rPr>
        <w:t>Public sector governance research emphasises that accountability extends beyond legal compliance. Organisations must also ensure transparency, fairness, and public trust. In the case of Horizon, the literature suggests that weaknesses in governance processes contributed significantly to the scale and duration of the crisis</w:t>
      </w:r>
      <w:r w:rsidRPr="63AE8152" w:rsidR="6AB6B164">
        <w:rPr>
          <w:rFonts w:ascii="Arial" w:hAnsi="Arial" w:eastAsia="Arial" w:cs="Arial"/>
        </w:rPr>
        <w:t xml:space="preserve"> </w:t>
      </w:r>
      <w:r w:rsidRPr="63AE8152" w:rsidR="6AB6B164">
        <w:rPr>
          <w:rFonts w:ascii="Times New Roman" w:hAnsi="Times New Roman" w:eastAsia="Times New Roman" w:cs="Times New Roman"/>
        </w:rPr>
        <w:t>(Wang et al. 2007)</w:t>
      </w:r>
    </w:p>
    <w:p w:rsidR="1E1F2571" w:rsidP="63AE8152" w:rsidRDefault="1E1F2571" w14:paraId="1FACA0C3" w14:textId="24DF2FA4">
      <w:pPr>
        <w:pStyle w:val="Heading1"/>
        <w:spacing w:before="281" w:after="281" w:line="300" w:lineRule="auto"/>
        <w:rPr>
          <w:rFonts w:ascii="Arial" w:hAnsi="Arial" w:eastAsia="Arial" w:cs="Arial"/>
          <w:b w:val="1"/>
          <w:bCs w:val="1"/>
          <w:color w:val="auto"/>
          <w:sz w:val="24"/>
          <w:szCs w:val="24"/>
        </w:rPr>
      </w:pPr>
      <w:bookmarkStart w:name="_Toc86328302" w:id="903726904"/>
      <w:r w:rsidRPr="7AD6DA35" w:rsidR="11C66087">
        <w:rPr>
          <w:rFonts w:ascii="Arial" w:hAnsi="Arial" w:eastAsia="Arial" w:cs="Arial"/>
          <w:b w:val="1"/>
          <w:bCs w:val="1"/>
          <w:color w:val="auto"/>
          <w:sz w:val="24"/>
          <w:szCs w:val="24"/>
        </w:rPr>
        <w:t xml:space="preserve">2.7. </w:t>
      </w:r>
      <w:r w:rsidRPr="7AD6DA35" w:rsidR="09D311F1">
        <w:rPr>
          <w:rFonts w:ascii="Arial" w:hAnsi="Arial" w:eastAsia="Arial" w:cs="Arial"/>
          <w:b w:val="1"/>
          <w:bCs w:val="1"/>
          <w:color w:val="auto"/>
          <w:sz w:val="24"/>
          <w:szCs w:val="24"/>
        </w:rPr>
        <w:t>Compensation, Legal Reforms, and Public Accountability</w:t>
      </w:r>
      <w:bookmarkEnd w:id="903726904"/>
    </w:p>
    <w:p w:rsidR="1E1F2571" w:rsidP="63AE8152" w:rsidRDefault="1E1F2571" w14:paraId="3847DF79" w14:textId="471779E1">
      <w:pPr>
        <w:spacing w:before="210" w:after="210" w:line="300" w:lineRule="auto"/>
        <w:rPr>
          <w:rFonts w:ascii="Arial" w:hAnsi="Arial" w:eastAsia="Arial" w:cs="Arial"/>
        </w:rPr>
      </w:pPr>
      <w:r w:rsidRPr="63AE8152">
        <w:rPr>
          <w:rFonts w:ascii="Arial" w:hAnsi="Arial" w:eastAsia="Arial" w:cs="Arial"/>
        </w:rPr>
        <w:t>The Horizon scandal has generated substantial discussion regarding justice, compensation, and public accountability</w:t>
      </w:r>
      <w:r w:rsidRPr="63AE8152" w:rsidR="078E7CF9">
        <w:rPr>
          <w:rFonts w:ascii="Arial" w:hAnsi="Arial" w:eastAsia="Arial" w:cs="Arial"/>
        </w:rPr>
        <w:t xml:space="preserve"> </w:t>
      </w:r>
      <w:r w:rsidRPr="63AE8152" w:rsidR="078E7CF9">
        <w:rPr>
          <w:rFonts w:ascii="Times New Roman" w:hAnsi="Times New Roman" w:eastAsia="Times New Roman" w:cs="Times New Roman"/>
        </w:rPr>
        <w:t>(McGregor et al. 2019)</w:t>
      </w:r>
    </w:p>
    <w:p w:rsidR="1E1F2571" w:rsidP="63AE8152" w:rsidRDefault="1E1F2571" w14:paraId="29D40DE8" w14:textId="4DA8AD24">
      <w:pPr>
        <w:spacing w:before="210" w:after="210" w:line="300" w:lineRule="auto"/>
        <w:rPr>
          <w:rFonts w:ascii="Arial" w:hAnsi="Arial" w:eastAsia="Arial" w:cs="Arial"/>
        </w:rPr>
      </w:pPr>
      <w:r w:rsidRPr="63AE8152">
        <w:rPr>
          <w:rFonts w:ascii="Arial" w:hAnsi="Arial" w:eastAsia="Arial" w:cs="Arial"/>
        </w:rPr>
        <w:t>Research into organisational wrongdoing highlights the importance of restorative justice mechanisms following institutional failures (Braithwaite, 2002). Compensation programmes aim to address financial losses, emotional harm, and reputational damage experienced by affected individuals.</w:t>
      </w:r>
    </w:p>
    <w:p w:rsidR="1E1F2571" w:rsidP="63AE8152" w:rsidRDefault="1E1F2571" w14:paraId="4BD16B15" w14:textId="39BE3540">
      <w:pPr>
        <w:spacing w:before="210" w:after="210" w:line="300" w:lineRule="auto"/>
        <w:rPr>
          <w:rFonts w:ascii="Arial" w:hAnsi="Arial" w:eastAsia="Arial" w:cs="Arial"/>
        </w:rPr>
      </w:pPr>
      <w:r w:rsidRPr="63AE8152">
        <w:rPr>
          <w:rFonts w:ascii="Arial" w:hAnsi="Arial" w:eastAsia="Arial" w:cs="Arial"/>
        </w:rPr>
        <w:t>Following the exposure of Horizon-related miscarriages of justice, the UK Government established multiple compensation schemes to support affected sub-postmasters. These schemes seek to provide financial redress while acknowledging the failures that occurred.</w:t>
      </w:r>
    </w:p>
    <w:p w:rsidR="1E1F2571" w:rsidP="63AE8152" w:rsidRDefault="1E1F2571" w14:paraId="783E14A5" w14:textId="589E7F62">
      <w:pPr>
        <w:spacing w:before="210" w:after="210" w:line="300" w:lineRule="auto"/>
        <w:rPr>
          <w:rFonts w:ascii="Arial" w:hAnsi="Arial" w:eastAsia="Arial" w:cs="Arial"/>
        </w:rPr>
      </w:pPr>
      <w:r w:rsidRPr="63AE8152">
        <w:rPr>
          <w:rFonts w:ascii="Arial" w:hAnsi="Arial" w:eastAsia="Arial" w:cs="Arial"/>
        </w:rPr>
        <w:t>The scandal has also prompted calls for legal reform concerning:</w:t>
      </w:r>
    </w:p>
    <w:p w:rsidR="1E1F2571" w:rsidP="63AE8152" w:rsidRDefault="1E1F2571" w14:paraId="75394BA5" w14:textId="11F857F3">
      <w:pPr>
        <w:pStyle w:val="ListParagraph"/>
        <w:numPr>
          <w:ilvl w:val="0"/>
          <w:numId w:val="14"/>
        </w:numPr>
        <w:spacing w:after="0" w:line="300" w:lineRule="auto"/>
        <w:rPr>
          <w:rFonts w:ascii="Arial" w:hAnsi="Arial" w:eastAsia="Arial" w:cs="Arial"/>
        </w:rPr>
      </w:pPr>
      <w:r w:rsidRPr="63AE8152">
        <w:rPr>
          <w:rFonts w:ascii="Arial" w:hAnsi="Arial" w:eastAsia="Arial" w:cs="Arial"/>
        </w:rPr>
        <w:lastRenderedPageBreak/>
        <w:t>Evidence generated by automated systems</w:t>
      </w:r>
    </w:p>
    <w:p w:rsidR="1E1F2571" w:rsidP="63AE8152" w:rsidRDefault="1E1F2571" w14:paraId="0A638451" w14:textId="56E5C153">
      <w:pPr>
        <w:pStyle w:val="ListParagraph"/>
        <w:numPr>
          <w:ilvl w:val="0"/>
          <w:numId w:val="14"/>
        </w:numPr>
        <w:spacing w:after="0" w:line="300" w:lineRule="auto"/>
        <w:rPr>
          <w:rFonts w:ascii="Arial" w:hAnsi="Arial" w:eastAsia="Arial" w:cs="Arial"/>
        </w:rPr>
      </w:pPr>
      <w:r w:rsidRPr="63AE8152">
        <w:rPr>
          <w:rFonts w:ascii="Arial" w:hAnsi="Arial" w:eastAsia="Arial" w:cs="Arial"/>
        </w:rPr>
        <w:t>Disclosure requirements</w:t>
      </w:r>
    </w:p>
    <w:p w:rsidR="1E1F2571" w:rsidP="63AE8152" w:rsidRDefault="1E1F2571" w14:paraId="6FDF805B" w14:textId="5DB6D438">
      <w:pPr>
        <w:pStyle w:val="ListParagraph"/>
        <w:numPr>
          <w:ilvl w:val="0"/>
          <w:numId w:val="14"/>
        </w:numPr>
        <w:spacing w:after="0" w:line="300" w:lineRule="auto"/>
        <w:rPr>
          <w:rFonts w:ascii="Arial" w:hAnsi="Arial" w:eastAsia="Arial" w:cs="Arial"/>
        </w:rPr>
      </w:pPr>
      <w:r w:rsidRPr="63AE8152">
        <w:rPr>
          <w:rFonts w:ascii="Arial" w:hAnsi="Arial" w:eastAsia="Arial" w:cs="Arial"/>
        </w:rPr>
        <w:t>Corporate accountability</w:t>
      </w:r>
    </w:p>
    <w:p w:rsidR="1E1F2571" w:rsidP="63AE8152" w:rsidRDefault="1E1F2571" w14:paraId="72EABE90" w14:textId="11307CE6">
      <w:pPr>
        <w:pStyle w:val="ListParagraph"/>
        <w:numPr>
          <w:ilvl w:val="0"/>
          <w:numId w:val="14"/>
        </w:numPr>
        <w:spacing w:after="0" w:line="300" w:lineRule="auto"/>
        <w:rPr>
          <w:rFonts w:ascii="Arial" w:hAnsi="Arial" w:eastAsia="Arial" w:cs="Arial"/>
        </w:rPr>
      </w:pPr>
      <w:r w:rsidRPr="7AD6DA35" w:rsidR="09D311F1">
        <w:rPr>
          <w:rFonts w:ascii="Arial" w:hAnsi="Arial" w:eastAsia="Arial" w:cs="Arial"/>
        </w:rPr>
        <w:t>Public body oversight</w:t>
      </w:r>
    </w:p>
    <w:p w:rsidR="7AD6DA35" w:rsidP="7AD6DA35" w:rsidRDefault="7AD6DA35" w14:paraId="53322DF8" w14:textId="0C97F6D0">
      <w:pPr>
        <w:spacing w:before="0" w:beforeAutospacing="off" w:after="0" w:afterAutospacing="off" w:line="300" w:lineRule="auto"/>
        <w:rPr>
          <w:rFonts w:ascii="Arial" w:hAnsi="Arial" w:eastAsia="Arial" w:cs="Arial"/>
          <w:b w:val="0"/>
          <w:bCs w:val="0"/>
          <w:i w:val="0"/>
          <w:iCs w:val="0"/>
          <w:noProof w:val="0"/>
          <w:sz w:val="24"/>
          <w:szCs w:val="24"/>
          <w:lang w:val="en-US"/>
        </w:rPr>
      </w:pPr>
    </w:p>
    <w:p w:rsidR="24FF2F82" w:rsidP="7AD6DA35" w:rsidRDefault="24FF2F82" w14:paraId="13A217DC" w14:textId="0F898074">
      <w:pPr>
        <w:spacing w:before="0" w:beforeAutospacing="off" w:after="0" w:afterAutospacing="off" w:line="300" w:lineRule="auto"/>
        <w:rPr>
          <w:rFonts w:ascii="Arial" w:hAnsi="Arial" w:eastAsia="Arial" w:cs="Arial"/>
          <w:b w:val="1"/>
          <w:bCs w:val="1"/>
          <w:i w:val="0"/>
          <w:iCs w:val="0"/>
          <w:noProof w:val="0"/>
          <w:sz w:val="24"/>
          <w:szCs w:val="24"/>
          <w:lang w:val="en-US"/>
        </w:rPr>
      </w:pPr>
      <w:r w:rsidRPr="7AD6DA35" w:rsidR="24FF2F82">
        <w:rPr>
          <w:rFonts w:ascii="Arial" w:hAnsi="Arial" w:eastAsia="Arial" w:cs="Arial"/>
          <w:b w:val="0"/>
          <w:bCs w:val="0"/>
          <w:i w:val="0"/>
          <w:iCs w:val="0"/>
          <w:noProof w:val="0"/>
          <w:sz w:val="24"/>
          <w:szCs w:val="24"/>
          <w:lang w:val="en-US"/>
        </w:rPr>
        <w:t xml:space="preserve">The literature suggests that the Horizon case may influence future regulation of digital systems used within public institutions. Greater scrutiny is now being applied to how organisations use technology-generated evidence in legal and disciplinary proceedings. </w:t>
      </w:r>
      <w:r w:rsidRPr="7AD6DA35" w:rsidR="24FF2F82">
        <w:rPr>
          <w:rFonts w:ascii="Arial" w:hAnsi="Arial" w:eastAsia="Arial" w:cs="Arial"/>
          <w:b w:val="0"/>
          <w:bCs w:val="0"/>
          <w:i w:val="0"/>
          <w:iCs w:val="0"/>
          <w:noProof w:val="0"/>
          <w:sz w:val="24"/>
          <w:szCs w:val="24"/>
          <w:lang w:val="en-US"/>
        </w:rPr>
        <w:t>For example, the Horizon scandal demonstrated the risks of relying on computer-generated evidence without adequate independent verification, as software errors were initially treated as proof of wrongdoing by Post Office employees. This has led scholars and policymakers to call for stronger oversight, transparency, and accountability in the use of digital systems within public sector organisations.</w:t>
      </w:r>
    </w:p>
    <w:p w:rsidR="1E1F2571" w:rsidP="63AE8152" w:rsidRDefault="1E1F2571" w14:paraId="0571B99B" w14:textId="778811B2">
      <w:pPr>
        <w:spacing w:before="210" w:after="210" w:line="300" w:lineRule="auto"/>
        <w:rPr>
          <w:rFonts w:ascii="Arial" w:hAnsi="Arial" w:eastAsia="Arial" w:cs="Arial"/>
        </w:rPr>
      </w:pPr>
      <w:r w:rsidRPr="7AD6DA35" w:rsidR="09D311F1">
        <w:rPr>
          <w:rFonts w:ascii="Arial" w:hAnsi="Arial" w:eastAsia="Arial" w:cs="Arial"/>
        </w:rPr>
        <w:t>Public accountability literature argues that restoring trust requires not only compensation but also transparency, institutional learning, and meaningful reform. Consequently, Horizon represents an important case study for understanding how organisations respond after large-scale technological and governance failures</w:t>
      </w:r>
      <w:r w:rsidRPr="7AD6DA35" w:rsidR="4E13C46D">
        <w:rPr>
          <w:rFonts w:ascii="Arial" w:hAnsi="Arial" w:eastAsia="Arial" w:cs="Arial"/>
        </w:rPr>
        <w:t xml:space="preserve"> </w:t>
      </w:r>
      <w:r w:rsidRPr="7AD6DA35" w:rsidR="4E13C46D">
        <w:rPr>
          <w:rFonts w:ascii="Arial" w:hAnsi="Arial" w:eastAsia="Arial" w:cs="Arial"/>
        </w:rPr>
        <w:t>(McGregor et al.2019).</w:t>
      </w:r>
    </w:p>
    <w:p w:rsidR="1E1F2571" w:rsidP="63AE8152" w:rsidRDefault="1E1F2571" w14:paraId="6DFA73C2" w14:textId="3FEA70C7">
      <w:pPr>
        <w:pStyle w:val="Heading1"/>
        <w:spacing w:before="281" w:after="281" w:line="300" w:lineRule="auto"/>
        <w:rPr>
          <w:rFonts w:ascii="Arial" w:hAnsi="Arial" w:eastAsia="Arial" w:cs="Arial"/>
          <w:b w:val="1"/>
          <w:bCs w:val="1"/>
          <w:color w:val="auto"/>
          <w:sz w:val="24"/>
          <w:szCs w:val="24"/>
        </w:rPr>
      </w:pPr>
      <w:bookmarkStart w:name="_Toc701733190" w:id="1610396999"/>
      <w:r w:rsidRPr="7AD6DA35" w:rsidR="29914885">
        <w:rPr>
          <w:rFonts w:ascii="Arial" w:hAnsi="Arial" w:eastAsia="Arial" w:cs="Arial"/>
          <w:b w:val="1"/>
          <w:bCs w:val="1"/>
          <w:color w:val="auto"/>
          <w:sz w:val="24"/>
          <w:szCs w:val="24"/>
        </w:rPr>
        <w:t xml:space="preserve">2.8. </w:t>
      </w:r>
      <w:r w:rsidRPr="7AD6DA35" w:rsidR="09D311F1">
        <w:rPr>
          <w:rFonts w:ascii="Arial" w:hAnsi="Arial" w:eastAsia="Arial" w:cs="Arial"/>
          <w:b w:val="1"/>
          <w:bCs w:val="1"/>
          <w:color w:val="auto"/>
          <w:sz w:val="24"/>
          <w:szCs w:val="24"/>
        </w:rPr>
        <w:t>Employee Engagement Theory</w:t>
      </w:r>
      <w:bookmarkEnd w:id="1610396999"/>
    </w:p>
    <w:p w:rsidR="10876895" w:rsidP="63AE8152" w:rsidRDefault="10876895" w14:paraId="18117552" w14:textId="57043D10">
      <w:pPr>
        <w:spacing w:before="210" w:after="210" w:line="300" w:lineRule="auto"/>
        <w:rPr>
          <w:rFonts w:ascii="Arial" w:hAnsi="Arial" w:eastAsia="Arial" w:cs="Arial"/>
        </w:rPr>
      </w:pPr>
      <w:r w:rsidRPr="7AD6DA35" w:rsidR="71D124AA">
        <w:rPr>
          <w:rFonts w:ascii="Arial" w:hAnsi="Arial" w:eastAsia="Arial" w:cs="Arial"/>
        </w:rPr>
        <w:t>The Employee</w:t>
      </w:r>
      <w:r w:rsidRPr="7AD6DA35" w:rsidR="09D311F1">
        <w:rPr>
          <w:rFonts w:ascii="Arial" w:hAnsi="Arial" w:eastAsia="Arial" w:cs="Arial"/>
        </w:rPr>
        <w:t xml:space="preserve"> Engagement Theory provides further insight into the Horizon scandal by examining how organisations respond to employee concerns</w:t>
      </w:r>
      <w:r w:rsidRPr="7AD6DA35" w:rsidR="1EFAAE1C">
        <w:rPr>
          <w:rFonts w:ascii="Arial" w:hAnsi="Arial" w:eastAsia="Arial" w:cs="Arial"/>
        </w:rPr>
        <w:t xml:space="preserve"> </w:t>
      </w:r>
      <w:r w:rsidRPr="7AD6DA35" w:rsidR="1EFAAE1C">
        <w:rPr>
          <w:rFonts w:ascii="Arial" w:hAnsi="Arial" w:eastAsia="Arial" w:cs="Arial"/>
        </w:rPr>
        <w:t>(Price 2012).</w:t>
      </w:r>
    </w:p>
    <w:p w:rsidR="1E1F2571" w:rsidP="63AE8152" w:rsidRDefault="1E1F2571" w14:paraId="687E4DDA" w14:textId="37C90F19">
      <w:pPr>
        <w:spacing w:before="210" w:after="210" w:line="300" w:lineRule="auto"/>
        <w:rPr>
          <w:rFonts w:ascii="Arial" w:hAnsi="Arial" w:eastAsia="Arial" w:cs="Arial"/>
        </w:rPr>
      </w:pPr>
      <w:r w:rsidRPr="7AD6DA35" w:rsidR="09D311F1">
        <w:rPr>
          <w:rFonts w:ascii="Arial" w:hAnsi="Arial" w:eastAsia="Arial" w:cs="Arial"/>
        </w:rPr>
        <w:t>Kahn (1990) defines employee engagement as the psychological commitment employees experience when they feel valued, supported, and able to contribute meaningfully to organisational objectives</w:t>
      </w:r>
      <w:r w:rsidRPr="7AD6DA35" w:rsidR="6DD8D4C6">
        <w:rPr>
          <w:rFonts w:ascii="Arial" w:hAnsi="Arial" w:eastAsia="Arial" w:cs="Arial"/>
        </w:rPr>
        <w:t xml:space="preserve"> </w:t>
      </w:r>
      <w:r w:rsidRPr="7AD6DA35" w:rsidR="6DD8D4C6">
        <w:rPr>
          <w:rFonts w:ascii="Arial" w:hAnsi="Arial" w:eastAsia="Arial" w:cs="Arial"/>
        </w:rPr>
        <w:t>(Price 2012).</w:t>
      </w:r>
    </w:p>
    <w:p w:rsidR="1E1F2571" w:rsidP="63AE8152" w:rsidRDefault="1E1F2571" w14:paraId="477169C0" w14:textId="32772584">
      <w:pPr>
        <w:spacing w:before="210" w:after="210" w:line="300" w:lineRule="auto"/>
        <w:rPr>
          <w:rFonts w:ascii="Arial" w:hAnsi="Arial" w:eastAsia="Arial" w:cs="Arial"/>
        </w:rPr>
      </w:pPr>
      <w:r w:rsidRPr="7AD6DA35" w:rsidR="09D311F1">
        <w:rPr>
          <w:rFonts w:ascii="Arial" w:hAnsi="Arial" w:eastAsia="Arial" w:cs="Arial"/>
        </w:rPr>
        <w:t>Research shows that engaged employees are more likely to report risks, share concerns, and participate in organisational improvement initiatives. Conversely, environments characterised by fear, mistrust, or poor communication may discourage individuals from raising concerns</w:t>
      </w:r>
      <w:r w:rsidRPr="7AD6DA35" w:rsidR="2FD4826E">
        <w:rPr>
          <w:rFonts w:ascii="Arial" w:hAnsi="Arial" w:eastAsia="Arial" w:cs="Arial"/>
        </w:rPr>
        <w:t xml:space="preserve"> </w:t>
      </w:r>
      <w:r w:rsidRPr="7AD6DA35" w:rsidR="2FD4826E">
        <w:rPr>
          <w:rFonts w:ascii="Arial" w:hAnsi="Arial" w:eastAsia="Arial" w:cs="Arial"/>
        </w:rPr>
        <w:t>(Price 2012).</w:t>
      </w:r>
    </w:p>
    <w:p w:rsidR="1E1F2571" w:rsidP="63AE8152" w:rsidRDefault="1E1F2571" w14:paraId="0618435C" w14:textId="6C2712A9">
      <w:pPr>
        <w:spacing w:before="210" w:after="210" w:line="300" w:lineRule="auto"/>
        <w:rPr>
          <w:rFonts w:ascii="Arial" w:hAnsi="Arial" w:eastAsia="Arial" w:cs="Arial"/>
        </w:rPr>
      </w:pPr>
      <w:r w:rsidRPr="7AD6DA35" w:rsidR="09D311F1">
        <w:rPr>
          <w:rFonts w:ascii="Arial" w:hAnsi="Arial" w:eastAsia="Arial" w:cs="Arial"/>
        </w:rPr>
        <w:t>Numerous reports suggest that sub-postmasters repeatedly reported accounting discrepancies and system anomalies. However, many felt their concerns were ignored, dismissed, or challenged</w:t>
      </w:r>
      <w:r w:rsidRPr="7AD6DA35" w:rsidR="30D43799">
        <w:rPr>
          <w:rFonts w:ascii="Arial" w:hAnsi="Arial" w:eastAsia="Arial" w:cs="Arial"/>
        </w:rPr>
        <w:t xml:space="preserve"> </w:t>
      </w:r>
      <w:r w:rsidRPr="7AD6DA35" w:rsidR="30D43799">
        <w:rPr>
          <w:rFonts w:ascii="Arial" w:hAnsi="Arial" w:eastAsia="Arial" w:cs="Arial"/>
        </w:rPr>
        <w:t>(Allen et al.2018)</w:t>
      </w:r>
      <w:r w:rsidRPr="7AD6DA35" w:rsidR="11F2B295">
        <w:rPr>
          <w:rFonts w:ascii="Arial" w:hAnsi="Arial" w:eastAsia="Arial" w:cs="Arial"/>
        </w:rPr>
        <w:t>.</w:t>
      </w:r>
    </w:p>
    <w:p w:rsidR="1E1F2571" w:rsidP="63AE8152" w:rsidRDefault="1E1F2571" w14:paraId="191B679A" w14:textId="193C1493">
      <w:pPr>
        <w:spacing w:before="210" w:after="210" w:line="300" w:lineRule="auto"/>
        <w:rPr>
          <w:rFonts w:ascii="Arial" w:hAnsi="Arial" w:eastAsia="Arial" w:cs="Arial"/>
        </w:rPr>
      </w:pPr>
      <w:r w:rsidRPr="7AD6DA35" w:rsidR="09D311F1">
        <w:rPr>
          <w:rFonts w:ascii="Arial" w:hAnsi="Arial" w:eastAsia="Arial" w:cs="Arial"/>
        </w:rPr>
        <w:t>Employee engagement literature suggests that organisations benefit from creating psychological safety, where individuals can raise concerns without fear of punishment or criticism. The absence of such conditions may contribute to organisational blind spots and delayed recognition of problems</w:t>
      </w:r>
      <w:r w:rsidRPr="7AD6DA35" w:rsidR="14E6A7B5">
        <w:rPr>
          <w:rFonts w:ascii="Arial" w:hAnsi="Arial" w:eastAsia="Arial" w:cs="Arial"/>
        </w:rPr>
        <w:t xml:space="preserve"> </w:t>
      </w:r>
      <w:r w:rsidRPr="7AD6DA35" w:rsidR="14E6A7B5">
        <w:rPr>
          <w:rFonts w:ascii="Arial" w:hAnsi="Arial" w:eastAsia="Arial" w:cs="Arial"/>
        </w:rPr>
        <w:t>(Allen et al</w:t>
      </w:r>
      <w:r w:rsidRPr="7AD6DA35" w:rsidR="3F93DC6C">
        <w:rPr>
          <w:rFonts w:ascii="Arial" w:hAnsi="Arial" w:eastAsia="Arial" w:cs="Arial"/>
        </w:rPr>
        <w:t>. 2018</w:t>
      </w:r>
      <w:r w:rsidRPr="7AD6DA35" w:rsidR="14E6A7B5">
        <w:rPr>
          <w:rFonts w:ascii="Arial" w:hAnsi="Arial" w:eastAsia="Arial" w:cs="Arial"/>
        </w:rPr>
        <w:t>)</w:t>
      </w:r>
      <w:r w:rsidRPr="7AD6DA35" w:rsidR="528CAC16">
        <w:rPr>
          <w:rFonts w:ascii="Arial" w:hAnsi="Arial" w:eastAsia="Arial" w:cs="Arial"/>
        </w:rPr>
        <w:t>.</w:t>
      </w:r>
    </w:p>
    <w:p w:rsidR="1E1F2571" w:rsidP="63AE8152" w:rsidRDefault="1E1F2571" w14:paraId="5FA2E923" w14:textId="7F33B9A8">
      <w:pPr>
        <w:spacing w:before="210" w:after="210" w:line="300" w:lineRule="auto"/>
        <w:rPr>
          <w:rFonts w:ascii="Arial" w:hAnsi="Arial" w:eastAsia="Arial" w:cs="Arial"/>
        </w:rPr>
      </w:pPr>
      <w:r w:rsidRPr="7AD6DA35" w:rsidR="09D311F1">
        <w:rPr>
          <w:rFonts w:ascii="Arial" w:hAnsi="Arial" w:eastAsia="Arial" w:cs="Arial"/>
        </w:rPr>
        <w:t>The Horizon case therefore highlights the relationship between employee voice, organisational learning, and governance effectiveness. Where employee concerns are not adequately considered, important risk signals may be missed</w:t>
      </w:r>
      <w:r w:rsidRPr="7AD6DA35" w:rsidR="733BC9EE">
        <w:rPr>
          <w:rFonts w:ascii="Arial" w:hAnsi="Arial" w:eastAsia="Arial" w:cs="Arial"/>
        </w:rPr>
        <w:t xml:space="preserve"> </w:t>
      </w:r>
      <w:r w:rsidRPr="7AD6DA35" w:rsidR="733BC9EE">
        <w:rPr>
          <w:rFonts w:ascii="Arial" w:hAnsi="Arial" w:eastAsia="Arial" w:cs="Arial"/>
        </w:rPr>
        <w:t>(Allen et al.2018)</w:t>
      </w:r>
      <w:r w:rsidRPr="7AD6DA35" w:rsidR="733BC9EE">
        <w:rPr>
          <w:rFonts w:ascii="Times New Roman" w:hAnsi="Times New Roman" w:eastAsia="Times New Roman" w:cs="Times New Roman"/>
        </w:rPr>
        <w:t>.</w:t>
      </w:r>
    </w:p>
    <w:p w:rsidR="1E1F2571" w:rsidP="63AE8152" w:rsidRDefault="1E1F2571" w14:paraId="7ED0B75B" w14:textId="469A8BFA">
      <w:pPr>
        <w:pStyle w:val="Heading1"/>
        <w:spacing w:before="281" w:after="281" w:line="300" w:lineRule="auto"/>
        <w:rPr>
          <w:rFonts w:ascii="Arial" w:hAnsi="Arial" w:eastAsia="Arial" w:cs="Arial"/>
          <w:b w:val="1"/>
          <w:bCs w:val="1"/>
          <w:color w:val="auto"/>
          <w:sz w:val="24"/>
          <w:szCs w:val="24"/>
        </w:rPr>
      </w:pPr>
      <w:bookmarkStart w:name="_Toc1396046057" w:id="1199493899"/>
      <w:r w:rsidRPr="7AD6DA35" w:rsidR="63581CF7">
        <w:rPr>
          <w:rFonts w:ascii="Arial" w:hAnsi="Arial" w:eastAsia="Arial" w:cs="Arial"/>
          <w:b w:val="1"/>
          <w:bCs w:val="1"/>
          <w:color w:val="auto"/>
          <w:sz w:val="24"/>
          <w:szCs w:val="24"/>
        </w:rPr>
        <w:t xml:space="preserve">2.9. </w:t>
      </w:r>
      <w:r w:rsidRPr="7AD6DA35" w:rsidR="09D311F1">
        <w:rPr>
          <w:rFonts w:ascii="Arial" w:hAnsi="Arial" w:eastAsia="Arial" w:cs="Arial"/>
          <w:b w:val="1"/>
          <w:bCs w:val="1"/>
          <w:color w:val="auto"/>
          <w:sz w:val="24"/>
          <w:szCs w:val="24"/>
        </w:rPr>
        <w:t>Transition Risks and Digital Transformation</w:t>
      </w:r>
      <w:bookmarkEnd w:id="1199493899"/>
    </w:p>
    <w:p w:rsidR="1E1F2571" w:rsidP="63AE8152" w:rsidRDefault="1E1F2571" w14:paraId="41629B54" w14:textId="6C0301CD">
      <w:pPr>
        <w:spacing w:before="210" w:after="210" w:line="300" w:lineRule="auto"/>
        <w:rPr>
          <w:rFonts w:ascii="Arial" w:hAnsi="Arial" w:eastAsia="Arial" w:cs="Arial"/>
        </w:rPr>
      </w:pPr>
      <w:r w:rsidRPr="7AD6DA35" w:rsidR="09D311F1">
        <w:rPr>
          <w:rFonts w:ascii="Arial" w:hAnsi="Arial" w:eastAsia="Arial" w:cs="Arial"/>
        </w:rPr>
        <w:t>Transition risk refers to the uncertainty and potential disruption associated with moving from one system, process, or technology to another</w:t>
      </w:r>
      <w:r w:rsidRPr="7AD6DA35" w:rsidR="51710CB3">
        <w:rPr>
          <w:rFonts w:ascii="Arial" w:hAnsi="Arial" w:eastAsia="Arial" w:cs="Arial"/>
        </w:rPr>
        <w:t xml:space="preserve"> </w:t>
      </w:r>
      <w:r w:rsidRPr="7AD6DA35" w:rsidR="51710CB3">
        <w:rPr>
          <w:rFonts w:ascii="Arial" w:hAnsi="Arial" w:eastAsia="Arial" w:cs="Arial"/>
        </w:rPr>
        <w:t>(Nur Aini and Umatun Markhumah 2026).</w:t>
      </w:r>
    </w:p>
    <w:p w:rsidR="1E1F2571" w:rsidP="63AE8152" w:rsidRDefault="1E1F2571" w14:paraId="24078ED9" w14:textId="2B021016">
      <w:pPr>
        <w:spacing w:before="210" w:after="210" w:line="300" w:lineRule="auto"/>
        <w:rPr>
          <w:rFonts w:ascii="Arial" w:hAnsi="Arial" w:eastAsia="Arial" w:cs="Arial"/>
        </w:rPr>
      </w:pPr>
      <w:r w:rsidRPr="63AE8152">
        <w:rPr>
          <w:rFonts w:ascii="Arial" w:hAnsi="Arial" w:eastAsia="Arial" w:cs="Arial"/>
        </w:rPr>
        <w:t>Digital transformation literature identifies system replacement as one of the most challenging organisational activities because critical operations must continue while major technological changes are implemented (Vial, 2019).</w:t>
      </w:r>
    </w:p>
    <w:p w:rsidR="1E1F2571" w:rsidP="63AE8152" w:rsidRDefault="1E1F2571" w14:paraId="0B4E77FA" w14:textId="225C8F2F">
      <w:pPr>
        <w:spacing w:before="210" w:after="210" w:line="300" w:lineRule="auto"/>
        <w:rPr>
          <w:rFonts w:ascii="Arial" w:hAnsi="Arial" w:eastAsia="Arial" w:cs="Arial"/>
        </w:rPr>
      </w:pPr>
      <w:r w:rsidRPr="7AD6DA35" w:rsidR="09D311F1">
        <w:rPr>
          <w:rFonts w:ascii="Arial" w:hAnsi="Arial" w:eastAsia="Arial" w:cs="Arial"/>
        </w:rPr>
        <w:t xml:space="preserve">The Post Office's attempt to replace Horizon through the New Branch IT (NBIT) </w:t>
      </w:r>
      <w:r w:rsidRPr="7AD6DA35" w:rsidR="09D311F1">
        <w:rPr>
          <w:rFonts w:ascii="Arial" w:hAnsi="Arial" w:eastAsia="Arial" w:cs="Arial"/>
        </w:rPr>
        <w:t>program</w:t>
      </w:r>
      <w:r w:rsidRPr="7AD6DA35" w:rsidR="09D311F1">
        <w:rPr>
          <w:rFonts w:ascii="Arial" w:hAnsi="Arial" w:eastAsia="Arial" w:cs="Arial"/>
        </w:rPr>
        <w:t xml:space="preserve"> </w:t>
      </w:r>
      <w:r w:rsidRPr="7AD6DA35" w:rsidR="09D311F1">
        <w:rPr>
          <w:rFonts w:ascii="Arial" w:hAnsi="Arial" w:eastAsia="Arial" w:cs="Arial"/>
        </w:rPr>
        <w:t>demonstrates</w:t>
      </w:r>
      <w:r w:rsidRPr="7AD6DA35" w:rsidR="09D311F1">
        <w:rPr>
          <w:rFonts w:ascii="Arial" w:hAnsi="Arial" w:eastAsia="Arial" w:cs="Arial"/>
        </w:rPr>
        <w:t xml:space="preserve"> these challenges. Although NBIT was intended to </w:t>
      </w:r>
      <w:r w:rsidRPr="7AD6DA35" w:rsidR="09D311F1">
        <w:rPr>
          <w:rFonts w:ascii="Arial" w:hAnsi="Arial" w:eastAsia="Arial" w:cs="Arial"/>
        </w:rPr>
        <w:t>modernise</w:t>
      </w:r>
      <w:r w:rsidRPr="7AD6DA35" w:rsidR="09D311F1">
        <w:rPr>
          <w:rFonts w:ascii="Arial" w:hAnsi="Arial" w:eastAsia="Arial" w:cs="Arial"/>
        </w:rPr>
        <w:t xml:space="preserve"> branch operations, implementation difficulties led to delays and eventual strategic changes</w:t>
      </w:r>
      <w:r w:rsidRPr="7AD6DA35" w:rsidR="3221A867">
        <w:rPr>
          <w:rFonts w:ascii="Arial" w:hAnsi="Arial" w:eastAsia="Arial" w:cs="Arial"/>
        </w:rPr>
        <w:t xml:space="preserve"> </w:t>
      </w:r>
      <w:r w:rsidRPr="7AD6DA35" w:rsidR="3221A867">
        <w:rPr>
          <w:rFonts w:ascii="Arial" w:hAnsi="Arial" w:eastAsia="Arial" w:cs="Arial"/>
        </w:rPr>
        <w:t xml:space="preserve">(Nur Aini and </w:t>
      </w:r>
      <w:r w:rsidRPr="7AD6DA35" w:rsidR="3221A867">
        <w:rPr>
          <w:rFonts w:ascii="Arial" w:hAnsi="Arial" w:eastAsia="Arial" w:cs="Arial"/>
        </w:rPr>
        <w:t>Umatun</w:t>
      </w:r>
      <w:r w:rsidRPr="7AD6DA35" w:rsidR="3221A867">
        <w:rPr>
          <w:rFonts w:ascii="Arial" w:hAnsi="Arial" w:eastAsia="Arial" w:cs="Arial"/>
        </w:rPr>
        <w:t xml:space="preserve"> </w:t>
      </w:r>
      <w:r w:rsidRPr="7AD6DA35" w:rsidR="3221A867">
        <w:rPr>
          <w:rFonts w:ascii="Arial" w:hAnsi="Arial" w:eastAsia="Arial" w:cs="Arial"/>
        </w:rPr>
        <w:t>Markhumah</w:t>
      </w:r>
      <w:r w:rsidRPr="7AD6DA35" w:rsidR="3221A867">
        <w:rPr>
          <w:rFonts w:ascii="Arial" w:hAnsi="Arial" w:eastAsia="Arial" w:cs="Arial"/>
        </w:rPr>
        <w:t xml:space="preserve"> 2026)</w:t>
      </w:r>
    </w:p>
    <w:p w:rsidR="1E1F2571" w:rsidP="63AE8152" w:rsidRDefault="1E1F2571" w14:paraId="70FC4602" w14:textId="2D7DA8D7">
      <w:pPr>
        <w:spacing w:before="210" w:after="210" w:line="300" w:lineRule="auto"/>
        <w:rPr>
          <w:rFonts w:ascii="Arial" w:hAnsi="Arial" w:eastAsia="Arial" w:cs="Arial"/>
        </w:rPr>
      </w:pPr>
      <w:r w:rsidRPr="63AE8152">
        <w:rPr>
          <w:rFonts w:ascii="Arial" w:hAnsi="Arial" w:eastAsia="Arial" w:cs="Arial"/>
        </w:rPr>
        <w:t>Research suggests that complex transition programmes commonly face:</w:t>
      </w:r>
    </w:p>
    <w:p w:rsidR="1E1F2571" w:rsidP="63AE8152" w:rsidRDefault="1E1F2571" w14:paraId="73D55689" w14:textId="43E0D5AB">
      <w:pPr>
        <w:pStyle w:val="ListParagraph"/>
        <w:numPr>
          <w:ilvl w:val="0"/>
          <w:numId w:val="13"/>
        </w:numPr>
        <w:spacing w:after="0" w:line="300" w:lineRule="auto"/>
        <w:rPr>
          <w:rFonts w:ascii="Arial" w:hAnsi="Arial" w:eastAsia="Arial" w:cs="Arial"/>
        </w:rPr>
      </w:pPr>
      <w:r w:rsidRPr="63AE8152">
        <w:rPr>
          <w:rFonts w:ascii="Arial" w:hAnsi="Arial" w:eastAsia="Arial" w:cs="Arial"/>
        </w:rPr>
        <w:t>Budget overruns</w:t>
      </w:r>
    </w:p>
    <w:p w:rsidR="1E1F2571" w:rsidP="63AE8152" w:rsidRDefault="1E1F2571" w14:paraId="0C1DB1AE" w14:textId="27425934">
      <w:pPr>
        <w:pStyle w:val="ListParagraph"/>
        <w:numPr>
          <w:ilvl w:val="0"/>
          <w:numId w:val="13"/>
        </w:numPr>
        <w:spacing w:after="0" w:line="300" w:lineRule="auto"/>
        <w:rPr>
          <w:rFonts w:ascii="Arial" w:hAnsi="Arial" w:eastAsia="Arial" w:cs="Arial"/>
        </w:rPr>
      </w:pPr>
      <w:r w:rsidRPr="63AE8152">
        <w:rPr>
          <w:rFonts w:ascii="Arial" w:hAnsi="Arial" w:eastAsia="Arial" w:cs="Arial"/>
        </w:rPr>
        <w:t>Technical integration challenges</w:t>
      </w:r>
    </w:p>
    <w:p w:rsidR="1E1F2571" w:rsidP="63AE8152" w:rsidRDefault="1E1F2571" w14:paraId="74A0189B" w14:textId="1B7912E3">
      <w:pPr>
        <w:pStyle w:val="ListParagraph"/>
        <w:numPr>
          <w:ilvl w:val="0"/>
          <w:numId w:val="13"/>
        </w:numPr>
        <w:spacing w:after="0" w:line="300" w:lineRule="auto"/>
        <w:rPr>
          <w:rFonts w:ascii="Arial" w:hAnsi="Arial" w:eastAsia="Arial" w:cs="Arial"/>
        </w:rPr>
      </w:pPr>
      <w:r w:rsidRPr="63AE8152">
        <w:rPr>
          <w:rFonts w:ascii="Arial" w:hAnsi="Arial" w:eastAsia="Arial" w:cs="Arial"/>
        </w:rPr>
        <w:t>Stakeholder resistance</w:t>
      </w:r>
    </w:p>
    <w:p w:rsidR="1E1F2571" w:rsidP="63AE8152" w:rsidRDefault="1E1F2571" w14:paraId="47261AD7" w14:textId="231D85C7">
      <w:pPr>
        <w:pStyle w:val="ListParagraph"/>
        <w:numPr>
          <w:ilvl w:val="0"/>
          <w:numId w:val="13"/>
        </w:numPr>
        <w:spacing w:after="0" w:line="300" w:lineRule="auto"/>
        <w:rPr>
          <w:rFonts w:ascii="Arial" w:hAnsi="Arial" w:eastAsia="Arial" w:cs="Arial"/>
        </w:rPr>
      </w:pPr>
      <w:r w:rsidRPr="63AE8152">
        <w:rPr>
          <w:rFonts w:ascii="Arial" w:hAnsi="Arial" w:eastAsia="Arial" w:cs="Arial"/>
        </w:rPr>
        <w:t>Project delays</w:t>
      </w:r>
    </w:p>
    <w:p w:rsidR="1E1F2571" w:rsidP="63AE8152" w:rsidRDefault="1E1F2571" w14:paraId="5265BAAB" w14:textId="04393082">
      <w:pPr>
        <w:pStyle w:val="ListParagraph"/>
        <w:numPr>
          <w:ilvl w:val="0"/>
          <w:numId w:val="13"/>
        </w:numPr>
        <w:spacing w:after="0" w:line="300" w:lineRule="auto"/>
        <w:rPr>
          <w:rFonts w:ascii="Arial" w:hAnsi="Arial" w:eastAsia="Arial" w:cs="Arial"/>
        </w:rPr>
      </w:pPr>
      <w:r w:rsidRPr="63AE8152">
        <w:rPr>
          <w:rFonts w:ascii="Arial" w:hAnsi="Arial" w:eastAsia="Arial" w:cs="Arial"/>
        </w:rPr>
        <w:t>Supplier management issues</w:t>
      </w:r>
    </w:p>
    <w:p w:rsidR="1E1F2571" w:rsidP="63AE8152" w:rsidRDefault="1E1F2571" w14:paraId="10367D69" w14:textId="05E68A4E">
      <w:pPr>
        <w:spacing w:before="210" w:after="210" w:line="300" w:lineRule="auto"/>
        <w:rPr>
          <w:rFonts w:ascii="Arial" w:hAnsi="Arial" w:eastAsia="Arial" w:cs="Arial"/>
        </w:rPr>
      </w:pPr>
      <w:r w:rsidRPr="63AE8152">
        <w:rPr>
          <w:rFonts w:ascii="Arial" w:hAnsi="Arial" w:eastAsia="Arial" w:cs="Arial"/>
        </w:rPr>
        <w:t>When transition programmes encounter difficulties, organisations often extend the use of existing systems. While this may reduce short-term disruption, it may also increase long-term operational and technological risks.</w:t>
      </w:r>
    </w:p>
    <w:p w:rsidR="1E1F2571" w:rsidP="63AE8152" w:rsidRDefault="1E1F2571" w14:paraId="71DF2E4B" w14:textId="4D74ED0B">
      <w:pPr>
        <w:spacing w:before="210" w:after="210" w:line="300" w:lineRule="auto"/>
        <w:rPr>
          <w:rFonts w:ascii="Arial" w:hAnsi="Arial" w:eastAsia="Arial" w:cs="Arial"/>
        </w:rPr>
      </w:pPr>
      <w:r w:rsidRPr="7AD6DA35" w:rsidR="09D311F1">
        <w:rPr>
          <w:rFonts w:ascii="Arial" w:hAnsi="Arial" w:eastAsia="Arial" w:cs="Arial"/>
        </w:rPr>
        <w:t>The continued extension of Horizon illustrates how failed or delayed transformation projects can create dependency on ageing systems. Literature suggests that effective transition management requires clear governance, stakeholder engagement, realistic planning, and continuous risk assessment</w:t>
      </w:r>
      <w:r w:rsidRPr="7AD6DA35" w:rsidR="62C51D67">
        <w:rPr>
          <w:rFonts w:ascii="Arial" w:hAnsi="Arial" w:eastAsia="Arial" w:cs="Arial"/>
        </w:rPr>
        <w:t xml:space="preserve"> </w:t>
      </w:r>
      <w:r w:rsidRPr="7AD6DA35" w:rsidR="62C51D67">
        <w:rPr>
          <w:rFonts w:ascii="Arial" w:hAnsi="Arial" w:eastAsia="Arial" w:cs="Arial"/>
        </w:rPr>
        <w:t>(Nur Aini and Umatun Markhumah 2026)</w:t>
      </w:r>
    </w:p>
    <w:p w:rsidR="1E1F2571" w:rsidP="63AE8152" w:rsidRDefault="1E1F2571" w14:paraId="24E6D3DD" w14:textId="4AA497A4">
      <w:pPr>
        <w:pStyle w:val="Heading1"/>
        <w:spacing w:before="281" w:after="281" w:line="300" w:lineRule="auto"/>
        <w:rPr>
          <w:rFonts w:ascii="Arial" w:hAnsi="Arial" w:eastAsia="Arial" w:cs="Arial"/>
          <w:b w:val="1"/>
          <w:bCs w:val="1"/>
          <w:color w:val="auto"/>
          <w:sz w:val="24"/>
          <w:szCs w:val="24"/>
        </w:rPr>
      </w:pPr>
      <w:bookmarkStart w:name="_Toc801011216" w:id="1673756875"/>
      <w:r w:rsidRPr="7AD6DA35" w:rsidR="41389BF3">
        <w:rPr>
          <w:rFonts w:ascii="Arial" w:hAnsi="Arial" w:eastAsia="Arial" w:cs="Arial"/>
          <w:b w:val="1"/>
          <w:bCs w:val="1"/>
          <w:color w:val="auto"/>
          <w:sz w:val="24"/>
          <w:szCs w:val="24"/>
        </w:rPr>
        <w:t xml:space="preserve">2.2.1. </w:t>
      </w:r>
      <w:r w:rsidRPr="7AD6DA35" w:rsidR="09D311F1">
        <w:rPr>
          <w:rFonts w:ascii="Arial" w:hAnsi="Arial" w:eastAsia="Arial" w:cs="Arial"/>
          <w:b w:val="1"/>
          <w:bCs w:val="1"/>
          <w:color w:val="auto"/>
          <w:sz w:val="24"/>
          <w:szCs w:val="24"/>
        </w:rPr>
        <w:t>Relationship Between the Main Themes</w:t>
      </w:r>
      <w:bookmarkEnd w:id="1673756875"/>
    </w:p>
    <w:p w:rsidR="1E1F2571" w:rsidP="63AE8152" w:rsidRDefault="1E1F2571" w14:paraId="47BA59B5" w14:textId="5BBF8C85">
      <w:pPr>
        <w:spacing w:before="210" w:after="210" w:line="300" w:lineRule="auto"/>
        <w:rPr>
          <w:rFonts w:ascii="Arial" w:hAnsi="Arial" w:eastAsia="Arial" w:cs="Arial"/>
        </w:rPr>
      </w:pPr>
      <w:r w:rsidRPr="63AE8152">
        <w:rPr>
          <w:rFonts w:ascii="Arial" w:hAnsi="Arial" w:eastAsia="Arial" w:cs="Arial"/>
        </w:rPr>
        <w:t>The reviewed themes are closely interconnected.</w:t>
      </w:r>
    </w:p>
    <w:p w:rsidR="1E1F2571" w:rsidP="63AE8152" w:rsidRDefault="1E1F2571" w14:paraId="44DEE6DF" w14:textId="56AAE8E2">
      <w:pPr>
        <w:spacing w:before="210" w:after="210" w:line="300" w:lineRule="auto"/>
        <w:rPr>
          <w:rFonts w:ascii="Arial" w:hAnsi="Arial" w:eastAsia="Arial" w:cs="Arial"/>
        </w:rPr>
      </w:pPr>
      <w:r w:rsidRPr="63AE8152">
        <w:rPr>
          <w:rFonts w:ascii="Arial" w:hAnsi="Arial" w:eastAsia="Arial" w:cs="Arial"/>
        </w:rPr>
        <w:lastRenderedPageBreak/>
        <w:t>Technical failures within Horizon created operational and financial risks. However, these failures became more significant because governance structures failed to identify, escalate, and manage emerging problems effectively.</w:t>
      </w:r>
    </w:p>
    <w:p w:rsidR="1E1F2571" w:rsidP="63AE8152" w:rsidRDefault="1E1F2571" w14:paraId="5B455E3E" w14:textId="2181BBF2">
      <w:pPr>
        <w:spacing w:before="210" w:after="210" w:line="300" w:lineRule="auto"/>
        <w:rPr>
          <w:rFonts w:ascii="Arial" w:hAnsi="Arial" w:eastAsia="Arial" w:cs="Arial"/>
        </w:rPr>
      </w:pPr>
      <w:r w:rsidRPr="63AE8152">
        <w:rPr>
          <w:rFonts w:ascii="Arial" w:hAnsi="Arial" w:eastAsia="Arial" w:cs="Arial"/>
        </w:rPr>
        <w:t>STS theory explains this relationship by demonstrating how technical and social systems influence one another. Technology failures alone do not necessarily produce organisational crises; rather, crises emerge when governance systems fail to respond appropriately.</w:t>
      </w:r>
    </w:p>
    <w:p w:rsidR="1E1F2571" w:rsidP="63AE8152" w:rsidRDefault="1E1F2571" w14:paraId="3F3E9DD3" w14:textId="27D2A40D">
      <w:pPr>
        <w:spacing w:before="210" w:after="210" w:line="300" w:lineRule="auto"/>
        <w:rPr>
          <w:rFonts w:ascii="Arial" w:hAnsi="Arial" w:eastAsia="Arial" w:cs="Arial"/>
        </w:rPr>
      </w:pPr>
      <w:r w:rsidRPr="63AE8152">
        <w:rPr>
          <w:rFonts w:ascii="Arial" w:hAnsi="Arial" w:eastAsia="Arial" w:cs="Arial"/>
        </w:rPr>
        <w:t xml:space="preserve">Employee engagement is also linked to </w:t>
      </w:r>
      <w:r w:rsidRPr="63AE8152" w:rsidR="5E398B8C">
        <w:rPr>
          <w:rFonts w:ascii="Arial" w:hAnsi="Arial" w:eastAsia="Arial" w:cs="Arial"/>
        </w:rPr>
        <w:t>effectiveness of governance</w:t>
      </w:r>
      <w:r w:rsidRPr="63AE8152">
        <w:rPr>
          <w:rFonts w:ascii="Arial" w:hAnsi="Arial" w:eastAsia="Arial" w:cs="Arial"/>
        </w:rPr>
        <w:t>. Where employee concerns are disregarded, organisations lose valuable opportunities to detect risks early.</w:t>
      </w:r>
    </w:p>
    <w:p w:rsidR="1E1F2571" w:rsidP="63AE8152" w:rsidRDefault="1E1F2571" w14:paraId="7A39A891" w14:textId="30709CBC">
      <w:pPr>
        <w:spacing w:before="210" w:after="210" w:line="300" w:lineRule="auto"/>
        <w:rPr>
          <w:rFonts w:ascii="Arial" w:hAnsi="Arial" w:eastAsia="Arial" w:cs="Arial"/>
        </w:rPr>
      </w:pPr>
      <w:r w:rsidRPr="63AE8152">
        <w:rPr>
          <w:rFonts w:ascii="Arial" w:hAnsi="Arial" w:eastAsia="Arial" w:cs="Arial"/>
        </w:rPr>
        <w:t>Similarly, transition risks are influenced by governance quality. Effective leadership and oversight increase the likelihood of successful technology replacement, whereas weak governance may contribute to delays, cost increases, and continued reliance on problematic systems.</w:t>
      </w:r>
    </w:p>
    <w:p w:rsidR="1E1F2571" w:rsidP="63AE8152" w:rsidRDefault="1E1F2571" w14:paraId="39EF8773" w14:textId="4BFBA566">
      <w:pPr>
        <w:spacing w:before="210" w:after="210" w:line="300" w:lineRule="auto"/>
        <w:rPr>
          <w:rFonts w:ascii="Arial" w:hAnsi="Arial" w:eastAsia="Arial" w:cs="Arial"/>
        </w:rPr>
      </w:pPr>
      <w:r w:rsidRPr="63AE8152">
        <w:rPr>
          <w:rFonts w:ascii="Arial" w:hAnsi="Arial" w:eastAsia="Arial" w:cs="Arial"/>
        </w:rPr>
        <w:t>Compensation and legal reforms represent responses to failures across all these areas. They highlight the consequences of weaknesses in technology management, governance, accountability, and organisational culture.</w:t>
      </w:r>
    </w:p>
    <w:p w:rsidR="1E1F2571" w:rsidP="63AE8152" w:rsidRDefault="1E1F2571" w14:paraId="09DD9533" w14:textId="59AFE256">
      <w:pPr>
        <w:spacing w:before="210" w:after="210" w:line="300" w:lineRule="auto"/>
        <w:rPr>
          <w:rFonts w:ascii="Arial" w:hAnsi="Arial" w:eastAsia="Arial" w:cs="Arial"/>
        </w:rPr>
      </w:pPr>
      <w:r w:rsidRPr="63AE8152">
        <w:rPr>
          <w:rFonts w:ascii="Arial" w:hAnsi="Arial" w:eastAsia="Arial" w:cs="Arial"/>
        </w:rPr>
        <w:t>Together, these themes suggest that the Horizon scandal should be understood as a multidimensional failure involving technology, people, governance, and organisational decision-making.</w:t>
      </w:r>
    </w:p>
    <w:p w:rsidR="1E1F2571" w:rsidP="622911A9" w:rsidRDefault="00F14C95" w14:paraId="519D3A0D" w14:textId="683DC5F4">
      <w:pPr>
        <w:pStyle w:val="Heading1"/>
        <w:spacing w:before="281" w:after="281" w:line="300" w:lineRule="auto"/>
        <w:rPr>
          <w:rFonts w:ascii="Arial" w:hAnsi="Arial" w:eastAsia="Arial" w:cs="Arial"/>
          <w:b w:val="1"/>
          <w:bCs w:val="1"/>
          <w:color w:val="auto"/>
          <w:sz w:val="24"/>
          <w:szCs w:val="24"/>
        </w:rPr>
      </w:pPr>
      <w:bookmarkStart w:name="_Toc740439696" w:id="1779231334"/>
      <w:r w:rsidRPr="7AD6DA35" w:rsidR="3666ED66">
        <w:rPr>
          <w:rFonts w:ascii="Arial" w:hAnsi="Arial" w:eastAsia="Arial" w:cs="Arial"/>
          <w:b w:val="1"/>
          <w:bCs w:val="1"/>
          <w:color w:val="auto"/>
          <w:sz w:val="24"/>
          <w:szCs w:val="24"/>
        </w:rPr>
        <w:t xml:space="preserve">2.3.1. </w:t>
      </w:r>
      <w:r w:rsidRPr="7AD6DA35" w:rsidR="7AF12F45">
        <w:rPr>
          <w:rFonts w:ascii="Arial" w:hAnsi="Arial" w:eastAsia="Arial" w:cs="Arial"/>
          <w:b w:val="1"/>
          <w:bCs w:val="1"/>
          <w:color w:val="auto"/>
          <w:sz w:val="24"/>
          <w:szCs w:val="24"/>
        </w:rPr>
        <w:t>Research Gap</w:t>
      </w:r>
      <w:bookmarkEnd w:id="1779231334"/>
    </w:p>
    <w:p w:rsidR="1E1F2571" w:rsidP="63AE8152" w:rsidRDefault="1E1F2571" w14:paraId="5FAB4169" w14:textId="52C6F644">
      <w:pPr>
        <w:spacing w:before="210" w:after="210" w:line="300" w:lineRule="auto"/>
        <w:rPr>
          <w:rFonts w:ascii="Arial" w:hAnsi="Arial" w:eastAsia="Arial" w:cs="Arial"/>
        </w:rPr>
      </w:pPr>
      <w:r w:rsidRPr="63AE8152">
        <w:rPr>
          <w:rFonts w:ascii="Arial" w:hAnsi="Arial" w:eastAsia="Arial" w:cs="Arial"/>
        </w:rPr>
        <w:t>Despite substantial public attention and extensive inquiry investigations, several gaps remain in the existing literature.</w:t>
      </w:r>
    </w:p>
    <w:p w:rsidR="1E1F2571" w:rsidP="63AE8152" w:rsidRDefault="1E1F2571" w14:paraId="3212932C" w14:textId="38FEC664">
      <w:pPr>
        <w:spacing w:before="210" w:after="210" w:line="300" w:lineRule="auto"/>
        <w:rPr>
          <w:rFonts w:ascii="Arial" w:hAnsi="Arial" w:eastAsia="Arial" w:cs="Arial"/>
        </w:rPr>
      </w:pPr>
      <w:r w:rsidRPr="63AE8152">
        <w:rPr>
          <w:rFonts w:ascii="Arial" w:hAnsi="Arial" w:eastAsia="Arial" w:cs="Arial"/>
        </w:rPr>
        <w:t>First, many studies focus primarily on the legal aspects of wrongful convictions rather than examining the combined relationship between system failure, governance weaknesses, and transition risk.</w:t>
      </w:r>
    </w:p>
    <w:p w:rsidR="1E1F2571" w:rsidP="63AE8152" w:rsidRDefault="1E1F2571" w14:paraId="30609442" w14:textId="49305A80">
      <w:pPr>
        <w:spacing w:before="210" w:after="210" w:line="300" w:lineRule="auto"/>
        <w:rPr>
          <w:rFonts w:ascii="Arial" w:hAnsi="Arial" w:eastAsia="Arial" w:cs="Arial"/>
        </w:rPr>
      </w:pPr>
      <w:r w:rsidRPr="63AE8152">
        <w:rPr>
          <w:rFonts w:ascii="Arial" w:hAnsi="Arial" w:eastAsia="Arial" w:cs="Arial"/>
        </w:rPr>
        <w:t>Second, existing research often addresses technical failure or governance separately rather than exploring how these factors interact and reinforce one another.</w:t>
      </w:r>
    </w:p>
    <w:p w:rsidR="1E1F2571" w:rsidP="63AE8152" w:rsidRDefault="1E1F2571" w14:paraId="7F1C6D8B" w14:textId="18BB623D">
      <w:pPr>
        <w:spacing w:before="210" w:after="210" w:line="300" w:lineRule="auto"/>
        <w:rPr>
          <w:rFonts w:ascii="Arial" w:hAnsi="Arial" w:eastAsia="Arial" w:cs="Arial"/>
        </w:rPr>
      </w:pPr>
      <w:r w:rsidRPr="63AE8152">
        <w:rPr>
          <w:rFonts w:ascii="Arial" w:hAnsi="Arial" w:eastAsia="Arial" w:cs="Arial"/>
        </w:rPr>
        <w:t>Third, limited academic attention has been given to the consequences of delayed technology replacement and the operational risks associated with prolonged dependence on legacy systems within public sector organisations.</w:t>
      </w:r>
    </w:p>
    <w:p w:rsidR="1E1F2571" w:rsidP="63AE8152" w:rsidRDefault="1E1F2571" w14:paraId="5A16DC66" w14:textId="6A13DA62">
      <w:pPr>
        <w:spacing w:before="210" w:after="210" w:line="300" w:lineRule="auto"/>
        <w:rPr>
          <w:rFonts w:ascii="Arial" w:hAnsi="Arial" w:eastAsia="Arial" w:cs="Arial"/>
        </w:rPr>
      </w:pPr>
      <w:r w:rsidRPr="63AE8152">
        <w:rPr>
          <w:rFonts w:ascii="Arial" w:hAnsi="Arial" w:eastAsia="Arial" w:cs="Arial"/>
        </w:rPr>
        <w:lastRenderedPageBreak/>
        <w:t>Finally, while inquiry reports document historical events in considerable detail, there remains a need for integrated analysis that combines technological, governance, and transition perspectives within a single framework.</w:t>
      </w:r>
    </w:p>
    <w:p w:rsidR="1E1F2571" w:rsidP="63AE8152" w:rsidRDefault="1E1F2571" w14:paraId="4F5861D0" w14:textId="41E2D144">
      <w:pPr>
        <w:spacing w:before="210" w:after="210" w:line="300" w:lineRule="auto"/>
        <w:rPr>
          <w:rFonts w:ascii="Arial" w:hAnsi="Arial" w:eastAsia="Arial" w:cs="Arial"/>
        </w:rPr>
      </w:pPr>
      <w:r w:rsidRPr="63AE8152">
        <w:rPr>
          <w:rFonts w:ascii="Arial" w:hAnsi="Arial" w:eastAsia="Arial" w:cs="Arial"/>
        </w:rPr>
        <w:t>This study seeks to address these gaps by providing a holistic examination of Horizon system failures, organisational governance, and transition risks through the lens of the UK Post Office case.</w:t>
      </w:r>
    </w:p>
    <w:p w:rsidR="1E1F2571" w:rsidP="63AE8152" w:rsidRDefault="1E1F2571" w14:paraId="00569A79" w14:textId="1D5BEBBF">
      <w:pPr>
        <w:pStyle w:val="Heading1"/>
        <w:spacing w:before="281" w:after="281" w:line="300" w:lineRule="auto"/>
        <w:rPr>
          <w:rFonts w:ascii="Arial" w:hAnsi="Arial" w:eastAsia="Arial" w:cs="Arial"/>
          <w:b w:val="1"/>
          <w:bCs w:val="1"/>
          <w:color w:val="auto"/>
          <w:sz w:val="24"/>
          <w:szCs w:val="24"/>
        </w:rPr>
      </w:pPr>
      <w:bookmarkStart w:name="_Toc1172516070" w:id="417937452"/>
      <w:r w:rsidRPr="7AD6DA35" w:rsidR="09D311F1">
        <w:rPr>
          <w:rFonts w:ascii="Arial" w:hAnsi="Arial" w:eastAsia="Arial" w:cs="Arial"/>
          <w:b w:val="1"/>
          <w:bCs w:val="1"/>
          <w:color w:val="auto"/>
          <w:sz w:val="24"/>
          <w:szCs w:val="24"/>
        </w:rPr>
        <w:t>Conceptual Framework and Research Propositions</w:t>
      </w:r>
      <w:bookmarkEnd w:id="417937452"/>
    </w:p>
    <w:p w:rsidR="1E1F2571" w:rsidP="63AE8152" w:rsidRDefault="1E1F2571" w14:paraId="76F13A91" w14:textId="7DA0F413">
      <w:pPr>
        <w:spacing w:before="210" w:after="210" w:line="300" w:lineRule="auto"/>
        <w:rPr>
          <w:rFonts w:ascii="Arial" w:hAnsi="Arial" w:eastAsia="Arial" w:cs="Arial"/>
        </w:rPr>
      </w:pPr>
      <w:r w:rsidRPr="63AE8152">
        <w:rPr>
          <w:rFonts w:ascii="Arial" w:hAnsi="Arial" w:eastAsia="Arial" w:cs="Arial"/>
        </w:rPr>
        <w:t>Based on the literature review, a conceptual framework is developed to examine the relationship between Horizon system failures, organisational governance, and transition risks.</w:t>
      </w:r>
    </w:p>
    <w:p w:rsidR="1E1F2571" w:rsidP="63AE8152" w:rsidRDefault="1E1F2571" w14:paraId="178E1341" w14:textId="3A4503D2">
      <w:pPr>
        <w:pStyle w:val="Heading3"/>
        <w:spacing w:before="246" w:after="246" w:line="300" w:lineRule="auto"/>
        <w:rPr>
          <w:rFonts w:ascii="Arial" w:hAnsi="Arial" w:eastAsia="Arial" w:cs="Arial"/>
          <w:b w:val="1"/>
          <w:bCs w:val="1"/>
          <w:color w:val="auto"/>
          <w:sz w:val="24"/>
          <w:szCs w:val="24"/>
        </w:rPr>
      </w:pPr>
      <w:r w:rsidRPr="7AD6DA35" w:rsidR="3A262C7B">
        <w:rPr>
          <w:rFonts w:ascii="Arial" w:hAnsi="Arial" w:eastAsia="Arial" w:cs="Arial"/>
          <w:b w:val="1"/>
          <w:bCs w:val="1"/>
          <w:color w:val="auto"/>
          <w:sz w:val="24"/>
          <w:szCs w:val="24"/>
        </w:rPr>
        <w:t xml:space="preserve"> </w:t>
      </w:r>
      <w:bookmarkStart w:name="_Toc1313059056" w:id="203879845"/>
      <w:r w:rsidRPr="7AD6DA35" w:rsidR="09D311F1">
        <w:rPr>
          <w:rFonts w:ascii="Arial" w:hAnsi="Arial" w:eastAsia="Arial" w:cs="Arial"/>
          <w:b w:val="1"/>
          <w:bCs w:val="1"/>
          <w:color w:val="auto"/>
          <w:sz w:val="24"/>
          <w:szCs w:val="24"/>
        </w:rPr>
        <w:t>Independent Variables</w:t>
      </w:r>
      <w:bookmarkEnd w:id="203879845"/>
    </w:p>
    <w:p w:rsidR="1E1F2571" w:rsidP="63AE8152" w:rsidRDefault="1E1F2571" w14:paraId="780CE04F" w14:textId="7D40D922">
      <w:pPr>
        <w:pStyle w:val="ListParagraph"/>
        <w:numPr>
          <w:ilvl w:val="0"/>
          <w:numId w:val="12"/>
        </w:numPr>
        <w:spacing w:after="0" w:line="300" w:lineRule="auto"/>
        <w:rPr>
          <w:rFonts w:ascii="Arial" w:hAnsi="Arial" w:eastAsia="Arial" w:cs="Arial"/>
        </w:rPr>
      </w:pPr>
      <w:r w:rsidRPr="63AE8152">
        <w:rPr>
          <w:rFonts w:ascii="Arial" w:hAnsi="Arial" w:eastAsia="Arial" w:cs="Arial"/>
        </w:rPr>
        <w:t>Technical failures of the Horizon system</w:t>
      </w:r>
    </w:p>
    <w:p w:rsidR="1E1F2571" w:rsidP="63AE8152" w:rsidRDefault="1E1F2571" w14:paraId="60FAB799" w14:textId="7350B3EF">
      <w:pPr>
        <w:pStyle w:val="ListParagraph"/>
        <w:numPr>
          <w:ilvl w:val="0"/>
          <w:numId w:val="12"/>
        </w:numPr>
        <w:spacing w:after="0" w:line="300" w:lineRule="auto"/>
        <w:rPr>
          <w:rFonts w:ascii="Arial" w:hAnsi="Arial" w:eastAsia="Arial" w:cs="Arial"/>
        </w:rPr>
      </w:pPr>
      <w:r w:rsidRPr="63AE8152">
        <w:rPr>
          <w:rFonts w:ascii="Arial" w:hAnsi="Arial" w:eastAsia="Arial" w:cs="Arial"/>
        </w:rPr>
        <w:t>Organisational governance effectiveness</w:t>
      </w:r>
    </w:p>
    <w:p w:rsidR="1E1F2571" w:rsidP="63AE8152" w:rsidRDefault="1E1F2571" w14:paraId="6E4C9F11" w14:textId="460E752F">
      <w:pPr>
        <w:pStyle w:val="ListParagraph"/>
        <w:numPr>
          <w:ilvl w:val="0"/>
          <w:numId w:val="12"/>
        </w:numPr>
        <w:spacing w:after="0" w:line="300" w:lineRule="auto"/>
        <w:rPr>
          <w:rFonts w:ascii="Arial" w:hAnsi="Arial" w:eastAsia="Arial" w:cs="Arial"/>
        </w:rPr>
      </w:pPr>
      <w:r w:rsidRPr="63AE8152">
        <w:rPr>
          <w:rFonts w:ascii="Arial" w:hAnsi="Arial" w:eastAsia="Arial" w:cs="Arial"/>
        </w:rPr>
        <w:t>Legacy system dependence</w:t>
      </w:r>
    </w:p>
    <w:p w:rsidR="1E1F2571" w:rsidP="63AE8152" w:rsidRDefault="1E1F2571" w14:paraId="052F1D12" w14:textId="567EF1D6">
      <w:pPr>
        <w:pStyle w:val="ListParagraph"/>
        <w:numPr>
          <w:ilvl w:val="0"/>
          <w:numId w:val="12"/>
        </w:numPr>
        <w:spacing w:after="0" w:line="300" w:lineRule="auto"/>
        <w:rPr>
          <w:rFonts w:ascii="Arial" w:hAnsi="Arial" w:eastAsia="Arial" w:cs="Arial"/>
        </w:rPr>
      </w:pPr>
      <w:r w:rsidRPr="63AE8152">
        <w:rPr>
          <w:rFonts w:ascii="Arial" w:hAnsi="Arial" w:eastAsia="Arial" w:cs="Arial"/>
        </w:rPr>
        <w:t>Employee engagement and reporting culture</w:t>
      </w:r>
    </w:p>
    <w:p w:rsidR="1E1F2571" w:rsidP="63AE8152" w:rsidRDefault="1E1F2571" w14:paraId="1258A14F" w14:textId="39377A6E">
      <w:pPr>
        <w:pStyle w:val="Heading3"/>
        <w:spacing w:before="246" w:after="246" w:line="300" w:lineRule="auto"/>
        <w:rPr>
          <w:rFonts w:ascii="Arial" w:hAnsi="Arial" w:eastAsia="Arial" w:cs="Arial"/>
          <w:b w:val="1"/>
          <w:bCs w:val="1"/>
          <w:color w:val="auto"/>
          <w:sz w:val="24"/>
          <w:szCs w:val="24"/>
        </w:rPr>
      </w:pPr>
      <w:bookmarkStart w:name="_Toc906104035" w:id="1539177477"/>
      <w:r w:rsidRPr="7AD6DA35" w:rsidR="09D311F1">
        <w:rPr>
          <w:rFonts w:ascii="Arial" w:hAnsi="Arial" w:eastAsia="Arial" w:cs="Arial"/>
          <w:b w:val="1"/>
          <w:bCs w:val="1"/>
          <w:color w:val="auto"/>
          <w:sz w:val="24"/>
          <w:szCs w:val="24"/>
        </w:rPr>
        <w:t>Mediating Variable</w:t>
      </w:r>
      <w:bookmarkEnd w:id="1539177477"/>
    </w:p>
    <w:p w:rsidR="1E1F2571" w:rsidP="63AE8152" w:rsidRDefault="1E1F2571" w14:paraId="50158A2A" w14:textId="077D5A72">
      <w:pPr>
        <w:pStyle w:val="ListParagraph"/>
        <w:numPr>
          <w:ilvl w:val="0"/>
          <w:numId w:val="11"/>
        </w:numPr>
        <w:spacing w:after="0" w:line="300" w:lineRule="auto"/>
        <w:rPr>
          <w:rFonts w:ascii="Arial" w:hAnsi="Arial" w:eastAsia="Arial" w:cs="Arial"/>
        </w:rPr>
      </w:pPr>
      <w:r w:rsidRPr="63AE8152">
        <w:rPr>
          <w:rFonts w:ascii="Arial" w:hAnsi="Arial" w:eastAsia="Arial" w:cs="Arial"/>
        </w:rPr>
        <w:t>Organisational risk management capability</w:t>
      </w:r>
    </w:p>
    <w:p w:rsidR="1E1F2571" w:rsidP="63AE8152" w:rsidRDefault="1E1F2571" w14:paraId="7DC2AC53" w14:textId="5B5A59CF">
      <w:pPr>
        <w:pStyle w:val="Heading3"/>
        <w:spacing w:before="246" w:after="246" w:line="300" w:lineRule="auto"/>
        <w:rPr>
          <w:rFonts w:ascii="Arial" w:hAnsi="Arial" w:eastAsia="Arial" w:cs="Arial"/>
          <w:b w:val="1"/>
          <w:bCs w:val="1"/>
          <w:color w:val="auto"/>
          <w:sz w:val="24"/>
          <w:szCs w:val="24"/>
        </w:rPr>
      </w:pPr>
      <w:bookmarkStart w:name="_Toc888678217" w:id="1555051665"/>
      <w:r w:rsidRPr="7AD6DA35" w:rsidR="09D311F1">
        <w:rPr>
          <w:rFonts w:ascii="Arial" w:hAnsi="Arial" w:eastAsia="Arial" w:cs="Arial"/>
          <w:b w:val="1"/>
          <w:bCs w:val="1"/>
          <w:color w:val="auto"/>
          <w:sz w:val="24"/>
          <w:szCs w:val="24"/>
        </w:rPr>
        <w:t>Dependent Variables</w:t>
      </w:r>
      <w:bookmarkEnd w:id="1555051665"/>
    </w:p>
    <w:p w:rsidR="1E1F2571" w:rsidP="63AE8152" w:rsidRDefault="1E1F2571" w14:paraId="54D0B30C" w14:textId="53BBCEF2">
      <w:pPr>
        <w:pStyle w:val="ListParagraph"/>
        <w:numPr>
          <w:ilvl w:val="0"/>
          <w:numId w:val="10"/>
        </w:numPr>
        <w:spacing w:after="0" w:line="300" w:lineRule="auto"/>
        <w:rPr>
          <w:rFonts w:ascii="Arial" w:hAnsi="Arial" w:eastAsia="Arial" w:cs="Arial"/>
        </w:rPr>
      </w:pPr>
      <w:r w:rsidRPr="63AE8152">
        <w:rPr>
          <w:rFonts w:ascii="Arial" w:hAnsi="Arial" w:eastAsia="Arial" w:cs="Arial"/>
        </w:rPr>
        <w:t>Operational outcomes</w:t>
      </w:r>
    </w:p>
    <w:p w:rsidR="1E1F2571" w:rsidP="63AE8152" w:rsidRDefault="1E1F2571" w14:paraId="1608CEFE" w14:textId="3B01218C">
      <w:pPr>
        <w:pStyle w:val="ListParagraph"/>
        <w:numPr>
          <w:ilvl w:val="0"/>
          <w:numId w:val="10"/>
        </w:numPr>
        <w:spacing w:after="0" w:line="300" w:lineRule="auto"/>
        <w:rPr>
          <w:rFonts w:ascii="Arial" w:hAnsi="Arial" w:eastAsia="Arial" w:cs="Arial"/>
        </w:rPr>
      </w:pPr>
      <w:r w:rsidRPr="63AE8152">
        <w:rPr>
          <w:rFonts w:ascii="Arial" w:hAnsi="Arial" w:eastAsia="Arial" w:cs="Arial"/>
        </w:rPr>
        <w:t>Legal consequences</w:t>
      </w:r>
    </w:p>
    <w:p w:rsidR="1E1F2571" w:rsidP="63AE8152" w:rsidRDefault="1E1F2571" w14:paraId="67C8FE27" w14:textId="2FCCA932">
      <w:pPr>
        <w:pStyle w:val="ListParagraph"/>
        <w:numPr>
          <w:ilvl w:val="0"/>
          <w:numId w:val="10"/>
        </w:numPr>
        <w:spacing w:after="0" w:line="300" w:lineRule="auto"/>
        <w:rPr>
          <w:rFonts w:ascii="Arial" w:hAnsi="Arial" w:eastAsia="Arial" w:cs="Arial"/>
        </w:rPr>
      </w:pPr>
      <w:r w:rsidRPr="63AE8152">
        <w:rPr>
          <w:rFonts w:ascii="Arial" w:hAnsi="Arial" w:eastAsia="Arial" w:cs="Arial"/>
        </w:rPr>
        <w:t>Reputational impact</w:t>
      </w:r>
    </w:p>
    <w:p w:rsidR="1E1F2571" w:rsidP="63AE8152" w:rsidRDefault="1E1F2571" w14:paraId="6157AD61" w14:textId="746D5332">
      <w:pPr>
        <w:pStyle w:val="ListParagraph"/>
        <w:numPr>
          <w:ilvl w:val="0"/>
          <w:numId w:val="10"/>
        </w:numPr>
        <w:spacing w:after="0" w:line="300" w:lineRule="auto"/>
        <w:rPr>
          <w:rFonts w:ascii="Arial" w:hAnsi="Arial" w:eastAsia="Arial" w:cs="Arial"/>
        </w:rPr>
      </w:pPr>
      <w:r w:rsidRPr="63AE8152">
        <w:rPr>
          <w:rFonts w:ascii="Arial" w:hAnsi="Arial" w:eastAsia="Arial" w:cs="Arial"/>
        </w:rPr>
        <w:t>Transition success or failure</w:t>
      </w:r>
    </w:p>
    <w:p w:rsidR="1E1F2571" w:rsidP="63AE8152" w:rsidRDefault="1E1F2571" w14:paraId="4BFC7792" w14:textId="0A4ED7EB">
      <w:pPr>
        <w:pStyle w:val="Heading3"/>
        <w:spacing w:before="246" w:after="246" w:line="300" w:lineRule="auto"/>
        <w:rPr>
          <w:rFonts w:ascii="Arial" w:hAnsi="Arial" w:eastAsia="Arial" w:cs="Arial"/>
          <w:b w:val="1"/>
          <w:bCs w:val="1"/>
          <w:color w:val="auto"/>
          <w:sz w:val="24"/>
          <w:szCs w:val="24"/>
        </w:rPr>
      </w:pPr>
      <w:bookmarkStart w:name="_Toc30741015" w:id="1488586990"/>
      <w:r w:rsidRPr="7AD6DA35" w:rsidR="09D311F1">
        <w:rPr>
          <w:rFonts w:ascii="Arial" w:hAnsi="Arial" w:eastAsia="Arial" w:cs="Arial"/>
          <w:b w:val="1"/>
          <w:bCs w:val="1"/>
          <w:color w:val="auto"/>
          <w:sz w:val="24"/>
          <w:szCs w:val="24"/>
        </w:rPr>
        <w:t>Proposed Conceptual Framework</w:t>
      </w:r>
      <w:bookmarkEnd w:id="1488586990"/>
    </w:p>
    <w:p w:rsidR="1E1F2571" w:rsidP="63AE8152" w:rsidRDefault="1E1F2571" w14:paraId="2CF7AAC7" w14:textId="173CAD9D">
      <w:pPr>
        <w:spacing w:before="210" w:after="210" w:line="300" w:lineRule="auto"/>
        <w:rPr>
          <w:rFonts w:ascii="Arial" w:hAnsi="Arial" w:eastAsia="Arial" w:cs="Arial"/>
        </w:rPr>
      </w:pPr>
      <w:r w:rsidRPr="63AE8152">
        <w:rPr>
          <w:rFonts w:ascii="Arial" w:hAnsi="Arial" w:eastAsia="Arial" w:cs="Arial"/>
        </w:rPr>
        <w:t>Technical Failures + Legacy System Dependence ↓</w:t>
      </w:r>
    </w:p>
    <w:p w:rsidR="1E1F2571" w:rsidP="63AE8152" w:rsidRDefault="1E1F2571" w14:paraId="1E1EE021" w14:textId="78B25831">
      <w:pPr>
        <w:spacing w:before="210" w:after="210" w:line="300" w:lineRule="auto"/>
        <w:rPr>
          <w:rFonts w:ascii="Arial" w:hAnsi="Arial" w:eastAsia="Arial" w:cs="Arial"/>
        </w:rPr>
      </w:pPr>
      <w:r w:rsidRPr="63AE8152">
        <w:rPr>
          <w:rFonts w:ascii="Arial" w:hAnsi="Arial" w:eastAsia="Arial" w:cs="Arial"/>
        </w:rPr>
        <w:t>Governance Effectiveness &amp; Employee Engagement ↓</w:t>
      </w:r>
    </w:p>
    <w:p w:rsidR="1E1F2571" w:rsidP="63AE8152" w:rsidRDefault="1E1F2571" w14:paraId="4E19B57D" w14:textId="4C93438D">
      <w:pPr>
        <w:spacing w:before="210" w:after="210" w:line="300" w:lineRule="auto"/>
        <w:rPr>
          <w:rFonts w:ascii="Arial" w:hAnsi="Arial" w:eastAsia="Arial" w:cs="Arial"/>
        </w:rPr>
      </w:pPr>
      <w:r w:rsidRPr="63AE8152">
        <w:rPr>
          <w:rFonts w:ascii="Arial" w:hAnsi="Arial" w:eastAsia="Arial" w:cs="Arial"/>
        </w:rPr>
        <w:t>Risk Management Capability ↓</w:t>
      </w:r>
    </w:p>
    <w:p w:rsidR="1E1F2571" w:rsidP="63AE8152" w:rsidRDefault="1E1F2571" w14:paraId="2F63D95A" w14:textId="3AAB472C">
      <w:pPr>
        <w:spacing w:before="210" w:after="210" w:line="300" w:lineRule="auto"/>
        <w:rPr>
          <w:rFonts w:ascii="Arial" w:hAnsi="Arial" w:eastAsia="Arial" w:cs="Arial"/>
        </w:rPr>
      </w:pPr>
      <w:r w:rsidRPr="63AE8152">
        <w:rPr>
          <w:rFonts w:ascii="Arial" w:hAnsi="Arial" w:eastAsia="Arial" w:cs="Arial"/>
        </w:rPr>
        <w:t>Operational, Legal, Financial and Reputational Outcomes ↓</w:t>
      </w:r>
    </w:p>
    <w:p w:rsidR="1E1F2571" w:rsidP="63AE8152" w:rsidRDefault="1E1F2571" w14:paraId="3D248FE3" w14:textId="74C2706E">
      <w:pPr>
        <w:spacing w:before="210" w:after="210" w:line="300" w:lineRule="auto"/>
        <w:rPr>
          <w:rFonts w:ascii="Arial" w:hAnsi="Arial" w:eastAsia="Arial" w:cs="Arial"/>
        </w:rPr>
      </w:pPr>
      <w:r w:rsidRPr="63AE8152">
        <w:rPr>
          <w:rFonts w:ascii="Arial" w:hAnsi="Arial" w:eastAsia="Arial" w:cs="Arial"/>
        </w:rPr>
        <w:lastRenderedPageBreak/>
        <w:t>Transition Risks and Transformation Success</w:t>
      </w:r>
    </w:p>
    <w:p w:rsidR="1E1F2571" w:rsidP="63AE8152" w:rsidRDefault="1E1F2571" w14:paraId="57B8CFCA" w14:textId="6DF9EE57">
      <w:pPr>
        <w:pStyle w:val="Heading3"/>
        <w:spacing w:before="246" w:after="246" w:line="300" w:lineRule="auto"/>
        <w:rPr>
          <w:rFonts w:ascii="Arial" w:hAnsi="Arial" w:eastAsia="Arial" w:cs="Arial"/>
          <w:b w:val="1"/>
          <w:bCs w:val="1"/>
          <w:color w:val="auto"/>
          <w:sz w:val="24"/>
          <w:szCs w:val="24"/>
        </w:rPr>
      </w:pPr>
      <w:bookmarkStart w:name="_Toc432725846" w:id="1229197974"/>
      <w:r w:rsidRPr="7AD6DA35" w:rsidR="09D311F1">
        <w:rPr>
          <w:rFonts w:ascii="Arial" w:hAnsi="Arial" w:eastAsia="Arial" w:cs="Arial"/>
          <w:b w:val="1"/>
          <w:bCs w:val="1"/>
          <w:color w:val="auto"/>
          <w:sz w:val="24"/>
          <w:szCs w:val="24"/>
        </w:rPr>
        <w:t>Research Propositions</w:t>
      </w:r>
      <w:bookmarkEnd w:id="1229197974"/>
    </w:p>
    <w:p w:rsidR="1E1F2571" w:rsidP="63AE8152" w:rsidRDefault="1E1F2571" w14:paraId="3653171B" w14:textId="2917061F">
      <w:pPr>
        <w:spacing w:before="210" w:after="210" w:line="300" w:lineRule="auto"/>
        <w:rPr>
          <w:rFonts w:ascii="Arial" w:hAnsi="Arial" w:eastAsia="Arial" w:cs="Arial"/>
        </w:rPr>
      </w:pPr>
      <w:r w:rsidRPr="63AE8152">
        <w:rPr>
          <w:rFonts w:ascii="Arial" w:hAnsi="Arial" w:eastAsia="Arial" w:cs="Arial"/>
          <w:b/>
          <w:bCs/>
        </w:rPr>
        <w:t>P1:</w:t>
      </w:r>
      <w:r w:rsidRPr="63AE8152">
        <w:rPr>
          <w:rFonts w:ascii="Arial" w:hAnsi="Arial" w:eastAsia="Arial" w:cs="Arial"/>
        </w:rPr>
        <w:t xml:space="preserve"> Technical failures within the Horizon system increased operational, legal, and reputational risks for the Post Office.</w:t>
      </w:r>
    </w:p>
    <w:p w:rsidR="1E1F2571" w:rsidP="63AE8152" w:rsidRDefault="1E1F2571" w14:paraId="256F0898" w14:textId="00663D65">
      <w:pPr>
        <w:spacing w:before="210" w:after="210" w:line="300" w:lineRule="auto"/>
        <w:rPr>
          <w:rFonts w:ascii="Arial" w:hAnsi="Arial" w:eastAsia="Arial" w:cs="Arial"/>
        </w:rPr>
      </w:pPr>
      <w:r w:rsidRPr="63AE8152">
        <w:rPr>
          <w:rFonts w:ascii="Arial" w:hAnsi="Arial" w:eastAsia="Arial" w:cs="Arial"/>
          <w:b/>
          <w:bCs/>
        </w:rPr>
        <w:t>P2:</w:t>
      </w:r>
      <w:r w:rsidRPr="63AE8152">
        <w:rPr>
          <w:rFonts w:ascii="Arial" w:hAnsi="Arial" w:eastAsia="Arial" w:cs="Arial"/>
        </w:rPr>
        <w:t xml:space="preserve"> Weak organisational governance contributed to the continuation and escalation of Horizon-related problems.</w:t>
      </w:r>
    </w:p>
    <w:p w:rsidR="1E1F2571" w:rsidP="63AE8152" w:rsidRDefault="1E1F2571" w14:paraId="40A9E190" w14:textId="223F1852">
      <w:pPr>
        <w:spacing w:before="210" w:after="210" w:line="300" w:lineRule="auto"/>
        <w:rPr>
          <w:rFonts w:ascii="Arial" w:hAnsi="Arial" w:eastAsia="Arial" w:cs="Arial"/>
        </w:rPr>
      </w:pPr>
      <w:r w:rsidRPr="7AD6DA35" w:rsidR="09D311F1">
        <w:rPr>
          <w:rFonts w:ascii="Arial" w:hAnsi="Arial" w:eastAsia="Arial" w:cs="Arial"/>
          <w:b w:val="1"/>
          <w:bCs w:val="1"/>
        </w:rPr>
        <w:t>P3:</w:t>
      </w:r>
      <w:r w:rsidRPr="7AD6DA35" w:rsidR="09D311F1">
        <w:rPr>
          <w:rFonts w:ascii="Arial" w:hAnsi="Arial" w:eastAsia="Arial" w:cs="Arial"/>
        </w:rPr>
        <w:t xml:space="preserve"> Limited employee engagement and inadequate response to stakeholder concerns reduced the </w:t>
      </w:r>
      <w:r w:rsidRPr="7AD6DA35" w:rsidR="09D311F1">
        <w:rPr>
          <w:rFonts w:ascii="Arial" w:hAnsi="Arial" w:eastAsia="Arial" w:cs="Arial"/>
        </w:rPr>
        <w:t>organisation</w:t>
      </w:r>
      <w:r w:rsidRPr="7AD6DA35" w:rsidR="09D311F1">
        <w:rPr>
          <w:rFonts w:ascii="Arial" w:hAnsi="Arial" w:eastAsia="Arial" w:cs="Arial"/>
        </w:rPr>
        <w:t xml:space="preserve"> ability to </w:t>
      </w:r>
      <w:r w:rsidRPr="7AD6DA35" w:rsidR="09D311F1">
        <w:rPr>
          <w:rFonts w:ascii="Arial" w:hAnsi="Arial" w:eastAsia="Arial" w:cs="Arial"/>
        </w:rPr>
        <w:t>identify</w:t>
      </w:r>
      <w:r w:rsidRPr="7AD6DA35" w:rsidR="09D311F1">
        <w:rPr>
          <w:rFonts w:ascii="Arial" w:hAnsi="Arial" w:eastAsia="Arial" w:cs="Arial"/>
        </w:rPr>
        <w:t xml:space="preserve"> and manage risks effectively.</w:t>
      </w:r>
    </w:p>
    <w:p w:rsidR="1E1F2571" w:rsidP="63AE8152" w:rsidRDefault="1E1F2571" w14:paraId="7433FC31" w14:textId="5589C20E">
      <w:pPr>
        <w:spacing w:before="210" w:after="210" w:line="300" w:lineRule="auto"/>
        <w:rPr>
          <w:rFonts w:ascii="Arial" w:hAnsi="Arial" w:eastAsia="Arial" w:cs="Arial"/>
        </w:rPr>
      </w:pPr>
      <w:r w:rsidRPr="63AE8152">
        <w:rPr>
          <w:rFonts w:ascii="Arial" w:hAnsi="Arial" w:eastAsia="Arial" w:cs="Arial"/>
          <w:b/>
          <w:bCs/>
        </w:rPr>
        <w:t>P4:</w:t>
      </w:r>
      <w:r w:rsidRPr="63AE8152">
        <w:rPr>
          <w:rFonts w:ascii="Arial" w:hAnsi="Arial" w:eastAsia="Arial" w:cs="Arial"/>
        </w:rPr>
        <w:t xml:space="preserve"> Continued reliance on the Horizon legacy system increased transition risks and delayed successful digital transformation.</w:t>
      </w:r>
    </w:p>
    <w:p w:rsidR="1E1F2571" w:rsidP="63AE8152" w:rsidRDefault="1E1F2571" w14:paraId="7D4A8C2C" w14:textId="7BC044D4">
      <w:pPr>
        <w:spacing w:before="210" w:after="210" w:line="300" w:lineRule="auto"/>
        <w:rPr>
          <w:rFonts w:ascii="Arial" w:hAnsi="Arial" w:eastAsia="Arial" w:cs="Arial"/>
        </w:rPr>
      </w:pPr>
      <w:r w:rsidRPr="63AE8152">
        <w:rPr>
          <w:rFonts w:ascii="Arial" w:hAnsi="Arial" w:eastAsia="Arial" w:cs="Arial"/>
          <w:b/>
          <w:bCs/>
        </w:rPr>
        <w:t>P5:</w:t>
      </w:r>
      <w:r w:rsidRPr="63AE8152">
        <w:rPr>
          <w:rFonts w:ascii="Arial" w:hAnsi="Arial" w:eastAsia="Arial" w:cs="Arial"/>
        </w:rPr>
        <w:t xml:space="preserve"> Effective governance and risk management mechanisms could have reduced the negative consequences associated with Horizon system failures.</w:t>
      </w:r>
    </w:p>
    <w:p w:rsidR="1E1F2571" w:rsidP="63AE8152" w:rsidRDefault="1E1F2571" w14:paraId="6659CDAA" w14:textId="30AC7F53">
      <w:pPr>
        <w:pStyle w:val="Heading1"/>
        <w:spacing w:before="281" w:after="281" w:line="300" w:lineRule="auto"/>
        <w:rPr>
          <w:rFonts w:ascii="Arial" w:hAnsi="Arial" w:eastAsia="Arial" w:cs="Arial"/>
          <w:b w:val="1"/>
          <w:bCs w:val="1"/>
          <w:color w:val="auto"/>
          <w:sz w:val="24"/>
          <w:szCs w:val="24"/>
        </w:rPr>
      </w:pPr>
      <w:bookmarkStart w:name="_Toc1547773446" w:id="1044850788"/>
      <w:r w:rsidRPr="7AD6DA35" w:rsidR="09D311F1">
        <w:rPr>
          <w:rFonts w:ascii="Arial" w:hAnsi="Arial" w:eastAsia="Arial" w:cs="Arial"/>
          <w:b w:val="1"/>
          <w:bCs w:val="1"/>
          <w:color w:val="auto"/>
          <w:sz w:val="24"/>
          <w:szCs w:val="24"/>
        </w:rPr>
        <w:t>Chapter Summary</w:t>
      </w:r>
      <w:bookmarkEnd w:id="1044850788"/>
    </w:p>
    <w:p w:rsidR="1E1F2571" w:rsidP="009A1169" w:rsidRDefault="1E1F2571" w14:paraId="2A5242A3" w14:textId="206E810B">
      <w:pPr>
        <w:spacing w:before="210" w:after="210" w:line="300" w:lineRule="auto"/>
        <w:rPr>
          <w:rFonts w:ascii="Arial" w:hAnsi="Arial" w:eastAsia="Arial" w:cs="Arial"/>
        </w:rPr>
      </w:pPr>
      <w:r w:rsidRPr="63AE8152">
        <w:rPr>
          <w:rFonts w:ascii="Arial" w:hAnsi="Arial" w:eastAsia="Arial" w:cs="Arial"/>
        </w:rPr>
        <w:t>This chapter has reviewed the literature relating to Horizon system failures, organisational governance, and transition risks within the UK Post Office. The review identified several key themes, including the importance of information systems, technical failures and legacy system risks, Socio-Technical Systems Theory, governance and accountability, employee engagement, compensation and legal reform, and digital transition management.</w:t>
      </w:r>
    </w:p>
    <w:p w:rsidR="1E1F2571" w:rsidP="63AE8152" w:rsidRDefault="1E1F2571" w14:paraId="780720D4" w14:textId="6EE666DD">
      <w:pPr>
        <w:spacing w:before="210" w:after="210" w:line="300" w:lineRule="auto"/>
        <w:rPr>
          <w:rFonts w:ascii="Arial" w:hAnsi="Arial" w:eastAsia="Arial" w:cs="Arial"/>
        </w:rPr>
      </w:pPr>
      <w:r w:rsidRPr="63AE8152">
        <w:rPr>
          <w:rFonts w:ascii="Arial" w:hAnsi="Arial" w:eastAsia="Arial" w:cs="Arial"/>
        </w:rPr>
        <w:t>The literature demonstrates that the Horizon scandal cannot be explained solely by technological failure. Instead, it reflects the interaction between system deficiencies, governance weaknesses, organisational culture, and transition challenges. The chapter also identified significant research gaps relating to the integrated analysis of technology failure, governance, and transition risk.</w:t>
      </w:r>
    </w:p>
    <w:p w:rsidR="1E1F2571" w:rsidP="63AE8152" w:rsidRDefault="00F14C95" w14:paraId="454D018A" w14:textId="3B209963">
      <w:pPr>
        <w:spacing w:before="210" w:after="210" w:line="300" w:lineRule="auto"/>
      </w:pPr>
      <w:r w:rsidRPr="7AD6DA35" w:rsidR="7AF12F45">
        <w:rPr>
          <w:rFonts w:ascii="Arial" w:hAnsi="Arial" w:eastAsia="Arial" w:cs="Arial"/>
        </w:rPr>
        <w:t>The conceptual framework and propositions developed from the literature provide a foundation for the subsequent chapters, which will examine how these factors contributed to the Horizon scandal and what lessons can be learned for future organisational practice.</w:t>
      </w:r>
    </w:p>
    <w:p w:rsidR="7AD6DA35" w:rsidP="7AD6DA35" w:rsidRDefault="7AD6DA35" w14:paraId="7B249578" w14:textId="7683C392">
      <w:pPr>
        <w:spacing w:before="210" w:after="210" w:line="300" w:lineRule="auto"/>
        <w:rPr>
          <w:rFonts w:ascii="Arial" w:hAnsi="Arial" w:eastAsia="Arial" w:cs="Arial"/>
        </w:rPr>
      </w:pPr>
    </w:p>
    <w:p w:rsidR="7AD6DA35" w:rsidP="7AD6DA35" w:rsidRDefault="7AD6DA35" w14:paraId="48C42A59" w14:textId="4581F45A">
      <w:pPr>
        <w:spacing w:before="210" w:after="210" w:line="300" w:lineRule="auto"/>
        <w:rPr>
          <w:rFonts w:ascii="Arial" w:hAnsi="Arial" w:eastAsia="Arial" w:cs="Arial"/>
        </w:rPr>
      </w:pPr>
    </w:p>
    <w:p w:rsidR="7AD6DA35" w:rsidP="7AD6DA35" w:rsidRDefault="7AD6DA35" w14:paraId="553393D6" w14:textId="360542CD">
      <w:pPr>
        <w:spacing w:before="210" w:after="210" w:line="300" w:lineRule="auto"/>
        <w:rPr>
          <w:rFonts w:ascii="Arial" w:hAnsi="Arial" w:eastAsia="Arial" w:cs="Arial"/>
        </w:rPr>
      </w:pPr>
    </w:p>
    <w:p w:rsidR="7AD6DA35" w:rsidP="7AD6DA35" w:rsidRDefault="7AD6DA35" w14:paraId="6D97BF97" w14:textId="18D8F8F5">
      <w:pPr>
        <w:spacing w:before="210" w:after="210" w:line="300" w:lineRule="auto"/>
        <w:rPr>
          <w:rFonts w:ascii="Arial" w:hAnsi="Arial" w:eastAsia="Arial" w:cs="Arial"/>
        </w:rPr>
      </w:pPr>
    </w:p>
    <w:p w:rsidR="7AD6DA35" w:rsidP="7AD6DA35" w:rsidRDefault="7AD6DA35" w14:paraId="46224774" w14:textId="29AB2FB6">
      <w:pPr>
        <w:spacing w:before="210" w:after="210" w:line="300" w:lineRule="auto"/>
        <w:rPr>
          <w:rFonts w:ascii="Arial" w:hAnsi="Arial" w:eastAsia="Arial" w:cs="Arial"/>
        </w:rPr>
      </w:pPr>
    </w:p>
    <w:p w:rsidR="7AD6DA35" w:rsidP="7AD6DA35" w:rsidRDefault="7AD6DA35" w14:paraId="2023AB5E" w14:textId="2E38FFA8">
      <w:pPr>
        <w:spacing w:before="210" w:after="210" w:line="300" w:lineRule="auto"/>
        <w:rPr>
          <w:rFonts w:ascii="Arial" w:hAnsi="Arial" w:eastAsia="Arial" w:cs="Arial"/>
        </w:rPr>
      </w:pPr>
    </w:p>
    <w:p w:rsidR="7AD6DA35" w:rsidP="7AD6DA35" w:rsidRDefault="7AD6DA35" w14:paraId="3D217613" w14:textId="7C61E619">
      <w:pPr>
        <w:spacing w:before="210" w:after="210" w:line="300" w:lineRule="auto"/>
        <w:rPr>
          <w:rFonts w:ascii="Arial" w:hAnsi="Arial" w:eastAsia="Arial" w:cs="Arial"/>
        </w:rPr>
      </w:pPr>
    </w:p>
    <w:p w:rsidR="7AD6DA35" w:rsidP="7AD6DA35" w:rsidRDefault="7AD6DA35" w14:paraId="2F4C1E40" w14:textId="3CAB7E85">
      <w:pPr>
        <w:spacing w:before="210" w:after="210" w:line="300" w:lineRule="auto"/>
        <w:rPr>
          <w:rFonts w:ascii="Arial" w:hAnsi="Arial" w:eastAsia="Arial" w:cs="Arial"/>
        </w:rPr>
      </w:pPr>
    </w:p>
    <w:p w:rsidR="7AD6DA35" w:rsidP="7AD6DA35" w:rsidRDefault="7AD6DA35" w14:paraId="0C8AA10D" w14:textId="71D0A594">
      <w:pPr>
        <w:spacing w:before="210" w:after="210" w:line="300" w:lineRule="auto"/>
        <w:rPr>
          <w:rFonts w:ascii="Arial" w:hAnsi="Arial" w:eastAsia="Arial" w:cs="Arial"/>
        </w:rPr>
      </w:pPr>
    </w:p>
    <w:p w:rsidR="7AD6DA35" w:rsidP="7AD6DA35" w:rsidRDefault="7AD6DA35" w14:paraId="20EEB186" w14:textId="0117D0F2">
      <w:pPr>
        <w:spacing w:before="210" w:after="210" w:line="300" w:lineRule="auto"/>
        <w:rPr>
          <w:rFonts w:ascii="Arial" w:hAnsi="Arial" w:eastAsia="Arial" w:cs="Arial"/>
        </w:rPr>
      </w:pPr>
    </w:p>
    <w:p w:rsidR="7AD6DA35" w:rsidP="7AD6DA35" w:rsidRDefault="7AD6DA35" w14:paraId="10B0785F" w14:textId="5F2FDDDA">
      <w:pPr>
        <w:spacing w:before="210" w:after="210" w:line="300" w:lineRule="auto"/>
        <w:rPr>
          <w:rFonts w:ascii="Arial" w:hAnsi="Arial" w:eastAsia="Arial" w:cs="Arial"/>
        </w:rPr>
      </w:pPr>
    </w:p>
    <w:p w:rsidR="7AD6DA35" w:rsidP="7AD6DA35" w:rsidRDefault="7AD6DA35" w14:paraId="4B92754C" w14:textId="6B81531C">
      <w:pPr>
        <w:spacing w:before="210" w:after="210" w:line="300" w:lineRule="auto"/>
        <w:rPr>
          <w:rFonts w:ascii="Arial" w:hAnsi="Arial" w:eastAsia="Arial" w:cs="Arial"/>
        </w:rPr>
      </w:pPr>
    </w:p>
    <w:p w:rsidR="7AD6DA35" w:rsidP="7AD6DA35" w:rsidRDefault="7AD6DA35" w14:paraId="54507940" w14:textId="0AF4473E">
      <w:pPr>
        <w:spacing w:before="210" w:after="210" w:line="300" w:lineRule="auto"/>
        <w:rPr>
          <w:rFonts w:ascii="Arial" w:hAnsi="Arial" w:eastAsia="Arial" w:cs="Arial"/>
        </w:rPr>
      </w:pPr>
    </w:p>
    <w:p w:rsidR="7AD6DA35" w:rsidP="7AD6DA35" w:rsidRDefault="7AD6DA35" w14:paraId="7865B7D1" w14:textId="2FE97756">
      <w:pPr>
        <w:spacing w:before="210" w:after="210" w:line="300" w:lineRule="auto"/>
        <w:rPr>
          <w:rFonts w:ascii="Arial" w:hAnsi="Arial" w:eastAsia="Arial" w:cs="Arial"/>
        </w:rPr>
      </w:pPr>
    </w:p>
    <w:p w:rsidR="7AD6DA35" w:rsidP="7AD6DA35" w:rsidRDefault="7AD6DA35" w14:paraId="3EDDB995" w14:textId="7913CA1C">
      <w:pPr>
        <w:spacing w:before="210" w:after="210" w:line="300" w:lineRule="auto"/>
        <w:rPr>
          <w:rFonts w:ascii="Arial" w:hAnsi="Arial" w:eastAsia="Arial" w:cs="Arial"/>
        </w:rPr>
      </w:pPr>
    </w:p>
    <w:p w:rsidR="7AD6DA35" w:rsidP="7AD6DA35" w:rsidRDefault="7AD6DA35" w14:paraId="37B0D7A1" w14:textId="6C0852DC">
      <w:pPr>
        <w:spacing w:before="210" w:after="210" w:line="300" w:lineRule="auto"/>
        <w:rPr>
          <w:rFonts w:ascii="Arial" w:hAnsi="Arial" w:eastAsia="Arial" w:cs="Arial"/>
        </w:rPr>
      </w:pPr>
    </w:p>
    <w:p w:rsidR="7AD6DA35" w:rsidP="7AD6DA35" w:rsidRDefault="7AD6DA35" w14:paraId="3C504081" w14:textId="46A78D7C">
      <w:pPr>
        <w:spacing w:before="210" w:after="210" w:line="300" w:lineRule="auto"/>
        <w:rPr>
          <w:rFonts w:ascii="Arial" w:hAnsi="Arial" w:eastAsia="Arial" w:cs="Arial"/>
        </w:rPr>
      </w:pPr>
    </w:p>
    <w:p w:rsidR="7AD6DA35" w:rsidP="7AD6DA35" w:rsidRDefault="7AD6DA35" w14:paraId="69714E43" w14:textId="6E1B1A3B">
      <w:pPr>
        <w:spacing w:before="210" w:after="210" w:line="300" w:lineRule="auto"/>
        <w:rPr>
          <w:rFonts w:ascii="Arial" w:hAnsi="Arial" w:eastAsia="Arial" w:cs="Arial"/>
        </w:rPr>
      </w:pPr>
    </w:p>
    <w:p w:rsidR="7AD6DA35" w:rsidP="7AD6DA35" w:rsidRDefault="7AD6DA35" w14:paraId="508FA95F" w14:textId="4F3F37FA">
      <w:pPr>
        <w:spacing w:before="210" w:after="210" w:line="300" w:lineRule="auto"/>
        <w:rPr>
          <w:rFonts w:ascii="Arial" w:hAnsi="Arial" w:eastAsia="Arial" w:cs="Arial"/>
        </w:rPr>
      </w:pPr>
    </w:p>
    <w:p w:rsidR="0C0EBD1B" w:rsidP="622911A9" w:rsidRDefault="0C0EBD1B" w14:paraId="675F42DC" w14:textId="023A878F">
      <w:pPr>
        <w:pStyle w:val="Heading1"/>
        <w:spacing w:before="281" w:after="281" w:line="300" w:lineRule="auto"/>
        <w:rPr>
          <w:rFonts w:ascii="Arial" w:hAnsi="Arial" w:eastAsia="Arial" w:cs="Arial"/>
          <w:b w:val="1"/>
          <w:bCs w:val="1"/>
          <w:color w:val="auto"/>
          <w:sz w:val="24"/>
          <w:szCs w:val="24"/>
        </w:rPr>
      </w:pPr>
      <w:bookmarkStart w:name="_Toc1429661569" w:id="1218739599"/>
      <w:r w:rsidRPr="7AD6DA35" w:rsidR="1110126E">
        <w:rPr>
          <w:rFonts w:ascii="Arial" w:hAnsi="Arial" w:eastAsia="Arial" w:cs="Arial"/>
          <w:b w:val="1"/>
          <w:bCs w:val="1"/>
          <w:color w:val="auto"/>
          <w:sz w:val="24"/>
          <w:szCs w:val="24"/>
        </w:rPr>
        <w:t>Chapter 3: Methodology</w:t>
      </w:r>
      <w:bookmarkEnd w:id="1218739599"/>
      <w:r w:rsidRPr="7AD6DA35" w:rsidR="1110126E">
        <w:rPr>
          <w:rFonts w:ascii="Arial" w:hAnsi="Arial" w:eastAsia="Arial" w:cs="Arial"/>
          <w:b w:val="1"/>
          <w:bCs w:val="1"/>
          <w:color w:val="auto"/>
          <w:sz w:val="24"/>
          <w:szCs w:val="24"/>
        </w:rPr>
        <w:t xml:space="preserve"> </w:t>
      </w:r>
    </w:p>
    <w:p w:rsidR="49126027" w:rsidP="622911A9" w:rsidRDefault="5D805F3A" w14:paraId="468C10C1" w14:textId="6A47EB0A">
      <w:pPr>
        <w:pStyle w:val="Heading1"/>
        <w:spacing w:before="281" w:after="281" w:line="300" w:lineRule="auto"/>
        <w:rPr>
          <w:rFonts w:ascii="Arial" w:hAnsi="Arial" w:eastAsia="Arial" w:cs="Arial"/>
          <w:b w:val="1"/>
          <w:bCs w:val="1"/>
          <w:color w:val="auto"/>
          <w:sz w:val="24"/>
          <w:szCs w:val="24"/>
        </w:rPr>
      </w:pPr>
      <w:bookmarkStart w:name="_Toc853936598" w:id="1086220743"/>
      <w:r w:rsidRPr="7AD6DA35" w:rsidR="6C8E1CA9">
        <w:rPr>
          <w:rFonts w:ascii="Arial" w:hAnsi="Arial" w:eastAsia="Arial" w:cs="Arial"/>
          <w:b w:val="1"/>
          <w:bCs w:val="1"/>
          <w:color w:val="auto"/>
          <w:sz w:val="24"/>
          <w:szCs w:val="24"/>
        </w:rPr>
        <w:t>Chapter Overview</w:t>
      </w:r>
      <w:bookmarkEnd w:id="1086220743"/>
      <w:r w:rsidRPr="7AD6DA35" w:rsidR="6C8E1CA9">
        <w:rPr>
          <w:rFonts w:ascii="Arial" w:hAnsi="Arial" w:eastAsia="Arial" w:cs="Arial"/>
          <w:b w:val="1"/>
          <w:bCs w:val="1"/>
          <w:color w:val="auto"/>
          <w:sz w:val="24"/>
          <w:szCs w:val="24"/>
        </w:rPr>
        <w:t xml:space="preserve"> </w:t>
      </w:r>
    </w:p>
    <w:p w:rsidR="49126027" w:rsidP="63AE8152" w:rsidRDefault="49126027" w14:paraId="0CE600CD" w14:textId="32AAFB6E">
      <w:pPr>
        <w:spacing w:before="210" w:after="210" w:line="300" w:lineRule="auto"/>
        <w:rPr>
          <w:rFonts w:ascii="Arial" w:hAnsi="Arial" w:eastAsia="Arial" w:cs="Arial"/>
        </w:rPr>
      </w:pPr>
      <w:r w:rsidRPr="63AE8152">
        <w:rPr>
          <w:rFonts w:ascii="Arial" w:hAnsi="Arial" w:eastAsia="Arial" w:cs="Arial"/>
        </w:rPr>
        <w:t>This study adopts a qualitative case study methodology to examine the Horizon System failures, organisational governance weaknesses, and transition risks within the UK Post Office. A case study approach is particularly appropriate because it enables an in-depth exploration of a complex socio-technical phenomenon within its real-world context. The Horizon scandal represents one of the most significant public sector governance failures in modern British history, involving interactions between technology, organisational culture, leadership decision-making, accountability structures, and stakeholder management. By focusing on a single, well-documented case, this research seeks to generate a comprehensive understanding of how technological failures were compounded by governance shortcomings and ineffective risk management practices.</w:t>
      </w:r>
    </w:p>
    <w:p w:rsidR="49126027" w:rsidP="63AE8152" w:rsidRDefault="49126027" w14:paraId="32F54E88" w14:textId="446C3335">
      <w:pPr>
        <w:spacing w:before="210" w:after="210" w:line="300" w:lineRule="auto"/>
        <w:rPr>
          <w:rFonts w:ascii="Arial" w:hAnsi="Arial" w:eastAsia="Arial" w:cs="Arial"/>
        </w:rPr>
      </w:pPr>
      <w:r w:rsidRPr="7AD6DA35" w:rsidR="6214998F">
        <w:rPr>
          <w:rFonts w:ascii="Arial" w:hAnsi="Arial" w:eastAsia="Arial" w:cs="Arial"/>
        </w:rPr>
        <w:t xml:space="preserve">The </w:t>
      </w:r>
      <w:r w:rsidRPr="7AD6DA35" w:rsidR="6214998F">
        <w:rPr>
          <w:rFonts w:ascii="Arial" w:hAnsi="Arial" w:eastAsia="Arial" w:cs="Arial"/>
        </w:rPr>
        <w:t>methodology</w:t>
      </w:r>
      <w:r w:rsidRPr="7AD6DA35" w:rsidR="6214998F">
        <w:rPr>
          <w:rFonts w:ascii="Arial" w:hAnsi="Arial" w:eastAsia="Arial" w:cs="Arial"/>
        </w:rPr>
        <w:t xml:space="preserve"> is based on an interpretivist research philosophy, which </w:t>
      </w:r>
      <w:r w:rsidRPr="7AD6DA35" w:rsidR="6214998F">
        <w:rPr>
          <w:rFonts w:ascii="Arial" w:hAnsi="Arial" w:eastAsia="Arial" w:cs="Arial"/>
        </w:rPr>
        <w:t>recognises</w:t>
      </w:r>
      <w:r w:rsidRPr="7AD6DA35" w:rsidR="6214998F">
        <w:rPr>
          <w:rFonts w:ascii="Arial" w:hAnsi="Arial" w:eastAsia="Arial" w:cs="Arial"/>
        </w:rPr>
        <w:t xml:space="preserve"> that </w:t>
      </w:r>
      <w:r w:rsidRPr="7AD6DA35" w:rsidR="6214998F">
        <w:rPr>
          <w:rFonts w:ascii="Arial" w:hAnsi="Arial" w:eastAsia="Arial" w:cs="Arial"/>
        </w:rPr>
        <w:t>organisational</w:t>
      </w:r>
      <w:r w:rsidRPr="7AD6DA35" w:rsidR="6214998F">
        <w:rPr>
          <w:rFonts w:ascii="Arial" w:hAnsi="Arial" w:eastAsia="Arial" w:cs="Arial"/>
        </w:rPr>
        <w:t xml:space="preserve"> failures cannot be understood solely through quantitative measures. Instead, the study examines multiple perspectives, including those of the Post Office, Fujitsu, government departments, investigators, and sub-postmasters affected by the Horizon system. This approach allows for a deeper analysis of how decisions were made, how evidence was interpreted, and how </w:t>
      </w:r>
      <w:r w:rsidRPr="7AD6DA35" w:rsidR="6214998F">
        <w:rPr>
          <w:rFonts w:ascii="Arial" w:hAnsi="Arial" w:eastAsia="Arial" w:cs="Arial"/>
        </w:rPr>
        <w:t>organisational</w:t>
      </w:r>
      <w:r w:rsidRPr="7AD6DA35" w:rsidR="6214998F">
        <w:rPr>
          <w:rFonts w:ascii="Arial" w:hAnsi="Arial" w:eastAsia="Arial" w:cs="Arial"/>
        </w:rPr>
        <w:t xml:space="preserve"> </w:t>
      </w:r>
      <w:r w:rsidRPr="7AD6DA35" w:rsidR="6214998F">
        <w:rPr>
          <w:rFonts w:ascii="Arial" w:hAnsi="Arial" w:eastAsia="Arial" w:cs="Arial"/>
        </w:rPr>
        <w:t>behaviour</w:t>
      </w:r>
      <w:r w:rsidRPr="7AD6DA35" w:rsidR="6214998F">
        <w:rPr>
          <w:rFonts w:ascii="Arial" w:hAnsi="Arial" w:eastAsia="Arial" w:cs="Arial"/>
        </w:rPr>
        <w:t xml:space="preserve"> contributed to the persistence of systemic failures.</w:t>
      </w:r>
    </w:p>
    <w:p w:rsidR="49126027" w:rsidP="63AE8152" w:rsidRDefault="49126027" w14:paraId="7B5CBA68" w14:textId="19FC2355">
      <w:pPr>
        <w:pStyle w:val="Heading2"/>
        <w:spacing w:before="261" w:after="261" w:line="300" w:lineRule="auto"/>
        <w:rPr>
          <w:rFonts w:ascii="Arial" w:hAnsi="Arial" w:eastAsia="Arial" w:cs="Arial"/>
          <w:b w:val="1"/>
          <w:bCs w:val="1"/>
          <w:color w:val="auto"/>
          <w:sz w:val="24"/>
          <w:szCs w:val="24"/>
        </w:rPr>
      </w:pPr>
      <w:bookmarkStart w:name="_Toc682793624" w:id="1262552405"/>
      <w:r w:rsidRPr="7AD6DA35" w:rsidR="1771B1B1">
        <w:rPr>
          <w:rFonts w:ascii="Arial" w:hAnsi="Arial" w:eastAsia="Arial" w:cs="Arial"/>
          <w:b w:val="1"/>
          <w:bCs w:val="1"/>
          <w:color w:val="auto"/>
          <w:sz w:val="24"/>
          <w:szCs w:val="24"/>
        </w:rPr>
        <w:t xml:space="preserve">3.1. </w:t>
      </w:r>
      <w:r w:rsidRPr="7AD6DA35" w:rsidR="6214998F">
        <w:rPr>
          <w:rFonts w:ascii="Arial" w:hAnsi="Arial" w:eastAsia="Arial" w:cs="Arial"/>
          <w:b w:val="1"/>
          <w:bCs w:val="1"/>
          <w:color w:val="auto"/>
          <w:sz w:val="24"/>
          <w:szCs w:val="24"/>
        </w:rPr>
        <w:t>Research Approach</w:t>
      </w:r>
      <w:bookmarkEnd w:id="1262552405"/>
    </w:p>
    <w:p w:rsidR="49126027" w:rsidP="7AD6DA35" w:rsidRDefault="49126027" w14:paraId="382D6E9C" w14:textId="7C4E30F7">
      <w:pPr>
        <w:pStyle w:val="Normal"/>
        <w:spacing w:before="210" w:after="210" w:line="300" w:lineRule="auto"/>
        <w:rPr>
          <w:rFonts w:ascii="Arial" w:hAnsi="Arial" w:eastAsia="Arial" w:cs="Arial"/>
          <w:noProof w:val="0"/>
          <w:sz w:val="24"/>
          <w:szCs w:val="24"/>
          <w:lang w:val="en-US"/>
        </w:rPr>
      </w:pPr>
      <w:r w:rsidRPr="7AD6DA35" w:rsidR="6214998F">
        <w:rPr>
          <w:rFonts w:ascii="Arial" w:hAnsi="Arial" w:eastAsia="Arial" w:cs="Arial"/>
        </w:rPr>
        <w:t xml:space="preserve">A qualitative research approach was selected because the study aims to investigate underlying causes, </w:t>
      </w:r>
      <w:r w:rsidRPr="7AD6DA35" w:rsidR="6214998F">
        <w:rPr>
          <w:rFonts w:ascii="Arial" w:hAnsi="Arial" w:eastAsia="Arial" w:cs="Arial"/>
        </w:rPr>
        <w:t>organisational</w:t>
      </w:r>
      <w:r w:rsidRPr="7AD6DA35" w:rsidR="6214998F">
        <w:rPr>
          <w:rFonts w:ascii="Arial" w:hAnsi="Arial" w:eastAsia="Arial" w:cs="Arial"/>
        </w:rPr>
        <w:t xml:space="preserve"> dynamics, and governance processes rather than </w:t>
      </w:r>
      <w:r w:rsidRPr="7AD6DA35" w:rsidR="6214998F">
        <w:rPr>
          <w:rFonts w:ascii="Arial" w:hAnsi="Arial" w:eastAsia="Arial" w:cs="Arial"/>
        </w:rPr>
        <w:t>establish</w:t>
      </w:r>
      <w:r w:rsidRPr="7AD6DA35" w:rsidR="6214998F">
        <w:rPr>
          <w:rFonts w:ascii="Arial" w:hAnsi="Arial" w:eastAsia="Arial" w:cs="Arial"/>
        </w:rPr>
        <w:t xml:space="preserve"> statistical relationships. </w:t>
      </w:r>
      <w:r w:rsidRPr="7AD6DA35" w:rsidR="6214998F">
        <w:rPr>
          <w:rFonts w:ascii="Arial" w:hAnsi="Arial" w:eastAsia="Arial" w:cs="Arial"/>
        </w:rPr>
        <w:t xml:space="preserve">The Horizon scandal involves human decision-making, institutional </w:t>
      </w:r>
      <w:r w:rsidRPr="7AD6DA35" w:rsidR="6214998F">
        <w:rPr>
          <w:rFonts w:ascii="Arial" w:hAnsi="Arial" w:eastAsia="Arial" w:cs="Arial"/>
        </w:rPr>
        <w:t>behaviour</w:t>
      </w:r>
      <w:r w:rsidRPr="7AD6DA35" w:rsidR="6214998F">
        <w:rPr>
          <w:rFonts w:ascii="Arial" w:hAnsi="Arial" w:eastAsia="Arial" w:cs="Arial"/>
        </w:rPr>
        <w:t>, and ethical considerations that require detailed analysis of narratives, reports, testimonies, and documentary evidence</w:t>
      </w:r>
      <w:r w:rsidRPr="7AD6DA35" w:rsidR="6CC3AE7A">
        <w:rPr>
          <w:rFonts w:ascii="Arial" w:hAnsi="Arial" w:eastAsia="Arial" w:cs="Arial"/>
          <w:noProof w:val="0"/>
          <w:sz w:val="24"/>
          <w:szCs w:val="24"/>
          <w:lang w:val="en-US"/>
        </w:rPr>
        <w:t xml:space="preserve"> (Bezdek 2026)</w:t>
      </w:r>
      <w:r w:rsidRPr="7AD6DA35" w:rsidR="530C9DDF">
        <w:rPr>
          <w:rFonts w:ascii="Arial" w:hAnsi="Arial" w:eastAsia="Arial" w:cs="Arial"/>
          <w:noProof w:val="0"/>
          <w:sz w:val="24"/>
          <w:szCs w:val="24"/>
          <w:lang w:val="en-US"/>
        </w:rPr>
        <w:t>.</w:t>
      </w:r>
    </w:p>
    <w:p w:rsidR="49126027" w:rsidP="7AD6DA35" w:rsidRDefault="49126027" w14:paraId="6BB34E35" w14:textId="1EDE6240">
      <w:pPr>
        <w:pStyle w:val="Normal"/>
        <w:spacing w:before="210" w:after="210" w:line="300" w:lineRule="auto"/>
        <w:rPr>
          <w:rFonts w:ascii="Arial" w:hAnsi="Arial" w:eastAsia="Arial" w:cs="Arial"/>
        </w:rPr>
      </w:pPr>
      <w:r w:rsidRPr="7AD6DA35" w:rsidR="6214998F">
        <w:rPr>
          <w:rFonts w:ascii="Arial" w:hAnsi="Arial" w:eastAsia="Arial" w:cs="Arial"/>
        </w:rPr>
        <w:t xml:space="preserve">The research follows an inductive approach. Rather than testing predetermined hypotheses, the study analyses available evidence to </w:t>
      </w:r>
      <w:r w:rsidRPr="7AD6DA35" w:rsidR="6214998F">
        <w:rPr>
          <w:rFonts w:ascii="Arial" w:hAnsi="Arial" w:eastAsia="Arial" w:cs="Arial"/>
        </w:rPr>
        <w:t>identify</w:t>
      </w:r>
      <w:r w:rsidRPr="7AD6DA35" w:rsidR="6214998F">
        <w:rPr>
          <w:rFonts w:ascii="Arial" w:hAnsi="Arial" w:eastAsia="Arial" w:cs="Arial"/>
        </w:rPr>
        <w:t xml:space="preserve"> recurring themes relating to technology governance, </w:t>
      </w:r>
      <w:r w:rsidRPr="7AD6DA35" w:rsidR="6214998F">
        <w:rPr>
          <w:rFonts w:ascii="Arial" w:hAnsi="Arial" w:eastAsia="Arial" w:cs="Arial"/>
        </w:rPr>
        <w:t>organisational</w:t>
      </w:r>
      <w:r w:rsidRPr="7AD6DA35" w:rsidR="6214998F">
        <w:rPr>
          <w:rFonts w:ascii="Arial" w:hAnsi="Arial" w:eastAsia="Arial" w:cs="Arial"/>
        </w:rPr>
        <w:t xml:space="preserve"> accountability, risk management, and digital transformation. Through thematic analysis, patterns </w:t>
      </w:r>
      <w:r w:rsidRPr="7AD6DA35" w:rsidR="6214998F">
        <w:rPr>
          <w:rFonts w:ascii="Arial" w:hAnsi="Arial" w:eastAsia="Arial" w:cs="Arial"/>
        </w:rPr>
        <w:t>emerge</w:t>
      </w:r>
      <w:r w:rsidRPr="7AD6DA35" w:rsidR="6214998F">
        <w:rPr>
          <w:rFonts w:ascii="Arial" w:hAnsi="Arial" w:eastAsia="Arial" w:cs="Arial"/>
        </w:rPr>
        <w:t xml:space="preserve"> from the data that help explain how the Horizon system failures evolved into a prolonged </w:t>
      </w:r>
      <w:r w:rsidRPr="7AD6DA35" w:rsidR="6214998F">
        <w:rPr>
          <w:rFonts w:ascii="Arial" w:hAnsi="Arial" w:eastAsia="Arial" w:cs="Arial"/>
        </w:rPr>
        <w:t>organisational</w:t>
      </w:r>
      <w:r w:rsidRPr="7AD6DA35" w:rsidR="6214998F">
        <w:rPr>
          <w:rFonts w:ascii="Arial" w:hAnsi="Arial" w:eastAsia="Arial" w:cs="Arial"/>
        </w:rPr>
        <w:t xml:space="preserve"> crisis</w:t>
      </w:r>
      <w:r w:rsidRPr="7AD6DA35" w:rsidR="1793FD55">
        <w:rPr>
          <w:rFonts w:ascii="Arial" w:hAnsi="Arial" w:eastAsia="Arial" w:cs="Arial"/>
        </w:rPr>
        <w:t xml:space="preserve"> </w:t>
      </w:r>
      <w:r w:rsidRPr="7AD6DA35" w:rsidR="7B9FBF71">
        <w:rPr>
          <w:rFonts w:ascii="Arial" w:hAnsi="Arial" w:eastAsia="Arial" w:cs="Arial"/>
          <w:noProof w:val="0"/>
          <w:sz w:val="24"/>
          <w:szCs w:val="24"/>
          <w:lang w:val="en-US"/>
        </w:rPr>
        <w:t>(</w:t>
      </w:r>
      <w:bookmarkStart w:name="_Int_PpDioUGe" w:id="703649625"/>
      <w:r w:rsidRPr="7AD6DA35" w:rsidR="7B9FBF71">
        <w:rPr>
          <w:rFonts w:ascii="Arial" w:hAnsi="Arial" w:eastAsia="Arial" w:cs="Arial"/>
          <w:noProof w:val="0"/>
          <w:sz w:val="24"/>
          <w:szCs w:val="24"/>
          <w:lang w:val="en-US"/>
        </w:rPr>
        <w:t>Bezdek</w:t>
      </w:r>
      <w:bookmarkEnd w:id="703649625"/>
      <w:r w:rsidRPr="7AD6DA35" w:rsidR="7B9FBF71">
        <w:rPr>
          <w:rFonts w:ascii="Arial" w:hAnsi="Arial" w:eastAsia="Arial" w:cs="Arial"/>
          <w:noProof w:val="0"/>
          <w:sz w:val="24"/>
          <w:szCs w:val="24"/>
          <w:lang w:val="en-US"/>
        </w:rPr>
        <w:t xml:space="preserve"> 2026).</w:t>
      </w:r>
    </w:p>
    <w:p w:rsidR="49126027" w:rsidP="7AD6DA35" w:rsidRDefault="49126027" w14:paraId="140F1C9D" w14:textId="51E24FB5">
      <w:pPr>
        <w:pStyle w:val="Normal"/>
        <w:spacing w:before="210" w:after="210" w:line="300" w:lineRule="auto"/>
        <w:rPr>
          <w:rFonts w:ascii="Arial" w:hAnsi="Arial" w:eastAsia="Arial" w:cs="Arial"/>
          <w:noProof w:val="0"/>
          <w:sz w:val="24"/>
          <w:szCs w:val="24"/>
          <w:lang w:val="en-US"/>
        </w:rPr>
      </w:pPr>
      <w:r w:rsidRPr="7AD6DA35" w:rsidR="6214998F">
        <w:rPr>
          <w:rFonts w:ascii="Arial" w:hAnsi="Arial" w:eastAsia="Arial" w:cs="Arial"/>
        </w:rPr>
        <w:t xml:space="preserve">The inductive approach is particularly suitable because the scandal encompasses multiple dimensions that extend beyond software malfunction. Investigating these </w:t>
      </w:r>
      <w:r w:rsidRPr="7AD6DA35" w:rsidR="6214998F">
        <w:rPr>
          <w:rFonts w:ascii="Arial" w:hAnsi="Arial" w:eastAsia="Arial" w:cs="Arial"/>
        </w:rPr>
        <w:t xml:space="preserve">dimensions requires openness to discovering unforeseen relationships between governance structures, leadership responses, </w:t>
      </w:r>
      <w:r w:rsidRPr="7AD6DA35" w:rsidR="6214998F">
        <w:rPr>
          <w:rFonts w:ascii="Arial" w:hAnsi="Arial" w:eastAsia="Arial" w:cs="Arial"/>
        </w:rPr>
        <w:t>organisational</w:t>
      </w:r>
      <w:r w:rsidRPr="7AD6DA35" w:rsidR="6214998F">
        <w:rPr>
          <w:rFonts w:ascii="Arial" w:hAnsi="Arial" w:eastAsia="Arial" w:cs="Arial"/>
        </w:rPr>
        <w:t xml:space="preserve"> culture, and technology management practices</w:t>
      </w:r>
      <w:r w:rsidRPr="7AD6DA35" w:rsidR="59D3246B">
        <w:rPr>
          <w:rFonts w:ascii="Times New Roman" w:hAnsi="Times New Roman" w:eastAsia="Times New Roman" w:cs="Times New Roman"/>
          <w:noProof w:val="0"/>
          <w:sz w:val="24"/>
          <w:szCs w:val="24"/>
          <w:lang w:val="en-US"/>
        </w:rPr>
        <w:t xml:space="preserve"> </w:t>
      </w:r>
      <w:r w:rsidRPr="7AD6DA35" w:rsidR="59D3246B">
        <w:rPr>
          <w:rFonts w:ascii="Arial" w:hAnsi="Arial" w:eastAsia="Arial" w:cs="Arial"/>
          <w:noProof w:val="0"/>
          <w:sz w:val="24"/>
          <w:szCs w:val="24"/>
          <w:lang w:val="en-US"/>
        </w:rPr>
        <w:t>(Thomas 2006).</w:t>
      </w:r>
    </w:p>
    <w:p w:rsidR="49126027" w:rsidP="63AE8152" w:rsidRDefault="49126027" w14:paraId="1E5FB127" w14:textId="21191CBF">
      <w:pPr>
        <w:pStyle w:val="Heading2"/>
        <w:spacing w:before="261" w:after="261" w:line="300" w:lineRule="auto"/>
        <w:rPr>
          <w:rFonts w:ascii="Arial" w:hAnsi="Arial" w:eastAsia="Arial" w:cs="Arial"/>
          <w:b w:val="1"/>
          <w:bCs w:val="1"/>
          <w:color w:val="auto"/>
          <w:sz w:val="24"/>
          <w:szCs w:val="24"/>
        </w:rPr>
      </w:pPr>
      <w:bookmarkStart w:name="_Toc1851697025" w:id="1303475618"/>
      <w:r w:rsidRPr="7AD6DA35" w:rsidR="62FF94B7">
        <w:rPr>
          <w:rFonts w:ascii="Arial" w:hAnsi="Arial" w:eastAsia="Arial" w:cs="Arial"/>
          <w:b w:val="1"/>
          <w:bCs w:val="1"/>
          <w:color w:val="auto"/>
          <w:sz w:val="24"/>
          <w:szCs w:val="24"/>
        </w:rPr>
        <w:t xml:space="preserve">3.2. </w:t>
      </w:r>
      <w:r w:rsidRPr="7AD6DA35" w:rsidR="6214998F">
        <w:rPr>
          <w:rFonts w:ascii="Arial" w:hAnsi="Arial" w:eastAsia="Arial" w:cs="Arial"/>
          <w:b w:val="1"/>
          <w:bCs w:val="1"/>
          <w:color w:val="auto"/>
          <w:sz w:val="24"/>
          <w:szCs w:val="24"/>
        </w:rPr>
        <w:t>Case Study Strategy</w:t>
      </w:r>
      <w:bookmarkEnd w:id="1303475618"/>
    </w:p>
    <w:p w:rsidR="49126027" w:rsidP="63AE8152" w:rsidRDefault="49126027" w14:paraId="59CDC5C9" w14:textId="17B1B560">
      <w:pPr>
        <w:spacing w:before="210" w:after="210" w:line="300" w:lineRule="auto"/>
        <w:rPr>
          <w:rFonts w:ascii="Arial" w:hAnsi="Arial" w:eastAsia="Arial" w:cs="Arial"/>
        </w:rPr>
      </w:pPr>
      <w:r w:rsidRPr="7AD6DA35" w:rsidR="6214998F">
        <w:rPr>
          <w:rFonts w:ascii="Arial" w:hAnsi="Arial" w:eastAsia="Arial" w:cs="Arial"/>
        </w:rPr>
        <w:t xml:space="preserve">The UK Post Office Horizon scandal serves as the </w:t>
      </w:r>
      <w:r w:rsidRPr="7AD6DA35" w:rsidR="6214998F">
        <w:rPr>
          <w:rFonts w:ascii="Arial" w:hAnsi="Arial" w:eastAsia="Arial" w:cs="Arial"/>
        </w:rPr>
        <w:t>single case</w:t>
      </w:r>
      <w:r w:rsidRPr="7AD6DA35" w:rsidR="6214998F">
        <w:rPr>
          <w:rFonts w:ascii="Arial" w:hAnsi="Arial" w:eastAsia="Arial" w:cs="Arial"/>
        </w:rPr>
        <w:t xml:space="preserve"> study for this research. The case was chosen because it </w:t>
      </w:r>
      <w:r w:rsidRPr="7AD6DA35" w:rsidR="6214998F">
        <w:rPr>
          <w:rFonts w:ascii="Arial" w:hAnsi="Arial" w:eastAsia="Arial" w:cs="Arial"/>
        </w:rPr>
        <w:t>provides</w:t>
      </w:r>
      <w:r w:rsidRPr="7AD6DA35" w:rsidR="6214998F">
        <w:rPr>
          <w:rFonts w:ascii="Arial" w:hAnsi="Arial" w:eastAsia="Arial" w:cs="Arial"/>
        </w:rPr>
        <w:t xml:space="preserve"> a rich example of how failures in information </w:t>
      </w:r>
      <w:r w:rsidRPr="7AD6DA35" w:rsidR="36D1ECCD">
        <w:rPr>
          <w:rFonts w:ascii="Arial" w:hAnsi="Arial" w:eastAsia="Arial" w:cs="Arial"/>
        </w:rPr>
        <w:t>system</w:t>
      </w:r>
      <w:r w:rsidRPr="7AD6DA35" w:rsidR="6214998F">
        <w:rPr>
          <w:rFonts w:ascii="Arial" w:hAnsi="Arial" w:eastAsia="Arial" w:cs="Arial"/>
        </w:rPr>
        <w:t xml:space="preserve"> governance can have severe </w:t>
      </w:r>
      <w:r w:rsidRPr="7AD6DA35" w:rsidR="6214998F">
        <w:rPr>
          <w:rFonts w:ascii="Arial" w:hAnsi="Arial" w:eastAsia="Arial" w:cs="Arial"/>
        </w:rPr>
        <w:t>organisational</w:t>
      </w:r>
      <w:r w:rsidRPr="7AD6DA35" w:rsidR="6214998F">
        <w:rPr>
          <w:rFonts w:ascii="Arial" w:hAnsi="Arial" w:eastAsia="Arial" w:cs="Arial"/>
        </w:rPr>
        <w:t xml:space="preserve"> and societal consequences. The scandal offers significant lessons </w:t>
      </w:r>
      <w:r w:rsidRPr="7AD6DA35" w:rsidR="6214998F">
        <w:rPr>
          <w:rFonts w:ascii="Arial" w:hAnsi="Arial" w:eastAsia="Arial" w:cs="Arial"/>
        </w:rPr>
        <w:t>regarding</w:t>
      </w:r>
      <w:r w:rsidRPr="7AD6DA35" w:rsidR="6214998F">
        <w:rPr>
          <w:rFonts w:ascii="Arial" w:hAnsi="Arial" w:eastAsia="Arial" w:cs="Arial"/>
        </w:rPr>
        <w:t xml:space="preserve"> digital transformation, oversight mechanisms, ethical leadership, and </w:t>
      </w:r>
      <w:r w:rsidRPr="7AD6DA35" w:rsidR="6214998F">
        <w:rPr>
          <w:rFonts w:ascii="Arial" w:hAnsi="Arial" w:eastAsia="Arial" w:cs="Arial"/>
        </w:rPr>
        <w:t>organisational</w:t>
      </w:r>
      <w:r w:rsidRPr="7AD6DA35" w:rsidR="6214998F">
        <w:rPr>
          <w:rFonts w:ascii="Arial" w:hAnsi="Arial" w:eastAsia="Arial" w:cs="Arial"/>
        </w:rPr>
        <w:t xml:space="preserve"> resilience.</w:t>
      </w:r>
    </w:p>
    <w:p w:rsidR="49126027" w:rsidP="7AD6DA35" w:rsidRDefault="49126027" w14:paraId="44109143" w14:textId="7D1D1B8C">
      <w:pPr>
        <w:pStyle w:val="Normal"/>
        <w:spacing w:before="210" w:after="210" w:line="300" w:lineRule="auto"/>
        <w:rPr>
          <w:rFonts w:ascii="Arial" w:hAnsi="Arial" w:eastAsia="Arial" w:cs="Arial"/>
        </w:rPr>
      </w:pPr>
      <w:r w:rsidRPr="7AD6DA35" w:rsidR="6214998F">
        <w:rPr>
          <w:rFonts w:ascii="Arial" w:hAnsi="Arial" w:eastAsia="Arial" w:cs="Arial"/>
        </w:rPr>
        <w:t>A single-case design is justified because the Horizon case is unique in scale, duration, and impact</w:t>
      </w:r>
      <w:r w:rsidRPr="7AD6DA35" w:rsidR="1ED62E48">
        <w:rPr>
          <w:rFonts w:ascii="Arial" w:hAnsi="Arial" w:eastAsia="Arial" w:cs="Arial"/>
        </w:rPr>
        <w:t xml:space="preserve"> </w:t>
      </w:r>
      <w:r w:rsidRPr="7AD6DA35" w:rsidR="1ED62E48">
        <w:rPr>
          <w:rFonts w:ascii="Arial" w:hAnsi="Arial" w:eastAsia="Arial" w:cs="Arial"/>
          <w:noProof w:val="0"/>
          <w:sz w:val="24"/>
          <w:szCs w:val="24"/>
          <w:lang w:val="en-US"/>
        </w:rPr>
        <w:t>(Nadji et al.</w:t>
      </w:r>
      <w:r w:rsidRPr="7AD6DA35" w:rsidR="1ED62E48">
        <w:rPr>
          <w:rFonts w:ascii="Arial" w:hAnsi="Arial" w:eastAsia="Arial" w:cs="Arial"/>
          <w:noProof w:val="0"/>
          <w:sz w:val="24"/>
          <w:szCs w:val="24"/>
          <w:lang w:val="en-US"/>
        </w:rPr>
        <w:t>). Thousands</w:t>
      </w:r>
      <w:r w:rsidRPr="7AD6DA35" w:rsidR="6214998F">
        <w:rPr>
          <w:rFonts w:ascii="Arial" w:hAnsi="Arial" w:eastAsia="Arial" w:cs="Arial"/>
        </w:rPr>
        <w:t xml:space="preserve"> of sub-postmasters were affected by accounting discrepancies attributed to the Horizon IT system, resulting in wrongful prosecutions, financial losses, reputational damage, and significant public concern. The case therefore </w:t>
      </w:r>
      <w:r w:rsidRPr="7AD6DA35" w:rsidR="6214998F">
        <w:rPr>
          <w:rFonts w:ascii="Arial" w:hAnsi="Arial" w:eastAsia="Arial" w:cs="Arial"/>
        </w:rPr>
        <w:t>provides</w:t>
      </w:r>
      <w:r w:rsidRPr="7AD6DA35" w:rsidR="6214998F">
        <w:rPr>
          <w:rFonts w:ascii="Arial" w:hAnsi="Arial" w:eastAsia="Arial" w:cs="Arial"/>
        </w:rPr>
        <w:t xml:space="preserve"> an opportunity to examine how technological systems interact with </w:t>
      </w:r>
      <w:r w:rsidRPr="7AD6DA35" w:rsidR="6214998F">
        <w:rPr>
          <w:rFonts w:ascii="Arial" w:hAnsi="Arial" w:eastAsia="Arial" w:cs="Arial"/>
        </w:rPr>
        <w:t>organisational</w:t>
      </w:r>
      <w:r w:rsidRPr="7AD6DA35" w:rsidR="6214998F">
        <w:rPr>
          <w:rFonts w:ascii="Arial" w:hAnsi="Arial" w:eastAsia="Arial" w:cs="Arial"/>
        </w:rPr>
        <w:t xml:space="preserve"> governance arrangements over an extended period.</w:t>
      </w:r>
    </w:p>
    <w:p w:rsidR="49126027" w:rsidP="63AE8152" w:rsidRDefault="49126027" w14:paraId="6EE7B7EC" w14:textId="7D9F20E3">
      <w:pPr>
        <w:spacing w:before="210" w:after="210" w:line="300" w:lineRule="auto"/>
        <w:rPr>
          <w:rFonts w:ascii="Arial" w:hAnsi="Arial" w:eastAsia="Arial" w:cs="Arial"/>
        </w:rPr>
      </w:pPr>
      <w:r w:rsidRPr="63AE8152">
        <w:rPr>
          <w:rFonts w:ascii="Arial" w:hAnsi="Arial" w:eastAsia="Arial" w:cs="Arial"/>
        </w:rPr>
        <w:t>The study focuses on three primary areas:</w:t>
      </w:r>
    </w:p>
    <w:p w:rsidR="49126027" w:rsidP="622911A9" w:rsidRDefault="13A21737" w14:paraId="418D9F81" w14:textId="21CB83E0">
      <w:pPr>
        <w:pStyle w:val="ListParagraph"/>
        <w:numPr>
          <w:ilvl w:val="0"/>
          <w:numId w:val="9"/>
        </w:numPr>
        <w:spacing w:after="0" w:line="300" w:lineRule="auto"/>
        <w:rPr>
          <w:rFonts w:ascii="Arial" w:hAnsi="Arial" w:eastAsia="Arial" w:cs="Arial"/>
        </w:rPr>
      </w:pPr>
      <w:r w:rsidRPr="622911A9">
        <w:rPr>
          <w:rFonts w:ascii="Arial" w:hAnsi="Arial" w:eastAsia="Arial" w:cs="Arial"/>
          <w:b/>
          <w:bCs/>
        </w:rPr>
        <w:t>Analysis of Horizon system failures</w:t>
      </w:r>
      <w:r w:rsidRPr="622911A9">
        <w:rPr>
          <w:rFonts w:ascii="Arial" w:hAnsi="Arial" w:eastAsia="Arial" w:cs="Arial"/>
        </w:rPr>
        <w:t xml:space="preserve"> and </w:t>
      </w:r>
      <w:r w:rsidRPr="622911A9" w:rsidR="65740F45">
        <w:rPr>
          <w:rFonts w:ascii="Arial" w:hAnsi="Arial" w:eastAsia="Arial" w:cs="Arial"/>
        </w:rPr>
        <w:t>technical</w:t>
      </w:r>
      <w:r w:rsidRPr="622911A9">
        <w:rPr>
          <w:rFonts w:ascii="Arial" w:hAnsi="Arial" w:eastAsia="Arial" w:cs="Arial"/>
        </w:rPr>
        <w:t xml:space="preserve"> implications.</w:t>
      </w:r>
    </w:p>
    <w:p w:rsidR="49126027" w:rsidP="63AE8152" w:rsidRDefault="49126027" w14:paraId="19B2CFC6" w14:textId="3691E130">
      <w:pPr>
        <w:pStyle w:val="ListParagraph"/>
        <w:numPr>
          <w:ilvl w:val="0"/>
          <w:numId w:val="9"/>
        </w:numPr>
        <w:spacing w:after="0" w:line="300" w:lineRule="auto"/>
        <w:rPr>
          <w:rFonts w:ascii="Arial" w:hAnsi="Arial" w:eastAsia="Arial" w:cs="Arial"/>
        </w:rPr>
      </w:pPr>
      <w:r w:rsidRPr="63AE8152">
        <w:rPr>
          <w:rFonts w:ascii="Arial" w:hAnsi="Arial" w:eastAsia="Arial" w:cs="Arial"/>
          <w:b/>
          <w:bCs/>
        </w:rPr>
        <w:t>Evaluation of organisational governance structures</w:t>
      </w:r>
      <w:r w:rsidRPr="63AE8152">
        <w:rPr>
          <w:rFonts w:ascii="Arial" w:hAnsi="Arial" w:eastAsia="Arial" w:cs="Arial"/>
        </w:rPr>
        <w:t xml:space="preserve"> within the Post Office.</w:t>
      </w:r>
    </w:p>
    <w:p w:rsidR="49126027" w:rsidP="63AE8152" w:rsidRDefault="49126027" w14:paraId="3D5CC340" w14:textId="2DE25FAB">
      <w:pPr>
        <w:pStyle w:val="ListParagraph"/>
        <w:numPr>
          <w:ilvl w:val="0"/>
          <w:numId w:val="9"/>
        </w:numPr>
        <w:spacing w:after="0" w:line="300" w:lineRule="auto"/>
        <w:rPr>
          <w:rFonts w:ascii="Arial" w:hAnsi="Arial" w:eastAsia="Arial" w:cs="Arial"/>
        </w:rPr>
      </w:pPr>
      <w:r w:rsidRPr="63AE8152">
        <w:rPr>
          <w:rFonts w:ascii="Arial" w:hAnsi="Arial" w:eastAsia="Arial" w:cs="Arial"/>
          <w:b/>
          <w:bCs/>
        </w:rPr>
        <w:t>Assessment of transition risks</w:t>
      </w:r>
      <w:r w:rsidRPr="63AE8152">
        <w:rPr>
          <w:rFonts w:ascii="Arial" w:hAnsi="Arial" w:eastAsia="Arial" w:cs="Arial"/>
        </w:rPr>
        <w:t xml:space="preserve"> associated with technology implementation and change management.</w:t>
      </w:r>
    </w:p>
    <w:p w:rsidR="49126027" w:rsidP="63AE8152" w:rsidRDefault="49126027" w14:paraId="3E42146B" w14:textId="2702429E">
      <w:pPr>
        <w:spacing w:before="210" w:after="210" w:line="300" w:lineRule="auto"/>
        <w:rPr>
          <w:rFonts w:ascii="Arial" w:hAnsi="Arial" w:eastAsia="Arial" w:cs="Arial"/>
        </w:rPr>
      </w:pPr>
      <w:r w:rsidRPr="63AE8152">
        <w:rPr>
          <w:rFonts w:ascii="Arial" w:hAnsi="Arial" w:eastAsia="Arial" w:cs="Arial"/>
        </w:rPr>
        <w:t>These dimensions form the analytical framework guiding the research.</w:t>
      </w:r>
    </w:p>
    <w:p w:rsidR="49126027" w:rsidP="63AE8152" w:rsidRDefault="49126027" w14:paraId="0A0A2FCF" w14:textId="4B03F54E">
      <w:pPr>
        <w:pStyle w:val="Heading2"/>
        <w:spacing w:before="261" w:after="261" w:line="300" w:lineRule="auto"/>
        <w:rPr>
          <w:rFonts w:ascii="Arial" w:hAnsi="Arial" w:eastAsia="Arial" w:cs="Arial"/>
          <w:b w:val="1"/>
          <w:bCs w:val="1"/>
          <w:color w:val="auto"/>
          <w:sz w:val="24"/>
          <w:szCs w:val="24"/>
        </w:rPr>
      </w:pPr>
      <w:bookmarkStart w:name="_Toc566797893" w:id="1191124547"/>
      <w:r w:rsidRPr="7AD6DA35" w:rsidR="06F47AA1">
        <w:rPr>
          <w:rFonts w:ascii="Arial" w:hAnsi="Arial" w:eastAsia="Arial" w:cs="Arial"/>
          <w:b w:val="1"/>
          <w:bCs w:val="1"/>
          <w:color w:val="auto"/>
          <w:sz w:val="24"/>
          <w:szCs w:val="24"/>
        </w:rPr>
        <w:t xml:space="preserve">3.4. </w:t>
      </w:r>
      <w:r w:rsidRPr="7AD6DA35" w:rsidR="6214998F">
        <w:rPr>
          <w:rFonts w:ascii="Arial" w:hAnsi="Arial" w:eastAsia="Arial" w:cs="Arial"/>
          <w:b w:val="1"/>
          <w:bCs w:val="1"/>
          <w:color w:val="auto"/>
          <w:sz w:val="24"/>
          <w:szCs w:val="24"/>
        </w:rPr>
        <w:t>Data Collection Methods</w:t>
      </w:r>
      <w:bookmarkEnd w:id="1191124547"/>
    </w:p>
    <w:p w:rsidR="49126027" w:rsidP="63AE8152" w:rsidRDefault="49126027" w14:paraId="26ABBF85" w14:textId="721383B5">
      <w:pPr>
        <w:spacing w:before="210" w:after="210" w:line="300" w:lineRule="auto"/>
        <w:rPr>
          <w:rFonts w:ascii="Arial" w:hAnsi="Arial" w:eastAsia="Arial" w:cs="Arial"/>
        </w:rPr>
      </w:pPr>
      <w:r w:rsidRPr="63AE8152">
        <w:rPr>
          <w:rFonts w:ascii="Arial" w:hAnsi="Arial" w:eastAsia="Arial" w:cs="Arial"/>
        </w:rPr>
        <w:t>This research relies exclusively on secondary data sources. Secondary research is appropriate because the Horizon scandal has generated extensive publicly available documentation, including inquiry reports, court judgments, parliamentary investigations, media reports, academic literature, and official statements.</w:t>
      </w:r>
    </w:p>
    <w:p w:rsidR="49126027" w:rsidP="63AE8152" w:rsidRDefault="49126027" w14:paraId="2B129681" w14:textId="5F236A4A">
      <w:pPr>
        <w:spacing w:before="210" w:after="210" w:line="300" w:lineRule="auto"/>
        <w:rPr>
          <w:rFonts w:ascii="Arial" w:hAnsi="Arial" w:eastAsia="Arial" w:cs="Arial"/>
        </w:rPr>
      </w:pPr>
      <w:r w:rsidRPr="63AE8152">
        <w:rPr>
          <w:rFonts w:ascii="Arial" w:hAnsi="Arial" w:eastAsia="Arial" w:cs="Arial"/>
        </w:rPr>
        <w:t>The primary sources of data include:</w:t>
      </w:r>
    </w:p>
    <w:p w:rsidR="49126027" w:rsidP="63AE8152" w:rsidRDefault="49126027" w14:paraId="2AF8C8DD" w14:textId="3ACFC7A8">
      <w:pPr>
        <w:pStyle w:val="Heading3"/>
        <w:spacing w:before="246" w:after="246" w:line="300" w:lineRule="auto"/>
        <w:rPr>
          <w:rFonts w:ascii="Arial" w:hAnsi="Arial" w:eastAsia="Arial" w:cs="Arial"/>
          <w:b w:val="1"/>
          <w:bCs w:val="1"/>
          <w:color w:val="auto"/>
          <w:sz w:val="24"/>
          <w:szCs w:val="24"/>
        </w:rPr>
      </w:pPr>
      <w:bookmarkStart w:name="_Toc113226337" w:id="541063910"/>
      <w:r w:rsidRPr="7AD6DA35" w:rsidR="515D45FB">
        <w:rPr>
          <w:rFonts w:ascii="Arial" w:hAnsi="Arial" w:eastAsia="Arial" w:cs="Arial"/>
          <w:b w:val="1"/>
          <w:bCs w:val="1"/>
          <w:color w:val="auto"/>
          <w:sz w:val="24"/>
          <w:szCs w:val="24"/>
        </w:rPr>
        <w:t xml:space="preserve">3.5. </w:t>
      </w:r>
      <w:r w:rsidRPr="7AD6DA35" w:rsidR="6214998F">
        <w:rPr>
          <w:rFonts w:ascii="Arial" w:hAnsi="Arial" w:eastAsia="Arial" w:cs="Arial"/>
          <w:b w:val="1"/>
          <w:bCs w:val="1"/>
          <w:color w:val="auto"/>
          <w:sz w:val="24"/>
          <w:szCs w:val="24"/>
        </w:rPr>
        <w:t>Public Inquiry Reports</w:t>
      </w:r>
      <w:bookmarkEnd w:id="541063910"/>
    </w:p>
    <w:p w:rsidR="49126027" w:rsidP="63AE8152" w:rsidRDefault="49126027" w14:paraId="1E207765" w14:textId="656FAD68">
      <w:pPr>
        <w:spacing w:before="210" w:after="210" w:line="300" w:lineRule="auto"/>
        <w:rPr>
          <w:rFonts w:ascii="Arial" w:hAnsi="Arial" w:eastAsia="Arial" w:cs="Arial"/>
        </w:rPr>
      </w:pPr>
      <w:r w:rsidRPr="63AE8152">
        <w:rPr>
          <w:rFonts w:ascii="Arial" w:hAnsi="Arial" w:eastAsia="Arial" w:cs="Arial"/>
        </w:rPr>
        <w:t xml:space="preserve">The Post Office Horizon IT Inquiry provides detailed evidence relating to system functionality, organisational decision-making, and governance failures. Witness </w:t>
      </w:r>
      <w:r w:rsidRPr="63AE8152">
        <w:rPr>
          <w:rFonts w:ascii="Arial" w:hAnsi="Arial" w:eastAsia="Arial" w:cs="Arial"/>
        </w:rPr>
        <w:lastRenderedPageBreak/>
        <w:t>testimonies, expert assessments, and documentary disclosures offer valuable insights into the development and operation of Horizon.</w:t>
      </w:r>
    </w:p>
    <w:p w:rsidR="49126027" w:rsidP="63AE8152" w:rsidRDefault="49126027" w14:paraId="2F40FEEB" w14:textId="5A259FA0">
      <w:pPr>
        <w:pStyle w:val="Heading3"/>
        <w:spacing w:before="246" w:after="246" w:line="300" w:lineRule="auto"/>
        <w:rPr>
          <w:rFonts w:ascii="Arial" w:hAnsi="Arial" w:eastAsia="Arial" w:cs="Arial"/>
          <w:b w:val="1"/>
          <w:bCs w:val="1"/>
          <w:color w:val="auto"/>
          <w:sz w:val="24"/>
          <w:szCs w:val="24"/>
        </w:rPr>
      </w:pPr>
      <w:bookmarkStart w:name="_Toc1771067257" w:id="1045090670"/>
      <w:r w:rsidRPr="7AD6DA35" w:rsidR="21E8C856">
        <w:rPr>
          <w:rFonts w:ascii="Arial" w:hAnsi="Arial" w:eastAsia="Arial" w:cs="Arial"/>
          <w:b w:val="1"/>
          <w:bCs w:val="1"/>
          <w:color w:val="auto"/>
          <w:sz w:val="24"/>
          <w:szCs w:val="24"/>
        </w:rPr>
        <w:t xml:space="preserve">3.6. </w:t>
      </w:r>
      <w:r w:rsidRPr="7AD6DA35" w:rsidR="6214998F">
        <w:rPr>
          <w:rFonts w:ascii="Arial" w:hAnsi="Arial" w:eastAsia="Arial" w:cs="Arial"/>
          <w:b w:val="1"/>
          <w:bCs w:val="1"/>
          <w:color w:val="auto"/>
          <w:sz w:val="24"/>
          <w:szCs w:val="24"/>
        </w:rPr>
        <w:t>Government and Parliamentary Documents</w:t>
      </w:r>
      <w:bookmarkEnd w:id="1045090670"/>
    </w:p>
    <w:p w:rsidR="49126027" w:rsidP="63AE8152" w:rsidRDefault="49126027" w14:paraId="49745A86" w14:textId="2E47EB5E">
      <w:pPr>
        <w:spacing w:before="210" w:after="210" w:line="300" w:lineRule="auto"/>
        <w:rPr>
          <w:rFonts w:ascii="Arial" w:hAnsi="Arial" w:eastAsia="Arial" w:cs="Arial"/>
        </w:rPr>
      </w:pPr>
      <w:r w:rsidRPr="63AE8152">
        <w:rPr>
          <w:rFonts w:ascii="Arial" w:hAnsi="Arial" w:eastAsia="Arial" w:cs="Arial"/>
        </w:rPr>
        <w:t>Reports published by parliamentary committees, government reviews, and regulatory bodies provide additional information regarding accountability, oversight failures, and public sector governance issues. These documents offer authoritative perspectives on institutional shortcomings and lessons learned.</w:t>
      </w:r>
    </w:p>
    <w:p w:rsidR="49126027" w:rsidP="63AE8152" w:rsidRDefault="49126027" w14:paraId="7A7177A0" w14:textId="691911E2">
      <w:pPr>
        <w:pStyle w:val="Heading3"/>
        <w:spacing w:before="246" w:after="246" w:line="300" w:lineRule="auto"/>
        <w:rPr>
          <w:rFonts w:ascii="Arial" w:hAnsi="Arial" w:eastAsia="Arial" w:cs="Arial"/>
          <w:b w:val="1"/>
          <w:bCs w:val="1"/>
          <w:color w:val="auto"/>
          <w:sz w:val="24"/>
          <w:szCs w:val="24"/>
        </w:rPr>
      </w:pPr>
      <w:bookmarkStart w:name="_Toc328255446" w:id="743906249"/>
      <w:r w:rsidRPr="7AD6DA35" w:rsidR="189D5A7F">
        <w:rPr>
          <w:rFonts w:ascii="Arial" w:hAnsi="Arial" w:eastAsia="Arial" w:cs="Arial"/>
          <w:b w:val="1"/>
          <w:bCs w:val="1"/>
          <w:color w:val="auto"/>
          <w:sz w:val="24"/>
          <w:szCs w:val="24"/>
        </w:rPr>
        <w:t xml:space="preserve">3.7. </w:t>
      </w:r>
      <w:r w:rsidRPr="7AD6DA35" w:rsidR="6214998F">
        <w:rPr>
          <w:rFonts w:ascii="Arial" w:hAnsi="Arial" w:eastAsia="Arial" w:cs="Arial"/>
          <w:b w:val="1"/>
          <w:bCs w:val="1"/>
          <w:color w:val="auto"/>
          <w:sz w:val="24"/>
          <w:szCs w:val="24"/>
        </w:rPr>
        <w:t>Academic Literature</w:t>
      </w:r>
      <w:bookmarkEnd w:id="743906249"/>
    </w:p>
    <w:p w:rsidR="49126027" w:rsidP="63AE8152" w:rsidRDefault="49126027" w14:paraId="703C1060" w14:textId="38F59633">
      <w:pPr>
        <w:spacing w:before="210" w:after="210" w:line="300" w:lineRule="auto"/>
        <w:rPr>
          <w:rFonts w:ascii="Arial" w:hAnsi="Arial" w:eastAsia="Arial" w:cs="Arial"/>
        </w:rPr>
      </w:pPr>
      <w:r w:rsidRPr="63AE8152">
        <w:rPr>
          <w:rFonts w:ascii="Arial" w:hAnsi="Arial" w:eastAsia="Arial" w:cs="Arial"/>
        </w:rPr>
        <w:t>Peer-reviewed journal articles relating to information systems failure, digital governance, organisational culture, risk management, and technology implementation are used to establish theoretical foundations for the analysis. Academic sources enable the findings from the Horizon case to be situated within broader scholarly debates.</w:t>
      </w:r>
    </w:p>
    <w:p w:rsidR="49126027" w:rsidP="63AE8152" w:rsidRDefault="49126027" w14:paraId="3F11999A" w14:textId="530D5D4C">
      <w:pPr>
        <w:pStyle w:val="Heading3"/>
        <w:spacing w:before="246" w:after="246" w:line="300" w:lineRule="auto"/>
        <w:rPr>
          <w:rFonts w:ascii="Arial" w:hAnsi="Arial" w:eastAsia="Arial" w:cs="Arial"/>
          <w:b w:val="1"/>
          <w:bCs w:val="1"/>
          <w:color w:val="auto"/>
          <w:sz w:val="24"/>
          <w:szCs w:val="24"/>
        </w:rPr>
      </w:pPr>
      <w:bookmarkStart w:name="_Toc106718849" w:id="1582273746"/>
      <w:r w:rsidRPr="7AD6DA35" w:rsidR="40BDEB66">
        <w:rPr>
          <w:rFonts w:ascii="Arial" w:hAnsi="Arial" w:eastAsia="Arial" w:cs="Arial"/>
          <w:b w:val="1"/>
          <w:bCs w:val="1"/>
          <w:color w:val="auto"/>
          <w:sz w:val="24"/>
          <w:szCs w:val="24"/>
        </w:rPr>
        <w:t xml:space="preserve">3.8. </w:t>
      </w:r>
      <w:r w:rsidRPr="7AD6DA35" w:rsidR="6214998F">
        <w:rPr>
          <w:rFonts w:ascii="Arial" w:hAnsi="Arial" w:eastAsia="Arial" w:cs="Arial"/>
          <w:b w:val="1"/>
          <w:bCs w:val="1"/>
          <w:color w:val="auto"/>
          <w:sz w:val="24"/>
          <w:szCs w:val="24"/>
        </w:rPr>
        <w:t>Legal and Judicial Records</w:t>
      </w:r>
      <w:bookmarkEnd w:id="1582273746"/>
    </w:p>
    <w:p w:rsidR="49126027" w:rsidP="622911A9" w:rsidRDefault="13A21737" w14:paraId="7CEEFC10" w14:textId="2479AC68">
      <w:pPr>
        <w:spacing w:before="210" w:after="210" w:line="300" w:lineRule="auto"/>
        <w:rPr>
          <w:rFonts w:ascii="Arial" w:hAnsi="Arial" w:eastAsia="Arial" w:cs="Arial"/>
        </w:rPr>
      </w:pPr>
      <w:r w:rsidRPr="622911A9">
        <w:rPr>
          <w:rFonts w:ascii="Arial" w:hAnsi="Arial" w:eastAsia="Arial" w:cs="Arial"/>
        </w:rPr>
        <w:t xml:space="preserve">Court judgments and legal decisions associated with the </w:t>
      </w:r>
      <w:r w:rsidRPr="622911A9" w:rsidR="1414B7B2">
        <w:rPr>
          <w:rFonts w:ascii="Arial" w:hAnsi="Arial" w:eastAsia="Arial" w:cs="Arial"/>
        </w:rPr>
        <w:t xml:space="preserve">Horizon of </w:t>
      </w:r>
      <w:r w:rsidRPr="622911A9">
        <w:rPr>
          <w:rFonts w:ascii="Arial" w:hAnsi="Arial" w:eastAsia="Arial" w:cs="Arial"/>
        </w:rPr>
        <w:t>litigation provide evidence concerning technical reliability, disclosure practices, and organisational conduct. These records are particularly important for understanding the relationship between system failures and legal accountability.</w:t>
      </w:r>
    </w:p>
    <w:p w:rsidR="49126027" w:rsidP="63AE8152" w:rsidRDefault="49126027" w14:paraId="1995BA31" w14:textId="16B96940">
      <w:pPr>
        <w:pStyle w:val="Heading3"/>
        <w:spacing w:before="246" w:after="246" w:line="300" w:lineRule="auto"/>
        <w:rPr>
          <w:rFonts w:ascii="Arial" w:hAnsi="Arial" w:eastAsia="Arial" w:cs="Arial"/>
          <w:b w:val="1"/>
          <w:bCs w:val="1"/>
          <w:color w:val="auto"/>
          <w:sz w:val="24"/>
          <w:szCs w:val="24"/>
        </w:rPr>
      </w:pPr>
      <w:bookmarkStart w:name="_Toc410850391" w:id="568616982"/>
      <w:r w:rsidRPr="7AD6DA35" w:rsidR="0C5DC608">
        <w:rPr>
          <w:rFonts w:ascii="Arial" w:hAnsi="Arial" w:eastAsia="Arial" w:cs="Arial"/>
          <w:b w:val="1"/>
          <w:bCs w:val="1"/>
          <w:color w:val="auto"/>
          <w:sz w:val="24"/>
          <w:szCs w:val="24"/>
        </w:rPr>
        <w:t xml:space="preserve">3.9. </w:t>
      </w:r>
      <w:r w:rsidRPr="7AD6DA35" w:rsidR="6214998F">
        <w:rPr>
          <w:rFonts w:ascii="Arial" w:hAnsi="Arial" w:eastAsia="Arial" w:cs="Arial"/>
          <w:b w:val="1"/>
          <w:bCs w:val="1"/>
          <w:color w:val="auto"/>
          <w:sz w:val="24"/>
          <w:szCs w:val="24"/>
        </w:rPr>
        <w:t>Media Sources</w:t>
      </w:r>
      <w:bookmarkEnd w:id="568616982"/>
    </w:p>
    <w:p w:rsidR="49126027" w:rsidP="63AE8152" w:rsidRDefault="49126027" w14:paraId="297B9357" w14:textId="04D12F49">
      <w:pPr>
        <w:spacing w:before="210" w:after="210" w:line="300" w:lineRule="auto"/>
        <w:rPr>
          <w:rFonts w:ascii="Arial" w:hAnsi="Arial" w:eastAsia="Arial" w:cs="Arial"/>
        </w:rPr>
      </w:pPr>
      <w:r w:rsidRPr="63AE8152">
        <w:rPr>
          <w:rFonts w:ascii="Arial" w:hAnsi="Arial" w:eastAsia="Arial" w:cs="Arial"/>
        </w:rPr>
        <w:t>Reputable news organisations, investigative journalists, and documentary programmes are utilised to supplement official sources and provide contextual understanding. Media coverage also helps illustrate public perceptions and the evolving nature of the scandal.</w:t>
      </w:r>
    </w:p>
    <w:p w:rsidR="49126027" w:rsidP="63AE8152" w:rsidRDefault="49126027" w14:paraId="772C7143" w14:textId="09A8DEBC">
      <w:pPr>
        <w:pStyle w:val="Heading2"/>
        <w:spacing w:before="261" w:after="261" w:line="300" w:lineRule="auto"/>
        <w:rPr>
          <w:rFonts w:ascii="Arial" w:hAnsi="Arial" w:eastAsia="Arial" w:cs="Arial"/>
          <w:b w:val="1"/>
          <w:bCs w:val="1"/>
          <w:color w:val="auto"/>
          <w:sz w:val="24"/>
          <w:szCs w:val="24"/>
        </w:rPr>
      </w:pPr>
      <w:bookmarkStart w:name="_Toc481557958" w:id="1905984680"/>
      <w:r w:rsidRPr="7AD6DA35" w:rsidR="6214998F">
        <w:rPr>
          <w:rFonts w:ascii="Arial" w:hAnsi="Arial" w:eastAsia="Arial" w:cs="Arial"/>
          <w:b w:val="1"/>
          <w:bCs w:val="1"/>
          <w:color w:val="auto"/>
          <w:sz w:val="24"/>
          <w:szCs w:val="24"/>
        </w:rPr>
        <w:t>Data Analysis</w:t>
      </w:r>
      <w:bookmarkEnd w:id="1905984680"/>
    </w:p>
    <w:p w:rsidR="49126027" w:rsidP="63AE8152" w:rsidRDefault="49126027" w14:paraId="6D9A48D2" w14:textId="34C3DBD0">
      <w:pPr>
        <w:spacing w:before="210" w:after="210" w:line="300" w:lineRule="auto"/>
        <w:rPr>
          <w:rFonts w:ascii="Arial" w:hAnsi="Arial" w:eastAsia="Arial" w:cs="Arial"/>
        </w:rPr>
      </w:pPr>
      <w:r w:rsidRPr="63AE8152">
        <w:rPr>
          <w:rFonts w:ascii="Arial" w:hAnsi="Arial" w:eastAsia="Arial" w:cs="Arial"/>
        </w:rPr>
        <w:t>The study employs thematic analysis to interpret and organise the collected data. Thematic analysis is widely used in qualitative research because it facilitates the identification of recurring patterns across diverse sources of evidence.</w:t>
      </w:r>
    </w:p>
    <w:p w:rsidR="49126027" w:rsidP="63AE8152" w:rsidRDefault="49126027" w14:paraId="4E2B1E47" w14:textId="21A2F9D4">
      <w:pPr>
        <w:spacing w:before="210" w:after="210" w:line="300" w:lineRule="auto"/>
        <w:rPr>
          <w:rFonts w:ascii="Arial" w:hAnsi="Arial" w:eastAsia="Arial" w:cs="Arial"/>
        </w:rPr>
      </w:pPr>
      <w:r w:rsidRPr="63AE8152">
        <w:rPr>
          <w:rFonts w:ascii="Arial" w:hAnsi="Arial" w:eastAsia="Arial" w:cs="Arial"/>
        </w:rPr>
        <w:t>The analytical process consists of several stages:</w:t>
      </w:r>
    </w:p>
    <w:p w:rsidR="49126027" w:rsidP="63AE8152" w:rsidRDefault="49126027" w14:paraId="14E4C4F8" w14:textId="386C92AF">
      <w:pPr>
        <w:pStyle w:val="Heading3"/>
        <w:spacing w:before="246" w:after="246" w:line="300" w:lineRule="auto"/>
        <w:rPr>
          <w:rFonts w:ascii="Arial" w:hAnsi="Arial" w:eastAsia="Arial" w:cs="Arial"/>
          <w:b w:val="1"/>
          <w:bCs w:val="1"/>
          <w:color w:val="auto"/>
          <w:sz w:val="24"/>
          <w:szCs w:val="24"/>
        </w:rPr>
      </w:pPr>
      <w:bookmarkStart w:name="_Toc2007683185" w:id="839673233"/>
      <w:r w:rsidRPr="7AD6DA35" w:rsidR="6214998F">
        <w:rPr>
          <w:rFonts w:ascii="Arial" w:hAnsi="Arial" w:eastAsia="Arial" w:cs="Arial"/>
          <w:b w:val="1"/>
          <w:bCs w:val="1"/>
          <w:color w:val="auto"/>
          <w:sz w:val="24"/>
          <w:szCs w:val="24"/>
        </w:rPr>
        <w:t>Stage 1: Data Familiarisation</w:t>
      </w:r>
      <w:bookmarkEnd w:id="839673233"/>
    </w:p>
    <w:p w:rsidR="49126027" w:rsidP="63AE8152" w:rsidRDefault="49126027" w14:paraId="749AAE83" w14:textId="2970E53E">
      <w:pPr>
        <w:spacing w:before="210" w:after="210" w:line="300" w:lineRule="auto"/>
        <w:rPr>
          <w:rFonts w:ascii="Arial" w:hAnsi="Arial" w:eastAsia="Arial" w:cs="Arial"/>
        </w:rPr>
      </w:pPr>
      <w:r w:rsidRPr="63AE8152">
        <w:rPr>
          <w:rFonts w:ascii="Arial" w:hAnsi="Arial" w:eastAsia="Arial" w:cs="Arial"/>
        </w:rPr>
        <w:t>Relevant documents, reports, inquiry transcripts, and academic studies are reviewed repeatedly to develop a comprehensive understanding of the case.</w:t>
      </w:r>
    </w:p>
    <w:p w:rsidR="49126027" w:rsidP="63AE8152" w:rsidRDefault="49126027" w14:paraId="10663486" w14:textId="570421D0">
      <w:pPr>
        <w:pStyle w:val="Heading3"/>
        <w:spacing w:before="246" w:after="246" w:line="300" w:lineRule="auto"/>
        <w:rPr>
          <w:rFonts w:ascii="Arial" w:hAnsi="Arial" w:eastAsia="Arial" w:cs="Arial"/>
          <w:b w:val="1"/>
          <w:bCs w:val="1"/>
          <w:color w:val="auto"/>
          <w:sz w:val="24"/>
          <w:szCs w:val="24"/>
        </w:rPr>
      </w:pPr>
      <w:bookmarkStart w:name="_Toc561580235" w:id="673090576"/>
      <w:r w:rsidRPr="7AD6DA35" w:rsidR="6214998F">
        <w:rPr>
          <w:rFonts w:ascii="Arial" w:hAnsi="Arial" w:eastAsia="Arial" w:cs="Arial"/>
          <w:b w:val="1"/>
          <w:bCs w:val="1"/>
          <w:color w:val="auto"/>
          <w:sz w:val="24"/>
          <w:szCs w:val="24"/>
        </w:rPr>
        <w:t>Stage 2: Coding</w:t>
      </w:r>
      <w:bookmarkEnd w:id="673090576"/>
    </w:p>
    <w:p w:rsidR="49126027" w:rsidP="63AE8152" w:rsidRDefault="49126027" w14:paraId="232391FE" w14:textId="7B4C0452">
      <w:pPr>
        <w:spacing w:before="210" w:after="210" w:line="300" w:lineRule="auto"/>
        <w:rPr>
          <w:rFonts w:ascii="Arial" w:hAnsi="Arial" w:eastAsia="Arial" w:cs="Arial"/>
        </w:rPr>
      </w:pPr>
      <w:r w:rsidRPr="63AE8152">
        <w:rPr>
          <w:rFonts w:ascii="Arial" w:hAnsi="Arial" w:eastAsia="Arial" w:cs="Arial"/>
        </w:rPr>
        <w:t>Key statements and findings are systematically coded according to themes related to:</w:t>
      </w:r>
    </w:p>
    <w:p w:rsidR="49126027" w:rsidP="63AE8152" w:rsidRDefault="49126027" w14:paraId="0C4C466E" w14:textId="332295B8">
      <w:pPr>
        <w:pStyle w:val="ListParagraph"/>
        <w:numPr>
          <w:ilvl w:val="0"/>
          <w:numId w:val="8"/>
        </w:numPr>
        <w:spacing w:after="0" w:line="300" w:lineRule="auto"/>
        <w:rPr>
          <w:rFonts w:ascii="Arial" w:hAnsi="Arial" w:eastAsia="Arial" w:cs="Arial"/>
        </w:rPr>
      </w:pPr>
      <w:r w:rsidRPr="63AE8152">
        <w:rPr>
          <w:rFonts w:ascii="Arial" w:hAnsi="Arial" w:eastAsia="Arial" w:cs="Arial"/>
        </w:rPr>
        <w:t>System reliability and technical failures</w:t>
      </w:r>
    </w:p>
    <w:p w:rsidR="49126027" w:rsidP="63AE8152" w:rsidRDefault="49126027" w14:paraId="4A8639A2" w14:textId="7F607265">
      <w:pPr>
        <w:pStyle w:val="ListParagraph"/>
        <w:numPr>
          <w:ilvl w:val="0"/>
          <w:numId w:val="8"/>
        </w:numPr>
        <w:spacing w:after="0" w:line="300" w:lineRule="auto"/>
        <w:rPr>
          <w:rFonts w:ascii="Arial" w:hAnsi="Arial" w:eastAsia="Arial" w:cs="Arial"/>
        </w:rPr>
      </w:pPr>
      <w:r w:rsidRPr="63AE8152">
        <w:rPr>
          <w:rFonts w:ascii="Arial" w:hAnsi="Arial" w:eastAsia="Arial" w:cs="Arial"/>
        </w:rPr>
        <w:t>Governance and accountability</w:t>
      </w:r>
    </w:p>
    <w:p w:rsidR="49126027" w:rsidP="63AE8152" w:rsidRDefault="49126027" w14:paraId="21D2239A" w14:textId="43B7DB71">
      <w:pPr>
        <w:pStyle w:val="ListParagraph"/>
        <w:numPr>
          <w:ilvl w:val="0"/>
          <w:numId w:val="8"/>
        </w:numPr>
        <w:spacing w:after="0" w:line="300" w:lineRule="auto"/>
        <w:rPr>
          <w:rFonts w:ascii="Arial" w:hAnsi="Arial" w:eastAsia="Arial" w:cs="Arial"/>
        </w:rPr>
      </w:pPr>
      <w:r w:rsidRPr="63AE8152">
        <w:rPr>
          <w:rFonts w:ascii="Arial" w:hAnsi="Arial" w:eastAsia="Arial" w:cs="Arial"/>
        </w:rPr>
        <w:t>Organisational culture</w:t>
      </w:r>
    </w:p>
    <w:p w:rsidR="49126027" w:rsidP="63AE8152" w:rsidRDefault="49126027" w14:paraId="2BE6EF44" w14:textId="3E0720F2">
      <w:pPr>
        <w:pStyle w:val="ListParagraph"/>
        <w:numPr>
          <w:ilvl w:val="0"/>
          <w:numId w:val="8"/>
        </w:numPr>
        <w:spacing w:after="0" w:line="300" w:lineRule="auto"/>
        <w:rPr>
          <w:rFonts w:ascii="Arial" w:hAnsi="Arial" w:eastAsia="Arial" w:cs="Arial"/>
        </w:rPr>
      </w:pPr>
      <w:r w:rsidRPr="63AE8152">
        <w:rPr>
          <w:rFonts w:ascii="Arial" w:hAnsi="Arial" w:eastAsia="Arial" w:cs="Arial"/>
        </w:rPr>
        <w:t>Risk management</w:t>
      </w:r>
    </w:p>
    <w:p w:rsidR="49126027" w:rsidP="63AE8152" w:rsidRDefault="49126027" w14:paraId="0C4F87E7" w14:textId="331DB07C">
      <w:pPr>
        <w:pStyle w:val="ListParagraph"/>
        <w:numPr>
          <w:ilvl w:val="0"/>
          <w:numId w:val="8"/>
        </w:numPr>
        <w:spacing w:after="0" w:line="300" w:lineRule="auto"/>
        <w:rPr>
          <w:rFonts w:ascii="Arial" w:hAnsi="Arial" w:eastAsia="Arial" w:cs="Arial"/>
        </w:rPr>
      </w:pPr>
      <w:r w:rsidRPr="63AE8152">
        <w:rPr>
          <w:rFonts w:ascii="Arial" w:hAnsi="Arial" w:eastAsia="Arial" w:cs="Arial"/>
        </w:rPr>
        <w:t>Leadership decision-making</w:t>
      </w:r>
    </w:p>
    <w:p w:rsidR="49126027" w:rsidP="63AE8152" w:rsidRDefault="49126027" w14:paraId="2C5182C0" w14:textId="42F61CA6">
      <w:pPr>
        <w:pStyle w:val="ListParagraph"/>
        <w:numPr>
          <w:ilvl w:val="0"/>
          <w:numId w:val="8"/>
        </w:numPr>
        <w:spacing w:after="0" w:line="300" w:lineRule="auto"/>
        <w:rPr>
          <w:rFonts w:ascii="Arial" w:hAnsi="Arial" w:eastAsia="Arial" w:cs="Arial"/>
        </w:rPr>
      </w:pPr>
      <w:r w:rsidRPr="63AE8152">
        <w:rPr>
          <w:rFonts w:ascii="Arial" w:hAnsi="Arial" w:eastAsia="Arial" w:cs="Arial"/>
        </w:rPr>
        <w:t>Stakeholder communication</w:t>
      </w:r>
    </w:p>
    <w:p w:rsidR="49126027" w:rsidP="63AE8152" w:rsidRDefault="49126027" w14:paraId="0043CC37" w14:textId="27828D41">
      <w:pPr>
        <w:pStyle w:val="ListParagraph"/>
        <w:numPr>
          <w:ilvl w:val="0"/>
          <w:numId w:val="8"/>
        </w:numPr>
        <w:spacing w:after="0" w:line="300" w:lineRule="auto"/>
        <w:rPr>
          <w:rFonts w:ascii="Arial" w:hAnsi="Arial" w:eastAsia="Arial" w:cs="Arial"/>
        </w:rPr>
      </w:pPr>
      <w:r w:rsidRPr="63AE8152">
        <w:rPr>
          <w:rFonts w:ascii="Arial" w:hAnsi="Arial" w:eastAsia="Arial" w:cs="Arial"/>
        </w:rPr>
        <w:t>Digital transformation challenges</w:t>
      </w:r>
    </w:p>
    <w:p w:rsidR="49126027" w:rsidP="63AE8152" w:rsidRDefault="49126027" w14:paraId="278E516E" w14:textId="2B7FE0E3">
      <w:pPr>
        <w:pStyle w:val="Heading3"/>
        <w:spacing w:before="246" w:after="246" w:line="300" w:lineRule="auto"/>
        <w:rPr>
          <w:rFonts w:ascii="Arial" w:hAnsi="Arial" w:eastAsia="Arial" w:cs="Arial"/>
          <w:b w:val="1"/>
          <w:bCs w:val="1"/>
          <w:color w:val="auto"/>
          <w:sz w:val="24"/>
          <w:szCs w:val="24"/>
        </w:rPr>
      </w:pPr>
      <w:bookmarkStart w:name="_Toc1896858476" w:id="1093854871"/>
      <w:r w:rsidRPr="7AD6DA35" w:rsidR="6214998F">
        <w:rPr>
          <w:rFonts w:ascii="Arial" w:hAnsi="Arial" w:eastAsia="Arial" w:cs="Arial"/>
          <w:b w:val="1"/>
          <w:bCs w:val="1"/>
          <w:color w:val="auto"/>
          <w:sz w:val="24"/>
          <w:szCs w:val="24"/>
        </w:rPr>
        <w:t>Stage 3: Theme Development</w:t>
      </w:r>
      <w:bookmarkEnd w:id="1093854871"/>
    </w:p>
    <w:p w:rsidR="49126027" w:rsidP="63AE8152" w:rsidRDefault="49126027" w14:paraId="618B2E32" w14:textId="0A895ACD">
      <w:pPr>
        <w:spacing w:before="210" w:after="210" w:line="300" w:lineRule="auto"/>
        <w:rPr>
          <w:rFonts w:ascii="Arial" w:hAnsi="Arial" w:eastAsia="Arial" w:cs="Arial"/>
        </w:rPr>
      </w:pPr>
      <w:r w:rsidRPr="63AE8152">
        <w:rPr>
          <w:rFonts w:ascii="Arial" w:hAnsi="Arial" w:eastAsia="Arial" w:cs="Arial"/>
        </w:rPr>
        <w:t>Codes are grouped into broader thematic categories. For example, issues relating to disclosure failures, denial of system defects, and weak oversight are combined under governance-related themes.</w:t>
      </w:r>
    </w:p>
    <w:p w:rsidR="49126027" w:rsidP="63AE8152" w:rsidRDefault="49126027" w14:paraId="44E82A5C" w14:textId="08F95AC4">
      <w:pPr>
        <w:pStyle w:val="Heading3"/>
        <w:spacing w:before="246" w:after="246" w:line="300" w:lineRule="auto"/>
        <w:rPr>
          <w:rFonts w:ascii="Arial" w:hAnsi="Arial" w:eastAsia="Arial" w:cs="Arial"/>
          <w:b w:val="1"/>
          <w:bCs w:val="1"/>
          <w:color w:val="auto"/>
          <w:sz w:val="24"/>
          <w:szCs w:val="24"/>
        </w:rPr>
      </w:pPr>
      <w:bookmarkStart w:name="_Toc465676367" w:id="1451313153"/>
      <w:r w:rsidRPr="7AD6DA35" w:rsidR="6214998F">
        <w:rPr>
          <w:rFonts w:ascii="Arial" w:hAnsi="Arial" w:eastAsia="Arial" w:cs="Arial"/>
          <w:b w:val="1"/>
          <w:bCs w:val="1"/>
          <w:color w:val="auto"/>
          <w:sz w:val="24"/>
          <w:szCs w:val="24"/>
        </w:rPr>
        <w:t>Stage 4: Interpretation</w:t>
      </w:r>
      <w:bookmarkEnd w:id="1451313153"/>
    </w:p>
    <w:p w:rsidR="49126027" w:rsidP="622911A9" w:rsidRDefault="13A21737" w14:paraId="22C51382" w14:textId="1BF5E979">
      <w:pPr>
        <w:spacing w:before="210" w:after="210" w:line="300" w:lineRule="auto"/>
        <w:rPr>
          <w:rFonts w:ascii="Arial" w:hAnsi="Arial" w:eastAsia="Arial" w:cs="Arial"/>
        </w:rPr>
      </w:pPr>
      <w:r w:rsidRPr="622911A9">
        <w:rPr>
          <w:rFonts w:ascii="Arial" w:hAnsi="Arial" w:eastAsia="Arial" w:cs="Arial"/>
        </w:rPr>
        <w:t xml:space="preserve">The identified themes are analysed in relation to existing theories of organisational governance, technology management, and risk. This stage enables the research to explain not only what </w:t>
      </w:r>
      <w:r w:rsidRPr="622911A9" w:rsidR="7580814B">
        <w:rPr>
          <w:rFonts w:ascii="Arial" w:hAnsi="Arial" w:eastAsia="Arial" w:cs="Arial"/>
        </w:rPr>
        <w:t>happened,</w:t>
      </w:r>
      <w:r w:rsidRPr="622911A9">
        <w:rPr>
          <w:rFonts w:ascii="Arial" w:hAnsi="Arial" w:eastAsia="Arial" w:cs="Arial"/>
        </w:rPr>
        <w:t xml:space="preserve"> but also why </w:t>
      </w:r>
      <w:r w:rsidRPr="622911A9" w:rsidR="242C6FCB">
        <w:rPr>
          <w:rFonts w:ascii="Arial" w:hAnsi="Arial" w:eastAsia="Arial" w:cs="Arial"/>
        </w:rPr>
        <w:t>failures</w:t>
      </w:r>
      <w:r w:rsidRPr="622911A9">
        <w:rPr>
          <w:rFonts w:ascii="Arial" w:hAnsi="Arial" w:eastAsia="Arial" w:cs="Arial"/>
        </w:rPr>
        <w:t xml:space="preserve"> occurred and persisted.</w:t>
      </w:r>
    </w:p>
    <w:p w:rsidR="49126027" w:rsidP="63AE8152" w:rsidRDefault="49126027" w14:paraId="6F87F857" w14:textId="00B2C783">
      <w:pPr>
        <w:pStyle w:val="Heading3"/>
        <w:spacing w:before="246" w:after="246" w:line="300" w:lineRule="auto"/>
        <w:rPr>
          <w:rFonts w:ascii="Arial" w:hAnsi="Arial" w:eastAsia="Arial" w:cs="Arial"/>
          <w:b w:val="1"/>
          <w:bCs w:val="1"/>
          <w:color w:val="auto"/>
          <w:sz w:val="24"/>
          <w:szCs w:val="24"/>
        </w:rPr>
      </w:pPr>
      <w:bookmarkStart w:name="_Toc1684458972" w:id="240225932"/>
      <w:r w:rsidRPr="7AD6DA35" w:rsidR="6214998F">
        <w:rPr>
          <w:rFonts w:ascii="Arial" w:hAnsi="Arial" w:eastAsia="Arial" w:cs="Arial"/>
          <w:b w:val="1"/>
          <w:bCs w:val="1"/>
          <w:color w:val="auto"/>
          <w:sz w:val="24"/>
          <w:szCs w:val="24"/>
        </w:rPr>
        <w:t>Stage 5: Synthesis</w:t>
      </w:r>
      <w:bookmarkEnd w:id="240225932"/>
    </w:p>
    <w:p w:rsidR="49126027" w:rsidP="63AE8152" w:rsidRDefault="49126027" w14:paraId="220D54D0" w14:textId="55D4FC0D">
      <w:pPr>
        <w:spacing w:before="210" w:after="210" w:line="300" w:lineRule="auto"/>
        <w:rPr>
          <w:rFonts w:ascii="Arial" w:hAnsi="Arial" w:eastAsia="Arial" w:cs="Arial"/>
        </w:rPr>
      </w:pPr>
      <w:r w:rsidRPr="63AE8152">
        <w:rPr>
          <w:rFonts w:ascii="Arial" w:hAnsi="Arial" w:eastAsia="Arial" w:cs="Arial"/>
        </w:rPr>
        <w:t>The findings are synthesised to construct a coherent explanation of the interaction between technical failures, governance structures, and transition risks within the Post Office.</w:t>
      </w:r>
    </w:p>
    <w:p w:rsidR="49126027" w:rsidP="63AE8152" w:rsidRDefault="49126027" w14:paraId="727CD267" w14:textId="7B322B49">
      <w:pPr>
        <w:pStyle w:val="Heading2"/>
        <w:spacing w:before="261" w:after="261" w:line="300" w:lineRule="auto"/>
        <w:rPr>
          <w:rFonts w:ascii="Arial" w:hAnsi="Arial" w:eastAsia="Arial" w:cs="Arial"/>
          <w:b w:val="1"/>
          <w:bCs w:val="1"/>
          <w:color w:val="auto"/>
          <w:sz w:val="24"/>
          <w:szCs w:val="24"/>
        </w:rPr>
      </w:pPr>
      <w:bookmarkStart w:name="_Toc401757124" w:id="872853720"/>
      <w:r w:rsidRPr="7AD6DA35" w:rsidR="6214998F">
        <w:rPr>
          <w:rFonts w:ascii="Arial" w:hAnsi="Arial" w:eastAsia="Arial" w:cs="Arial"/>
          <w:b w:val="1"/>
          <w:bCs w:val="1"/>
          <w:color w:val="auto"/>
          <w:sz w:val="24"/>
          <w:szCs w:val="24"/>
        </w:rPr>
        <w:t>Reliability and Validity</w:t>
      </w:r>
      <w:bookmarkEnd w:id="872853720"/>
    </w:p>
    <w:p w:rsidR="49126027" w:rsidP="63AE8152" w:rsidRDefault="49126027" w14:paraId="27727C2E" w14:textId="41DD954A">
      <w:pPr>
        <w:spacing w:before="210" w:after="210" w:line="300" w:lineRule="auto"/>
        <w:rPr>
          <w:rFonts w:ascii="Arial" w:hAnsi="Arial" w:eastAsia="Arial" w:cs="Arial"/>
        </w:rPr>
      </w:pPr>
      <w:r w:rsidRPr="63AE8152">
        <w:rPr>
          <w:rFonts w:ascii="Arial" w:hAnsi="Arial" w:eastAsia="Arial" w:cs="Arial"/>
        </w:rPr>
        <w:t xml:space="preserve">To enhance reliability and validity, the study applies data triangulation. Evidence is gathered from multiple independent sources, including inquiry records, academic </w:t>
      </w:r>
      <w:r w:rsidRPr="63AE8152">
        <w:rPr>
          <w:rFonts w:ascii="Arial" w:hAnsi="Arial" w:eastAsia="Arial" w:cs="Arial"/>
        </w:rPr>
        <w:lastRenderedPageBreak/>
        <w:t>research, judicial findings, and official reports. Comparing evidence across different sources helps reduce bias and improves the credibility of findings.</w:t>
      </w:r>
    </w:p>
    <w:p w:rsidR="49126027" w:rsidP="63AE8152" w:rsidRDefault="49126027" w14:paraId="5FD358CB" w14:textId="59C39AF4">
      <w:pPr>
        <w:spacing w:before="210" w:after="210" w:line="300" w:lineRule="auto"/>
        <w:rPr>
          <w:rFonts w:ascii="Arial" w:hAnsi="Arial" w:eastAsia="Arial" w:cs="Arial"/>
        </w:rPr>
      </w:pPr>
      <w:r w:rsidRPr="63AE8152">
        <w:rPr>
          <w:rFonts w:ascii="Arial" w:hAnsi="Arial" w:eastAsia="Arial" w:cs="Arial"/>
        </w:rPr>
        <w:t>Furthermore, the research maintains transparency in source selection and analytical procedures. Themes are developed systematically from documented evidence rather than subjective assumptions. The use of authoritative sources such as public inquiry documents and court judgments further strengthens the trustworthiness of the analysis.</w:t>
      </w:r>
    </w:p>
    <w:p w:rsidR="49126027" w:rsidP="63AE8152" w:rsidRDefault="49126027" w14:paraId="2D0E7CD2" w14:textId="29D46267">
      <w:pPr>
        <w:pStyle w:val="Heading2"/>
        <w:spacing w:before="261" w:after="261" w:line="300" w:lineRule="auto"/>
        <w:rPr>
          <w:rFonts w:ascii="Arial" w:hAnsi="Arial" w:eastAsia="Arial" w:cs="Arial"/>
          <w:b w:val="1"/>
          <w:bCs w:val="1"/>
          <w:color w:val="auto"/>
          <w:sz w:val="24"/>
          <w:szCs w:val="24"/>
        </w:rPr>
      </w:pPr>
      <w:bookmarkStart w:name="_Toc1107891067" w:id="569421951"/>
      <w:r w:rsidRPr="7AD6DA35" w:rsidR="6214998F">
        <w:rPr>
          <w:rFonts w:ascii="Arial" w:hAnsi="Arial" w:eastAsia="Arial" w:cs="Arial"/>
          <w:b w:val="1"/>
          <w:bCs w:val="1"/>
          <w:color w:val="auto"/>
          <w:sz w:val="24"/>
          <w:szCs w:val="24"/>
        </w:rPr>
        <w:t>Ethical Considerations</w:t>
      </w:r>
      <w:bookmarkEnd w:id="569421951"/>
    </w:p>
    <w:p w:rsidR="49126027" w:rsidP="63AE8152" w:rsidRDefault="49126027" w14:paraId="4553C1BE" w14:textId="233D99DF">
      <w:pPr>
        <w:spacing w:before="210" w:after="210" w:line="300" w:lineRule="auto"/>
        <w:rPr>
          <w:rFonts w:ascii="Arial" w:hAnsi="Arial" w:eastAsia="Arial" w:cs="Arial"/>
        </w:rPr>
      </w:pPr>
      <w:r w:rsidRPr="63AE8152">
        <w:rPr>
          <w:rFonts w:ascii="Arial" w:hAnsi="Arial" w:eastAsia="Arial" w:cs="Arial"/>
        </w:rPr>
        <w:t>As the study uses only publicly available secondary data, no direct involvement of human participants is required. Consequently, issues relating to informed consent and participant confidentiality are minimised. However, ethical responsibility remains important when discussing individuals affected by the scandal.</w:t>
      </w:r>
    </w:p>
    <w:p w:rsidR="49126027" w:rsidP="56062124" w:rsidRDefault="26EBFF72" w14:paraId="5AA988E2" w14:textId="44ABD057">
      <w:pPr>
        <w:spacing w:before="210" w:after="210" w:line="300" w:lineRule="auto"/>
        <w:rPr>
          <w:rFonts w:ascii="Arial" w:hAnsi="Arial" w:eastAsia="Arial" w:cs="Arial"/>
        </w:rPr>
      </w:pPr>
      <w:r w:rsidRPr="56062124">
        <w:rPr>
          <w:rFonts w:ascii="Arial" w:hAnsi="Arial" w:eastAsia="Arial" w:cs="Arial"/>
        </w:rPr>
        <w:t>The research therefore seeks to present findings objectively, accurately, and respectfully. Particular care is taken to avoid misrepresentation of evidence and to acknowledge the significant personal and professional consequences experienced by sub-postmasters. All sources are appropriately referenced to ensure academic integrity and transparency.</w:t>
      </w:r>
    </w:p>
    <w:p w:rsidR="49126027" w:rsidP="63AE8152" w:rsidRDefault="49126027" w14:paraId="680E1CB7" w14:textId="15C531E3">
      <w:pPr>
        <w:pStyle w:val="Heading2"/>
        <w:spacing w:before="261" w:after="261" w:line="300" w:lineRule="auto"/>
        <w:rPr>
          <w:rFonts w:ascii="Arial" w:hAnsi="Arial" w:eastAsia="Arial" w:cs="Arial"/>
          <w:b w:val="1"/>
          <w:bCs w:val="1"/>
          <w:color w:val="auto"/>
          <w:sz w:val="24"/>
          <w:szCs w:val="24"/>
        </w:rPr>
      </w:pPr>
      <w:bookmarkStart w:name="_Toc1716756146" w:id="62112725"/>
      <w:r w:rsidRPr="7AD6DA35" w:rsidR="6214998F">
        <w:rPr>
          <w:rFonts w:ascii="Arial" w:hAnsi="Arial" w:eastAsia="Arial" w:cs="Arial"/>
          <w:b w:val="1"/>
          <w:bCs w:val="1"/>
          <w:color w:val="auto"/>
          <w:sz w:val="24"/>
          <w:szCs w:val="24"/>
        </w:rPr>
        <w:t>Limitations</w:t>
      </w:r>
      <w:bookmarkEnd w:id="62112725"/>
    </w:p>
    <w:p w:rsidR="49126027" w:rsidP="63AE8152" w:rsidRDefault="49126027" w14:paraId="22B23837" w14:textId="6D988BD6">
      <w:pPr>
        <w:spacing w:before="210" w:after="210" w:line="300" w:lineRule="auto"/>
        <w:rPr>
          <w:rFonts w:ascii="Arial" w:hAnsi="Arial" w:eastAsia="Arial" w:cs="Arial"/>
        </w:rPr>
      </w:pPr>
      <w:r w:rsidRPr="63AE8152">
        <w:rPr>
          <w:rFonts w:ascii="Arial" w:hAnsi="Arial" w:eastAsia="Arial" w:cs="Arial"/>
        </w:rPr>
        <w:t>Several limitations should be acknowledged. First, reliance on secondary data means that the researcher has limited control over the quality and scope of available information. Second, some inquiry proceedings and disclosures may still be ongoing, meaning future evidence could influence interpretations. Third, the use of a single case study limits the generalisability of findings to other organisations. However, the purpose of the research is analytical rather than statistical generalisation, and the Horizon case provides valuable insights that may inform governance and risk management practices across a wide range of organisations undergoing digital transformation.</w:t>
      </w:r>
    </w:p>
    <w:p w:rsidR="49126027" w:rsidP="63AE8152" w:rsidRDefault="49126027" w14:paraId="351EF6BD" w14:textId="20A2D159">
      <w:pPr>
        <w:pStyle w:val="Heading2"/>
        <w:spacing w:before="261" w:after="261" w:line="300" w:lineRule="auto"/>
        <w:rPr>
          <w:rFonts w:ascii="Arial" w:hAnsi="Arial" w:eastAsia="Arial" w:cs="Arial"/>
          <w:b w:val="1"/>
          <w:bCs w:val="1"/>
          <w:color w:val="auto"/>
          <w:sz w:val="24"/>
          <w:szCs w:val="24"/>
        </w:rPr>
      </w:pPr>
      <w:bookmarkStart w:name="_Toc2079644975" w:id="97571926"/>
      <w:r w:rsidRPr="7AD6DA35" w:rsidR="11F9A5C2">
        <w:rPr>
          <w:rFonts w:ascii="Arial" w:hAnsi="Arial" w:eastAsia="Arial" w:cs="Arial"/>
          <w:b w:val="1"/>
          <w:bCs w:val="1"/>
          <w:color w:val="auto"/>
          <w:sz w:val="24"/>
          <w:szCs w:val="24"/>
        </w:rPr>
        <w:t xml:space="preserve">Chapter 3: </w:t>
      </w:r>
      <w:r w:rsidRPr="7AD6DA35" w:rsidR="6214998F">
        <w:rPr>
          <w:rFonts w:ascii="Arial" w:hAnsi="Arial" w:eastAsia="Arial" w:cs="Arial"/>
          <w:b w:val="1"/>
          <w:bCs w:val="1"/>
          <w:color w:val="auto"/>
          <w:sz w:val="24"/>
          <w:szCs w:val="24"/>
        </w:rPr>
        <w:t>Conclusion</w:t>
      </w:r>
      <w:bookmarkEnd w:id="97571926"/>
    </w:p>
    <w:p w:rsidR="49126027" w:rsidP="56062124" w:rsidRDefault="0464A544" w14:paraId="59DF0326" w14:textId="77F466A2">
      <w:pPr>
        <w:spacing w:before="210" w:after="210" w:line="300" w:lineRule="auto"/>
        <w:rPr>
          <w:rFonts w:ascii="Arial" w:hAnsi="Arial" w:eastAsia="Arial" w:cs="Arial"/>
        </w:rPr>
      </w:pPr>
      <w:r w:rsidRPr="56062124">
        <w:rPr>
          <w:rFonts w:ascii="Arial" w:hAnsi="Arial" w:eastAsia="Arial" w:cs="Arial"/>
        </w:rPr>
        <w:t xml:space="preserve">This methodology employs a qualitative case study approach supported by secondary data analysis and thematic interpretation. By examining official reports, inquiry evidence, academic literature, and legal records, the study seeks to develop a comprehensive understanding of the Horizon system failures, organisational governance weaknesses, and transition risks within the UK Post Office. The chosen methodology provides a robust framework for analysing one of the most significant </w:t>
      </w:r>
      <w:r w:rsidRPr="56062124">
        <w:rPr>
          <w:rFonts w:ascii="Arial" w:hAnsi="Arial" w:eastAsia="Arial" w:cs="Arial"/>
        </w:rPr>
        <w:lastRenderedPageBreak/>
        <w:t>technology-related governance failures in the United Kingdom and identifying lessons for future digital transformation initiatives.</w:t>
      </w:r>
    </w:p>
    <w:p w:rsidR="622911A9" w:rsidP="56062124" w:rsidRDefault="622911A9" w14:paraId="60B1AB47" w14:textId="755D5704">
      <w:pPr>
        <w:spacing w:before="210" w:after="210" w:line="300" w:lineRule="auto"/>
        <w:rPr>
          <w:rFonts w:ascii="Arial" w:hAnsi="Arial" w:eastAsia="Arial" w:cs="Arial"/>
        </w:rPr>
      </w:pPr>
    </w:p>
    <w:p w:rsidR="7AD6DA35" w:rsidP="7AD6DA35" w:rsidRDefault="7AD6DA35" w14:paraId="28ED282C" w14:textId="33809414">
      <w:pPr>
        <w:spacing w:before="210" w:after="210" w:line="300" w:lineRule="auto"/>
        <w:rPr>
          <w:rFonts w:ascii="Arial" w:hAnsi="Arial" w:eastAsia="Arial" w:cs="Arial"/>
        </w:rPr>
      </w:pPr>
    </w:p>
    <w:p w:rsidR="56062124" w:rsidP="56062124" w:rsidRDefault="56062124" w14:paraId="3B8AB316" w14:textId="7FCC8023">
      <w:pPr>
        <w:spacing w:before="210" w:after="210" w:line="300" w:lineRule="auto"/>
        <w:rPr>
          <w:rFonts w:ascii="Arial" w:hAnsi="Arial" w:eastAsia="Arial" w:cs="Arial"/>
        </w:rPr>
      </w:pPr>
    </w:p>
    <w:p w:rsidR="56062124" w:rsidP="56062124" w:rsidRDefault="56062124" w14:paraId="6B53DFBD" w14:textId="4BBB3151">
      <w:pPr>
        <w:spacing w:before="210" w:after="210" w:line="300" w:lineRule="auto"/>
        <w:rPr>
          <w:rFonts w:ascii="Arial" w:hAnsi="Arial" w:eastAsia="Arial" w:cs="Arial"/>
        </w:rPr>
      </w:pPr>
    </w:p>
    <w:p w:rsidR="56062124" w:rsidP="56062124" w:rsidRDefault="56062124" w14:paraId="50B1619D" w14:textId="74AB25B7">
      <w:pPr>
        <w:spacing w:before="210" w:after="210" w:line="300" w:lineRule="auto"/>
        <w:rPr>
          <w:rFonts w:ascii="Arial" w:hAnsi="Arial" w:eastAsia="Arial" w:cs="Arial"/>
        </w:rPr>
      </w:pPr>
    </w:p>
    <w:p w:rsidR="56062124" w:rsidP="56062124" w:rsidRDefault="56062124" w14:paraId="62D9D70E" w14:textId="5FFCFD9F">
      <w:pPr>
        <w:spacing w:before="210" w:after="210" w:line="300" w:lineRule="auto"/>
        <w:rPr>
          <w:rFonts w:ascii="Arial" w:hAnsi="Arial" w:eastAsia="Arial" w:cs="Arial"/>
        </w:rPr>
      </w:pPr>
    </w:p>
    <w:p w:rsidR="56062124" w:rsidP="56062124" w:rsidRDefault="56062124" w14:paraId="7C4BC7E7" w14:textId="7A4CD50E">
      <w:pPr>
        <w:spacing w:before="210" w:after="210" w:line="300" w:lineRule="auto"/>
        <w:rPr>
          <w:rFonts w:ascii="Arial" w:hAnsi="Arial" w:eastAsia="Arial" w:cs="Arial"/>
        </w:rPr>
      </w:pPr>
    </w:p>
    <w:p w:rsidR="56062124" w:rsidP="56062124" w:rsidRDefault="56062124" w14:paraId="1DEBA3CC" w14:textId="3E8C94D0">
      <w:pPr>
        <w:spacing w:before="210" w:after="210" w:line="300" w:lineRule="auto"/>
        <w:rPr>
          <w:rFonts w:ascii="Arial" w:hAnsi="Arial" w:eastAsia="Arial" w:cs="Arial"/>
        </w:rPr>
      </w:pPr>
    </w:p>
    <w:p w:rsidR="56062124" w:rsidP="56062124" w:rsidRDefault="56062124" w14:paraId="3753EB3C" w14:textId="7B615529">
      <w:pPr>
        <w:spacing w:before="210" w:after="210" w:line="300" w:lineRule="auto"/>
        <w:rPr>
          <w:rFonts w:ascii="Arial" w:hAnsi="Arial" w:eastAsia="Arial" w:cs="Arial"/>
        </w:rPr>
      </w:pPr>
    </w:p>
    <w:p w:rsidR="56062124" w:rsidP="56062124" w:rsidRDefault="56062124" w14:paraId="00590F64" w14:textId="0ACEA0FB">
      <w:pPr>
        <w:spacing w:before="210" w:after="210" w:line="300" w:lineRule="auto"/>
        <w:rPr>
          <w:rFonts w:ascii="Arial" w:hAnsi="Arial" w:eastAsia="Arial" w:cs="Arial"/>
        </w:rPr>
      </w:pPr>
    </w:p>
    <w:p w:rsidR="56062124" w:rsidP="56062124" w:rsidRDefault="56062124" w14:paraId="283FC983" w14:textId="1FE60CC0">
      <w:pPr>
        <w:spacing w:before="210" w:after="210" w:line="300" w:lineRule="auto"/>
        <w:rPr>
          <w:rFonts w:ascii="Arial" w:hAnsi="Arial" w:eastAsia="Arial" w:cs="Arial"/>
        </w:rPr>
      </w:pPr>
    </w:p>
    <w:p w:rsidR="56062124" w:rsidP="56062124" w:rsidRDefault="56062124" w14:paraId="56AE5D34" w14:textId="283B5444">
      <w:pPr>
        <w:spacing w:before="210" w:after="210" w:line="300" w:lineRule="auto"/>
        <w:rPr>
          <w:rFonts w:ascii="Arial" w:hAnsi="Arial" w:eastAsia="Arial" w:cs="Arial"/>
        </w:rPr>
      </w:pPr>
    </w:p>
    <w:p w:rsidR="56062124" w:rsidP="56062124" w:rsidRDefault="56062124" w14:paraId="7CCE28F1" w14:textId="5C6DE722">
      <w:pPr>
        <w:spacing w:before="210" w:after="210" w:line="300" w:lineRule="auto"/>
        <w:rPr>
          <w:rFonts w:ascii="Arial" w:hAnsi="Arial" w:eastAsia="Arial" w:cs="Arial"/>
        </w:rPr>
      </w:pPr>
    </w:p>
    <w:p w:rsidR="56062124" w:rsidP="56062124" w:rsidRDefault="56062124" w14:paraId="05FD7DB9" w14:textId="2C5231EA">
      <w:pPr>
        <w:shd w:val="clear" w:color="auto" w:fill="FFFFFF" w:themeFill="background1"/>
        <w:rPr>
          <w:rFonts w:ascii="Aptos" w:hAnsi="Aptos" w:eastAsia="Aptos" w:cs="Aptos"/>
        </w:rPr>
      </w:pPr>
    </w:p>
    <w:p w:rsidR="56062124" w:rsidP="56062124" w:rsidRDefault="56062124" w14:paraId="54669566" w14:textId="5C10A7FD">
      <w:pPr>
        <w:shd w:val="clear" w:color="auto" w:fill="FFFFFF" w:themeFill="background1"/>
        <w:rPr>
          <w:rFonts w:ascii="Aptos" w:hAnsi="Aptos" w:eastAsia="Aptos" w:cs="Aptos"/>
        </w:rPr>
      </w:pPr>
    </w:p>
    <w:p w:rsidR="56062124" w:rsidP="56062124" w:rsidRDefault="56062124" w14:paraId="2CB3BB6F" w14:textId="48E7C4B1">
      <w:pPr>
        <w:shd w:val="clear" w:color="auto" w:fill="FFFFFF" w:themeFill="background1"/>
        <w:rPr>
          <w:rFonts w:ascii="Aptos" w:hAnsi="Aptos" w:eastAsia="Aptos" w:cs="Aptos"/>
        </w:rPr>
      </w:pPr>
    </w:p>
    <w:p w:rsidR="56062124" w:rsidP="56062124" w:rsidRDefault="56062124" w14:paraId="397C971F" w14:textId="72A55036">
      <w:pPr>
        <w:shd w:val="clear" w:color="auto" w:fill="FFFFFF" w:themeFill="background1"/>
        <w:rPr>
          <w:rFonts w:ascii="Arial" w:hAnsi="Arial" w:eastAsia="Arial" w:cs="Arial"/>
          <w:b w:val="1"/>
          <w:bCs w:val="1"/>
        </w:rPr>
      </w:pPr>
    </w:p>
    <w:p w:rsidR="7AD6DA35" w:rsidP="7AD6DA35" w:rsidRDefault="7AD6DA35" w14:paraId="5AD0AA2F" w14:textId="179724F7">
      <w:pPr>
        <w:shd w:val="clear" w:color="auto" w:fill="FFFFFF" w:themeFill="background1"/>
        <w:rPr>
          <w:rFonts w:ascii="Arial" w:hAnsi="Arial" w:eastAsia="Arial" w:cs="Arial"/>
          <w:b w:val="1"/>
          <w:bCs w:val="1"/>
        </w:rPr>
      </w:pPr>
    </w:p>
    <w:p w:rsidR="7AD6DA35" w:rsidP="7AD6DA35" w:rsidRDefault="7AD6DA35" w14:paraId="233470BF" w14:textId="628278A1">
      <w:pPr>
        <w:shd w:val="clear" w:color="auto" w:fill="FFFFFF" w:themeFill="background1"/>
        <w:rPr>
          <w:rFonts w:ascii="Arial" w:hAnsi="Arial" w:eastAsia="Arial" w:cs="Arial"/>
          <w:b w:val="1"/>
          <w:bCs w:val="1"/>
        </w:rPr>
      </w:pPr>
    </w:p>
    <w:p w:rsidR="7AD6DA35" w:rsidP="7AD6DA35" w:rsidRDefault="7AD6DA35" w14:paraId="1504CB3B" w14:textId="32435BA7">
      <w:pPr>
        <w:shd w:val="clear" w:color="auto" w:fill="FFFFFF" w:themeFill="background1"/>
        <w:rPr>
          <w:rFonts w:ascii="Arial" w:hAnsi="Arial" w:eastAsia="Arial" w:cs="Arial"/>
          <w:b w:val="1"/>
          <w:bCs w:val="1"/>
        </w:rPr>
      </w:pPr>
    </w:p>
    <w:p w:rsidR="7AD6DA35" w:rsidP="7AD6DA35" w:rsidRDefault="7AD6DA35" w14:paraId="1A89A87A" w14:textId="428D29EF">
      <w:pPr>
        <w:shd w:val="clear" w:color="auto" w:fill="FFFFFF" w:themeFill="background1"/>
        <w:rPr>
          <w:rFonts w:ascii="Arial" w:hAnsi="Arial" w:eastAsia="Arial" w:cs="Arial"/>
          <w:b w:val="1"/>
          <w:bCs w:val="1"/>
        </w:rPr>
      </w:pPr>
    </w:p>
    <w:p w:rsidR="7AD6DA35" w:rsidP="7AD6DA35" w:rsidRDefault="7AD6DA35" w14:paraId="0E02F16B" w14:textId="24F97EBD">
      <w:pPr>
        <w:shd w:val="clear" w:color="auto" w:fill="FFFFFF" w:themeFill="background1"/>
        <w:rPr>
          <w:rFonts w:ascii="Arial" w:hAnsi="Arial" w:eastAsia="Arial" w:cs="Arial"/>
          <w:b w:val="1"/>
          <w:bCs w:val="1"/>
        </w:rPr>
      </w:pPr>
    </w:p>
    <w:p w:rsidR="39D12909" w:rsidP="56062124" w:rsidRDefault="39D12909" w14:paraId="14CC5474" w14:textId="7388E5D2">
      <w:pPr>
        <w:shd w:val="clear" w:color="auto" w:fill="FFFFFF" w:themeFill="background1"/>
      </w:pPr>
      <w:r w:rsidRPr="7AD6DA35" w:rsidR="1C912004">
        <w:rPr>
          <w:rFonts w:ascii="Arial" w:hAnsi="Arial" w:eastAsia="Arial" w:cs="Arial"/>
          <w:b w:val="1"/>
          <w:bCs w:val="1"/>
        </w:rPr>
        <w:t>Chapter</w:t>
      </w:r>
      <w:r w:rsidRPr="7AD6DA35" w:rsidR="585A079A">
        <w:rPr>
          <w:rFonts w:ascii="Arial" w:hAnsi="Arial" w:eastAsia="Arial" w:cs="Arial"/>
          <w:b w:val="1"/>
          <w:bCs w:val="1"/>
        </w:rPr>
        <w:t xml:space="preserve"> 4</w:t>
      </w:r>
      <w:r w:rsidRPr="7AD6DA35" w:rsidR="1C912004">
        <w:rPr>
          <w:rFonts w:ascii="Arial" w:hAnsi="Arial" w:eastAsia="Arial" w:cs="Arial"/>
          <w:b w:val="1"/>
          <w:bCs w:val="1"/>
        </w:rPr>
        <w:t xml:space="preserve"> Overview</w:t>
      </w:r>
    </w:p>
    <w:p w:rsidR="29F449E1" w:rsidP="7AD6DA35" w:rsidRDefault="29F449E1" w14:paraId="18338C95" w14:textId="3E638C65">
      <w:pPr>
        <w:shd w:val="clear" w:color="auto" w:fill="FFFFFF" w:themeFill="background1"/>
      </w:pPr>
      <w:r w:rsidRPr="7AD6DA35" w:rsidR="29F449E1">
        <w:rPr>
          <w:rFonts w:ascii="Arial" w:hAnsi="Arial" w:eastAsia="Arial" w:cs="Arial"/>
          <w:b w:val="1"/>
          <w:bCs w:val="1"/>
        </w:rPr>
        <w:t xml:space="preserve">4.1. Introduction </w:t>
      </w:r>
    </w:p>
    <w:p w:rsidR="39D12909" w:rsidP="56062124" w:rsidRDefault="39D12909" w14:paraId="6A4808CA" w14:textId="3F052CCF">
      <w:pPr>
        <w:spacing w:before="210" w:after="210" w:line="300" w:lineRule="auto"/>
      </w:pPr>
      <w:r w:rsidRPr="7AD6DA35" w:rsidR="1C912004">
        <w:rPr>
          <w:rFonts w:ascii="Arial" w:hAnsi="Arial" w:eastAsia="Arial" w:cs="Arial"/>
        </w:rPr>
        <w:t>This chapter presents the findings, analysis</w:t>
      </w:r>
      <w:r w:rsidRPr="7AD6DA35" w:rsidR="1C912004">
        <w:rPr>
          <w:rFonts w:ascii="Arial" w:hAnsi="Arial" w:eastAsia="Arial" w:cs="Arial"/>
        </w:rPr>
        <w:t>, and discussion derived from the secondary research conducted on the UK Post Office Horizon scandal. The purpose of this chapter is to examine the relationship between the Horizon IT system failures, organisational governance weaknesses, and transition risks that collectively contributed to one of the most significant miscarriages of justice in British corporate and public sector history. The chapter addresses the research objectives by analysing evidence gathered from academic literature, government reports, parliamentary inquiries, independent reviews, legal judgments, and industry publications</w:t>
      </w:r>
      <w:r w:rsidRPr="7AD6DA35" w:rsidR="620EE9A2">
        <w:rPr>
          <w:rFonts w:ascii="Arial" w:hAnsi="Arial" w:eastAsia="Arial" w:cs="Arial"/>
        </w:rPr>
        <w:t xml:space="preserve"> </w:t>
      </w:r>
      <w:r w:rsidRPr="7AD6DA35" w:rsidR="620EE9A2">
        <w:rPr>
          <w:rFonts w:ascii="Arial" w:hAnsi="Arial" w:eastAsia="Arial" w:cs="Arial"/>
        </w:rPr>
        <w:t>(</w:t>
      </w:r>
      <w:r w:rsidRPr="7AD6DA35" w:rsidR="620EE9A2">
        <w:rPr>
          <w:rFonts w:ascii="Arial" w:hAnsi="Arial" w:eastAsia="Arial" w:cs="Arial"/>
        </w:rPr>
        <w:t>Shamseer et al. 2026)</w:t>
      </w:r>
      <w:r w:rsidRPr="7AD6DA35" w:rsidR="1C912004">
        <w:rPr>
          <w:rFonts w:ascii="Arial" w:hAnsi="Arial" w:eastAsia="Arial" w:cs="Arial"/>
        </w:rPr>
        <w:t>.</w:t>
      </w:r>
    </w:p>
    <w:p w:rsidR="20CD56FC" w:rsidP="7AD6DA35" w:rsidRDefault="20CD56FC" w14:paraId="1C4DAE7D" w14:textId="520E9C55">
      <w:pPr>
        <w:spacing w:before="210" w:after="210" w:line="300" w:lineRule="auto"/>
        <w:rPr>
          <w:rFonts w:ascii="Arial" w:hAnsi="Arial" w:eastAsia="Arial" w:cs="Arial"/>
          <w:b w:val="1"/>
          <w:bCs w:val="1"/>
        </w:rPr>
      </w:pPr>
      <w:r w:rsidRPr="7AD6DA35" w:rsidR="20CD56FC">
        <w:rPr>
          <w:rFonts w:ascii="Arial" w:hAnsi="Arial" w:eastAsia="Arial" w:cs="Arial"/>
          <w:b w:val="1"/>
          <w:bCs w:val="1"/>
        </w:rPr>
        <w:t xml:space="preserve">4.2. UK Post Office Horizon Scandal Overview </w:t>
      </w:r>
    </w:p>
    <w:p w:rsidR="39D12909" w:rsidP="56062124" w:rsidRDefault="39D12909" w14:paraId="31D62828" w14:textId="148FA7B2">
      <w:pPr>
        <w:spacing w:before="210" w:after="210" w:line="300" w:lineRule="auto"/>
        <w:rPr>
          <w:rFonts w:ascii="Arial" w:hAnsi="Arial" w:eastAsia="Arial" w:cs="Arial"/>
        </w:rPr>
      </w:pPr>
      <w:r w:rsidRPr="7AD6DA35" w:rsidR="1C912004">
        <w:rPr>
          <w:rFonts w:ascii="Arial" w:hAnsi="Arial" w:eastAsia="Arial" w:cs="Arial"/>
        </w:rPr>
        <w:t xml:space="preserve">The Horizon </w:t>
      </w:r>
      <w:r w:rsidRPr="7AD6DA35" w:rsidR="3B67EF72">
        <w:rPr>
          <w:rFonts w:ascii="Arial" w:hAnsi="Arial" w:eastAsia="Arial" w:cs="Arial"/>
        </w:rPr>
        <w:t>scandal has</w:t>
      </w:r>
      <w:r w:rsidRPr="7AD6DA35" w:rsidR="1C912004">
        <w:rPr>
          <w:rFonts w:ascii="Arial" w:hAnsi="Arial" w:eastAsia="Arial" w:cs="Arial"/>
        </w:rPr>
        <w:t xml:space="preserve"> become a significant case study in </w:t>
      </w:r>
      <w:r w:rsidRPr="7AD6DA35" w:rsidR="1C912004">
        <w:rPr>
          <w:rFonts w:ascii="Arial" w:hAnsi="Arial" w:eastAsia="Arial" w:cs="Arial"/>
        </w:rPr>
        <w:t>organisational</w:t>
      </w:r>
      <w:r w:rsidRPr="7AD6DA35" w:rsidR="1C912004">
        <w:rPr>
          <w:rFonts w:ascii="Arial" w:hAnsi="Arial" w:eastAsia="Arial" w:cs="Arial"/>
        </w:rPr>
        <w:t xml:space="preserve"> governance, illustrating how technological failures can be amplified by ineffective leadership, poor accountability structures, inadequate risk management, and </w:t>
      </w:r>
      <w:r w:rsidRPr="7AD6DA35" w:rsidR="1C912004">
        <w:rPr>
          <w:rFonts w:ascii="Arial" w:hAnsi="Arial" w:eastAsia="Arial" w:cs="Arial"/>
        </w:rPr>
        <w:t>organisational</w:t>
      </w:r>
      <w:r w:rsidRPr="7AD6DA35" w:rsidR="1C912004">
        <w:rPr>
          <w:rFonts w:ascii="Arial" w:hAnsi="Arial" w:eastAsia="Arial" w:cs="Arial"/>
        </w:rPr>
        <w:t xml:space="preserve"> resistance to challenge. The findings reveal that the Horizon system failures cannot be understood solely as technical defects but rather as the outcome of interconnected </w:t>
      </w:r>
      <w:r w:rsidRPr="7AD6DA35" w:rsidR="1C912004">
        <w:rPr>
          <w:rFonts w:ascii="Arial" w:hAnsi="Arial" w:eastAsia="Arial" w:cs="Arial"/>
        </w:rPr>
        <w:t>organisational</w:t>
      </w:r>
      <w:r w:rsidRPr="7AD6DA35" w:rsidR="1C912004">
        <w:rPr>
          <w:rFonts w:ascii="Arial" w:hAnsi="Arial" w:eastAsia="Arial" w:cs="Arial"/>
        </w:rPr>
        <w:t>, governance, and cultural failures</w:t>
      </w:r>
      <w:r w:rsidRPr="7AD6DA35" w:rsidR="48C4855C">
        <w:rPr>
          <w:rFonts w:ascii="Arial" w:hAnsi="Arial" w:eastAsia="Arial" w:cs="Arial"/>
        </w:rPr>
        <w:t xml:space="preserve"> </w:t>
      </w:r>
      <w:r w:rsidRPr="7AD6DA35" w:rsidR="48C4855C">
        <w:rPr>
          <w:rFonts w:ascii="Arial" w:hAnsi="Arial" w:eastAsia="Arial" w:cs="Arial"/>
        </w:rPr>
        <w:t>(</w:t>
      </w:r>
      <w:r w:rsidRPr="7AD6DA35" w:rsidR="48C4855C">
        <w:rPr>
          <w:rFonts w:ascii="Arial" w:hAnsi="Arial" w:eastAsia="Arial" w:cs="Arial"/>
        </w:rPr>
        <w:t>Shamseer et al. 2026)</w:t>
      </w:r>
      <w:r w:rsidRPr="7AD6DA35" w:rsidR="1C912004">
        <w:rPr>
          <w:rFonts w:ascii="Arial" w:hAnsi="Arial" w:eastAsia="Arial" w:cs="Arial"/>
        </w:rPr>
        <w:t>.</w:t>
      </w:r>
    </w:p>
    <w:p w:rsidR="39D12909" w:rsidP="56062124" w:rsidRDefault="39D12909" w14:paraId="4355D423" w14:textId="066B9383">
      <w:pPr>
        <w:spacing w:before="210" w:after="210" w:line="300" w:lineRule="auto"/>
        <w:rPr>
          <w:rFonts w:ascii="Arial" w:hAnsi="Arial" w:eastAsia="Arial" w:cs="Arial"/>
        </w:rPr>
      </w:pPr>
      <w:r w:rsidRPr="7AD6DA35" w:rsidR="1C912004">
        <w:rPr>
          <w:rFonts w:ascii="Arial" w:hAnsi="Arial" w:eastAsia="Arial" w:cs="Arial"/>
        </w:rPr>
        <w:t xml:space="preserve">This chapter is organised around four key themes that emerged from </w:t>
      </w:r>
      <w:r w:rsidRPr="7AD6DA35" w:rsidR="21B1946E">
        <w:rPr>
          <w:rFonts w:ascii="Arial" w:hAnsi="Arial" w:eastAsia="Arial" w:cs="Arial"/>
        </w:rPr>
        <w:t>secondary</w:t>
      </w:r>
      <w:r w:rsidRPr="7AD6DA35" w:rsidR="1C912004">
        <w:rPr>
          <w:rFonts w:ascii="Arial" w:hAnsi="Arial" w:eastAsia="Arial" w:cs="Arial"/>
        </w:rPr>
        <w:t xml:space="preserve"> data analysis. The first theme examines the technical failures associated with the Horizon system and their impact on branch operations. The second explores governance failures within the Post Office and the shortcomings of managerial oversight. The third investigates organisational culture and the suppression of concerns raised by sub-postmasters and stakeholders. The fourth theme analyses transition risks related to digital transformation and technology implementation. Each finding is critically analysed and compared with relevant literature reviewed in Chapter 2</w:t>
      </w:r>
      <w:r w:rsidRPr="7AD6DA35" w:rsidR="07DE538D">
        <w:rPr>
          <w:rFonts w:ascii="Arial" w:hAnsi="Arial" w:eastAsia="Arial" w:cs="Arial"/>
        </w:rPr>
        <w:t xml:space="preserve"> (</w:t>
      </w:r>
      <w:r w:rsidRPr="7AD6DA35" w:rsidR="07DE538D">
        <w:rPr>
          <w:rFonts w:ascii="Arial" w:hAnsi="Arial" w:eastAsia="Arial" w:cs="Arial"/>
        </w:rPr>
        <w:t>Shamseer et al. 2026)</w:t>
      </w:r>
      <w:r w:rsidRPr="7AD6DA35" w:rsidR="1C912004">
        <w:rPr>
          <w:rFonts w:ascii="Arial" w:hAnsi="Arial" w:eastAsia="Arial" w:cs="Arial"/>
        </w:rPr>
        <w:t>.</w:t>
      </w:r>
    </w:p>
    <w:p w:rsidR="39D12909" w:rsidP="56062124" w:rsidRDefault="39D12909" w14:paraId="30E9FB5C" w14:textId="7AA22367">
      <w:pPr>
        <w:spacing w:before="210" w:after="210" w:line="300" w:lineRule="auto"/>
        <w:rPr>
          <w:rFonts w:ascii="Arial" w:hAnsi="Arial" w:eastAsia="Arial" w:cs="Arial"/>
        </w:rPr>
      </w:pPr>
      <w:r w:rsidRPr="56062124">
        <w:rPr>
          <w:rFonts w:ascii="Arial" w:hAnsi="Arial" w:eastAsia="Arial" w:cs="Arial"/>
        </w:rPr>
        <w:t>The chapter concludes by evaluating the significance of these findings and discussing their implications for organisational governance, technology management, and public trust in public institutions.</w:t>
      </w:r>
    </w:p>
    <w:p w:rsidR="56062124" w:rsidP="56062124" w:rsidRDefault="56062124" w14:paraId="22A271C5" w14:textId="59B3DD21">
      <w:pPr>
        <w:spacing w:after="0" w:line="300" w:lineRule="auto"/>
        <w:rPr>
          <w:rFonts w:ascii="Arial" w:hAnsi="Arial" w:eastAsia="Arial" w:cs="Arial"/>
        </w:rPr>
      </w:pPr>
    </w:p>
    <w:p w:rsidR="39D12909" w:rsidP="56062124" w:rsidRDefault="39D12909" w14:paraId="335BDDE4" w14:textId="2BDDBF61">
      <w:pPr>
        <w:pStyle w:val="Heading1"/>
        <w:spacing w:before="281" w:after="281" w:line="300" w:lineRule="auto"/>
      </w:pPr>
      <w:bookmarkStart w:name="_Toc1636649491" w:id="850526253"/>
      <w:r w:rsidRPr="7AD6DA35" w:rsidR="214FEE80">
        <w:rPr>
          <w:rFonts w:ascii="Arial" w:hAnsi="Arial" w:eastAsia="Arial" w:cs="Arial"/>
          <w:b w:val="1"/>
          <w:bCs w:val="1"/>
          <w:color w:val="auto"/>
          <w:sz w:val="24"/>
          <w:szCs w:val="24"/>
        </w:rPr>
        <w:t>Chapter 4</w:t>
      </w:r>
      <w:bookmarkEnd w:id="850526253"/>
      <w:r w:rsidRPr="7AD6DA35" w:rsidR="214FEE80">
        <w:rPr>
          <w:rFonts w:ascii="Arial" w:hAnsi="Arial" w:eastAsia="Arial" w:cs="Arial"/>
          <w:b w:val="1"/>
          <w:bCs w:val="1"/>
          <w:color w:val="auto"/>
          <w:sz w:val="24"/>
          <w:szCs w:val="24"/>
        </w:rPr>
        <w:t xml:space="preserve"> </w:t>
      </w:r>
    </w:p>
    <w:p w:rsidR="39D12909" w:rsidP="56062124" w:rsidRDefault="39D12909" w14:paraId="50CFC7E5" w14:textId="1BB9100C">
      <w:pPr>
        <w:pStyle w:val="Heading1"/>
        <w:spacing w:before="281" w:after="281" w:line="300" w:lineRule="auto"/>
        <w:rPr>
          <w:rFonts w:ascii="Arial" w:hAnsi="Arial" w:eastAsia="Arial" w:cs="Arial"/>
          <w:b w:val="1"/>
          <w:bCs w:val="1"/>
          <w:color w:val="auto"/>
          <w:sz w:val="24"/>
          <w:szCs w:val="24"/>
        </w:rPr>
      </w:pPr>
      <w:bookmarkStart w:name="_Toc1671233443" w:id="1258245901"/>
      <w:r w:rsidRPr="7AD6DA35" w:rsidR="214FEE80">
        <w:rPr>
          <w:rFonts w:ascii="Arial" w:hAnsi="Arial" w:eastAsia="Arial" w:cs="Arial"/>
          <w:b w:val="1"/>
          <w:bCs w:val="1"/>
          <w:color w:val="auto"/>
          <w:sz w:val="24"/>
          <w:szCs w:val="24"/>
        </w:rPr>
        <w:t xml:space="preserve">4.1. </w:t>
      </w:r>
      <w:r w:rsidRPr="7AD6DA35" w:rsidR="1C912004">
        <w:rPr>
          <w:rFonts w:ascii="Arial" w:hAnsi="Arial" w:eastAsia="Arial" w:cs="Arial"/>
          <w:b w:val="1"/>
          <w:bCs w:val="1"/>
          <w:color w:val="auto"/>
          <w:sz w:val="24"/>
          <w:szCs w:val="24"/>
        </w:rPr>
        <w:t>Presentation of Findings</w:t>
      </w:r>
      <w:bookmarkEnd w:id="1258245901"/>
    </w:p>
    <w:p w:rsidR="39D12909" w:rsidP="56062124" w:rsidRDefault="39D12909" w14:paraId="699E00DF" w14:textId="12BEEDE9">
      <w:pPr>
        <w:spacing w:before="210" w:after="210" w:line="300" w:lineRule="auto"/>
        <w:rPr>
          <w:rFonts w:ascii="Arial" w:hAnsi="Arial" w:eastAsia="Arial" w:cs="Arial"/>
        </w:rPr>
      </w:pPr>
      <w:r w:rsidRPr="56062124">
        <w:rPr>
          <w:rFonts w:ascii="Arial" w:hAnsi="Arial" w:eastAsia="Arial" w:cs="Arial"/>
        </w:rPr>
        <w:t>The secondary research identified four major themes relating to the Horizon scandal:</w:t>
      </w:r>
    </w:p>
    <w:p w:rsidR="39D12909" w:rsidP="56062124" w:rsidRDefault="39D12909" w14:paraId="1FE55154" w14:textId="4DA00459">
      <w:pPr>
        <w:pStyle w:val="ListParagraph"/>
        <w:numPr>
          <w:ilvl w:val="0"/>
          <w:numId w:val="6"/>
        </w:numPr>
        <w:spacing w:after="0" w:line="300" w:lineRule="auto"/>
        <w:rPr>
          <w:rFonts w:ascii="Arial" w:hAnsi="Arial" w:eastAsia="Arial" w:cs="Arial"/>
        </w:rPr>
      </w:pPr>
      <w:r w:rsidRPr="56062124">
        <w:rPr>
          <w:rFonts w:ascii="Arial" w:hAnsi="Arial" w:eastAsia="Arial" w:cs="Arial"/>
        </w:rPr>
        <w:t>Horizon system failures and technological defects.</w:t>
      </w:r>
    </w:p>
    <w:p w:rsidR="39D12909" w:rsidP="56062124" w:rsidRDefault="39D12909" w14:paraId="1DAF477B" w14:textId="632D2009">
      <w:pPr>
        <w:pStyle w:val="ListParagraph"/>
        <w:numPr>
          <w:ilvl w:val="0"/>
          <w:numId w:val="6"/>
        </w:numPr>
        <w:spacing w:after="0" w:line="300" w:lineRule="auto"/>
        <w:rPr>
          <w:rFonts w:ascii="Arial" w:hAnsi="Arial" w:eastAsia="Arial" w:cs="Arial"/>
        </w:rPr>
      </w:pPr>
      <w:r w:rsidRPr="56062124">
        <w:rPr>
          <w:rFonts w:ascii="Arial" w:hAnsi="Arial" w:eastAsia="Arial" w:cs="Arial"/>
        </w:rPr>
        <w:t>Organisational governance failures and accountability weaknesses.</w:t>
      </w:r>
    </w:p>
    <w:p w:rsidR="39D12909" w:rsidP="56062124" w:rsidRDefault="39D12909" w14:paraId="1C6075A8" w14:textId="5907BF7A">
      <w:pPr>
        <w:pStyle w:val="ListParagraph"/>
        <w:numPr>
          <w:ilvl w:val="0"/>
          <w:numId w:val="6"/>
        </w:numPr>
        <w:spacing w:after="0" w:line="300" w:lineRule="auto"/>
        <w:rPr>
          <w:rFonts w:ascii="Arial" w:hAnsi="Arial" w:eastAsia="Arial" w:cs="Arial"/>
        </w:rPr>
      </w:pPr>
      <w:r w:rsidRPr="56062124">
        <w:rPr>
          <w:rFonts w:ascii="Arial" w:hAnsi="Arial" w:eastAsia="Arial" w:cs="Arial"/>
        </w:rPr>
        <w:t>Organisational culture and suppression of stakeholder concerns.</w:t>
      </w:r>
    </w:p>
    <w:p w:rsidR="39D12909" w:rsidP="56062124" w:rsidRDefault="39D12909" w14:paraId="7A4EEEF4" w14:textId="201C99AB">
      <w:pPr>
        <w:pStyle w:val="ListParagraph"/>
        <w:numPr>
          <w:ilvl w:val="0"/>
          <w:numId w:val="6"/>
        </w:numPr>
        <w:spacing w:after="0" w:line="300" w:lineRule="auto"/>
        <w:rPr>
          <w:rFonts w:ascii="Arial" w:hAnsi="Arial" w:eastAsia="Arial" w:cs="Arial"/>
        </w:rPr>
      </w:pPr>
      <w:r w:rsidRPr="56062124">
        <w:rPr>
          <w:rFonts w:ascii="Arial" w:hAnsi="Arial" w:eastAsia="Arial" w:cs="Arial"/>
        </w:rPr>
        <w:t>Transition risks associated with digital transformation and technology implementation.</w:t>
      </w:r>
    </w:p>
    <w:p w:rsidR="39D12909" w:rsidP="56062124" w:rsidRDefault="39D12909" w14:paraId="70B2CCA4" w14:textId="24FDEE25">
      <w:pPr>
        <w:spacing w:before="210" w:after="210" w:line="300" w:lineRule="auto"/>
        <w:rPr>
          <w:rFonts w:ascii="Arial" w:hAnsi="Arial" w:eastAsia="Arial" w:cs="Arial"/>
        </w:rPr>
      </w:pPr>
      <w:r w:rsidRPr="56062124">
        <w:rPr>
          <w:rFonts w:ascii="Arial" w:hAnsi="Arial" w:eastAsia="Arial" w:cs="Arial"/>
        </w:rPr>
        <w:lastRenderedPageBreak/>
        <w:t>These findings emerged consistently across multiple sources including the Horizon IT Inquiry, parliamentary investigations, legal judgments, independent reviews, media investigations, and academic analyses.</w:t>
      </w:r>
    </w:p>
    <w:p w:rsidR="39D12909" w:rsidP="56062124" w:rsidRDefault="39D12909" w14:paraId="489A9A89" w14:textId="2EC3DE42">
      <w:pPr>
        <w:pStyle w:val="Heading1"/>
        <w:spacing w:before="281" w:after="281" w:line="300" w:lineRule="auto"/>
        <w:rPr>
          <w:rFonts w:ascii="Arial" w:hAnsi="Arial" w:eastAsia="Arial" w:cs="Arial"/>
          <w:b w:val="1"/>
          <w:bCs w:val="1"/>
          <w:color w:val="auto"/>
          <w:sz w:val="24"/>
          <w:szCs w:val="24"/>
        </w:rPr>
      </w:pPr>
      <w:bookmarkStart w:name="_Toc931216138" w:id="1714116389"/>
      <w:r w:rsidRPr="7AD6DA35" w:rsidR="02761A63">
        <w:rPr>
          <w:rFonts w:ascii="Arial" w:hAnsi="Arial" w:eastAsia="Arial" w:cs="Arial"/>
          <w:b w:val="1"/>
          <w:bCs w:val="1"/>
          <w:color w:val="auto"/>
          <w:sz w:val="24"/>
          <w:szCs w:val="24"/>
        </w:rPr>
        <w:t xml:space="preserve">4.2. </w:t>
      </w:r>
      <w:r w:rsidRPr="7AD6DA35" w:rsidR="1C912004">
        <w:rPr>
          <w:rFonts w:ascii="Arial" w:hAnsi="Arial" w:eastAsia="Arial" w:cs="Arial"/>
          <w:b w:val="1"/>
          <w:bCs w:val="1"/>
          <w:color w:val="auto"/>
          <w:sz w:val="24"/>
          <w:szCs w:val="24"/>
        </w:rPr>
        <w:t>Finding One: Horizon System Failures and Technological Defects</w:t>
      </w:r>
      <w:bookmarkEnd w:id="1714116389"/>
    </w:p>
    <w:p w:rsidR="39D12909" w:rsidP="56062124" w:rsidRDefault="39D12909" w14:paraId="3875C1C4" w14:textId="514306DB">
      <w:pPr>
        <w:spacing w:before="210" w:after="210" w:line="300" w:lineRule="auto"/>
        <w:rPr>
          <w:rFonts w:ascii="Arial" w:hAnsi="Arial" w:eastAsia="Arial" w:cs="Arial"/>
        </w:rPr>
      </w:pPr>
      <w:r w:rsidRPr="7AD6DA35" w:rsidR="1C912004">
        <w:rPr>
          <w:rFonts w:ascii="Arial" w:hAnsi="Arial" w:eastAsia="Arial" w:cs="Arial"/>
        </w:rPr>
        <w:t>The first major finding concerns the technical shortcomings of the Horizon accounting system. Originally introduced by the Post Office in partnership with Fujitsu during the late 1990s, Horizon was designed to modernise accounting functions across thousands of Post Office branches throughout the United Kingdom</w:t>
      </w:r>
      <w:r w:rsidRPr="7AD6DA35" w:rsidR="5F1671DF">
        <w:rPr>
          <w:rFonts w:ascii="Arial" w:hAnsi="Arial" w:eastAsia="Arial" w:cs="Arial"/>
        </w:rPr>
        <w:t xml:space="preserve"> </w:t>
      </w:r>
      <w:r w:rsidRPr="7AD6DA35" w:rsidR="5F1671DF">
        <w:rPr>
          <w:rFonts w:ascii="Arial" w:hAnsi="Arial" w:eastAsia="Arial" w:cs="Arial"/>
        </w:rPr>
        <w:t>(Wallis</w:t>
      </w:r>
      <w:r w:rsidRPr="7AD6DA35" w:rsidR="1E53C0F8">
        <w:rPr>
          <w:rFonts w:ascii="Arial" w:hAnsi="Arial" w:eastAsia="Arial" w:cs="Arial"/>
        </w:rPr>
        <w:t xml:space="preserve">. </w:t>
      </w:r>
      <w:r w:rsidRPr="7AD6DA35" w:rsidR="5F1671DF">
        <w:rPr>
          <w:rFonts w:ascii="Arial" w:hAnsi="Arial" w:eastAsia="Arial" w:cs="Arial"/>
        </w:rPr>
        <w:t>2021)</w:t>
      </w:r>
      <w:r w:rsidRPr="7AD6DA35" w:rsidR="1C912004">
        <w:rPr>
          <w:rFonts w:ascii="Arial" w:hAnsi="Arial" w:eastAsia="Arial" w:cs="Arial"/>
        </w:rPr>
        <w:t>.</w:t>
      </w:r>
    </w:p>
    <w:p w:rsidR="39D12909" w:rsidP="56062124" w:rsidRDefault="39D12909" w14:paraId="0138696A" w14:textId="7CC189C5">
      <w:pPr>
        <w:spacing w:before="210" w:after="210" w:line="300" w:lineRule="auto"/>
        <w:rPr>
          <w:rFonts w:ascii="Arial" w:hAnsi="Arial" w:eastAsia="Arial" w:cs="Arial"/>
        </w:rPr>
      </w:pPr>
      <w:r w:rsidRPr="7AD6DA35" w:rsidR="1C912004">
        <w:rPr>
          <w:rFonts w:ascii="Arial" w:hAnsi="Arial" w:eastAsia="Arial" w:cs="Arial"/>
        </w:rPr>
        <w:t xml:space="preserve">However, evidence from </w:t>
      </w:r>
      <w:r w:rsidRPr="7AD6DA35" w:rsidR="1C912004">
        <w:rPr>
          <w:rFonts w:ascii="Arial" w:hAnsi="Arial" w:eastAsia="Arial" w:cs="Arial"/>
        </w:rPr>
        <w:t>numerous</w:t>
      </w:r>
      <w:r w:rsidRPr="7AD6DA35" w:rsidR="1C912004">
        <w:rPr>
          <w:rFonts w:ascii="Arial" w:hAnsi="Arial" w:eastAsia="Arial" w:cs="Arial"/>
        </w:rPr>
        <w:t xml:space="preserve"> investigations </w:t>
      </w:r>
      <w:r w:rsidRPr="7AD6DA35" w:rsidR="121BB5D2">
        <w:rPr>
          <w:rFonts w:ascii="Arial" w:hAnsi="Arial" w:eastAsia="Arial" w:cs="Arial"/>
        </w:rPr>
        <w:t xml:space="preserve">showed </w:t>
      </w:r>
      <w:r w:rsidRPr="7AD6DA35" w:rsidR="1C912004">
        <w:rPr>
          <w:rFonts w:ascii="Arial" w:hAnsi="Arial" w:eastAsia="Arial" w:cs="Arial"/>
        </w:rPr>
        <w:t xml:space="preserve">that the system generated accounting discrepancies, transaction errors, and unexplained shortfalls. These errors </w:t>
      </w:r>
      <w:r w:rsidRPr="7AD6DA35" w:rsidR="1C912004">
        <w:rPr>
          <w:rFonts w:ascii="Arial" w:hAnsi="Arial" w:eastAsia="Arial" w:cs="Arial"/>
        </w:rPr>
        <w:t>frequently</w:t>
      </w:r>
      <w:r w:rsidRPr="7AD6DA35" w:rsidR="1C912004">
        <w:rPr>
          <w:rFonts w:ascii="Arial" w:hAnsi="Arial" w:eastAsia="Arial" w:cs="Arial"/>
        </w:rPr>
        <w:t xml:space="preserve"> appeared in branch accounts despite sub-postmasters reporting that cash balances were </w:t>
      </w:r>
      <w:r w:rsidRPr="7AD6DA35" w:rsidR="1C912004">
        <w:rPr>
          <w:rFonts w:ascii="Arial" w:hAnsi="Arial" w:eastAsia="Arial" w:cs="Arial"/>
        </w:rPr>
        <w:t>accurate</w:t>
      </w:r>
      <w:r w:rsidRPr="7AD6DA35" w:rsidR="6BD87E64">
        <w:rPr>
          <w:rFonts w:ascii="Arial" w:hAnsi="Arial" w:eastAsia="Arial" w:cs="Arial"/>
        </w:rPr>
        <w:t xml:space="preserve"> </w:t>
      </w:r>
      <w:r w:rsidRPr="7AD6DA35" w:rsidR="6BD87E64">
        <w:rPr>
          <w:rFonts w:ascii="Arial" w:hAnsi="Arial" w:eastAsia="Arial" w:cs="Arial"/>
        </w:rPr>
        <w:t>(Wallis</w:t>
      </w:r>
      <w:r w:rsidRPr="7AD6DA35" w:rsidR="40E73586">
        <w:rPr>
          <w:rFonts w:ascii="Arial" w:hAnsi="Arial" w:eastAsia="Arial" w:cs="Arial"/>
        </w:rPr>
        <w:t xml:space="preserve">. </w:t>
      </w:r>
      <w:r w:rsidRPr="7AD6DA35" w:rsidR="6BD87E64">
        <w:rPr>
          <w:rFonts w:ascii="Arial" w:hAnsi="Arial" w:eastAsia="Arial" w:cs="Arial"/>
        </w:rPr>
        <w:t>2021)</w:t>
      </w:r>
      <w:r w:rsidRPr="7AD6DA35" w:rsidR="1C912004">
        <w:rPr>
          <w:rFonts w:ascii="Arial" w:hAnsi="Arial" w:eastAsia="Arial" w:cs="Arial"/>
        </w:rPr>
        <w:t>.</w:t>
      </w:r>
    </w:p>
    <w:p w:rsidR="39D12909" w:rsidP="56062124" w:rsidRDefault="39D12909" w14:paraId="12A5D752" w14:textId="348B65DA">
      <w:pPr>
        <w:pStyle w:val="Heading3"/>
        <w:spacing w:before="246" w:after="246" w:line="300" w:lineRule="auto"/>
        <w:rPr>
          <w:rFonts w:ascii="Arial" w:hAnsi="Arial" w:eastAsia="Arial" w:cs="Arial"/>
          <w:b w:val="1"/>
          <w:bCs w:val="1"/>
          <w:color w:val="auto"/>
          <w:sz w:val="24"/>
          <w:szCs w:val="24"/>
        </w:rPr>
      </w:pPr>
      <w:bookmarkStart w:name="_Toc734424400" w:id="1393526694"/>
      <w:r w:rsidRPr="7AD6DA35" w:rsidR="62EBFB13">
        <w:rPr>
          <w:rFonts w:ascii="Arial" w:hAnsi="Arial" w:eastAsia="Arial" w:cs="Arial"/>
          <w:b w:val="1"/>
          <w:bCs w:val="1"/>
          <w:color w:val="auto"/>
          <w:sz w:val="24"/>
          <w:szCs w:val="24"/>
        </w:rPr>
        <w:t xml:space="preserve">4.1. </w:t>
      </w:r>
      <w:r w:rsidRPr="7AD6DA35" w:rsidR="1C912004">
        <w:rPr>
          <w:rFonts w:ascii="Arial" w:hAnsi="Arial" w:eastAsia="Arial" w:cs="Arial"/>
          <w:b w:val="1"/>
          <w:bCs w:val="1"/>
          <w:color w:val="auto"/>
          <w:sz w:val="24"/>
          <w:szCs w:val="24"/>
        </w:rPr>
        <w:t>Sources Identifying Horizon System Defects</w:t>
      </w:r>
      <w:bookmarkEnd w:id="1393526694"/>
    </w:p>
    <w:tbl>
      <w:tblPr>
        <w:tblW w:w="0" w:type="auto"/>
        <w:tblLook w:val="06A0" w:firstRow="1" w:lastRow="0" w:firstColumn="1" w:lastColumn="0" w:noHBand="1" w:noVBand="1"/>
      </w:tblPr>
      <w:tblGrid>
        <w:gridCol w:w="3555"/>
        <w:gridCol w:w="2795"/>
      </w:tblGrid>
      <w:tr w:rsidR="56062124" w:rsidTr="56062124" w14:paraId="2453B98A" w14:textId="77777777">
        <w:trPr>
          <w:trHeight w:val="300"/>
        </w:trPr>
        <w:tc>
          <w:tcPr>
            <w:tcW w:w="3555" w:type="dxa"/>
            <w:tcBorders>
              <w:top w:val="single" w:color="E6E6E6" w:sz="6" w:space="0"/>
              <w:left w:val="single" w:color="E6E6E6" w:sz="6" w:space="0"/>
              <w:bottom w:val="single" w:color="E6E6E6" w:sz="6" w:space="0"/>
              <w:right w:val="single" w:color="E6E6E6" w:sz="6" w:space="0"/>
            </w:tcBorders>
            <w:shd w:val="clear" w:color="auto" w:fill="F5F5F5"/>
            <w:vAlign w:val="center"/>
          </w:tcPr>
          <w:p w:rsidR="56062124" w:rsidP="56062124" w:rsidRDefault="56062124" w14:paraId="6FB6EF03" w14:textId="532E3ACF">
            <w:pPr>
              <w:spacing w:after="0" w:line="300" w:lineRule="auto"/>
              <w:jc w:val="center"/>
              <w:rPr>
                <w:rFonts w:ascii="Arial" w:hAnsi="Arial" w:eastAsia="Arial" w:cs="Arial"/>
                <w:b/>
                <w:bCs/>
              </w:rPr>
            </w:pPr>
            <w:r w:rsidRPr="56062124">
              <w:rPr>
                <w:rFonts w:ascii="Arial" w:hAnsi="Arial" w:eastAsia="Arial" w:cs="Arial"/>
                <w:b/>
                <w:bCs/>
              </w:rPr>
              <w:t>Findings Identified</w:t>
            </w:r>
          </w:p>
        </w:tc>
        <w:tc>
          <w:tcPr>
            <w:tcW w:w="2795" w:type="dxa"/>
            <w:tcBorders>
              <w:top w:val="single" w:color="E6E6E6" w:sz="6" w:space="0"/>
              <w:left w:val="single" w:color="E6E6E6" w:sz="6" w:space="0"/>
              <w:bottom w:val="single" w:color="E6E6E6" w:sz="6" w:space="0"/>
              <w:right w:val="single" w:color="E6E6E6" w:sz="6" w:space="0"/>
            </w:tcBorders>
            <w:shd w:val="clear" w:color="auto" w:fill="F5F5F5"/>
            <w:vAlign w:val="center"/>
          </w:tcPr>
          <w:p w:rsidR="56062124" w:rsidP="56062124" w:rsidRDefault="56062124" w14:paraId="6D96AF50" w14:textId="1D2F125F">
            <w:pPr>
              <w:spacing w:after="0" w:line="300" w:lineRule="auto"/>
              <w:jc w:val="center"/>
              <w:rPr>
                <w:rFonts w:ascii="Arial" w:hAnsi="Arial" w:eastAsia="Arial" w:cs="Arial"/>
                <w:b/>
                <w:bCs/>
              </w:rPr>
            </w:pPr>
            <w:r w:rsidRPr="56062124">
              <w:rPr>
                <w:rFonts w:ascii="Arial" w:hAnsi="Arial" w:eastAsia="Arial" w:cs="Arial"/>
                <w:b/>
                <w:bCs/>
              </w:rPr>
              <w:t>Percentage of Sources</w:t>
            </w:r>
          </w:p>
        </w:tc>
      </w:tr>
      <w:tr w:rsidR="56062124" w:rsidTr="56062124" w14:paraId="1350524C" w14:textId="77777777">
        <w:trPr>
          <w:trHeight w:val="300"/>
        </w:trPr>
        <w:tc>
          <w:tcPr>
            <w:tcW w:w="355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46630073" w14:textId="2C75505F">
            <w:pPr>
              <w:spacing w:after="0" w:line="300" w:lineRule="auto"/>
              <w:rPr>
                <w:rFonts w:ascii="Arial" w:hAnsi="Arial" w:eastAsia="Arial" w:cs="Arial"/>
              </w:rPr>
            </w:pPr>
            <w:r w:rsidRPr="56062124">
              <w:rPr>
                <w:rFonts w:ascii="Arial" w:hAnsi="Arial" w:eastAsia="Arial" w:cs="Arial"/>
              </w:rPr>
              <w:t>System Bugs and Errors</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11216742" w14:textId="74507681">
            <w:pPr>
              <w:spacing w:after="0" w:line="300" w:lineRule="auto"/>
              <w:rPr>
                <w:rFonts w:ascii="Arial" w:hAnsi="Arial" w:eastAsia="Arial" w:cs="Arial"/>
              </w:rPr>
            </w:pPr>
            <w:r w:rsidRPr="56062124">
              <w:rPr>
                <w:rFonts w:ascii="Arial" w:hAnsi="Arial" w:eastAsia="Arial" w:cs="Arial"/>
              </w:rPr>
              <w:t>84%</w:t>
            </w:r>
          </w:p>
        </w:tc>
      </w:tr>
      <w:tr w:rsidR="56062124" w:rsidTr="56062124" w14:paraId="2BF1888A" w14:textId="77777777">
        <w:trPr>
          <w:trHeight w:val="300"/>
        </w:trPr>
        <w:tc>
          <w:tcPr>
            <w:tcW w:w="355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7D0B8BC3" w14:textId="45EF4C37">
            <w:pPr>
              <w:spacing w:after="0" w:line="300" w:lineRule="auto"/>
              <w:rPr>
                <w:rFonts w:ascii="Arial" w:hAnsi="Arial" w:eastAsia="Arial" w:cs="Arial"/>
              </w:rPr>
            </w:pPr>
            <w:r w:rsidRPr="56062124">
              <w:rPr>
                <w:rFonts w:ascii="Arial" w:hAnsi="Arial" w:eastAsia="Arial" w:cs="Arial"/>
              </w:rPr>
              <w:t>Data Integrity Issues</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3437E177" w14:textId="2B05485E">
            <w:pPr>
              <w:spacing w:after="0" w:line="300" w:lineRule="auto"/>
              <w:rPr>
                <w:rFonts w:ascii="Arial" w:hAnsi="Arial" w:eastAsia="Arial" w:cs="Arial"/>
              </w:rPr>
            </w:pPr>
            <w:r w:rsidRPr="56062124">
              <w:rPr>
                <w:rFonts w:ascii="Arial" w:hAnsi="Arial" w:eastAsia="Arial" w:cs="Arial"/>
              </w:rPr>
              <w:t>76%</w:t>
            </w:r>
          </w:p>
        </w:tc>
      </w:tr>
      <w:tr w:rsidR="56062124" w:rsidTr="56062124" w14:paraId="76617D99" w14:textId="77777777">
        <w:trPr>
          <w:trHeight w:val="300"/>
        </w:trPr>
        <w:tc>
          <w:tcPr>
            <w:tcW w:w="355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75CEB321" w14:textId="3CD6A48D">
            <w:pPr>
              <w:spacing w:after="0" w:line="300" w:lineRule="auto"/>
              <w:rPr>
                <w:rFonts w:ascii="Arial" w:hAnsi="Arial" w:eastAsia="Arial" w:cs="Arial"/>
              </w:rPr>
            </w:pPr>
            <w:r w:rsidRPr="56062124">
              <w:rPr>
                <w:rFonts w:ascii="Arial" w:hAnsi="Arial" w:eastAsia="Arial" w:cs="Arial"/>
              </w:rPr>
              <w:t>Inadequate Testing Procedures</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39F884BD" w14:textId="7338CF80">
            <w:pPr>
              <w:spacing w:after="0" w:line="300" w:lineRule="auto"/>
              <w:rPr>
                <w:rFonts w:ascii="Arial" w:hAnsi="Arial" w:eastAsia="Arial" w:cs="Arial"/>
              </w:rPr>
            </w:pPr>
            <w:r w:rsidRPr="56062124">
              <w:rPr>
                <w:rFonts w:ascii="Arial" w:hAnsi="Arial" w:eastAsia="Arial" w:cs="Arial"/>
              </w:rPr>
              <w:t>71%</w:t>
            </w:r>
          </w:p>
        </w:tc>
      </w:tr>
      <w:tr w:rsidR="56062124" w:rsidTr="56062124" w14:paraId="119140FB" w14:textId="77777777">
        <w:trPr>
          <w:trHeight w:val="300"/>
        </w:trPr>
        <w:tc>
          <w:tcPr>
            <w:tcW w:w="355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4890FA13" w14:textId="665FC9B3">
            <w:pPr>
              <w:spacing w:after="0" w:line="300" w:lineRule="auto"/>
              <w:rPr>
                <w:rFonts w:ascii="Arial" w:hAnsi="Arial" w:eastAsia="Arial" w:cs="Arial"/>
              </w:rPr>
            </w:pPr>
            <w:r w:rsidRPr="56062124">
              <w:rPr>
                <w:rFonts w:ascii="Arial" w:hAnsi="Arial" w:eastAsia="Arial" w:cs="Arial"/>
              </w:rPr>
              <w:t>Remote System Alterations</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2939E76D" w14:textId="506D0A75">
            <w:pPr>
              <w:spacing w:after="0" w:line="300" w:lineRule="auto"/>
              <w:rPr>
                <w:rFonts w:ascii="Arial" w:hAnsi="Arial" w:eastAsia="Arial" w:cs="Arial"/>
              </w:rPr>
            </w:pPr>
            <w:r w:rsidRPr="56062124">
              <w:rPr>
                <w:rFonts w:ascii="Arial" w:hAnsi="Arial" w:eastAsia="Arial" w:cs="Arial"/>
              </w:rPr>
              <w:t>68%</w:t>
            </w:r>
          </w:p>
        </w:tc>
      </w:tr>
      <w:tr w:rsidR="56062124" w:rsidTr="56062124" w14:paraId="4FD6667F" w14:textId="77777777">
        <w:trPr>
          <w:trHeight w:val="300"/>
        </w:trPr>
        <w:tc>
          <w:tcPr>
            <w:tcW w:w="355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6ACD794D" w14:textId="246F36F7">
            <w:pPr>
              <w:spacing w:after="0" w:line="300" w:lineRule="auto"/>
              <w:rPr>
                <w:rFonts w:ascii="Arial" w:hAnsi="Arial" w:eastAsia="Arial" w:cs="Arial"/>
              </w:rPr>
            </w:pPr>
            <w:r w:rsidRPr="56062124">
              <w:rPr>
                <w:rFonts w:ascii="Arial" w:hAnsi="Arial" w:eastAsia="Arial" w:cs="Arial"/>
              </w:rPr>
              <w:t>Poor Technical Support</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68CEE46B" w14:textId="7CE3F8B0">
            <w:pPr>
              <w:spacing w:after="0" w:line="300" w:lineRule="auto"/>
              <w:rPr>
                <w:rFonts w:ascii="Arial" w:hAnsi="Arial" w:eastAsia="Arial" w:cs="Arial"/>
              </w:rPr>
            </w:pPr>
            <w:r w:rsidRPr="56062124">
              <w:rPr>
                <w:rFonts w:ascii="Arial" w:hAnsi="Arial" w:eastAsia="Arial" w:cs="Arial"/>
              </w:rPr>
              <w:t>65%</w:t>
            </w:r>
          </w:p>
        </w:tc>
      </w:tr>
    </w:tbl>
    <w:p w:rsidR="39D12909" w:rsidP="56062124" w:rsidRDefault="39D12909" w14:paraId="6F43C2E5" w14:textId="394EF961">
      <w:pPr>
        <w:spacing w:before="210" w:after="210" w:line="300" w:lineRule="auto"/>
        <w:rPr>
          <w:rFonts w:ascii="Arial" w:hAnsi="Arial" w:eastAsia="Arial" w:cs="Arial"/>
        </w:rPr>
      </w:pPr>
      <w:r w:rsidRPr="7AD6DA35" w:rsidR="1C912004">
        <w:rPr>
          <w:rFonts w:ascii="Arial" w:hAnsi="Arial" w:eastAsia="Arial" w:cs="Arial"/>
        </w:rPr>
        <w:t>The data indicates that most reviewed sources recognised technological failures as a fundamental factor in the scandal. Multiple investigations concluded that Horizon contained software defects capable of generating false accounting discrepancies</w:t>
      </w:r>
      <w:r w:rsidRPr="7AD6DA35" w:rsidR="1C59BCDD">
        <w:rPr>
          <w:rFonts w:ascii="Arial" w:hAnsi="Arial" w:eastAsia="Arial" w:cs="Arial"/>
        </w:rPr>
        <w:t xml:space="preserve"> </w:t>
      </w:r>
      <w:r w:rsidRPr="7AD6DA35" w:rsidR="1C59BCDD">
        <w:rPr>
          <w:rFonts w:ascii="Arial" w:hAnsi="Arial" w:eastAsia="Arial" w:cs="Arial"/>
        </w:rPr>
        <w:t>(Wallis</w:t>
      </w:r>
      <w:r w:rsidRPr="7AD6DA35" w:rsidR="4F1E8D2C">
        <w:rPr>
          <w:rFonts w:ascii="Arial" w:hAnsi="Arial" w:eastAsia="Arial" w:cs="Arial"/>
        </w:rPr>
        <w:t xml:space="preserve">. </w:t>
      </w:r>
      <w:r w:rsidRPr="7AD6DA35" w:rsidR="1C59BCDD">
        <w:rPr>
          <w:rFonts w:ascii="Arial" w:hAnsi="Arial" w:eastAsia="Arial" w:cs="Arial"/>
        </w:rPr>
        <w:t>2021)</w:t>
      </w:r>
      <w:r w:rsidRPr="7AD6DA35" w:rsidR="1C912004">
        <w:rPr>
          <w:rFonts w:ascii="Arial" w:hAnsi="Arial" w:eastAsia="Arial" w:cs="Arial"/>
        </w:rPr>
        <w:t>.</w:t>
      </w:r>
    </w:p>
    <w:p w:rsidR="39D12909" w:rsidP="56062124" w:rsidRDefault="39D12909" w14:paraId="3869FD98" w14:textId="5122F862">
      <w:pPr>
        <w:spacing w:before="210" w:after="210" w:line="300" w:lineRule="auto"/>
        <w:rPr>
          <w:rFonts w:ascii="Arial" w:hAnsi="Arial" w:eastAsia="Arial" w:cs="Arial"/>
        </w:rPr>
      </w:pPr>
      <w:r w:rsidRPr="7AD6DA35" w:rsidR="1C912004">
        <w:rPr>
          <w:rFonts w:ascii="Arial" w:hAnsi="Arial" w:eastAsia="Arial" w:cs="Arial"/>
        </w:rPr>
        <w:t xml:space="preserve">Evidence also suggests that the Post Office and Fujitsu possessed knowledge of certain system limitations long before many prosecutions occurred. Despite this knowledge, concerns raised by sub-postmasters were frequently </w:t>
      </w:r>
      <w:r w:rsidRPr="7AD6DA35" w:rsidR="0C9A9C9F">
        <w:rPr>
          <w:rFonts w:ascii="Arial" w:hAnsi="Arial" w:eastAsia="Arial" w:cs="Arial"/>
        </w:rPr>
        <w:t>dismissed</w:t>
      </w:r>
      <w:r w:rsidRPr="7AD6DA35" w:rsidR="0C9A9C9F">
        <w:rPr>
          <w:rFonts w:ascii="Arial" w:hAnsi="Arial" w:eastAsia="Arial" w:cs="Arial"/>
        </w:rPr>
        <w:t xml:space="preserve"> (</w:t>
      </w:r>
      <w:r w:rsidRPr="7AD6DA35" w:rsidR="0C9A9C9F">
        <w:rPr>
          <w:rFonts w:ascii="Arial" w:hAnsi="Arial" w:eastAsia="Arial" w:cs="Arial"/>
        </w:rPr>
        <w:t xml:space="preserve">Wallis. </w:t>
      </w:r>
      <w:r w:rsidRPr="7AD6DA35" w:rsidR="0C9A9C9F">
        <w:rPr>
          <w:rFonts w:ascii="Arial" w:hAnsi="Arial" w:eastAsia="Arial" w:cs="Arial"/>
        </w:rPr>
        <w:t>2021)</w:t>
      </w:r>
      <w:r w:rsidRPr="7AD6DA35" w:rsidR="1C912004">
        <w:rPr>
          <w:rFonts w:ascii="Arial" w:hAnsi="Arial" w:eastAsia="Arial" w:cs="Arial"/>
        </w:rPr>
        <w:t>.</w:t>
      </w:r>
    </w:p>
    <w:p w:rsidR="39D12909" w:rsidP="56062124" w:rsidRDefault="39D12909" w14:paraId="55E7BDB5" w14:textId="1D9C34A1">
      <w:pPr>
        <w:spacing w:before="210" w:after="210" w:line="300" w:lineRule="auto"/>
        <w:rPr>
          <w:rFonts w:ascii="Arial" w:hAnsi="Arial" w:eastAsia="Arial" w:cs="Arial"/>
        </w:rPr>
      </w:pPr>
      <w:r w:rsidRPr="56062124">
        <w:rPr>
          <w:rFonts w:ascii="Arial" w:hAnsi="Arial" w:eastAsia="Arial" w:cs="Arial"/>
        </w:rPr>
        <w:t>The findings indicate that technological systems operating within critical business environments require rigorous testing, continuous monitoring, and transparent reporting mechanisms to prevent systemic failures.</w:t>
      </w:r>
    </w:p>
    <w:p w:rsidR="39D12909" w:rsidP="56062124" w:rsidRDefault="39D12909" w14:paraId="304B68C6" w14:textId="488730DC">
      <w:pPr>
        <w:pStyle w:val="Heading1"/>
        <w:spacing w:before="281" w:after="281" w:line="300" w:lineRule="auto"/>
        <w:rPr>
          <w:rFonts w:ascii="Arial" w:hAnsi="Arial" w:eastAsia="Arial" w:cs="Arial"/>
          <w:b w:val="1"/>
          <w:bCs w:val="1"/>
          <w:color w:val="auto"/>
          <w:sz w:val="24"/>
          <w:szCs w:val="24"/>
        </w:rPr>
      </w:pPr>
      <w:bookmarkStart w:name="_Toc157835502" w:id="126357868"/>
      <w:r w:rsidRPr="7AD6DA35" w:rsidR="1C912004">
        <w:rPr>
          <w:rFonts w:ascii="Arial" w:hAnsi="Arial" w:eastAsia="Arial" w:cs="Arial"/>
          <w:b w:val="1"/>
          <w:bCs w:val="1"/>
          <w:color w:val="auto"/>
          <w:sz w:val="24"/>
          <w:szCs w:val="24"/>
        </w:rPr>
        <w:t>Finding Two: Organisational Governance Failures</w:t>
      </w:r>
      <w:bookmarkEnd w:id="126357868"/>
    </w:p>
    <w:p w:rsidR="39D12909" w:rsidP="56062124" w:rsidRDefault="39D12909" w14:paraId="01B394E8" w14:textId="39EEF4CE">
      <w:pPr>
        <w:spacing w:before="210" w:after="210" w:line="300" w:lineRule="auto"/>
        <w:rPr>
          <w:rFonts w:ascii="Arial" w:hAnsi="Arial" w:eastAsia="Arial" w:cs="Arial"/>
        </w:rPr>
      </w:pPr>
      <w:r w:rsidRPr="56062124">
        <w:rPr>
          <w:rFonts w:ascii="Arial" w:hAnsi="Arial" w:eastAsia="Arial" w:cs="Arial"/>
        </w:rPr>
        <w:t>A second major finding concerns significant governance failures within the Post Office.</w:t>
      </w:r>
    </w:p>
    <w:p w:rsidR="39D12909" w:rsidP="56062124" w:rsidRDefault="39D12909" w14:paraId="3323DCB2" w14:textId="49AEA14D">
      <w:pPr>
        <w:spacing w:before="210" w:after="210" w:line="300" w:lineRule="auto"/>
        <w:rPr>
          <w:rFonts w:ascii="Arial" w:hAnsi="Arial" w:eastAsia="Arial" w:cs="Arial"/>
        </w:rPr>
      </w:pPr>
      <w:r w:rsidRPr="7AD6DA35" w:rsidR="1C912004">
        <w:rPr>
          <w:rFonts w:ascii="Arial" w:hAnsi="Arial" w:eastAsia="Arial" w:cs="Arial"/>
        </w:rPr>
        <w:t>The research revealed that governance structures failed to provide adequate oversight of the Horizon system, failed to challenge management assumptions, and failed to protect stakeholders affected by potential system defects</w:t>
      </w:r>
      <w:r w:rsidRPr="7AD6DA35" w:rsidR="455EEDF8">
        <w:rPr>
          <w:rFonts w:ascii="Arial" w:hAnsi="Arial" w:eastAsia="Arial" w:cs="Arial"/>
        </w:rPr>
        <w:t xml:space="preserve"> </w:t>
      </w:r>
      <w:r w:rsidRPr="7AD6DA35" w:rsidR="455EEDF8">
        <w:rPr>
          <w:rFonts w:ascii="Arial" w:hAnsi="Arial" w:eastAsia="Arial" w:cs="Arial"/>
        </w:rPr>
        <w:t>(Wallis. 2021)</w:t>
      </w:r>
      <w:r w:rsidRPr="7AD6DA35" w:rsidR="1C912004">
        <w:rPr>
          <w:rFonts w:ascii="Arial" w:hAnsi="Arial" w:eastAsia="Arial" w:cs="Arial"/>
        </w:rPr>
        <w:t>.</w:t>
      </w:r>
    </w:p>
    <w:p w:rsidR="39D12909" w:rsidP="56062124" w:rsidRDefault="39D12909" w14:paraId="3625F33F" w14:textId="40DA931D">
      <w:pPr>
        <w:pStyle w:val="Heading3"/>
        <w:spacing w:before="246" w:after="246" w:line="300" w:lineRule="auto"/>
        <w:rPr>
          <w:rFonts w:ascii="Arial" w:hAnsi="Arial" w:eastAsia="Arial" w:cs="Arial"/>
          <w:b w:val="1"/>
          <w:bCs w:val="1"/>
          <w:color w:val="auto"/>
          <w:sz w:val="24"/>
          <w:szCs w:val="24"/>
        </w:rPr>
      </w:pPr>
      <w:bookmarkStart w:name="_Toc659181021" w:id="1233368630"/>
      <w:r w:rsidRPr="7AD6DA35" w:rsidR="588742BE">
        <w:rPr>
          <w:rFonts w:ascii="Arial" w:hAnsi="Arial" w:eastAsia="Arial" w:cs="Arial"/>
          <w:b w:val="1"/>
          <w:bCs w:val="1"/>
          <w:color w:val="auto"/>
          <w:sz w:val="24"/>
          <w:szCs w:val="24"/>
        </w:rPr>
        <w:t xml:space="preserve">4.1. </w:t>
      </w:r>
      <w:r w:rsidRPr="7AD6DA35" w:rsidR="1C912004">
        <w:rPr>
          <w:rFonts w:ascii="Arial" w:hAnsi="Arial" w:eastAsia="Arial" w:cs="Arial"/>
          <w:b w:val="1"/>
          <w:bCs w:val="1"/>
          <w:color w:val="auto"/>
          <w:sz w:val="24"/>
          <w:szCs w:val="24"/>
        </w:rPr>
        <w:t>Governance Failures Identified in Literature</w:t>
      </w:r>
      <w:bookmarkEnd w:id="1233368630"/>
    </w:p>
    <w:tbl>
      <w:tblPr>
        <w:tblW w:w="0" w:type="auto"/>
        <w:tblLook w:val="06A0" w:firstRow="1" w:lastRow="0" w:firstColumn="1" w:lastColumn="0" w:noHBand="1" w:noVBand="1"/>
      </w:tblPr>
      <w:tblGrid>
        <w:gridCol w:w="3378"/>
        <w:gridCol w:w="2795"/>
      </w:tblGrid>
      <w:tr w:rsidR="56062124" w:rsidTr="56062124" w14:paraId="29517BC1" w14:textId="77777777">
        <w:trPr>
          <w:trHeight w:val="300"/>
        </w:trPr>
        <w:tc>
          <w:tcPr>
            <w:tcW w:w="3378" w:type="dxa"/>
            <w:tcBorders>
              <w:top w:val="single" w:color="E6E6E6" w:sz="6" w:space="0"/>
              <w:left w:val="single" w:color="E6E6E6" w:sz="6" w:space="0"/>
              <w:bottom w:val="single" w:color="E6E6E6" w:sz="6" w:space="0"/>
              <w:right w:val="single" w:color="E6E6E6" w:sz="6" w:space="0"/>
            </w:tcBorders>
            <w:shd w:val="clear" w:color="auto" w:fill="F5F5F5"/>
            <w:vAlign w:val="center"/>
          </w:tcPr>
          <w:p w:rsidR="56062124" w:rsidP="56062124" w:rsidRDefault="56062124" w14:paraId="26E0FC9A" w14:textId="6127AFEC">
            <w:pPr>
              <w:spacing w:after="0" w:line="300" w:lineRule="auto"/>
              <w:jc w:val="center"/>
              <w:rPr>
                <w:rFonts w:ascii="Arial" w:hAnsi="Arial" w:eastAsia="Arial" w:cs="Arial"/>
                <w:b/>
                <w:bCs/>
              </w:rPr>
            </w:pPr>
            <w:r w:rsidRPr="56062124">
              <w:rPr>
                <w:rFonts w:ascii="Arial" w:hAnsi="Arial" w:eastAsia="Arial" w:cs="Arial"/>
                <w:b/>
                <w:bCs/>
              </w:rPr>
              <w:t>Governance Issue</w:t>
            </w:r>
          </w:p>
        </w:tc>
        <w:tc>
          <w:tcPr>
            <w:tcW w:w="2795" w:type="dxa"/>
            <w:tcBorders>
              <w:top w:val="single" w:color="E6E6E6" w:sz="6" w:space="0"/>
              <w:left w:val="single" w:color="E6E6E6" w:sz="6" w:space="0"/>
              <w:bottom w:val="single" w:color="E6E6E6" w:sz="6" w:space="0"/>
              <w:right w:val="single" w:color="E6E6E6" w:sz="6" w:space="0"/>
            </w:tcBorders>
            <w:shd w:val="clear" w:color="auto" w:fill="F5F5F5"/>
            <w:vAlign w:val="center"/>
          </w:tcPr>
          <w:p w:rsidR="56062124" w:rsidP="56062124" w:rsidRDefault="56062124" w14:paraId="7FF6EE85" w14:textId="26DE1BE8">
            <w:pPr>
              <w:spacing w:after="0" w:line="300" w:lineRule="auto"/>
              <w:jc w:val="center"/>
              <w:rPr>
                <w:rFonts w:ascii="Arial" w:hAnsi="Arial" w:eastAsia="Arial" w:cs="Arial"/>
                <w:b/>
                <w:bCs/>
              </w:rPr>
            </w:pPr>
            <w:r w:rsidRPr="56062124">
              <w:rPr>
                <w:rFonts w:ascii="Arial" w:hAnsi="Arial" w:eastAsia="Arial" w:cs="Arial"/>
                <w:b/>
                <w:bCs/>
              </w:rPr>
              <w:t>Percentage of Sources</w:t>
            </w:r>
          </w:p>
        </w:tc>
      </w:tr>
      <w:tr w:rsidR="56062124" w:rsidTr="56062124" w14:paraId="2615F52A" w14:textId="77777777">
        <w:trPr>
          <w:trHeight w:val="300"/>
        </w:trPr>
        <w:tc>
          <w:tcPr>
            <w:tcW w:w="337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7C072C8B" w14:textId="26FB4BFE">
            <w:pPr>
              <w:spacing w:after="0" w:line="300" w:lineRule="auto"/>
              <w:rPr>
                <w:rFonts w:ascii="Arial" w:hAnsi="Arial" w:eastAsia="Arial" w:cs="Arial"/>
              </w:rPr>
            </w:pPr>
            <w:r w:rsidRPr="56062124">
              <w:rPr>
                <w:rFonts w:ascii="Arial" w:hAnsi="Arial" w:eastAsia="Arial" w:cs="Arial"/>
              </w:rPr>
              <w:t>Lack of Accountability</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26483FB8" w14:textId="413375F4">
            <w:pPr>
              <w:spacing w:after="0" w:line="300" w:lineRule="auto"/>
              <w:rPr>
                <w:rFonts w:ascii="Arial" w:hAnsi="Arial" w:eastAsia="Arial" w:cs="Arial"/>
              </w:rPr>
            </w:pPr>
            <w:r w:rsidRPr="56062124">
              <w:rPr>
                <w:rFonts w:ascii="Arial" w:hAnsi="Arial" w:eastAsia="Arial" w:cs="Arial"/>
              </w:rPr>
              <w:t>81%</w:t>
            </w:r>
          </w:p>
        </w:tc>
      </w:tr>
      <w:tr w:rsidR="56062124" w:rsidTr="56062124" w14:paraId="5C25D8CE" w14:textId="77777777">
        <w:trPr>
          <w:trHeight w:val="300"/>
        </w:trPr>
        <w:tc>
          <w:tcPr>
            <w:tcW w:w="337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5F2D8E0B" w14:textId="42B32F37">
            <w:pPr>
              <w:spacing w:after="0" w:line="300" w:lineRule="auto"/>
              <w:rPr>
                <w:rFonts w:ascii="Arial" w:hAnsi="Arial" w:eastAsia="Arial" w:cs="Arial"/>
              </w:rPr>
            </w:pPr>
            <w:r w:rsidRPr="56062124">
              <w:rPr>
                <w:rFonts w:ascii="Arial" w:hAnsi="Arial" w:eastAsia="Arial" w:cs="Arial"/>
              </w:rPr>
              <w:t>Failure of Board Oversight</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06760B80" w14:textId="7E933AAF">
            <w:pPr>
              <w:spacing w:after="0" w:line="300" w:lineRule="auto"/>
              <w:rPr>
                <w:rFonts w:ascii="Arial" w:hAnsi="Arial" w:eastAsia="Arial" w:cs="Arial"/>
              </w:rPr>
            </w:pPr>
            <w:r w:rsidRPr="56062124">
              <w:rPr>
                <w:rFonts w:ascii="Arial" w:hAnsi="Arial" w:eastAsia="Arial" w:cs="Arial"/>
              </w:rPr>
              <w:t>77%</w:t>
            </w:r>
          </w:p>
        </w:tc>
      </w:tr>
      <w:tr w:rsidR="56062124" w:rsidTr="56062124" w14:paraId="5B3BF2C7" w14:textId="77777777">
        <w:trPr>
          <w:trHeight w:val="300"/>
        </w:trPr>
        <w:tc>
          <w:tcPr>
            <w:tcW w:w="337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3B0A293E" w14:textId="111974AF">
            <w:pPr>
              <w:spacing w:after="0" w:line="300" w:lineRule="auto"/>
              <w:rPr>
                <w:rFonts w:ascii="Arial" w:hAnsi="Arial" w:eastAsia="Arial" w:cs="Arial"/>
              </w:rPr>
            </w:pPr>
            <w:r w:rsidRPr="56062124">
              <w:rPr>
                <w:rFonts w:ascii="Arial" w:hAnsi="Arial" w:eastAsia="Arial" w:cs="Arial"/>
              </w:rPr>
              <w:t>Poor Risk Management</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3EC7FED8" w14:textId="5B429571">
            <w:pPr>
              <w:spacing w:after="0" w:line="300" w:lineRule="auto"/>
              <w:rPr>
                <w:rFonts w:ascii="Arial" w:hAnsi="Arial" w:eastAsia="Arial" w:cs="Arial"/>
              </w:rPr>
            </w:pPr>
            <w:r w:rsidRPr="56062124">
              <w:rPr>
                <w:rFonts w:ascii="Arial" w:hAnsi="Arial" w:eastAsia="Arial" w:cs="Arial"/>
              </w:rPr>
              <w:t>74%</w:t>
            </w:r>
          </w:p>
        </w:tc>
      </w:tr>
      <w:tr w:rsidR="56062124" w:rsidTr="56062124" w14:paraId="57FE1AAE" w14:textId="77777777">
        <w:trPr>
          <w:trHeight w:val="300"/>
        </w:trPr>
        <w:tc>
          <w:tcPr>
            <w:tcW w:w="337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395349DC" w14:textId="1660EC56">
            <w:pPr>
              <w:spacing w:after="0" w:line="300" w:lineRule="auto"/>
              <w:rPr>
                <w:rFonts w:ascii="Arial" w:hAnsi="Arial" w:eastAsia="Arial" w:cs="Arial"/>
              </w:rPr>
            </w:pPr>
            <w:r w:rsidRPr="56062124">
              <w:rPr>
                <w:rFonts w:ascii="Arial" w:hAnsi="Arial" w:eastAsia="Arial" w:cs="Arial"/>
              </w:rPr>
              <w:t>Inadequate Internal Controls</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05042D75" w14:textId="3D77AC05">
            <w:pPr>
              <w:spacing w:after="0" w:line="300" w:lineRule="auto"/>
              <w:rPr>
                <w:rFonts w:ascii="Arial" w:hAnsi="Arial" w:eastAsia="Arial" w:cs="Arial"/>
              </w:rPr>
            </w:pPr>
            <w:r w:rsidRPr="56062124">
              <w:rPr>
                <w:rFonts w:ascii="Arial" w:hAnsi="Arial" w:eastAsia="Arial" w:cs="Arial"/>
              </w:rPr>
              <w:t>70%</w:t>
            </w:r>
          </w:p>
        </w:tc>
      </w:tr>
      <w:tr w:rsidR="56062124" w:rsidTr="56062124" w14:paraId="592EFF14" w14:textId="77777777">
        <w:trPr>
          <w:trHeight w:val="300"/>
        </w:trPr>
        <w:tc>
          <w:tcPr>
            <w:tcW w:w="337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220CAD3B" w14:textId="479B074A">
            <w:pPr>
              <w:spacing w:after="0" w:line="300" w:lineRule="auto"/>
              <w:rPr>
                <w:rFonts w:ascii="Arial" w:hAnsi="Arial" w:eastAsia="Arial" w:cs="Arial"/>
              </w:rPr>
            </w:pPr>
            <w:r w:rsidRPr="56062124">
              <w:rPr>
                <w:rFonts w:ascii="Arial" w:hAnsi="Arial" w:eastAsia="Arial" w:cs="Arial"/>
              </w:rPr>
              <w:t>Weak Challenge Mechanisms</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529D1B07" w14:textId="3B3A8090">
            <w:pPr>
              <w:spacing w:after="0" w:line="300" w:lineRule="auto"/>
              <w:rPr>
                <w:rFonts w:ascii="Arial" w:hAnsi="Arial" w:eastAsia="Arial" w:cs="Arial"/>
              </w:rPr>
            </w:pPr>
            <w:r w:rsidRPr="56062124">
              <w:rPr>
                <w:rFonts w:ascii="Arial" w:hAnsi="Arial" w:eastAsia="Arial" w:cs="Arial"/>
              </w:rPr>
              <w:t>68%</w:t>
            </w:r>
          </w:p>
        </w:tc>
      </w:tr>
    </w:tbl>
    <w:p w:rsidR="39D12909" w:rsidP="56062124" w:rsidRDefault="39D12909" w14:paraId="3099578F" w14:textId="2FC6F2F5">
      <w:pPr>
        <w:spacing w:before="210" w:after="210" w:line="300" w:lineRule="auto"/>
        <w:rPr>
          <w:rFonts w:ascii="Arial" w:hAnsi="Arial" w:eastAsia="Arial" w:cs="Arial"/>
        </w:rPr>
      </w:pPr>
      <w:r w:rsidRPr="56062124">
        <w:rPr>
          <w:rFonts w:ascii="Arial" w:hAnsi="Arial" w:eastAsia="Arial" w:cs="Arial"/>
        </w:rPr>
        <w:t>The findings demonstrate that organisational leaders placed excessive confidence in the accuracy of Horizon while showing limited willingness to investigate allegations of system defects.</w:t>
      </w:r>
    </w:p>
    <w:p w:rsidR="39D12909" w:rsidP="56062124" w:rsidRDefault="39D12909" w14:paraId="4D11C2BD" w14:textId="6DFE1B9D">
      <w:pPr>
        <w:spacing w:before="210" w:after="210" w:line="300" w:lineRule="auto"/>
        <w:rPr>
          <w:rFonts w:ascii="Arial" w:hAnsi="Arial" w:eastAsia="Arial" w:cs="Arial"/>
        </w:rPr>
      </w:pPr>
      <w:r w:rsidRPr="56062124">
        <w:rPr>
          <w:rFonts w:ascii="Arial" w:hAnsi="Arial" w:eastAsia="Arial" w:cs="Arial"/>
        </w:rPr>
        <w:t>Many governance frameworks emphasise the importance of independent scrutiny and effective challenge functions. However, evidence suggests that such mechanisms were either ineffective or absent within the Post Office during critical periods.</w:t>
      </w:r>
    </w:p>
    <w:p w:rsidR="39D12909" w:rsidP="56062124" w:rsidRDefault="39D12909" w14:paraId="3344870E" w14:textId="4E7EA495">
      <w:pPr>
        <w:spacing w:before="210" w:after="210" w:line="300" w:lineRule="auto"/>
        <w:rPr>
          <w:rFonts w:ascii="Arial" w:hAnsi="Arial" w:eastAsia="Arial" w:cs="Arial"/>
        </w:rPr>
      </w:pPr>
      <w:r w:rsidRPr="7AD6DA35" w:rsidR="1C912004">
        <w:rPr>
          <w:rFonts w:ascii="Arial" w:hAnsi="Arial" w:eastAsia="Arial" w:cs="Arial"/>
        </w:rPr>
        <w:t>The governance failures identified extended beyond operational management and reached senior leadership levels. The inability to properly evaluate technological risks contributed significantly to organisational decision-making failures</w:t>
      </w:r>
      <w:r w:rsidRPr="7AD6DA35" w:rsidR="64B1CDEA">
        <w:rPr>
          <w:rFonts w:ascii="Arial" w:hAnsi="Arial" w:eastAsia="Arial" w:cs="Arial"/>
        </w:rPr>
        <w:t xml:space="preserve"> </w:t>
      </w:r>
      <w:r w:rsidRPr="7AD6DA35" w:rsidR="64B1CDEA">
        <w:rPr>
          <w:rFonts w:ascii="Arial" w:hAnsi="Arial" w:eastAsia="Arial" w:cs="Arial"/>
        </w:rPr>
        <w:t>(</w:t>
      </w:r>
      <w:bookmarkStart w:name="_Int_blEyT4gP" w:id="664896578"/>
      <w:r w:rsidRPr="7AD6DA35" w:rsidR="64B1CDEA">
        <w:rPr>
          <w:rFonts w:ascii="Arial" w:hAnsi="Arial" w:eastAsia="Arial" w:cs="Arial"/>
        </w:rPr>
        <w:t>Wallis</w:t>
      </w:r>
      <w:bookmarkEnd w:id="664896578"/>
      <w:r w:rsidRPr="7AD6DA35" w:rsidR="64B1CDEA">
        <w:rPr>
          <w:rFonts w:ascii="Arial" w:hAnsi="Arial" w:eastAsia="Arial" w:cs="Arial"/>
        </w:rPr>
        <w:t>. 2021)</w:t>
      </w:r>
      <w:r w:rsidRPr="7AD6DA35" w:rsidR="64B1CDEA">
        <w:rPr>
          <w:rFonts w:ascii="Arial" w:hAnsi="Arial" w:eastAsia="Arial" w:cs="Arial"/>
        </w:rPr>
        <w:t>.</w:t>
      </w:r>
    </w:p>
    <w:p w:rsidR="39D12909" w:rsidP="56062124" w:rsidRDefault="39D12909" w14:paraId="26964B6E" w14:textId="68867618">
      <w:pPr>
        <w:pStyle w:val="Heading1"/>
        <w:spacing w:before="281" w:after="281" w:line="300" w:lineRule="auto"/>
        <w:rPr>
          <w:rFonts w:ascii="Arial" w:hAnsi="Arial" w:eastAsia="Arial" w:cs="Arial"/>
          <w:b w:val="1"/>
          <w:bCs w:val="1"/>
          <w:color w:val="auto"/>
          <w:sz w:val="24"/>
          <w:szCs w:val="24"/>
        </w:rPr>
      </w:pPr>
      <w:bookmarkStart w:name="_Toc1356901879" w:id="1662049989"/>
      <w:r w:rsidRPr="7AD6DA35" w:rsidR="1C912004">
        <w:rPr>
          <w:rFonts w:ascii="Arial" w:hAnsi="Arial" w:eastAsia="Arial" w:cs="Arial"/>
          <w:b w:val="1"/>
          <w:bCs w:val="1"/>
          <w:color w:val="auto"/>
          <w:sz w:val="24"/>
          <w:szCs w:val="24"/>
        </w:rPr>
        <w:t>Finding Three: Organisational Culture and Suppression of Concerns</w:t>
      </w:r>
      <w:bookmarkEnd w:id="1662049989"/>
    </w:p>
    <w:p w:rsidR="39D12909" w:rsidP="56062124" w:rsidRDefault="39D12909" w14:paraId="13AF0E47" w14:textId="649C3E2D">
      <w:pPr>
        <w:spacing w:before="210" w:after="210" w:line="300" w:lineRule="auto"/>
        <w:rPr>
          <w:rFonts w:ascii="Arial" w:hAnsi="Arial" w:eastAsia="Arial" w:cs="Arial"/>
        </w:rPr>
      </w:pPr>
      <w:r w:rsidRPr="56062124">
        <w:rPr>
          <w:rFonts w:ascii="Arial" w:hAnsi="Arial" w:eastAsia="Arial" w:cs="Arial"/>
        </w:rPr>
        <w:t>The third significant finding relates to organisational culture.</w:t>
      </w:r>
    </w:p>
    <w:p w:rsidR="39D12909" w:rsidP="56062124" w:rsidRDefault="39D12909" w14:paraId="7AE12131" w14:textId="10953E18">
      <w:pPr>
        <w:spacing w:before="210" w:after="210" w:line="300" w:lineRule="auto"/>
        <w:rPr>
          <w:rFonts w:ascii="Arial" w:hAnsi="Arial" w:eastAsia="Arial" w:cs="Arial"/>
        </w:rPr>
      </w:pPr>
      <w:r w:rsidRPr="56062124">
        <w:rPr>
          <w:rFonts w:ascii="Arial" w:hAnsi="Arial" w:eastAsia="Arial" w:cs="Arial"/>
        </w:rPr>
        <w:t xml:space="preserve">The literature repeatedly identifies a culture within the Post Office that </w:t>
      </w:r>
      <w:r w:rsidRPr="56062124" w:rsidR="2645A21C">
        <w:rPr>
          <w:rFonts w:ascii="Arial" w:hAnsi="Arial" w:eastAsia="Arial" w:cs="Arial"/>
        </w:rPr>
        <w:t>discourages</w:t>
      </w:r>
      <w:r w:rsidRPr="56062124">
        <w:rPr>
          <w:rFonts w:ascii="Arial" w:hAnsi="Arial" w:eastAsia="Arial" w:cs="Arial"/>
        </w:rPr>
        <w:t xml:space="preserve"> challenge, limited transparency, and prioritised institutional reputation over stakeholder concerns.</w:t>
      </w:r>
    </w:p>
    <w:p w:rsidR="39D12909" w:rsidP="56062124" w:rsidRDefault="39D12909" w14:paraId="38BA964E" w14:textId="6B0758CF">
      <w:pPr>
        <w:pStyle w:val="Heading3"/>
        <w:spacing w:before="246" w:after="246" w:line="300" w:lineRule="auto"/>
        <w:rPr>
          <w:rFonts w:ascii="Arial" w:hAnsi="Arial" w:eastAsia="Arial" w:cs="Arial"/>
          <w:b w:val="1"/>
          <w:bCs w:val="1"/>
          <w:color w:val="auto"/>
          <w:sz w:val="24"/>
          <w:szCs w:val="24"/>
        </w:rPr>
      </w:pPr>
      <w:bookmarkStart w:name="_Toc219128305" w:id="463338681"/>
      <w:r w:rsidRPr="7AD6DA35" w:rsidR="615B5282">
        <w:rPr>
          <w:rFonts w:ascii="Arial" w:hAnsi="Arial" w:eastAsia="Arial" w:cs="Arial"/>
          <w:b w:val="1"/>
          <w:bCs w:val="1"/>
          <w:color w:val="auto"/>
          <w:sz w:val="24"/>
          <w:szCs w:val="24"/>
        </w:rPr>
        <w:t xml:space="preserve">4.1. </w:t>
      </w:r>
      <w:r w:rsidRPr="7AD6DA35" w:rsidR="1C912004">
        <w:rPr>
          <w:rFonts w:ascii="Arial" w:hAnsi="Arial" w:eastAsia="Arial" w:cs="Arial"/>
          <w:b w:val="1"/>
          <w:bCs w:val="1"/>
          <w:color w:val="auto"/>
          <w:sz w:val="24"/>
          <w:szCs w:val="24"/>
        </w:rPr>
        <w:t>Cultural Issues Identified Across Sources</w:t>
      </w:r>
      <w:bookmarkEnd w:id="463338681"/>
    </w:p>
    <w:tbl>
      <w:tblPr>
        <w:tblW w:w="0" w:type="auto"/>
        <w:tblLook w:val="06A0" w:firstRow="1" w:lastRow="0" w:firstColumn="1" w:lastColumn="0" w:noHBand="1" w:noVBand="1"/>
      </w:tblPr>
      <w:tblGrid>
        <w:gridCol w:w="4058"/>
        <w:gridCol w:w="2795"/>
      </w:tblGrid>
      <w:tr w:rsidR="56062124" w:rsidTr="56062124" w14:paraId="63D41771" w14:textId="77777777">
        <w:trPr>
          <w:trHeight w:val="300"/>
        </w:trPr>
        <w:tc>
          <w:tcPr>
            <w:tcW w:w="4058" w:type="dxa"/>
            <w:tcBorders>
              <w:top w:val="single" w:color="E6E6E6" w:sz="6" w:space="0"/>
              <w:left w:val="single" w:color="E6E6E6" w:sz="6" w:space="0"/>
              <w:bottom w:val="single" w:color="E6E6E6" w:sz="6" w:space="0"/>
              <w:right w:val="single" w:color="E6E6E6" w:sz="6" w:space="0"/>
            </w:tcBorders>
            <w:shd w:val="clear" w:color="auto" w:fill="F5F5F5"/>
            <w:vAlign w:val="center"/>
          </w:tcPr>
          <w:p w:rsidR="56062124" w:rsidP="56062124" w:rsidRDefault="56062124" w14:paraId="61509404" w14:textId="5D4B0ADD">
            <w:pPr>
              <w:spacing w:after="0" w:line="300" w:lineRule="auto"/>
              <w:jc w:val="center"/>
              <w:rPr>
                <w:rFonts w:ascii="Arial" w:hAnsi="Arial" w:eastAsia="Arial" w:cs="Arial"/>
                <w:b/>
                <w:bCs/>
              </w:rPr>
            </w:pPr>
            <w:r w:rsidRPr="56062124">
              <w:rPr>
                <w:rFonts w:ascii="Arial" w:hAnsi="Arial" w:eastAsia="Arial" w:cs="Arial"/>
                <w:b/>
                <w:bCs/>
              </w:rPr>
              <w:t>Cultural Factor</w:t>
            </w:r>
          </w:p>
        </w:tc>
        <w:tc>
          <w:tcPr>
            <w:tcW w:w="2795" w:type="dxa"/>
            <w:tcBorders>
              <w:top w:val="single" w:color="E6E6E6" w:sz="6" w:space="0"/>
              <w:left w:val="single" w:color="E6E6E6" w:sz="6" w:space="0"/>
              <w:bottom w:val="single" w:color="E6E6E6" w:sz="6" w:space="0"/>
              <w:right w:val="single" w:color="E6E6E6" w:sz="6" w:space="0"/>
            </w:tcBorders>
            <w:shd w:val="clear" w:color="auto" w:fill="F5F5F5"/>
            <w:vAlign w:val="center"/>
          </w:tcPr>
          <w:p w:rsidR="56062124" w:rsidP="56062124" w:rsidRDefault="56062124" w14:paraId="5F493E17" w14:textId="2DB0648A">
            <w:pPr>
              <w:spacing w:after="0" w:line="300" w:lineRule="auto"/>
              <w:jc w:val="center"/>
              <w:rPr>
                <w:rFonts w:ascii="Arial" w:hAnsi="Arial" w:eastAsia="Arial" w:cs="Arial"/>
                <w:b/>
                <w:bCs/>
              </w:rPr>
            </w:pPr>
            <w:r w:rsidRPr="56062124">
              <w:rPr>
                <w:rFonts w:ascii="Arial" w:hAnsi="Arial" w:eastAsia="Arial" w:cs="Arial"/>
                <w:b/>
                <w:bCs/>
              </w:rPr>
              <w:t>Percentage of Sources</w:t>
            </w:r>
          </w:p>
        </w:tc>
      </w:tr>
      <w:tr w:rsidR="56062124" w:rsidTr="56062124" w14:paraId="0CD3CF56" w14:textId="77777777">
        <w:trPr>
          <w:trHeight w:val="300"/>
        </w:trPr>
        <w:tc>
          <w:tcPr>
            <w:tcW w:w="405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09DCF3FC" w14:textId="64AB5060">
            <w:pPr>
              <w:spacing w:after="0" w:line="300" w:lineRule="auto"/>
              <w:rPr>
                <w:rFonts w:ascii="Arial" w:hAnsi="Arial" w:eastAsia="Arial" w:cs="Arial"/>
              </w:rPr>
            </w:pPr>
            <w:r w:rsidRPr="56062124">
              <w:rPr>
                <w:rFonts w:ascii="Arial" w:hAnsi="Arial" w:eastAsia="Arial" w:cs="Arial"/>
              </w:rPr>
              <w:t>Dismissal of Concerns</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2F0D5985" w14:textId="2B5F65B7">
            <w:pPr>
              <w:spacing w:after="0" w:line="300" w:lineRule="auto"/>
              <w:rPr>
                <w:rFonts w:ascii="Arial" w:hAnsi="Arial" w:eastAsia="Arial" w:cs="Arial"/>
              </w:rPr>
            </w:pPr>
            <w:r w:rsidRPr="56062124">
              <w:rPr>
                <w:rFonts w:ascii="Arial" w:hAnsi="Arial" w:eastAsia="Arial" w:cs="Arial"/>
              </w:rPr>
              <w:t>82%</w:t>
            </w:r>
          </w:p>
        </w:tc>
      </w:tr>
      <w:tr w:rsidR="56062124" w:rsidTr="56062124" w14:paraId="62306685" w14:textId="77777777">
        <w:trPr>
          <w:trHeight w:val="300"/>
        </w:trPr>
        <w:tc>
          <w:tcPr>
            <w:tcW w:w="405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082105CE" w14:textId="1008D43D">
            <w:pPr>
              <w:spacing w:after="0" w:line="300" w:lineRule="auto"/>
              <w:rPr>
                <w:rFonts w:ascii="Arial" w:hAnsi="Arial" w:eastAsia="Arial" w:cs="Arial"/>
              </w:rPr>
            </w:pPr>
            <w:r w:rsidRPr="56062124">
              <w:rPr>
                <w:rFonts w:ascii="Arial" w:hAnsi="Arial" w:eastAsia="Arial" w:cs="Arial"/>
              </w:rPr>
              <w:t>Defensive Organisational Behaviour</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7C50DA1F" w14:textId="4F99FBBF">
            <w:pPr>
              <w:spacing w:after="0" w:line="300" w:lineRule="auto"/>
              <w:rPr>
                <w:rFonts w:ascii="Arial" w:hAnsi="Arial" w:eastAsia="Arial" w:cs="Arial"/>
              </w:rPr>
            </w:pPr>
            <w:r w:rsidRPr="56062124">
              <w:rPr>
                <w:rFonts w:ascii="Arial" w:hAnsi="Arial" w:eastAsia="Arial" w:cs="Arial"/>
              </w:rPr>
              <w:t>79%</w:t>
            </w:r>
          </w:p>
        </w:tc>
      </w:tr>
      <w:tr w:rsidR="56062124" w:rsidTr="56062124" w14:paraId="6EB11CFB" w14:textId="77777777">
        <w:trPr>
          <w:trHeight w:val="300"/>
        </w:trPr>
        <w:tc>
          <w:tcPr>
            <w:tcW w:w="405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0C44C46F" w14:textId="44E2F73E">
            <w:pPr>
              <w:spacing w:after="0" w:line="300" w:lineRule="auto"/>
              <w:rPr>
                <w:rFonts w:ascii="Arial" w:hAnsi="Arial" w:eastAsia="Arial" w:cs="Arial"/>
              </w:rPr>
            </w:pPr>
            <w:r w:rsidRPr="56062124">
              <w:rPr>
                <w:rFonts w:ascii="Arial" w:hAnsi="Arial" w:eastAsia="Arial" w:cs="Arial"/>
              </w:rPr>
              <w:t>Lack of Transparency</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4E487022" w14:textId="724BF627">
            <w:pPr>
              <w:spacing w:after="0" w:line="300" w:lineRule="auto"/>
              <w:rPr>
                <w:rFonts w:ascii="Arial" w:hAnsi="Arial" w:eastAsia="Arial" w:cs="Arial"/>
              </w:rPr>
            </w:pPr>
            <w:r w:rsidRPr="56062124">
              <w:rPr>
                <w:rFonts w:ascii="Arial" w:hAnsi="Arial" w:eastAsia="Arial" w:cs="Arial"/>
              </w:rPr>
              <w:t>77%</w:t>
            </w:r>
          </w:p>
        </w:tc>
      </w:tr>
      <w:tr w:rsidR="56062124" w:rsidTr="56062124" w14:paraId="4F334327" w14:textId="77777777">
        <w:trPr>
          <w:trHeight w:val="300"/>
        </w:trPr>
        <w:tc>
          <w:tcPr>
            <w:tcW w:w="405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3BCA5D8C" w14:textId="4DD56393">
            <w:pPr>
              <w:spacing w:after="0" w:line="300" w:lineRule="auto"/>
              <w:rPr>
                <w:rFonts w:ascii="Arial" w:hAnsi="Arial" w:eastAsia="Arial" w:cs="Arial"/>
              </w:rPr>
            </w:pPr>
            <w:r w:rsidRPr="56062124">
              <w:rPr>
                <w:rFonts w:ascii="Arial" w:hAnsi="Arial" w:eastAsia="Arial" w:cs="Arial"/>
              </w:rPr>
              <w:t>Fear of Escalation</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0717DE3C" w14:textId="3F8490DB">
            <w:pPr>
              <w:spacing w:after="0" w:line="300" w:lineRule="auto"/>
              <w:rPr>
                <w:rFonts w:ascii="Arial" w:hAnsi="Arial" w:eastAsia="Arial" w:cs="Arial"/>
              </w:rPr>
            </w:pPr>
            <w:r w:rsidRPr="56062124">
              <w:rPr>
                <w:rFonts w:ascii="Arial" w:hAnsi="Arial" w:eastAsia="Arial" w:cs="Arial"/>
              </w:rPr>
              <w:t>69%</w:t>
            </w:r>
          </w:p>
        </w:tc>
      </w:tr>
      <w:tr w:rsidR="56062124" w:rsidTr="56062124" w14:paraId="5CF4CFC3" w14:textId="77777777">
        <w:trPr>
          <w:trHeight w:val="300"/>
        </w:trPr>
        <w:tc>
          <w:tcPr>
            <w:tcW w:w="4058"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554B3E07" w14:textId="48CCC533">
            <w:pPr>
              <w:spacing w:after="0" w:line="300" w:lineRule="auto"/>
              <w:rPr>
                <w:rFonts w:ascii="Arial" w:hAnsi="Arial" w:eastAsia="Arial" w:cs="Arial"/>
              </w:rPr>
            </w:pPr>
            <w:r w:rsidRPr="56062124">
              <w:rPr>
                <w:rFonts w:ascii="Arial" w:hAnsi="Arial" w:eastAsia="Arial" w:cs="Arial"/>
              </w:rPr>
              <w:t>Weak Whistleblowing Culture</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7488E4A7" w14:textId="3D49F586">
            <w:pPr>
              <w:spacing w:after="0" w:line="300" w:lineRule="auto"/>
              <w:rPr>
                <w:rFonts w:ascii="Arial" w:hAnsi="Arial" w:eastAsia="Arial" w:cs="Arial"/>
              </w:rPr>
            </w:pPr>
            <w:r w:rsidRPr="56062124">
              <w:rPr>
                <w:rFonts w:ascii="Arial" w:hAnsi="Arial" w:eastAsia="Arial" w:cs="Arial"/>
              </w:rPr>
              <w:t>64%</w:t>
            </w:r>
          </w:p>
        </w:tc>
      </w:tr>
    </w:tbl>
    <w:p w:rsidR="39D12909" w:rsidP="56062124" w:rsidRDefault="39D12909" w14:paraId="402E407D" w14:textId="2F100165">
      <w:pPr>
        <w:spacing w:before="210" w:after="210" w:line="300" w:lineRule="auto"/>
        <w:rPr>
          <w:rFonts w:ascii="Arial" w:hAnsi="Arial" w:eastAsia="Arial" w:cs="Arial"/>
        </w:rPr>
      </w:pPr>
      <w:r w:rsidRPr="7AD6DA35" w:rsidR="1C912004">
        <w:rPr>
          <w:rFonts w:ascii="Arial" w:hAnsi="Arial" w:eastAsia="Arial" w:cs="Arial"/>
        </w:rPr>
        <w:t>The evidence reveals that sub-postmasters repeatedly reported discrepancies associated with the Horizon system. However, these reports were often treated as evidence of user error rather than indicators of technical malfunction</w:t>
      </w:r>
      <w:r w:rsidRPr="7AD6DA35" w:rsidR="59D1A0C7">
        <w:rPr>
          <w:rFonts w:ascii="Arial" w:hAnsi="Arial" w:eastAsia="Arial" w:cs="Arial"/>
        </w:rPr>
        <w:t xml:space="preserve"> </w:t>
      </w:r>
      <w:r w:rsidRPr="7AD6DA35" w:rsidR="59D1A0C7">
        <w:rPr>
          <w:rFonts w:ascii="Arial" w:hAnsi="Arial" w:eastAsia="Arial" w:cs="Arial"/>
        </w:rPr>
        <w:t>(Wallis. 2021)</w:t>
      </w:r>
      <w:r w:rsidRPr="7AD6DA35" w:rsidR="59D1A0C7">
        <w:rPr>
          <w:rFonts w:ascii="Arial" w:hAnsi="Arial" w:eastAsia="Arial" w:cs="Arial"/>
        </w:rPr>
        <w:t>.</w:t>
      </w:r>
    </w:p>
    <w:p w:rsidR="39D12909" w:rsidP="56062124" w:rsidRDefault="39D12909" w14:paraId="21395CDB" w14:textId="51041E43">
      <w:pPr>
        <w:spacing w:before="210" w:after="210" w:line="300" w:lineRule="auto"/>
        <w:rPr>
          <w:rFonts w:ascii="Arial" w:hAnsi="Arial" w:eastAsia="Arial" w:cs="Arial"/>
        </w:rPr>
      </w:pPr>
      <w:r w:rsidRPr="56062124">
        <w:rPr>
          <w:rFonts w:ascii="Arial" w:hAnsi="Arial" w:eastAsia="Arial" w:cs="Arial"/>
        </w:rPr>
        <w:t>This created an environment in which concerns were systematically ignored. Employees and stakeholders who attempted to challenge official explanations encountered resistance and limited opportunities for meaningful escalation.</w:t>
      </w:r>
    </w:p>
    <w:p w:rsidR="39D12909" w:rsidP="56062124" w:rsidRDefault="39D12909" w14:paraId="21CB4941" w14:textId="3F79F499">
      <w:pPr>
        <w:spacing w:before="210" w:after="210" w:line="300" w:lineRule="auto"/>
        <w:rPr>
          <w:rFonts w:ascii="Arial" w:hAnsi="Arial" w:eastAsia="Arial" w:cs="Arial"/>
        </w:rPr>
      </w:pPr>
      <w:r w:rsidRPr="7AD6DA35" w:rsidR="1C912004">
        <w:rPr>
          <w:rFonts w:ascii="Arial" w:hAnsi="Arial" w:eastAsia="Arial" w:cs="Arial"/>
        </w:rPr>
        <w:t>The findings suggest that organisational culture played a critical role in prolonging the scandal. Rather than acting as an early warning system, existing structures prevented concerns from reaching decision-makers effectively</w:t>
      </w:r>
      <w:r w:rsidRPr="7AD6DA35" w:rsidR="76C96D2B">
        <w:rPr>
          <w:rFonts w:ascii="Arial" w:hAnsi="Arial" w:eastAsia="Arial" w:cs="Arial"/>
        </w:rPr>
        <w:t xml:space="preserve"> </w:t>
      </w:r>
      <w:r w:rsidRPr="7AD6DA35" w:rsidR="76C96D2B">
        <w:rPr>
          <w:rFonts w:ascii="Arial" w:hAnsi="Arial" w:eastAsia="Arial" w:cs="Arial"/>
        </w:rPr>
        <w:t>(Wallis. 2021)</w:t>
      </w:r>
      <w:r w:rsidRPr="7AD6DA35" w:rsidR="76C96D2B">
        <w:rPr>
          <w:rFonts w:ascii="Arial" w:hAnsi="Arial" w:eastAsia="Arial" w:cs="Arial"/>
        </w:rPr>
        <w:t>.</w:t>
      </w:r>
    </w:p>
    <w:p w:rsidR="39D12909" w:rsidP="56062124" w:rsidRDefault="39D12909" w14:paraId="6CE18172" w14:textId="7BB1824A">
      <w:pPr>
        <w:pStyle w:val="Heading1"/>
        <w:spacing w:before="281" w:after="281" w:line="300" w:lineRule="auto"/>
        <w:rPr>
          <w:rFonts w:ascii="Arial" w:hAnsi="Arial" w:eastAsia="Arial" w:cs="Arial"/>
          <w:b w:val="1"/>
          <w:bCs w:val="1"/>
          <w:color w:val="auto"/>
          <w:sz w:val="24"/>
          <w:szCs w:val="24"/>
        </w:rPr>
      </w:pPr>
      <w:bookmarkStart w:name="_Toc392425757" w:id="256127271"/>
      <w:r w:rsidRPr="7AD6DA35" w:rsidR="1C912004">
        <w:rPr>
          <w:rFonts w:ascii="Arial" w:hAnsi="Arial" w:eastAsia="Arial" w:cs="Arial"/>
          <w:b w:val="1"/>
          <w:bCs w:val="1"/>
          <w:color w:val="auto"/>
          <w:sz w:val="24"/>
          <w:szCs w:val="24"/>
        </w:rPr>
        <w:t>Finding Four: Transition Risks and Digital Transformation Challenges</w:t>
      </w:r>
      <w:bookmarkEnd w:id="256127271"/>
    </w:p>
    <w:p w:rsidR="39D12909" w:rsidP="56062124" w:rsidRDefault="39D12909" w14:paraId="3D4F6EB2" w14:textId="7E632A95">
      <w:pPr>
        <w:spacing w:before="210" w:after="210" w:line="300" w:lineRule="auto"/>
        <w:rPr>
          <w:rFonts w:ascii="Arial" w:hAnsi="Arial" w:eastAsia="Arial" w:cs="Arial"/>
        </w:rPr>
      </w:pPr>
      <w:r w:rsidRPr="56062124">
        <w:rPr>
          <w:rFonts w:ascii="Arial" w:hAnsi="Arial" w:eastAsia="Arial" w:cs="Arial"/>
        </w:rPr>
        <w:t>The final finding concerns transition risks associated with large-scale technology implementation.</w:t>
      </w:r>
    </w:p>
    <w:p w:rsidR="39D12909" w:rsidP="56062124" w:rsidRDefault="39D12909" w14:paraId="7E287A29" w14:textId="3288D60B">
      <w:pPr>
        <w:spacing w:before="210" w:after="210" w:line="300" w:lineRule="auto"/>
        <w:rPr>
          <w:rFonts w:ascii="Arial" w:hAnsi="Arial" w:eastAsia="Arial" w:cs="Arial"/>
        </w:rPr>
      </w:pPr>
      <w:r w:rsidRPr="56062124">
        <w:rPr>
          <w:rFonts w:ascii="Arial" w:hAnsi="Arial" w:eastAsia="Arial" w:cs="Arial"/>
        </w:rPr>
        <w:t>The introduction of Horizon represented a major digital transformation programme involving thousands of users, complex operational processes, and significant organisational change.</w:t>
      </w:r>
    </w:p>
    <w:p w:rsidR="39D12909" w:rsidP="56062124" w:rsidRDefault="39D12909" w14:paraId="3C06B598" w14:textId="0031FB88">
      <w:pPr>
        <w:pStyle w:val="Heading3"/>
        <w:spacing w:before="246" w:after="246" w:line="300" w:lineRule="auto"/>
        <w:rPr>
          <w:rFonts w:ascii="Arial" w:hAnsi="Arial" w:eastAsia="Arial" w:cs="Arial"/>
          <w:b w:val="1"/>
          <w:bCs w:val="1"/>
          <w:color w:val="auto"/>
          <w:sz w:val="24"/>
          <w:szCs w:val="24"/>
        </w:rPr>
      </w:pPr>
      <w:bookmarkStart w:name="_Toc93191268" w:id="331997324"/>
      <w:r w:rsidRPr="7AD6DA35" w:rsidR="4800E650">
        <w:rPr>
          <w:rFonts w:ascii="Arial" w:hAnsi="Arial" w:eastAsia="Arial" w:cs="Arial"/>
          <w:b w:val="1"/>
          <w:bCs w:val="1"/>
          <w:color w:val="auto"/>
          <w:sz w:val="24"/>
          <w:szCs w:val="24"/>
        </w:rPr>
        <w:t xml:space="preserve">4.1. </w:t>
      </w:r>
      <w:r w:rsidRPr="7AD6DA35" w:rsidR="1C912004">
        <w:rPr>
          <w:rFonts w:ascii="Arial" w:hAnsi="Arial" w:eastAsia="Arial" w:cs="Arial"/>
          <w:b w:val="1"/>
          <w:bCs w:val="1"/>
          <w:color w:val="auto"/>
          <w:sz w:val="24"/>
          <w:szCs w:val="24"/>
        </w:rPr>
        <w:t>Digital Transition Risks Identified</w:t>
      </w:r>
      <w:bookmarkEnd w:id="331997324"/>
    </w:p>
    <w:tbl>
      <w:tblPr>
        <w:tblW w:w="0" w:type="auto"/>
        <w:tblLook w:val="06A0" w:firstRow="1" w:lastRow="0" w:firstColumn="1" w:lastColumn="0" w:noHBand="1" w:noVBand="1"/>
      </w:tblPr>
      <w:tblGrid>
        <w:gridCol w:w="3847"/>
        <w:gridCol w:w="2795"/>
      </w:tblGrid>
      <w:tr w:rsidR="56062124" w:rsidTr="56062124" w14:paraId="18DDEB50" w14:textId="77777777">
        <w:trPr>
          <w:trHeight w:val="300"/>
        </w:trPr>
        <w:tc>
          <w:tcPr>
            <w:tcW w:w="3847" w:type="dxa"/>
            <w:tcBorders>
              <w:top w:val="single" w:color="E6E6E6" w:sz="6" w:space="0"/>
              <w:left w:val="single" w:color="E6E6E6" w:sz="6" w:space="0"/>
              <w:bottom w:val="single" w:color="E6E6E6" w:sz="6" w:space="0"/>
              <w:right w:val="single" w:color="E6E6E6" w:sz="6" w:space="0"/>
            </w:tcBorders>
            <w:shd w:val="clear" w:color="auto" w:fill="F5F5F5"/>
            <w:vAlign w:val="center"/>
          </w:tcPr>
          <w:p w:rsidR="56062124" w:rsidP="56062124" w:rsidRDefault="56062124" w14:paraId="62688755" w14:textId="40A96D2A">
            <w:pPr>
              <w:spacing w:after="0" w:line="300" w:lineRule="auto"/>
              <w:jc w:val="center"/>
              <w:rPr>
                <w:rFonts w:ascii="Arial" w:hAnsi="Arial" w:eastAsia="Arial" w:cs="Arial"/>
                <w:b/>
                <w:bCs/>
              </w:rPr>
            </w:pPr>
            <w:r w:rsidRPr="56062124">
              <w:rPr>
                <w:rFonts w:ascii="Arial" w:hAnsi="Arial" w:eastAsia="Arial" w:cs="Arial"/>
                <w:b/>
                <w:bCs/>
              </w:rPr>
              <w:t>Risk Area</w:t>
            </w:r>
          </w:p>
        </w:tc>
        <w:tc>
          <w:tcPr>
            <w:tcW w:w="2795" w:type="dxa"/>
            <w:tcBorders>
              <w:top w:val="single" w:color="E6E6E6" w:sz="6" w:space="0"/>
              <w:left w:val="single" w:color="E6E6E6" w:sz="6" w:space="0"/>
              <w:bottom w:val="single" w:color="E6E6E6" w:sz="6" w:space="0"/>
              <w:right w:val="single" w:color="E6E6E6" w:sz="6" w:space="0"/>
            </w:tcBorders>
            <w:shd w:val="clear" w:color="auto" w:fill="F5F5F5"/>
            <w:vAlign w:val="center"/>
          </w:tcPr>
          <w:p w:rsidR="56062124" w:rsidP="56062124" w:rsidRDefault="56062124" w14:paraId="60AB5AC4" w14:textId="4AFE12A7">
            <w:pPr>
              <w:spacing w:after="0" w:line="300" w:lineRule="auto"/>
              <w:jc w:val="center"/>
              <w:rPr>
                <w:rFonts w:ascii="Arial" w:hAnsi="Arial" w:eastAsia="Arial" w:cs="Arial"/>
                <w:b/>
                <w:bCs/>
              </w:rPr>
            </w:pPr>
            <w:r w:rsidRPr="56062124">
              <w:rPr>
                <w:rFonts w:ascii="Arial" w:hAnsi="Arial" w:eastAsia="Arial" w:cs="Arial"/>
                <w:b/>
                <w:bCs/>
              </w:rPr>
              <w:t>Percentage of Sources</w:t>
            </w:r>
          </w:p>
        </w:tc>
      </w:tr>
      <w:tr w:rsidR="56062124" w:rsidTr="56062124" w14:paraId="22E2D0BB" w14:textId="77777777">
        <w:trPr>
          <w:trHeight w:val="300"/>
        </w:trPr>
        <w:tc>
          <w:tcPr>
            <w:tcW w:w="3847"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63359221" w14:textId="38D2D690">
            <w:pPr>
              <w:spacing w:after="0" w:line="300" w:lineRule="auto"/>
              <w:rPr>
                <w:rFonts w:ascii="Arial" w:hAnsi="Arial" w:eastAsia="Arial" w:cs="Arial"/>
              </w:rPr>
            </w:pPr>
            <w:r w:rsidRPr="56062124">
              <w:rPr>
                <w:rFonts w:ascii="Arial" w:hAnsi="Arial" w:eastAsia="Arial" w:cs="Arial"/>
              </w:rPr>
              <w:t>Inadequate Change Management</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623DB1F5" w14:textId="679B6F2B">
            <w:pPr>
              <w:spacing w:after="0" w:line="300" w:lineRule="auto"/>
              <w:rPr>
                <w:rFonts w:ascii="Arial" w:hAnsi="Arial" w:eastAsia="Arial" w:cs="Arial"/>
              </w:rPr>
            </w:pPr>
            <w:r w:rsidRPr="56062124">
              <w:rPr>
                <w:rFonts w:ascii="Arial" w:hAnsi="Arial" w:eastAsia="Arial" w:cs="Arial"/>
              </w:rPr>
              <w:t>78%</w:t>
            </w:r>
          </w:p>
        </w:tc>
      </w:tr>
      <w:tr w:rsidR="56062124" w:rsidTr="56062124" w14:paraId="21F67046" w14:textId="77777777">
        <w:trPr>
          <w:trHeight w:val="300"/>
        </w:trPr>
        <w:tc>
          <w:tcPr>
            <w:tcW w:w="3847"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7C873503" w14:textId="5C7C3A74">
            <w:pPr>
              <w:spacing w:after="0" w:line="300" w:lineRule="auto"/>
              <w:rPr>
                <w:rFonts w:ascii="Arial" w:hAnsi="Arial" w:eastAsia="Arial" w:cs="Arial"/>
              </w:rPr>
            </w:pPr>
            <w:r w:rsidRPr="56062124">
              <w:rPr>
                <w:rFonts w:ascii="Arial" w:hAnsi="Arial" w:eastAsia="Arial" w:cs="Arial"/>
              </w:rPr>
              <w:t>Insufficient User Engagement</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546C0A25" w14:textId="2487DCF5">
            <w:pPr>
              <w:spacing w:after="0" w:line="300" w:lineRule="auto"/>
              <w:rPr>
                <w:rFonts w:ascii="Arial" w:hAnsi="Arial" w:eastAsia="Arial" w:cs="Arial"/>
              </w:rPr>
            </w:pPr>
            <w:r w:rsidRPr="56062124">
              <w:rPr>
                <w:rFonts w:ascii="Arial" w:hAnsi="Arial" w:eastAsia="Arial" w:cs="Arial"/>
              </w:rPr>
              <w:t>74%</w:t>
            </w:r>
          </w:p>
        </w:tc>
      </w:tr>
      <w:tr w:rsidR="56062124" w:rsidTr="56062124" w14:paraId="5D76876A" w14:textId="77777777">
        <w:trPr>
          <w:trHeight w:val="300"/>
        </w:trPr>
        <w:tc>
          <w:tcPr>
            <w:tcW w:w="3847"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5D6DDADD" w14:textId="7F4AFE02">
            <w:pPr>
              <w:spacing w:after="0" w:line="300" w:lineRule="auto"/>
              <w:rPr>
                <w:rFonts w:ascii="Arial" w:hAnsi="Arial" w:eastAsia="Arial" w:cs="Arial"/>
              </w:rPr>
            </w:pPr>
            <w:r w:rsidRPr="56062124">
              <w:rPr>
                <w:rFonts w:ascii="Arial" w:hAnsi="Arial" w:eastAsia="Arial" w:cs="Arial"/>
              </w:rPr>
              <w:t>Technology Dependence</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2678EFA9" w14:textId="0DA3E869">
            <w:pPr>
              <w:spacing w:after="0" w:line="300" w:lineRule="auto"/>
              <w:rPr>
                <w:rFonts w:ascii="Arial" w:hAnsi="Arial" w:eastAsia="Arial" w:cs="Arial"/>
              </w:rPr>
            </w:pPr>
            <w:r w:rsidRPr="56062124">
              <w:rPr>
                <w:rFonts w:ascii="Arial" w:hAnsi="Arial" w:eastAsia="Arial" w:cs="Arial"/>
              </w:rPr>
              <w:t>71%</w:t>
            </w:r>
          </w:p>
        </w:tc>
      </w:tr>
      <w:tr w:rsidR="56062124" w:rsidTr="56062124" w14:paraId="56D0D803" w14:textId="77777777">
        <w:trPr>
          <w:trHeight w:val="300"/>
        </w:trPr>
        <w:tc>
          <w:tcPr>
            <w:tcW w:w="3847"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2BD0008D" w14:textId="4C4F7483">
            <w:pPr>
              <w:spacing w:after="0" w:line="300" w:lineRule="auto"/>
              <w:rPr>
                <w:rFonts w:ascii="Arial" w:hAnsi="Arial" w:eastAsia="Arial" w:cs="Arial"/>
              </w:rPr>
            </w:pPr>
            <w:r w:rsidRPr="56062124">
              <w:rPr>
                <w:rFonts w:ascii="Arial" w:hAnsi="Arial" w:eastAsia="Arial" w:cs="Arial"/>
              </w:rPr>
              <w:t>Poor Communication</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262BFBCD" w14:textId="78C18C5B">
            <w:pPr>
              <w:spacing w:after="0" w:line="300" w:lineRule="auto"/>
              <w:rPr>
                <w:rFonts w:ascii="Arial" w:hAnsi="Arial" w:eastAsia="Arial" w:cs="Arial"/>
              </w:rPr>
            </w:pPr>
            <w:r w:rsidRPr="56062124">
              <w:rPr>
                <w:rFonts w:ascii="Arial" w:hAnsi="Arial" w:eastAsia="Arial" w:cs="Arial"/>
              </w:rPr>
              <w:t>69%</w:t>
            </w:r>
          </w:p>
        </w:tc>
      </w:tr>
      <w:tr w:rsidR="56062124" w:rsidTr="56062124" w14:paraId="348C91C2" w14:textId="77777777">
        <w:trPr>
          <w:trHeight w:val="300"/>
        </w:trPr>
        <w:tc>
          <w:tcPr>
            <w:tcW w:w="3847"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53A65598" w14:textId="77143CD8">
            <w:pPr>
              <w:spacing w:after="0" w:line="300" w:lineRule="auto"/>
              <w:rPr>
                <w:rFonts w:ascii="Arial" w:hAnsi="Arial" w:eastAsia="Arial" w:cs="Arial"/>
              </w:rPr>
            </w:pPr>
            <w:r w:rsidRPr="56062124">
              <w:rPr>
                <w:rFonts w:ascii="Arial" w:hAnsi="Arial" w:eastAsia="Arial" w:cs="Arial"/>
              </w:rPr>
              <w:lastRenderedPageBreak/>
              <w:t>Weak Risk Assessment</w:t>
            </w:r>
          </w:p>
        </w:tc>
        <w:tc>
          <w:tcPr>
            <w:tcW w:w="2795" w:type="dxa"/>
            <w:tcBorders>
              <w:top w:val="single" w:color="E6E6E6" w:sz="6" w:space="0"/>
              <w:left w:val="single" w:color="E6E6E6" w:sz="6" w:space="0"/>
              <w:bottom w:val="single" w:color="E6E6E6" w:sz="6" w:space="0"/>
              <w:right w:val="single" w:color="E6E6E6" w:sz="6" w:space="0"/>
            </w:tcBorders>
            <w:vAlign w:val="center"/>
          </w:tcPr>
          <w:p w:rsidR="56062124" w:rsidP="56062124" w:rsidRDefault="56062124" w14:paraId="2AFF3947" w14:textId="39E5B553">
            <w:pPr>
              <w:spacing w:after="0" w:line="300" w:lineRule="auto"/>
              <w:rPr>
                <w:rFonts w:ascii="Arial" w:hAnsi="Arial" w:eastAsia="Arial" w:cs="Arial"/>
              </w:rPr>
            </w:pPr>
            <w:r w:rsidRPr="56062124">
              <w:rPr>
                <w:rFonts w:ascii="Arial" w:hAnsi="Arial" w:eastAsia="Arial" w:cs="Arial"/>
              </w:rPr>
              <w:t>73%</w:t>
            </w:r>
          </w:p>
        </w:tc>
      </w:tr>
    </w:tbl>
    <w:p w:rsidR="39D12909" w:rsidP="56062124" w:rsidRDefault="39D12909" w14:paraId="40A7F982" w14:textId="59E3F5ED">
      <w:pPr>
        <w:spacing w:before="210" w:after="210" w:line="300" w:lineRule="auto"/>
        <w:rPr>
          <w:rFonts w:ascii="Arial" w:hAnsi="Arial" w:eastAsia="Arial" w:cs="Arial"/>
        </w:rPr>
      </w:pPr>
      <w:r w:rsidRPr="56062124">
        <w:rPr>
          <w:rFonts w:ascii="Arial" w:hAnsi="Arial" w:eastAsia="Arial" w:cs="Arial"/>
        </w:rPr>
        <w:t>Many sources highlighted that technological transformation introduces new forms of organisational risk that require proactive management.</w:t>
      </w:r>
    </w:p>
    <w:p w:rsidR="39D12909" w:rsidP="56062124" w:rsidRDefault="39D12909" w14:paraId="3BDF3FAF" w14:textId="21060A57">
      <w:pPr>
        <w:spacing w:before="210" w:after="210" w:line="300" w:lineRule="auto"/>
        <w:rPr>
          <w:rFonts w:ascii="Arial" w:hAnsi="Arial" w:eastAsia="Arial" w:cs="Arial"/>
        </w:rPr>
      </w:pPr>
      <w:r w:rsidRPr="7AD6DA35" w:rsidR="1C912004">
        <w:rPr>
          <w:rFonts w:ascii="Arial" w:hAnsi="Arial" w:eastAsia="Arial" w:cs="Arial"/>
        </w:rPr>
        <w:t>The research demonstrates that the Post Office largely treated Horizon as a technical implementation project rather than an organisational transformation requiring continuous stakeholder engagement and risk assessment</w:t>
      </w:r>
      <w:r w:rsidRPr="7AD6DA35" w:rsidR="6D6EED2C">
        <w:rPr>
          <w:rFonts w:ascii="Arial" w:hAnsi="Arial" w:eastAsia="Arial" w:cs="Arial"/>
        </w:rPr>
        <w:t xml:space="preserve"> </w:t>
      </w:r>
      <w:r w:rsidRPr="7AD6DA35" w:rsidR="6D6EED2C">
        <w:rPr>
          <w:rFonts w:ascii="Arial" w:hAnsi="Arial" w:eastAsia="Arial" w:cs="Arial"/>
        </w:rPr>
        <w:t>(Wallis. 2021)</w:t>
      </w:r>
      <w:r w:rsidRPr="7AD6DA35" w:rsidR="6D6EED2C">
        <w:rPr>
          <w:rFonts w:ascii="Arial" w:hAnsi="Arial" w:eastAsia="Arial" w:cs="Arial"/>
        </w:rPr>
        <w:t>.</w:t>
      </w:r>
    </w:p>
    <w:p w:rsidR="39D12909" w:rsidP="56062124" w:rsidRDefault="39D12909" w14:paraId="5022DA89" w14:textId="1BD4637D">
      <w:pPr>
        <w:spacing w:before="210" w:after="210" w:line="300" w:lineRule="auto"/>
        <w:rPr>
          <w:rFonts w:ascii="Arial" w:hAnsi="Arial" w:eastAsia="Arial" w:cs="Arial"/>
        </w:rPr>
      </w:pPr>
      <w:r w:rsidRPr="56062124">
        <w:rPr>
          <w:rFonts w:ascii="Arial" w:hAnsi="Arial" w:eastAsia="Arial" w:cs="Arial"/>
        </w:rPr>
        <w:t>Consequently, weaknesses in change management and risk governance increased the likelihood that system errors would remain undetected and unresolved.</w:t>
      </w:r>
    </w:p>
    <w:p w:rsidR="39D12909" w:rsidP="56062124" w:rsidRDefault="39D12909" w14:paraId="30087491" w14:textId="07C3F1EC">
      <w:pPr>
        <w:pStyle w:val="Heading1"/>
        <w:spacing w:before="281" w:after="281" w:line="300" w:lineRule="auto"/>
        <w:rPr>
          <w:rFonts w:ascii="Arial" w:hAnsi="Arial" w:eastAsia="Arial" w:cs="Arial"/>
          <w:b w:val="1"/>
          <w:bCs w:val="1"/>
          <w:color w:val="auto"/>
          <w:sz w:val="24"/>
          <w:szCs w:val="24"/>
        </w:rPr>
      </w:pPr>
      <w:bookmarkStart w:name="_Toc2093374510" w:id="720597542"/>
      <w:r w:rsidRPr="7AD6DA35" w:rsidR="1C912004">
        <w:rPr>
          <w:rFonts w:ascii="Arial" w:hAnsi="Arial" w:eastAsia="Arial" w:cs="Arial"/>
          <w:b w:val="1"/>
          <w:bCs w:val="1"/>
          <w:color w:val="auto"/>
          <w:sz w:val="24"/>
          <w:szCs w:val="24"/>
        </w:rPr>
        <w:t>Analysis of Findings</w:t>
      </w:r>
      <w:bookmarkEnd w:id="720597542"/>
    </w:p>
    <w:p w:rsidR="39D12909" w:rsidP="56062124" w:rsidRDefault="39D12909" w14:paraId="0D65A4FF" w14:textId="37A30F89">
      <w:pPr>
        <w:spacing w:before="210" w:after="210" w:line="300" w:lineRule="auto"/>
        <w:rPr>
          <w:rFonts w:ascii="Arial" w:hAnsi="Arial" w:eastAsia="Arial" w:cs="Arial"/>
        </w:rPr>
      </w:pPr>
      <w:r w:rsidRPr="56062124">
        <w:rPr>
          <w:rFonts w:ascii="Arial" w:hAnsi="Arial" w:eastAsia="Arial" w:cs="Arial"/>
        </w:rPr>
        <w:t>The findings reveal that the Horizon scandal resulted from a complex interaction between technological, managerial, and organisational factors rather than a single point of failure.</w:t>
      </w:r>
    </w:p>
    <w:p w:rsidR="39D12909" w:rsidP="56062124" w:rsidRDefault="39D12909" w14:paraId="22793881" w14:textId="03AC9858">
      <w:pPr>
        <w:spacing w:before="210" w:after="210" w:line="300" w:lineRule="auto"/>
        <w:rPr>
          <w:rFonts w:ascii="Arial" w:hAnsi="Arial" w:eastAsia="Arial" w:cs="Arial"/>
        </w:rPr>
      </w:pPr>
      <w:r w:rsidRPr="56062124">
        <w:rPr>
          <w:rFonts w:ascii="Arial" w:hAnsi="Arial" w:eastAsia="Arial" w:cs="Arial"/>
        </w:rPr>
        <w:t>The first finding demonstrates that software systems cannot be assumed to be infallible. Despite widespread confidence in Horizon, evidence indicates that the system contained defects capable of creating inaccurate financial information. This finding is particularly significant because decision-makers relied heavily upon system-generated data when determining responsibility for branch shortfalls.</w:t>
      </w:r>
    </w:p>
    <w:p w:rsidR="39D12909" w:rsidP="56062124" w:rsidRDefault="39D12909" w14:paraId="0DB58DE5" w14:textId="253FACD1">
      <w:pPr>
        <w:spacing w:before="210" w:after="210" w:line="300" w:lineRule="auto"/>
        <w:rPr>
          <w:rFonts w:ascii="Arial" w:hAnsi="Arial" w:eastAsia="Arial" w:cs="Arial"/>
        </w:rPr>
      </w:pPr>
      <w:r w:rsidRPr="7AD6DA35" w:rsidR="1C912004">
        <w:rPr>
          <w:rFonts w:ascii="Arial" w:hAnsi="Arial" w:eastAsia="Arial" w:cs="Arial"/>
        </w:rPr>
        <w:t>The overreliance on technological outputs reflects a broader organisational tendency to prioritise digital evidence above human experience and professional judgement. Sub-postmasters frequently reported that accounting discrepancies could not be explained through operational activities, yet their concerns were given limited credibility compared to the perceived reliability of the technology</w:t>
      </w:r>
      <w:r w:rsidRPr="7AD6DA35" w:rsidR="61FBA9EC">
        <w:rPr>
          <w:rFonts w:ascii="Arial" w:hAnsi="Arial" w:eastAsia="Arial" w:cs="Arial"/>
        </w:rPr>
        <w:t xml:space="preserve"> </w:t>
      </w:r>
      <w:r w:rsidRPr="7AD6DA35" w:rsidR="61FBA9EC">
        <w:rPr>
          <w:rFonts w:ascii="Arial" w:hAnsi="Arial" w:eastAsia="Arial" w:cs="Arial"/>
        </w:rPr>
        <w:t>(Wallis. 2021)</w:t>
      </w:r>
      <w:r w:rsidRPr="7AD6DA35" w:rsidR="61FBA9EC">
        <w:rPr>
          <w:rFonts w:ascii="Arial" w:hAnsi="Arial" w:eastAsia="Arial" w:cs="Arial"/>
        </w:rPr>
        <w:t>.</w:t>
      </w:r>
    </w:p>
    <w:p w:rsidR="39D12909" w:rsidP="56062124" w:rsidRDefault="39D12909" w14:paraId="6AA0A625" w14:textId="453A0B96">
      <w:pPr>
        <w:spacing w:before="210" w:after="210" w:line="300" w:lineRule="auto"/>
        <w:rPr>
          <w:rFonts w:ascii="Arial" w:hAnsi="Arial" w:eastAsia="Arial" w:cs="Arial"/>
        </w:rPr>
      </w:pPr>
      <w:r w:rsidRPr="56062124">
        <w:rPr>
          <w:rFonts w:ascii="Arial" w:hAnsi="Arial" w:eastAsia="Arial" w:cs="Arial"/>
        </w:rPr>
        <w:t>Another important observation concerns governance processes. Effective governance requires mechanisms capable of challenging dominant assumptions and identifying emerging risks. However, the findings suggest that governance structures within the Post Office failed to provide independent oversight of technological systems.</w:t>
      </w:r>
    </w:p>
    <w:p w:rsidR="39D12909" w:rsidP="56062124" w:rsidRDefault="39D12909" w14:paraId="33D88645" w14:textId="2FDDDB0C">
      <w:pPr>
        <w:spacing w:before="210" w:after="210" w:line="300" w:lineRule="auto"/>
        <w:rPr>
          <w:rFonts w:ascii="Arial" w:hAnsi="Arial" w:eastAsia="Arial" w:cs="Arial"/>
        </w:rPr>
      </w:pPr>
      <w:r w:rsidRPr="56062124">
        <w:rPr>
          <w:rFonts w:ascii="Arial" w:hAnsi="Arial" w:eastAsia="Arial" w:cs="Arial"/>
        </w:rPr>
        <w:t>Board members and senior executives appeared to accept assurances regarding Horizon's reliability without demanding sufficient independent validation. This created a governance environment in which inaccurate assumptions remained unchallenged for extended periods.</w:t>
      </w:r>
    </w:p>
    <w:p w:rsidR="39D12909" w:rsidP="56062124" w:rsidRDefault="39D12909" w14:paraId="15573551" w14:textId="0597DDBF">
      <w:pPr>
        <w:spacing w:before="210" w:after="210" w:line="300" w:lineRule="auto"/>
        <w:rPr>
          <w:rFonts w:ascii="Arial" w:hAnsi="Arial" w:eastAsia="Arial" w:cs="Arial"/>
        </w:rPr>
      </w:pPr>
      <w:r w:rsidRPr="7AD6DA35" w:rsidR="1C912004">
        <w:rPr>
          <w:rFonts w:ascii="Arial" w:hAnsi="Arial" w:eastAsia="Arial" w:cs="Arial"/>
        </w:rPr>
        <w:t>The analysis also demonstrates the central role of organisational culture. Culture influences how concerns are reported, investigated, and resolved. In high-performing organisations, stakeholder concerns often act as important indicators of emerging risks. In contrast, the Post Office appeared to develop a defensive culture that prioritised institutional reputation and organisational certainty</w:t>
      </w:r>
      <w:r w:rsidRPr="7AD6DA35" w:rsidR="7EAD91B0">
        <w:rPr>
          <w:rFonts w:ascii="Arial" w:hAnsi="Arial" w:eastAsia="Arial" w:cs="Arial"/>
        </w:rPr>
        <w:t xml:space="preserve"> </w:t>
      </w:r>
      <w:r w:rsidRPr="7AD6DA35" w:rsidR="7EAD91B0">
        <w:rPr>
          <w:rFonts w:ascii="Arial" w:hAnsi="Arial" w:eastAsia="Arial" w:cs="Arial"/>
        </w:rPr>
        <w:t>(Wallis. 2021)</w:t>
      </w:r>
      <w:r w:rsidRPr="7AD6DA35" w:rsidR="7EAD91B0">
        <w:rPr>
          <w:rFonts w:ascii="Arial" w:hAnsi="Arial" w:eastAsia="Arial" w:cs="Arial"/>
        </w:rPr>
        <w:t>.</w:t>
      </w:r>
    </w:p>
    <w:p w:rsidR="39D12909" w:rsidP="56062124" w:rsidRDefault="39D12909" w14:paraId="4CFB1BAC" w14:textId="2107930F">
      <w:pPr>
        <w:spacing w:before="210" w:after="210" w:line="300" w:lineRule="auto"/>
        <w:rPr>
          <w:rFonts w:ascii="Arial" w:hAnsi="Arial" w:eastAsia="Arial" w:cs="Arial"/>
        </w:rPr>
      </w:pPr>
      <w:r w:rsidRPr="56062124">
        <w:rPr>
          <w:rFonts w:ascii="Arial" w:hAnsi="Arial" w:eastAsia="Arial" w:cs="Arial"/>
        </w:rPr>
        <w:t>Such behaviour reduced opportunities for learning and contributed to the persistence of systemic problems. Rather than viewing complaints as valuable sources of information, concerns were frequently interpreted as threats to organisational credibility.</w:t>
      </w:r>
    </w:p>
    <w:p w:rsidR="39D12909" w:rsidP="56062124" w:rsidRDefault="39D12909" w14:paraId="0EB491E4" w14:textId="0B38DF1D">
      <w:pPr>
        <w:spacing w:before="210" w:after="210" w:line="300" w:lineRule="auto"/>
        <w:rPr>
          <w:rFonts w:ascii="Arial" w:hAnsi="Arial" w:eastAsia="Arial" w:cs="Arial"/>
        </w:rPr>
      </w:pPr>
      <w:r w:rsidRPr="56062124">
        <w:rPr>
          <w:rFonts w:ascii="Arial" w:hAnsi="Arial" w:eastAsia="Arial" w:cs="Arial"/>
        </w:rPr>
        <w:t>The findings further indicate that transition risks were underestimated. Implementation of large-scale information systems involves significant uncertainty. Risks may arise from technical defects, user interactions, governance arrangements, and organisational behaviour.</w:t>
      </w:r>
    </w:p>
    <w:p w:rsidR="39D12909" w:rsidP="56062124" w:rsidRDefault="39D12909" w14:paraId="009D829F" w14:textId="051C3813">
      <w:pPr>
        <w:spacing w:before="210" w:after="210" w:line="300" w:lineRule="auto"/>
        <w:rPr>
          <w:rFonts w:ascii="Arial" w:hAnsi="Arial" w:eastAsia="Arial" w:cs="Arial"/>
        </w:rPr>
      </w:pPr>
      <w:r w:rsidRPr="56062124">
        <w:rPr>
          <w:rFonts w:ascii="Arial" w:hAnsi="Arial" w:eastAsia="Arial" w:cs="Arial"/>
        </w:rPr>
        <w:t xml:space="preserve">The Post Office appears to have underestimated the complexity of managing technology-related risks during and after implementation. Consequently, decision-makers were insufficiently prepared to respond when evidence </w:t>
      </w:r>
      <w:r w:rsidRPr="56062124" w:rsidR="1A257E0A">
        <w:rPr>
          <w:rFonts w:ascii="Arial" w:hAnsi="Arial" w:eastAsia="Arial" w:cs="Arial"/>
        </w:rPr>
        <w:t>emerged about</w:t>
      </w:r>
      <w:r w:rsidRPr="56062124">
        <w:rPr>
          <w:rFonts w:ascii="Arial" w:hAnsi="Arial" w:eastAsia="Arial" w:cs="Arial"/>
        </w:rPr>
        <w:t xml:space="preserve"> questioning system reliability.</w:t>
      </w:r>
    </w:p>
    <w:p w:rsidR="39D12909" w:rsidP="56062124" w:rsidRDefault="39D12909" w14:paraId="06BB90AC" w14:textId="15967C12">
      <w:pPr>
        <w:spacing w:before="210" w:after="210" w:line="300" w:lineRule="auto"/>
        <w:rPr>
          <w:rFonts w:ascii="Arial" w:hAnsi="Arial" w:eastAsia="Arial" w:cs="Arial"/>
        </w:rPr>
      </w:pPr>
      <w:r w:rsidRPr="56062124">
        <w:rPr>
          <w:rFonts w:ascii="Arial" w:hAnsi="Arial" w:eastAsia="Arial" w:cs="Arial"/>
        </w:rPr>
        <w:t>Overall, the findings suggest that technological failures were amplified by governance shortcomings and cultural weaknesses, resulting in severe organisational consequences.</w:t>
      </w:r>
    </w:p>
    <w:p w:rsidR="39D12909" w:rsidP="56062124" w:rsidRDefault="39D12909" w14:paraId="49B7F481" w14:textId="2A385A85">
      <w:pPr>
        <w:pStyle w:val="Heading1"/>
        <w:spacing w:before="281" w:after="281" w:line="300" w:lineRule="auto"/>
        <w:rPr>
          <w:rFonts w:ascii="Arial" w:hAnsi="Arial" w:eastAsia="Arial" w:cs="Arial"/>
          <w:b w:val="1"/>
          <w:bCs w:val="1"/>
          <w:color w:val="auto"/>
          <w:sz w:val="24"/>
          <w:szCs w:val="24"/>
        </w:rPr>
      </w:pPr>
      <w:bookmarkStart w:name="_Toc1721972319" w:id="2027890786"/>
      <w:r w:rsidRPr="7AD6DA35" w:rsidR="1C912004">
        <w:rPr>
          <w:rFonts w:ascii="Arial" w:hAnsi="Arial" w:eastAsia="Arial" w:cs="Arial"/>
          <w:b w:val="1"/>
          <w:bCs w:val="1"/>
          <w:color w:val="auto"/>
          <w:sz w:val="24"/>
          <w:szCs w:val="24"/>
        </w:rPr>
        <w:t>Evaluation of Findings</w:t>
      </w:r>
      <w:bookmarkEnd w:id="2027890786"/>
    </w:p>
    <w:p w:rsidR="39D12909" w:rsidP="56062124" w:rsidRDefault="39D12909" w14:paraId="71A0A104" w14:textId="58202B30">
      <w:pPr>
        <w:spacing w:before="210" w:after="210" w:line="300" w:lineRule="auto"/>
        <w:rPr>
          <w:rFonts w:ascii="Arial" w:hAnsi="Arial" w:eastAsia="Arial" w:cs="Arial"/>
        </w:rPr>
      </w:pPr>
      <w:r w:rsidRPr="56062124">
        <w:rPr>
          <w:rFonts w:ascii="Arial" w:hAnsi="Arial" w:eastAsia="Arial" w:cs="Arial"/>
        </w:rPr>
        <w:t>The findings possess several strengths.</w:t>
      </w:r>
    </w:p>
    <w:p w:rsidR="39D12909" w:rsidP="56062124" w:rsidRDefault="39D12909" w14:paraId="493F62B5" w14:textId="603256BE">
      <w:pPr>
        <w:spacing w:before="210" w:after="210" w:line="300" w:lineRule="auto"/>
        <w:rPr>
          <w:rFonts w:ascii="Arial" w:hAnsi="Arial" w:eastAsia="Arial" w:cs="Arial"/>
        </w:rPr>
      </w:pPr>
      <w:r w:rsidRPr="56062124">
        <w:rPr>
          <w:rFonts w:ascii="Arial" w:hAnsi="Arial" w:eastAsia="Arial" w:cs="Arial"/>
        </w:rPr>
        <w:t>First, the evidence base is extensive and includes judicial decisions, public inquiries, parliamentary investigations, independent reviews, and academic research. This diversity enhances reliability because conclusions are supported by multiple independent sources.</w:t>
      </w:r>
    </w:p>
    <w:p w:rsidR="39D12909" w:rsidP="56062124" w:rsidRDefault="39D12909" w14:paraId="0080E070" w14:textId="2B02DB81">
      <w:pPr>
        <w:spacing w:before="210" w:after="210" w:line="300" w:lineRule="auto"/>
        <w:rPr>
          <w:rFonts w:ascii="Arial" w:hAnsi="Arial" w:eastAsia="Arial" w:cs="Arial"/>
        </w:rPr>
      </w:pPr>
      <w:r w:rsidRPr="56062124">
        <w:rPr>
          <w:rFonts w:ascii="Arial" w:hAnsi="Arial" w:eastAsia="Arial" w:cs="Arial"/>
        </w:rPr>
        <w:t>Second, considerable consistency exists across different investigations. Despite variations in methodology and focus, most studies identify similar patterns regarding system defects, governance failures, and cultural issues.</w:t>
      </w:r>
    </w:p>
    <w:p w:rsidR="39D12909" w:rsidP="56062124" w:rsidRDefault="39D12909" w14:paraId="2DE2A78E" w14:textId="253B171B">
      <w:pPr>
        <w:spacing w:before="210" w:after="210" w:line="300" w:lineRule="auto"/>
        <w:rPr>
          <w:rFonts w:ascii="Arial" w:hAnsi="Arial" w:eastAsia="Arial" w:cs="Arial"/>
        </w:rPr>
      </w:pPr>
      <w:r w:rsidRPr="7AD6DA35" w:rsidR="1C912004">
        <w:rPr>
          <w:rFonts w:ascii="Arial" w:hAnsi="Arial" w:eastAsia="Arial" w:cs="Arial"/>
        </w:rPr>
        <w:t>Third, the Horizon scandal has been subjected to exceptional levels of public scrutiny. The volume of available evidence provides a comprehensive understanding of organisational events and decision-making processes</w:t>
      </w:r>
      <w:r w:rsidRPr="7AD6DA35" w:rsidR="55216E35">
        <w:rPr>
          <w:rFonts w:ascii="Times New Roman" w:hAnsi="Times New Roman" w:eastAsia="Times New Roman" w:cs="Times New Roman"/>
        </w:rPr>
        <w:t xml:space="preserve"> </w:t>
      </w:r>
      <w:r w:rsidRPr="7AD6DA35" w:rsidR="55216E35">
        <w:rPr>
          <w:rFonts w:ascii="Arial" w:hAnsi="Arial" w:eastAsia="Arial" w:cs="Arial"/>
        </w:rPr>
        <w:t>(Wallis. 2021)</w:t>
      </w:r>
      <w:r w:rsidRPr="7AD6DA35" w:rsidR="55216E35">
        <w:rPr>
          <w:rFonts w:ascii="Arial" w:hAnsi="Arial" w:eastAsia="Arial" w:cs="Arial"/>
        </w:rPr>
        <w:t>.</w:t>
      </w:r>
    </w:p>
    <w:p w:rsidR="39D12909" w:rsidP="56062124" w:rsidRDefault="39D12909" w14:paraId="3C6F7B5D" w14:textId="04775DBB">
      <w:pPr>
        <w:spacing w:before="210" w:after="210" w:line="300" w:lineRule="auto"/>
        <w:rPr>
          <w:rFonts w:ascii="Arial" w:hAnsi="Arial" w:eastAsia="Arial" w:cs="Arial"/>
        </w:rPr>
      </w:pPr>
      <w:r w:rsidRPr="56062124">
        <w:rPr>
          <w:rFonts w:ascii="Arial" w:hAnsi="Arial" w:eastAsia="Arial" w:cs="Arial"/>
        </w:rPr>
        <w:lastRenderedPageBreak/>
        <w:t>Nevertheless, several limitations must be acknowledged.</w:t>
      </w:r>
    </w:p>
    <w:p w:rsidR="39D12909" w:rsidP="56062124" w:rsidRDefault="39D12909" w14:paraId="3428D039" w14:textId="43BF99DD">
      <w:pPr>
        <w:spacing w:before="210" w:after="210" w:line="300" w:lineRule="auto"/>
        <w:rPr>
          <w:rFonts w:ascii="Arial" w:hAnsi="Arial" w:eastAsia="Arial" w:cs="Arial"/>
        </w:rPr>
      </w:pPr>
      <w:r w:rsidRPr="56062124">
        <w:rPr>
          <w:rFonts w:ascii="Arial" w:hAnsi="Arial" w:eastAsia="Arial" w:cs="Arial"/>
        </w:rPr>
        <w:t xml:space="preserve">One limitation relates to the evolving nature of </w:t>
      </w:r>
      <w:r w:rsidRPr="56062124" w:rsidR="05D2E3BC">
        <w:rPr>
          <w:rFonts w:ascii="Arial" w:hAnsi="Arial" w:eastAsia="Arial" w:cs="Arial"/>
        </w:rPr>
        <w:t>public</w:t>
      </w:r>
      <w:r w:rsidRPr="56062124">
        <w:rPr>
          <w:rFonts w:ascii="Arial" w:hAnsi="Arial" w:eastAsia="Arial" w:cs="Arial"/>
        </w:rPr>
        <w:t xml:space="preserve"> inquiry. As additional evidence emerges, interpretations of specific events may change.</w:t>
      </w:r>
    </w:p>
    <w:p w:rsidR="39D12909" w:rsidP="56062124" w:rsidRDefault="39D12909" w14:paraId="652C043B" w14:textId="4B8EDA75">
      <w:pPr>
        <w:spacing w:before="210" w:after="210" w:line="300" w:lineRule="auto"/>
        <w:rPr>
          <w:rFonts w:ascii="Arial" w:hAnsi="Arial" w:eastAsia="Arial" w:cs="Arial"/>
        </w:rPr>
      </w:pPr>
      <w:r w:rsidRPr="56062124">
        <w:rPr>
          <w:rFonts w:ascii="Arial" w:hAnsi="Arial" w:eastAsia="Arial" w:cs="Arial"/>
        </w:rPr>
        <w:t>Another limitation concerns retrospective analysis. Many reviewed sources examine events after significant outcomes had already occurred. Consequently, there is a possibility that some conclusions are influenced by hindsight bias.</w:t>
      </w:r>
    </w:p>
    <w:p w:rsidR="39D12909" w:rsidP="56062124" w:rsidRDefault="39D12909" w14:paraId="1B2FCCC9" w14:textId="24E5928F">
      <w:pPr>
        <w:spacing w:before="210" w:after="210" w:line="300" w:lineRule="auto"/>
        <w:rPr>
          <w:rFonts w:ascii="Arial" w:hAnsi="Arial" w:eastAsia="Arial" w:cs="Arial"/>
        </w:rPr>
      </w:pPr>
      <w:r w:rsidRPr="56062124">
        <w:rPr>
          <w:rFonts w:ascii="Arial" w:hAnsi="Arial" w:eastAsia="Arial" w:cs="Arial"/>
        </w:rPr>
        <w:t>Furthermore, media coverage has played a substantial role in shaping public understanding of the scandal. While investigative journalism contributed significantly to exposing failures, media narratives may occasionally emphasise certain aspects over others.</w:t>
      </w:r>
    </w:p>
    <w:p w:rsidR="39D12909" w:rsidP="56062124" w:rsidRDefault="39D12909" w14:paraId="415B8757" w14:textId="29E3BA83">
      <w:pPr>
        <w:spacing w:before="210" w:after="210" w:line="300" w:lineRule="auto"/>
        <w:rPr>
          <w:rFonts w:ascii="Arial" w:hAnsi="Arial" w:eastAsia="Arial" w:cs="Arial"/>
        </w:rPr>
      </w:pPr>
      <w:r w:rsidRPr="56062124">
        <w:rPr>
          <w:rFonts w:ascii="Arial" w:hAnsi="Arial" w:eastAsia="Arial" w:cs="Arial"/>
        </w:rPr>
        <w:t>Despite these limitations, the convergence of evidence from multiple independent sources increases confidence in the overall findings.</w:t>
      </w:r>
    </w:p>
    <w:p w:rsidR="39D12909" w:rsidP="56062124" w:rsidRDefault="39D12909" w14:paraId="63CDC479" w14:textId="2BF1C0EB">
      <w:pPr>
        <w:pStyle w:val="Heading1"/>
        <w:spacing w:before="281" w:after="281" w:line="300" w:lineRule="auto"/>
        <w:rPr>
          <w:rFonts w:ascii="Arial" w:hAnsi="Arial" w:eastAsia="Arial" w:cs="Arial"/>
          <w:b w:val="1"/>
          <w:bCs w:val="1"/>
          <w:color w:val="auto"/>
          <w:sz w:val="24"/>
          <w:szCs w:val="24"/>
        </w:rPr>
      </w:pPr>
      <w:bookmarkStart w:name="_Toc1107164282" w:id="404487600"/>
      <w:r w:rsidRPr="7AD6DA35" w:rsidR="1C912004">
        <w:rPr>
          <w:rFonts w:ascii="Arial" w:hAnsi="Arial" w:eastAsia="Arial" w:cs="Arial"/>
          <w:b w:val="1"/>
          <w:bCs w:val="1"/>
          <w:color w:val="auto"/>
          <w:sz w:val="24"/>
          <w:szCs w:val="24"/>
        </w:rPr>
        <w:t>Critical Discussion of Findings</w:t>
      </w:r>
      <w:bookmarkEnd w:id="404487600"/>
    </w:p>
    <w:p w:rsidR="39D12909" w:rsidP="56062124" w:rsidRDefault="39D12909" w14:paraId="54FC005E" w14:textId="650A89F1">
      <w:pPr>
        <w:spacing w:before="210" w:after="210" w:line="300" w:lineRule="auto"/>
        <w:rPr>
          <w:rFonts w:ascii="Arial" w:hAnsi="Arial" w:eastAsia="Arial" w:cs="Arial"/>
        </w:rPr>
      </w:pPr>
      <w:r w:rsidRPr="56062124">
        <w:rPr>
          <w:rFonts w:ascii="Arial" w:hAnsi="Arial" w:eastAsia="Arial" w:cs="Arial"/>
        </w:rPr>
        <w:t>The findings support the argument that the Horizon scandal represents a failure of socio-technical governance rather than merely an IT failure.</w:t>
      </w:r>
    </w:p>
    <w:p w:rsidR="39D12909" w:rsidP="56062124" w:rsidRDefault="39D12909" w14:paraId="083690B1" w14:textId="1216B38E">
      <w:pPr>
        <w:spacing w:before="210" w:after="210" w:line="300" w:lineRule="auto"/>
        <w:rPr>
          <w:rFonts w:ascii="Arial" w:hAnsi="Arial" w:eastAsia="Arial" w:cs="Arial"/>
        </w:rPr>
      </w:pPr>
      <w:r w:rsidRPr="56062124">
        <w:rPr>
          <w:rFonts w:ascii="Arial" w:hAnsi="Arial" w:eastAsia="Arial" w:cs="Arial"/>
        </w:rPr>
        <w:t>Traditional approaches to technology management often focus on technical performance. However, contemporary governance theories recognise that organisational outcomes emerge from interactions between technology, people, processes, and institutions. The Horizon case strongly supports this perspective.</w:t>
      </w:r>
    </w:p>
    <w:p w:rsidR="39D12909" w:rsidP="56062124" w:rsidRDefault="39D12909" w14:paraId="24D04187" w14:textId="15961B8E">
      <w:pPr>
        <w:spacing w:before="210" w:after="210" w:line="300" w:lineRule="auto"/>
        <w:rPr>
          <w:rFonts w:ascii="Arial" w:hAnsi="Arial" w:eastAsia="Arial" w:cs="Arial"/>
        </w:rPr>
      </w:pPr>
      <w:r w:rsidRPr="56062124">
        <w:rPr>
          <w:rFonts w:ascii="Arial" w:hAnsi="Arial" w:eastAsia="Arial" w:cs="Arial"/>
        </w:rPr>
        <w:t>The technical defects identified within Horizon were undoubtedly significant. However, software defects alone do not explain why concerns remained unresolved for such a prolonged period. The persistence of the crisis can only be understood through examination of governance and organisational behaviour.</w:t>
      </w:r>
    </w:p>
    <w:p w:rsidR="39D12909" w:rsidP="56062124" w:rsidRDefault="39D12909" w14:paraId="4E8B2C8C" w14:textId="1ED1D282">
      <w:pPr>
        <w:spacing w:before="210" w:after="210" w:line="300" w:lineRule="auto"/>
        <w:rPr>
          <w:rFonts w:ascii="Arial" w:hAnsi="Arial" w:eastAsia="Arial" w:cs="Arial"/>
        </w:rPr>
      </w:pPr>
      <w:r w:rsidRPr="7AD6DA35" w:rsidR="1C912004">
        <w:rPr>
          <w:rFonts w:ascii="Arial" w:hAnsi="Arial" w:eastAsia="Arial" w:cs="Arial"/>
        </w:rPr>
        <w:t xml:space="preserve">Agency theory provides one useful framework for interpreting the findings. Governance systems exist partly to ensure accountability and oversight. In the Horizon case, information asymmetries existed between senior management, technical specialists, board members, and sub-postmasters. These asymmetries </w:t>
      </w:r>
      <w:r w:rsidRPr="7AD6DA35" w:rsidR="4104D1AC">
        <w:rPr>
          <w:rFonts w:ascii="Arial" w:hAnsi="Arial" w:eastAsia="Arial" w:cs="Arial"/>
        </w:rPr>
        <w:t>have limited</w:t>
      </w:r>
      <w:r w:rsidRPr="7AD6DA35" w:rsidR="1C912004">
        <w:rPr>
          <w:rFonts w:ascii="Arial" w:hAnsi="Arial" w:eastAsia="Arial" w:cs="Arial"/>
        </w:rPr>
        <w:t xml:space="preserve"> effective accountability and </w:t>
      </w:r>
      <w:r w:rsidRPr="7AD6DA35" w:rsidR="6F073785">
        <w:rPr>
          <w:rFonts w:ascii="Arial" w:hAnsi="Arial" w:eastAsia="Arial" w:cs="Arial"/>
        </w:rPr>
        <w:t>allow</w:t>
      </w:r>
      <w:r w:rsidRPr="7AD6DA35" w:rsidR="1C912004">
        <w:rPr>
          <w:rFonts w:ascii="Arial" w:hAnsi="Arial" w:eastAsia="Arial" w:cs="Arial"/>
        </w:rPr>
        <w:t xml:space="preserve"> inaccurate assumptions to persist.</w:t>
      </w:r>
    </w:p>
    <w:p w:rsidR="39D12909" w:rsidP="7AD6DA35" w:rsidRDefault="39D12909" w14:paraId="5E4534A7" w14:textId="6E906E0D">
      <w:pPr>
        <w:pStyle w:val="Normal"/>
        <w:spacing w:before="210" w:after="210" w:line="300" w:lineRule="auto"/>
        <w:rPr>
          <w:rFonts w:ascii="Arial" w:hAnsi="Arial" w:eastAsia="Arial" w:cs="Arial"/>
        </w:rPr>
      </w:pPr>
      <w:r w:rsidRPr="7AD6DA35" w:rsidR="1C912004">
        <w:rPr>
          <w:rFonts w:ascii="Arial" w:hAnsi="Arial" w:eastAsia="Arial" w:cs="Arial"/>
        </w:rPr>
        <w:t xml:space="preserve">The findings additionally support concepts associated with </w:t>
      </w:r>
      <w:r w:rsidRPr="7AD6DA35" w:rsidR="1C912004">
        <w:rPr>
          <w:rFonts w:ascii="Arial" w:hAnsi="Arial" w:eastAsia="Arial" w:cs="Arial"/>
        </w:rPr>
        <w:t>normalisation</w:t>
      </w:r>
      <w:r w:rsidRPr="7AD6DA35" w:rsidR="1C912004">
        <w:rPr>
          <w:rFonts w:ascii="Arial" w:hAnsi="Arial" w:eastAsia="Arial" w:cs="Arial"/>
        </w:rPr>
        <w:t xml:space="preserve"> of deviance. Over time, </w:t>
      </w:r>
      <w:r w:rsidRPr="7AD6DA35" w:rsidR="1C912004">
        <w:rPr>
          <w:rFonts w:ascii="Arial" w:hAnsi="Arial" w:eastAsia="Arial" w:cs="Arial"/>
        </w:rPr>
        <w:t>organisations</w:t>
      </w:r>
      <w:r w:rsidRPr="7AD6DA35" w:rsidR="1C912004">
        <w:rPr>
          <w:rFonts w:ascii="Arial" w:hAnsi="Arial" w:eastAsia="Arial" w:cs="Arial"/>
        </w:rPr>
        <w:t xml:space="preserve"> may become accustomed to unusual events or warning signs, gradually accepting them as normal. Reports of accounting discrepancies appear to have become routine rather than triggering comprehensive investigation</w:t>
      </w:r>
      <w:r w:rsidRPr="7AD6DA35" w:rsidR="67FD1BD9">
        <w:rPr>
          <w:rFonts w:ascii="Arial" w:hAnsi="Arial" w:eastAsia="Arial" w:cs="Arial"/>
        </w:rPr>
        <w:t xml:space="preserve"> </w:t>
      </w:r>
      <w:r w:rsidRPr="7AD6DA35" w:rsidR="67FD1BD9">
        <w:rPr>
          <w:rFonts w:ascii="Arial" w:hAnsi="Arial" w:eastAsia="Arial" w:cs="Arial"/>
        </w:rPr>
        <w:t>(Wallis. 2021)</w:t>
      </w:r>
      <w:r w:rsidRPr="7AD6DA35" w:rsidR="67FD1BD9">
        <w:rPr>
          <w:rFonts w:ascii="Arial" w:hAnsi="Arial" w:eastAsia="Arial" w:cs="Arial"/>
        </w:rPr>
        <w:t>.</w:t>
      </w:r>
    </w:p>
    <w:p w:rsidR="39D12909" w:rsidP="7AD6DA35" w:rsidRDefault="39D12909" w14:paraId="698E63D4" w14:textId="19673E44">
      <w:pPr>
        <w:pStyle w:val="Normal"/>
        <w:spacing w:before="210" w:after="210" w:line="300" w:lineRule="auto"/>
        <w:rPr>
          <w:rFonts w:ascii="Arial" w:hAnsi="Arial" w:eastAsia="Arial" w:cs="Arial"/>
        </w:rPr>
      </w:pPr>
      <w:r w:rsidRPr="7AD6DA35" w:rsidR="1C912004">
        <w:rPr>
          <w:rFonts w:ascii="Arial" w:hAnsi="Arial" w:eastAsia="Arial" w:cs="Arial"/>
        </w:rPr>
        <w:t xml:space="preserve">Another </w:t>
      </w:r>
      <w:r w:rsidRPr="7AD6DA35" w:rsidR="1C912004">
        <w:rPr>
          <w:rFonts w:ascii="Arial" w:hAnsi="Arial" w:eastAsia="Arial" w:cs="Arial"/>
        </w:rPr>
        <w:t>important issue</w:t>
      </w:r>
      <w:r w:rsidRPr="7AD6DA35" w:rsidR="1C912004">
        <w:rPr>
          <w:rFonts w:ascii="Arial" w:hAnsi="Arial" w:eastAsia="Arial" w:cs="Arial"/>
        </w:rPr>
        <w:t xml:space="preserve"> concerns ethical governance. Public sector </w:t>
      </w:r>
      <w:r w:rsidRPr="7AD6DA35" w:rsidR="1C912004">
        <w:rPr>
          <w:rFonts w:ascii="Arial" w:hAnsi="Arial" w:eastAsia="Arial" w:cs="Arial"/>
        </w:rPr>
        <w:t>organisations</w:t>
      </w:r>
      <w:r w:rsidRPr="7AD6DA35" w:rsidR="1C912004">
        <w:rPr>
          <w:rFonts w:ascii="Arial" w:hAnsi="Arial" w:eastAsia="Arial" w:cs="Arial"/>
        </w:rPr>
        <w:t xml:space="preserve"> </w:t>
      </w:r>
      <w:r w:rsidRPr="7AD6DA35" w:rsidR="1C912004">
        <w:rPr>
          <w:rFonts w:ascii="Arial" w:hAnsi="Arial" w:eastAsia="Arial" w:cs="Arial"/>
        </w:rPr>
        <w:t>possess</w:t>
      </w:r>
      <w:r w:rsidRPr="7AD6DA35" w:rsidR="1C912004">
        <w:rPr>
          <w:rFonts w:ascii="Arial" w:hAnsi="Arial" w:eastAsia="Arial" w:cs="Arial"/>
        </w:rPr>
        <w:t xml:space="preserve"> unique responsibilities because they exercise authority that directly affects citizens' livelihoods and rights. The findings suggest that governance processes </w:t>
      </w:r>
      <w:r w:rsidRPr="7AD6DA35" w:rsidR="1C912004">
        <w:rPr>
          <w:rFonts w:ascii="Arial" w:hAnsi="Arial" w:eastAsia="Arial" w:cs="Arial"/>
        </w:rPr>
        <w:t>failed to</w:t>
      </w:r>
      <w:r w:rsidRPr="7AD6DA35" w:rsidR="1C912004">
        <w:rPr>
          <w:rFonts w:ascii="Arial" w:hAnsi="Arial" w:eastAsia="Arial" w:cs="Arial"/>
        </w:rPr>
        <w:t xml:space="preserve"> uphold principles of fairness, transparency, and accountability</w:t>
      </w:r>
      <w:r w:rsidRPr="7AD6DA35" w:rsidR="6352483C">
        <w:rPr>
          <w:rFonts w:ascii="Arial" w:hAnsi="Arial" w:eastAsia="Arial" w:cs="Arial"/>
        </w:rPr>
        <w:t xml:space="preserve"> </w:t>
      </w:r>
      <w:r w:rsidRPr="7AD6DA35" w:rsidR="6352483C">
        <w:rPr>
          <w:rFonts w:ascii="Arial" w:hAnsi="Arial" w:eastAsia="Arial" w:cs="Arial"/>
        </w:rPr>
        <w:t>(Wallis. 2021)</w:t>
      </w:r>
      <w:r w:rsidRPr="7AD6DA35" w:rsidR="1C912004">
        <w:rPr>
          <w:rFonts w:ascii="Arial" w:hAnsi="Arial" w:eastAsia="Arial" w:cs="Arial"/>
        </w:rPr>
        <w:t>.</w:t>
      </w:r>
    </w:p>
    <w:p w:rsidR="39D12909" w:rsidP="56062124" w:rsidRDefault="39D12909" w14:paraId="1B9DAF3D" w14:textId="16812EFD">
      <w:pPr>
        <w:spacing w:before="210" w:after="210" w:line="300" w:lineRule="auto"/>
        <w:rPr>
          <w:rFonts w:ascii="Arial" w:hAnsi="Arial" w:eastAsia="Arial" w:cs="Arial"/>
        </w:rPr>
      </w:pPr>
      <w:r w:rsidRPr="7AD6DA35" w:rsidR="1C912004">
        <w:rPr>
          <w:rFonts w:ascii="Arial" w:hAnsi="Arial" w:eastAsia="Arial" w:cs="Arial"/>
        </w:rPr>
        <w:t xml:space="preserve">The Horizon scandal also reveals weaknesses in risk management practices. Contemporary risk management frameworks emphasise the need for continuous monitoring, </w:t>
      </w:r>
      <w:r w:rsidRPr="7AD6DA35" w:rsidR="4F3517C0">
        <w:rPr>
          <w:rFonts w:ascii="Arial" w:hAnsi="Arial" w:eastAsia="Arial" w:cs="Arial"/>
        </w:rPr>
        <w:t>escalation of</w:t>
      </w:r>
      <w:r w:rsidRPr="7AD6DA35" w:rsidR="1C912004">
        <w:rPr>
          <w:rFonts w:ascii="Arial" w:hAnsi="Arial" w:eastAsia="Arial" w:cs="Arial"/>
        </w:rPr>
        <w:t xml:space="preserve"> pathways, and independent assurance. The evidence indicates that these mechanisms were inadequately implemented</w:t>
      </w:r>
      <w:r w:rsidRPr="7AD6DA35" w:rsidR="37A0735C">
        <w:rPr>
          <w:rFonts w:ascii="Arial" w:hAnsi="Arial" w:eastAsia="Arial" w:cs="Arial"/>
        </w:rPr>
        <w:t xml:space="preserve"> </w:t>
      </w:r>
      <w:r w:rsidRPr="7AD6DA35" w:rsidR="37A0735C">
        <w:rPr>
          <w:rFonts w:ascii="Arial" w:hAnsi="Arial" w:eastAsia="Arial" w:cs="Arial"/>
        </w:rPr>
        <w:t>(Wallis. 2021)</w:t>
      </w:r>
      <w:r w:rsidRPr="7AD6DA35" w:rsidR="37A0735C">
        <w:rPr>
          <w:rFonts w:ascii="Arial" w:hAnsi="Arial" w:eastAsia="Arial" w:cs="Arial"/>
        </w:rPr>
        <w:t>.</w:t>
      </w:r>
    </w:p>
    <w:p w:rsidR="39D12909" w:rsidP="56062124" w:rsidRDefault="39D12909" w14:paraId="7F1C9394" w14:textId="1D209182">
      <w:pPr>
        <w:spacing w:before="210" w:after="210" w:line="300" w:lineRule="auto"/>
        <w:rPr>
          <w:rFonts w:ascii="Arial" w:hAnsi="Arial" w:eastAsia="Arial" w:cs="Arial"/>
        </w:rPr>
      </w:pPr>
      <w:r w:rsidRPr="56062124">
        <w:rPr>
          <w:rFonts w:ascii="Arial" w:hAnsi="Arial" w:eastAsia="Arial" w:cs="Arial"/>
        </w:rPr>
        <w:t>The discussion further highlights important lessons regarding digital transformation. Many organisations are currently investing in artificial intelligence, automation, and advanced data analytics. The Horizon case demonstrates that technological innovation must be accompanied by effective governance, transparency, and human oversight.</w:t>
      </w:r>
    </w:p>
    <w:p w:rsidR="39D12909" w:rsidP="56062124" w:rsidRDefault="39D12909" w14:paraId="7C896CCD" w14:textId="6EBE99FC">
      <w:pPr>
        <w:spacing w:before="210" w:after="210" w:line="300" w:lineRule="auto"/>
        <w:rPr>
          <w:rFonts w:ascii="Arial" w:hAnsi="Arial" w:eastAsia="Arial" w:cs="Arial"/>
        </w:rPr>
      </w:pPr>
      <w:r w:rsidRPr="7AD6DA35" w:rsidR="1C912004">
        <w:rPr>
          <w:rFonts w:ascii="Arial" w:hAnsi="Arial" w:eastAsia="Arial" w:cs="Arial"/>
        </w:rPr>
        <w:t>Without these safeguards, organisations may become vulnerable to errors that are difficult to detect and potentially harmful to stakeholders.</w:t>
      </w:r>
    </w:p>
    <w:p w:rsidR="39D12909" w:rsidP="56062124" w:rsidRDefault="39D12909" w14:paraId="471455AC" w14:textId="7E8B3965">
      <w:pPr>
        <w:pStyle w:val="Heading1"/>
        <w:spacing w:before="281" w:after="281" w:line="300" w:lineRule="auto"/>
        <w:rPr>
          <w:rFonts w:ascii="Arial" w:hAnsi="Arial" w:eastAsia="Arial" w:cs="Arial"/>
          <w:b w:val="1"/>
          <w:bCs w:val="1"/>
          <w:color w:val="auto"/>
          <w:sz w:val="24"/>
          <w:szCs w:val="24"/>
        </w:rPr>
      </w:pPr>
      <w:bookmarkStart w:name="_Toc459717336" w:id="1517552396"/>
      <w:r w:rsidRPr="7AD6DA35" w:rsidR="1C912004">
        <w:rPr>
          <w:rFonts w:ascii="Arial" w:hAnsi="Arial" w:eastAsia="Arial" w:cs="Arial"/>
          <w:b w:val="1"/>
          <w:bCs w:val="1"/>
          <w:color w:val="auto"/>
          <w:sz w:val="24"/>
          <w:szCs w:val="24"/>
        </w:rPr>
        <w:t>Comparison with the Literature Review</w:t>
      </w:r>
      <w:bookmarkEnd w:id="1517552396"/>
    </w:p>
    <w:p w:rsidR="39D12909" w:rsidP="56062124" w:rsidRDefault="39D12909" w14:paraId="62E01847" w14:textId="31B90AA4">
      <w:pPr>
        <w:spacing w:before="210" w:after="210" w:line="300" w:lineRule="auto"/>
        <w:rPr>
          <w:rFonts w:ascii="Arial" w:hAnsi="Arial" w:eastAsia="Arial" w:cs="Arial"/>
        </w:rPr>
      </w:pPr>
      <w:r w:rsidRPr="7AD6DA35" w:rsidR="1C912004">
        <w:rPr>
          <w:rFonts w:ascii="Arial" w:hAnsi="Arial" w:eastAsia="Arial" w:cs="Arial"/>
        </w:rPr>
        <w:t>The findings presented in this study strongly support the literature reviewed in Chapter 2.</w:t>
      </w:r>
    </w:p>
    <w:p w:rsidR="39D12909" w:rsidP="56062124" w:rsidRDefault="39D12909" w14:paraId="2A0E0EA0" w14:textId="3BA0D05F">
      <w:pPr>
        <w:spacing w:before="210" w:after="210" w:line="300" w:lineRule="auto"/>
        <w:rPr>
          <w:rFonts w:ascii="Arial" w:hAnsi="Arial" w:eastAsia="Arial" w:cs="Arial"/>
        </w:rPr>
      </w:pPr>
      <w:r w:rsidRPr="7AD6DA35" w:rsidR="1C912004">
        <w:rPr>
          <w:rFonts w:ascii="Arial" w:hAnsi="Arial" w:eastAsia="Arial" w:cs="Arial"/>
        </w:rPr>
        <w:t>The literature review identified technological reliability as a critical component of digital governance. The findings confirm that weaknesses in system design, testing, and monitoring contributed directly to organisational failures.</w:t>
      </w:r>
    </w:p>
    <w:p w:rsidR="39D12909" w:rsidP="56062124" w:rsidRDefault="39D12909" w14:paraId="70DE4B9F" w14:textId="29462EBD">
      <w:pPr>
        <w:spacing w:before="210" w:after="210" w:line="300" w:lineRule="auto"/>
        <w:rPr>
          <w:rFonts w:ascii="Arial" w:hAnsi="Arial" w:eastAsia="Arial" w:cs="Arial"/>
        </w:rPr>
      </w:pPr>
      <w:r w:rsidRPr="7AD6DA35" w:rsidR="1C912004">
        <w:rPr>
          <w:rFonts w:ascii="Arial" w:hAnsi="Arial" w:eastAsia="Arial" w:cs="Arial"/>
        </w:rPr>
        <w:t>Similarly, the literature emphasised the importance of board accountability and effective governance structures. The evidence gathered in this chapter reinforces the argument that governance failures played a substantial role in the scandal</w:t>
      </w:r>
      <w:r w:rsidRPr="7AD6DA35" w:rsidR="607BB6AA">
        <w:rPr>
          <w:rFonts w:ascii="Arial" w:hAnsi="Arial" w:eastAsia="Arial" w:cs="Arial"/>
        </w:rPr>
        <w:t xml:space="preserve"> (</w:t>
      </w:r>
      <w:r w:rsidRPr="7AD6DA35" w:rsidR="607BB6AA">
        <w:rPr>
          <w:rFonts w:ascii="Arial" w:hAnsi="Arial" w:eastAsia="Arial" w:cs="Arial"/>
        </w:rPr>
        <w:t>Shamseer et al. 2026)</w:t>
      </w:r>
      <w:r w:rsidRPr="7AD6DA35" w:rsidR="607BB6AA">
        <w:rPr>
          <w:rFonts w:ascii="Arial" w:hAnsi="Arial" w:eastAsia="Arial" w:cs="Arial"/>
        </w:rPr>
        <w:t>.</w:t>
      </w:r>
    </w:p>
    <w:p w:rsidR="39D12909" w:rsidP="56062124" w:rsidRDefault="39D12909" w14:paraId="0607A1A0" w14:textId="185627F4">
      <w:pPr>
        <w:spacing w:before="210" w:after="210" w:line="300" w:lineRule="auto"/>
        <w:rPr>
          <w:rFonts w:ascii="Arial" w:hAnsi="Arial" w:eastAsia="Arial" w:cs="Arial"/>
        </w:rPr>
      </w:pPr>
      <w:r w:rsidRPr="7AD6DA35" w:rsidR="1C912004">
        <w:rPr>
          <w:rFonts w:ascii="Arial" w:hAnsi="Arial" w:eastAsia="Arial" w:cs="Arial"/>
        </w:rPr>
        <w:t>The findings also correspond with existing research concerning organisational culture. Previous studies suggest that defensive cultures reduce organisational learning and increase the likelihood of repeated failures. The Horizon case provides strong empirical support for these conclusions</w:t>
      </w:r>
      <w:r w:rsidRPr="7AD6DA35" w:rsidR="418EDAB6">
        <w:rPr>
          <w:rFonts w:ascii="Arial" w:hAnsi="Arial" w:eastAsia="Arial" w:cs="Arial"/>
        </w:rPr>
        <w:t xml:space="preserve"> (</w:t>
      </w:r>
      <w:r w:rsidRPr="7AD6DA35" w:rsidR="418EDAB6">
        <w:rPr>
          <w:rFonts w:ascii="Arial" w:hAnsi="Arial" w:eastAsia="Arial" w:cs="Arial"/>
        </w:rPr>
        <w:t>Shamseer et al. 2026)</w:t>
      </w:r>
      <w:r w:rsidRPr="7AD6DA35" w:rsidR="418EDAB6">
        <w:rPr>
          <w:rFonts w:ascii="Arial" w:hAnsi="Arial" w:eastAsia="Arial" w:cs="Arial"/>
        </w:rPr>
        <w:t>.</w:t>
      </w:r>
    </w:p>
    <w:p w:rsidR="39D12909" w:rsidP="56062124" w:rsidRDefault="39D12909" w14:paraId="62CDF609" w14:textId="490F89C4">
      <w:pPr>
        <w:spacing w:before="210" w:after="210" w:line="300" w:lineRule="auto"/>
        <w:rPr>
          <w:rFonts w:ascii="Arial" w:hAnsi="Arial" w:eastAsia="Arial" w:cs="Arial"/>
        </w:rPr>
      </w:pPr>
      <w:r w:rsidRPr="7AD6DA35" w:rsidR="1C912004">
        <w:rPr>
          <w:rFonts w:ascii="Arial" w:hAnsi="Arial" w:eastAsia="Arial" w:cs="Arial"/>
        </w:rPr>
        <w:t>The literature review further highlighted risks associated with digital transformation programmes. Many scholars argue that technological implementation projects frequently underestimate organisational complexity. The findings support this position by demonstrating how transition risks extended far beyond technical considerations.</w:t>
      </w:r>
    </w:p>
    <w:p w:rsidR="39D12909" w:rsidP="56062124" w:rsidRDefault="39D12909" w14:paraId="0CC845F4" w14:textId="08210C5E">
      <w:pPr>
        <w:spacing w:before="210" w:after="210" w:line="300" w:lineRule="auto"/>
        <w:rPr>
          <w:rFonts w:ascii="Arial" w:hAnsi="Arial" w:eastAsia="Arial" w:cs="Arial"/>
        </w:rPr>
      </w:pPr>
      <w:r w:rsidRPr="7AD6DA35" w:rsidR="1C912004">
        <w:rPr>
          <w:rFonts w:ascii="Arial" w:hAnsi="Arial" w:eastAsia="Arial" w:cs="Arial"/>
        </w:rPr>
        <w:t xml:space="preserve">However, the findings also </w:t>
      </w:r>
      <w:r w:rsidRPr="7AD6DA35" w:rsidR="35128A92">
        <w:rPr>
          <w:rFonts w:ascii="Arial" w:hAnsi="Arial" w:eastAsia="Arial" w:cs="Arial"/>
        </w:rPr>
        <w:t>contribute to</w:t>
      </w:r>
      <w:r w:rsidRPr="7AD6DA35" w:rsidR="1C912004">
        <w:rPr>
          <w:rFonts w:ascii="Arial" w:hAnsi="Arial" w:eastAsia="Arial" w:cs="Arial"/>
        </w:rPr>
        <w:t xml:space="preserve"> new insights. While much of the earlier literature focused on technology risk and governance theory separately, the evidence suggests that these issues are deeply interconnected. Governance weaknesses magnified technological failures, while technological failures exposed weaknesses in governance systems</w:t>
      </w:r>
      <w:r w:rsidRPr="7AD6DA35" w:rsidR="57A4674F">
        <w:rPr>
          <w:rFonts w:ascii="Arial" w:hAnsi="Arial" w:eastAsia="Arial" w:cs="Arial"/>
        </w:rPr>
        <w:t xml:space="preserve"> (</w:t>
      </w:r>
      <w:r w:rsidRPr="7AD6DA35" w:rsidR="57A4674F">
        <w:rPr>
          <w:rFonts w:ascii="Arial" w:hAnsi="Arial" w:eastAsia="Arial" w:cs="Arial"/>
        </w:rPr>
        <w:t>Shamseer et al. 2026)</w:t>
      </w:r>
      <w:r w:rsidRPr="7AD6DA35" w:rsidR="57A4674F">
        <w:rPr>
          <w:rFonts w:ascii="Arial" w:hAnsi="Arial" w:eastAsia="Arial" w:cs="Arial"/>
        </w:rPr>
        <w:t>.</w:t>
      </w:r>
    </w:p>
    <w:p w:rsidR="39D12909" w:rsidP="56062124" w:rsidRDefault="39D12909" w14:paraId="4CD9D620" w14:textId="61635416">
      <w:pPr>
        <w:spacing w:before="210" w:after="210" w:line="300" w:lineRule="auto"/>
        <w:rPr>
          <w:rFonts w:ascii="Arial" w:hAnsi="Arial" w:eastAsia="Arial" w:cs="Arial"/>
        </w:rPr>
      </w:pPr>
      <w:r w:rsidRPr="7AD6DA35" w:rsidR="1C912004">
        <w:rPr>
          <w:rFonts w:ascii="Arial" w:hAnsi="Arial" w:eastAsia="Arial" w:cs="Arial"/>
        </w:rPr>
        <w:t xml:space="preserve">Another important contribution involves the role of public trust. The scandal </w:t>
      </w:r>
      <w:r w:rsidRPr="7AD6DA35" w:rsidR="1C912004">
        <w:rPr>
          <w:rFonts w:ascii="Arial" w:hAnsi="Arial" w:eastAsia="Arial" w:cs="Arial"/>
        </w:rPr>
        <w:t>demonstrates</w:t>
      </w:r>
      <w:r w:rsidRPr="7AD6DA35" w:rsidR="1C912004">
        <w:rPr>
          <w:rFonts w:ascii="Arial" w:hAnsi="Arial" w:eastAsia="Arial" w:cs="Arial"/>
        </w:rPr>
        <w:t xml:space="preserve"> how governance failures can severely damage institutional legitimacy. This dimension </w:t>
      </w:r>
      <w:r w:rsidRPr="7AD6DA35" w:rsidR="1C912004">
        <w:rPr>
          <w:rFonts w:ascii="Arial" w:hAnsi="Arial" w:eastAsia="Arial" w:cs="Arial"/>
        </w:rPr>
        <w:t>emerged</w:t>
      </w:r>
      <w:r w:rsidRPr="7AD6DA35" w:rsidR="1C912004">
        <w:rPr>
          <w:rFonts w:ascii="Arial" w:hAnsi="Arial" w:eastAsia="Arial" w:cs="Arial"/>
        </w:rPr>
        <w:t xml:space="preserve"> more strongly in the findings than in much of the existing literature.</w:t>
      </w:r>
      <w:r w:rsidRPr="7AD6DA35" w:rsidR="2AC71F5A">
        <w:rPr>
          <w:rFonts w:ascii="Arial" w:hAnsi="Arial" w:eastAsia="Arial" w:cs="Arial"/>
        </w:rPr>
        <w:t xml:space="preserve"> </w:t>
      </w:r>
      <w:r w:rsidRPr="7AD6DA35" w:rsidR="1C912004">
        <w:rPr>
          <w:rFonts w:ascii="Arial" w:hAnsi="Arial" w:eastAsia="Arial" w:cs="Arial"/>
        </w:rPr>
        <w:t xml:space="preserve">Overall, the findings both support and extend existing academic understanding of </w:t>
      </w:r>
      <w:r w:rsidRPr="7AD6DA35" w:rsidR="1C912004">
        <w:rPr>
          <w:rFonts w:ascii="Arial" w:hAnsi="Arial" w:eastAsia="Arial" w:cs="Arial"/>
        </w:rPr>
        <w:t>organisational</w:t>
      </w:r>
      <w:r w:rsidRPr="7AD6DA35" w:rsidR="1C912004">
        <w:rPr>
          <w:rFonts w:ascii="Arial" w:hAnsi="Arial" w:eastAsia="Arial" w:cs="Arial"/>
        </w:rPr>
        <w:t xml:space="preserve"> governance and technology-related risk.</w:t>
      </w:r>
    </w:p>
    <w:p w:rsidR="39D12909" w:rsidP="56062124" w:rsidRDefault="39D12909" w14:paraId="1ED38981" w14:textId="3E037BA1">
      <w:pPr>
        <w:pStyle w:val="Heading1"/>
        <w:spacing w:before="281" w:after="281" w:line="300" w:lineRule="auto"/>
        <w:rPr>
          <w:rFonts w:ascii="Arial" w:hAnsi="Arial" w:eastAsia="Arial" w:cs="Arial"/>
          <w:b w:val="1"/>
          <w:bCs w:val="1"/>
          <w:color w:val="auto"/>
          <w:sz w:val="24"/>
          <w:szCs w:val="24"/>
        </w:rPr>
      </w:pPr>
      <w:bookmarkStart w:name="_Toc1258889949" w:id="910898690"/>
      <w:r w:rsidRPr="7AD6DA35" w:rsidR="1C912004">
        <w:rPr>
          <w:rFonts w:ascii="Arial" w:hAnsi="Arial" w:eastAsia="Arial" w:cs="Arial"/>
          <w:b w:val="1"/>
          <w:bCs w:val="1"/>
          <w:color w:val="auto"/>
          <w:sz w:val="24"/>
          <w:szCs w:val="24"/>
        </w:rPr>
        <w:t>Implications of the Findings</w:t>
      </w:r>
      <w:bookmarkEnd w:id="910898690"/>
    </w:p>
    <w:p w:rsidR="39D12909" w:rsidP="56062124" w:rsidRDefault="39D12909" w14:paraId="5C0D2063" w14:textId="73961039">
      <w:pPr>
        <w:spacing w:before="210" w:after="210" w:line="300" w:lineRule="auto"/>
        <w:rPr>
          <w:rFonts w:ascii="Arial" w:hAnsi="Arial" w:eastAsia="Arial" w:cs="Arial"/>
        </w:rPr>
      </w:pPr>
      <w:r w:rsidRPr="56062124">
        <w:rPr>
          <w:rFonts w:ascii="Arial" w:hAnsi="Arial" w:eastAsia="Arial" w:cs="Arial"/>
        </w:rPr>
        <w:t>The findings generate several important implications.</w:t>
      </w:r>
    </w:p>
    <w:p w:rsidR="39D12909" w:rsidP="56062124" w:rsidRDefault="39D12909" w14:paraId="00FD3494" w14:textId="6F0FEEDF">
      <w:pPr>
        <w:pStyle w:val="Heading2"/>
        <w:spacing w:before="261" w:after="261" w:line="300" w:lineRule="auto"/>
        <w:rPr>
          <w:rFonts w:ascii="Arial" w:hAnsi="Arial" w:eastAsia="Arial" w:cs="Arial"/>
          <w:b w:val="1"/>
          <w:bCs w:val="1"/>
          <w:color w:val="auto"/>
          <w:sz w:val="24"/>
          <w:szCs w:val="24"/>
        </w:rPr>
      </w:pPr>
      <w:bookmarkStart w:name="_Toc2024850462" w:id="1136680885"/>
      <w:r w:rsidRPr="7AD6DA35" w:rsidR="1C912004">
        <w:rPr>
          <w:rFonts w:ascii="Arial" w:hAnsi="Arial" w:eastAsia="Arial" w:cs="Arial"/>
          <w:b w:val="1"/>
          <w:bCs w:val="1"/>
          <w:color w:val="auto"/>
          <w:sz w:val="24"/>
          <w:szCs w:val="24"/>
        </w:rPr>
        <w:t>Organisational Implications</w:t>
      </w:r>
      <w:bookmarkEnd w:id="1136680885"/>
    </w:p>
    <w:p w:rsidR="39D12909" w:rsidP="56062124" w:rsidRDefault="39D12909" w14:paraId="58ECCABE" w14:textId="2DBD58F4">
      <w:pPr>
        <w:spacing w:before="210" w:after="210" w:line="300" w:lineRule="auto"/>
        <w:rPr>
          <w:rFonts w:ascii="Arial" w:hAnsi="Arial" w:eastAsia="Arial" w:cs="Arial"/>
        </w:rPr>
      </w:pPr>
      <w:r w:rsidRPr="7AD6DA35" w:rsidR="1C912004">
        <w:rPr>
          <w:rFonts w:ascii="Arial" w:hAnsi="Arial" w:eastAsia="Arial" w:cs="Arial"/>
        </w:rPr>
        <w:t>Organisations implementing large-scale digital systems should establish robust governance structures capable of independently scrutinising technological performance. Reliance on supplier assurances alone is insufficient</w:t>
      </w:r>
      <w:r w:rsidRPr="7AD6DA35" w:rsidR="73BE233E">
        <w:rPr>
          <w:rFonts w:ascii="Arial" w:hAnsi="Arial" w:eastAsia="Arial" w:cs="Arial"/>
        </w:rPr>
        <w:t xml:space="preserve"> (</w:t>
      </w:r>
      <w:r w:rsidRPr="7AD6DA35" w:rsidR="73BE233E">
        <w:rPr>
          <w:rFonts w:ascii="Arial" w:hAnsi="Arial" w:eastAsia="Arial" w:cs="Arial"/>
        </w:rPr>
        <w:t>Shamseer et al. 2026)</w:t>
      </w:r>
      <w:r w:rsidRPr="7AD6DA35" w:rsidR="73BE233E">
        <w:rPr>
          <w:rFonts w:ascii="Arial" w:hAnsi="Arial" w:eastAsia="Arial" w:cs="Arial"/>
        </w:rPr>
        <w:t>.</w:t>
      </w:r>
    </w:p>
    <w:p w:rsidR="39D12909" w:rsidP="56062124" w:rsidRDefault="39D12909" w14:paraId="41443C65" w14:textId="049E4173">
      <w:pPr>
        <w:pStyle w:val="Heading2"/>
        <w:spacing w:before="261" w:after="261" w:line="300" w:lineRule="auto"/>
        <w:rPr>
          <w:rFonts w:ascii="Arial" w:hAnsi="Arial" w:eastAsia="Arial" w:cs="Arial"/>
          <w:b w:val="1"/>
          <w:bCs w:val="1"/>
          <w:color w:val="auto"/>
          <w:sz w:val="24"/>
          <w:szCs w:val="24"/>
        </w:rPr>
      </w:pPr>
      <w:bookmarkStart w:name="_Toc983272823" w:id="1230443345"/>
      <w:r w:rsidRPr="7AD6DA35" w:rsidR="1C912004">
        <w:rPr>
          <w:rFonts w:ascii="Arial" w:hAnsi="Arial" w:eastAsia="Arial" w:cs="Arial"/>
          <w:b w:val="1"/>
          <w:bCs w:val="1"/>
          <w:color w:val="auto"/>
          <w:sz w:val="24"/>
          <w:szCs w:val="24"/>
        </w:rPr>
        <w:t>Management Implications</w:t>
      </w:r>
      <w:bookmarkEnd w:id="1230443345"/>
    </w:p>
    <w:p w:rsidR="39D12909" w:rsidP="56062124" w:rsidRDefault="39D12909" w14:paraId="04C8814A" w14:textId="3C59BE83">
      <w:pPr>
        <w:spacing w:before="210" w:after="210" w:line="300" w:lineRule="auto"/>
        <w:rPr>
          <w:rFonts w:ascii="Arial" w:hAnsi="Arial" w:eastAsia="Arial" w:cs="Arial"/>
        </w:rPr>
      </w:pPr>
      <w:r w:rsidRPr="7AD6DA35" w:rsidR="1C912004">
        <w:rPr>
          <w:rFonts w:ascii="Arial" w:hAnsi="Arial" w:eastAsia="Arial" w:cs="Arial"/>
        </w:rPr>
        <w:t>Senior leaders should encourage cultures that promote challenge, transparency, and learning. Employees and stakeholders must feel able to raise concerns without fear of dismissal or retaliation</w:t>
      </w:r>
      <w:r w:rsidRPr="7AD6DA35" w:rsidR="3704C3AD">
        <w:rPr>
          <w:rFonts w:ascii="Arial" w:hAnsi="Arial" w:eastAsia="Arial" w:cs="Arial"/>
        </w:rPr>
        <w:t xml:space="preserve"> </w:t>
      </w:r>
      <w:r w:rsidRPr="7AD6DA35" w:rsidR="3704C3AD">
        <w:rPr>
          <w:rFonts w:ascii="Arial" w:hAnsi="Arial" w:eastAsia="Arial" w:cs="Arial"/>
        </w:rPr>
        <w:t>(</w:t>
      </w:r>
      <w:r w:rsidRPr="7AD6DA35" w:rsidR="3704C3AD">
        <w:rPr>
          <w:rFonts w:ascii="Arial" w:hAnsi="Arial" w:eastAsia="Arial" w:cs="Arial"/>
        </w:rPr>
        <w:t>Shamseer et al. 2026)</w:t>
      </w:r>
      <w:r w:rsidRPr="7AD6DA35" w:rsidR="3704C3AD">
        <w:rPr>
          <w:rFonts w:ascii="Arial" w:hAnsi="Arial" w:eastAsia="Arial" w:cs="Arial"/>
        </w:rPr>
        <w:t>.</w:t>
      </w:r>
    </w:p>
    <w:p w:rsidR="39D12909" w:rsidP="56062124" w:rsidRDefault="39D12909" w14:paraId="4EE1C3F5" w14:textId="156585C9">
      <w:pPr>
        <w:pStyle w:val="Heading2"/>
        <w:spacing w:before="261" w:after="261" w:line="300" w:lineRule="auto"/>
        <w:rPr>
          <w:rFonts w:ascii="Arial" w:hAnsi="Arial" w:eastAsia="Arial" w:cs="Arial"/>
          <w:b w:val="1"/>
          <w:bCs w:val="1"/>
          <w:color w:val="auto"/>
          <w:sz w:val="24"/>
          <w:szCs w:val="24"/>
        </w:rPr>
      </w:pPr>
      <w:bookmarkStart w:name="_Toc1650576945" w:id="1100074236"/>
      <w:r w:rsidRPr="7AD6DA35" w:rsidR="1C912004">
        <w:rPr>
          <w:rFonts w:ascii="Arial" w:hAnsi="Arial" w:eastAsia="Arial" w:cs="Arial"/>
          <w:b w:val="1"/>
          <w:bCs w:val="1"/>
          <w:color w:val="auto"/>
          <w:sz w:val="24"/>
          <w:szCs w:val="24"/>
        </w:rPr>
        <w:t>Governance Implications</w:t>
      </w:r>
      <w:bookmarkEnd w:id="1100074236"/>
    </w:p>
    <w:p w:rsidR="39D12909" w:rsidP="56062124" w:rsidRDefault="39D12909" w14:paraId="0CAA0AE8" w14:textId="3E439845">
      <w:pPr>
        <w:spacing w:before="210" w:after="210" w:line="300" w:lineRule="auto"/>
        <w:rPr>
          <w:rFonts w:ascii="Arial" w:hAnsi="Arial" w:eastAsia="Arial" w:cs="Arial"/>
        </w:rPr>
      </w:pPr>
      <w:r w:rsidRPr="56062124">
        <w:rPr>
          <w:rFonts w:ascii="Arial" w:hAnsi="Arial" w:eastAsia="Arial" w:cs="Arial"/>
        </w:rPr>
        <w:t>Boards should strengthen oversight of technology projects and ensure that independent assurance mechanisms exist throughout implementation and operational stages.</w:t>
      </w:r>
    </w:p>
    <w:p w:rsidR="39D12909" w:rsidP="56062124" w:rsidRDefault="39D12909" w14:paraId="758874FF" w14:textId="7E36F3CF">
      <w:pPr>
        <w:pStyle w:val="Heading2"/>
        <w:spacing w:before="261" w:after="261" w:line="300" w:lineRule="auto"/>
        <w:rPr>
          <w:rFonts w:ascii="Arial" w:hAnsi="Arial" w:eastAsia="Arial" w:cs="Arial"/>
          <w:b w:val="1"/>
          <w:bCs w:val="1"/>
          <w:color w:val="auto"/>
          <w:sz w:val="24"/>
          <w:szCs w:val="24"/>
        </w:rPr>
      </w:pPr>
      <w:bookmarkStart w:name="_Toc1436630516" w:id="302923098"/>
      <w:r w:rsidRPr="7AD6DA35" w:rsidR="1C912004">
        <w:rPr>
          <w:rFonts w:ascii="Arial" w:hAnsi="Arial" w:eastAsia="Arial" w:cs="Arial"/>
          <w:b w:val="1"/>
          <w:bCs w:val="1"/>
          <w:color w:val="auto"/>
          <w:sz w:val="24"/>
          <w:szCs w:val="24"/>
        </w:rPr>
        <w:t>Public Sector Implications</w:t>
      </w:r>
      <w:bookmarkEnd w:id="302923098"/>
    </w:p>
    <w:p w:rsidR="39D12909" w:rsidP="56062124" w:rsidRDefault="39D12909" w14:paraId="0405731F" w14:textId="74841376">
      <w:pPr>
        <w:spacing w:before="210" w:after="210" w:line="300" w:lineRule="auto"/>
        <w:rPr>
          <w:rFonts w:ascii="Arial" w:hAnsi="Arial" w:eastAsia="Arial" w:cs="Arial"/>
        </w:rPr>
      </w:pPr>
      <w:r w:rsidRPr="56062124">
        <w:rPr>
          <w:rFonts w:ascii="Arial" w:hAnsi="Arial" w:eastAsia="Arial" w:cs="Arial"/>
        </w:rPr>
        <w:t>Public institutions should recognise the ethical responsibilities associated with technological decision-making. Accountability and stakeholder protection must remain central components of governance frameworks.</w:t>
      </w:r>
    </w:p>
    <w:p w:rsidR="39D12909" w:rsidP="56062124" w:rsidRDefault="39D12909" w14:paraId="78AD5EDA" w14:textId="75FB47DB">
      <w:pPr>
        <w:pStyle w:val="Heading2"/>
        <w:spacing w:before="261" w:after="261" w:line="300" w:lineRule="auto"/>
        <w:rPr>
          <w:rFonts w:ascii="Arial" w:hAnsi="Arial" w:eastAsia="Arial" w:cs="Arial"/>
          <w:b w:val="1"/>
          <w:bCs w:val="1"/>
          <w:color w:val="auto"/>
          <w:sz w:val="24"/>
          <w:szCs w:val="24"/>
        </w:rPr>
      </w:pPr>
      <w:bookmarkStart w:name="_Toc914584447" w:id="1992039869"/>
      <w:r w:rsidRPr="7AD6DA35" w:rsidR="1C912004">
        <w:rPr>
          <w:rFonts w:ascii="Arial" w:hAnsi="Arial" w:eastAsia="Arial" w:cs="Arial"/>
          <w:b w:val="1"/>
          <w:bCs w:val="1"/>
          <w:color w:val="auto"/>
          <w:sz w:val="24"/>
          <w:szCs w:val="24"/>
        </w:rPr>
        <w:t>Future Research Implications</w:t>
      </w:r>
      <w:bookmarkEnd w:id="1992039869"/>
    </w:p>
    <w:p w:rsidR="39D12909" w:rsidP="56062124" w:rsidRDefault="39D12909" w14:paraId="4F864888" w14:textId="51BD87F2">
      <w:pPr>
        <w:spacing w:before="210" w:after="210" w:line="300" w:lineRule="auto"/>
        <w:rPr>
          <w:rFonts w:ascii="Arial" w:hAnsi="Arial" w:eastAsia="Arial" w:cs="Arial"/>
        </w:rPr>
      </w:pPr>
      <w:r w:rsidRPr="7AD6DA35" w:rsidR="1C912004">
        <w:rPr>
          <w:rFonts w:ascii="Arial" w:hAnsi="Arial" w:eastAsia="Arial" w:cs="Arial"/>
        </w:rPr>
        <w:t>Future studies could investigate how emerging technologies such as artificial intelligence create similar governance challenges and what lessons from Horizon may inform future risk management practices</w:t>
      </w:r>
      <w:r w:rsidRPr="7AD6DA35" w:rsidR="10748FEC">
        <w:rPr>
          <w:rFonts w:ascii="Arial" w:hAnsi="Arial" w:eastAsia="Arial" w:cs="Arial"/>
        </w:rPr>
        <w:t xml:space="preserve"> (</w:t>
      </w:r>
      <w:r w:rsidRPr="7AD6DA35" w:rsidR="10748FEC">
        <w:rPr>
          <w:rFonts w:ascii="Arial" w:hAnsi="Arial" w:eastAsia="Arial" w:cs="Arial"/>
        </w:rPr>
        <w:t>Shamseer et al. 2026)</w:t>
      </w:r>
      <w:r w:rsidRPr="7AD6DA35" w:rsidR="10748FEC">
        <w:rPr>
          <w:rFonts w:ascii="Arial" w:hAnsi="Arial" w:eastAsia="Arial" w:cs="Arial"/>
        </w:rPr>
        <w:t>.</w:t>
      </w:r>
    </w:p>
    <w:p w:rsidR="39D12909" w:rsidP="56062124" w:rsidRDefault="39D12909" w14:paraId="0EE6428B" w14:textId="4735D9EA">
      <w:pPr>
        <w:pStyle w:val="Heading1"/>
        <w:spacing w:before="281" w:after="281" w:line="300" w:lineRule="auto"/>
        <w:rPr>
          <w:rFonts w:ascii="Arial" w:hAnsi="Arial" w:eastAsia="Arial" w:cs="Arial"/>
          <w:b w:val="1"/>
          <w:bCs w:val="1"/>
          <w:color w:val="auto"/>
          <w:sz w:val="24"/>
          <w:szCs w:val="24"/>
        </w:rPr>
      </w:pPr>
      <w:bookmarkStart w:name="_Toc12389634" w:id="689524185"/>
      <w:r w:rsidRPr="7AD6DA35" w:rsidR="1C912004">
        <w:rPr>
          <w:rFonts w:ascii="Arial" w:hAnsi="Arial" w:eastAsia="Arial" w:cs="Arial"/>
          <w:b w:val="1"/>
          <w:bCs w:val="1"/>
          <w:color w:val="auto"/>
          <w:sz w:val="24"/>
          <w:szCs w:val="24"/>
        </w:rPr>
        <w:t>Chapter Summary</w:t>
      </w:r>
      <w:bookmarkEnd w:id="689524185"/>
    </w:p>
    <w:p w:rsidR="39D12909" w:rsidP="56062124" w:rsidRDefault="39D12909" w14:paraId="7419F921" w14:textId="3F1FA305">
      <w:pPr>
        <w:spacing w:before="210" w:after="210" w:line="300" w:lineRule="auto"/>
        <w:rPr>
          <w:rFonts w:ascii="Arial" w:hAnsi="Arial" w:eastAsia="Arial" w:cs="Arial"/>
        </w:rPr>
      </w:pPr>
      <w:r w:rsidRPr="56062124">
        <w:rPr>
          <w:rFonts w:ascii="Arial" w:hAnsi="Arial" w:eastAsia="Arial" w:cs="Arial"/>
        </w:rPr>
        <w:t xml:space="preserve">This chapter presented and analysed findings relating to the Horizon system failures, organisational governance weaknesses, and transition risks within the UK Post Office. Four key themes emerged from </w:t>
      </w:r>
      <w:r w:rsidRPr="56062124" w:rsidR="746101B3">
        <w:rPr>
          <w:rFonts w:ascii="Arial" w:hAnsi="Arial" w:eastAsia="Arial" w:cs="Arial"/>
        </w:rPr>
        <w:t>secondary</w:t>
      </w:r>
      <w:r w:rsidRPr="56062124">
        <w:rPr>
          <w:rFonts w:ascii="Arial" w:hAnsi="Arial" w:eastAsia="Arial" w:cs="Arial"/>
        </w:rPr>
        <w:t xml:space="preserve"> research: technological failures within the Horizon system, governance and accountability shortcomings, organisational </w:t>
      </w:r>
      <w:r w:rsidRPr="56062124" w:rsidR="36E11CC4">
        <w:rPr>
          <w:rFonts w:ascii="Arial" w:hAnsi="Arial" w:eastAsia="Arial" w:cs="Arial"/>
        </w:rPr>
        <w:t>culture,</w:t>
      </w:r>
      <w:r w:rsidRPr="56062124">
        <w:rPr>
          <w:rFonts w:ascii="Arial" w:hAnsi="Arial" w:eastAsia="Arial" w:cs="Arial"/>
        </w:rPr>
        <w:t xml:space="preserve"> and suppression of concerns and weaknesses in managing digital transformation risks.</w:t>
      </w:r>
    </w:p>
    <w:p w:rsidR="39D12909" w:rsidP="56062124" w:rsidRDefault="39D12909" w14:paraId="1528C238" w14:textId="6DFA6673">
      <w:pPr>
        <w:spacing w:before="210" w:after="210" w:line="300" w:lineRule="auto"/>
        <w:rPr>
          <w:rFonts w:ascii="Arial" w:hAnsi="Arial" w:eastAsia="Arial" w:cs="Arial"/>
        </w:rPr>
      </w:pPr>
      <w:r w:rsidRPr="7AD6DA35" w:rsidR="1C912004">
        <w:rPr>
          <w:rFonts w:ascii="Arial" w:hAnsi="Arial" w:eastAsia="Arial" w:cs="Arial"/>
        </w:rPr>
        <w:t>The findings demonstrate that the scandal was not solely the result of software defects. Instead, technological problems interacted with ineffective governance structures, poor risk management practices, and a defensive organisational culture. These interconnected failures contributed to prolonged miscarriages of justice affecting hundreds of sub-postmasters and severely damaged public trust in the Post Office</w:t>
      </w:r>
      <w:r w:rsidRPr="7AD6DA35" w:rsidR="34D02E41">
        <w:rPr>
          <w:rFonts w:ascii="Arial" w:hAnsi="Arial" w:eastAsia="Arial" w:cs="Arial"/>
        </w:rPr>
        <w:t xml:space="preserve"> </w:t>
      </w:r>
      <w:r w:rsidRPr="7AD6DA35" w:rsidR="34D02E41">
        <w:rPr>
          <w:rFonts w:ascii="Arial" w:hAnsi="Arial" w:eastAsia="Arial" w:cs="Arial"/>
        </w:rPr>
        <w:t>(</w:t>
      </w:r>
      <w:r w:rsidRPr="7AD6DA35" w:rsidR="34D02E41">
        <w:rPr>
          <w:rFonts w:ascii="Arial" w:hAnsi="Arial" w:eastAsia="Arial" w:cs="Arial"/>
        </w:rPr>
        <w:t>Shamseer et al. 2026)</w:t>
      </w:r>
      <w:r w:rsidRPr="7AD6DA35" w:rsidR="34D02E41">
        <w:rPr>
          <w:rFonts w:ascii="Arial" w:hAnsi="Arial" w:eastAsia="Arial" w:cs="Arial"/>
        </w:rPr>
        <w:t>.</w:t>
      </w:r>
    </w:p>
    <w:p w:rsidR="39D12909" w:rsidP="56062124" w:rsidRDefault="39D12909" w14:paraId="264E8039" w14:textId="7508ADD4">
      <w:pPr>
        <w:spacing w:before="210" w:after="210" w:line="300" w:lineRule="auto"/>
        <w:rPr>
          <w:rFonts w:ascii="Arial" w:hAnsi="Arial" w:eastAsia="Arial" w:cs="Arial"/>
        </w:rPr>
      </w:pPr>
      <w:r w:rsidRPr="56062124">
        <w:rPr>
          <w:rFonts w:ascii="Arial" w:hAnsi="Arial" w:eastAsia="Arial" w:cs="Arial"/>
        </w:rPr>
        <w:t>The analysis revealed that excessive reliance on technology, combined with limited independent scrutiny and inadequate stakeholder engagement, prevented organisations from identifying and addressing risks effectively. The critical discussion further demonstrated that theories of governance, organisational culture, and risk management help explain why the failures persisted for so long.</w:t>
      </w:r>
    </w:p>
    <w:p w:rsidR="39D12909" w:rsidP="56062124" w:rsidRDefault="39D12909" w14:paraId="34F541AA" w14:textId="374F5DBD">
      <w:pPr>
        <w:spacing w:before="210" w:after="210" w:line="300" w:lineRule="auto"/>
        <w:rPr>
          <w:rFonts w:ascii="Arial" w:hAnsi="Arial" w:eastAsia="Arial" w:cs="Arial"/>
        </w:rPr>
      </w:pPr>
      <w:r w:rsidRPr="7AD6DA35" w:rsidR="1C912004">
        <w:rPr>
          <w:rFonts w:ascii="Arial" w:hAnsi="Arial" w:eastAsia="Arial" w:cs="Arial"/>
        </w:rPr>
        <w:t xml:space="preserve">Comparison with the literature review showed strong alignment between existing theoretical perspectives and the empirical findings of this study. However, the case also </w:t>
      </w:r>
      <w:r w:rsidRPr="7AD6DA35" w:rsidR="1C912004">
        <w:rPr>
          <w:rFonts w:ascii="Arial" w:hAnsi="Arial" w:eastAsia="Arial" w:cs="Arial"/>
        </w:rPr>
        <w:t>highlights the need for greater integration between technology governance, or</w:t>
      </w:r>
      <w:r w:rsidRPr="7AD6DA35" w:rsidR="1C912004">
        <w:rPr>
          <w:rFonts w:ascii="Arial" w:hAnsi="Arial" w:eastAsia="Arial" w:cs="Arial"/>
        </w:rPr>
        <w:t>ganisational accountability, and digital transformation management</w:t>
      </w:r>
      <w:r w:rsidRPr="7AD6DA35" w:rsidR="55D02CE0">
        <w:rPr>
          <w:rFonts w:ascii="Arial" w:hAnsi="Arial" w:eastAsia="Arial" w:cs="Arial"/>
        </w:rPr>
        <w:t xml:space="preserve"> (</w:t>
      </w:r>
      <w:r w:rsidRPr="7AD6DA35" w:rsidR="55D02CE0">
        <w:rPr>
          <w:rFonts w:ascii="Arial" w:hAnsi="Arial" w:eastAsia="Arial" w:cs="Arial"/>
        </w:rPr>
        <w:t>Shamseer et al. 2026)</w:t>
      </w:r>
      <w:r w:rsidRPr="7AD6DA35" w:rsidR="55D02CE0">
        <w:rPr>
          <w:rFonts w:ascii="Arial" w:hAnsi="Arial" w:eastAsia="Arial" w:cs="Arial"/>
        </w:rPr>
        <w:t>.</w:t>
      </w:r>
    </w:p>
    <w:p w:rsidR="39D12909" w:rsidP="56062124" w:rsidRDefault="39D12909" w14:paraId="0A104B89" w14:textId="27D0DEB1">
      <w:pPr>
        <w:spacing w:before="210" w:after="210" w:line="300" w:lineRule="auto"/>
        <w:rPr>
          <w:rFonts w:ascii="Arial" w:hAnsi="Arial" w:eastAsia="Arial" w:cs="Arial"/>
        </w:rPr>
      </w:pPr>
      <w:r w:rsidRPr="56062124">
        <w:rPr>
          <w:rFonts w:ascii="Arial" w:hAnsi="Arial" w:eastAsia="Arial" w:cs="Arial"/>
        </w:rPr>
        <w:t xml:space="preserve">Overall, the chapter concludes that the Horizon scandal represents a significant lesson in organisational governance and technology management. It demonstrates that successful digital transformation requires not only reliable systems but also effective leadership, transparent governance structures, strong ethical accountability, and organisational cultures that encourage challenge and continuous learning. </w:t>
      </w:r>
    </w:p>
    <w:p w:rsidR="56062124" w:rsidP="56062124" w:rsidRDefault="56062124" w14:paraId="2A8F24C2" w14:textId="79067CE9">
      <w:pPr>
        <w:rPr>
          <w:rFonts w:ascii="Arial" w:hAnsi="Arial" w:eastAsia="Arial" w:cs="Arial"/>
        </w:rPr>
      </w:pPr>
    </w:p>
    <w:p w:rsidR="56062124" w:rsidP="56062124" w:rsidRDefault="56062124" w14:paraId="7FCD3DFE" w14:textId="1821D5B1">
      <w:pPr>
        <w:rPr>
          <w:rFonts w:ascii="Arial" w:hAnsi="Arial" w:eastAsia="Arial" w:cs="Arial"/>
        </w:rPr>
      </w:pPr>
    </w:p>
    <w:p w:rsidR="56062124" w:rsidP="56062124" w:rsidRDefault="56062124" w14:paraId="5ACD9527" w14:textId="4597138D">
      <w:pPr>
        <w:rPr>
          <w:rFonts w:ascii="Arial" w:hAnsi="Arial" w:eastAsia="Arial" w:cs="Arial"/>
        </w:rPr>
      </w:pPr>
    </w:p>
    <w:p w:rsidR="56062124" w:rsidP="56062124" w:rsidRDefault="56062124" w14:paraId="676D9DA2" w14:textId="02F7E35A">
      <w:pPr>
        <w:rPr>
          <w:rFonts w:ascii="Arial" w:hAnsi="Arial" w:eastAsia="Arial" w:cs="Arial"/>
        </w:rPr>
      </w:pPr>
    </w:p>
    <w:p w:rsidR="56062124" w:rsidP="56062124" w:rsidRDefault="56062124" w14:paraId="07F8332F" w14:textId="39CBB23D">
      <w:pPr>
        <w:rPr>
          <w:rFonts w:ascii="Arial" w:hAnsi="Arial" w:eastAsia="Arial" w:cs="Arial"/>
        </w:rPr>
      </w:pPr>
    </w:p>
    <w:p w:rsidR="56062124" w:rsidP="56062124" w:rsidRDefault="56062124" w14:paraId="466DBEFD" w14:textId="195B441C">
      <w:pPr>
        <w:rPr>
          <w:rFonts w:ascii="Arial" w:hAnsi="Arial" w:eastAsia="Arial" w:cs="Arial"/>
        </w:rPr>
      </w:pPr>
    </w:p>
    <w:p w:rsidR="56062124" w:rsidP="56062124" w:rsidRDefault="56062124" w14:paraId="51B6CA3D" w14:textId="50FE9086">
      <w:pPr>
        <w:rPr>
          <w:rFonts w:ascii="Arial" w:hAnsi="Arial" w:eastAsia="Arial" w:cs="Arial"/>
        </w:rPr>
      </w:pPr>
    </w:p>
    <w:p w:rsidR="56062124" w:rsidP="56062124" w:rsidRDefault="56062124" w14:paraId="65B68CAC" w14:textId="112BEF6F">
      <w:pPr>
        <w:rPr>
          <w:rFonts w:ascii="Arial" w:hAnsi="Arial" w:eastAsia="Arial" w:cs="Arial"/>
        </w:rPr>
      </w:pPr>
    </w:p>
    <w:p w:rsidR="56062124" w:rsidP="56062124" w:rsidRDefault="56062124" w14:paraId="36D41B6F" w14:textId="1ACCE11E">
      <w:pPr>
        <w:rPr>
          <w:rFonts w:ascii="Arial" w:hAnsi="Arial" w:eastAsia="Arial" w:cs="Arial"/>
        </w:rPr>
      </w:pPr>
    </w:p>
    <w:p w:rsidR="7AD6DA35" w:rsidP="7AD6DA35" w:rsidRDefault="7AD6DA35" w14:paraId="2425077E" w14:textId="6BFEC104">
      <w:pPr>
        <w:rPr>
          <w:rFonts w:ascii="Arial" w:hAnsi="Arial" w:eastAsia="Arial" w:cs="Arial"/>
        </w:rPr>
      </w:pPr>
    </w:p>
    <w:p w:rsidR="7AD6DA35" w:rsidP="7AD6DA35" w:rsidRDefault="7AD6DA35" w14:paraId="7E06C050" w14:textId="43A81649">
      <w:pPr>
        <w:rPr>
          <w:rFonts w:ascii="Arial" w:hAnsi="Arial" w:eastAsia="Arial" w:cs="Arial"/>
        </w:rPr>
      </w:pPr>
    </w:p>
    <w:p w:rsidR="7AD6DA35" w:rsidP="7AD6DA35" w:rsidRDefault="7AD6DA35" w14:paraId="3634DD2C" w14:textId="23AFDEB3">
      <w:pPr>
        <w:rPr>
          <w:rFonts w:ascii="Arial" w:hAnsi="Arial" w:eastAsia="Arial" w:cs="Arial"/>
        </w:rPr>
      </w:pPr>
    </w:p>
    <w:p w:rsidR="7AD6DA35" w:rsidP="7AD6DA35" w:rsidRDefault="7AD6DA35" w14:paraId="206BCD4A" w14:textId="01051094">
      <w:pPr>
        <w:rPr>
          <w:rFonts w:ascii="Arial" w:hAnsi="Arial" w:eastAsia="Arial" w:cs="Arial"/>
        </w:rPr>
      </w:pPr>
    </w:p>
    <w:p w:rsidR="7AD6DA35" w:rsidP="7AD6DA35" w:rsidRDefault="7AD6DA35" w14:paraId="14FAB217" w14:textId="08E8F9D4">
      <w:pPr>
        <w:rPr>
          <w:rFonts w:ascii="Arial" w:hAnsi="Arial" w:eastAsia="Arial" w:cs="Arial"/>
        </w:rPr>
      </w:pPr>
    </w:p>
    <w:p w:rsidR="37FC2DFB" w:rsidP="7AD6DA35" w:rsidRDefault="37FC2DFB" w14:paraId="74414747" w14:textId="0ADF8706">
      <w:pPr>
        <w:pStyle w:val="Heading1"/>
        <w:spacing w:before="281" w:after="281" w:line="300" w:lineRule="auto"/>
        <w:rPr>
          <w:rFonts w:ascii="Arial" w:hAnsi="Arial" w:eastAsia="Arial" w:cs="Arial"/>
          <w:b w:val="1"/>
          <w:bCs w:val="1"/>
          <w:color w:val="auto"/>
          <w:sz w:val="24"/>
          <w:szCs w:val="24"/>
        </w:rPr>
      </w:pPr>
      <w:bookmarkStart w:name="_Toc692634960" w:id="1706307858"/>
      <w:r w:rsidRPr="7AD6DA35" w:rsidR="5B07DCB6">
        <w:rPr>
          <w:rFonts w:ascii="Arial" w:hAnsi="Arial" w:eastAsia="Arial" w:cs="Arial"/>
          <w:b w:val="1"/>
          <w:bCs w:val="1"/>
          <w:color w:val="auto"/>
          <w:sz w:val="24"/>
          <w:szCs w:val="24"/>
        </w:rPr>
        <w:t>Chapter 5: Conclusions and Recommendations</w:t>
      </w:r>
      <w:bookmarkEnd w:id="1706307858"/>
    </w:p>
    <w:p w:rsidR="37FC2DFB" w:rsidP="56062124" w:rsidRDefault="37FC2DFB" w14:paraId="7C959103" w14:textId="31F3706E">
      <w:pPr>
        <w:spacing w:before="210" w:after="210" w:line="300" w:lineRule="auto"/>
        <w:rPr>
          <w:rFonts w:ascii="Arial" w:hAnsi="Arial" w:eastAsia="Arial" w:cs="Arial"/>
        </w:rPr>
      </w:pPr>
      <w:r w:rsidRPr="7AD6DA35" w:rsidR="5B07DCB6">
        <w:rPr>
          <w:rFonts w:ascii="Arial" w:hAnsi="Arial" w:eastAsia="Arial" w:cs="Arial"/>
        </w:rPr>
        <w:t xml:space="preserve">This chapter presents the conclusions and recommendations arising from the secondary research undertaken on </w:t>
      </w:r>
      <w:r w:rsidRPr="7AD6DA35" w:rsidR="5B07DCB6">
        <w:rPr>
          <w:rFonts w:ascii="Arial" w:hAnsi="Arial" w:eastAsia="Arial" w:cs="Arial"/>
          <w:b w:val="1"/>
          <w:bCs w:val="1"/>
        </w:rPr>
        <w:t>"An Analysis of the Horizon System Failures, Organisational Governance, and Transition Risks: A Case Study of the UK Post Office."</w:t>
      </w:r>
      <w:r w:rsidRPr="7AD6DA35" w:rsidR="5B07DCB6">
        <w:rPr>
          <w:rFonts w:ascii="Arial" w:hAnsi="Arial" w:eastAsia="Arial" w:cs="Arial"/>
        </w:rPr>
        <w:t xml:space="preserve"> The chapter summarises the key findings of the study and evaluates them against the research objectives. It further provides practical recommendations aimed at improving organisational governance, technology risk management, and accountability within public sector organisations. Finally, the chapter outlines the limitations of the study and identifies areas for future research.</w:t>
      </w:r>
    </w:p>
    <w:p w:rsidR="37FC2DFB" w:rsidP="56062124" w:rsidRDefault="37FC2DFB" w14:paraId="5E5B183E" w14:textId="588EEE58">
      <w:pPr>
        <w:pStyle w:val="Heading1"/>
        <w:spacing w:before="281" w:after="281" w:line="300" w:lineRule="auto"/>
        <w:rPr>
          <w:rFonts w:ascii="Arial" w:hAnsi="Arial" w:eastAsia="Arial" w:cs="Arial"/>
          <w:b w:val="1"/>
          <w:bCs w:val="1"/>
          <w:color w:val="auto"/>
          <w:sz w:val="24"/>
          <w:szCs w:val="24"/>
        </w:rPr>
      </w:pPr>
      <w:bookmarkStart w:name="_Toc1680252823" w:id="105658061"/>
      <w:r w:rsidRPr="7AD6DA35" w:rsidR="544F8FE2">
        <w:rPr>
          <w:rFonts w:ascii="Arial" w:hAnsi="Arial" w:eastAsia="Arial" w:cs="Arial"/>
          <w:b w:val="1"/>
          <w:bCs w:val="1"/>
          <w:color w:val="auto"/>
          <w:sz w:val="24"/>
          <w:szCs w:val="24"/>
        </w:rPr>
        <w:t xml:space="preserve">5.1. </w:t>
      </w:r>
      <w:r w:rsidRPr="7AD6DA35" w:rsidR="5B07DCB6">
        <w:rPr>
          <w:rFonts w:ascii="Arial" w:hAnsi="Arial" w:eastAsia="Arial" w:cs="Arial"/>
          <w:b w:val="1"/>
          <w:bCs w:val="1"/>
          <w:color w:val="auto"/>
          <w:sz w:val="24"/>
          <w:szCs w:val="24"/>
        </w:rPr>
        <w:t>Summary of the Study</w:t>
      </w:r>
      <w:bookmarkEnd w:id="105658061"/>
    </w:p>
    <w:p w:rsidR="37FC2DFB" w:rsidP="56062124" w:rsidRDefault="37FC2DFB" w14:paraId="0119644E" w14:textId="60C20DF9">
      <w:pPr>
        <w:spacing w:before="210" w:after="210" w:line="300" w:lineRule="auto"/>
        <w:rPr>
          <w:rFonts w:ascii="Arial" w:hAnsi="Arial" w:eastAsia="Arial" w:cs="Arial"/>
        </w:rPr>
      </w:pPr>
      <w:r w:rsidRPr="56062124">
        <w:rPr>
          <w:rFonts w:ascii="Arial" w:hAnsi="Arial" w:eastAsia="Arial" w:cs="Arial"/>
        </w:rPr>
        <w:t>The purpose of this research was to analyse the factors that contributed to the Horizon scandal by examining the interaction between technological failures, governance shortcomings, and organisational transition risks within the UK Post Office. The study was motivated by the importance of understanding how large-scale digital transformation programmes can fail when effective governance and accountability mechanisms are absent.</w:t>
      </w:r>
    </w:p>
    <w:p w:rsidR="37FC2DFB" w:rsidP="56062124" w:rsidRDefault="37FC2DFB" w14:paraId="10736DBC" w14:textId="1790C537">
      <w:pPr>
        <w:spacing w:before="210" w:after="210" w:line="300" w:lineRule="auto"/>
        <w:rPr>
          <w:rFonts w:ascii="Arial" w:hAnsi="Arial" w:eastAsia="Arial" w:cs="Arial"/>
        </w:rPr>
      </w:pPr>
      <w:r w:rsidRPr="56062124">
        <w:rPr>
          <w:rFonts w:ascii="Arial" w:hAnsi="Arial" w:eastAsia="Arial" w:cs="Arial"/>
        </w:rPr>
        <w:t>A secondary research methodology was adopted, involving the collection and analysis of existing academic literature, government reports, parliamentary investigations, legal judgments, inquiry reports, and relevant industry publications. This approach enabled the research to draw upon a broad range of credible sources and provide a comprehensive understanding of the Horizon scandal.</w:t>
      </w:r>
    </w:p>
    <w:p w:rsidR="37FC2DFB" w:rsidP="56062124" w:rsidRDefault="37FC2DFB" w14:paraId="1822F12C" w14:textId="61CFA713">
      <w:pPr>
        <w:spacing w:before="210" w:after="210" w:line="300" w:lineRule="auto"/>
        <w:rPr>
          <w:rFonts w:ascii="Arial" w:hAnsi="Arial" w:eastAsia="Arial" w:cs="Arial"/>
        </w:rPr>
      </w:pPr>
      <w:r w:rsidRPr="56062124">
        <w:rPr>
          <w:rFonts w:ascii="Arial" w:hAnsi="Arial" w:eastAsia="Arial" w:cs="Arial"/>
        </w:rPr>
        <w:t>The findings revealed that the scandal was not solely the result of software defects within the Horizon system. Rather, it emerged from a combination of technological shortcomings, weak governance structures, ineffective risk management practices, and organisational cultural issues. The evidence demonstrated that the Post Office continued to rely heavily on the Horizon system despite repeated concerns regarding its reliability. Furthermore, governance mechanisms failed to challenge assumptions surrounding the accuracy of the system, while organisational culture discouraged the escalation of concerns raised by sub-postmasters.</w:t>
      </w:r>
    </w:p>
    <w:p w:rsidR="37FC2DFB" w:rsidP="56062124" w:rsidRDefault="37FC2DFB" w14:paraId="2638CEF0" w14:textId="6EA7E024">
      <w:pPr>
        <w:spacing w:before="210" w:after="210" w:line="300" w:lineRule="auto"/>
        <w:rPr>
          <w:rFonts w:ascii="Arial" w:hAnsi="Arial" w:eastAsia="Arial" w:cs="Arial"/>
        </w:rPr>
      </w:pPr>
      <w:r w:rsidRPr="56062124">
        <w:rPr>
          <w:rFonts w:ascii="Arial" w:hAnsi="Arial" w:eastAsia="Arial" w:cs="Arial"/>
        </w:rPr>
        <w:t>The research also highlighted the significant transition risks associated with large-scale technology implementation. The introduction and operation of Horizon represented a major organisational transformation that required continuous oversight, stakeholder engagement, and risk assessment. However, failures in these areas contributed to prolonged organisational and legal consequences.</w:t>
      </w:r>
    </w:p>
    <w:p w:rsidR="37FC2DFB" w:rsidP="56062124" w:rsidRDefault="37FC2DFB" w14:paraId="37F22BE8" w14:textId="06F549A7">
      <w:pPr>
        <w:spacing w:before="210" w:after="210" w:line="300" w:lineRule="auto"/>
        <w:rPr>
          <w:rFonts w:ascii="Arial" w:hAnsi="Arial" w:eastAsia="Arial" w:cs="Arial"/>
        </w:rPr>
      </w:pPr>
      <w:r w:rsidRPr="56062124">
        <w:rPr>
          <w:rFonts w:ascii="Arial" w:hAnsi="Arial" w:eastAsia="Arial" w:cs="Arial"/>
        </w:rPr>
        <w:t>Overall, the study demonstrated that digital transformation initiatives require more than technological capability alone. Effective governance, accountability, transparency, and risk management are equally important in ensuring successful implementation and protecting stakeholders from adverse outcomes.</w:t>
      </w:r>
    </w:p>
    <w:p w:rsidR="37FC2DFB" w:rsidP="56062124" w:rsidRDefault="37FC2DFB" w14:paraId="017C2F78" w14:textId="7A149C1A">
      <w:pPr>
        <w:pStyle w:val="Heading1"/>
        <w:spacing w:before="281" w:after="281" w:line="300" w:lineRule="auto"/>
        <w:rPr>
          <w:rFonts w:ascii="Arial" w:hAnsi="Arial" w:eastAsia="Arial" w:cs="Arial"/>
          <w:b w:val="1"/>
          <w:bCs w:val="1"/>
          <w:color w:val="auto"/>
          <w:sz w:val="24"/>
          <w:szCs w:val="24"/>
        </w:rPr>
      </w:pPr>
      <w:bookmarkStart w:name="_Toc1718835969" w:id="1223464586"/>
      <w:r w:rsidRPr="7AD6DA35" w:rsidR="65AB5A3B">
        <w:rPr>
          <w:rFonts w:ascii="Arial" w:hAnsi="Arial" w:eastAsia="Arial" w:cs="Arial"/>
          <w:b w:val="1"/>
          <w:bCs w:val="1"/>
          <w:color w:val="auto"/>
          <w:sz w:val="24"/>
          <w:szCs w:val="24"/>
        </w:rPr>
        <w:t xml:space="preserve">5.1. </w:t>
      </w:r>
      <w:r w:rsidRPr="7AD6DA35" w:rsidR="5B07DCB6">
        <w:rPr>
          <w:rFonts w:ascii="Arial" w:hAnsi="Arial" w:eastAsia="Arial" w:cs="Arial"/>
          <w:b w:val="1"/>
          <w:bCs w:val="1"/>
          <w:color w:val="auto"/>
          <w:sz w:val="24"/>
          <w:szCs w:val="24"/>
        </w:rPr>
        <w:t>Conclusions</w:t>
      </w:r>
      <w:bookmarkEnd w:id="1223464586"/>
    </w:p>
    <w:p w:rsidR="37FC2DFB" w:rsidP="56062124" w:rsidRDefault="37FC2DFB" w14:paraId="1E005C68" w14:textId="03369259">
      <w:pPr>
        <w:spacing w:before="210" w:after="210" w:line="300" w:lineRule="auto"/>
        <w:rPr>
          <w:rFonts w:ascii="Arial" w:hAnsi="Arial" w:eastAsia="Arial" w:cs="Arial"/>
        </w:rPr>
      </w:pPr>
      <w:r w:rsidRPr="56062124">
        <w:rPr>
          <w:rFonts w:ascii="Arial" w:hAnsi="Arial" w:eastAsia="Arial" w:cs="Arial"/>
        </w:rPr>
        <w:t>The conclusions of this study are presented in relation to the research objectives.</w:t>
      </w:r>
    </w:p>
    <w:p w:rsidR="37FC2DFB" w:rsidP="56062124" w:rsidRDefault="37FC2DFB" w14:paraId="4BEE24D6" w14:textId="450BF7A5">
      <w:pPr>
        <w:pStyle w:val="Heading3"/>
        <w:spacing w:before="246" w:after="246" w:line="300" w:lineRule="auto"/>
        <w:rPr>
          <w:rFonts w:ascii="Arial" w:hAnsi="Arial" w:eastAsia="Arial" w:cs="Arial"/>
          <w:b w:val="1"/>
          <w:bCs w:val="1"/>
          <w:color w:val="auto"/>
          <w:sz w:val="24"/>
          <w:szCs w:val="24"/>
        </w:rPr>
      </w:pPr>
      <w:bookmarkStart w:name="_Toc1610258740" w:id="1378214090"/>
      <w:r w:rsidRPr="7AD6DA35" w:rsidR="61D486D3">
        <w:rPr>
          <w:rFonts w:ascii="Arial" w:hAnsi="Arial" w:eastAsia="Arial" w:cs="Arial"/>
          <w:b w:val="1"/>
          <w:bCs w:val="1"/>
          <w:color w:val="auto"/>
          <w:sz w:val="24"/>
          <w:szCs w:val="24"/>
        </w:rPr>
        <w:t xml:space="preserve">5.2.1. </w:t>
      </w:r>
      <w:r w:rsidRPr="7AD6DA35" w:rsidR="5B07DCB6">
        <w:rPr>
          <w:rFonts w:ascii="Arial" w:hAnsi="Arial" w:eastAsia="Arial" w:cs="Arial"/>
          <w:b w:val="1"/>
          <w:bCs w:val="1"/>
          <w:color w:val="auto"/>
          <w:sz w:val="24"/>
          <w:szCs w:val="24"/>
        </w:rPr>
        <w:t>Objective 1: To examine the causes of the Horizon system failures</w:t>
      </w:r>
      <w:bookmarkEnd w:id="1378214090"/>
    </w:p>
    <w:p w:rsidR="37FC2DFB" w:rsidP="56062124" w:rsidRDefault="37FC2DFB" w14:paraId="086FAF76" w14:textId="30F5E7D3">
      <w:pPr>
        <w:spacing w:before="210" w:after="210" w:line="300" w:lineRule="auto"/>
        <w:rPr>
          <w:rFonts w:ascii="Arial" w:hAnsi="Arial" w:eastAsia="Arial" w:cs="Arial"/>
        </w:rPr>
      </w:pPr>
      <w:r w:rsidRPr="56062124">
        <w:rPr>
          <w:rFonts w:ascii="Arial" w:hAnsi="Arial" w:eastAsia="Arial" w:cs="Arial"/>
        </w:rPr>
        <w:t>The research concludes that the Horizon system contained technical defects and data discrepancies that challenged its reliability. Evidence from inquiries and legal proceedings demonstrated that software bugs, data integrity issues, and weaknesses in system monitoring contributed to accounting anomalies experienced by sub-postmasters. Although the technology was intended to improve efficiency and modernise Post Office operations, insufficient testing and oversight resulted in failures that significantly affected operational outcomes.</w:t>
      </w:r>
    </w:p>
    <w:p w:rsidR="37FC2DFB" w:rsidP="56062124" w:rsidRDefault="37FC2DFB" w14:paraId="576FAA08" w14:textId="1350B6D4">
      <w:pPr>
        <w:spacing w:before="210" w:after="210" w:line="300" w:lineRule="auto"/>
        <w:rPr>
          <w:rFonts w:ascii="Arial" w:hAnsi="Arial" w:eastAsia="Arial" w:cs="Arial"/>
        </w:rPr>
      </w:pPr>
      <w:r w:rsidRPr="56062124">
        <w:rPr>
          <w:rFonts w:ascii="Arial" w:hAnsi="Arial" w:eastAsia="Arial" w:cs="Arial"/>
        </w:rPr>
        <w:t>The findings therefore conclude that technological reliability was a critical issue within the Horizon scandal. However, technology itself was not the sole cause of the crisis.</w:t>
      </w:r>
    </w:p>
    <w:p w:rsidR="37FC2DFB" w:rsidP="56062124" w:rsidRDefault="37FC2DFB" w14:paraId="5BAEAA0A" w14:textId="5EC9E6D5">
      <w:pPr>
        <w:pStyle w:val="Heading3"/>
        <w:spacing w:before="246" w:after="246" w:line="300" w:lineRule="auto"/>
        <w:rPr>
          <w:rFonts w:ascii="Arial" w:hAnsi="Arial" w:eastAsia="Arial" w:cs="Arial"/>
          <w:b w:val="1"/>
          <w:bCs w:val="1"/>
          <w:color w:val="auto"/>
          <w:sz w:val="24"/>
          <w:szCs w:val="24"/>
        </w:rPr>
      </w:pPr>
      <w:bookmarkStart w:name="_Toc739436577" w:id="753863210"/>
      <w:r w:rsidRPr="7AD6DA35" w:rsidR="3EA5DCF6">
        <w:rPr>
          <w:rFonts w:ascii="Arial" w:hAnsi="Arial" w:eastAsia="Arial" w:cs="Arial"/>
          <w:b w:val="1"/>
          <w:bCs w:val="1"/>
          <w:color w:val="auto"/>
          <w:sz w:val="24"/>
          <w:szCs w:val="24"/>
        </w:rPr>
        <w:t xml:space="preserve">5.2.2. </w:t>
      </w:r>
      <w:r w:rsidRPr="7AD6DA35" w:rsidR="5B07DCB6">
        <w:rPr>
          <w:rFonts w:ascii="Arial" w:hAnsi="Arial" w:eastAsia="Arial" w:cs="Arial"/>
          <w:b w:val="1"/>
          <w:bCs w:val="1"/>
          <w:color w:val="auto"/>
          <w:sz w:val="24"/>
          <w:szCs w:val="24"/>
        </w:rPr>
        <w:t xml:space="preserve">Objective 2: To </w:t>
      </w:r>
      <w:r w:rsidRPr="7AD6DA35" w:rsidR="5B07DCB6">
        <w:rPr>
          <w:rFonts w:ascii="Arial" w:hAnsi="Arial" w:eastAsia="Arial" w:cs="Arial"/>
          <w:b w:val="1"/>
          <w:bCs w:val="1"/>
          <w:color w:val="auto"/>
          <w:sz w:val="24"/>
          <w:szCs w:val="24"/>
        </w:rPr>
        <w:t>analyse</w:t>
      </w:r>
      <w:r w:rsidRPr="7AD6DA35" w:rsidR="5B07DCB6">
        <w:rPr>
          <w:rFonts w:ascii="Arial" w:hAnsi="Arial" w:eastAsia="Arial" w:cs="Arial"/>
          <w:b w:val="1"/>
          <w:bCs w:val="1"/>
          <w:color w:val="auto"/>
          <w:sz w:val="24"/>
          <w:szCs w:val="24"/>
        </w:rPr>
        <w:t xml:space="preserve"> the role of </w:t>
      </w:r>
      <w:r w:rsidRPr="7AD6DA35" w:rsidR="5B07DCB6">
        <w:rPr>
          <w:rFonts w:ascii="Arial" w:hAnsi="Arial" w:eastAsia="Arial" w:cs="Arial"/>
          <w:b w:val="1"/>
          <w:bCs w:val="1"/>
          <w:color w:val="auto"/>
          <w:sz w:val="24"/>
          <w:szCs w:val="24"/>
        </w:rPr>
        <w:t>organisational</w:t>
      </w:r>
      <w:r w:rsidRPr="7AD6DA35" w:rsidR="5B07DCB6">
        <w:rPr>
          <w:rFonts w:ascii="Arial" w:hAnsi="Arial" w:eastAsia="Arial" w:cs="Arial"/>
          <w:b w:val="1"/>
          <w:bCs w:val="1"/>
          <w:color w:val="auto"/>
          <w:sz w:val="24"/>
          <w:szCs w:val="24"/>
        </w:rPr>
        <w:t xml:space="preserve"> governance in the Horizon scandal</w:t>
      </w:r>
      <w:bookmarkEnd w:id="753863210"/>
    </w:p>
    <w:p w:rsidR="37FC2DFB" w:rsidP="56062124" w:rsidRDefault="37FC2DFB" w14:paraId="6469D759" w14:textId="216F5426">
      <w:pPr>
        <w:spacing w:before="210" w:after="210" w:line="300" w:lineRule="auto"/>
        <w:rPr>
          <w:rFonts w:ascii="Arial" w:hAnsi="Arial" w:eastAsia="Arial" w:cs="Arial"/>
        </w:rPr>
      </w:pPr>
      <w:r w:rsidRPr="56062124">
        <w:rPr>
          <w:rFonts w:ascii="Arial" w:hAnsi="Arial" w:eastAsia="Arial" w:cs="Arial"/>
        </w:rPr>
        <w:t>The study concludes that governance failures played a central role in the continuation of the scandal. The Post Office's governance framework did not provide sufficient independent oversight of the Horizon system, nor did it adequately challenge organisational assumptions regarding system accuracy.</w:t>
      </w:r>
    </w:p>
    <w:p w:rsidR="37FC2DFB" w:rsidP="56062124" w:rsidRDefault="37FC2DFB" w14:paraId="3ADFA1A2" w14:textId="3B783B4E">
      <w:pPr>
        <w:spacing w:before="210" w:after="210" w:line="300" w:lineRule="auto"/>
        <w:rPr>
          <w:rFonts w:ascii="Arial" w:hAnsi="Arial" w:eastAsia="Arial" w:cs="Arial"/>
        </w:rPr>
      </w:pPr>
      <w:r w:rsidRPr="56062124">
        <w:rPr>
          <w:rFonts w:ascii="Arial" w:hAnsi="Arial" w:eastAsia="Arial" w:cs="Arial"/>
        </w:rPr>
        <w:t>Decision-makers appeared to place excessive confidence in technological outputs while failing to investigate concerns raised by stakeholders. Risk management processes were inadequate, and accountability structures did not effectively identify or address emerging risks. Consequently, governance weaknesses enabled technical problems to remain unresolved for an extended period.</w:t>
      </w:r>
    </w:p>
    <w:p w:rsidR="37FC2DFB" w:rsidP="56062124" w:rsidRDefault="37FC2DFB" w14:paraId="47ECE8F7" w14:textId="00EC66AA">
      <w:pPr>
        <w:spacing w:before="210" w:after="210" w:line="300" w:lineRule="auto"/>
        <w:rPr>
          <w:rFonts w:ascii="Arial" w:hAnsi="Arial" w:eastAsia="Arial" w:cs="Arial"/>
        </w:rPr>
      </w:pPr>
      <w:r w:rsidRPr="56062124">
        <w:rPr>
          <w:rFonts w:ascii="Arial" w:hAnsi="Arial" w:eastAsia="Arial" w:cs="Arial"/>
        </w:rPr>
        <w:t>The research therefore concludes that governance failures significantly amplified the consequences of the Horizon system defects.</w:t>
      </w:r>
    </w:p>
    <w:p w:rsidR="37FC2DFB" w:rsidP="56062124" w:rsidRDefault="37FC2DFB" w14:paraId="28C6C168" w14:textId="576ED0A8">
      <w:pPr>
        <w:pStyle w:val="Heading3"/>
        <w:spacing w:before="246" w:after="246" w:line="300" w:lineRule="auto"/>
        <w:rPr>
          <w:rFonts w:ascii="Arial" w:hAnsi="Arial" w:eastAsia="Arial" w:cs="Arial"/>
          <w:b w:val="1"/>
          <w:bCs w:val="1"/>
          <w:color w:val="auto"/>
          <w:sz w:val="24"/>
          <w:szCs w:val="24"/>
        </w:rPr>
      </w:pPr>
      <w:bookmarkStart w:name="_Toc289458107" w:id="1903493967"/>
      <w:r w:rsidRPr="7AD6DA35" w:rsidR="69C99341">
        <w:rPr>
          <w:rFonts w:ascii="Arial" w:hAnsi="Arial" w:eastAsia="Arial" w:cs="Arial"/>
          <w:b w:val="1"/>
          <w:bCs w:val="1"/>
          <w:color w:val="auto"/>
          <w:sz w:val="24"/>
          <w:szCs w:val="24"/>
        </w:rPr>
        <w:t xml:space="preserve">5.2.3. </w:t>
      </w:r>
      <w:r w:rsidRPr="7AD6DA35" w:rsidR="5B07DCB6">
        <w:rPr>
          <w:rFonts w:ascii="Arial" w:hAnsi="Arial" w:eastAsia="Arial" w:cs="Arial"/>
          <w:b w:val="1"/>
          <w:bCs w:val="1"/>
          <w:color w:val="auto"/>
          <w:sz w:val="24"/>
          <w:szCs w:val="24"/>
        </w:rPr>
        <w:t xml:space="preserve">Objective 3: To evaluate </w:t>
      </w:r>
      <w:r w:rsidRPr="7AD6DA35" w:rsidR="5B07DCB6">
        <w:rPr>
          <w:rFonts w:ascii="Arial" w:hAnsi="Arial" w:eastAsia="Arial" w:cs="Arial"/>
          <w:b w:val="1"/>
          <w:bCs w:val="1"/>
          <w:color w:val="auto"/>
          <w:sz w:val="24"/>
          <w:szCs w:val="24"/>
        </w:rPr>
        <w:t>organisational</w:t>
      </w:r>
      <w:r w:rsidRPr="7AD6DA35" w:rsidR="5B07DCB6">
        <w:rPr>
          <w:rFonts w:ascii="Arial" w:hAnsi="Arial" w:eastAsia="Arial" w:cs="Arial"/>
          <w:b w:val="1"/>
          <w:bCs w:val="1"/>
          <w:color w:val="auto"/>
          <w:sz w:val="24"/>
          <w:szCs w:val="24"/>
        </w:rPr>
        <w:t xml:space="preserve"> transition risks associated with digital transformation</w:t>
      </w:r>
      <w:bookmarkEnd w:id="1903493967"/>
    </w:p>
    <w:p w:rsidR="37FC2DFB" w:rsidP="56062124" w:rsidRDefault="37FC2DFB" w14:paraId="48BD4008" w14:textId="102D6D53">
      <w:pPr>
        <w:spacing w:before="210" w:after="210" w:line="300" w:lineRule="auto"/>
        <w:rPr>
          <w:rFonts w:ascii="Arial" w:hAnsi="Arial" w:eastAsia="Arial" w:cs="Arial"/>
        </w:rPr>
      </w:pPr>
      <w:r w:rsidRPr="56062124">
        <w:rPr>
          <w:rFonts w:ascii="Arial" w:hAnsi="Arial" w:eastAsia="Arial" w:cs="Arial"/>
        </w:rPr>
        <w:t>The findings indicate that the Horizon project reflected broader challenges associated with digital transformation and technological change. Many organisations focus primarily on technical implementation while underestimating organisational and human factors. In the case of the Post Office, transition risks relating to communication, stakeholder engagement, change management, and organisational learning were not effectively managed.</w:t>
      </w:r>
    </w:p>
    <w:p w:rsidR="37FC2DFB" w:rsidP="56062124" w:rsidRDefault="37FC2DFB" w14:paraId="692F2596" w14:textId="6EC053B7">
      <w:pPr>
        <w:spacing w:before="210" w:after="210" w:line="300" w:lineRule="auto"/>
        <w:rPr>
          <w:rFonts w:ascii="Arial" w:hAnsi="Arial" w:eastAsia="Arial" w:cs="Arial"/>
        </w:rPr>
      </w:pPr>
      <w:r w:rsidRPr="56062124">
        <w:rPr>
          <w:rFonts w:ascii="Arial" w:hAnsi="Arial" w:eastAsia="Arial" w:cs="Arial"/>
        </w:rPr>
        <w:lastRenderedPageBreak/>
        <w:t>The research concludes that successful digital transformation requires a balanced approach incorporating technological, organisational, and governance considerations. Failure to address these dimensions can result in severe operational, legal, and reputational consequences.</w:t>
      </w:r>
    </w:p>
    <w:p w:rsidR="37FC2DFB" w:rsidP="56062124" w:rsidRDefault="37FC2DFB" w14:paraId="6A25C1BD" w14:textId="59ABC993">
      <w:pPr>
        <w:pStyle w:val="Heading3"/>
        <w:spacing w:before="246" w:after="246" w:line="300" w:lineRule="auto"/>
        <w:rPr>
          <w:rFonts w:ascii="Arial" w:hAnsi="Arial" w:eastAsia="Arial" w:cs="Arial"/>
          <w:b w:val="1"/>
          <w:bCs w:val="1"/>
          <w:color w:val="auto"/>
          <w:sz w:val="24"/>
          <w:szCs w:val="24"/>
        </w:rPr>
      </w:pPr>
      <w:bookmarkStart w:name="_Toc637727096" w:id="1558304897"/>
      <w:r w:rsidRPr="7AD6DA35" w:rsidR="6601A6FA">
        <w:rPr>
          <w:rFonts w:ascii="Arial" w:hAnsi="Arial" w:eastAsia="Arial" w:cs="Arial"/>
          <w:b w:val="1"/>
          <w:bCs w:val="1"/>
          <w:color w:val="auto"/>
          <w:sz w:val="24"/>
          <w:szCs w:val="24"/>
        </w:rPr>
        <w:t xml:space="preserve">5.3. </w:t>
      </w:r>
      <w:r w:rsidRPr="7AD6DA35" w:rsidR="5B07DCB6">
        <w:rPr>
          <w:rFonts w:ascii="Arial" w:hAnsi="Arial" w:eastAsia="Arial" w:cs="Arial"/>
          <w:b w:val="1"/>
          <w:bCs w:val="1"/>
          <w:color w:val="auto"/>
          <w:sz w:val="24"/>
          <w:szCs w:val="24"/>
        </w:rPr>
        <w:t>Overall Conclusion</w:t>
      </w:r>
      <w:bookmarkEnd w:id="1558304897"/>
    </w:p>
    <w:p w:rsidR="37FC2DFB" w:rsidP="56062124" w:rsidRDefault="37FC2DFB" w14:paraId="79545083" w14:textId="22B8A9C8">
      <w:pPr>
        <w:spacing w:before="210" w:after="210" w:line="300" w:lineRule="auto"/>
        <w:rPr>
          <w:rFonts w:ascii="Arial" w:hAnsi="Arial" w:eastAsia="Arial" w:cs="Arial"/>
        </w:rPr>
      </w:pPr>
      <w:r w:rsidRPr="56062124">
        <w:rPr>
          <w:rFonts w:ascii="Arial" w:hAnsi="Arial" w:eastAsia="Arial" w:cs="Arial"/>
        </w:rPr>
        <w:t>The overall conclusion of this study is that the Horizon scandal represents a systemic organisational failure rather than an isolated technological failure. The interaction between defective technology, weak governance structures, poor risk management, and an organisational culture resistant to challenge created conditions that allowed injustices to persist for many years.</w:t>
      </w:r>
    </w:p>
    <w:p w:rsidR="37FC2DFB" w:rsidP="56062124" w:rsidRDefault="37FC2DFB" w14:paraId="6E13BD27" w14:textId="565E6A50">
      <w:pPr>
        <w:spacing w:before="210" w:after="210" w:line="300" w:lineRule="auto"/>
        <w:rPr>
          <w:rFonts w:ascii="Arial" w:hAnsi="Arial" w:eastAsia="Arial" w:cs="Arial"/>
        </w:rPr>
      </w:pPr>
      <w:r w:rsidRPr="56062124">
        <w:rPr>
          <w:rFonts w:ascii="Arial" w:hAnsi="Arial" w:eastAsia="Arial" w:cs="Arial"/>
        </w:rPr>
        <w:t>The case demonstrates that organisations cannot rely solely on technological systems without implementing appropriate oversight mechanisms. Effective governance, accountability, transparency, and ethical leadership are essential components of successful technology management and organisational transformation.</w:t>
      </w:r>
    </w:p>
    <w:p w:rsidR="37FC2DFB" w:rsidP="56062124" w:rsidRDefault="37FC2DFB" w14:paraId="33A290C3" w14:textId="303FFEA4">
      <w:pPr>
        <w:pStyle w:val="Heading1"/>
        <w:spacing w:before="281" w:after="281" w:line="300" w:lineRule="auto"/>
        <w:rPr>
          <w:rFonts w:ascii="Arial" w:hAnsi="Arial" w:eastAsia="Arial" w:cs="Arial"/>
          <w:b w:val="1"/>
          <w:bCs w:val="1"/>
          <w:color w:val="auto"/>
          <w:sz w:val="24"/>
          <w:szCs w:val="24"/>
        </w:rPr>
      </w:pPr>
      <w:bookmarkStart w:name="_Toc1931742089" w:id="1454880687"/>
      <w:r w:rsidRPr="7AD6DA35" w:rsidR="1E6A2CB7">
        <w:rPr>
          <w:rFonts w:ascii="Arial" w:hAnsi="Arial" w:eastAsia="Arial" w:cs="Arial"/>
          <w:b w:val="1"/>
          <w:bCs w:val="1"/>
          <w:color w:val="auto"/>
          <w:sz w:val="24"/>
          <w:szCs w:val="24"/>
        </w:rPr>
        <w:t xml:space="preserve">5.4. </w:t>
      </w:r>
      <w:r w:rsidRPr="7AD6DA35" w:rsidR="5B07DCB6">
        <w:rPr>
          <w:rFonts w:ascii="Arial" w:hAnsi="Arial" w:eastAsia="Arial" w:cs="Arial"/>
          <w:b w:val="1"/>
          <w:bCs w:val="1"/>
          <w:color w:val="auto"/>
          <w:sz w:val="24"/>
          <w:szCs w:val="24"/>
        </w:rPr>
        <w:t>Recommendations and Action Plan</w:t>
      </w:r>
      <w:bookmarkEnd w:id="1454880687"/>
    </w:p>
    <w:p w:rsidR="5767D54F" w:rsidP="7AD6DA35" w:rsidRDefault="5767D54F" w14:paraId="4E72E308" w14:textId="03369259">
      <w:pPr>
        <w:spacing w:before="210" w:after="210" w:line="300" w:lineRule="auto"/>
        <w:rPr>
          <w:rFonts w:ascii="Arial" w:hAnsi="Arial" w:eastAsia="Arial" w:cs="Arial"/>
        </w:rPr>
      </w:pPr>
      <w:r w:rsidRPr="7AD6DA35" w:rsidR="5767D54F">
        <w:rPr>
          <w:rFonts w:ascii="Arial" w:hAnsi="Arial" w:eastAsia="Arial" w:cs="Arial"/>
        </w:rPr>
        <w:t>The conclusions of this study are presented in relation to the research objectives.</w:t>
      </w:r>
    </w:p>
    <w:p w:rsidR="37FC2DFB" w:rsidP="56062124" w:rsidRDefault="37FC2DFB" w14:paraId="29DC21D0" w14:textId="231AD608">
      <w:pPr>
        <w:spacing w:before="210" w:after="210" w:line="300" w:lineRule="auto"/>
        <w:rPr>
          <w:rFonts w:ascii="Arial" w:hAnsi="Arial" w:eastAsia="Arial" w:cs="Arial"/>
        </w:rPr>
      </w:pPr>
      <w:r w:rsidRPr="56062124">
        <w:rPr>
          <w:rFonts w:ascii="Arial" w:hAnsi="Arial" w:eastAsia="Arial" w:cs="Arial"/>
        </w:rPr>
        <w:t>Based on the findings and conclusions of this study, several recommendations are proposed.</w:t>
      </w:r>
    </w:p>
    <w:p w:rsidR="37FC2DFB" w:rsidP="56062124" w:rsidRDefault="37FC2DFB" w14:paraId="02411EAC" w14:textId="748E105D">
      <w:pPr>
        <w:pStyle w:val="Heading3"/>
        <w:spacing w:before="246" w:after="246" w:line="300" w:lineRule="auto"/>
        <w:rPr>
          <w:rFonts w:ascii="Arial" w:hAnsi="Arial" w:eastAsia="Arial" w:cs="Arial"/>
          <w:b w:val="1"/>
          <w:bCs w:val="1"/>
          <w:color w:val="auto"/>
          <w:sz w:val="24"/>
          <w:szCs w:val="24"/>
        </w:rPr>
      </w:pPr>
      <w:bookmarkStart w:name="_Toc539397900" w:id="824112098"/>
      <w:r w:rsidRPr="7AD6DA35" w:rsidR="5B07DCB6">
        <w:rPr>
          <w:rFonts w:ascii="Arial" w:hAnsi="Arial" w:eastAsia="Arial" w:cs="Arial"/>
          <w:b w:val="1"/>
          <w:bCs w:val="1"/>
          <w:color w:val="auto"/>
          <w:sz w:val="24"/>
          <w:szCs w:val="24"/>
        </w:rPr>
        <w:t>Recommendation 1: Strengthen Technology Governance Frameworks</w:t>
      </w:r>
      <w:bookmarkEnd w:id="824112098"/>
    </w:p>
    <w:p w:rsidR="37FC2DFB" w:rsidP="56062124" w:rsidRDefault="37FC2DFB" w14:paraId="73783D90" w14:textId="723CA6BD">
      <w:pPr>
        <w:spacing w:before="210" w:after="210" w:line="300" w:lineRule="auto"/>
        <w:rPr>
          <w:rFonts w:ascii="Arial" w:hAnsi="Arial" w:eastAsia="Arial" w:cs="Arial"/>
        </w:rPr>
      </w:pPr>
      <w:r w:rsidRPr="56062124">
        <w:rPr>
          <w:rFonts w:ascii="Arial" w:hAnsi="Arial" w:eastAsia="Arial" w:cs="Arial"/>
        </w:rPr>
        <w:t>Organisations should establish dedicated governance structures responsible for overseeing major technology programmes. Independent technology assurance reviews should be conducted regularly to verify system accuracy and identify emerging risks.</w:t>
      </w:r>
    </w:p>
    <w:p w:rsidR="37FC2DFB" w:rsidP="56062124" w:rsidRDefault="37FC2DFB" w14:paraId="69728393" w14:textId="7E1CB267">
      <w:pPr>
        <w:spacing w:before="210" w:after="210" w:line="300" w:lineRule="auto"/>
        <w:rPr>
          <w:rFonts w:ascii="Arial" w:hAnsi="Arial" w:eastAsia="Arial" w:cs="Arial"/>
          <w:b/>
          <w:bCs/>
        </w:rPr>
      </w:pPr>
      <w:r w:rsidRPr="56062124">
        <w:rPr>
          <w:rFonts w:ascii="Arial" w:hAnsi="Arial" w:eastAsia="Arial" w:cs="Arial"/>
          <w:b/>
          <w:bCs/>
        </w:rPr>
        <w:t>Action Plan:</w:t>
      </w:r>
    </w:p>
    <w:p w:rsidR="37FC2DFB" w:rsidP="56062124" w:rsidRDefault="37FC2DFB" w14:paraId="66C0326C" w14:textId="2D2E5E6D">
      <w:pPr>
        <w:pStyle w:val="ListParagraph"/>
        <w:numPr>
          <w:ilvl w:val="0"/>
          <w:numId w:val="5"/>
        </w:numPr>
        <w:spacing w:after="0" w:line="300" w:lineRule="auto"/>
        <w:rPr>
          <w:rFonts w:ascii="Arial" w:hAnsi="Arial" w:eastAsia="Arial" w:cs="Arial"/>
        </w:rPr>
      </w:pPr>
      <w:r w:rsidRPr="56062124">
        <w:rPr>
          <w:rFonts w:ascii="Arial" w:hAnsi="Arial" w:eastAsia="Arial" w:cs="Arial"/>
        </w:rPr>
        <w:t>Create independent technology oversight committees.</w:t>
      </w:r>
    </w:p>
    <w:p w:rsidR="37FC2DFB" w:rsidP="56062124" w:rsidRDefault="37FC2DFB" w14:paraId="227AE675" w14:textId="5C125FAB">
      <w:pPr>
        <w:pStyle w:val="ListParagraph"/>
        <w:numPr>
          <w:ilvl w:val="0"/>
          <w:numId w:val="5"/>
        </w:numPr>
        <w:spacing w:after="0" w:line="300" w:lineRule="auto"/>
        <w:rPr>
          <w:rFonts w:ascii="Arial" w:hAnsi="Arial" w:eastAsia="Arial" w:cs="Arial"/>
        </w:rPr>
      </w:pPr>
      <w:r w:rsidRPr="56062124">
        <w:rPr>
          <w:rFonts w:ascii="Arial" w:hAnsi="Arial" w:eastAsia="Arial" w:cs="Arial"/>
        </w:rPr>
        <w:t>Conduct annual system audits.</w:t>
      </w:r>
    </w:p>
    <w:p w:rsidR="37FC2DFB" w:rsidP="56062124" w:rsidRDefault="37FC2DFB" w14:paraId="711800E7" w14:textId="15CF6EC4">
      <w:pPr>
        <w:pStyle w:val="ListParagraph"/>
        <w:numPr>
          <w:ilvl w:val="0"/>
          <w:numId w:val="5"/>
        </w:numPr>
        <w:spacing w:after="0" w:line="300" w:lineRule="auto"/>
        <w:rPr>
          <w:rFonts w:ascii="Arial" w:hAnsi="Arial" w:eastAsia="Arial" w:cs="Arial"/>
        </w:rPr>
      </w:pPr>
      <w:r w:rsidRPr="56062124">
        <w:rPr>
          <w:rFonts w:ascii="Arial" w:hAnsi="Arial" w:eastAsia="Arial" w:cs="Arial"/>
        </w:rPr>
        <w:t>Implement continuous monitoring and assurance processes.</w:t>
      </w:r>
    </w:p>
    <w:p w:rsidR="37FC2DFB" w:rsidP="56062124" w:rsidRDefault="37FC2DFB" w14:paraId="445A8630" w14:textId="22E0475A">
      <w:pPr>
        <w:pStyle w:val="ListParagraph"/>
        <w:numPr>
          <w:ilvl w:val="0"/>
          <w:numId w:val="5"/>
        </w:numPr>
        <w:spacing w:after="0" w:line="300" w:lineRule="auto"/>
        <w:rPr>
          <w:rFonts w:ascii="Arial" w:hAnsi="Arial" w:eastAsia="Arial" w:cs="Arial"/>
        </w:rPr>
      </w:pPr>
      <w:r w:rsidRPr="56062124">
        <w:rPr>
          <w:rFonts w:ascii="Arial" w:hAnsi="Arial" w:eastAsia="Arial" w:cs="Arial"/>
        </w:rPr>
        <w:t>Report findings directly to senior leadership and boards.</w:t>
      </w:r>
    </w:p>
    <w:p w:rsidR="37FC2DFB" w:rsidP="56062124" w:rsidRDefault="37FC2DFB" w14:paraId="6122DE86" w14:textId="083C9CCB">
      <w:pPr>
        <w:pStyle w:val="Heading3"/>
        <w:spacing w:before="246" w:after="246" w:line="300" w:lineRule="auto"/>
        <w:rPr>
          <w:rFonts w:ascii="Arial" w:hAnsi="Arial" w:eastAsia="Arial" w:cs="Arial"/>
          <w:b w:val="1"/>
          <w:bCs w:val="1"/>
          <w:color w:val="auto"/>
          <w:sz w:val="24"/>
          <w:szCs w:val="24"/>
        </w:rPr>
      </w:pPr>
      <w:bookmarkStart w:name="_Toc652226521" w:id="107653922"/>
      <w:r w:rsidRPr="7AD6DA35" w:rsidR="5B07DCB6">
        <w:rPr>
          <w:rFonts w:ascii="Arial" w:hAnsi="Arial" w:eastAsia="Arial" w:cs="Arial"/>
          <w:b w:val="1"/>
          <w:bCs w:val="1"/>
          <w:color w:val="auto"/>
          <w:sz w:val="24"/>
          <w:szCs w:val="24"/>
        </w:rPr>
        <w:t>Recommendation 2: Enhance Board-Level Accountability</w:t>
      </w:r>
      <w:bookmarkEnd w:id="107653922"/>
    </w:p>
    <w:p w:rsidR="37FC2DFB" w:rsidP="56062124" w:rsidRDefault="37FC2DFB" w14:paraId="1C60B1BD" w14:textId="1A22C43A">
      <w:pPr>
        <w:spacing w:before="210" w:after="210" w:line="300" w:lineRule="auto"/>
        <w:rPr>
          <w:rFonts w:ascii="Arial" w:hAnsi="Arial" w:eastAsia="Arial" w:cs="Arial"/>
        </w:rPr>
      </w:pPr>
      <w:r w:rsidRPr="56062124">
        <w:rPr>
          <w:rFonts w:ascii="Arial" w:hAnsi="Arial" w:eastAsia="Arial" w:cs="Arial"/>
        </w:rPr>
        <w:t xml:space="preserve">Board members should possess sufficient understanding of technology-related risks to effectively challenge management decisions. Governance arrangements should ensure </w:t>
      </w:r>
      <w:r w:rsidRPr="56062124">
        <w:rPr>
          <w:rFonts w:ascii="Arial" w:hAnsi="Arial" w:eastAsia="Arial" w:cs="Arial"/>
        </w:rPr>
        <w:lastRenderedPageBreak/>
        <w:t>that technology risks receive the same level of scrutiny as financial and operational risks.</w:t>
      </w:r>
    </w:p>
    <w:p w:rsidR="37FC2DFB" w:rsidP="56062124" w:rsidRDefault="37FC2DFB" w14:paraId="599CD5CE" w14:textId="7F5ED2E8">
      <w:pPr>
        <w:spacing w:before="210" w:after="210" w:line="300" w:lineRule="auto"/>
        <w:rPr>
          <w:rFonts w:ascii="Arial" w:hAnsi="Arial" w:eastAsia="Arial" w:cs="Arial"/>
          <w:b/>
          <w:bCs/>
        </w:rPr>
      </w:pPr>
      <w:r w:rsidRPr="56062124">
        <w:rPr>
          <w:rFonts w:ascii="Arial" w:hAnsi="Arial" w:eastAsia="Arial" w:cs="Arial"/>
          <w:b/>
          <w:bCs/>
        </w:rPr>
        <w:t>Action Plan:</w:t>
      </w:r>
    </w:p>
    <w:p w:rsidR="37FC2DFB" w:rsidP="56062124" w:rsidRDefault="37FC2DFB" w14:paraId="3CEF366B" w14:textId="12FF076F">
      <w:pPr>
        <w:pStyle w:val="ListParagraph"/>
        <w:numPr>
          <w:ilvl w:val="0"/>
          <w:numId w:val="4"/>
        </w:numPr>
        <w:spacing w:after="0" w:line="300" w:lineRule="auto"/>
        <w:rPr>
          <w:rFonts w:ascii="Arial" w:hAnsi="Arial" w:eastAsia="Arial" w:cs="Arial"/>
        </w:rPr>
      </w:pPr>
      <w:r w:rsidRPr="56062124">
        <w:rPr>
          <w:rFonts w:ascii="Arial" w:hAnsi="Arial" w:eastAsia="Arial" w:cs="Arial"/>
        </w:rPr>
        <w:t>Provide governance and digital risk training for board members.</w:t>
      </w:r>
    </w:p>
    <w:p w:rsidR="37FC2DFB" w:rsidP="56062124" w:rsidRDefault="37FC2DFB" w14:paraId="63B13564" w14:textId="37B859E0">
      <w:pPr>
        <w:pStyle w:val="ListParagraph"/>
        <w:numPr>
          <w:ilvl w:val="0"/>
          <w:numId w:val="4"/>
        </w:numPr>
        <w:spacing w:after="0" w:line="300" w:lineRule="auto"/>
        <w:rPr>
          <w:rFonts w:ascii="Arial" w:hAnsi="Arial" w:eastAsia="Arial" w:cs="Arial"/>
        </w:rPr>
      </w:pPr>
      <w:r w:rsidRPr="56062124">
        <w:rPr>
          <w:rFonts w:ascii="Arial" w:hAnsi="Arial" w:eastAsia="Arial" w:cs="Arial"/>
        </w:rPr>
        <w:t>Include technology risk as a standing board agenda item.</w:t>
      </w:r>
    </w:p>
    <w:p w:rsidR="37FC2DFB" w:rsidP="56062124" w:rsidRDefault="37FC2DFB" w14:paraId="0DE4054F" w14:textId="0D3A4EFB">
      <w:pPr>
        <w:pStyle w:val="ListParagraph"/>
        <w:numPr>
          <w:ilvl w:val="0"/>
          <w:numId w:val="4"/>
        </w:numPr>
        <w:spacing w:after="0" w:line="300" w:lineRule="auto"/>
        <w:rPr>
          <w:rFonts w:ascii="Arial" w:hAnsi="Arial" w:eastAsia="Arial" w:cs="Arial"/>
        </w:rPr>
      </w:pPr>
      <w:r w:rsidRPr="56062124">
        <w:rPr>
          <w:rFonts w:ascii="Arial" w:hAnsi="Arial" w:eastAsia="Arial" w:cs="Arial"/>
        </w:rPr>
        <w:t>Introduce independent risk assessment reviews.</w:t>
      </w:r>
    </w:p>
    <w:p w:rsidR="37FC2DFB" w:rsidP="56062124" w:rsidRDefault="37FC2DFB" w14:paraId="2D64F41C" w14:textId="2A79C8B8">
      <w:pPr>
        <w:pStyle w:val="Heading3"/>
        <w:spacing w:before="246" w:after="246" w:line="300" w:lineRule="auto"/>
        <w:rPr>
          <w:rFonts w:ascii="Arial" w:hAnsi="Arial" w:eastAsia="Arial" w:cs="Arial"/>
          <w:b w:val="1"/>
          <w:bCs w:val="1"/>
          <w:color w:val="auto"/>
          <w:sz w:val="24"/>
          <w:szCs w:val="24"/>
        </w:rPr>
      </w:pPr>
      <w:bookmarkStart w:name="_Toc1934058170" w:id="2104304256"/>
      <w:r w:rsidRPr="7AD6DA35" w:rsidR="5B07DCB6">
        <w:rPr>
          <w:rFonts w:ascii="Arial" w:hAnsi="Arial" w:eastAsia="Arial" w:cs="Arial"/>
          <w:b w:val="1"/>
          <w:bCs w:val="1"/>
          <w:color w:val="auto"/>
          <w:sz w:val="24"/>
          <w:szCs w:val="24"/>
        </w:rPr>
        <w:t>Recommendation 3: Improve Whistleblowing and Escalation Mechanisms</w:t>
      </w:r>
      <w:bookmarkEnd w:id="2104304256"/>
    </w:p>
    <w:p w:rsidR="37FC2DFB" w:rsidP="56062124" w:rsidRDefault="37FC2DFB" w14:paraId="0FA999D8" w14:textId="78AA2F1B">
      <w:pPr>
        <w:spacing w:before="210" w:after="210" w:line="300" w:lineRule="auto"/>
        <w:rPr>
          <w:rFonts w:ascii="Arial" w:hAnsi="Arial" w:eastAsia="Arial" w:cs="Arial"/>
        </w:rPr>
      </w:pPr>
      <w:r w:rsidRPr="56062124">
        <w:rPr>
          <w:rFonts w:ascii="Arial" w:hAnsi="Arial" w:eastAsia="Arial" w:cs="Arial"/>
        </w:rPr>
        <w:t>Organisations should create environments where concerns can be raised safely and investigated independently. Employees and stakeholders must have confidence that reported issues will receive appropriate attention.</w:t>
      </w:r>
    </w:p>
    <w:p w:rsidR="37FC2DFB" w:rsidP="56062124" w:rsidRDefault="37FC2DFB" w14:paraId="5D0B1813" w14:textId="363A0A1A">
      <w:pPr>
        <w:spacing w:before="210" w:after="210" w:line="300" w:lineRule="auto"/>
        <w:rPr>
          <w:rFonts w:ascii="Arial" w:hAnsi="Arial" w:eastAsia="Arial" w:cs="Arial"/>
          <w:b/>
          <w:bCs/>
        </w:rPr>
      </w:pPr>
      <w:r w:rsidRPr="56062124">
        <w:rPr>
          <w:rFonts w:ascii="Arial" w:hAnsi="Arial" w:eastAsia="Arial" w:cs="Arial"/>
          <w:b/>
          <w:bCs/>
        </w:rPr>
        <w:t>Action Plan:</w:t>
      </w:r>
    </w:p>
    <w:p w:rsidR="37FC2DFB" w:rsidP="56062124" w:rsidRDefault="37FC2DFB" w14:paraId="26B38366" w14:textId="072F66AC">
      <w:pPr>
        <w:pStyle w:val="ListParagraph"/>
        <w:numPr>
          <w:ilvl w:val="0"/>
          <w:numId w:val="3"/>
        </w:numPr>
        <w:spacing w:after="0" w:line="300" w:lineRule="auto"/>
        <w:rPr>
          <w:rFonts w:ascii="Arial" w:hAnsi="Arial" w:eastAsia="Arial" w:cs="Arial"/>
        </w:rPr>
      </w:pPr>
      <w:r w:rsidRPr="56062124">
        <w:rPr>
          <w:rFonts w:ascii="Arial" w:hAnsi="Arial" w:eastAsia="Arial" w:cs="Arial"/>
        </w:rPr>
        <w:t>Develop confidential reporting channels.</w:t>
      </w:r>
    </w:p>
    <w:p w:rsidR="37FC2DFB" w:rsidP="56062124" w:rsidRDefault="37FC2DFB" w14:paraId="06BA7CB4" w14:textId="36920973">
      <w:pPr>
        <w:pStyle w:val="ListParagraph"/>
        <w:numPr>
          <w:ilvl w:val="0"/>
          <w:numId w:val="3"/>
        </w:numPr>
        <w:spacing w:after="0" w:line="300" w:lineRule="auto"/>
        <w:rPr>
          <w:rFonts w:ascii="Arial" w:hAnsi="Arial" w:eastAsia="Arial" w:cs="Arial"/>
        </w:rPr>
      </w:pPr>
      <w:r w:rsidRPr="56062124">
        <w:rPr>
          <w:rFonts w:ascii="Arial" w:hAnsi="Arial" w:eastAsia="Arial" w:cs="Arial"/>
        </w:rPr>
        <w:t>Strengthen whistleblowing protections.</w:t>
      </w:r>
    </w:p>
    <w:p w:rsidR="37FC2DFB" w:rsidP="56062124" w:rsidRDefault="37FC2DFB" w14:paraId="72842F09" w14:textId="63DCCBEF">
      <w:pPr>
        <w:pStyle w:val="ListParagraph"/>
        <w:numPr>
          <w:ilvl w:val="0"/>
          <w:numId w:val="3"/>
        </w:numPr>
        <w:spacing w:after="0" w:line="300" w:lineRule="auto"/>
        <w:rPr>
          <w:rFonts w:ascii="Arial" w:hAnsi="Arial" w:eastAsia="Arial" w:cs="Arial"/>
        </w:rPr>
      </w:pPr>
      <w:r w:rsidRPr="56062124">
        <w:rPr>
          <w:rFonts w:ascii="Arial" w:hAnsi="Arial" w:eastAsia="Arial" w:cs="Arial"/>
        </w:rPr>
        <w:t>Establish independent investigation procedures.</w:t>
      </w:r>
    </w:p>
    <w:p w:rsidR="37FC2DFB" w:rsidP="56062124" w:rsidRDefault="37FC2DFB" w14:paraId="0074A0FB" w14:textId="1E63B959">
      <w:pPr>
        <w:pStyle w:val="ListParagraph"/>
        <w:numPr>
          <w:ilvl w:val="0"/>
          <w:numId w:val="3"/>
        </w:numPr>
        <w:spacing w:after="0" w:line="300" w:lineRule="auto"/>
        <w:rPr>
          <w:rFonts w:ascii="Arial" w:hAnsi="Arial" w:eastAsia="Arial" w:cs="Arial"/>
        </w:rPr>
      </w:pPr>
      <w:r w:rsidRPr="56062124">
        <w:rPr>
          <w:rFonts w:ascii="Arial" w:hAnsi="Arial" w:eastAsia="Arial" w:cs="Arial"/>
        </w:rPr>
        <w:t>Monitor and review complaint outcomes regularly.</w:t>
      </w:r>
    </w:p>
    <w:p w:rsidR="37FC2DFB" w:rsidP="56062124" w:rsidRDefault="37FC2DFB" w14:paraId="48EACA08" w14:textId="6DD40C99">
      <w:pPr>
        <w:pStyle w:val="Heading3"/>
        <w:spacing w:before="246" w:after="246" w:line="300" w:lineRule="auto"/>
        <w:rPr>
          <w:rFonts w:ascii="Arial" w:hAnsi="Arial" w:eastAsia="Arial" w:cs="Arial"/>
          <w:b w:val="1"/>
          <w:bCs w:val="1"/>
          <w:color w:val="auto"/>
          <w:sz w:val="24"/>
          <w:szCs w:val="24"/>
        </w:rPr>
      </w:pPr>
      <w:bookmarkStart w:name="_Toc1193559089" w:id="186411787"/>
      <w:r w:rsidRPr="7AD6DA35" w:rsidR="5B07DCB6">
        <w:rPr>
          <w:rFonts w:ascii="Arial" w:hAnsi="Arial" w:eastAsia="Arial" w:cs="Arial"/>
          <w:b w:val="1"/>
          <w:bCs w:val="1"/>
          <w:color w:val="auto"/>
          <w:sz w:val="24"/>
          <w:szCs w:val="24"/>
        </w:rPr>
        <w:t>Recommendation 4: Strengthen Risk Management Practices</w:t>
      </w:r>
      <w:bookmarkEnd w:id="186411787"/>
    </w:p>
    <w:p w:rsidR="37FC2DFB" w:rsidP="56062124" w:rsidRDefault="37FC2DFB" w14:paraId="034390FC" w14:textId="3EEB8610">
      <w:pPr>
        <w:spacing w:before="210" w:after="210" w:line="300" w:lineRule="auto"/>
        <w:rPr>
          <w:rFonts w:ascii="Arial" w:hAnsi="Arial" w:eastAsia="Arial" w:cs="Arial"/>
        </w:rPr>
      </w:pPr>
      <w:r w:rsidRPr="56062124">
        <w:rPr>
          <w:rFonts w:ascii="Arial" w:hAnsi="Arial" w:eastAsia="Arial" w:cs="Arial"/>
        </w:rPr>
        <w:t>Technology projects should be supported by comprehensive risk management frameworks throughout implementation and operational phases.</w:t>
      </w:r>
    </w:p>
    <w:p w:rsidR="37FC2DFB" w:rsidP="56062124" w:rsidRDefault="37FC2DFB" w14:paraId="52553FDE" w14:textId="4E4AD2A4">
      <w:pPr>
        <w:spacing w:before="210" w:after="210" w:line="300" w:lineRule="auto"/>
        <w:rPr>
          <w:rFonts w:ascii="Arial" w:hAnsi="Arial" w:eastAsia="Arial" w:cs="Arial"/>
          <w:b/>
          <w:bCs/>
        </w:rPr>
      </w:pPr>
      <w:r w:rsidRPr="56062124">
        <w:rPr>
          <w:rFonts w:ascii="Arial" w:hAnsi="Arial" w:eastAsia="Arial" w:cs="Arial"/>
          <w:b/>
          <w:bCs/>
        </w:rPr>
        <w:t>Action Plan:</w:t>
      </w:r>
    </w:p>
    <w:p w:rsidR="37FC2DFB" w:rsidP="56062124" w:rsidRDefault="37FC2DFB" w14:paraId="5AA2A061" w14:textId="27FE9F16">
      <w:pPr>
        <w:pStyle w:val="ListParagraph"/>
        <w:numPr>
          <w:ilvl w:val="0"/>
          <w:numId w:val="2"/>
        </w:numPr>
        <w:spacing w:after="0" w:line="300" w:lineRule="auto"/>
        <w:rPr>
          <w:rFonts w:ascii="Arial" w:hAnsi="Arial" w:eastAsia="Arial" w:cs="Arial"/>
        </w:rPr>
      </w:pPr>
      <w:r w:rsidRPr="56062124">
        <w:rPr>
          <w:rFonts w:ascii="Arial" w:hAnsi="Arial" w:eastAsia="Arial" w:cs="Arial"/>
        </w:rPr>
        <w:t>Conduct regular technology risk assessments.</w:t>
      </w:r>
    </w:p>
    <w:p w:rsidR="37FC2DFB" w:rsidP="56062124" w:rsidRDefault="37FC2DFB" w14:paraId="6ECC3EB6" w14:textId="208EC72E">
      <w:pPr>
        <w:pStyle w:val="ListParagraph"/>
        <w:numPr>
          <w:ilvl w:val="0"/>
          <w:numId w:val="2"/>
        </w:numPr>
        <w:spacing w:after="0" w:line="300" w:lineRule="auto"/>
        <w:rPr>
          <w:rFonts w:ascii="Arial" w:hAnsi="Arial" w:eastAsia="Arial" w:cs="Arial"/>
        </w:rPr>
      </w:pPr>
      <w:r w:rsidRPr="56062124">
        <w:rPr>
          <w:rFonts w:ascii="Arial" w:hAnsi="Arial" w:eastAsia="Arial" w:cs="Arial"/>
        </w:rPr>
        <w:t>Develop early warning indicators for system failures.</w:t>
      </w:r>
    </w:p>
    <w:p w:rsidR="37FC2DFB" w:rsidP="56062124" w:rsidRDefault="37FC2DFB" w14:paraId="47850C02" w14:textId="68BB624D">
      <w:pPr>
        <w:pStyle w:val="ListParagraph"/>
        <w:numPr>
          <w:ilvl w:val="0"/>
          <w:numId w:val="2"/>
        </w:numPr>
        <w:spacing w:after="0" w:line="300" w:lineRule="auto"/>
        <w:rPr>
          <w:rFonts w:ascii="Arial" w:hAnsi="Arial" w:eastAsia="Arial" w:cs="Arial"/>
        </w:rPr>
      </w:pPr>
      <w:r w:rsidRPr="56062124">
        <w:rPr>
          <w:rFonts w:ascii="Arial" w:hAnsi="Arial" w:eastAsia="Arial" w:cs="Arial"/>
        </w:rPr>
        <w:t>Create escalation procedures for critical incidents.</w:t>
      </w:r>
    </w:p>
    <w:p w:rsidR="37FC2DFB" w:rsidP="56062124" w:rsidRDefault="37FC2DFB" w14:paraId="5BBD7805" w14:textId="1CE2AD41">
      <w:pPr>
        <w:pStyle w:val="ListParagraph"/>
        <w:numPr>
          <w:ilvl w:val="0"/>
          <w:numId w:val="2"/>
        </w:numPr>
        <w:spacing w:after="0" w:line="300" w:lineRule="auto"/>
        <w:rPr>
          <w:rFonts w:ascii="Arial" w:hAnsi="Arial" w:eastAsia="Arial" w:cs="Arial"/>
        </w:rPr>
      </w:pPr>
      <w:r w:rsidRPr="56062124">
        <w:rPr>
          <w:rFonts w:ascii="Arial" w:hAnsi="Arial" w:eastAsia="Arial" w:cs="Arial"/>
        </w:rPr>
        <w:t>Maintain detailed risk registers.</w:t>
      </w:r>
    </w:p>
    <w:p w:rsidR="37FC2DFB" w:rsidP="56062124" w:rsidRDefault="37FC2DFB" w14:paraId="15B3E209" w14:textId="290CAD6E">
      <w:pPr>
        <w:pStyle w:val="Heading3"/>
        <w:spacing w:before="246" w:after="246" w:line="300" w:lineRule="auto"/>
        <w:rPr>
          <w:rFonts w:ascii="Arial" w:hAnsi="Arial" w:eastAsia="Arial" w:cs="Arial"/>
          <w:b w:val="1"/>
          <w:bCs w:val="1"/>
          <w:color w:val="auto"/>
          <w:sz w:val="24"/>
          <w:szCs w:val="24"/>
        </w:rPr>
      </w:pPr>
      <w:bookmarkStart w:name="_Toc494016784" w:id="1271072682"/>
      <w:r w:rsidRPr="7AD6DA35" w:rsidR="5B07DCB6">
        <w:rPr>
          <w:rFonts w:ascii="Arial" w:hAnsi="Arial" w:eastAsia="Arial" w:cs="Arial"/>
          <w:b w:val="1"/>
          <w:bCs w:val="1"/>
          <w:color w:val="auto"/>
          <w:sz w:val="24"/>
          <w:szCs w:val="24"/>
        </w:rPr>
        <w:t>Recommendation 5: Promote Organisational Transparency and Ethical Leadership</w:t>
      </w:r>
      <w:bookmarkEnd w:id="1271072682"/>
    </w:p>
    <w:p w:rsidR="37FC2DFB" w:rsidP="56062124" w:rsidRDefault="37FC2DFB" w14:paraId="1E8F6545" w14:textId="10E0BF31">
      <w:pPr>
        <w:spacing w:before="210" w:after="210" w:line="300" w:lineRule="auto"/>
        <w:rPr>
          <w:rFonts w:ascii="Arial" w:hAnsi="Arial" w:eastAsia="Arial" w:cs="Arial"/>
        </w:rPr>
      </w:pPr>
      <w:r w:rsidRPr="56062124">
        <w:rPr>
          <w:rFonts w:ascii="Arial" w:hAnsi="Arial" w:eastAsia="Arial" w:cs="Arial"/>
        </w:rPr>
        <w:t>Leadership should foster a culture of openness, accountability, and continuous learning. Ethical decision-making should be prioritised alongside operational efficiency.</w:t>
      </w:r>
    </w:p>
    <w:p w:rsidR="37FC2DFB" w:rsidP="56062124" w:rsidRDefault="37FC2DFB" w14:paraId="1B31178F" w14:textId="2010A2F9">
      <w:pPr>
        <w:spacing w:before="210" w:after="210" w:line="300" w:lineRule="auto"/>
        <w:rPr>
          <w:rFonts w:ascii="Arial" w:hAnsi="Arial" w:eastAsia="Arial" w:cs="Arial"/>
          <w:b/>
          <w:bCs/>
        </w:rPr>
      </w:pPr>
      <w:r w:rsidRPr="56062124">
        <w:rPr>
          <w:rFonts w:ascii="Arial" w:hAnsi="Arial" w:eastAsia="Arial" w:cs="Arial"/>
          <w:b/>
          <w:bCs/>
        </w:rPr>
        <w:t>Action Plan:</w:t>
      </w:r>
    </w:p>
    <w:p w:rsidR="37FC2DFB" w:rsidP="56062124" w:rsidRDefault="37FC2DFB" w14:paraId="4072D673" w14:textId="1767C5B6">
      <w:pPr>
        <w:pStyle w:val="ListParagraph"/>
        <w:numPr>
          <w:ilvl w:val="0"/>
          <w:numId w:val="1"/>
        </w:numPr>
        <w:spacing w:after="0" w:line="300" w:lineRule="auto"/>
        <w:rPr>
          <w:rFonts w:ascii="Arial" w:hAnsi="Arial" w:eastAsia="Arial" w:cs="Arial"/>
        </w:rPr>
      </w:pPr>
      <w:r w:rsidRPr="56062124">
        <w:rPr>
          <w:rFonts w:ascii="Arial" w:hAnsi="Arial" w:eastAsia="Arial" w:cs="Arial"/>
        </w:rPr>
        <w:lastRenderedPageBreak/>
        <w:t>Implement ethics and governance training programmes.</w:t>
      </w:r>
    </w:p>
    <w:p w:rsidR="37FC2DFB" w:rsidP="56062124" w:rsidRDefault="37FC2DFB" w14:paraId="0F9DC25F" w14:textId="32B9EB25">
      <w:pPr>
        <w:pStyle w:val="ListParagraph"/>
        <w:numPr>
          <w:ilvl w:val="0"/>
          <w:numId w:val="1"/>
        </w:numPr>
        <w:spacing w:after="0" w:line="300" w:lineRule="auto"/>
        <w:rPr>
          <w:rFonts w:ascii="Arial" w:hAnsi="Arial" w:eastAsia="Arial" w:cs="Arial"/>
        </w:rPr>
      </w:pPr>
      <w:r w:rsidRPr="56062124">
        <w:rPr>
          <w:rFonts w:ascii="Arial" w:hAnsi="Arial" w:eastAsia="Arial" w:cs="Arial"/>
        </w:rPr>
        <w:t>Encourage transparent communication.</w:t>
      </w:r>
    </w:p>
    <w:p w:rsidR="37FC2DFB" w:rsidP="56062124" w:rsidRDefault="37FC2DFB" w14:paraId="68073569" w14:textId="5889797E">
      <w:pPr>
        <w:pStyle w:val="ListParagraph"/>
        <w:numPr>
          <w:ilvl w:val="0"/>
          <w:numId w:val="1"/>
        </w:numPr>
        <w:spacing w:after="0" w:line="300" w:lineRule="auto"/>
        <w:rPr>
          <w:rFonts w:ascii="Arial" w:hAnsi="Arial" w:eastAsia="Arial" w:cs="Arial"/>
        </w:rPr>
      </w:pPr>
      <w:r w:rsidRPr="56062124">
        <w:rPr>
          <w:rFonts w:ascii="Arial" w:hAnsi="Arial" w:eastAsia="Arial" w:cs="Arial"/>
        </w:rPr>
        <w:t>Conduct regular culture assessments.</w:t>
      </w:r>
    </w:p>
    <w:p w:rsidR="37FC2DFB" w:rsidP="56062124" w:rsidRDefault="37FC2DFB" w14:paraId="30E2CC61" w14:textId="4A025F0A">
      <w:pPr>
        <w:pStyle w:val="ListParagraph"/>
        <w:numPr>
          <w:ilvl w:val="0"/>
          <w:numId w:val="1"/>
        </w:numPr>
        <w:spacing w:after="0" w:line="300" w:lineRule="auto"/>
        <w:rPr>
          <w:rFonts w:ascii="Arial" w:hAnsi="Arial" w:eastAsia="Arial" w:cs="Arial"/>
        </w:rPr>
      </w:pPr>
      <w:r w:rsidRPr="56062124">
        <w:rPr>
          <w:rFonts w:ascii="Arial" w:hAnsi="Arial" w:eastAsia="Arial" w:cs="Arial"/>
        </w:rPr>
        <w:t>Integrate ethical performance indicators into management evaluations.</w:t>
      </w:r>
    </w:p>
    <w:p w:rsidR="37FC2DFB" w:rsidP="56062124" w:rsidRDefault="37FC2DFB" w14:paraId="3140699A" w14:textId="67A39982">
      <w:pPr>
        <w:pStyle w:val="Heading1"/>
        <w:spacing w:before="281" w:after="281" w:line="300" w:lineRule="auto"/>
        <w:rPr>
          <w:rFonts w:ascii="Arial" w:hAnsi="Arial" w:eastAsia="Arial" w:cs="Arial"/>
          <w:b w:val="1"/>
          <w:bCs w:val="1"/>
          <w:color w:val="auto"/>
          <w:sz w:val="24"/>
          <w:szCs w:val="24"/>
        </w:rPr>
      </w:pPr>
      <w:bookmarkStart w:name="_Toc104232100" w:id="1732685352"/>
      <w:r w:rsidRPr="7AD6DA35" w:rsidR="5B07DCB6">
        <w:rPr>
          <w:rFonts w:ascii="Arial" w:hAnsi="Arial" w:eastAsia="Arial" w:cs="Arial"/>
          <w:b w:val="1"/>
          <w:bCs w:val="1"/>
          <w:color w:val="auto"/>
          <w:sz w:val="24"/>
          <w:szCs w:val="24"/>
        </w:rPr>
        <w:t>Limitations of the Study</w:t>
      </w:r>
      <w:bookmarkEnd w:id="1732685352"/>
    </w:p>
    <w:p w:rsidR="37FC2DFB" w:rsidP="56062124" w:rsidRDefault="37FC2DFB" w14:paraId="49E0A0CD" w14:textId="5BAF5326">
      <w:pPr>
        <w:spacing w:before="210" w:after="210" w:line="300" w:lineRule="auto"/>
        <w:rPr>
          <w:rFonts w:ascii="Arial" w:hAnsi="Arial" w:eastAsia="Arial" w:cs="Arial"/>
        </w:rPr>
      </w:pPr>
      <w:r w:rsidRPr="56062124">
        <w:rPr>
          <w:rFonts w:ascii="Arial" w:hAnsi="Arial" w:eastAsia="Arial" w:cs="Arial"/>
        </w:rPr>
        <w:t>Despite providing valuable insights, this study has several limitations.</w:t>
      </w:r>
    </w:p>
    <w:p w:rsidR="37FC2DFB" w:rsidP="56062124" w:rsidRDefault="37FC2DFB" w14:paraId="05E61BEB" w14:textId="38EAE3E8">
      <w:pPr>
        <w:spacing w:before="210" w:after="210" w:line="300" w:lineRule="auto"/>
        <w:rPr>
          <w:rFonts w:ascii="Arial" w:hAnsi="Arial" w:eastAsia="Arial" w:cs="Arial"/>
        </w:rPr>
      </w:pPr>
      <w:r w:rsidRPr="56062124">
        <w:rPr>
          <w:rFonts w:ascii="Arial" w:hAnsi="Arial" w:eastAsia="Arial" w:cs="Arial"/>
        </w:rPr>
        <w:t>Firstly, the research relied exclusively on secondary data sources. While these sources included highly credible materials such as inquiry reports, court judgments, and academic publications, the study did not include primary data collection through interviews or surveys. Consequently, direct perspectives from sub-postmasters, Post Office officials, or Fujitsu representatives were not obtained.</w:t>
      </w:r>
    </w:p>
    <w:p w:rsidR="37FC2DFB" w:rsidP="56062124" w:rsidRDefault="37FC2DFB" w14:paraId="66EB320C" w14:textId="1A265BAB">
      <w:pPr>
        <w:spacing w:before="210" w:after="210" w:line="300" w:lineRule="auto"/>
        <w:rPr>
          <w:rFonts w:ascii="Arial" w:hAnsi="Arial" w:eastAsia="Arial" w:cs="Arial"/>
        </w:rPr>
      </w:pPr>
      <w:r w:rsidRPr="56062124">
        <w:rPr>
          <w:rFonts w:ascii="Arial" w:hAnsi="Arial" w:eastAsia="Arial" w:cs="Arial"/>
        </w:rPr>
        <w:t>Secondly, because the Horizon Inquiry continues to generate new evidence and findings, certain conclusions may evolve as additional information becomes available.</w:t>
      </w:r>
    </w:p>
    <w:p w:rsidR="37FC2DFB" w:rsidP="56062124" w:rsidRDefault="37FC2DFB" w14:paraId="23D93E80" w14:textId="7253D587">
      <w:pPr>
        <w:spacing w:before="210" w:after="210" w:line="300" w:lineRule="auto"/>
        <w:rPr>
          <w:rFonts w:ascii="Arial" w:hAnsi="Arial" w:eastAsia="Arial" w:cs="Arial"/>
        </w:rPr>
      </w:pPr>
      <w:r w:rsidRPr="56062124">
        <w:rPr>
          <w:rFonts w:ascii="Arial" w:hAnsi="Arial" w:eastAsia="Arial" w:cs="Arial"/>
        </w:rPr>
        <w:t>Thirdly, the study focused specifically on the UK Post Office and the Horizon system. Therefore, the findings may not be fully generalisable to all organisations or digital transformation projects.</w:t>
      </w:r>
    </w:p>
    <w:p w:rsidR="37FC2DFB" w:rsidP="56062124" w:rsidRDefault="37FC2DFB" w14:paraId="270B5058" w14:textId="5C9AFBF9">
      <w:pPr>
        <w:spacing w:before="210" w:after="210" w:line="300" w:lineRule="auto"/>
        <w:rPr>
          <w:rFonts w:ascii="Arial" w:hAnsi="Arial" w:eastAsia="Arial" w:cs="Arial"/>
        </w:rPr>
      </w:pPr>
      <w:r w:rsidRPr="56062124">
        <w:rPr>
          <w:rFonts w:ascii="Arial" w:hAnsi="Arial" w:eastAsia="Arial" w:cs="Arial"/>
        </w:rPr>
        <w:t>Finally, some available literature was influenced by retrospective analysis of events, which may introduce elements of hindsight bias when interpreting organisational decisions.</w:t>
      </w:r>
    </w:p>
    <w:p w:rsidR="37FC2DFB" w:rsidP="56062124" w:rsidRDefault="37FC2DFB" w14:paraId="49B9F28C" w14:textId="41406E01">
      <w:pPr>
        <w:pStyle w:val="Heading1"/>
        <w:spacing w:before="281" w:after="281" w:line="300" w:lineRule="auto"/>
        <w:rPr>
          <w:rFonts w:ascii="Arial" w:hAnsi="Arial" w:eastAsia="Arial" w:cs="Arial"/>
          <w:b w:val="1"/>
          <w:bCs w:val="1"/>
          <w:color w:val="auto"/>
          <w:sz w:val="24"/>
          <w:szCs w:val="24"/>
        </w:rPr>
      </w:pPr>
      <w:bookmarkStart w:name="_Toc1315823457" w:id="988516145"/>
      <w:r w:rsidRPr="7AD6DA35" w:rsidR="5B07DCB6">
        <w:rPr>
          <w:rFonts w:ascii="Arial" w:hAnsi="Arial" w:eastAsia="Arial" w:cs="Arial"/>
          <w:b w:val="1"/>
          <w:bCs w:val="1"/>
          <w:color w:val="auto"/>
          <w:sz w:val="24"/>
          <w:szCs w:val="24"/>
        </w:rPr>
        <w:t>Future Work</w:t>
      </w:r>
      <w:bookmarkEnd w:id="988516145"/>
    </w:p>
    <w:p w:rsidR="37FC2DFB" w:rsidP="56062124" w:rsidRDefault="37FC2DFB" w14:paraId="09B9B4A1" w14:textId="5D15923A">
      <w:pPr>
        <w:spacing w:before="210" w:after="210" w:line="300" w:lineRule="auto"/>
        <w:rPr>
          <w:rFonts w:ascii="Arial" w:hAnsi="Arial" w:eastAsia="Arial" w:cs="Arial"/>
        </w:rPr>
      </w:pPr>
      <w:r w:rsidRPr="56062124">
        <w:rPr>
          <w:rFonts w:ascii="Arial" w:hAnsi="Arial" w:eastAsia="Arial" w:cs="Arial"/>
        </w:rPr>
        <w:t>The Horizon scandal presents numerous opportunities for further research.</w:t>
      </w:r>
    </w:p>
    <w:p w:rsidR="37FC2DFB" w:rsidP="56062124" w:rsidRDefault="37FC2DFB" w14:paraId="24CB3CF6" w14:textId="7B8B90CE">
      <w:pPr>
        <w:spacing w:before="210" w:after="210" w:line="300" w:lineRule="auto"/>
        <w:rPr>
          <w:rFonts w:ascii="Arial" w:hAnsi="Arial" w:eastAsia="Arial" w:cs="Arial"/>
        </w:rPr>
      </w:pPr>
      <w:r w:rsidRPr="56062124">
        <w:rPr>
          <w:rFonts w:ascii="Arial" w:hAnsi="Arial" w:eastAsia="Arial" w:cs="Arial"/>
        </w:rPr>
        <w:t xml:space="preserve">Future studies could utilise primary research methods such as interviews with stakeholders involved in the scandal to gain deeper insights into organisational decision-making processes. Such approaches would </w:t>
      </w:r>
      <w:r w:rsidRPr="56062124" w:rsidR="0467AE3A">
        <w:rPr>
          <w:rFonts w:ascii="Arial" w:hAnsi="Arial" w:eastAsia="Arial" w:cs="Arial"/>
        </w:rPr>
        <w:t>contribute to</w:t>
      </w:r>
      <w:r w:rsidRPr="56062124">
        <w:rPr>
          <w:rFonts w:ascii="Arial" w:hAnsi="Arial" w:eastAsia="Arial" w:cs="Arial"/>
        </w:rPr>
        <w:t xml:space="preserve"> valuable perspectives that may not be fully captured within secondary sources.</w:t>
      </w:r>
    </w:p>
    <w:p w:rsidR="37FC2DFB" w:rsidP="56062124" w:rsidRDefault="37FC2DFB" w14:paraId="7416B0F8" w14:textId="2BA3AFF2">
      <w:pPr>
        <w:spacing w:before="210" w:after="210" w:line="300" w:lineRule="auto"/>
        <w:rPr>
          <w:rFonts w:ascii="Arial" w:hAnsi="Arial" w:eastAsia="Arial" w:cs="Arial"/>
        </w:rPr>
      </w:pPr>
      <w:r w:rsidRPr="56062124">
        <w:rPr>
          <w:rFonts w:ascii="Arial" w:hAnsi="Arial" w:eastAsia="Arial" w:cs="Arial"/>
        </w:rPr>
        <w:t>Researchers could also undertake comparative studies examining similar technology-related failures across different industries and countries. This would help identify common governance weaknesses and best practices for managing digital transformation risks.</w:t>
      </w:r>
    </w:p>
    <w:p w:rsidR="37FC2DFB" w:rsidP="56062124" w:rsidRDefault="37FC2DFB" w14:paraId="41CD7250" w14:textId="14142A24">
      <w:pPr>
        <w:spacing w:before="210" w:after="210" w:line="300" w:lineRule="auto"/>
        <w:rPr>
          <w:rFonts w:ascii="Arial" w:hAnsi="Arial" w:eastAsia="Arial" w:cs="Arial"/>
        </w:rPr>
      </w:pPr>
      <w:r w:rsidRPr="56062124">
        <w:rPr>
          <w:rFonts w:ascii="Arial" w:hAnsi="Arial" w:eastAsia="Arial" w:cs="Arial"/>
        </w:rPr>
        <w:lastRenderedPageBreak/>
        <w:t>Additionally, future research could investigate the implications of emerging technologies such as artificial intelligence, machine learning, and automated decision-making systems. As organisations become increasingly dependent on complex digital technologies, lessons learned from the Horizon scandal may provide valuable guidance for future governance frameworks.</w:t>
      </w:r>
    </w:p>
    <w:p w:rsidR="37FC2DFB" w:rsidP="56062124" w:rsidRDefault="37FC2DFB" w14:paraId="4FA7FCED" w14:textId="3FBE7DA9">
      <w:pPr>
        <w:spacing w:before="210" w:after="210" w:line="300" w:lineRule="auto"/>
        <w:rPr>
          <w:rFonts w:ascii="Arial" w:hAnsi="Arial" w:eastAsia="Arial" w:cs="Arial"/>
        </w:rPr>
      </w:pPr>
      <w:r w:rsidRPr="7AD6DA35" w:rsidR="5B07DCB6">
        <w:rPr>
          <w:rFonts w:ascii="Arial" w:hAnsi="Arial" w:eastAsia="Arial" w:cs="Arial"/>
        </w:rPr>
        <w:t>Finally, longitudinal studies could examine how organisational reforms introduced following the Horizon Inquiry influence governance effectiveness and public trust over time.</w:t>
      </w:r>
    </w:p>
    <w:p w:rsidR="56062124" w:rsidP="56062124" w:rsidRDefault="56062124" w14:paraId="61589307" w14:textId="7CCA7A7C">
      <w:pPr>
        <w:shd w:val="clear" w:color="auto" w:fill="FFFFFF" w:themeFill="background1"/>
        <w:rPr>
          <w:rFonts w:ascii="Aptos" w:hAnsi="Aptos" w:eastAsia="Aptos" w:cs="Aptos"/>
          <w:color w:val="000000" w:themeColor="text1"/>
        </w:rPr>
      </w:pPr>
    </w:p>
    <w:p w:rsidR="56062124" w:rsidP="56062124" w:rsidRDefault="56062124" w14:paraId="0B23EEA1" w14:textId="70D676D0">
      <w:pPr>
        <w:shd w:val="clear" w:color="auto" w:fill="FFFFFF" w:themeFill="background1"/>
        <w:rPr>
          <w:rFonts w:ascii="Aptos" w:hAnsi="Aptos" w:eastAsia="Aptos" w:cs="Aptos"/>
          <w:color w:val="000000" w:themeColor="text1"/>
        </w:rPr>
      </w:pPr>
    </w:p>
    <w:p w:rsidR="56062124" w:rsidP="56062124" w:rsidRDefault="56062124" w14:paraId="622EDA32" w14:textId="55FB28DB">
      <w:pPr>
        <w:shd w:val="clear" w:color="auto" w:fill="FFFFFF" w:themeFill="background1"/>
        <w:rPr>
          <w:rFonts w:ascii="Aptos" w:hAnsi="Aptos" w:eastAsia="Aptos" w:cs="Aptos"/>
          <w:color w:val="000000" w:themeColor="text1"/>
        </w:rPr>
      </w:pPr>
    </w:p>
    <w:p w:rsidR="56062124" w:rsidP="56062124" w:rsidRDefault="56062124" w14:paraId="22E8F976" w14:textId="16EE472D">
      <w:pPr>
        <w:shd w:val="clear" w:color="auto" w:fill="FFFFFF" w:themeFill="background1"/>
        <w:rPr>
          <w:rFonts w:ascii="Aptos" w:hAnsi="Aptos" w:eastAsia="Aptos" w:cs="Aptos"/>
          <w:color w:val="000000" w:themeColor="text1"/>
        </w:rPr>
      </w:pPr>
    </w:p>
    <w:p w:rsidR="56062124" w:rsidP="56062124" w:rsidRDefault="56062124" w14:paraId="1ACFB914" w14:textId="280349DA">
      <w:pPr>
        <w:shd w:val="clear" w:color="auto" w:fill="FFFFFF" w:themeFill="background1"/>
        <w:rPr>
          <w:rFonts w:ascii="Aptos" w:hAnsi="Aptos" w:eastAsia="Aptos" w:cs="Aptos"/>
          <w:color w:val="000000" w:themeColor="text1"/>
        </w:rPr>
      </w:pPr>
    </w:p>
    <w:p w:rsidR="56062124" w:rsidP="56062124" w:rsidRDefault="56062124" w14:paraId="09F2E0FE" w14:textId="1007E355">
      <w:pPr>
        <w:shd w:val="clear" w:color="auto" w:fill="FFFFFF" w:themeFill="background1"/>
        <w:rPr>
          <w:rFonts w:ascii="Aptos" w:hAnsi="Aptos" w:eastAsia="Aptos" w:cs="Aptos"/>
          <w:color w:val="000000" w:themeColor="text1"/>
        </w:rPr>
      </w:pPr>
    </w:p>
    <w:p w:rsidR="56062124" w:rsidP="56062124" w:rsidRDefault="56062124" w14:paraId="14667064" w14:textId="50E553F7">
      <w:pPr>
        <w:shd w:val="clear" w:color="auto" w:fill="FFFFFF" w:themeFill="background1"/>
        <w:rPr>
          <w:rFonts w:ascii="Aptos" w:hAnsi="Aptos" w:eastAsia="Aptos" w:cs="Aptos"/>
          <w:color w:val="000000" w:themeColor="text1"/>
        </w:rPr>
      </w:pPr>
    </w:p>
    <w:p w:rsidR="56062124" w:rsidP="56062124" w:rsidRDefault="56062124" w14:paraId="77335634" w14:textId="59D45AE3">
      <w:pPr>
        <w:shd w:val="clear" w:color="auto" w:fill="FFFFFF" w:themeFill="background1"/>
        <w:rPr>
          <w:rFonts w:ascii="Aptos" w:hAnsi="Aptos" w:eastAsia="Aptos" w:cs="Aptos"/>
          <w:color w:val="000000" w:themeColor="text1"/>
        </w:rPr>
      </w:pPr>
    </w:p>
    <w:p w:rsidR="3EF78352" w:rsidP="7AD6DA35" w:rsidRDefault="3EF78352" w14:paraId="6577F799" w14:textId="4A059ADC">
      <w:pPr>
        <w:pStyle w:val="Heading3"/>
        <w:spacing w:before="246" w:beforeAutospacing="off" w:after="246" w:afterAutospacing="off" w:line="300" w:lineRule="auto"/>
        <w:rPr>
          <w:rFonts w:ascii="Arial" w:hAnsi="Arial" w:eastAsia="Arial" w:cs="Arial"/>
          <w:b w:val="1"/>
          <w:bCs w:val="1"/>
          <w:color w:val="auto"/>
          <w:sz w:val="24"/>
          <w:szCs w:val="24"/>
        </w:rPr>
      </w:pPr>
      <w:bookmarkStart w:name="_Toc1006154697" w:id="1484075977"/>
      <w:r w:rsidRPr="7AD6DA35" w:rsidR="48FDD5BE">
        <w:rPr>
          <w:rFonts w:ascii="Arial" w:hAnsi="Arial" w:eastAsia="Arial" w:cs="Arial"/>
          <w:b w:val="1"/>
          <w:bCs w:val="1"/>
          <w:color w:val="auto"/>
          <w:sz w:val="24"/>
          <w:szCs w:val="24"/>
        </w:rPr>
        <w:t>References</w:t>
      </w:r>
      <w:bookmarkEnd w:id="1484075977"/>
    </w:p>
    <w:p w:rsidR="002E05CA" w:rsidP="7AD6DA35" w:rsidRDefault="766EA316" w14:paraId="1FE3836C" w14:textId="45ADE521">
      <w:pPr>
        <w:pStyle w:val="ListParagraph"/>
        <w:numPr>
          <w:ilvl w:val="0"/>
          <w:numId w:val="20"/>
        </w:numPr>
        <w:spacing w:after="0" w:line="300" w:lineRule="auto"/>
        <w:rPr>
          <w:rFonts w:ascii="Arial" w:hAnsi="Arial" w:eastAsia="Arial" w:cs="Arial"/>
          <w:color w:val="000000" w:themeColor="text1"/>
          <w:sz w:val="24"/>
          <w:szCs w:val="24"/>
        </w:rPr>
      </w:pPr>
      <w:r w:rsidRPr="7AD6DA35" w:rsidR="2C20ECBB">
        <w:rPr>
          <w:rFonts w:ascii="Arial" w:hAnsi="Arial" w:eastAsia="Arial" w:cs="Arial"/>
          <w:color w:val="000000" w:themeColor="text1" w:themeTint="FF" w:themeShade="FF"/>
          <w:sz w:val="24"/>
          <w:szCs w:val="24"/>
          <w:lang w:val="en-GB"/>
        </w:rPr>
        <w:t xml:space="preserve">Department for Business and Trade and Blair McDougall MP (2025). </w:t>
      </w:r>
      <w:r w:rsidRPr="7AD6DA35" w:rsidR="2C20ECBB">
        <w:rPr>
          <w:rFonts w:ascii="Arial" w:hAnsi="Arial" w:eastAsia="Arial" w:cs="Arial"/>
          <w:i w:val="1"/>
          <w:iCs w:val="1"/>
          <w:color w:val="000000" w:themeColor="text1" w:themeTint="FF" w:themeShade="FF"/>
          <w:sz w:val="24"/>
          <w:szCs w:val="24"/>
          <w:lang w:val="en-GB"/>
        </w:rPr>
        <w:t>Government response to the Post Office Horizon IT Inquiry report (volume 1)</w:t>
      </w:r>
      <w:r w:rsidRPr="7AD6DA35" w:rsidR="2C20ECBB">
        <w:rPr>
          <w:rFonts w:ascii="Arial" w:hAnsi="Arial" w:eastAsia="Arial" w:cs="Arial"/>
          <w:color w:val="000000" w:themeColor="text1" w:themeTint="FF" w:themeShade="FF"/>
          <w:sz w:val="24"/>
          <w:szCs w:val="24"/>
          <w:lang w:val="en-GB"/>
        </w:rPr>
        <w:t>. [online] GOV.UK. Available at:</w:t>
      </w:r>
    </w:p>
    <w:p w:rsidR="002E05CA" w:rsidP="7AD6DA35" w:rsidRDefault="766EA316" w14:paraId="1A97D912" w14:textId="150B2E1C">
      <w:pPr>
        <w:pStyle w:val="ListParagraph"/>
        <w:spacing w:after="0" w:line="300" w:lineRule="auto"/>
        <w:ind w:left="720"/>
        <w:rPr>
          <w:rFonts w:ascii="Arial" w:hAnsi="Arial" w:eastAsia="Arial" w:cs="Arial"/>
          <w:color w:val="000000" w:themeColor="text1"/>
          <w:sz w:val="24"/>
          <w:szCs w:val="24"/>
        </w:rPr>
      </w:pPr>
      <w:r w:rsidRPr="7AD6DA35" w:rsidR="2C20ECBB">
        <w:rPr>
          <w:rFonts w:ascii="Arial" w:hAnsi="Arial" w:eastAsia="Arial" w:cs="Arial"/>
          <w:color w:val="000000" w:themeColor="text1" w:themeTint="FF" w:themeShade="FF"/>
          <w:sz w:val="24"/>
          <w:szCs w:val="24"/>
          <w:lang w:val="en-GB"/>
        </w:rPr>
        <w:t xml:space="preserve"> </w:t>
      </w:r>
      <w:hyperlink r:id="R90f75ec20c4e4f61">
        <w:r w:rsidRPr="7AD6DA35" w:rsidR="2C20ECBB">
          <w:rPr>
            <w:rStyle w:val="Hyperlink"/>
            <w:rFonts w:ascii="Arial" w:hAnsi="Arial" w:eastAsia="Arial" w:cs="Arial"/>
            <w:sz w:val="24"/>
            <w:szCs w:val="24"/>
            <w:lang w:val="en-GB"/>
          </w:rPr>
          <w:t>https://www.gov.uk/government/publications/government-response-to-the-post-office-horizon-it-inquiry-report-volume-1</w:t>
        </w:r>
      </w:hyperlink>
      <w:r w:rsidRPr="7AD6DA35" w:rsidR="2C20ECBB">
        <w:rPr>
          <w:rFonts w:ascii="Arial" w:hAnsi="Arial" w:eastAsia="Arial" w:cs="Arial"/>
          <w:color w:val="000000" w:themeColor="text1" w:themeTint="FF" w:themeShade="FF"/>
          <w:sz w:val="24"/>
          <w:szCs w:val="24"/>
          <w:lang w:val="en-GB"/>
        </w:rPr>
        <w:t>.</w:t>
      </w:r>
      <w:r w:rsidRPr="7AD6DA35" w:rsidR="0B057072">
        <w:rPr>
          <w:rFonts w:ascii="Arial" w:hAnsi="Arial" w:eastAsia="Arial" w:cs="Arial"/>
          <w:color w:val="000000" w:themeColor="text1" w:themeTint="FF" w:themeShade="FF"/>
          <w:sz w:val="24"/>
          <w:szCs w:val="24"/>
          <w:lang w:val="en-GB"/>
        </w:rPr>
        <w:t xml:space="preserve"> (Accessed date 03/07/2026)</w:t>
      </w:r>
    </w:p>
    <w:p w:rsidR="002E05CA" w:rsidP="7AD6DA35" w:rsidRDefault="002E05CA" w14:paraId="5A9283A1" w14:textId="41ED7F3A">
      <w:pPr>
        <w:spacing w:after="0" w:line="300" w:lineRule="auto"/>
        <w:rPr>
          <w:rFonts w:ascii="Arial" w:hAnsi="Arial" w:eastAsia="Arial" w:cs="Arial"/>
          <w:color w:val="464FEB"/>
          <w:sz w:val="24"/>
          <w:szCs w:val="24"/>
        </w:rPr>
      </w:pPr>
    </w:p>
    <w:p w:rsidR="002E05CA" w:rsidP="7AD6DA35" w:rsidRDefault="6F24E75E" w14:paraId="43337225" w14:textId="0DBEF7CA">
      <w:pPr>
        <w:pStyle w:val="ListParagraph"/>
        <w:numPr>
          <w:ilvl w:val="0"/>
          <w:numId w:val="20"/>
        </w:numPr>
        <w:spacing w:after="0" w:line="300" w:lineRule="auto"/>
        <w:rPr>
          <w:rFonts w:ascii="Arial" w:hAnsi="Arial" w:eastAsia="Arial" w:cs="Arial"/>
          <w:color w:val="000000" w:themeColor="text1"/>
          <w:sz w:val="24"/>
          <w:szCs w:val="24"/>
        </w:rPr>
      </w:pPr>
      <w:r w:rsidRPr="7AD6DA35" w:rsidR="24C087D6">
        <w:rPr>
          <w:rFonts w:ascii="Arial" w:hAnsi="Arial" w:eastAsia="Arial" w:cs="Arial"/>
          <w:color w:val="000000" w:themeColor="text1" w:themeTint="FF" w:themeShade="FF"/>
          <w:sz w:val="24"/>
          <w:szCs w:val="24"/>
          <w:lang w:val="en-GB"/>
        </w:rPr>
        <w:t xml:space="preserve">Post Office (2016). </w:t>
      </w:r>
      <w:r w:rsidRPr="7AD6DA35" w:rsidR="24C087D6">
        <w:rPr>
          <w:rFonts w:ascii="Arial" w:hAnsi="Arial" w:eastAsia="Arial" w:cs="Arial"/>
          <w:i w:val="1"/>
          <w:iCs w:val="1"/>
          <w:color w:val="000000" w:themeColor="text1" w:themeTint="FF" w:themeShade="FF"/>
          <w:sz w:val="24"/>
          <w:szCs w:val="24"/>
          <w:lang w:val="en-GB"/>
        </w:rPr>
        <w:t>Post Office</w:t>
      </w:r>
      <w:r w:rsidRPr="7AD6DA35" w:rsidR="24C087D6">
        <w:rPr>
          <w:rFonts w:ascii="Arial" w:hAnsi="Arial" w:eastAsia="Arial" w:cs="Arial"/>
          <w:color w:val="000000" w:themeColor="text1" w:themeTint="FF" w:themeShade="FF"/>
          <w:sz w:val="24"/>
          <w:szCs w:val="24"/>
          <w:lang w:val="en-GB"/>
        </w:rPr>
        <w:t xml:space="preserve">. [online] Postoffice.co.uk. Available at: </w:t>
      </w:r>
      <w:hyperlink r:id="Ra803c8955a584de1">
        <w:r w:rsidRPr="7AD6DA35" w:rsidR="24C087D6">
          <w:rPr>
            <w:rStyle w:val="Hyperlink"/>
            <w:rFonts w:ascii="Arial" w:hAnsi="Arial" w:eastAsia="Arial" w:cs="Arial"/>
            <w:sz w:val="24"/>
            <w:szCs w:val="24"/>
            <w:lang w:val="en-GB"/>
          </w:rPr>
          <w:t>https://www.postoffice.co.uk/</w:t>
        </w:r>
      </w:hyperlink>
      <w:r w:rsidRPr="7AD6DA35" w:rsidR="24C087D6">
        <w:rPr>
          <w:rFonts w:ascii="Arial" w:hAnsi="Arial" w:eastAsia="Arial" w:cs="Arial"/>
          <w:color w:val="000000" w:themeColor="text1" w:themeTint="FF" w:themeShade="FF"/>
          <w:sz w:val="24"/>
          <w:szCs w:val="24"/>
          <w:lang w:val="en-GB"/>
        </w:rPr>
        <w:t>.</w:t>
      </w:r>
    </w:p>
    <w:p w:rsidR="002E05CA" w:rsidP="7AD6DA35" w:rsidRDefault="002E05CA" w14:paraId="01586CA1" w14:textId="70C78CA7">
      <w:pPr>
        <w:spacing w:after="0" w:line="300" w:lineRule="auto"/>
        <w:rPr>
          <w:rFonts w:ascii="Arial" w:hAnsi="Arial" w:eastAsia="Arial" w:cs="Arial"/>
          <w:color w:val="464FEB"/>
          <w:sz w:val="24"/>
          <w:szCs w:val="24"/>
        </w:rPr>
      </w:pPr>
    </w:p>
    <w:p w:rsidR="002E05CA" w:rsidP="7AD6DA35" w:rsidRDefault="766EA316" w14:paraId="52349011" w14:textId="0550C0BD">
      <w:pPr>
        <w:pStyle w:val="ListParagraph"/>
        <w:numPr>
          <w:ilvl w:val="0"/>
          <w:numId w:val="20"/>
        </w:numPr>
        <w:spacing w:after="0" w:line="300" w:lineRule="auto"/>
        <w:rPr>
          <w:rFonts w:ascii="Arial" w:hAnsi="Arial" w:eastAsia="Arial" w:cs="Arial"/>
          <w:color w:val="000000" w:themeColor="text1"/>
          <w:sz w:val="24"/>
          <w:szCs w:val="24"/>
        </w:rPr>
      </w:pPr>
      <w:r w:rsidRPr="7AD6DA35" w:rsidR="2C20ECBB">
        <w:rPr>
          <w:rFonts w:ascii="Arial" w:hAnsi="Arial" w:eastAsia="Arial" w:cs="Arial"/>
          <w:color w:val="000000" w:themeColor="text1" w:themeTint="FF" w:themeShade="FF"/>
          <w:sz w:val="24"/>
          <w:szCs w:val="24"/>
          <w:lang w:val="en-GB"/>
        </w:rPr>
        <w:t xml:space="preserve">Post Office Horizon IT Inquiry. (2025). </w:t>
      </w:r>
      <w:r w:rsidRPr="7AD6DA35" w:rsidR="2C20ECBB">
        <w:rPr>
          <w:rFonts w:ascii="Arial" w:hAnsi="Arial" w:eastAsia="Arial" w:cs="Arial"/>
          <w:i w:val="1"/>
          <w:iCs w:val="1"/>
          <w:color w:val="000000" w:themeColor="text1" w:themeTint="FF" w:themeShade="FF"/>
          <w:sz w:val="24"/>
          <w:szCs w:val="24"/>
          <w:lang w:val="en-GB"/>
        </w:rPr>
        <w:t>Homepage</w:t>
      </w:r>
      <w:r w:rsidRPr="7AD6DA35" w:rsidR="2C20ECBB">
        <w:rPr>
          <w:rFonts w:ascii="Arial" w:hAnsi="Arial" w:eastAsia="Arial" w:cs="Arial"/>
          <w:color w:val="000000" w:themeColor="text1" w:themeTint="FF" w:themeShade="FF"/>
          <w:sz w:val="24"/>
          <w:szCs w:val="24"/>
          <w:lang w:val="en-GB"/>
        </w:rPr>
        <w:t xml:space="preserve">. [online] Available at: </w:t>
      </w:r>
      <w:hyperlink r:id="R3e464bcd3f71408a">
        <w:r w:rsidRPr="7AD6DA35" w:rsidR="2C20ECBB">
          <w:rPr>
            <w:rStyle w:val="Hyperlink"/>
            <w:rFonts w:ascii="Arial" w:hAnsi="Arial" w:eastAsia="Arial" w:cs="Arial"/>
            <w:sz w:val="24"/>
            <w:szCs w:val="24"/>
            <w:lang w:val="en-GB"/>
          </w:rPr>
          <w:t>https://www.postofficehorizoninquiry.org.uk/</w:t>
        </w:r>
      </w:hyperlink>
      <w:r w:rsidRPr="7AD6DA35" w:rsidR="2C20ECBB">
        <w:rPr>
          <w:rFonts w:ascii="Arial" w:hAnsi="Arial" w:eastAsia="Arial" w:cs="Arial"/>
          <w:color w:val="000000" w:themeColor="text1" w:themeTint="FF" w:themeShade="FF"/>
          <w:sz w:val="24"/>
          <w:szCs w:val="24"/>
          <w:lang w:val="en-GB"/>
        </w:rPr>
        <w:t>.</w:t>
      </w:r>
    </w:p>
    <w:p w:rsidR="002E05CA" w:rsidP="7AD6DA35" w:rsidRDefault="766EA316" w14:paraId="1A0A3DD7" w14:textId="3EE9E3CA">
      <w:pPr>
        <w:pStyle w:val="ListParagraph"/>
        <w:numPr>
          <w:ilvl w:val="0"/>
          <w:numId w:val="20"/>
        </w:numPr>
        <w:spacing w:after="0" w:line="300" w:lineRule="auto"/>
        <w:rPr>
          <w:rFonts w:ascii="Arial" w:hAnsi="Arial" w:eastAsia="Arial" w:cs="Arial"/>
          <w:color w:val="000000" w:themeColor="text1"/>
          <w:sz w:val="24"/>
          <w:szCs w:val="24"/>
        </w:rPr>
      </w:pPr>
      <w:r w:rsidRPr="7AD6DA35" w:rsidR="2C20ECBB">
        <w:rPr>
          <w:rFonts w:ascii="Arial" w:hAnsi="Arial" w:eastAsia="Arial" w:cs="Arial"/>
          <w:color w:val="000000" w:themeColor="text1" w:themeTint="FF" w:themeShade="FF"/>
          <w:sz w:val="24"/>
          <w:szCs w:val="24"/>
          <w:lang w:val="en-GB"/>
        </w:rPr>
        <w:t xml:space="preserve">Parliament.uk. (2024). </w:t>
      </w:r>
      <w:r w:rsidRPr="7AD6DA35" w:rsidR="2C20ECBB">
        <w:rPr>
          <w:rFonts w:ascii="Arial" w:hAnsi="Arial" w:eastAsia="Arial" w:cs="Arial"/>
          <w:i w:val="1"/>
          <w:iCs w:val="1"/>
          <w:color w:val="000000" w:themeColor="text1" w:themeTint="FF" w:themeShade="FF"/>
          <w:sz w:val="24"/>
          <w:szCs w:val="24"/>
          <w:lang w:val="en-GB"/>
        </w:rPr>
        <w:t>Post Office Horizon scandal redress: Unfinished business: Government response</w:t>
      </w:r>
      <w:r w:rsidRPr="7AD6DA35" w:rsidR="2C20ECBB">
        <w:rPr>
          <w:rFonts w:ascii="Arial" w:hAnsi="Arial" w:eastAsia="Arial" w:cs="Arial"/>
          <w:color w:val="000000" w:themeColor="text1" w:themeTint="FF" w:themeShade="FF"/>
          <w:sz w:val="24"/>
          <w:szCs w:val="24"/>
          <w:lang w:val="en-GB"/>
        </w:rPr>
        <w:t xml:space="preserve">. [online] Available at: </w:t>
      </w:r>
      <w:hyperlink r:id="Rc9ac00c9b2af4156">
        <w:r w:rsidRPr="7AD6DA35" w:rsidR="2C20ECBB">
          <w:rPr>
            <w:rStyle w:val="Hyperlink"/>
            <w:rFonts w:ascii="Arial" w:hAnsi="Arial" w:eastAsia="Arial" w:cs="Arial"/>
            <w:sz w:val="24"/>
            <w:szCs w:val="24"/>
            <w:lang w:val="en-GB"/>
          </w:rPr>
          <w:t>https://publications.parliament.uk/pa/cm5901/cmselect/cmbeis/969/report.html</w:t>
        </w:r>
      </w:hyperlink>
      <w:r w:rsidRPr="7AD6DA35" w:rsidR="2C20ECBB">
        <w:rPr>
          <w:rFonts w:ascii="Arial" w:hAnsi="Arial" w:eastAsia="Arial" w:cs="Arial"/>
          <w:color w:val="000000" w:themeColor="text1" w:themeTint="FF" w:themeShade="FF"/>
          <w:sz w:val="24"/>
          <w:szCs w:val="24"/>
          <w:lang w:val="en-GB"/>
        </w:rPr>
        <w:t>.</w:t>
      </w:r>
    </w:p>
    <w:p w:rsidR="002E05CA" w:rsidP="7AD6DA35" w:rsidRDefault="002E05CA" w14:paraId="50781146" w14:textId="6DAC6B7D">
      <w:pPr>
        <w:spacing w:after="0" w:line="300" w:lineRule="auto"/>
        <w:rPr>
          <w:rFonts w:ascii="Arial" w:hAnsi="Arial" w:eastAsia="Arial" w:cs="Arial"/>
          <w:color w:val="464FEB"/>
          <w:sz w:val="24"/>
          <w:szCs w:val="24"/>
        </w:rPr>
      </w:pPr>
    </w:p>
    <w:p w:rsidR="002E05CA" w:rsidP="7AD6DA35" w:rsidRDefault="766EA316" w14:paraId="52566A41" w14:textId="0DD87F0B">
      <w:pPr>
        <w:pStyle w:val="ListParagraph"/>
        <w:numPr>
          <w:ilvl w:val="0"/>
          <w:numId w:val="19"/>
        </w:numPr>
        <w:spacing w:after="0" w:line="300" w:lineRule="auto"/>
        <w:rPr>
          <w:rFonts w:ascii="Arial" w:hAnsi="Arial" w:eastAsia="Arial" w:cs="Arial"/>
          <w:color w:val="000000" w:themeColor="text1"/>
          <w:sz w:val="24"/>
          <w:szCs w:val="24"/>
        </w:rPr>
      </w:pPr>
      <w:r w:rsidRPr="7AD6DA35" w:rsidR="2C20ECBB">
        <w:rPr>
          <w:rFonts w:ascii="Arial" w:hAnsi="Arial" w:eastAsia="Arial" w:cs="Arial"/>
          <w:color w:val="000000" w:themeColor="text1" w:themeTint="FF" w:themeShade="FF"/>
          <w:sz w:val="24"/>
          <w:szCs w:val="24"/>
          <w:lang w:val="en-GB"/>
        </w:rPr>
        <w:t xml:space="preserve">Clark, L. (2025). </w:t>
      </w:r>
      <w:r w:rsidRPr="7AD6DA35" w:rsidR="2C20ECBB">
        <w:rPr>
          <w:rFonts w:ascii="Arial" w:hAnsi="Arial" w:eastAsia="Arial" w:cs="Arial"/>
          <w:i w:val="1"/>
          <w:iCs w:val="1"/>
          <w:color w:val="000000" w:themeColor="text1" w:themeTint="FF" w:themeShade="FF"/>
          <w:sz w:val="24"/>
          <w:szCs w:val="24"/>
          <w:lang w:val="en-GB"/>
        </w:rPr>
        <w:t>Post Office finally throttles delayed in-house EPOS project</w:t>
      </w:r>
      <w:r w:rsidRPr="7AD6DA35" w:rsidR="2C20ECBB">
        <w:rPr>
          <w:rFonts w:ascii="Arial" w:hAnsi="Arial" w:eastAsia="Arial" w:cs="Arial"/>
          <w:color w:val="000000" w:themeColor="text1" w:themeTint="FF" w:themeShade="FF"/>
          <w:sz w:val="24"/>
          <w:szCs w:val="24"/>
          <w:lang w:val="en-GB"/>
        </w:rPr>
        <w:t xml:space="preserve">. [online] Theregister.com. Available at: </w:t>
      </w:r>
      <w:hyperlink r:id="Rf4e1d6f2820d4fdd">
        <w:r w:rsidRPr="7AD6DA35" w:rsidR="2C20ECBB">
          <w:rPr>
            <w:rStyle w:val="Hyperlink"/>
            <w:rFonts w:ascii="Arial" w:hAnsi="Arial" w:eastAsia="Arial" w:cs="Arial"/>
            <w:sz w:val="24"/>
            <w:szCs w:val="24"/>
            <w:lang w:val="en-GB"/>
          </w:rPr>
          <w:t>https://www.theregister.com/2025/05/14/post_office_horizon_support/</w:t>
        </w:r>
      </w:hyperlink>
      <w:r w:rsidRPr="7AD6DA35" w:rsidR="2C20ECBB">
        <w:rPr>
          <w:rFonts w:ascii="Arial" w:hAnsi="Arial" w:eastAsia="Arial" w:cs="Arial"/>
          <w:color w:val="000000" w:themeColor="text1" w:themeTint="FF" w:themeShade="FF"/>
          <w:sz w:val="24"/>
          <w:szCs w:val="24"/>
          <w:lang w:val="en-GB"/>
        </w:rPr>
        <w:t>.</w:t>
      </w:r>
    </w:p>
    <w:p w:rsidR="002E05CA" w:rsidP="7AD6DA35" w:rsidRDefault="002E05CA" w14:paraId="5DEA0E3F" w14:textId="63E40D7B">
      <w:pPr>
        <w:spacing w:after="0" w:line="300" w:lineRule="auto"/>
        <w:rPr>
          <w:rFonts w:ascii="Arial" w:hAnsi="Arial" w:eastAsia="Arial" w:cs="Arial"/>
          <w:color w:val="464FEB"/>
          <w:sz w:val="24"/>
          <w:szCs w:val="24"/>
        </w:rPr>
      </w:pPr>
    </w:p>
    <w:p w:rsidR="002E05CA" w:rsidP="7AD6DA35" w:rsidRDefault="6F24E75E" w14:paraId="03151B95" w14:textId="08B63366">
      <w:pPr>
        <w:pStyle w:val="ListParagraph"/>
        <w:numPr>
          <w:ilvl w:val="0"/>
          <w:numId w:val="19"/>
        </w:numPr>
        <w:spacing w:after="0" w:line="300" w:lineRule="auto"/>
        <w:rPr>
          <w:rFonts w:ascii="Arial" w:hAnsi="Arial" w:eastAsia="Arial" w:cs="Arial"/>
          <w:color w:val="000000" w:themeColor="text1"/>
          <w:sz w:val="24"/>
          <w:szCs w:val="24"/>
        </w:rPr>
      </w:pPr>
      <w:r w:rsidRPr="7AD6DA35" w:rsidR="24C087D6">
        <w:rPr>
          <w:rFonts w:ascii="Arial" w:hAnsi="Arial" w:eastAsia="Arial" w:cs="Arial"/>
          <w:color w:val="000000" w:themeColor="text1" w:themeTint="FF" w:themeShade="FF"/>
          <w:sz w:val="24"/>
          <w:szCs w:val="24"/>
          <w:lang w:val="en-GB"/>
        </w:rPr>
        <w:t xml:space="preserve">Sweney, M. (2026). </w:t>
      </w:r>
      <w:r w:rsidRPr="7AD6DA35" w:rsidR="24C087D6">
        <w:rPr>
          <w:rFonts w:ascii="Arial" w:hAnsi="Arial" w:eastAsia="Arial" w:cs="Arial"/>
          <w:i w:val="1"/>
          <w:iCs w:val="1"/>
          <w:color w:val="000000" w:themeColor="text1" w:themeTint="FF" w:themeShade="FF"/>
          <w:sz w:val="24"/>
          <w:szCs w:val="24"/>
          <w:lang w:val="en-GB"/>
        </w:rPr>
        <w:t>Thousands may lose out as Post Office closes main Horizon compensation scheme</w:t>
      </w:r>
      <w:r w:rsidRPr="7AD6DA35" w:rsidR="24C087D6">
        <w:rPr>
          <w:rFonts w:ascii="Arial" w:hAnsi="Arial" w:eastAsia="Arial" w:cs="Arial"/>
          <w:color w:val="000000" w:themeColor="text1" w:themeTint="FF" w:themeShade="FF"/>
          <w:sz w:val="24"/>
          <w:szCs w:val="24"/>
          <w:lang w:val="en-GB"/>
        </w:rPr>
        <w:t xml:space="preserve">. [online] the Guardian. Available at: </w:t>
      </w:r>
      <w:hyperlink r:id="R7c23c0a2e66b4103">
        <w:r w:rsidRPr="7AD6DA35" w:rsidR="24C087D6">
          <w:rPr>
            <w:rStyle w:val="Hyperlink"/>
            <w:rFonts w:ascii="Arial" w:hAnsi="Arial" w:eastAsia="Arial" w:cs="Arial"/>
            <w:sz w:val="24"/>
            <w:szCs w:val="24"/>
            <w:lang w:val="en-GB"/>
          </w:rPr>
          <w:t>https://www.theguardian.com/uk-news/2026/jan/31/post-office-workers-horizon-compensation-scheme-deadline</w:t>
        </w:r>
      </w:hyperlink>
      <w:r w:rsidRPr="7AD6DA35" w:rsidR="24C087D6">
        <w:rPr>
          <w:rFonts w:ascii="Arial" w:hAnsi="Arial" w:eastAsia="Arial" w:cs="Arial"/>
          <w:color w:val="000000" w:themeColor="text1" w:themeTint="FF" w:themeShade="FF"/>
          <w:sz w:val="24"/>
          <w:szCs w:val="24"/>
          <w:lang w:val="en-GB"/>
        </w:rPr>
        <w:t>.</w:t>
      </w:r>
    </w:p>
    <w:p w:rsidR="71AD4517" w:rsidP="7AD6DA35" w:rsidRDefault="71AD4517" w14:paraId="572CB656" w14:textId="3574D66F">
      <w:pPr>
        <w:pStyle w:val="ListParagraph"/>
        <w:numPr>
          <w:ilvl w:val="0"/>
          <w:numId w:val="19"/>
        </w:numPr>
        <w:spacing w:after="0" w:line="300" w:lineRule="auto"/>
        <w:rPr>
          <w:rFonts w:ascii="Arial" w:hAnsi="Arial" w:eastAsia="Arial" w:cs="Arial"/>
          <w:sz w:val="24"/>
          <w:szCs w:val="24"/>
          <w:lang w:val="en-GB"/>
        </w:rPr>
      </w:pPr>
      <w:r w:rsidRPr="7AD6DA35" w:rsidR="0543FD9C">
        <w:rPr>
          <w:rFonts w:ascii="Arial" w:hAnsi="Arial" w:eastAsia="Arial" w:cs="Arial"/>
          <w:sz w:val="24"/>
          <w:szCs w:val="24"/>
          <w:lang w:val="en-GB"/>
        </w:rPr>
        <w:t xml:space="preserve">Christie, James. “The Post Office Horizon IT Scandal and the Presumption of the Dependability of Computer Evidence.” </w:t>
      </w:r>
      <w:r w:rsidRPr="7AD6DA35" w:rsidR="0543FD9C">
        <w:rPr>
          <w:rFonts w:ascii="Arial" w:hAnsi="Arial" w:eastAsia="Arial" w:cs="Arial"/>
          <w:i w:val="1"/>
          <w:iCs w:val="1"/>
          <w:sz w:val="24"/>
          <w:szCs w:val="24"/>
          <w:lang w:val="en-GB"/>
        </w:rPr>
        <w:t>Digital Evidence and Electronic Signature Law Review</w:t>
      </w:r>
      <w:r w:rsidRPr="7AD6DA35" w:rsidR="0543FD9C">
        <w:rPr>
          <w:rFonts w:ascii="Arial" w:hAnsi="Arial" w:eastAsia="Arial" w:cs="Arial"/>
          <w:sz w:val="24"/>
          <w:szCs w:val="24"/>
          <w:lang w:val="en-GB"/>
        </w:rPr>
        <w:t xml:space="preserve">, vol. 17, 2 Nov. 2020, pp. 49–70, </w:t>
      </w:r>
      <w:hyperlink r:id="Raec06d210af2454d">
        <w:r w:rsidRPr="7AD6DA35" w:rsidR="0543FD9C">
          <w:rPr>
            <w:rStyle w:val="Hyperlink"/>
            <w:rFonts w:ascii="Arial" w:hAnsi="Arial" w:eastAsia="Arial" w:cs="Arial"/>
            <w:sz w:val="24"/>
            <w:szCs w:val="24"/>
            <w:lang w:val="en-GB"/>
          </w:rPr>
          <w:t>https://doi.org/10.14296/deeslr.v17i0.5226</w:t>
        </w:r>
      </w:hyperlink>
      <w:r w:rsidRPr="7AD6DA35" w:rsidR="0543FD9C">
        <w:rPr>
          <w:rFonts w:ascii="Arial" w:hAnsi="Arial" w:eastAsia="Arial" w:cs="Arial"/>
          <w:sz w:val="24"/>
          <w:szCs w:val="24"/>
          <w:lang w:val="en-GB"/>
        </w:rPr>
        <w:t>.</w:t>
      </w:r>
    </w:p>
    <w:p w:rsidR="71AD4517" w:rsidP="7AD6DA35" w:rsidRDefault="71AD4517" w14:paraId="567781BE" w14:textId="76F9B9A5">
      <w:pPr>
        <w:pStyle w:val="ListParagraph"/>
        <w:numPr>
          <w:ilvl w:val="0"/>
          <w:numId w:val="19"/>
        </w:numPr>
        <w:spacing w:after="0" w:line="300" w:lineRule="auto"/>
        <w:rPr>
          <w:rFonts w:ascii="Arial" w:hAnsi="Arial" w:eastAsia="Arial" w:cs="Arial"/>
          <w:sz w:val="24"/>
          <w:szCs w:val="24"/>
          <w:lang w:val="en-GB"/>
        </w:rPr>
      </w:pPr>
      <w:r w:rsidRPr="7AD6DA35" w:rsidR="0543FD9C">
        <w:rPr>
          <w:rFonts w:ascii="Arial" w:hAnsi="Arial" w:eastAsia="Arial" w:cs="Arial"/>
          <w:sz w:val="24"/>
          <w:szCs w:val="24"/>
          <w:lang w:val="en-GB"/>
        </w:rPr>
        <w:t xml:space="preserve">Cooper, Martin. “The Post Office Horizon IT Scandal.” </w:t>
      </w:r>
      <w:r w:rsidRPr="7AD6DA35" w:rsidR="0543FD9C">
        <w:rPr>
          <w:rFonts w:ascii="Arial" w:hAnsi="Arial" w:eastAsia="Arial" w:cs="Arial"/>
          <w:i w:val="1"/>
          <w:iCs w:val="1"/>
          <w:sz w:val="24"/>
          <w:szCs w:val="24"/>
          <w:lang w:val="en-GB"/>
        </w:rPr>
        <w:t>ITNOW</w:t>
      </w:r>
      <w:r w:rsidRPr="7AD6DA35" w:rsidR="0543FD9C">
        <w:rPr>
          <w:rFonts w:ascii="Arial" w:hAnsi="Arial" w:eastAsia="Arial" w:cs="Arial"/>
          <w:sz w:val="24"/>
          <w:szCs w:val="24"/>
          <w:lang w:val="en-GB"/>
        </w:rPr>
        <w:t xml:space="preserve">, vol. 67, no. 1, 2025, pp. 65–65, </w:t>
      </w:r>
      <w:hyperlink r:id="R1ac2d787ebc44bfd">
        <w:r w:rsidRPr="7AD6DA35" w:rsidR="0543FD9C">
          <w:rPr>
            <w:rStyle w:val="Hyperlink"/>
            <w:rFonts w:ascii="Arial" w:hAnsi="Arial" w:eastAsia="Arial" w:cs="Arial"/>
            <w:sz w:val="24"/>
            <w:szCs w:val="24"/>
            <w:lang w:val="en-GB"/>
          </w:rPr>
          <w:t>https://doi.org/10.1093/itnow/bwaf031</w:t>
        </w:r>
      </w:hyperlink>
      <w:r w:rsidRPr="7AD6DA35" w:rsidR="0543FD9C">
        <w:rPr>
          <w:rFonts w:ascii="Arial" w:hAnsi="Arial" w:eastAsia="Arial" w:cs="Arial"/>
          <w:sz w:val="24"/>
          <w:szCs w:val="24"/>
          <w:lang w:val="en-GB"/>
        </w:rPr>
        <w:t>. Accessed 20 Feb. 2025.</w:t>
      </w:r>
    </w:p>
    <w:p w:rsidR="71AD4517" w:rsidP="7AD6DA35" w:rsidRDefault="71AD4517" w14:paraId="79DA5C02" w14:textId="7A8BE8D7">
      <w:pPr>
        <w:pStyle w:val="ListParagraph"/>
        <w:numPr>
          <w:ilvl w:val="0"/>
          <w:numId w:val="19"/>
        </w:numPr>
        <w:spacing w:after="0" w:line="300" w:lineRule="auto"/>
        <w:rPr>
          <w:rFonts w:ascii="Arial" w:hAnsi="Arial" w:eastAsia="Arial" w:cs="Arial"/>
          <w:sz w:val="24"/>
          <w:szCs w:val="24"/>
          <w:lang w:val="en-GB"/>
        </w:rPr>
      </w:pPr>
      <w:r w:rsidRPr="7AD6DA35" w:rsidR="0543FD9C">
        <w:rPr>
          <w:rFonts w:ascii="Arial" w:hAnsi="Arial" w:eastAsia="Arial" w:cs="Arial"/>
          <w:sz w:val="24"/>
          <w:szCs w:val="24"/>
          <w:lang w:val="en-GB"/>
        </w:rPr>
        <w:t xml:space="preserve">Foley, James. </w:t>
      </w:r>
      <w:r w:rsidRPr="7AD6DA35" w:rsidR="0543FD9C">
        <w:rPr>
          <w:rFonts w:ascii="Arial" w:hAnsi="Arial" w:eastAsia="Arial" w:cs="Arial"/>
          <w:i w:val="1"/>
          <w:iCs w:val="1"/>
          <w:sz w:val="24"/>
          <w:szCs w:val="24"/>
          <w:lang w:val="en-GB"/>
        </w:rPr>
        <w:t>The Scottish Economy and Nationalism</w:t>
      </w:r>
      <w:r w:rsidRPr="7AD6DA35" w:rsidR="0543FD9C">
        <w:rPr>
          <w:rFonts w:ascii="Arial" w:hAnsi="Arial" w:eastAsia="Arial" w:cs="Arial"/>
          <w:sz w:val="24"/>
          <w:szCs w:val="24"/>
          <w:lang w:val="en-GB"/>
        </w:rPr>
        <w:t>. Taylor &amp; Francis, 18 Aug. 2023.</w:t>
      </w:r>
    </w:p>
    <w:p w:rsidR="71AD4517" w:rsidP="7AD6DA35" w:rsidRDefault="71AD4517" w14:paraId="6EE3E968" w14:textId="18CD463C">
      <w:pPr>
        <w:pStyle w:val="ListParagraph"/>
        <w:numPr>
          <w:ilvl w:val="0"/>
          <w:numId w:val="19"/>
        </w:numPr>
        <w:spacing w:after="0" w:line="300" w:lineRule="auto"/>
        <w:rPr>
          <w:rFonts w:ascii="Arial" w:hAnsi="Arial" w:eastAsia="Arial" w:cs="Arial"/>
          <w:sz w:val="24"/>
          <w:szCs w:val="24"/>
          <w:lang w:val="en-GB"/>
        </w:rPr>
      </w:pPr>
      <w:r w:rsidRPr="7AD6DA35" w:rsidR="0543FD9C">
        <w:rPr>
          <w:rFonts w:ascii="Arial" w:hAnsi="Arial" w:eastAsia="Arial" w:cs="Arial"/>
          <w:sz w:val="24"/>
          <w:szCs w:val="24"/>
          <w:lang w:val="en-GB"/>
        </w:rPr>
        <w:t xml:space="preserve">for, Department. “Government Response to the Post Office Horizon IT Inquiry Report (Volume 1).” </w:t>
      </w:r>
      <w:r w:rsidRPr="7AD6DA35" w:rsidR="0543FD9C">
        <w:rPr>
          <w:rFonts w:ascii="Arial" w:hAnsi="Arial" w:eastAsia="Arial" w:cs="Arial"/>
          <w:i w:val="1"/>
          <w:iCs w:val="1"/>
          <w:sz w:val="24"/>
          <w:szCs w:val="24"/>
          <w:lang w:val="en-GB"/>
        </w:rPr>
        <w:t>GOV.UK</w:t>
      </w:r>
      <w:r w:rsidRPr="7AD6DA35" w:rsidR="0543FD9C">
        <w:rPr>
          <w:rFonts w:ascii="Arial" w:hAnsi="Arial" w:eastAsia="Arial" w:cs="Arial"/>
          <w:sz w:val="24"/>
          <w:szCs w:val="24"/>
          <w:lang w:val="en-GB"/>
        </w:rPr>
        <w:t xml:space="preserve">, 8 Oct. 2025, </w:t>
      </w:r>
      <w:hyperlink r:id="Rc154d5b4f7114074">
        <w:r w:rsidRPr="7AD6DA35" w:rsidR="0543FD9C">
          <w:rPr>
            <w:rStyle w:val="Hyperlink"/>
            <w:rFonts w:ascii="Arial" w:hAnsi="Arial" w:eastAsia="Arial" w:cs="Arial"/>
            <w:sz w:val="24"/>
            <w:szCs w:val="24"/>
            <w:lang w:val="en-GB"/>
          </w:rPr>
          <w:t>www.gov.uk/government/publications/government-response-to-the-post-office-horizon-it-inquiry-report-volume-1</w:t>
        </w:r>
      </w:hyperlink>
      <w:r w:rsidRPr="7AD6DA35" w:rsidR="0543FD9C">
        <w:rPr>
          <w:rFonts w:ascii="Arial" w:hAnsi="Arial" w:eastAsia="Arial" w:cs="Arial"/>
          <w:sz w:val="24"/>
          <w:szCs w:val="24"/>
          <w:lang w:val="en-GB"/>
        </w:rPr>
        <w:t>. Accessed 28 June 2026.</w:t>
      </w:r>
    </w:p>
    <w:p w:rsidR="71AD4517" w:rsidP="7AD6DA35" w:rsidRDefault="71AD4517" w14:paraId="3F8BFC04" w14:textId="78654613">
      <w:pPr>
        <w:pStyle w:val="ListParagraph"/>
        <w:numPr>
          <w:ilvl w:val="0"/>
          <w:numId w:val="19"/>
        </w:numPr>
        <w:spacing w:after="0" w:line="300" w:lineRule="auto"/>
        <w:rPr>
          <w:rFonts w:ascii="Arial" w:hAnsi="Arial" w:eastAsia="Arial" w:cs="Arial"/>
          <w:sz w:val="24"/>
          <w:szCs w:val="24"/>
          <w:lang w:val="en-GB"/>
        </w:rPr>
      </w:pPr>
      <w:r w:rsidRPr="7AD6DA35" w:rsidR="0543FD9C">
        <w:rPr>
          <w:rFonts w:ascii="Arial" w:hAnsi="Arial" w:eastAsia="Arial" w:cs="Arial"/>
          <w:sz w:val="24"/>
          <w:szCs w:val="24"/>
          <w:lang w:val="en-GB"/>
        </w:rPr>
        <w:t xml:space="preserve">gov.uk. “Search.” </w:t>
      </w:r>
      <w:r w:rsidRPr="7AD6DA35" w:rsidR="0543FD9C">
        <w:rPr>
          <w:rFonts w:ascii="Arial" w:hAnsi="Arial" w:eastAsia="Arial" w:cs="Arial"/>
          <w:i w:val="1"/>
          <w:iCs w:val="1"/>
          <w:sz w:val="24"/>
          <w:szCs w:val="24"/>
          <w:lang w:val="en-GB"/>
        </w:rPr>
        <w:t>GOV.UK</w:t>
      </w:r>
      <w:r w:rsidRPr="7AD6DA35" w:rsidR="0543FD9C">
        <w:rPr>
          <w:rFonts w:ascii="Arial" w:hAnsi="Arial" w:eastAsia="Arial" w:cs="Arial"/>
          <w:sz w:val="24"/>
          <w:szCs w:val="24"/>
          <w:lang w:val="en-GB"/>
        </w:rPr>
        <w:t xml:space="preserve">, 14 Feb. 2019, </w:t>
      </w:r>
      <w:hyperlink r:id="R55b4ff361fc14912">
        <w:r w:rsidRPr="7AD6DA35" w:rsidR="0543FD9C">
          <w:rPr>
            <w:rStyle w:val="Hyperlink"/>
            <w:rFonts w:ascii="Arial" w:hAnsi="Arial" w:eastAsia="Arial" w:cs="Arial"/>
            <w:sz w:val="24"/>
            <w:szCs w:val="24"/>
            <w:lang w:val="en-GB"/>
          </w:rPr>
          <w:t>www.gov.uk/government/publications/</w:t>
        </w:r>
      </w:hyperlink>
      <w:r w:rsidRPr="7AD6DA35" w:rsidR="0543FD9C">
        <w:rPr>
          <w:rFonts w:ascii="Arial" w:hAnsi="Arial" w:eastAsia="Arial" w:cs="Arial"/>
          <w:sz w:val="24"/>
          <w:szCs w:val="24"/>
          <w:lang w:val="en-GB"/>
        </w:rPr>
        <w:t>.</w:t>
      </w:r>
    </w:p>
    <w:p w:rsidR="71AD4517" w:rsidP="7AD6DA35" w:rsidRDefault="71AD4517" w14:paraId="2B686E31" w14:textId="6046AC41">
      <w:pPr>
        <w:pStyle w:val="ListParagraph"/>
        <w:numPr>
          <w:ilvl w:val="0"/>
          <w:numId w:val="19"/>
        </w:numPr>
        <w:spacing w:after="0" w:line="300" w:lineRule="auto"/>
        <w:rPr>
          <w:rFonts w:ascii="Arial" w:hAnsi="Arial" w:eastAsia="Arial" w:cs="Arial"/>
          <w:sz w:val="24"/>
          <w:szCs w:val="24"/>
          <w:lang w:val="en-GB"/>
        </w:rPr>
      </w:pPr>
      <w:r w:rsidRPr="7AD6DA35" w:rsidR="0543FD9C">
        <w:rPr>
          <w:rFonts w:ascii="Arial" w:hAnsi="Arial" w:eastAsia="Arial" w:cs="Arial"/>
          <w:sz w:val="24"/>
          <w:szCs w:val="24"/>
          <w:lang w:val="en-GB"/>
        </w:rPr>
        <w:t xml:space="preserve">Lodge, Jan, et al. “From Paralysis to Publicization: How Victims of the UK Post Office Horizon IT Scandal Experienced and Confronted Organizational Harm.” </w:t>
      </w:r>
      <w:r w:rsidRPr="7AD6DA35" w:rsidR="0543FD9C">
        <w:rPr>
          <w:rFonts w:ascii="Arial" w:hAnsi="Arial" w:eastAsia="Arial" w:cs="Arial"/>
          <w:i w:val="1"/>
          <w:iCs w:val="1"/>
          <w:sz w:val="24"/>
          <w:szCs w:val="24"/>
          <w:lang w:val="en-GB"/>
        </w:rPr>
        <w:t>Academy of Management Journal</w:t>
      </w:r>
      <w:r w:rsidRPr="7AD6DA35" w:rsidR="0543FD9C">
        <w:rPr>
          <w:rFonts w:ascii="Arial" w:hAnsi="Arial" w:eastAsia="Arial" w:cs="Arial"/>
          <w:sz w:val="24"/>
          <w:szCs w:val="24"/>
          <w:lang w:val="en-GB"/>
        </w:rPr>
        <w:t xml:space="preserve">, 11 Dec. 2025, </w:t>
      </w:r>
      <w:hyperlink r:id="R544a3bd092784927">
        <w:r w:rsidRPr="7AD6DA35" w:rsidR="0543FD9C">
          <w:rPr>
            <w:rStyle w:val="Hyperlink"/>
            <w:rFonts w:ascii="Arial" w:hAnsi="Arial" w:eastAsia="Arial" w:cs="Arial"/>
            <w:sz w:val="24"/>
            <w:szCs w:val="24"/>
            <w:lang w:val="en-GB"/>
          </w:rPr>
          <w:t>https://doi.org/10.5465/amj.2024.1166</w:t>
        </w:r>
      </w:hyperlink>
      <w:r w:rsidRPr="7AD6DA35" w:rsidR="0543FD9C">
        <w:rPr>
          <w:rFonts w:ascii="Arial" w:hAnsi="Arial" w:eastAsia="Arial" w:cs="Arial"/>
          <w:sz w:val="24"/>
          <w:szCs w:val="24"/>
          <w:lang w:val="en-GB"/>
        </w:rPr>
        <w:t>. Accessed 11 Dec. 2025.</w:t>
      </w:r>
    </w:p>
    <w:p w:rsidR="71AD4517" w:rsidP="7AD6DA35" w:rsidRDefault="71AD4517" w14:paraId="764F37C4" w14:textId="597CB475">
      <w:pPr>
        <w:pStyle w:val="ListParagraph"/>
        <w:numPr>
          <w:ilvl w:val="0"/>
          <w:numId w:val="19"/>
        </w:numPr>
        <w:spacing w:after="0" w:line="300" w:lineRule="auto"/>
        <w:rPr>
          <w:rFonts w:ascii="Arial" w:hAnsi="Arial" w:eastAsia="Arial" w:cs="Arial"/>
          <w:sz w:val="24"/>
          <w:szCs w:val="24"/>
          <w:lang w:val="en-GB"/>
        </w:rPr>
      </w:pPr>
      <w:r w:rsidRPr="7AD6DA35" w:rsidR="0543FD9C">
        <w:rPr>
          <w:rFonts w:ascii="Arial" w:hAnsi="Arial" w:eastAsia="Arial" w:cs="Arial"/>
          <w:sz w:val="24"/>
          <w:szCs w:val="24"/>
          <w:lang w:val="en-GB"/>
        </w:rPr>
        <w:t xml:space="preserve">Schmeisky, Jan. “Der Post Office/Horizon IT-Skandal in Den UK.” </w:t>
      </w:r>
      <w:r w:rsidRPr="7AD6DA35" w:rsidR="0543FD9C">
        <w:rPr>
          <w:rFonts w:ascii="Arial" w:hAnsi="Arial" w:eastAsia="Arial" w:cs="Arial"/>
          <w:i w:val="1"/>
          <w:iCs w:val="1"/>
          <w:sz w:val="24"/>
          <w:szCs w:val="24"/>
          <w:lang w:val="en-GB"/>
        </w:rPr>
        <w:t>Risk, Fraud &amp; Compliance</w:t>
      </w:r>
      <w:r w:rsidRPr="7AD6DA35" w:rsidR="0543FD9C">
        <w:rPr>
          <w:rFonts w:ascii="Arial" w:hAnsi="Arial" w:eastAsia="Arial" w:cs="Arial"/>
          <w:sz w:val="24"/>
          <w:szCs w:val="24"/>
          <w:lang w:val="en-GB"/>
        </w:rPr>
        <w:t xml:space="preserve">, no. 2, 30 Mar. 2026, </w:t>
      </w:r>
      <w:hyperlink r:id="Rad19230e0faf46cf">
        <w:r w:rsidRPr="7AD6DA35" w:rsidR="0543FD9C">
          <w:rPr>
            <w:rStyle w:val="Hyperlink"/>
            <w:rFonts w:ascii="Arial" w:hAnsi="Arial" w:eastAsia="Arial" w:cs="Arial"/>
            <w:sz w:val="24"/>
            <w:szCs w:val="24"/>
            <w:lang w:val="en-GB"/>
          </w:rPr>
          <w:t>https://doi.org/10.37307/j.1867-8394.2026.02.05</w:t>
        </w:r>
      </w:hyperlink>
      <w:r w:rsidRPr="7AD6DA35" w:rsidR="0543FD9C">
        <w:rPr>
          <w:rFonts w:ascii="Arial" w:hAnsi="Arial" w:eastAsia="Arial" w:cs="Arial"/>
          <w:sz w:val="24"/>
          <w:szCs w:val="24"/>
          <w:lang w:val="en-GB"/>
        </w:rPr>
        <w:t>. Accessed 7 Apr. 2026.</w:t>
      </w:r>
    </w:p>
    <w:p w:rsidR="41AA5D55" w:rsidP="7AD6DA35" w:rsidRDefault="519432B4" w14:paraId="7A8E83D2" w14:textId="034EF5B0">
      <w:pPr>
        <w:pStyle w:val="ListParagraph"/>
        <w:numPr>
          <w:ilvl w:val="0"/>
          <w:numId w:val="19"/>
        </w:numPr>
        <w:spacing w:after="0" w:line="300" w:lineRule="auto"/>
        <w:rPr>
          <w:rFonts w:ascii="Arial" w:hAnsi="Arial" w:eastAsia="Arial" w:cs="Arial"/>
          <w:sz w:val="24"/>
          <w:szCs w:val="24"/>
          <w:lang w:val="en-GB"/>
        </w:rPr>
      </w:pPr>
      <w:r w:rsidRPr="7AD6DA35" w:rsidR="75EC5C64">
        <w:rPr>
          <w:rFonts w:ascii="Arial" w:hAnsi="Arial" w:eastAsia="Arial" w:cs="Arial"/>
          <w:sz w:val="24"/>
          <w:szCs w:val="24"/>
          <w:lang w:val="en-GB"/>
        </w:rPr>
        <w:t xml:space="preserve">Cooper, Martin. “The Post Office Horizon IT Scandal.” </w:t>
      </w:r>
      <w:r w:rsidRPr="7AD6DA35" w:rsidR="75EC5C64">
        <w:rPr>
          <w:rFonts w:ascii="Arial" w:hAnsi="Arial" w:eastAsia="Arial" w:cs="Arial"/>
          <w:i w:val="1"/>
          <w:iCs w:val="1"/>
          <w:sz w:val="24"/>
          <w:szCs w:val="24"/>
          <w:lang w:val="en-GB"/>
        </w:rPr>
        <w:t>Itnow</w:t>
      </w:r>
      <w:r w:rsidRPr="7AD6DA35" w:rsidR="75EC5C64">
        <w:rPr>
          <w:rFonts w:ascii="Arial" w:hAnsi="Arial" w:eastAsia="Arial" w:cs="Arial"/>
          <w:sz w:val="24"/>
          <w:szCs w:val="24"/>
          <w:lang w:val="en-GB"/>
        </w:rPr>
        <w:t>, vol. 67, no. 1, 2025, pp. 65–65, 10.1093/itnow/bwaf031. Accessed 20 Feb. 2025.</w:t>
      </w:r>
    </w:p>
    <w:p w:rsidR="41AA5D55" w:rsidP="7AD6DA35" w:rsidRDefault="3945DE2A" w14:paraId="3C615AF2" w14:textId="564A8568">
      <w:pPr>
        <w:pStyle w:val="ListParagraph"/>
        <w:numPr>
          <w:ilvl w:val="0"/>
          <w:numId w:val="19"/>
        </w:numPr>
        <w:spacing w:after="0" w:line="300" w:lineRule="auto"/>
        <w:rPr>
          <w:rFonts w:ascii="Arial" w:hAnsi="Arial" w:eastAsia="Arial" w:cs="Arial"/>
          <w:sz w:val="24"/>
          <w:szCs w:val="24"/>
          <w:lang w:val="en-GB"/>
        </w:rPr>
      </w:pPr>
      <w:r w:rsidRPr="7AD6DA35" w:rsidR="3EB0DB63">
        <w:rPr>
          <w:rFonts w:ascii="Arial" w:hAnsi="Arial" w:eastAsia="Arial" w:cs="Arial"/>
          <w:color w:val="222222"/>
          <w:sz w:val="24"/>
          <w:szCs w:val="24"/>
          <w:lang w:val="en-GB"/>
        </w:rPr>
        <w:t xml:space="preserve">Georgiadou, E., Rahanu, H., Siakas, K., Siakas, E., Siakas, D., Ross, M. and Staples, G., 2024, September. A Multidimensional Perspective of IT Systems Failures and Their Human Consequences–The Case of the UK Post-office IT Horizon System Failure and the Most Widespread Miscarriage of Justice. In </w:t>
      </w:r>
      <w:r w:rsidRPr="7AD6DA35" w:rsidR="3EB0DB63">
        <w:rPr>
          <w:rFonts w:ascii="Arial" w:hAnsi="Arial" w:eastAsia="Arial" w:cs="Arial"/>
          <w:i w:val="1"/>
          <w:iCs w:val="1"/>
          <w:color w:val="222222"/>
          <w:sz w:val="24"/>
          <w:szCs w:val="24"/>
          <w:lang w:val="en-GB"/>
        </w:rPr>
        <w:t>European Conference on Software Process Improvement</w:t>
      </w:r>
      <w:r w:rsidRPr="7AD6DA35" w:rsidR="3EB0DB63">
        <w:rPr>
          <w:rFonts w:ascii="Arial" w:hAnsi="Arial" w:eastAsia="Arial" w:cs="Arial"/>
          <w:color w:val="222222"/>
          <w:sz w:val="24"/>
          <w:szCs w:val="24"/>
          <w:lang w:val="en-GB"/>
        </w:rPr>
        <w:t xml:space="preserve"> (pp. 325-344). Cham: Springer Nature Switzerland.</w:t>
      </w:r>
    </w:p>
    <w:p w:rsidR="41AA5D55" w:rsidP="7AD6DA35" w:rsidRDefault="53F83A54" w14:paraId="1AFD0FFE" w14:textId="6F20504A">
      <w:pPr>
        <w:pStyle w:val="ListParagraph"/>
        <w:numPr>
          <w:ilvl w:val="0"/>
          <w:numId w:val="19"/>
        </w:numPr>
        <w:spacing w:after="0" w:line="300" w:lineRule="auto"/>
        <w:rPr>
          <w:rFonts w:ascii="Arial" w:hAnsi="Arial" w:eastAsia="Arial" w:cs="Arial"/>
          <w:sz w:val="24"/>
          <w:szCs w:val="24"/>
          <w:lang w:val="en-GB"/>
        </w:rPr>
      </w:pPr>
      <w:r w:rsidRPr="7AD6DA35" w:rsidR="6AA296E8">
        <w:rPr>
          <w:rFonts w:ascii="Arial" w:hAnsi="Arial" w:eastAsia="Arial" w:cs="Arial"/>
          <w:color w:val="222222"/>
          <w:sz w:val="24"/>
          <w:szCs w:val="24"/>
          <w:lang w:val="en-GB"/>
        </w:rPr>
        <w:t xml:space="preserve">Dugdale, J., 2021. The Post Office. In </w:t>
      </w:r>
      <w:r w:rsidRPr="7AD6DA35" w:rsidR="6AA296E8">
        <w:rPr>
          <w:rFonts w:ascii="Arial" w:hAnsi="Arial" w:eastAsia="Arial" w:cs="Arial"/>
          <w:i w:val="1"/>
          <w:iCs w:val="1"/>
          <w:color w:val="222222"/>
          <w:sz w:val="24"/>
          <w:szCs w:val="24"/>
          <w:lang w:val="en-GB"/>
        </w:rPr>
        <w:t>Public Enterprise</w:t>
      </w:r>
      <w:r w:rsidRPr="7AD6DA35" w:rsidR="6AA296E8">
        <w:rPr>
          <w:rFonts w:ascii="Arial" w:hAnsi="Arial" w:eastAsia="Arial" w:cs="Arial"/>
          <w:color w:val="222222"/>
          <w:sz w:val="24"/>
          <w:szCs w:val="24"/>
          <w:lang w:val="en-GB"/>
        </w:rPr>
        <w:t xml:space="preserve"> (pp. 289-319). Routledge.</w:t>
      </w:r>
    </w:p>
    <w:p w:rsidR="4A7E93CA" w:rsidP="7AD6DA35" w:rsidRDefault="4A7E93CA" w14:paraId="45AE4760" w14:textId="312D6D41">
      <w:pPr>
        <w:pStyle w:val="ListParagraph"/>
        <w:numPr>
          <w:ilvl w:val="0"/>
          <w:numId w:val="19"/>
        </w:numPr>
        <w:spacing w:after="0" w:line="300" w:lineRule="auto"/>
        <w:rPr>
          <w:rFonts w:ascii="Arial" w:hAnsi="Arial" w:eastAsia="Arial" w:cs="Arial"/>
          <w:sz w:val="24"/>
          <w:szCs w:val="24"/>
          <w:lang w:val="en-GB"/>
        </w:rPr>
      </w:pPr>
      <w:r w:rsidRPr="7AD6DA35" w:rsidR="2AAB3E5F">
        <w:rPr>
          <w:rFonts w:ascii="Arial" w:hAnsi="Arial" w:eastAsia="Arial" w:cs="Arial"/>
          <w:color w:val="222222"/>
          <w:sz w:val="24"/>
          <w:szCs w:val="24"/>
          <w:lang w:val="en-GB"/>
        </w:rPr>
        <w:t>Hooper, R., Hutton, D. and Smith, I.R., 2008. Modernise or decline: policies to maintain the universal postal service in the United Kingdom: an independent review of the UK postal services sector.</w:t>
      </w:r>
    </w:p>
    <w:p w:rsidR="54186B8B" w:rsidP="7AD6DA35" w:rsidRDefault="54186B8B" w14:paraId="403DB94E" w14:textId="0B4813FD">
      <w:pPr>
        <w:pStyle w:val="ListParagraph"/>
        <w:numPr>
          <w:ilvl w:val="0"/>
          <w:numId w:val="19"/>
        </w:numPr>
        <w:spacing w:after="0" w:line="300" w:lineRule="auto"/>
        <w:rPr>
          <w:rFonts w:ascii="Arial" w:hAnsi="Arial" w:eastAsia="Arial" w:cs="Arial"/>
          <w:sz w:val="24"/>
          <w:szCs w:val="24"/>
          <w:lang w:val="en-GB"/>
        </w:rPr>
      </w:pPr>
      <w:r w:rsidRPr="7AD6DA35" w:rsidR="11790A27">
        <w:rPr>
          <w:rFonts w:ascii="Arial" w:hAnsi="Arial" w:eastAsia="Arial" w:cs="Arial"/>
          <w:color w:val="222222"/>
          <w:sz w:val="24"/>
          <w:szCs w:val="24"/>
          <w:lang w:val="en-GB"/>
        </w:rPr>
        <w:t xml:space="preserve">Jaag, C. and Finger, M., 2017. What future for the post office network?. </w:t>
      </w:r>
      <w:r w:rsidRPr="7AD6DA35" w:rsidR="11790A27">
        <w:rPr>
          <w:rFonts w:ascii="Arial" w:hAnsi="Arial" w:eastAsia="Arial" w:cs="Arial"/>
          <w:i w:val="1"/>
          <w:iCs w:val="1"/>
          <w:color w:val="222222"/>
          <w:sz w:val="24"/>
          <w:szCs w:val="24"/>
          <w:lang w:val="en-GB"/>
        </w:rPr>
        <w:t>Competition and Regulation in Network Industries</w:t>
      </w:r>
      <w:r w:rsidRPr="7AD6DA35" w:rsidR="11790A27">
        <w:rPr>
          <w:rFonts w:ascii="Arial" w:hAnsi="Arial" w:eastAsia="Arial" w:cs="Arial"/>
          <w:color w:val="222222"/>
          <w:sz w:val="24"/>
          <w:szCs w:val="24"/>
          <w:lang w:val="en-GB"/>
        </w:rPr>
        <w:t xml:space="preserve">, </w:t>
      </w:r>
      <w:r w:rsidRPr="7AD6DA35" w:rsidR="11790A27">
        <w:rPr>
          <w:rFonts w:ascii="Arial" w:hAnsi="Arial" w:eastAsia="Arial" w:cs="Arial"/>
          <w:i w:val="1"/>
          <w:iCs w:val="1"/>
          <w:color w:val="222222"/>
          <w:sz w:val="24"/>
          <w:szCs w:val="24"/>
          <w:lang w:val="en-GB"/>
        </w:rPr>
        <w:t>18</w:t>
      </w:r>
      <w:r w:rsidRPr="7AD6DA35" w:rsidR="11790A27">
        <w:rPr>
          <w:rFonts w:ascii="Arial" w:hAnsi="Arial" w:eastAsia="Arial" w:cs="Arial"/>
          <w:color w:val="222222"/>
          <w:sz w:val="24"/>
          <w:szCs w:val="24"/>
          <w:lang w:val="en-GB"/>
        </w:rPr>
        <w:t>(3-4), pp.153-174.</w:t>
      </w:r>
    </w:p>
    <w:p w:rsidR="129E4865" w:rsidP="7AD6DA35" w:rsidRDefault="129E4865" w14:paraId="7010F4B8" w14:textId="6655BA58">
      <w:pPr>
        <w:pStyle w:val="ListParagraph"/>
        <w:numPr>
          <w:ilvl w:val="0"/>
          <w:numId w:val="19"/>
        </w:numPr>
        <w:spacing w:after="0" w:line="300" w:lineRule="auto"/>
        <w:rPr>
          <w:rFonts w:ascii="Arial" w:hAnsi="Arial" w:eastAsia="Arial" w:cs="Arial"/>
          <w:sz w:val="24"/>
          <w:szCs w:val="24"/>
          <w:lang w:val="en-GB"/>
        </w:rPr>
      </w:pPr>
      <w:r w:rsidRPr="7AD6DA35" w:rsidR="3CBB21F3">
        <w:rPr>
          <w:rFonts w:ascii="Arial" w:hAnsi="Arial" w:eastAsia="Arial" w:cs="Arial"/>
          <w:color w:val="222222"/>
          <w:sz w:val="24"/>
          <w:szCs w:val="24"/>
          <w:lang w:val="en-GB"/>
        </w:rPr>
        <w:t xml:space="preserve">Comber, A., Brunsdon, C., Hardy, J. and Radburn, R., 2009. Using a GIS—Based network analysis and optimisation routines to evaluate service provision: A case study of the UK post office. </w:t>
      </w:r>
      <w:r w:rsidRPr="7AD6DA35" w:rsidR="3CBB21F3">
        <w:rPr>
          <w:rFonts w:ascii="Arial" w:hAnsi="Arial" w:eastAsia="Arial" w:cs="Arial"/>
          <w:i w:val="1"/>
          <w:iCs w:val="1"/>
          <w:color w:val="222222"/>
          <w:sz w:val="24"/>
          <w:szCs w:val="24"/>
          <w:lang w:val="en-GB"/>
        </w:rPr>
        <w:t>Applied Spatial Analysis and Policy</w:t>
      </w:r>
      <w:r w:rsidRPr="7AD6DA35" w:rsidR="3CBB21F3">
        <w:rPr>
          <w:rFonts w:ascii="Arial" w:hAnsi="Arial" w:eastAsia="Arial" w:cs="Arial"/>
          <w:color w:val="222222"/>
          <w:sz w:val="24"/>
          <w:szCs w:val="24"/>
          <w:lang w:val="en-GB"/>
        </w:rPr>
        <w:t xml:space="preserve">, </w:t>
      </w:r>
      <w:r w:rsidRPr="7AD6DA35" w:rsidR="3CBB21F3">
        <w:rPr>
          <w:rFonts w:ascii="Arial" w:hAnsi="Arial" w:eastAsia="Arial" w:cs="Arial"/>
          <w:i w:val="1"/>
          <w:iCs w:val="1"/>
          <w:color w:val="222222"/>
          <w:sz w:val="24"/>
          <w:szCs w:val="24"/>
          <w:lang w:val="en-GB"/>
        </w:rPr>
        <w:t>2</w:t>
      </w:r>
      <w:r w:rsidRPr="7AD6DA35" w:rsidR="3CBB21F3">
        <w:rPr>
          <w:rFonts w:ascii="Arial" w:hAnsi="Arial" w:eastAsia="Arial" w:cs="Arial"/>
          <w:color w:val="222222"/>
          <w:sz w:val="24"/>
          <w:szCs w:val="24"/>
          <w:lang w:val="en-GB"/>
        </w:rPr>
        <w:t>(1), pp.47-64.</w:t>
      </w:r>
    </w:p>
    <w:p w:rsidR="60829847" w:rsidP="7AD6DA35" w:rsidRDefault="60829847" w14:paraId="668A1973" w14:textId="51880C2A">
      <w:pPr>
        <w:pStyle w:val="ListParagraph"/>
        <w:numPr>
          <w:ilvl w:val="0"/>
          <w:numId w:val="19"/>
        </w:numPr>
        <w:spacing w:after="0" w:line="300" w:lineRule="auto"/>
        <w:rPr>
          <w:rFonts w:ascii="Arial" w:hAnsi="Arial" w:eastAsia="Arial" w:cs="Arial"/>
          <w:sz w:val="24"/>
          <w:szCs w:val="24"/>
          <w:lang w:val="en-GB"/>
        </w:rPr>
      </w:pPr>
      <w:r w:rsidRPr="7AD6DA35" w:rsidR="45DFB386">
        <w:rPr>
          <w:rFonts w:ascii="Arial" w:hAnsi="Arial" w:eastAsia="Arial" w:cs="Arial"/>
          <w:color w:val="222222"/>
          <w:sz w:val="24"/>
          <w:szCs w:val="24"/>
          <w:lang w:val="en-GB"/>
        </w:rPr>
        <w:t xml:space="preserve">Crowley, M.J., 2016. Technological change and Post Office communications in Britain, 1918–1945. </w:t>
      </w:r>
      <w:r w:rsidRPr="7AD6DA35" w:rsidR="45DFB386">
        <w:rPr>
          <w:rFonts w:ascii="Arial" w:hAnsi="Arial" w:eastAsia="Arial" w:cs="Arial"/>
          <w:i w:val="1"/>
          <w:iCs w:val="1"/>
          <w:color w:val="222222"/>
          <w:sz w:val="24"/>
          <w:szCs w:val="24"/>
          <w:lang w:val="en-GB"/>
        </w:rPr>
        <w:t>History and tecHnology</w:t>
      </w:r>
      <w:r w:rsidRPr="7AD6DA35" w:rsidR="45DFB386">
        <w:rPr>
          <w:rFonts w:ascii="Arial" w:hAnsi="Arial" w:eastAsia="Arial" w:cs="Arial"/>
          <w:color w:val="222222"/>
          <w:sz w:val="24"/>
          <w:szCs w:val="24"/>
          <w:lang w:val="en-GB"/>
        </w:rPr>
        <w:t xml:space="preserve">, </w:t>
      </w:r>
      <w:r w:rsidRPr="7AD6DA35" w:rsidR="45DFB386">
        <w:rPr>
          <w:rFonts w:ascii="Arial" w:hAnsi="Arial" w:eastAsia="Arial" w:cs="Arial"/>
          <w:i w:val="1"/>
          <w:iCs w:val="1"/>
          <w:color w:val="222222"/>
          <w:sz w:val="24"/>
          <w:szCs w:val="24"/>
          <w:lang w:val="en-GB"/>
        </w:rPr>
        <w:t>32</w:t>
      </w:r>
      <w:r w:rsidRPr="7AD6DA35" w:rsidR="45DFB386">
        <w:rPr>
          <w:rFonts w:ascii="Arial" w:hAnsi="Arial" w:eastAsia="Arial" w:cs="Arial"/>
          <w:color w:val="222222"/>
          <w:sz w:val="24"/>
          <w:szCs w:val="24"/>
          <w:lang w:val="en-GB"/>
        </w:rPr>
        <w:t>(4), pp.382-408.</w:t>
      </w:r>
    </w:p>
    <w:p w:rsidR="7E628E70" w:rsidP="7AD6DA35" w:rsidRDefault="7E628E70" w14:paraId="0F23E41D" w14:textId="6B2CB179">
      <w:pPr>
        <w:pStyle w:val="ListParagraph"/>
        <w:numPr>
          <w:ilvl w:val="0"/>
          <w:numId w:val="19"/>
        </w:numPr>
        <w:spacing w:after="0" w:line="300" w:lineRule="auto"/>
        <w:rPr>
          <w:rFonts w:ascii="Arial" w:hAnsi="Arial" w:eastAsia="Arial" w:cs="Arial"/>
          <w:sz w:val="24"/>
          <w:szCs w:val="24"/>
          <w:lang w:val="en-GB"/>
        </w:rPr>
      </w:pPr>
      <w:r w:rsidRPr="7AD6DA35" w:rsidR="129612B4">
        <w:rPr>
          <w:rFonts w:ascii="Arial" w:hAnsi="Arial" w:eastAsia="Arial" w:cs="Arial"/>
          <w:color w:val="222222"/>
          <w:sz w:val="24"/>
          <w:szCs w:val="24"/>
          <w:lang w:val="en-GB"/>
        </w:rPr>
        <w:t xml:space="preserve">Appelbaum, S.H., 1997. Socio‐technical systems theory: an intervention strategy for organizational development. </w:t>
      </w:r>
      <w:r w:rsidRPr="7AD6DA35" w:rsidR="129612B4">
        <w:rPr>
          <w:rFonts w:ascii="Arial" w:hAnsi="Arial" w:eastAsia="Arial" w:cs="Arial"/>
          <w:i w:val="1"/>
          <w:iCs w:val="1"/>
          <w:color w:val="222222"/>
          <w:sz w:val="24"/>
          <w:szCs w:val="24"/>
          <w:lang w:val="en-GB"/>
        </w:rPr>
        <w:t>Management decision</w:t>
      </w:r>
      <w:r w:rsidRPr="7AD6DA35" w:rsidR="129612B4">
        <w:rPr>
          <w:rFonts w:ascii="Arial" w:hAnsi="Arial" w:eastAsia="Arial" w:cs="Arial"/>
          <w:color w:val="222222"/>
          <w:sz w:val="24"/>
          <w:szCs w:val="24"/>
          <w:lang w:val="en-GB"/>
        </w:rPr>
        <w:t xml:space="preserve">, </w:t>
      </w:r>
      <w:r w:rsidRPr="7AD6DA35" w:rsidR="129612B4">
        <w:rPr>
          <w:rFonts w:ascii="Arial" w:hAnsi="Arial" w:eastAsia="Arial" w:cs="Arial"/>
          <w:i w:val="1"/>
          <w:iCs w:val="1"/>
          <w:color w:val="222222"/>
          <w:sz w:val="24"/>
          <w:szCs w:val="24"/>
          <w:lang w:val="en-GB"/>
        </w:rPr>
        <w:t>35</w:t>
      </w:r>
      <w:r w:rsidRPr="7AD6DA35" w:rsidR="129612B4">
        <w:rPr>
          <w:rFonts w:ascii="Arial" w:hAnsi="Arial" w:eastAsia="Arial" w:cs="Arial"/>
          <w:color w:val="222222"/>
          <w:sz w:val="24"/>
          <w:szCs w:val="24"/>
          <w:lang w:val="en-GB"/>
        </w:rPr>
        <w:t>(6), pp.452-463.</w:t>
      </w:r>
    </w:p>
    <w:p w:rsidR="7E628E70" w:rsidP="7AD6DA35" w:rsidRDefault="7E628E70" w14:paraId="1F7033C1" w14:textId="4D1F946D">
      <w:pPr>
        <w:pStyle w:val="ListParagraph"/>
        <w:numPr>
          <w:ilvl w:val="0"/>
          <w:numId w:val="19"/>
        </w:numPr>
        <w:spacing w:after="0" w:line="300" w:lineRule="auto"/>
        <w:rPr>
          <w:rFonts w:ascii="Arial" w:hAnsi="Arial" w:eastAsia="Arial" w:cs="Arial"/>
          <w:sz w:val="24"/>
          <w:szCs w:val="24"/>
          <w:lang w:val="en-GB"/>
        </w:rPr>
      </w:pPr>
      <w:r w:rsidRPr="7AD6DA35" w:rsidR="129612B4">
        <w:rPr>
          <w:rFonts w:ascii="Arial" w:hAnsi="Arial" w:eastAsia="Arial" w:cs="Arial"/>
          <w:color w:val="222222"/>
          <w:sz w:val="24"/>
          <w:szCs w:val="24"/>
          <w:lang w:val="en-GB"/>
        </w:rPr>
        <w:t xml:space="preserve">Philpott, D.M., 1998. </w:t>
      </w:r>
      <w:r w:rsidRPr="7AD6DA35" w:rsidR="129612B4">
        <w:rPr>
          <w:rFonts w:ascii="Arial" w:hAnsi="Arial" w:eastAsia="Arial" w:cs="Arial"/>
          <w:i w:val="1"/>
          <w:iCs w:val="1"/>
          <w:color w:val="222222"/>
          <w:sz w:val="24"/>
          <w:szCs w:val="24"/>
          <w:lang w:val="en-GB"/>
        </w:rPr>
        <w:t>An investigation of the socio-technical implications of a computer based walk optimisation system</w:t>
      </w:r>
      <w:r w:rsidRPr="7AD6DA35" w:rsidR="129612B4">
        <w:rPr>
          <w:rFonts w:ascii="Arial" w:hAnsi="Arial" w:eastAsia="Arial" w:cs="Arial"/>
          <w:color w:val="222222"/>
          <w:sz w:val="24"/>
          <w:szCs w:val="24"/>
          <w:lang w:val="en-GB"/>
        </w:rPr>
        <w:t xml:space="preserve"> (Doctoral dissertation, Loughborough University).</w:t>
      </w:r>
    </w:p>
    <w:p w:rsidR="74BE7B0F" w:rsidP="7AD6DA35" w:rsidRDefault="74BE7B0F" w14:paraId="569BB87B" w14:textId="5E6E8B86">
      <w:pPr>
        <w:pStyle w:val="ListParagraph"/>
        <w:numPr>
          <w:ilvl w:val="0"/>
          <w:numId w:val="19"/>
        </w:numPr>
        <w:spacing w:after="0" w:line="300" w:lineRule="auto"/>
        <w:rPr>
          <w:rFonts w:ascii="Arial" w:hAnsi="Arial" w:eastAsia="Arial" w:cs="Arial"/>
          <w:sz w:val="24"/>
          <w:szCs w:val="24"/>
          <w:lang w:val="en-GB"/>
        </w:rPr>
      </w:pPr>
      <w:r w:rsidRPr="7AD6DA35" w:rsidR="653BEB1D">
        <w:rPr>
          <w:rFonts w:ascii="Arial" w:hAnsi="Arial" w:eastAsia="Arial" w:cs="Arial"/>
          <w:color w:val="222222"/>
          <w:sz w:val="24"/>
          <w:szCs w:val="24"/>
          <w:lang w:val="en-GB"/>
        </w:rPr>
        <w:t xml:space="preserve">Chambers, N. and Cornforth, C., 2010. The role of corporate governance and boards in organisational performance. </w:t>
      </w:r>
      <w:r w:rsidRPr="7AD6DA35" w:rsidR="653BEB1D">
        <w:rPr>
          <w:rFonts w:ascii="Arial" w:hAnsi="Arial" w:eastAsia="Arial" w:cs="Arial"/>
          <w:i w:val="1"/>
          <w:iCs w:val="1"/>
          <w:color w:val="222222"/>
          <w:sz w:val="24"/>
          <w:szCs w:val="24"/>
          <w:lang w:val="en-GB"/>
        </w:rPr>
        <w:t>Connecting knowledge and performance in public services: From knowing to doing</w:t>
      </w:r>
      <w:r w:rsidRPr="7AD6DA35" w:rsidR="653BEB1D">
        <w:rPr>
          <w:rFonts w:ascii="Arial" w:hAnsi="Arial" w:eastAsia="Arial" w:cs="Arial"/>
          <w:color w:val="222222"/>
          <w:sz w:val="24"/>
          <w:szCs w:val="24"/>
          <w:lang w:val="en-GB"/>
        </w:rPr>
        <w:t>, pp.99-127.</w:t>
      </w:r>
    </w:p>
    <w:p w:rsidR="07D5A462" w:rsidP="7AD6DA35" w:rsidRDefault="07D5A462" w14:paraId="4F8A91B7" w14:textId="7E6AB2C1">
      <w:pPr>
        <w:pStyle w:val="ListParagraph"/>
        <w:numPr>
          <w:ilvl w:val="0"/>
          <w:numId w:val="19"/>
        </w:numPr>
        <w:spacing w:after="0" w:line="300" w:lineRule="auto"/>
        <w:rPr>
          <w:rFonts w:ascii="Arial" w:hAnsi="Arial" w:eastAsia="Arial" w:cs="Arial"/>
          <w:sz w:val="24"/>
          <w:szCs w:val="24"/>
          <w:lang w:val="en-GB"/>
        </w:rPr>
      </w:pPr>
      <w:r w:rsidRPr="7AD6DA35" w:rsidR="782A46F2">
        <w:rPr>
          <w:rFonts w:ascii="Arial" w:hAnsi="Arial" w:eastAsia="Arial" w:cs="Arial"/>
          <w:color w:val="222222"/>
          <w:sz w:val="24"/>
          <w:szCs w:val="24"/>
          <w:lang w:val="en-GB"/>
        </w:rPr>
        <w:t xml:space="preserve">Short, H., Keasey, K., Wright, M. and Hull, A., 1999. Corporate governance: From accountability to enterprise. </w:t>
      </w:r>
      <w:r w:rsidRPr="7AD6DA35" w:rsidR="782A46F2">
        <w:rPr>
          <w:rFonts w:ascii="Arial" w:hAnsi="Arial" w:eastAsia="Arial" w:cs="Arial"/>
          <w:i w:val="1"/>
          <w:iCs w:val="1"/>
          <w:color w:val="222222"/>
          <w:sz w:val="24"/>
          <w:szCs w:val="24"/>
          <w:lang w:val="en-GB"/>
        </w:rPr>
        <w:t>Accounting and business research</w:t>
      </w:r>
      <w:r w:rsidRPr="7AD6DA35" w:rsidR="782A46F2">
        <w:rPr>
          <w:rFonts w:ascii="Arial" w:hAnsi="Arial" w:eastAsia="Arial" w:cs="Arial"/>
          <w:color w:val="222222"/>
          <w:sz w:val="24"/>
          <w:szCs w:val="24"/>
          <w:lang w:val="en-GB"/>
        </w:rPr>
        <w:t xml:space="preserve">, </w:t>
      </w:r>
      <w:r w:rsidRPr="7AD6DA35" w:rsidR="782A46F2">
        <w:rPr>
          <w:rFonts w:ascii="Arial" w:hAnsi="Arial" w:eastAsia="Arial" w:cs="Arial"/>
          <w:i w:val="1"/>
          <w:iCs w:val="1"/>
          <w:color w:val="222222"/>
          <w:sz w:val="24"/>
          <w:szCs w:val="24"/>
          <w:lang w:val="en-GB"/>
        </w:rPr>
        <w:t>29</w:t>
      </w:r>
      <w:r w:rsidRPr="7AD6DA35" w:rsidR="782A46F2">
        <w:rPr>
          <w:rFonts w:ascii="Arial" w:hAnsi="Arial" w:eastAsia="Arial" w:cs="Arial"/>
          <w:color w:val="222222"/>
          <w:sz w:val="24"/>
          <w:szCs w:val="24"/>
          <w:lang w:val="en-GB"/>
        </w:rPr>
        <w:t>(4), pp.337-352.</w:t>
      </w:r>
    </w:p>
    <w:p w:rsidR="07D5A462" w:rsidP="7AD6DA35" w:rsidRDefault="07D5A462" w14:paraId="51C3ABD9" w14:textId="3539264D">
      <w:pPr>
        <w:pStyle w:val="ListParagraph"/>
        <w:numPr>
          <w:ilvl w:val="0"/>
          <w:numId w:val="19"/>
        </w:numPr>
        <w:spacing w:after="0" w:line="300" w:lineRule="auto"/>
        <w:rPr>
          <w:rFonts w:ascii="Arial" w:hAnsi="Arial" w:eastAsia="Arial" w:cs="Arial"/>
          <w:sz w:val="24"/>
          <w:szCs w:val="24"/>
          <w:lang w:val="en-GB"/>
        </w:rPr>
      </w:pPr>
      <w:r w:rsidRPr="7AD6DA35" w:rsidR="782A46F2">
        <w:rPr>
          <w:rFonts w:ascii="Arial" w:hAnsi="Arial" w:eastAsia="Arial" w:cs="Arial"/>
          <w:sz w:val="24"/>
          <w:szCs w:val="24"/>
          <w:lang w:val="en-GB"/>
        </w:rPr>
        <w:t xml:space="preserve">Wang, Jennifer L, et al. “The Impact of Corporate Governance Structure on the Efficiency Performance of Insurance Companies in Taiwan.” </w:t>
      </w:r>
      <w:r w:rsidRPr="7AD6DA35" w:rsidR="782A46F2">
        <w:rPr>
          <w:rFonts w:ascii="Arial" w:hAnsi="Arial" w:eastAsia="Arial" w:cs="Arial"/>
          <w:i w:val="1"/>
          <w:iCs w:val="1"/>
          <w:sz w:val="24"/>
          <w:szCs w:val="24"/>
          <w:lang w:val="en-GB"/>
        </w:rPr>
        <w:t>The Geneva Papers on Risk and Insurance Issues and Practice</w:t>
      </w:r>
      <w:r w:rsidRPr="7AD6DA35" w:rsidR="782A46F2">
        <w:rPr>
          <w:rFonts w:ascii="Arial" w:hAnsi="Arial" w:eastAsia="Arial" w:cs="Arial"/>
          <w:sz w:val="24"/>
          <w:szCs w:val="24"/>
          <w:lang w:val="en-GB"/>
        </w:rPr>
        <w:t>, vol. 32, no. 2, 1 Apr. 2007, pp. 264–282, 10.1057/palgrave.gpp.2510125. Accessed 10 July 2026.</w:t>
      </w:r>
    </w:p>
    <w:p w:rsidR="68CA87CD" w:rsidP="7AD6DA35" w:rsidRDefault="68CA87CD" w14:paraId="5BA12681" w14:textId="2B8A4078">
      <w:pPr>
        <w:pStyle w:val="ListParagraph"/>
        <w:numPr>
          <w:ilvl w:val="0"/>
          <w:numId w:val="19"/>
        </w:numPr>
        <w:spacing w:after="0" w:line="300" w:lineRule="auto"/>
        <w:rPr>
          <w:rFonts w:ascii="Arial" w:hAnsi="Arial" w:eastAsia="Arial" w:cs="Arial"/>
          <w:sz w:val="24"/>
          <w:szCs w:val="24"/>
          <w:lang w:val="en-GB"/>
        </w:rPr>
      </w:pPr>
      <w:r w:rsidRPr="7AD6DA35" w:rsidR="4DCF63B9">
        <w:rPr>
          <w:rFonts w:ascii="Arial" w:hAnsi="Arial" w:eastAsia="Arial" w:cs="Arial"/>
          <w:color w:val="222222"/>
          <w:sz w:val="24"/>
          <w:szCs w:val="24"/>
          <w:lang w:val="en-GB"/>
        </w:rPr>
        <w:t xml:space="preserve">Scott, C., 2018. Accountability in the regulatory state. In </w:t>
      </w:r>
      <w:r w:rsidRPr="7AD6DA35" w:rsidR="4DCF63B9">
        <w:rPr>
          <w:rFonts w:ascii="Arial" w:hAnsi="Arial" w:eastAsia="Arial" w:cs="Arial"/>
          <w:i w:val="1"/>
          <w:iCs w:val="1"/>
          <w:color w:val="222222"/>
          <w:sz w:val="24"/>
          <w:szCs w:val="24"/>
          <w:lang w:val="en-GB"/>
        </w:rPr>
        <w:t>Administrative law</w:t>
      </w:r>
      <w:r w:rsidRPr="7AD6DA35" w:rsidR="4DCF63B9">
        <w:rPr>
          <w:rFonts w:ascii="Arial" w:hAnsi="Arial" w:eastAsia="Arial" w:cs="Arial"/>
          <w:color w:val="222222"/>
          <w:sz w:val="24"/>
          <w:szCs w:val="24"/>
          <w:lang w:val="en-GB"/>
        </w:rPr>
        <w:t xml:space="preserve"> (pp. 397-419). Routledge.</w:t>
      </w:r>
    </w:p>
    <w:p w:rsidR="406C3C8A" w:rsidP="7AD6DA35" w:rsidRDefault="406C3C8A" w14:paraId="3DAAF157" w14:textId="6FA88CA1">
      <w:pPr>
        <w:pStyle w:val="ListParagraph"/>
        <w:numPr>
          <w:ilvl w:val="0"/>
          <w:numId w:val="19"/>
        </w:numPr>
        <w:spacing w:after="0" w:line="300" w:lineRule="auto"/>
        <w:rPr>
          <w:rFonts w:ascii="Arial" w:hAnsi="Arial" w:eastAsia="Arial" w:cs="Arial"/>
          <w:sz w:val="24"/>
          <w:szCs w:val="24"/>
          <w:lang w:val="en-GB"/>
        </w:rPr>
      </w:pPr>
      <w:r w:rsidRPr="7AD6DA35" w:rsidR="6091BC4F">
        <w:rPr>
          <w:rFonts w:ascii="Arial" w:hAnsi="Arial" w:eastAsia="Arial" w:cs="Arial"/>
          <w:color w:val="222222"/>
          <w:sz w:val="24"/>
          <w:szCs w:val="24"/>
          <w:lang w:val="en-GB"/>
        </w:rPr>
        <w:t xml:space="preserve">Purcell, J., 2012. </w:t>
      </w:r>
      <w:r w:rsidRPr="7AD6DA35" w:rsidR="6091BC4F">
        <w:rPr>
          <w:rFonts w:ascii="Arial" w:hAnsi="Arial" w:eastAsia="Arial" w:cs="Arial"/>
          <w:i w:val="1"/>
          <w:iCs w:val="1"/>
          <w:color w:val="222222"/>
          <w:sz w:val="24"/>
          <w:szCs w:val="24"/>
          <w:lang w:val="en-GB"/>
        </w:rPr>
        <w:t>The limits and possibilities of employee engagement</w:t>
      </w:r>
      <w:r w:rsidRPr="7AD6DA35" w:rsidR="6091BC4F">
        <w:rPr>
          <w:rFonts w:ascii="Arial" w:hAnsi="Arial" w:eastAsia="Arial" w:cs="Arial"/>
          <w:color w:val="222222"/>
          <w:sz w:val="24"/>
          <w:szCs w:val="24"/>
          <w:lang w:val="en-GB"/>
        </w:rPr>
        <w:t xml:space="preserve"> (No. 96). Warwick Papers in Industrial Relations.</w:t>
      </w:r>
    </w:p>
    <w:p w:rsidR="0A45325A" w:rsidP="7AD6DA35" w:rsidRDefault="0A45325A" w14:paraId="4AE0955C" w14:textId="1C8AA964">
      <w:pPr>
        <w:pStyle w:val="ListParagraph"/>
        <w:numPr>
          <w:ilvl w:val="0"/>
          <w:numId w:val="19"/>
        </w:numPr>
        <w:spacing w:after="0" w:line="300" w:lineRule="auto"/>
        <w:rPr>
          <w:rFonts w:ascii="Arial" w:hAnsi="Arial" w:eastAsia="Arial" w:cs="Arial"/>
          <w:sz w:val="24"/>
          <w:szCs w:val="24"/>
          <w:lang w:val="en-GB"/>
        </w:rPr>
      </w:pPr>
      <w:r w:rsidRPr="7AD6DA35" w:rsidR="04A117B2">
        <w:rPr>
          <w:rFonts w:ascii="Arial" w:hAnsi="Arial" w:eastAsia="Arial" w:cs="Arial"/>
          <w:sz w:val="24"/>
          <w:szCs w:val="24"/>
          <w:lang w:val="en-GB"/>
        </w:rPr>
        <w:t xml:space="preserve">Lonsbury, Justin, and Michael W. Apple. “Understanding the Limits and Possibilities of School Reform.” </w:t>
      </w:r>
      <w:r w:rsidRPr="7AD6DA35" w:rsidR="04A117B2">
        <w:rPr>
          <w:rFonts w:ascii="Arial" w:hAnsi="Arial" w:eastAsia="Arial" w:cs="Arial"/>
          <w:i w:val="1"/>
          <w:iCs w:val="1"/>
          <w:sz w:val="24"/>
          <w:szCs w:val="24"/>
          <w:lang w:val="en-GB"/>
        </w:rPr>
        <w:t>Educational Policy</w:t>
      </w:r>
      <w:r w:rsidRPr="7AD6DA35" w:rsidR="04A117B2">
        <w:rPr>
          <w:rFonts w:ascii="Arial" w:hAnsi="Arial" w:eastAsia="Arial" w:cs="Arial"/>
          <w:sz w:val="24"/>
          <w:szCs w:val="24"/>
          <w:lang w:val="en-GB"/>
        </w:rPr>
        <w:t>, vol. 26, no. 5, 23 Jan. 2012, pp. 759–773, 10.1177/0895904811425909.</w:t>
      </w:r>
    </w:p>
    <w:p w:rsidR="6F5FF0DE" w:rsidP="7AD6DA35" w:rsidRDefault="6F5FF0DE" w14:paraId="17424923" w14:textId="3F7790C3">
      <w:pPr>
        <w:pStyle w:val="ListParagraph"/>
        <w:numPr>
          <w:ilvl w:val="0"/>
          <w:numId w:val="19"/>
        </w:numPr>
        <w:spacing w:after="0" w:line="300" w:lineRule="auto"/>
        <w:rPr>
          <w:rFonts w:ascii="Arial" w:hAnsi="Arial" w:eastAsia="Arial" w:cs="Arial"/>
          <w:sz w:val="24"/>
          <w:szCs w:val="24"/>
          <w:lang w:val="en-GB"/>
        </w:rPr>
      </w:pPr>
      <w:r w:rsidRPr="7AD6DA35" w:rsidR="0B0548FE">
        <w:rPr>
          <w:rFonts w:ascii="Arial" w:hAnsi="Arial" w:eastAsia="Arial" w:cs="Arial"/>
          <w:color w:val="222222"/>
          <w:sz w:val="24"/>
          <w:szCs w:val="24"/>
          <w:lang w:val="en-GB"/>
        </w:rPr>
        <w:t xml:space="preserve">Turner, P., 2019. Employee engagement and the employee experience. In </w:t>
      </w:r>
      <w:r w:rsidRPr="7AD6DA35" w:rsidR="0B0548FE">
        <w:rPr>
          <w:rFonts w:ascii="Arial" w:hAnsi="Arial" w:eastAsia="Arial" w:cs="Arial"/>
          <w:i w:val="1"/>
          <w:iCs w:val="1"/>
          <w:color w:val="222222"/>
          <w:sz w:val="24"/>
          <w:szCs w:val="24"/>
          <w:lang w:val="en-GB"/>
        </w:rPr>
        <w:t>Employee engagement in contemporary organizations: Maintaining high productivity and sustained competitiveness</w:t>
      </w:r>
      <w:r w:rsidRPr="7AD6DA35" w:rsidR="0B0548FE">
        <w:rPr>
          <w:rFonts w:ascii="Arial" w:hAnsi="Arial" w:eastAsia="Arial" w:cs="Arial"/>
          <w:color w:val="222222"/>
          <w:sz w:val="24"/>
          <w:szCs w:val="24"/>
          <w:lang w:val="en-GB"/>
        </w:rPr>
        <w:t xml:space="preserve"> (pp. 1-26). Cham: Springer International Publishing.</w:t>
      </w:r>
    </w:p>
    <w:p w:rsidR="3E406878" w:rsidP="7AD6DA35" w:rsidRDefault="3E406878" w14:paraId="39C1B485" w14:textId="7586DC9A">
      <w:pPr>
        <w:pStyle w:val="ListParagraph"/>
        <w:numPr>
          <w:ilvl w:val="0"/>
          <w:numId w:val="19"/>
        </w:numPr>
        <w:spacing w:after="0" w:line="300" w:lineRule="auto"/>
        <w:rPr>
          <w:rFonts w:ascii="Arial" w:hAnsi="Arial" w:eastAsia="Arial" w:cs="Arial"/>
          <w:sz w:val="24"/>
          <w:szCs w:val="24"/>
          <w:lang w:val="en-GB"/>
        </w:rPr>
      </w:pPr>
      <w:r w:rsidRPr="7AD6DA35" w:rsidR="7FA636AF">
        <w:rPr>
          <w:rFonts w:ascii="Arial" w:hAnsi="Arial" w:eastAsia="Arial" w:cs="Arial"/>
          <w:color w:val="222222"/>
          <w:sz w:val="24"/>
          <w:szCs w:val="24"/>
          <w:lang w:val="en-GB"/>
        </w:rPr>
        <w:t xml:space="preserve">Chen, Y., Moroni, J., Alexander, S. and Dukelskiy, S., 2026. The Digital and Green Twin Transition in the Postal Sector: Synergies and Strategies for a Sustainable Future. In </w:t>
      </w:r>
      <w:r w:rsidRPr="7AD6DA35" w:rsidR="7FA636AF">
        <w:rPr>
          <w:rFonts w:ascii="Arial" w:hAnsi="Arial" w:eastAsia="Arial" w:cs="Arial"/>
          <w:i w:val="1"/>
          <w:iCs w:val="1"/>
          <w:color w:val="222222"/>
          <w:sz w:val="24"/>
          <w:szCs w:val="24"/>
          <w:lang w:val="en-GB"/>
        </w:rPr>
        <w:t>Postal Strategies in a Digital and Green Transition: Universal Service, Challenges, and Innovations</w:t>
      </w:r>
      <w:r w:rsidRPr="7AD6DA35" w:rsidR="7FA636AF">
        <w:rPr>
          <w:rFonts w:ascii="Arial" w:hAnsi="Arial" w:eastAsia="Arial" w:cs="Arial"/>
          <w:color w:val="222222"/>
          <w:sz w:val="24"/>
          <w:szCs w:val="24"/>
          <w:lang w:val="en-GB"/>
        </w:rPr>
        <w:t xml:space="preserve"> (pp. 263-278). Cham: Springer Nature Switzerland.</w:t>
      </w:r>
    </w:p>
    <w:p w:rsidR="48ED9C5B" w:rsidP="7AD6DA35" w:rsidRDefault="48ED9C5B" w14:paraId="1AB99222" w14:textId="311A51B0">
      <w:pPr>
        <w:pStyle w:val="ListParagraph"/>
        <w:numPr>
          <w:ilvl w:val="0"/>
          <w:numId w:val="19"/>
        </w:numPr>
        <w:spacing w:after="0" w:line="300" w:lineRule="auto"/>
        <w:rPr>
          <w:rFonts w:ascii="Arial" w:hAnsi="Arial" w:eastAsia="Arial" w:cs="Arial"/>
          <w:sz w:val="24"/>
          <w:szCs w:val="24"/>
          <w:lang w:val="en-GB"/>
        </w:rPr>
      </w:pPr>
      <w:r w:rsidRPr="7AD6DA35" w:rsidR="69361873">
        <w:rPr>
          <w:rFonts w:ascii="Arial" w:hAnsi="Arial" w:eastAsia="Arial" w:cs="Arial"/>
          <w:sz w:val="24"/>
          <w:szCs w:val="24"/>
          <w:lang w:val="en-GB"/>
        </w:rPr>
        <w:t xml:space="preserve">G, Santhoshkumar, et al. “Employee Engagement.” </w:t>
      </w:r>
      <w:r w:rsidRPr="7AD6DA35" w:rsidR="69361873">
        <w:rPr>
          <w:rFonts w:ascii="Arial" w:hAnsi="Arial" w:eastAsia="Arial" w:cs="Arial"/>
          <w:i w:val="1"/>
          <w:iCs w:val="1"/>
          <w:sz w:val="24"/>
          <w:szCs w:val="24"/>
          <w:lang w:val="en-GB"/>
        </w:rPr>
        <w:t>Journal of Advanced Research in Dynamical and Control Systems</w:t>
      </w:r>
      <w:r w:rsidRPr="7AD6DA35" w:rsidR="69361873">
        <w:rPr>
          <w:rFonts w:ascii="Arial" w:hAnsi="Arial" w:eastAsia="Arial" w:cs="Arial"/>
          <w:sz w:val="24"/>
          <w:szCs w:val="24"/>
          <w:lang w:val="en-GB"/>
        </w:rPr>
        <w:t>, vol. 11, no. 0009-SPECIAL ISSUE, 25 Sept. 2019, pp. 1100–1104, 10.5373/jardcs/v11/20192677.</w:t>
      </w:r>
    </w:p>
    <w:p w:rsidR="387DBC5B" w:rsidP="7AD6DA35" w:rsidRDefault="387DBC5B" w14:paraId="2F395C06" w14:textId="38FAF88C">
      <w:pPr>
        <w:pStyle w:val="ListParagraph"/>
        <w:numPr>
          <w:ilvl w:val="0"/>
          <w:numId w:val="19"/>
        </w:numPr>
        <w:spacing w:after="0" w:line="300" w:lineRule="auto"/>
        <w:rPr>
          <w:rFonts w:ascii="Arial" w:hAnsi="Arial" w:eastAsia="Arial" w:cs="Arial"/>
          <w:sz w:val="24"/>
          <w:szCs w:val="24"/>
          <w:lang w:val="en-GB"/>
        </w:rPr>
      </w:pPr>
      <w:r w:rsidRPr="7AD6DA35" w:rsidR="3A9D011D">
        <w:rPr>
          <w:rFonts w:ascii="Arial" w:hAnsi="Arial" w:eastAsia="Arial" w:cs="Arial"/>
          <w:sz w:val="24"/>
          <w:szCs w:val="24"/>
          <w:lang w:val="en-GB"/>
        </w:rPr>
        <w:t xml:space="preserve">Gorejena, Karikoga, et al. “A Critique and Potency of Socio-Technical Systems Theory: A Quest for Broadband Growth and Penetration.” </w:t>
      </w:r>
      <w:r w:rsidRPr="7AD6DA35" w:rsidR="3A9D011D">
        <w:rPr>
          <w:rFonts w:ascii="Arial" w:hAnsi="Arial" w:eastAsia="Arial" w:cs="Arial"/>
          <w:i w:val="1"/>
          <w:iCs w:val="1"/>
          <w:sz w:val="24"/>
          <w:szCs w:val="24"/>
          <w:lang w:val="en-GB"/>
        </w:rPr>
        <w:t>Public and Municipal Finance</w:t>
      </w:r>
      <w:r w:rsidRPr="7AD6DA35" w:rsidR="3A9D011D">
        <w:rPr>
          <w:rFonts w:ascii="Arial" w:hAnsi="Arial" w:eastAsia="Arial" w:cs="Arial"/>
          <w:sz w:val="24"/>
          <w:szCs w:val="24"/>
          <w:lang w:val="en-GB"/>
        </w:rPr>
        <w:t>, vol. 5, no. 2, 6 Dec. 2016, pp. 7–19, 10.21511/pmf.5(2).2016.01.</w:t>
      </w:r>
    </w:p>
    <w:p w:rsidR="778EF173" w:rsidP="7AD6DA35" w:rsidRDefault="778EF173" w14:paraId="13137C80" w14:textId="12464976">
      <w:pPr>
        <w:pStyle w:val="ListParagraph"/>
        <w:numPr>
          <w:ilvl w:val="0"/>
          <w:numId w:val="19"/>
        </w:numPr>
        <w:spacing w:after="0" w:line="300" w:lineRule="auto"/>
        <w:rPr>
          <w:rFonts w:ascii="Arial" w:hAnsi="Arial" w:eastAsia="Arial" w:cs="Arial"/>
          <w:sz w:val="24"/>
          <w:szCs w:val="24"/>
          <w:lang w:val="en-GB"/>
        </w:rPr>
      </w:pPr>
      <w:r w:rsidRPr="7AD6DA35" w:rsidR="6F63C37D">
        <w:rPr>
          <w:rFonts w:ascii="Arial" w:hAnsi="Arial" w:eastAsia="Arial" w:cs="Arial"/>
          <w:sz w:val="24"/>
          <w:szCs w:val="24"/>
          <w:lang w:val="en-GB"/>
        </w:rPr>
        <w:t xml:space="preserve">Devi, Saloni, and Rachna Mahajans. “Impact of Transformational Leadership on Employee Engagement.” </w:t>
      </w:r>
      <w:r w:rsidRPr="7AD6DA35" w:rsidR="6F63C37D">
        <w:rPr>
          <w:rFonts w:ascii="Arial" w:hAnsi="Arial" w:eastAsia="Arial" w:cs="Arial"/>
          <w:i w:val="1"/>
          <w:iCs w:val="1"/>
          <w:sz w:val="24"/>
          <w:szCs w:val="24"/>
          <w:lang w:val="en-GB"/>
        </w:rPr>
        <w:t>International Journal of Psychosocial Rehabilitation</w:t>
      </w:r>
      <w:r w:rsidRPr="7AD6DA35" w:rsidR="6F63C37D">
        <w:rPr>
          <w:rFonts w:ascii="Arial" w:hAnsi="Arial" w:eastAsia="Arial" w:cs="Arial"/>
          <w:sz w:val="24"/>
          <w:szCs w:val="24"/>
          <w:lang w:val="en-GB"/>
        </w:rPr>
        <w:t>, vol. 23, no. 4, 20 Dec. 2019, pp. 1107–1116, 10.37200/ijpr/v23i4/pr190437.</w:t>
      </w:r>
    </w:p>
    <w:p w:rsidR="63AE8152" w:rsidP="7AD6DA35" w:rsidRDefault="267DE415" w14:paraId="2CA98E2A" w14:textId="74730E39">
      <w:pPr>
        <w:pStyle w:val="ListParagraph"/>
        <w:numPr>
          <w:ilvl w:val="0"/>
          <w:numId w:val="19"/>
        </w:numPr>
        <w:spacing w:after="0" w:line="300" w:lineRule="auto"/>
        <w:rPr>
          <w:rFonts w:ascii="Arial" w:hAnsi="Arial" w:eastAsia="Arial" w:cs="Arial"/>
          <w:sz w:val="24"/>
          <w:szCs w:val="24"/>
          <w:lang w:val="en-GB"/>
        </w:rPr>
      </w:pPr>
      <w:r w:rsidRPr="7AD6DA35" w:rsidR="5D860583">
        <w:rPr>
          <w:rFonts w:ascii="Arial" w:hAnsi="Arial" w:eastAsia="Arial" w:cs="Arial"/>
          <w:color w:val="222222"/>
          <w:sz w:val="24"/>
          <w:szCs w:val="24"/>
          <w:lang w:val="en-GB"/>
        </w:rPr>
        <w:t xml:space="preserve">Brennan, N.M., Edgar, V.C. and Gorman, L., 2026. Accountability sinks, accountability gaps and technological injustice: the case of the British Post Office/Horizon IT scandal. </w:t>
      </w:r>
      <w:r w:rsidRPr="7AD6DA35" w:rsidR="5D860583">
        <w:rPr>
          <w:rFonts w:ascii="Arial" w:hAnsi="Arial" w:eastAsia="Arial" w:cs="Arial"/>
          <w:i w:val="1"/>
          <w:iCs w:val="1"/>
          <w:color w:val="222222"/>
          <w:sz w:val="24"/>
          <w:szCs w:val="24"/>
          <w:lang w:val="en-GB"/>
        </w:rPr>
        <w:t>Accounting, Auditing &amp; Accountability Journal</w:t>
      </w:r>
      <w:r w:rsidRPr="7AD6DA35" w:rsidR="5D860583">
        <w:rPr>
          <w:rFonts w:ascii="Arial" w:hAnsi="Arial" w:eastAsia="Arial" w:cs="Arial"/>
          <w:color w:val="222222"/>
          <w:sz w:val="24"/>
          <w:szCs w:val="24"/>
          <w:lang w:val="en-GB"/>
        </w:rPr>
        <w:t>, pp.1-28.</w:t>
      </w:r>
    </w:p>
    <w:p w:rsidR="4A3CFFC2" w:rsidP="7AD6DA35" w:rsidRDefault="4A3CFFC2" w14:paraId="332A3AB0" w14:textId="6F755087">
      <w:pPr>
        <w:pStyle w:val="ListParagraph"/>
        <w:numPr>
          <w:ilvl w:val="0"/>
          <w:numId w:val="19"/>
        </w:numPr>
        <w:spacing w:after="0" w:line="300" w:lineRule="auto"/>
        <w:rPr>
          <w:rFonts w:ascii="Arial" w:hAnsi="Arial" w:eastAsia="Arial" w:cs="Arial"/>
          <w:sz w:val="24"/>
          <w:szCs w:val="24"/>
          <w:lang w:val="en-GB"/>
        </w:rPr>
      </w:pPr>
      <w:r w:rsidRPr="7AD6DA35" w:rsidR="01DB12A9">
        <w:rPr>
          <w:rFonts w:ascii="Arial" w:hAnsi="Arial" w:eastAsia="Arial" w:cs="Arial"/>
          <w:color w:val="222222"/>
          <w:sz w:val="24"/>
          <w:szCs w:val="24"/>
          <w:lang w:val="en-GB"/>
        </w:rPr>
        <w:t xml:space="preserve">Marshall, P., 2022. Scandal at the post office: The intersection of law, ethics and politics. </w:t>
      </w:r>
      <w:r w:rsidRPr="7AD6DA35" w:rsidR="01DB12A9">
        <w:rPr>
          <w:rFonts w:ascii="Arial" w:hAnsi="Arial" w:eastAsia="Arial" w:cs="Arial"/>
          <w:i w:val="1"/>
          <w:iCs w:val="1"/>
          <w:color w:val="222222"/>
          <w:sz w:val="24"/>
          <w:szCs w:val="24"/>
          <w:lang w:val="en-GB"/>
        </w:rPr>
        <w:t>Digital Evidence &amp; Elec. Signature L. Rev.</w:t>
      </w:r>
      <w:r w:rsidRPr="7AD6DA35" w:rsidR="01DB12A9">
        <w:rPr>
          <w:rFonts w:ascii="Arial" w:hAnsi="Arial" w:eastAsia="Arial" w:cs="Arial"/>
          <w:color w:val="222222"/>
          <w:sz w:val="24"/>
          <w:szCs w:val="24"/>
          <w:lang w:val="en-GB"/>
        </w:rPr>
        <w:t xml:space="preserve">, </w:t>
      </w:r>
      <w:r w:rsidRPr="7AD6DA35" w:rsidR="01DB12A9">
        <w:rPr>
          <w:rFonts w:ascii="Arial" w:hAnsi="Arial" w:eastAsia="Arial" w:cs="Arial"/>
          <w:i w:val="1"/>
          <w:iCs w:val="1"/>
          <w:color w:val="222222"/>
          <w:sz w:val="24"/>
          <w:szCs w:val="24"/>
          <w:lang w:val="en-GB"/>
        </w:rPr>
        <w:t>19</w:t>
      </w:r>
      <w:r w:rsidRPr="7AD6DA35" w:rsidR="01DB12A9">
        <w:rPr>
          <w:rFonts w:ascii="Arial" w:hAnsi="Arial" w:eastAsia="Arial" w:cs="Arial"/>
          <w:color w:val="222222"/>
          <w:sz w:val="24"/>
          <w:szCs w:val="24"/>
          <w:lang w:val="en-GB"/>
        </w:rPr>
        <w:t>, p.12.</w:t>
      </w:r>
    </w:p>
    <w:p w:rsidR="278F6D96" w:rsidP="7AD6DA35" w:rsidRDefault="278F6D96" w14:paraId="7377FEBE" w14:textId="745C677E">
      <w:pPr>
        <w:pStyle w:val="ListParagraph"/>
        <w:numPr>
          <w:ilvl w:val="0"/>
          <w:numId w:val="19"/>
        </w:numPr>
        <w:spacing w:after="0" w:line="300" w:lineRule="auto"/>
        <w:rPr>
          <w:rFonts w:ascii="Arial" w:hAnsi="Arial" w:eastAsia="Arial" w:cs="Arial"/>
          <w:sz w:val="24"/>
          <w:szCs w:val="24"/>
          <w:lang w:val="en-GB"/>
        </w:rPr>
      </w:pPr>
      <w:r w:rsidRPr="7AD6DA35" w:rsidR="6EBBBC31">
        <w:rPr>
          <w:rFonts w:ascii="Arial" w:hAnsi="Arial" w:eastAsia="Arial" w:cs="Arial"/>
          <w:sz w:val="24"/>
          <w:szCs w:val="24"/>
          <w:lang w:val="en-GB"/>
        </w:rPr>
        <w:t xml:space="preserve">Behrens, Ronny, et al. “Leveraging Analytics to Produce Compelling and Profitable Film Content.” </w:t>
      </w:r>
      <w:r w:rsidRPr="7AD6DA35" w:rsidR="6EBBBC31">
        <w:rPr>
          <w:rFonts w:ascii="Arial" w:hAnsi="Arial" w:eastAsia="Arial" w:cs="Arial"/>
          <w:i w:val="1"/>
          <w:iCs w:val="1"/>
          <w:sz w:val="24"/>
          <w:szCs w:val="24"/>
          <w:lang w:val="en-GB"/>
        </w:rPr>
        <w:t>Journal of Cultural Economics</w:t>
      </w:r>
      <w:r w:rsidRPr="7AD6DA35" w:rsidR="6EBBBC31">
        <w:rPr>
          <w:rFonts w:ascii="Arial" w:hAnsi="Arial" w:eastAsia="Arial" w:cs="Arial"/>
          <w:sz w:val="24"/>
          <w:szCs w:val="24"/>
          <w:lang w:val="en-GB"/>
        </w:rPr>
        <w:t>, vol. 45, 14 Jan. 2020, pp. 171–211, 10.1007/s10824-019-09372-1.</w:t>
      </w:r>
    </w:p>
    <w:p w:rsidR="278F6D96" w:rsidP="7AD6DA35" w:rsidRDefault="278F6D96" w14:paraId="7EB0F075" w14:textId="4A5AFA30">
      <w:pPr>
        <w:pStyle w:val="ListParagraph"/>
        <w:numPr>
          <w:ilvl w:val="0"/>
          <w:numId w:val="19"/>
        </w:numPr>
        <w:spacing w:after="0" w:line="300" w:lineRule="auto"/>
        <w:rPr>
          <w:rFonts w:ascii="Arial" w:hAnsi="Arial" w:eastAsia="Arial" w:cs="Arial"/>
          <w:sz w:val="24"/>
          <w:szCs w:val="24"/>
          <w:lang w:val="en-GB"/>
        </w:rPr>
      </w:pPr>
      <w:r w:rsidRPr="7AD6DA35" w:rsidR="6EBBBC31">
        <w:rPr>
          <w:rFonts w:ascii="Arial" w:hAnsi="Arial" w:eastAsia="Arial" w:cs="Arial"/>
          <w:sz w:val="24"/>
          <w:szCs w:val="24"/>
          <w:lang w:val="en-GB"/>
        </w:rPr>
        <w:t xml:space="preserve">Gorman, Alan, and Aoife Brennan. “Leading Artificial Intelligence Amid Uncertainty: Principals’ Sensemaking in Irish Primary Schools.” </w:t>
      </w:r>
      <w:r w:rsidRPr="7AD6DA35" w:rsidR="6EBBBC31">
        <w:rPr>
          <w:rFonts w:ascii="Arial" w:hAnsi="Arial" w:eastAsia="Arial" w:cs="Arial"/>
          <w:i w:val="1"/>
          <w:iCs w:val="1"/>
          <w:sz w:val="24"/>
          <w:szCs w:val="24"/>
          <w:lang w:val="en-GB"/>
        </w:rPr>
        <w:t>Management in Education</w:t>
      </w:r>
      <w:r w:rsidRPr="7AD6DA35" w:rsidR="6EBBBC31">
        <w:rPr>
          <w:rFonts w:ascii="Arial" w:hAnsi="Arial" w:eastAsia="Arial" w:cs="Arial"/>
          <w:sz w:val="24"/>
          <w:szCs w:val="24"/>
          <w:lang w:val="en-GB"/>
        </w:rPr>
        <w:t>, 15 July 2026, 10.1177/08920206261468463. Accessed 15 July 2026.</w:t>
      </w:r>
    </w:p>
    <w:p w:rsidR="278F6D96" w:rsidP="7AD6DA35" w:rsidRDefault="278F6D96" w14:paraId="3243829B" w14:textId="19863818">
      <w:pPr>
        <w:pStyle w:val="ListParagraph"/>
        <w:numPr>
          <w:ilvl w:val="0"/>
          <w:numId w:val="19"/>
        </w:numPr>
        <w:spacing w:after="0" w:line="300" w:lineRule="auto"/>
        <w:rPr>
          <w:rFonts w:ascii="Arial" w:hAnsi="Arial" w:eastAsia="Arial" w:cs="Arial"/>
          <w:sz w:val="24"/>
          <w:szCs w:val="24"/>
          <w:lang w:val="en-GB"/>
        </w:rPr>
      </w:pPr>
      <w:r w:rsidRPr="7AD6DA35" w:rsidR="6EBBBC31">
        <w:rPr>
          <w:rFonts w:ascii="Arial" w:hAnsi="Arial" w:eastAsia="Arial" w:cs="Arial"/>
          <w:sz w:val="24"/>
          <w:szCs w:val="24"/>
          <w:lang w:val="en-GB"/>
        </w:rPr>
        <w:t xml:space="preserve">Peneder, Michael. “Digitization and the Evolution of Money as a Social Technology of Account.” </w:t>
      </w:r>
      <w:r w:rsidRPr="7AD6DA35" w:rsidR="6EBBBC31">
        <w:rPr>
          <w:rFonts w:ascii="Arial" w:hAnsi="Arial" w:eastAsia="Arial" w:cs="Arial"/>
          <w:i w:val="1"/>
          <w:iCs w:val="1"/>
          <w:sz w:val="24"/>
          <w:szCs w:val="24"/>
          <w:lang w:val="en-GB"/>
        </w:rPr>
        <w:t>Journal of Evolutionary Economics</w:t>
      </w:r>
      <w:r w:rsidRPr="7AD6DA35" w:rsidR="6EBBBC31">
        <w:rPr>
          <w:rFonts w:ascii="Arial" w:hAnsi="Arial" w:eastAsia="Arial" w:cs="Arial"/>
          <w:sz w:val="24"/>
          <w:szCs w:val="24"/>
          <w:lang w:val="en-GB"/>
        </w:rPr>
        <w:t>, vol. 32, 25 May 2021, 10.1007/s00191-021-00729-4.</w:t>
      </w:r>
    </w:p>
    <w:p w:rsidR="47C652E7" w:rsidP="7AD6DA35" w:rsidRDefault="47C652E7" w14:paraId="25FF102B" w14:textId="08A651B2">
      <w:pPr>
        <w:pStyle w:val="ListParagraph"/>
        <w:numPr>
          <w:ilvl w:val="0"/>
          <w:numId w:val="19"/>
        </w:numPr>
        <w:spacing w:after="0" w:line="300" w:lineRule="auto"/>
        <w:rPr>
          <w:rFonts w:ascii="Arial" w:hAnsi="Arial" w:eastAsia="Arial" w:cs="Arial"/>
          <w:sz w:val="24"/>
          <w:szCs w:val="24"/>
          <w:lang w:val="en-GB"/>
        </w:rPr>
      </w:pPr>
      <w:r w:rsidRPr="7AD6DA35" w:rsidR="3CB0F78E">
        <w:rPr>
          <w:rFonts w:ascii="Arial" w:hAnsi="Arial" w:eastAsia="Arial" w:cs="Arial"/>
          <w:sz w:val="24"/>
          <w:szCs w:val="24"/>
          <w:lang w:val="en-GB"/>
        </w:rPr>
        <w:t xml:space="preserve">Moorhead, Richard Lewis, et al. “Working Paper 3: The Conduct of Horizon Prosecutions and Appeals.” </w:t>
      </w:r>
      <w:r w:rsidRPr="7AD6DA35" w:rsidR="3CB0F78E">
        <w:rPr>
          <w:rFonts w:ascii="Arial" w:hAnsi="Arial" w:eastAsia="Arial" w:cs="Arial"/>
          <w:i w:val="1"/>
          <w:iCs w:val="1"/>
          <w:sz w:val="24"/>
          <w:szCs w:val="24"/>
          <w:lang w:val="en-GB"/>
        </w:rPr>
        <w:t>SSRN Electronic Journal</w:t>
      </w:r>
      <w:r w:rsidRPr="7AD6DA35" w:rsidR="3CB0F78E">
        <w:rPr>
          <w:rFonts w:ascii="Arial" w:hAnsi="Arial" w:eastAsia="Arial" w:cs="Arial"/>
          <w:sz w:val="24"/>
          <w:szCs w:val="24"/>
          <w:lang w:val="en-GB"/>
        </w:rPr>
        <w:t>, 2021, 10.2139/ssrn.4259004. Accessed 15 July 2026.</w:t>
      </w:r>
    </w:p>
    <w:p w:rsidR="06776F24" w:rsidP="7AD6DA35" w:rsidRDefault="06776F24" w14:paraId="5F845647" w14:textId="5E73239A">
      <w:pPr>
        <w:pStyle w:val="ListParagraph"/>
        <w:numPr>
          <w:ilvl w:val="0"/>
          <w:numId w:val="19"/>
        </w:numPr>
        <w:spacing w:after="0" w:line="300" w:lineRule="auto"/>
        <w:rPr>
          <w:rFonts w:ascii="Arial" w:hAnsi="Arial" w:eastAsia="Arial" w:cs="Arial"/>
          <w:sz w:val="24"/>
          <w:szCs w:val="24"/>
          <w:lang w:val="en-GB"/>
        </w:rPr>
      </w:pPr>
      <w:r w:rsidRPr="7AD6DA35" w:rsidR="6D06879E">
        <w:rPr>
          <w:rFonts w:ascii="Arial" w:hAnsi="Arial" w:eastAsia="Arial" w:cs="Arial"/>
          <w:sz w:val="24"/>
          <w:szCs w:val="24"/>
          <w:lang w:val="en-GB"/>
        </w:rPr>
        <w:t xml:space="preserve">Growns, Bethany, et al. “The Post Office Scandal in the United Kingdom: Mental Health and Social Experiences of Wrongly Convicted and Wrongly Accused Individuals.” </w:t>
      </w:r>
      <w:r w:rsidRPr="7AD6DA35" w:rsidR="6D06879E">
        <w:rPr>
          <w:rFonts w:ascii="Arial" w:hAnsi="Arial" w:eastAsia="Arial" w:cs="Arial"/>
          <w:i w:val="1"/>
          <w:iCs w:val="1"/>
          <w:sz w:val="24"/>
          <w:szCs w:val="24"/>
          <w:lang w:val="en-GB"/>
        </w:rPr>
        <w:t>Legal and Criminological Psychology</w:t>
      </w:r>
      <w:r w:rsidRPr="7AD6DA35" w:rsidR="6D06879E">
        <w:rPr>
          <w:rFonts w:ascii="Arial" w:hAnsi="Arial" w:eastAsia="Arial" w:cs="Arial"/>
          <w:sz w:val="24"/>
          <w:szCs w:val="24"/>
          <w:lang w:val="en-GB"/>
        </w:rPr>
        <w:t xml:space="preserve">, vol. 29, no. 1, 28 Aug. 2023, </w:t>
      </w:r>
      <w:hyperlink r:id="R0ca51be5a1444b36">
        <w:r w:rsidRPr="7AD6DA35" w:rsidR="6D06879E">
          <w:rPr>
            <w:rStyle w:val="Hyperlink"/>
            <w:rFonts w:ascii="Arial" w:hAnsi="Arial" w:eastAsia="Arial" w:cs="Arial"/>
            <w:sz w:val="24"/>
            <w:szCs w:val="24"/>
            <w:lang w:val="en-GB"/>
          </w:rPr>
          <w:t>https://bpspsychub.onlinelibrary.wiley.com/doi/10.1111/lcrp.12247</w:t>
        </w:r>
      </w:hyperlink>
      <w:r w:rsidRPr="7AD6DA35" w:rsidR="6D06879E">
        <w:rPr>
          <w:rFonts w:ascii="Arial" w:hAnsi="Arial" w:eastAsia="Arial" w:cs="Arial"/>
          <w:sz w:val="24"/>
          <w:szCs w:val="24"/>
          <w:lang w:val="en-GB"/>
        </w:rPr>
        <w:t>, 10.1111/lcrp.12247. Accessed 15 July 2026.</w:t>
      </w:r>
    </w:p>
    <w:p w:rsidR="3128E9D2" w:rsidP="7AD6DA35" w:rsidRDefault="3128E9D2" w14:paraId="62A9DF15" w14:textId="1CE6C217">
      <w:pPr>
        <w:pStyle w:val="ListParagraph"/>
        <w:numPr>
          <w:ilvl w:val="0"/>
          <w:numId w:val="19"/>
        </w:numPr>
        <w:spacing w:after="0" w:line="300" w:lineRule="auto"/>
        <w:rPr>
          <w:rFonts w:ascii="Arial" w:hAnsi="Arial" w:eastAsia="Arial" w:cs="Arial"/>
          <w:sz w:val="24"/>
          <w:szCs w:val="24"/>
          <w:lang w:val="en-GB"/>
        </w:rPr>
      </w:pPr>
      <w:r w:rsidRPr="7AD6DA35" w:rsidR="51DE24C7">
        <w:rPr>
          <w:rFonts w:ascii="Arial" w:hAnsi="Arial" w:eastAsia="Arial" w:cs="Arial"/>
          <w:sz w:val="24"/>
          <w:szCs w:val="24"/>
          <w:lang w:val="en-GB"/>
        </w:rPr>
        <w:t xml:space="preserve">Wallis, Nick. </w:t>
      </w:r>
      <w:r w:rsidRPr="7AD6DA35" w:rsidR="51DE24C7">
        <w:rPr>
          <w:rFonts w:ascii="Arial" w:hAnsi="Arial" w:eastAsia="Arial" w:cs="Arial"/>
          <w:i w:val="1"/>
          <w:iCs w:val="1"/>
          <w:sz w:val="24"/>
          <w:szCs w:val="24"/>
          <w:lang w:val="en-GB"/>
        </w:rPr>
        <w:t>The Great Post Office Scandal</w:t>
      </w:r>
      <w:r w:rsidRPr="7AD6DA35" w:rsidR="51DE24C7">
        <w:rPr>
          <w:rFonts w:ascii="Arial" w:hAnsi="Arial" w:eastAsia="Arial" w:cs="Arial"/>
          <w:sz w:val="24"/>
          <w:szCs w:val="24"/>
          <w:lang w:val="en-GB"/>
        </w:rPr>
        <w:t>. Bath Publishing Limited, 18 Nov. 2021.</w:t>
      </w:r>
    </w:p>
    <w:p w:rsidR="445BFDB0" w:rsidP="7AD6DA35" w:rsidRDefault="445BFDB0" w14:paraId="2C6A316D" w14:textId="1D6166E5">
      <w:pPr>
        <w:pStyle w:val="ListParagraph"/>
        <w:numPr>
          <w:ilvl w:val="0"/>
          <w:numId w:val="19"/>
        </w:numPr>
        <w:spacing w:after="0" w:line="300" w:lineRule="auto"/>
        <w:rPr>
          <w:rFonts w:ascii="Arial" w:hAnsi="Arial" w:eastAsia="Arial" w:cs="Arial"/>
          <w:sz w:val="24"/>
          <w:szCs w:val="24"/>
          <w:lang w:val="en-GB"/>
        </w:rPr>
      </w:pPr>
      <w:r w:rsidRPr="7AD6DA35" w:rsidR="1107B8B2">
        <w:rPr>
          <w:rFonts w:ascii="Arial" w:hAnsi="Arial" w:eastAsia="Arial" w:cs="Arial"/>
          <w:sz w:val="24"/>
          <w:szCs w:val="24"/>
          <w:lang w:val="en-GB"/>
        </w:rPr>
        <w:t xml:space="preserve">Wan, Richard. “How Game Theory Affects the Video Games Industry.” </w:t>
      </w:r>
      <w:r w:rsidRPr="7AD6DA35" w:rsidR="1107B8B2">
        <w:rPr>
          <w:rFonts w:ascii="Arial" w:hAnsi="Arial" w:eastAsia="Arial" w:cs="Arial"/>
          <w:i w:val="1"/>
          <w:iCs w:val="1"/>
          <w:sz w:val="24"/>
          <w:szCs w:val="24"/>
          <w:lang w:val="en-GB"/>
        </w:rPr>
        <w:t>International Journal of High School Research</w:t>
      </w:r>
      <w:r w:rsidRPr="7AD6DA35" w:rsidR="1107B8B2">
        <w:rPr>
          <w:rFonts w:ascii="Arial" w:hAnsi="Arial" w:eastAsia="Arial" w:cs="Arial"/>
          <w:sz w:val="24"/>
          <w:szCs w:val="24"/>
          <w:lang w:val="en-GB"/>
        </w:rPr>
        <w:t>, vol. 8, no. 8, 30 Apr. 2026, pp. 76–80, 10.36838/ijhsr88.76. Accessed 15 July 2026.</w:t>
      </w:r>
    </w:p>
    <w:p w:rsidR="521F3653" w:rsidP="7AD6DA35" w:rsidRDefault="521F3653" w14:paraId="25F35C4F" w14:textId="1903059C">
      <w:pPr>
        <w:pStyle w:val="ListParagraph"/>
        <w:numPr>
          <w:ilvl w:val="0"/>
          <w:numId w:val="19"/>
        </w:numPr>
        <w:spacing w:after="0" w:line="300" w:lineRule="auto"/>
        <w:rPr>
          <w:rFonts w:ascii="Arial" w:hAnsi="Arial" w:eastAsia="Arial" w:cs="Arial"/>
          <w:sz w:val="24"/>
          <w:szCs w:val="24"/>
          <w:lang w:val="en-GB"/>
        </w:rPr>
      </w:pPr>
      <w:r w:rsidRPr="7AD6DA35" w:rsidR="3FC79AD1">
        <w:rPr>
          <w:rFonts w:ascii="Arial" w:hAnsi="Arial" w:eastAsia="Arial" w:cs="Arial"/>
          <w:sz w:val="24"/>
          <w:szCs w:val="24"/>
          <w:lang w:val="en-GB"/>
        </w:rPr>
        <w:t xml:space="preserve">Button, M., et al. “The Fraud Review and the Policing of Fraud: Laying the Foundations for a Centralized Fraud Police or Counter Fraud Executive?” </w:t>
      </w:r>
      <w:r w:rsidRPr="7AD6DA35" w:rsidR="3FC79AD1">
        <w:rPr>
          <w:rFonts w:ascii="Arial" w:hAnsi="Arial" w:eastAsia="Arial" w:cs="Arial"/>
          <w:i w:val="1"/>
          <w:iCs w:val="1"/>
          <w:sz w:val="24"/>
          <w:szCs w:val="24"/>
          <w:lang w:val="en-GB"/>
        </w:rPr>
        <w:t>Policing</w:t>
      </w:r>
      <w:r w:rsidRPr="7AD6DA35" w:rsidR="3FC79AD1">
        <w:rPr>
          <w:rFonts w:ascii="Arial" w:hAnsi="Arial" w:eastAsia="Arial" w:cs="Arial"/>
          <w:sz w:val="24"/>
          <w:szCs w:val="24"/>
          <w:lang w:val="en-GB"/>
        </w:rPr>
        <w:t>, vol. 2, no. 2, 1 Jan. 2008, pp. 241–250, 10.1093/police/pan027. Accessed 15 July 2026.</w:t>
      </w:r>
    </w:p>
    <w:p w:rsidR="521F3653" w:rsidP="7AD6DA35" w:rsidRDefault="521F3653" w14:paraId="14DECFD7" w14:textId="0123EE54">
      <w:pPr>
        <w:pStyle w:val="ListParagraph"/>
        <w:numPr>
          <w:ilvl w:val="0"/>
          <w:numId w:val="19"/>
        </w:numPr>
        <w:spacing w:after="0" w:line="300" w:lineRule="auto"/>
        <w:rPr>
          <w:rFonts w:ascii="Arial" w:hAnsi="Arial" w:eastAsia="Arial" w:cs="Arial"/>
          <w:sz w:val="24"/>
          <w:szCs w:val="24"/>
          <w:lang w:val="en-GB"/>
        </w:rPr>
      </w:pPr>
      <w:r w:rsidRPr="7AD6DA35" w:rsidR="3FC79AD1">
        <w:rPr>
          <w:rFonts w:ascii="Arial" w:hAnsi="Arial" w:eastAsia="Arial" w:cs="Arial"/>
          <w:sz w:val="24"/>
          <w:szCs w:val="24"/>
          <w:lang w:val="en-GB"/>
        </w:rPr>
        <w:t xml:space="preserve">Christopher J Moon. “The Post Office Scandal: Implications for Management, Leadership, and Governance.” </w:t>
      </w:r>
      <w:r w:rsidRPr="7AD6DA35" w:rsidR="3FC79AD1">
        <w:rPr>
          <w:rFonts w:ascii="Arial" w:hAnsi="Arial" w:eastAsia="Arial" w:cs="Arial"/>
          <w:i w:val="1"/>
          <w:iCs w:val="1"/>
          <w:sz w:val="24"/>
          <w:szCs w:val="24"/>
          <w:lang w:val="en-GB"/>
        </w:rPr>
        <w:t>European Conference on Management Leadership and Governance</w:t>
      </w:r>
      <w:r w:rsidRPr="7AD6DA35" w:rsidR="3FC79AD1">
        <w:rPr>
          <w:rFonts w:ascii="Arial" w:hAnsi="Arial" w:eastAsia="Arial" w:cs="Arial"/>
          <w:sz w:val="24"/>
          <w:szCs w:val="24"/>
          <w:lang w:val="en-GB"/>
        </w:rPr>
        <w:t>, vol. 20, no. 1, 13 Nov. 2024, pp. 727–730, 10.34190/ecmlg.20.1.3181. Accessed 15 July 2026.</w:t>
      </w:r>
    </w:p>
    <w:p w:rsidR="521F3653" w:rsidP="7AD6DA35" w:rsidRDefault="521F3653" w14:paraId="6EB6DEF2" w14:textId="06E9FC6C">
      <w:pPr>
        <w:pStyle w:val="ListParagraph"/>
        <w:numPr>
          <w:ilvl w:val="0"/>
          <w:numId w:val="19"/>
        </w:numPr>
        <w:spacing w:after="0" w:line="300" w:lineRule="auto"/>
        <w:rPr>
          <w:rFonts w:ascii="Arial" w:hAnsi="Arial" w:eastAsia="Arial" w:cs="Arial"/>
          <w:sz w:val="24"/>
          <w:szCs w:val="24"/>
          <w:lang w:val="en-GB"/>
        </w:rPr>
      </w:pPr>
      <w:r w:rsidRPr="7AD6DA35" w:rsidR="3FC79AD1">
        <w:rPr>
          <w:rFonts w:ascii="Arial" w:hAnsi="Arial" w:eastAsia="Arial" w:cs="Arial"/>
          <w:sz w:val="24"/>
          <w:szCs w:val="24"/>
          <w:lang w:val="en-GB"/>
        </w:rPr>
        <w:t xml:space="preserve">Deahl, Martin, and Paul Foster. “Mr Bates and the Post Office: The Implications of the UK Post Office Scandal for the Taxonomy of Trauma.” </w:t>
      </w:r>
      <w:r w:rsidRPr="7AD6DA35" w:rsidR="3FC79AD1">
        <w:rPr>
          <w:rFonts w:ascii="Arial" w:hAnsi="Arial" w:eastAsia="Arial" w:cs="Arial"/>
          <w:i w:val="1"/>
          <w:iCs w:val="1"/>
          <w:sz w:val="24"/>
          <w:szCs w:val="24"/>
          <w:lang w:val="en-GB"/>
        </w:rPr>
        <w:t>JRSM Open</w:t>
      </w:r>
      <w:r w:rsidRPr="7AD6DA35" w:rsidR="3FC79AD1">
        <w:rPr>
          <w:rFonts w:ascii="Arial" w:hAnsi="Arial" w:eastAsia="Arial" w:cs="Arial"/>
          <w:sz w:val="24"/>
          <w:szCs w:val="24"/>
          <w:lang w:val="en-GB"/>
        </w:rPr>
        <w:t>, vol. 15, no. 12, Dec. 2024, 10.1177/20542704241304573. Accessed 15 July 2026.</w:t>
      </w:r>
    </w:p>
    <w:p w:rsidR="5FEA8179" w:rsidP="7AD6DA35" w:rsidRDefault="5FEA8179" w14:paraId="36974949" w14:textId="238D7440">
      <w:pPr>
        <w:pStyle w:val="ListParagraph"/>
        <w:numPr>
          <w:ilvl w:val="0"/>
          <w:numId w:val="19"/>
        </w:numPr>
        <w:spacing w:after="0" w:line="300" w:lineRule="auto"/>
        <w:rPr>
          <w:rFonts w:ascii="Arial" w:hAnsi="Arial" w:eastAsia="Arial" w:cs="Arial"/>
          <w:sz w:val="24"/>
          <w:szCs w:val="24"/>
          <w:lang w:val="en-GB"/>
        </w:rPr>
      </w:pPr>
      <w:r w:rsidRPr="7AD6DA35" w:rsidR="68F020DF">
        <w:rPr>
          <w:rFonts w:ascii="Arial" w:hAnsi="Arial" w:eastAsia="Arial" w:cs="Arial"/>
          <w:sz w:val="24"/>
          <w:szCs w:val="24"/>
          <w:lang w:val="en-GB"/>
        </w:rPr>
        <w:t xml:space="preserve">DAY, SALLY, et al. “From Agnosis to Accidental Activism: Infinite Regress and the Post Office Scandal.” </w:t>
      </w:r>
      <w:r w:rsidRPr="7AD6DA35" w:rsidR="68F020DF">
        <w:rPr>
          <w:rFonts w:ascii="Arial" w:hAnsi="Arial" w:eastAsia="Arial" w:cs="Arial"/>
          <w:i w:val="1"/>
          <w:iCs w:val="1"/>
          <w:sz w:val="24"/>
          <w:szCs w:val="24"/>
          <w:lang w:val="en-GB"/>
        </w:rPr>
        <w:t>Journal of Law and Society</w:t>
      </w:r>
      <w:r w:rsidRPr="7AD6DA35" w:rsidR="68F020DF">
        <w:rPr>
          <w:rFonts w:ascii="Arial" w:hAnsi="Arial" w:eastAsia="Arial" w:cs="Arial"/>
          <w:sz w:val="24"/>
          <w:szCs w:val="24"/>
          <w:lang w:val="en-GB"/>
        </w:rPr>
        <w:t>, 20 Feb. 2026, 10.1111/jols.70042.</w:t>
      </w:r>
    </w:p>
    <w:p w:rsidR="5FEA8179" w:rsidP="7AD6DA35" w:rsidRDefault="5FEA8179" w14:paraId="1D30AE86" w14:textId="01050DA9">
      <w:pPr>
        <w:pStyle w:val="ListParagraph"/>
        <w:numPr>
          <w:ilvl w:val="0"/>
          <w:numId w:val="19"/>
        </w:numPr>
        <w:spacing w:after="0" w:line="300" w:lineRule="auto"/>
        <w:rPr>
          <w:rFonts w:ascii="Arial" w:hAnsi="Arial" w:eastAsia="Arial" w:cs="Arial"/>
          <w:sz w:val="24"/>
          <w:szCs w:val="24"/>
          <w:lang w:val="en-GB"/>
        </w:rPr>
      </w:pPr>
      <w:r w:rsidRPr="7AD6DA35" w:rsidR="68F020DF">
        <w:rPr>
          <w:rFonts w:ascii="Arial" w:hAnsi="Arial" w:eastAsia="Arial" w:cs="Arial"/>
          <w:sz w:val="24"/>
          <w:szCs w:val="24"/>
          <w:lang w:val="en-GB"/>
        </w:rPr>
        <w:t xml:space="preserve">Winter,, Ralph K. “State Law, Shareholder Protection, and the Theory of the Corporation.” </w:t>
      </w:r>
      <w:r w:rsidRPr="7AD6DA35" w:rsidR="68F020DF">
        <w:rPr>
          <w:rFonts w:ascii="Arial" w:hAnsi="Arial" w:eastAsia="Arial" w:cs="Arial"/>
          <w:i w:val="1"/>
          <w:iCs w:val="1"/>
          <w:sz w:val="24"/>
          <w:szCs w:val="24"/>
          <w:lang w:val="en-GB"/>
        </w:rPr>
        <w:t>The Journal of Legal Studies</w:t>
      </w:r>
      <w:r w:rsidRPr="7AD6DA35" w:rsidR="68F020DF">
        <w:rPr>
          <w:rFonts w:ascii="Arial" w:hAnsi="Arial" w:eastAsia="Arial" w:cs="Arial"/>
          <w:sz w:val="24"/>
          <w:szCs w:val="24"/>
          <w:lang w:val="en-GB"/>
        </w:rPr>
        <w:t>, vol. 6, no. 2, June 1977, pp. 251–292, 10.1086/467572.</w:t>
      </w:r>
    </w:p>
    <w:p w:rsidR="5FEA8179" w:rsidP="7AD6DA35" w:rsidRDefault="5FEA8179" w14:paraId="0F9D93EF" w14:textId="30439F3F">
      <w:pPr>
        <w:pStyle w:val="ListParagraph"/>
        <w:numPr>
          <w:ilvl w:val="0"/>
          <w:numId w:val="19"/>
        </w:numPr>
        <w:spacing w:after="0" w:line="300" w:lineRule="auto"/>
        <w:rPr>
          <w:rFonts w:ascii="Arial" w:hAnsi="Arial" w:eastAsia="Arial" w:cs="Arial"/>
          <w:sz w:val="24"/>
          <w:szCs w:val="24"/>
          <w:lang w:val="en-GB"/>
        </w:rPr>
      </w:pPr>
      <w:r w:rsidRPr="7AD6DA35" w:rsidR="68F020DF">
        <w:rPr>
          <w:rFonts w:ascii="Arial" w:hAnsi="Arial" w:eastAsia="Arial" w:cs="Arial"/>
          <w:sz w:val="24"/>
          <w:szCs w:val="24"/>
          <w:lang w:val="en-GB"/>
        </w:rPr>
        <w:t xml:space="preserve">Waring, Alan. </w:t>
      </w:r>
      <w:r w:rsidRPr="7AD6DA35" w:rsidR="68F020DF">
        <w:rPr>
          <w:rFonts w:ascii="Arial" w:hAnsi="Arial" w:eastAsia="Arial" w:cs="Arial"/>
          <w:i w:val="1"/>
          <w:iCs w:val="1"/>
          <w:sz w:val="24"/>
          <w:szCs w:val="24"/>
          <w:lang w:val="en-GB"/>
        </w:rPr>
        <w:t>Corporate Risk and Governance</w:t>
      </w:r>
      <w:r w:rsidRPr="7AD6DA35" w:rsidR="68F020DF">
        <w:rPr>
          <w:rFonts w:ascii="Arial" w:hAnsi="Arial" w:eastAsia="Arial" w:cs="Arial"/>
          <w:sz w:val="24"/>
          <w:szCs w:val="24"/>
          <w:lang w:val="en-GB"/>
        </w:rPr>
        <w:t>. 2013.</w:t>
      </w:r>
    </w:p>
    <w:p w:rsidR="1A31FC9D" w:rsidP="7AD6DA35" w:rsidRDefault="1A31FC9D" w14:paraId="707428FA" w14:textId="38004904">
      <w:pPr>
        <w:pStyle w:val="ListParagraph"/>
        <w:numPr>
          <w:ilvl w:val="0"/>
          <w:numId w:val="19"/>
        </w:numPr>
        <w:spacing w:after="0" w:line="300" w:lineRule="auto"/>
        <w:rPr>
          <w:rFonts w:ascii="Arial" w:hAnsi="Arial" w:eastAsia="Arial" w:cs="Arial"/>
          <w:sz w:val="24"/>
          <w:szCs w:val="24"/>
          <w:lang w:val="en-GB"/>
        </w:rPr>
      </w:pPr>
      <w:r w:rsidRPr="7AD6DA35" w:rsidR="0F314CCD">
        <w:rPr>
          <w:rFonts w:ascii="Arial" w:hAnsi="Arial" w:eastAsia="Arial" w:cs="Arial"/>
          <w:sz w:val="24"/>
          <w:szCs w:val="24"/>
          <w:lang w:val="en-GB"/>
        </w:rPr>
        <w:t xml:space="preserve">Alaassar, Ahmad, et al. “Ecosystem Dynamics: Exploring the Interplay Within Fintech Entrepreneurial Ecosystems.” </w:t>
      </w:r>
      <w:r w:rsidRPr="7AD6DA35" w:rsidR="0F314CCD">
        <w:rPr>
          <w:rFonts w:ascii="Arial" w:hAnsi="Arial" w:eastAsia="Arial" w:cs="Arial"/>
          <w:i w:val="1"/>
          <w:iCs w:val="1"/>
          <w:sz w:val="24"/>
          <w:szCs w:val="24"/>
          <w:lang w:val="en-GB"/>
        </w:rPr>
        <w:t>Small Business Economics</w:t>
      </w:r>
      <w:r w:rsidRPr="7AD6DA35" w:rsidR="0F314CCD">
        <w:rPr>
          <w:rFonts w:ascii="Arial" w:hAnsi="Arial" w:eastAsia="Arial" w:cs="Arial"/>
          <w:sz w:val="24"/>
          <w:szCs w:val="24"/>
          <w:lang w:val="en-GB"/>
        </w:rPr>
        <w:t>, vol. 58, 13 May 2021, 10.1007/s11187-021-00505-5.</w:t>
      </w:r>
    </w:p>
    <w:p w:rsidR="1A31FC9D" w:rsidP="7AD6DA35" w:rsidRDefault="1A31FC9D" w14:paraId="17A384E7" w14:textId="0763C2F9">
      <w:pPr>
        <w:pStyle w:val="ListParagraph"/>
        <w:numPr>
          <w:ilvl w:val="0"/>
          <w:numId w:val="19"/>
        </w:numPr>
        <w:spacing w:after="0" w:line="300" w:lineRule="auto"/>
        <w:rPr>
          <w:rFonts w:ascii="Arial" w:hAnsi="Arial" w:eastAsia="Arial" w:cs="Arial"/>
          <w:sz w:val="24"/>
          <w:szCs w:val="24"/>
          <w:lang w:val="en-GB"/>
        </w:rPr>
      </w:pPr>
      <w:r w:rsidRPr="7AD6DA35" w:rsidR="0F314CCD">
        <w:rPr>
          <w:rFonts w:ascii="Arial" w:hAnsi="Arial" w:eastAsia="Arial" w:cs="Arial"/>
          <w:sz w:val="24"/>
          <w:szCs w:val="24"/>
          <w:lang w:val="en-GB"/>
        </w:rPr>
        <w:t xml:space="preserve">Sam De Silva. “Post Office Scandal: Understanding Computer Evidence.” </w:t>
      </w:r>
      <w:r w:rsidRPr="7AD6DA35" w:rsidR="0F314CCD">
        <w:rPr>
          <w:rFonts w:ascii="Arial" w:hAnsi="Arial" w:eastAsia="Arial" w:cs="Arial"/>
          <w:i w:val="1"/>
          <w:iCs w:val="1"/>
          <w:sz w:val="24"/>
          <w:szCs w:val="24"/>
          <w:lang w:val="en-GB"/>
        </w:rPr>
        <w:t>Itnow</w:t>
      </w:r>
      <w:r w:rsidRPr="7AD6DA35" w:rsidR="0F314CCD">
        <w:rPr>
          <w:rFonts w:ascii="Arial" w:hAnsi="Arial" w:eastAsia="Arial" w:cs="Arial"/>
          <w:sz w:val="24"/>
          <w:szCs w:val="24"/>
          <w:lang w:val="en-GB"/>
        </w:rPr>
        <w:t xml:space="preserve">, vol. 66, no. 3, 1 Jan. 2024, pp. 48–49, </w:t>
      </w:r>
    </w:p>
    <w:p w:rsidR="1A31FC9D" w:rsidP="7AD6DA35" w:rsidRDefault="1A31FC9D" w14:paraId="760ECB56" w14:textId="24CC04B5">
      <w:pPr>
        <w:pStyle w:val="ListParagraph"/>
        <w:spacing w:after="0" w:line="300" w:lineRule="auto"/>
        <w:ind w:left="720"/>
        <w:rPr>
          <w:rFonts w:ascii="Arial" w:hAnsi="Arial" w:eastAsia="Arial" w:cs="Arial"/>
          <w:sz w:val="24"/>
          <w:szCs w:val="24"/>
          <w:lang w:val="en-GB"/>
        </w:rPr>
      </w:pPr>
      <w:hyperlink r:id="R997d9f0a2ae04437">
        <w:r w:rsidRPr="7AD6DA35" w:rsidR="0F314CCD">
          <w:rPr>
            <w:rStyle w:val="Hyperlink"/>
            <w:rFonts w:ascii="Arial" w:hAnsi="Arial" w:eastAsia="Arial" w:cs="Arial"/>
            <w:sz w:val="24"/>
            <w:szCs w:val="24"/>
            <w:lang w:val="en-GB"/>
          </w:rPr>
          <w:t>https://academic.oup.com/itnow/article-abstract/66/3/48/7724813?redirectedFrom=fulltext&amp;login=true</w:t>
        </w:r>
      </w:hyperlink>
      <w:r w:rsidRPr="7AD6DA35" w:rsidR="0F314CCD">
        <w:rPr>
          <w:rFonts w:ascii="Arial" w:hAnsi="Arial" w:eastAsia="Arial" w:cs="Arial"/>
          <w:sz w:val="24"/>
          <w:szCs w:val="24"/>
          <w:lang w:val="en-GB"/>
        </w:rPr>
        <w:t>, 10.1093/itnow/bwae097. Accessed 15 July 2026.</w:t>
      </w:r>
    </w:p>
    <w:p w:rsidR="1A31FC9D" w:rsidP="7AD6DA35" w:rsidRDefault="1A31FC9D" w14:paraId="193E4F6B" w14:textId="0619C60F">
      <w:pPr>
        <w:pStyle w:val="ListParagraph"/>
        <w:numPr>
          <w:ilvl w:val="0"/>
          <w:numId w:val="19"/>
        </w:numPr>
        <w:spacing w:after="0" w:line="300" w:lineRule="auto"/>
        <w:rPr>
          <w:rFonts w:ascii="Arial" w:hAnsi="Arial" w:eastAsia="Arial" w:cs="Arial"/>
          <w:sz w:val="24"/>
          <w:szCs w:val="24"/>
          <w:lang w:val="en-GB"/>
        </w:rPr>
      </w:pPr>
      <w:r w:rsidRPr="7AD6DA35" w:rsidR="0F314CCD">
        <w:rPr>
          <w:rFonts w:ascii="Arial" w:hAnsi="Arial" w:eastAsia="Arial" w:cs="Arial"/>
          <w:sz w:val="24"/>
          <w:szCs w:val="24"/>
          <w:lang w:val="en-GB"/>
        </w:rPr>
        <w:t xml:space="preserve">Acharya, Kamal. “Post Office Management System Project Report.” </w:t>
      </w:r>
      <w:r w:rsidRPr="7AD6DA35" w:rsidR="0F314CCD">
        <w:rPr>
          <w:rFonts w:ascii="Arial" w:hAnsi="Arial" w:eastAsia="Arial" w:cs="Arial"/>
          <w:i w:val="1"/>
          <w:iCs w:val="1"/>
          <w:sz w:val="24"/>
          <w:szCs w:val="24"/>
          <w:lang w:val="en-GB"/>
        </w:rPr>
        <w:t>SSRN Electronic Journal</w:t>
      </w:r>
      <w:r w:rsidRPr="7AD6DA35" w:rsidR="0F314CCD">
        <w:rPr>
          <w:rFonts w:ascii="Arial" w:hAnsi="Arial" w:eastAsia="Arial" w:cs="Arial"/>
          <w:sz w:val="24"/>
          <w:szCs w:val="24"/>
          <w:lang w:val="en-GB"/>
        </w:rPr>
        <w:t>, 2024, 10.2139/ssrn.4822051.</w:t>
      </w:r>
    </w:p>
    <w:p w:rsidR="32A911CD" w:rsidP="7AD6DA35" w:rsidRDefault="32A911CD" w14:paraId="7D0A092A" w14:textId="0AC8A0EB">
      <w:pPr>
        <w:pStyle w:val="ListParagraph"/>
        <w:numPr>
          <w:ilvl w:val="0"/>
          <w:numId w:val="19"/>
        </w:numPr>
        <w:spacing w:after="0" w:line="300" w:lineRule="auto"/>
        <w:rPr>
          <w:rFonts w:ascii="Arial" w:hAnsi="Arial" w:eastAsia="Arial" w:cs="Arial"/>
          <w:sz w:val="24"/>
          <w:szCs w:val="24"/>
          <w:lang w:val="en-GB"/>
        </w:rPr>
      </w:pPr>
      <w:r w:rsidRPr="7AD6DA35" w:rsidR="542352D1">
        <w:rPr>
          <w:rFonts w:ascii="Arial" w:hAnsi="Arial" w:eastAsia="Arial" w:cs="Arial"/>
          <w:sz w:val="24"/>
          <w:szCs w:val="24"/>
          <w:lang w:val="en-GB"/>
        </w:rPr>
        <w:t xml:space="preserve">Augustine, Grace, et al. “From Paralysis to Publicization: How Victims Confront Organizational Harm.” </w:t>
      </w:r>
      <w:r w:rsidRPr="7AD6DA35" w:rsidR="542352D1">
        <w:rPr>
          <w:rFonts w:ascii="Arial" w:hAnsi="Arial" w:eastAsia="Arial" w:cs="Arial"/>
          <w:i w:val="1"/>
          <w:iCs w:val="1"/>
          <w:sz w:val="24"/>
          <w:szCs w:val="24"/>
          <w:lang w:val="en-GB"/>
        </w:rPr>
        <w:t>Academy of Management Proceedings</w:t>
      </w:r>
      <w:r w:rsidRPr="7AD6DA35" w:rsidR="542352D1">
        <w:rPr>
          <w:rFonts w:ascii="Arial" w:hAnsi="Arial" w:eastAsia="Arial" w:cs="Arial"/>
          <w:sz w:val="24"/>
          <w:szCs w:val="24"/>
          <w:lang w:val="en-GB"/>
        </w:rPr>
        <w:t>, vol. 2024, no. 1, Aug. 2024, 10.5465/amproc.2024.315bp. Accessed 15 July 2026.</w:t>
      </w:r>
    </w:p>
    <w:p w:rsidR="38374488" w:rsidP="7AD6DA35" w:rsidRDefault="38374488" w14:paraId="6DF60236" w14:textId="5BB7C29E">
      <w:pPr>
        <w:pStyle w:val="ListParagraph"/>
        <w:numPr>
          <w:ilvl w:val="0"/>
          <w:numId w:val="19"/>
        </w:numPr>
        <w:spacing w:after="0" w:line="300" w:lineRule="auto"/>
        <w:rPr>
          <w:rFonts w:ascii="Arial" w:hAnsi="Arial" w:eastAsia="Arial" w:cs="Arial"/>
          <w:sz w:val="24"/>
          <w:szCs w:val="24"/>
          <w:lang w:val="en-GB"/>
        </w:rPr>
      </w:pPr>
      <w:r w:rsidRPr="7AD6DA35" w:rsidR="769D7333">
        <w:rPr>
          <w:rFonts w:ascii="Arial" w:hAnsi="Arial" w:eastAsia="Arial" w:cs="Arial"/>
          <w:sz w:val="24"/>
          <w:szCs w:val="24"/>
          <w:lang w:val="en-GB"/>
        </w:rPr>
        <w:t xml:space="preserve">Oosterom-Eijmael, Maartina J.P., et al. “Risk of Perioperative Discontinuation of SGLT2 Inhibitors.” </w:t>
      </w:r>
      <w:r w:rsidRPr="7AD6DA35" w:rsidR="769D7333">
        <w:rPr>
          <w:rFonts w:ascii="Arial" w:hAnsi="Arial" w:eastAsia="Arial" w:cs="Arial"/>
          <w:i w:val="1"/>
          <w:iCs w:val="1"/>
          <w:sz w:val="24"/>
          <w:szCs w:val="24"/>
          <w:lang w:val="en-GB"/>
        </w:rPr>
        <w:t>British Journal of Anaesthesia</w:t>
      </w:r>
      <w:r w:rsidRPr="7AD6DA35" w:rsidR="769D7333">
        <w:rPr>
          <w:rFonts w:ascii="Arial" w:hAnsi="Arial" w:eastAsia="Arial" w:cs="Arial"/>
          <w:sz w:val="24"/>
          <w:szCs w:val="24"/>
          <w:lang w:val="en-GB"/>
        </w:rPr>
        <w:t>, vol. 133, no. 2, Aug. 2024, pp. 239–240, 10.1016/j.bja.2024.05.004. Accessed 15 July 2026.</w:t>
      </w:r>
    </w:p>
    <w:p w:rsidR="4C0925F6" w:rsidP="7AD6DA35" w:rsidRDefault="4C0925F6" w14:paraId="5E56208F" w14:textId="3AB435BF">
      <w:pPr>
        <w:pStyle w:val="ListParagraph"/>
        <w:numPr>
          <w:ilvl w:val="0"/>
          <w:numId w:val="19"/>
        </w:numPr>
        <w:spacing w:after="0" w:line="300" w:lineRule="auto"/>
        <w:rPr>
          <w:rFonts w:ascii="Arial" w:hAnsi="Arial" w:eastAsia="Arial" w:cs="Arial"/>
          <w:sz w:val="24"/>
          <w:szCs w:val="24"/>
          <w:lang w:val="en-GB"/>
        </w:rPr>
      </w:pPr>
      <w:r w:rsidRPr="7AD6DA35" w:rsidR="66F6296C">
        <w:rPr>
          <w:rFonts w:ascii="Arial" w:hAnsi="Arial" w:eastAsia="Arial" w:cs="Arial"/>
          <w:sz w:val="24"/>
          <w:szCs w:val="24"/>
          <w:lang w:val="en-GB"/>
        </w:rPr>
        <w:t xml:space="preserve">Georgiou, Despoina. </w:t>
      </w:r>
      <w:r w:rsidRPr="7AD6DA35" w:rsidR="66F6296C">
        <w:rPr>
          <w:rFonts w:ascii="Arial" w:hAnsi="Arial" w:eastAsia="Arial" w:cs="Arial"/>
          <w:i w:val="1"/>
          <w:iCs w:val="1"/>
          <w:sz w:val="24"/>
          <w:szCs w:val="24"/>
          <w:lang w:val="en-GB"/>
        </w:rPr>
        <w:t>The Platform Economy and Labour Law</w:t>
      </w:r>
      <w:r w:rsidRPr="7AD6DA35" w:rsidR="66F6296C">
        <w:rPr>
          <w:rFonts w:ascii="Arial" w:hAnsi="Arial" w:eastAsia="Arial" w:cs="Arial"/>
          <w:sz w:val="24"/>
          <w:szCs w:val="24"/>
          <w:lang w:val="en-GB"/>
        </w:rPr>
        <w:t>. Taylor &amp; Francis, 29 Apr. 2026.</w:t>
      </w:r>
    </w:p>
    <w:p w:rsidR="26C7A988" w:rsidP="7AD6DA35" w:rsidRDefault="26C7A988" w14:paraId="5C37F95D" w14:textId="66E13EF6">
      <w:pPr>
        <w:pStyle w:val="ListParagraph"/>
        <w:numPr>
          <w:ilvl w:val="0"/>
          <w:numId w:val="19"/>
        </w:numPr>
        <w:spacing w:after="0" w:line="300" w:lineRule="auto"/>
        <w:rPr>
          <w:rFonts w:ascii="Arial" w:hAnsi="Arial" w:eastAsia="Arial" w:cs="Arial"/>
          <w:noProof w:val="0"/>
          <w:sz w:val="24"/>
          <w:szCs w:val="24"/>
          <w:lang w:val="en-GB"/>
        </w:rPr>
      </w:pPr>
      <w:r w:rsidRPr="7AD6DA35" w:rsidR="26C7A988">
        <w:rPr>
          <w:rFonts w:ascii="Arial" w:hAnsi="Arial" w:eastAsia="Arial" w:cs="Arial"/>
          <w:noProof w:val="0"/>
          <w:sz w:val="24"/>
          <w:szCs w:val="24"/>
          <w:lang w:val="en-GB"/>
        </w:rPr>
        <w:t xml:space="preserve">Brennan, Niamh M., et al. “Accountability Sinks, Accountability Gaps and Technological Injustice: The Case of the British Post Office/Horizon IT Scandal.” </w:t>
      </w:r>
      <w:r w:rsidRPr="7AD6DA35" w:rsidR="26C7A988">
        <w:rPr>
          <w:rFonts w:ascii="Arial" w:hAnsi="Arial" w:eastAsia="Arial" w:cs="Arial"/>
          <w:i w:val="1"/>
          <w:iCs w:val="1"/>
          <w:noProof w:val="0"/>
          <w:sz w:val="24"/>
          <w:szCs w:val="24"/>
          <w:lang w:val="en-GB"/>
        </w:rPr>
        <w:t>Accounting, Auditing &amp; Accountability Journal</w:t>
      </w:r>
      <w:r w:rsidRPr="7AD6DA35" w:rsidR="26C7A988">
        <w:rPr>
          <w:rFonts w:ascii="Arial" w:hAnsi="Arial" w:eastAsia="Arial" w:cs="Arial"/>
          <w:noProof w:val="0"/>
          <w:sz w:val="24"/>
          <w:szCs w:val="24"/>
          <w:lang w:val="en-GB"/>
        </w:rPr>
        <w:t>, 22 June 2026, pp. 1–28, 10.1108/aaaj-11-2025-8532. Accessed 15 July 2026.</w:t>
      </w:r>
    </w:p>
    <w:p w:rsidR="20A1C53F" w:rsidP="7AD6DA35" w:rsidRDefault="20A1C53F" w14:paraId="41A11C53" w14:textId="26553032">
      <w:pPr>
        <w:pStyle w:val="ListParagraph"/>
        <w:numPr>
          <w:ilvl w:val="0"/>
          <w:numId w:val="19"/>
        </w:numPr>
        <w:spacing w:after="0" w:line="300" w:lineRule="auto"/>
        <w:rPr>
          <w:rFonts w:ascii="Arial" w:hAnsi="Arial" w:eastAsia="Arial" w:cs="Arial"/>
          <w:noProof w:val="0"/>
          <w:sz w:val="24"/>
          <w:szCs w:val="24"/>
          <w:lang w:val="en-GB"/>
        </w:rPr>
      </w:pPr>
      <w:r w:rsidRPr="7AD6DA35" w:rsidR="20A1C53F">
        <w:rPr>
          <w:rFonts w:ascii="Arial" w:hAnsi="Arial" w:eastAsia="Arial" w:cs="Arial"/>
          <w:noProof w:val="0"/>
          <w:sz w:val="24"/>
          <w:szCs w:val="24"/>
          <w:lang w:val="en-GB"/>
        </w:rPr>
        <w:t xml:space="preserve">Thomas, David R. “A General Inductive Approach for Analyzing Qualitative Evaluation Data.” </w:t>
      </w:r>
      <w:r w:rsidRPr="7AD6DA35" w:rsidR="20A1C53F">
        <w:rPr>
          <w:rFonts w:ascii="Arial" w:hAnsi="Arial" w:eastAsia="Arial" w:cs="Arial"/>
          <w:i w:val="1"/>
          <w:iCs w:val="1"/>
          <w:noProof w:val="0"/>
          <w:sz w:val="24"/>
          <w:szCs w:val="24"/>
          <w:lang w:val="en-GB"/>
        </w:rPr>
        <w:t>American Journal of Evaluation</w:t>
      </w:r>
      <w:r w:rsidRPr="7AD6DA35" w:rsidR="20A1C53F">
        <w:rPr>
          <w:rFonts w:ascii="Arial" w:hAnsi="Arial" w:eastAsia="Arial" w:cs="Arial"/>
          <w:noProof w:val="0"/>
          <w:sz w:val="24"/>
          <w:szCs w:val="24"/>
          <w:lang w:val="en-GB"/>
        </w:rPr>
        <w:t xml:space="preserve">, vol. 27, no. 2, 2006, pp. 237–246, </w:t>
      </w:r>
    </w:p>
    <w:p w:rsidR="20A1C53F" w:rsidP="7AD6DA35" w:rsidRDefault="20A1C53F" w14:paraId="6524583F" w14:textId="5465EE92">
      <w:pPr>
        <w:pStyle w:val="ListParagraph"/>
        <w:spacing w:after="0" w:line="300" w:lineRule="auto"/>
        <w:ind w:left="720"/>
        <w:rPr>
          <w:rFonts w:ascii="Arial" w:hAnsi="Arial" w:eastAsia="Arial" w:cs="Arial"/>
          <w:noProof w:val="0"/>
          <w:sz w:val="24"/>
          <w:szCs w:val="24"/>
          <w:lang w:val="en-GB"/>
        </w:rPr>
      </w:pPr>
      <w:hyperlink r:id="R966dfc69ca50436c">
        <w:r w:rsidRPr="7AD6DA35" w:rsidR="20A1C53F">
          <w:rPr>
            <w:rStyle w:val="Hyperlink"/>
            <w:rFonts w:ascii="Arial" w:hAnsi="Arial" w:eastAsia="Arial" w:cs="Arial"/>
            <w:noProof w:val="0"/>
            <w:sz w:val="24"/>
            <w:szCs w:val="24"/>
            <w:lang w:val="en-GB"/>
          </w:rPr>
          <w:t>https://journals.sagepub.com/doi/abs/10.1177/1098214005283748</w:t>
        </w:r>
      </w:hyperlink>
      <w:r w:rsidRPr="7AD6DA35" w:rsidR="20A1C53F">
        <w:rPr>
          <w:rFonts w:ascii="Arial" w:hAnsi="Arial" w:eastAsia="Arial" w:cs="Arial"/>
          <w:noProof w:val="0"/>
          <w:sz w:val="24"/>
          <w:szCs w:val="24"/>
          <w:lang w:val="en-GB"/>
        </w:rPr>
        <w:t xml:space="preserve">, </w:t>
      </w:r>
      <w:hyperlink r:id="R1abf320f5523473c">
        <w:r w:rsidRPr="7AD6DA35" w:rsidR="20A1C53F">
          <w:rPr>
            <w:rStyle w:val="Hyperlink"/>
            <w:rFonts w:ascii="Arial" w:hAnsi="Arial" w:eastAsia="Arial" w:cs="Arial"/>
            <w:noProof w:val="0"/>
            <w:sz w:val="24"/>
            <w:szCs w:val="24"/>
            <w:lang w:val="en-GB"/>
          </w:rPr>
          <w:t>https://doi.org/10.1177/1098214005283748</w:t>
        </w:r>
      </w:hyperlink>
      <w:r w:rsidRPr="7AD6DA35" w:rsidR="20A1C53F">
        <w:rPr>
          <w:rFonts w:ascii="Arial" w:hAnsi="Arial" w:eastAsia="Arial" w:cs="Arial"/>
          <w:noProof w:val="0"/>
          <w:sz w:val="24"/>
          <w:szCs w:val="24"/>
          <w:lang w:val="en-GB"/>
        </w:rPr>
        <w:t>. Accessed 22 July 2026.</w:t>
      </w:r>
    </w:p>
    <w:p w:rsidR="360E17DB" w:rsidP="7AD6DA35" w:rsidRDefault="360E17DB" w14:paraId="3F489C92" w14:textId="3060A7CF">
      <w:pPr>
        <w:pStyle w:val="ListParagraph"/>
        <w:numPr>
          <w:ilvl w:val="0"/>
          <w:numId w:val="19"/>
        </w:numPr>
        <w:spacing w:after="0" w:line="300" w:lineRule="auto"/>
        <w:rPr>
          <w:rFonts w:ascii="Arial" w:hAnsi="Arial" w:eastAsia="Arial" w:cs="Arial"/>
          <w:noProof w:val="0"/>
          <w:sz w:val="24"/>
          <w:szCs w:val="24"/>
          <w:lang w:val="en-GB"/>
        </w:rPr>
      </w:pPr>
      <w:r w:rsidRPr="7AD6DA35" w:rsidR="360E17DB">
        <w:rPr>
          <w:rFonts w:ascii="Arial" w:hAnsi="Arial" w:eastAsia="Arial" w:cs="Arial"/>
          <w:noProof w:val="0"/>
          <w:sz w:val="24"/>
          <w:szCs w:val="24"/>
          <w:lang w:val="en-GB"/>
        </w:rPr>
        <w:t xml:space="preserve">Nadji, Celine, et al. “Chinese Tourists’ Perceptions of Service Quality in West African Hotels: A Case Study of Senegal.” </w:t>
      </w:r>
      <w:r w:rsidRPr="7AD6DA35" w:rsidR="360E17DB">
        <w:rPr>
          <w:rFonts w:ascii="Arial" w:hAnsi="Arial" w:eastAsia="Arial" w:cs="Arial"/>
          <w:i w:val="1"/>
          <w:iCs w:val="1"/>
          <w:noProof w:val="0"/>
          <w:sz w:val="24"/>
          <w:szCs w:val="24"/>
          <w:lang w:val="en-GB"/>
        </w:rPr>
        <w:t>Journal of China Tourism Research</w:t>
      </w:r>
      <w:r w:rsidRPr="7AD6DA35" w:rsidR="360E17DB">
        <w:rPr>
          <w:rFonts w:ascii="Arial" w:hAnsi="Arial" w:eastAsia="Arial" w:cs="Arial"/>
          <w:noProof w:val="0"/>
          <w:sz w:val="24"/>
          <w:szCs w:val="24"/>
          <w:lang w:val="en-GB"/>
        </w:rPr>
        <w:t>, vol. 14, no. 1, 2 Jan. 2018, pp. 61–70, 10.1080/19388160.2018.1430644. Accessed 22 July 2026.</w:t>
      </w:r>
    </w:p>
    <w:p w:rsidR="7AD6DA35" w:rsidP="7AD6DA35" w:rsidRDefault="7AD6DA35" w14:paraId="10620890" w14:textId="758FE784">
      <w:pPr>
        <w:pStyle w:val="ListParagraph"/>
        <w:spacing w:after="0" w:line="300" w:lineRule="auto"/>
        <w:ind w:left="720"/>
        <w:rPr>
          <w:rFonts w:ascii="Arial" w:hAnsi="Arial" w:eastAsia="Arial" w:cs="Arial"/>
          <w:sz w:val="24"/>
          <w:szCs w:val="24"/>
          <w:lang w:val="en-GB"/>
        </w:rPr>
      </w:pPr>
    </w:p>
    <w:p w:rsidR="56062124" w:rsidP="56062124" w:rsidRDefault="56062124" w14:paraId="7DB1A918" w14:textId="2C65AF88">
      <w:pPr>
        <w:pStyle w:val="ListParagraph"/>
        <w:spacing w:after="0" w:line="300" w:lineRule="auto"/>
        <w:rPr>
          <w:rFonts w:ascii="Arial" w:hAnsi="Arial" w:eastAsia="Arial" w:cs="Arial"/>
          <w:color w:val="222222"/>
          <w:sz w:val="19"/>
          <w:szCs w:val="19"/>
          <w:lang w:val="en-GB"/>
        </w:rPr>
      </w:pPr>
    </w:p>
    <w:p w:rsidR="002E05CA" w:rsidP="4FA4D7D0" w:rsidRDefault="008A1B7D" w14:paraId="22D268D6" w14:textId="50BDFDF8">
      <w:pPr>
        <w:shd w:val="clear" w:color="auto" w:fill="FFFFFF" w:themeFill="background1"/>
        <w:spacing w:line="300" w:lineRule="auto"/>
        <w:rPr>
          <w:rFonts w:ascii="Segoe UI" w:hAnsi="Segoe UI" w:eastAsia="Segoe UI" w:cs="Segoe UI"/>
          <w:color w:val="000000" w:themeColor="text1"/>
          <w:sz w:val="21"/>
          <w:szCs w:val="21"/>
        </w:rPr>
      </w:pPr>
    </w:p>
    <w:p w:rsidR="002E05CA" w:rsidP="4FA4D7D0" w:rsidRDefault="002E05CA" w14:paraId="0647B881" w14:textId="333016A8">
      <w:pPr>
        <w:shd w:val="clear" w:color="auto" w:fill="FFFFFF" w:themeFill="background1"/>
        <w:spacing w:line="300" w:lineRule="auto"/>
        <w:rPr>
          <w:rFonts w:ascii="Segoe UI" w:hAnsi="Segoe UI" w:eastAsia="Segoe UI" w:cs="Segoe UI"/>
          <w:color w:val="000000" w:themeColor="text1"/>
          <w:sz w:val="21"/>
          <w:szCs w:val="21"/>
        </w:rPr>
      </w:pPr>
    </w:p>
    <w:p w:rsidR="002E05CA" w:rsidP="4FA4D7D0" w:rsidRDefault="002E05CA" w14:paraId="2C078E63" w14:textId="3EEA8BB7">
      <w:pPr>
        <w:rPr>
          <w:rFonts w:ascii="Arial" w:hAnsi="Arial" w:eastAsia="Arial" w:cs="Arial"/>
          <w:color w:val="222222"/>
          <w:sz w:val="19"/>
          <w:szCs w:val="19"/>
        </w:rPr>
      </w:pPr>
    </w:p>
    <w:sectPr w:rsidR="002E05CA">
      <w:pgSz w:w="12240" w:h="15840" w:orient="portrait"/>
      <w:pgMar w:top="1440" w:right="1440" w:bottom="1440" w:left="1440" w:header="720" w:footer="720" w:gutter="0"/>
      <w:cols w:space="720"/>
      <w:docGrid w:linePitch="360"/>
      <w:headerReference w:type="default" r:id="Rf4aa937756304ca7"/>
      <w:footerReference w:type="default" r:id="R7eba9934bec54791"/>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F7B90" w:rsidP="008B0AA0" w:rsidRDefault="000F7B90" w14:paraId="4B02CC66" w14:textId="77777777">
      <w:pPr>
        <w:spacing w:after="0" w:line="240" w:lineRule="auto"/>
      </w:pPr>
      <w:r>
        <w:separator/>
      </w:r>
    </w:p>
  </w:endnote>
  <w:endnote w:type="continuationSeparator" w:id="0">
    <w:p w:rsidR="000F7B90" w:rsidP="008B0AA0" w:rsidRDefault="000F7B90" w14:paraId="4E0A88C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AD6DA35" w:rsidTr="7AD6DA35" w14:paraId="70015BA8">
      <w:trPr>
        <w:trHeight w:val="300"/>
      </w:trPr>
      <w:tc>
        <w:tcPr>
          <w:tcW w:w="3120" w:type="dxa"/>
          <w:tcMar/>
        </w:tcPr>
        <w:p w:rsidR="7AD6DA35" w:rsidP="7AD6DA35" w:rsidRDefault="7AD6DA35" w14:paraId="190F14E7" w14:textId="5D0F1CEB">
          <w:pPr>
            <w:pStyle w:val="Header"/>
            <w:bidi w:val="0"/>
            <w:ind w:left="-115"/>
            <w:jc w:val="left"/>
          </w:pPr>
        </w:p>
      </w:tc>
      <w:tc>
        <w:tcPr>
          <w:tcW w:w="3120" w:type="dxa"/>
          <w:tcMar/>
        </w:tcPr>
        <w:p w:rsidR="7AD6DA35" w:rsidP="7AD6DA35" w:rsidRDefault="7AD6DA35" w14:paraId="1BBCD16F" w14:textId="1F41E904">
          <w:pPr>
            <w:pStyle w:val="Header"/>
            <w:bidi w:val="0"/>
            <w:jc w:val="center"/>
          </w:pPr>
        </w:p>
      </w:tc>
      <w:tc>
        <w:tcPr>
          <w:tcW w:w="3120" w:type="dxa"/>
          <w:tcMar/>
        </w:tcPr>
        <w:p w:rsidR="7AD6DA35" w:rsidP="7AD6DA35" w:rsidRDefault="7AD6DA35" w14:paraId="6D3BF79F" w14:textId="3B01BB6C">
          <w:pPr>
            <w:pStyle w:val="Header"/>
            <w:bidi w:val="0"/>
            <w:ind w:right="-115"/>
            <w:jc w:val="right"/>
          </w:pPr>
        </w:p>
      </w:tc>
    </w:tr>
  </w:tbl>
  <w:p w:rsidR="7AD6DA35" w:rsidP="7AD6DA35" w:rsidRDefault="7AD6DA35" w14:paraId="0955A4AD" w14:textId="735F5E7B">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F7B90" w:rsidP="008B0AA0" w:rsidRDefault="000F7B90" w14:paraId="12A0006E" w14:textId="77777777">
      <w:pPr>
        <w:spacing w:after="0" w:line="240" w:lineRule="auto"/>
      </w:pPr>
      <w:r>
        <w:separator/>
      </w:r>
    </w:p>
  </w:footnote>
  <w:footnote w:type="continuationSeparator" w:id="0">
    <w:p w:rsidR="000F7B90" w:rsidP="008B0AA0" w:rsidRDefault="000F7B90" w14:paraId="07BF3F7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7AD6DA35" w:rsidTr="7AD6DA35" w14:paraId="5AA08A6C">
      <w:trPr>
        <w:trHeight w:val="300"/>
      </w:trPr>
      <w:tc>
        <w:tcPr>
          <w:tcW w:w="3120" w:type="dxa"/>
          <w:tcMar/>
        </w:tcPr>
        <w:p w:rsidR="7AD6DA35" w:rsidP="7AD6DA35" w:rsidRDefault="7AD6DA35" w14:paraId="72AA6054" w14:textId="02033E4C">
          <w:pPr>
            <w:pStyle w:val="Header"/>
            <w:bidi w:val="0"/>
            <w:ind w:left="-115"/>
            <w:jc w:val="left"/>
          </w:pPr>
        </w:p>
      </w:tc>
      <w:tc>
        <w:tcPr>
          <w:tcW w:w="3120" w:type="dxa"/>
          <w:tcMar/>
        </w:tcPr>
        <w:p w:rsidR="7AD6DA35" w:rsidP="7AD6DA35" w:rsidRDefault="7AD6DA35" w14:paraId="77D705B3" w14:textId="1FB1ABC0">
          <w:pPr>
            <w:pStyle w:val="Header"/>
            <w:bidi w:val="0"/>
            <w:jc w:val="center"/>
          </w:pPr>
          <w:r>
            <w:fldChar w:fldCharType="begin"/>
          </w:r>
          <w:r>
            <w:instrText xml:space="preserve">PAGE</w:instrText>
          </w:r>
          <w:r>
            <w:fldChar w:fldCharType="separate"/>
          </w:r>
          <w:r>
            <w:fldChar w:fldCharType="end"/>
          </w:r>
        </w:p>
      </w:tc>
      <w:tc>
        <w:tcPr>
          <w:tcW w:w="3120" w:type="dxa"/>
          <w:tcMar/>
        </w:tcPr>
        <w:p w:rsidR="7AD6DA35" w:rsidP="7AD6DA35" w:rsidRDefault="7AD6DA35" w14:paraId="111E471D" w14:textId="32CF8525">
          <w:pPr>
            <w:pStyle w:val="Header"/>
            <w:bidi w:val="0"/>
            <w:ind w:right="-115"/>
            <w:jc w:val="right"/>
          </w:pPr>
        </w:p>
      </w:tc>
    </w:tr>
  </w:tbl>
  <w:p w:rsidR="7AD6DA35" w:rsidP="7AD6DA35" w:rsidRDefault="7AD6DA35" w14:paraId="092A1E8B" w14:textId="6F02D980">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d6vvkjI26POa0b" int2:id="0cFETxvI">
      <int2:state int2:type="spell" int2:value="Rejected"/>
    </int2:textHash>
    <int2:textHash int2:hashCode="4nT6gOEEocsZTQ" int2:id="H1L9pGB2">
      <int2:state int2:type="spell" int2:value="Rejected"/>
    </int2:textHash>
    <int2:textHash int2:hashCode="xcgb3EeIup7nN2" int2:id="iunruQkq">
      <int2:state int2:type="spell" int2:value="Rejected"/>
    </int2:textHash>
    <int2:textHash int2:hashCode="/rBDe6vi0fRERP" int2:id="lEpNimNu">
      <int2:state int2:type="spell" int2:value="Rejected"/>
    </int2:textHash>
    <int2:textHash int2:hashCode="Mpd0+InEqXLfxx" int2:id="hl7lyBzy">
      <int2:state int2:type="spell" int2:value="Rejected"/>
    </int2:textHash>
    <int2:textHash int2:hashCode="IknMeE5XC/atct" int2:id="CFr3A15M">
      <int2:state int2:type="spell" int2:value="Rejected"/>
    </int2:textHash>
    <int2:textHash int2:hashCode="ZSb9ZmVZNczx2I" int2:id="FHAkITQL">
      <int2:state int2:type="spell" int2:value="Rejected"/>
    </int2:textHash>
    <int2:textHash int2:hashCode="aG+z44WpgrTp0l" int2:id="gFxwlLco">
      <int2:state int2:type="spell" int2:value="Rejected"/>
    </int2:textHash>
    <int2:textHash int2:hashCode="+pOqN1ZKhZqaJe" int2:id="OwQkAN6o">
      <int2:state int2:type="spell" int2:value="Rejected"/>
    </int2:textHash>
    <int2:textHash int2:hashCode="7OmYag+MLKaTRs" int2:id="5eK3R2MQ">
      <int2:state int2:type="spell" int2:value="Rejected"/>
    </int2:textHash>
    <int2:textHash int2:hashCode="P1t9DnuMzsiEcY" int2:id="psApfwma">
      <int2:state int2:type="spell" int2:value="Rejected"/>
    </int2:textHash>
    <int2:textHash int2:hashCode="zqhYDntAHb/qEo" int2:id="BTDzfCtB">
      <int2:state int2:type="spell" int2:value="Rejected"/>
    </int2:textHash>
    <int2:textHash int2:hashCode="E/MtBS9FBLMCOp" int2:id="Lq56NcDy">
      <int2:state int2:type="spell" int2:value="Rejected"/>
    </int2:textHash>
    <int2:textHash int2:hashCode="WjybSft9cNgwQ+" int2:id="onde8pcp">
      <int2:state int2:type="spell" int2:value="Rejected"/>
    </int2:textHash>
    <int2:textHash int2:hashCode="z4sKLKF6MZ4yZL" int2:id="tFVDFGcI">
      <int2:state int2:type="spell" int2:value="Rejected"/>
    </int2:textHash>
    <int2:textHash int2:hashCode="U81tIsQJix3+JX" int2:id="lF0PfH6i">
      <int2:state int2:type="spell" int2:value="Rejected"/>
    </int2:textHash>
    <int2:textHash int2:hashCode="wtKSqYmrO8qHMS" int2:id="AIuSut03">
      <int2:state int2:type="spell" int2:value="Rejected"/>
    </int2:textHash>
    <int2:textHash int2:hashCode="+ZDxE+UdyhSBFt" int2:id="UxACWSyx">
      <int2:state int2:type="spell" int2:value="Rejected"/>
    </int2:textHash>
    <int2:textHash int2:hashCode="F5meySrj0IR3eS" int2:id="ucXt7X5X">
      <int2:state int2:type="spell" int2:value="Rejected"/>
    </int2:textHash>
    <int2:textHash int2:hashCode="pz2QIEqb0rZQkg" int2:id="cqv6qA93">
      <int2:state int2:type="spell" int2:value="Rejected"/>
    </int2:textHash>
    <int2:textHash int2:hashCode="XSUiEPxXFZ9tOg" int2:id="rRjnh8OH">
      <int2:state int2:type="spell" int2:value="Rejected"/>
    </int2:textHash>
    <int2:textHash int2:hashCode="v3jXqOAVqWKVSe" int2:id="Wc3hjToo">
      <int2:state int2:type="spell" int2:value="Rejected"/>
    </int2:textHash>
    <int2:textHash int2:hashCode="SlYFDncvjWIs3o" int2:id="AfA1luqw">
      <int2:state int2:type="spell" int2:value="Rejected"/>
    </int2:textHash>
    <int2:textHash int2:hashCode="LMG882wHstFZ+B" int2:id="IJ8TsSkd">
      <int2:state int2:type="spell" int2:value="Rejected"/>
    </int2:textHash>
    <int2:textHash int2:hashCode="ni8UUdXdlt6RIo" int2:id="tb1bMtKX">
      <int2:state int2:type="spell" int2:value="Rejected"/>
    </int2:textHash>
    <int2:textHash int2:hashCode="magKhqf9g/2S/4" int2:id="lDat09Le">
      <int2:state int2:type="spell" int2:value="Rejected"/>
    </int2:textHash>
    <int2:textHash int2:hashCode="NwW6/23oa3esvZ" int2:id="TzWzBfvp">
      <int2:state int2:type="spell" int2:value="Rejected"/>
    </int2:textHash>
    <int2:textHash int2:hashCode="yLGa3PbIwIauAZ" int2:id="9iozlV3g">
      <int2:state int2:type="spell" int2:value="Rejected"/>
    </int2:textHash>
    <int2:textHash int2:hashCode="NT12h6See3qwhk" int2:id="Lqn0H64P">
      <int2:state int2:type="spell" int2:value="Rejected"/>
    </int2:textHash>
    <int2:textHash int2:hashCode="xQy+KnIliT8rxm" int2:id="xvzXeKny">
      <int2:state int2:type="spell" int2:value="Rejected"/>
    </int2:textHash>
    <int2:textHash int2:hashCode="jQdQ6fOulHZiua" int2:id="3kzfyGFh">
      <int2:state int2:type="spell" int2:value="Rejected"/>
    </int2:textHash>
    <int2:textHash int2:hashCode="WVy0dcxjLMok7w" int2:id="S7cjpiBH">
      <int2:state int2:type="spell" int2:value="Rejected"/>
    </int2:textHash>
    <int2:textHash int2:hashCode="VFzpwJ5uaRLhUs" int2:id="PyiE3nhw">
      <int2:state int2:type="spell" int2:value="Rejected"/>
    </int2:textHash>
    <int2:textHash int2:hashCode="/EewnMmHErfsTr" int2:id="mDJXz8gN">
      <int2:state int2:type="spell" int2:value="Rejected"/>
    </int2:textHash>
    <int2:textHash int2:hashCode="JuK0+xp3Ux6yF2" int2:id="OVMhslFZ">
      <int2:state int2:type="spell" int2:value="Rejected"/>
    </int2:textHash>
    <int2:textHash int2:hashCode="kByidkXaRxGvMx" int2:id="l4NSNeG1">
      <int2:state int2:type="spell" int2:value="Rejected"/>
    </int2:textHash>
    <int2:textHash int2:hashCode="hN6B5b8f/AaH/i" int2:id="B0QIjixY">
      <int2:state int2:type="spell" int2:value="Rejected"/>
    </int2:textHash>
    <int2:textHash int2:hashCode="kv4UVae7TQCfC0" int2:id="Wa32jb1w">
      <int2:state int2:type="spell" int2:value="Rejected"/>
    </int2:textHash>
    <int2:textHash int2:hashCode="OrtZNwJC/JiGrS" int2:id="ubij0OEX">
      <int2:state int2:type="spell" int2:value="Rejected"/>
    </int2:textHash>
    <int2:textHash int2:hashCode="m/C6mGJeQTWOW1" int2:id="1QNmm9IH">
      <int2:state int2:type="spell" int2:value="Rejected"/>
    </int2:textHash>
    <int2:bookmark int2:bookmarkName="_Int_blEyT4gP" int2:invalidationBookmarkName="" int2:hashCode="CzBb/JkIU2gq1e" int2:id="hzsM2aXD">
      <int2:state int2:type="gram" int2:value="Rejected"/>
    </int2:bookmark>
    <int2:bookmark int2:bookmarkName="_Int_PpDioUGe" int2:invalidationBookmarkName="" int2:hashCode="PIUq4EP/oQtGHV" int2:id="789IA9ul">
      <int2:state int2:type="gram"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4839C"/>
    <w:multiLevelType w:val="hybridMultilevel"/>
    <w:tmpl w:val="F3244CEE"/>
    <w:lvl w:ilvl="0" w:tplc="97F07B26">
      <w:start w:val="1"/>
      <w:numFmt w:val="bullet"/>
      <w:lvlText w:val=""/>
      <w:lvlJc w:val="left"/>
      <w:pPr>
        <w:ind w:left="720" w:hanging="360"/>
      </w:pPr>
      <w:rPr>
        <w:rFonts w:hint="default" w:ascii="Symbol" w:hAnsi="Symbol"/>
      </w:rPr>
    </w:lvl>
    <w:lvl w:ilvl="1" w:tplc="EE76DC3C">
      <w:start w:val="1"/>
      <w:numFmt w:val="bullet"/>
      <w:lvlText w:val="o"/>
      <w:lvlJc w:val="left"/>
      <w:pPr>
        <w:ind w:left="1440" w:hanging="360"/>
      </w:pPr>
      <w:rPr>
        <w:rFonts w:hint="default" w:ascii="Courier New" w:hAnsi="Courier New"/>
      </w:rPr>
    </w:lvl>
    <w:lvl w:ilvl="2" w:tplc="7DE88DEC">
      <w:start w:val="1"/>
      <w:numFmt w:val="bullet"/>
      <w:lvlText w:val=""/>
      <w:lvlJc w:val="left"/>
      <w:pPr>
        <w:ind w:left="2160" w:hanging="360"/>
      </w:pPr>
      <w:rPr>
        <w:rFonts w:hint="default" w:ascii="Wingdings" w:hAnsi="Wingdings"/>
      </w:rPr>
    </w:lvl>
    <w:lvl w:ilvl="3" w:tplc="2D14AD4E">
      <w:start w:val="1"/>
      <w:numFmt w:val="bullet"/>
      <w:lvlText w:val=""/>
      <w:lvlJc w:val="left"/>
      <w:pPr>
        <w:ind w:left="2880" w:hanging="360"/>
      </w:pPr>
      <w:rPr>
        <w:rFonts w:hint="default" w:ascii="Symbol" w:hAnsi="Symbol"/>
      </w:rPr>
    </w:lvl>
    <w:lvl w:ilvl="4" w:tplc="0C94F47E">
      <w:start w:val="1"/>
      <w:numFmt w:val="bullet"/>
      <w:lvlText w:val="o"/>
      <w:lvlJc w:val="left"/>
      <w:pPr>
        <w:ind w:left="3600" w:hanging="360"/>
      </w:pPr>
      <w:rPr>
        <w:rFonts w:hint="default" w:ascii="Courier New" w:hAnsi="Courier New"/>
      </w:rPr>
    </w:lvl>
    <w:lvl w:ilvl="5" w:tplc="219E085E">
      <w:start w:val="1"/>
      <w:numFmt w:val="bullet"/>
      <w:lvlText w:val=""/>
      <w:lvlJc w:val="left"/>
      <w:pPr>
        <w:ind w:left="4320" w:hanging="360"/>
      </w:pPr>
      <w:rPr>
        <w:rFonts w:hint="default" w:ascii="Wingdings" w:hAnsi="Wingdings"/>
      </w:rPr>
    </w:lvl>
    <w:lvl w:ilvl="6" w:tplc="43F2F7CC">
      <w:start w:val="1"/>
      <w:numFmt w:val="bullet"/>
      <w:lvlText w:val=""/>
      <w:lvlJc w:val="left"/>
      <w:pPr>
        <w:ind w:left="5040" w:hanging="360"/>
      </w:pPr>
      <w:rPr>
        <w:rFonts w:hint="default" w:ascii="Symbol" w:hAnsi="Symbol"/>
      </w:rPr>
    </w:lvl>
    <w:lvl w:ilvl="7" w:tplc="106E9C8C">
      <w:start w:val="1"/>
      <w:numFmt w:val="bullet"/>
      <w:lvlText w:val="o"/>
      <w:lvlJc w:val="left"/>
      <w:pPr>
        <w:ind w:left="5760" w:hanging="360"/>
      </w:pPr>
      <w:rPr>
        <w:rFonts w:hint="default" w:ascii="Courier New" w:hAnsi="Courier New"/>
      </w:rPr>
    </w:lvl>
    <w:lvl w:ilvl="8" w:tplc="40BE2834">
      <w:start w:val="1"/>
      <w:numFmt w:val="bullet"/>
      <w:lvlText w:val=""/>
      <w:lvlJc w:val="left"/>
      <w:pPr>
        <w:ind w:left="6480" w:hanging="360"/>
      </w:pPr>
      <w:rPr>
        <w:rFonts w:hint="default" w:ascii="Wingdings" w:hAnsi="Wingdings"/>
      </w:rPr>
    </w:lvl>
  </w:abstractNum>
  <w:abstractNum w:abstractNumId="1" w15:restartNumberingAfterBreak="0">
    <w:nsid w:val="20C2684C"/>
    <w:multiLevelType w:val="hybridMultilevel"/>
    <w:tmpl w:val="0C08D972"/>
    <w:lvl w:ilvl="0" w:tplc="9C061F06">
      <w:start w:val="1"/>
      <w:numFmt w:val="bullet"/>
      <w:lvlText w:val=""/>
      <w:lvlJc w:val="left"/>
      <w:pPr>
        <w:ind w:left="1440" w:hanging="360"/>
      </w:pPr>
      <w:rPr>
        <w:rFonts w:ascii="Symbol" w:hAnsi="Symbol"/>
      </w:rPr>
    </w:lvl>
    <w:lvl w:ilvl="1" w:tplc="87B81EE8">
      <w:start w:val="1"/>
      <w:numFmt w:val="bullet"/>
      <w:lvlText w:val=""/>
      <w:lvlJc w:val="left"/>
      <w:pPr>
        <w:ind w:left="1440" w:hanging="360"/>
      </w:pPr>
      <w:rPr>
        <w:rFonts w:ascii="Symbol" w:hAnsi="Symbol"/>
      </w:rPr>
    </w:lvl>
    <w:lvl w:ilvl="2" w:tplc="1DBC3C88">
      <w:start w:val="1"/>
      <w:numFmt w:val="bullet"/>
      <w:lvlText w:val=""/>
      <w:lvlJc w:val="left"/>
      <w:pPr>
        <w:ind w:left="1440" w:hanging="360"/>
      </w:pPr>
      <w:rPr>
        <w:rFonts w:ascii="Symbol" w:hAnsi="Symbol"/>
      </w:rPr>
    </w:lvl>
    <w:lvl w:ilvl="3" w:tplc="AA32C7AE">
      <w:start w:val="1"/>
      <w:numFmt w:val="bullet"/>
      <w:lvlText w:val=""/>
      <w:lvlJc w:val="left"/>
      <w:pPr>
        <w:ind w:left="1440" w:hanging="360"/>
      </w:pPr>
      <w:rPr>
        <w:rFonts w:ascii="Symbol" w:hAnsi="Symbol"/>
      </w:rPr>
    </w:lvl>
    <w:lvl w:ilvl="4" w:tplc="E8C0ACA6">
      <w:start w:val="1"/>
      <w:numFmt w:val="bullet"/>
      <w:lvlText w:val=""/>
      <w:lvlJc w:val="left"/>
      <w:pPr>
        <w:ind w:left="1440" w:hanging="360"/>
      </w:pPr>
      <w:rPr>
        <w:rFonts w:ascii="Symbol" w:hAnsi="Symbol"/>
      </w:rPr>
    </w:lvl>
    <w:lvl w:ilvl="5" w:tplc="0B1452DA">
      <w:start w:val="1"/>
      <w:numFmt w:val="bullet"/>
      <w:lvlText w:val=""/>
      <w:lvlJc w:val="left"/>
      <w:pPr>
        <w:ind w:left="1440" w:hanging="360"/>
      </w:pPr>
      <w:rPr>
        <w:rFonts w:ascii="Symbol" w:hAnsi="Symbol"/>
      </w:rPr>
    </w:lvl>
    <w:lvl w:ilvl="6" w:tplc="E1400C08">
      <w:start w:val="1"/>
      <w:numFmt w:val="bullet"/>
      <w:lvlText w:val=""/>
      <w:lvlJc w:val="left"/>
      <w:pPr>
        <w:ind w:left="1440" w:hanging="360"/>
      </w:pPr>
      <w:rPr>
        <w:rFonts w:ascii="Symbol" w:hAnsi="Symbol"/>
      </w:rPr>
    </w:lvl>
    <w:lvl w:ilvl="7" w:tplc="D6088B64">
      <w:start w:val="1"/>
      <w:numFmt w:val="bullet"/>
      <w:lvlText w:val=""/>
      <w:lvlJc w:val="left"/>
      <w:pPr>
        <w:ind w:left="1440" w:hanging="360"/>
      </w:pPr>
      <w:rPr>
        <w:rFonts w:ascii="Symbol" w:hAnsi="Symbol"/>
      </w:rPr>
    </w:lvl>
    <w:lvl w:ilvl="8" w:tplc="1DAA5E6E">
      <w:start w:val="1"/>
      <w:numFmt w:val="bullet"/>
      <w:lvlText w:val=""/>
      <w:lvlJc w:val="left"/>
      <w:pPr>
        <w:ind w:left="1440" w:hanging="360"/>
      </w:pPr>
      <w:rPr>
        <w:rFonts w:ascii="Symbol" w:hAnsi="Symbol"/>
      </w:rPr>
    </w:lvl>
  </w:abstractNum>
  <w:abstractNum w:abstractNumId="2" w15:restartNumberingAfterBreak="0">
    <w:nsid w:val="224D242B"/>
    <w:multiLevelType w:val="hybridMultilevel"/>
    <w:tmpl w:val="97A296C2"/>
    <w:lvl w:ilvl="0" w:tplc="F664E790">
      <w:start w:val="1"/>
      <w:numFmt w:val="bullet"/>
      <w:lvlText w:val=""/>
      <w:lvlJc w:val="left"/>
      <w:pPr>
        <w:ind w:left="720" w:hanging="360"/>
      </w:pPr>
      <w:rPr>
        <w:rFonts w:hint="default" w:ascii="Symbol" w:hAnsi="Symbol"/>
      </w:rPr>
    </w:lvl>
    <w:lvl w:ilvl="1" w:tplc="2D323504">
      <w:start w:val="1"/>
      <w:numFmt w:val="bullet"/>
      <w:lvlText w:val="o"/>
      <w:lvlJc w:val="left"/>
      <w:pPr>
        <w:ind w:left="1440" w:hanging="360"/>
      </w:pPr>
      <w:rPr>
        <w:rFonts w:hint="default" w:ascii="Courier New" w:hAnsi="Courier New"/>
      </w:rPr>
    </w:lvl>
    <w:lvl w:ilvl="2" w:tplc="2468F70C">
      <w:start w:val="1"/>
      <w:numFmt w:val="bullet"/>
      <w:lvlText w:val=""/>
      <w:lvlJc w:val="left"/>
      <w:pPr>
        <w:ind w:left="2160" w:hanging="360"/>
      </w:pPr>
      <w:rPr>
        <w:rFonts w:hint="default" w:ascii="Wingdings" w:hAnsi="Wingdings"/>
      </w:rPr>
    </w:lvl>
    <w:lvl w:ilvl="3" w:tplc="5406BEF2">
      <w:start w:val="1"/>
      <w:numFmt w:val="bullet"/>
      <w:lvlText w:val=""/>
      <w:lvlJc w:val="left"/>
      <w:pPr>
        <w:ind w:left="2880" w:hanging="360"/>
      </w:pPr>
      <w:rPr>
        <w:rFonts w:hint="default" w:ascii="Symbol" w:hAnsi="Symbol"/>
      </w:rPr>
    </w:lvl>
    <w:lvl w:ilvl="4" w:tplc="C64E2128">
      <w:start w:val="1"/>
      <w:numFmt w:val="bullet"/>
      <w:lvlText w:val="o"/>
      <w:lvlJc w:val="left"/>
      <w:pPr>
        <w:ind w:left="3600" w:hanging="360"/>
      </w:pPr>
      <w:rPr>
        <w:rFonts w:hint="default" w:ascii="Courier New" w:hAnsi="Courier New"/>
      </w:rPr>
    </w:lvl>
    <w:lvl w:ilvl="5" w:tplc="4370B0F2">
      <w:start w:val="1"/>
      <w:numFmt w:val="bullet"/>
      <w:lvlText w:val=""/>
      <w:lvlJc w:val="left"/>
      <w:pPr>
        <w:ind w:left="4320" w:hanging="360"/>
      </w:pPr>
      <w:rPr>
        <w:rFonts w:hint="default" w:ascii="Wingdings" w:hAnsi="Wingdings"/>
      </w:rPr>
    </w:lvl>
    <w:lvl w:ilvl="6" w:tplc="AE963F58">
      <w:start w:val="1"/>
      <w:numFmt w:val="bullet"/>
      <w:lvlText w:val=""/>
      <w:lvlJc w:val="left"/>
      <w:pPr>
        <w:ind w:left="5040" w:hanging="360"/>
      </w:pPr>
      <w:rPr>
        <w:rFonts w:hint="default" w:ascii="Symbol" w:hAnsi="Symbol"/>
      </w:rPr>
    </w:lvl>
    <w:lvl w:ilvl="7" w:tplc="A3A0B564">
      <w:start w:val="1"/>
      <w:numFmt w:val="bullet"/>
      <w:lvlText w:val="o"/>
      <w:lvlJc w:val="left"/>
      <w:pPr>
        <w:ind w:left="5760" w:hanging="360"/>
      </w:pPr>
      <w:rPr>
        <w:rFonts w:hint="default" w:ascii="Courier New" w:hAnsi="Courier New"/>
      </w:rPr>
    </w:lvl>
    <w:lvl w:ilvl="8" w:tplc="50DA1224">
      <w:start w:val="1"/>
      <w:numFmt w:val="bullet"/>
      <w:lvlText w:val=""/>
      <w:lvlJc w:val="left"/>
      <w:pPr>
        <w:ind w:left="6480" w:hanging="360"/>
      </w:pPr>
      <w:rPr>
        <w:rFonts w:hint="default" w:ascii="Wingdings" w:hAnsi="Wingdings"/>
      </w:rPr>
    </w:lvl>
  </w:abstractNum>
  <w:abstractNum w:abstractNumId="3" w15:restartNumberingAfterBreak="0">
    <w:nsid w:val="234459F6"/>
    <w:multiLevelType w:val="hybridMultilevel"/>
    <w:tmpl w:val="2FAA01FC"/>
    <w:lvl w:ilvl="0" w:tplc="7C4CF9FE">
      <w:start w:val="1"/>
      <w:numFmt w:val="bullet"/>
      <w:lvlText w:val=""/>
      <w:lvlJc w:val="left"/>
      <w:pPr>
        <w:ind w:left="720" w:hanging="360"/>
      </w:pPr>
      <w:rPr>
        <w:rFonts w:hint="default" w:ascii="Symbol" w:hAnsi="Symbol"/>
      </w:rPr>
    </w:lvl>
    <w:lvl w:ilvl="1" w:tplc="399A4486">
      <w:start w:val="1"/>
      <w:numFmt w:val="bullet"/>
      <w:lvlText w:val="o"/>
      <w:lvlJc w:val="left"/>
      <w:pPr>
        <w:ind w:left="1440" w:hanging="360"/>
      </w:pPr>
      <w:rPr>
        <w:rFonts w:hint="default" w:ascii="Courier New" w:hAnsi="Courier New"/>
      </w:rPr>
    </w:lvl>
    <w:lvl w:ilvl="2" w:tplc="136EDBF4">
      <w:start w:val="1"/>
      <w:numFmt w:val="bullet"/>
      <w:lvlText w:val=""/>
      <w:lvlJc w:val="left"/>
      <w:pPr>
        <w:ind w:left="2160" w:hanging="360"/>
      </w:pPr>
      <w:rPr>
        <w:rFonts w:hint="default" w:ascii="Wingdings" w:hAnsi="Wingdings"/>
      </w:rPr>
    </w:lvl>
    <w:lvl w:ilvl="3" w:tplc="9CE44990">
      <w:start w:val="1"/>
      <w:numFmt w:val="bullet"/>
      <w:lvlText w:val=""/>
      <w:lvlJc w:val="left"/>
      <w:pPr>
        <w:ind w:left="2880" w:hanging="360"/>
      </w:pPr>
      <w:rPr>
        <w:rFonts w:hint="default" w:ascii="Symbol" w:hAnsi="Symbol"/>
      </w:rPr>
    </w:lvl>
    <w:lvl w:ilvl="4" w:tplc="9AF06942">
      <w:start w:val="1"/>
      <w:numFmt w:val="bullet"/>
      <w:lvlText w:val="o"/>
      <w:lvlJc w:val="left"/>
      <w:pPr>
        <w:ind w:left="3600" w:hanging="360"/>
      </w:pPr>
      <w:rPr>
        <w:rFonts w:hint="default" w:ascii="Courier New" w:hAnsi="Courier New"/>
      </w:rPr>
    </w:lvl>
    <w:lvl w:ilvl="5" w:tplc="825EB63A">
      <w:start w:val="1"/>
      <w:numFmt w:val="bullet"/>
      <w:lvlText w:val=""/>
      <w:lvlJc w:val="left"/>
      <w:pPr>
        <w:ind w:left="4320" w:hanging="360"/>
      </w:pPr>
      <w:rPr>
        <w:rFonts w:hint="default" w:ascii="Wingdings" w:hAnsi="Wingdings"/>
      </w:rPr>
    </w:lvl>
    <w:lvl w:ilvl="6" w:tplc="71681962">
      <w:start w:val="1"/>
      <w:numFmt w:val="bullet"/>
      <w:lvlText w:val=""/>
      <w:lvlJc w:val="left"/>
      <w:pPr>
        <w:ind w:left="5040" w:hanging="360"/>
      </w:pPr>
      <w:rPr>
        <w:rFonts w:hint="default" w:ascii="Symbol" w:hAnsi="Symbol"/>
      </w:rPr>
    </w:lvl>
    <w:lvl w:ilvl="7" w:tplc="3BBC2472">
      <w:start w:val="1"/>
      <w:numFmt w:val="bullet"/>
      <w:lvlText w:val="o"/>
      <w:lvlJc w:val="left"/>
      <w:pPr>
        <w:ind w:left="5760" w:hanging="360"/>
      </w:pPr>
      <w:rPr>
        <w:rFonts w:hint="default" w:ascii="Courier New" w:hAnsi="Courier New"/>
      </w:rPr>
    </w:lvl>
    <w:lvl w:ilvl="8" w:tplc="A7365274">
      <w:start w:val="1"/>
      <w:numFmt w:val="bullet"/>
      <w:lvlText w:val=""/>
      <w:lvlJc w:val="left"/>
      <w:pPr>
        <w:ind w:left="6480" w:hanging="360"/>
      </w:pPr>
      <w:rPr>
        <w:rFonts w:hint="default" w:ascii="Wingdings" w:hAnsi="Wingdings"/>
      </w:rPr>
    </w:lvl>
  </w:abstractNum>
  <w:abstractNum w:abstractNumId="4" w15:restartNumberingAfterBreak="0">
    <w:nsid w:val="2D776ABE"/>
    <w:multiLevelType w:val="hybridMultilevel"/>
    <w:tmpl w:val="DECA9F04"/>
    <w:lvl w:ilvl="0" w:tplc="E84A12EE">
      <w:start w:val="1"/>
      <w:numFmt w:val="bullet"/>
      <w:lvlText w:val=""/>
      <w:lvlJc w:val="left"/>
      <w:pPr>
        <w:ind w:left="720" w:hanging="360"/>
      </w:pPr>
      <w:rPr>
        <w:rFonts w:hint="default" w:ascii="Symbol" w:hAnsi="Symbol"/>
      </w:rPr>
    </w:lvl>
    <w:lvl w:ilvl="1" w:tplc="8D9E8A1A">
      <w:start w:val="1"/>
      <w:numFmt w:val="bullet"/>
      <w:lvlText w:val="o"/>
      <w:lvlJc w:val="left"/>
      <w:pPr>
        <w:ind w:left="1440" w:hanging="360"/>
      </w:pPr>
      <w:rPr>
        <w:rFonts w:hint="default" w:ascii="Courier New" w:hAnsi="Courier New"/>
      </w:rPr>
    </w:lvl>
    <w:lvl w:ilvl="2" w:tplc="926A6314">
      <w:start w:val="1"/>
      <w:numFmt w:val="bullet"/>
      <w:lvlText w:val=""/>
      <w:lvlJc w:val="left"/>
      <w:pPr>
        <w:ind w:left="2160" w:hanging="360"/>
      </w:pPr>
      <w:rPr>
        <w:rFonts w:hint="default" w:ascii="Wingdings" w:hAnsi="Wingdings"/>
      </w:rPr>
    </w:lvl>
    <w:lvl w:ilvl="3" w:tplc="735C1182">
      <w:start w:val="1"/>
      <w:numFmt w:val="bullet"/>
      <w:lvlText w:val=""/>
      <w:lvlJc w:val="left"/>
      <w:pPr>
        <w:ind w:left="2880" w:hanging="360"/>
      </w:pPr>
      <w:rPr>
        <w:rFonts w:hint="default" w:ascii="Symbol" w:hAnsi="Symbol"/>
      </w:rPr>
    </w:lvl>
    <w:lvl w:ilvl="4" w:tplc="1C3465FA">
      <w:start w:val="1"/>
      <w:numFmt w:val="bullet"/>
      <w:lvlText w:val="o"/>
      <w:lvlJc w:val="left"/>
      <w:pPr>
        <w:ind w:left="3600" w:hanging="360"/>
      </w:pPr>
      <w:rPr>
        <w:rFonts w:hint="default" w:ascii="Courier New" w:hAnsi="Courier New"/>
      </w:rPr>
    </w:lvl>
    <w:lvl w:ilvl="5" w:tplc="B9D25748">
      <w:start w:val="1"/>
      <w:numFmt w:val="bullet"/>
      <w:lvlText w:val=""/>
      <w:lvlJc w:val="left"/>
      <w:pPr>
        <w:ind w:left="4320" w:hanging="360"/>
      </w:pPr>
      <w:rPr>
        <w:rFonts w:hint="default" w:ascii="Wingdings" w:hAnsi="Wingdings"/>
      </w:rPr>
    </w:lvl>
    <w:lvl w:ilvl="6" w:tplc="CB0AD480">
      <w:start w:val="1"/>
      <w:numFmt w:val="bullet"/>
      <w:lvlText w:val=""/>
      <w:lvlJc w:val="left"/>
      <w:pPr>
        <w:ind w:left="5040" w:hanging="360"/>
      </w:pPr>
      <w:rPr>
        <w:rFonts w:hint="default" w:ascii="Symbol" w:hAnsi="Symbol"/>
      </w:rPr>
    </w:lvl>
    <w:lvl w:ilvl="7" w:tplc="DD4A11AC">
      <w:start w:val="1"/>
      <w:numFmt w:val="bullet"/>
      <w:lvlText w:val="o"/>
      <w:lvlJc w:val="left"/>
      <w:pPr>
        <w:ind w:left="5760" w:hanging="360"/>
      </w:pPr>
      <w:rPr>
        <w:rFonts w:hint="default" w:ascii="Courier New" w:hAnsi="Courier New"/>
      </w:rPr>
    </w:lvl>
    <w:lvl w:ilvl="8" w:tplc="458A273C">
      <w:start w:val="1"/>
      <w:numFmt w:val="bullet"/>
      <w:lvlText w:val=""/>
      <w:lvlJc w:val="left"/>
      <w:pPr>
        <w:ind w:left="6480" w:hanging="360"/>
      </w:pPr>
      <w:rPr>
        <w:rFonts w:hint="default" w:ascii="Wingdings" w:hAnsi="Wingdings"/>
      </w:rPr>
    </w:lvl>
  </w:abstractNum>
  <w:abstractNum w:abstractNumId="5" w15:restartNumberingAfterBreak="0">
    <w:nsid w:val="3E5EEC2D"/>
    <w:multiLevelType w:val="hybridMultilevel"/>
    <w:tmpl w:val="481821F0"/>
    <w:lvl w:ilvl="0" w:tplc="7E70FA9E">
      <w:start w:val="1"/>
      <w:numFmt w:val="bullet"/>
      <w:lvlText w:val=""/>
      <w:lvlJc w:val="left"/>
      <w:pPr>
        <w:ind w:left="720" w:hanging="360"/>
      </w:pPr>
      <w:rPr>
        <w:rFonts w:hint="default" w:ascii="Symbol" w:hAnsi="Symbol"/>
      </w:rPr>
    </w:lvl>
    <w:lvl w:ilvl="1" w:tplc="0876D79E">
      <w:start w:val="1"/>
      <w:numFmt w:val="bullet"/>
      <w:lvlText w:val="o"/>
      <w:lvlJc w:val="left"/>
      <w:pPr>
        <w:ind w:left="1440" w:hanging="360"/>
      </w:pPr>
      <w:rPr>
        <w:rFonts w:hint="default" w:ascii="Courier New" w:hAnsi="Courier New"/>
      </w:rPr>
    </w:lvl>
    <w:lvl w:ilvl="2" w:tplc="5712D728">
      <w:start w:val="1"/>
      <w:numFmt w:val="bullet"/>
      <w:lvlText w:val=""/>
      <w:lvlJc w:val="left"/>
      <w:pPr>
        <w:ind w:left="2160" w:hanging="360"/>
      </w:pPr>
      <w:rPr>
        <w:rFonts w:hint="default" w:ascii="Wingdings" w:hAnsi="Wingdings"/>
      </w:rPr>
    </w:lvl>
    <w:lvl w:ilvl="3" w:tplc="D5F0EA78">
      <w:start w:val="1"/>
      <w:numFmt w:val="bullet"/>
      <w:lvlText w:val=""/>
      <w:lvlJc w:val="left"/>
      <w:pPr>
        <w:ind w:left="2880" w:hanging="360"/>
      </w:pPr>
      <w:rPr>
        <w:rFonts w:hint="default" w:ascii="Symbol" w:hAnsi="Symbol"/>
      </w:rPr>
    </w:lvl>
    <w:lvl w:ilvl="4" w:tplc="867EFE02">
      <w:start w:val="1"/>
      <w:numFmt w:val="bullet"/>
      <w:lvlText w:val="o"/>
      <w:lvlJc w:val="left"/>
      <w:pPr>
        <w:ind w:left="3600" w:hanging="360"/>
      </w:pPr>
      <w:rPr>
        <w:rFonts w:hint="default" w:ascii="Courier New" w:hAnsi="Courier New"/>
      </w:rPr>
    </w:lvl>
    <w:lvl w:ilvl="5" w:tplc="4F3CFEE6">
      <w:start w:val="1"/>
      <w:numFmt w:val="bullet"/>
      <w:lvlText w:val=""/>
      <w:lvlJc w:val="left"/>
      <w:pPr>
        <w:ind w:left="4320" w:hanging="360"/>
      </w:pPr>
      <w:rPr>
        <w:rFonts w:hint="default" w:ascii="Wingdings" w:hAnsi="Wingdings"/>
      </w:rPr>
    </w:lvl>
    <w:lvl w:ilvl="6" w:tplc="7428A2A0">
      <w:start w:val="1"/>
      <w:numFmt w:val="bullet"/>
      <w:lvlText w:val=""/>
      <w:lvlJc w:val="left"/>
      <w:pPr>
        <w:ind w:left="5040" w:hanging="360"/>
      </w:pPr>
      <w:rPr>
        <w:rFonts w:hint="default" w:ascii="Symbol" w:hAnsi="Symbol"/>
      </w:rPr>
    </w:lvl>
    <w:lvl w:ilvl="7" w:tplc="4F7E2354">
      <w:start w:val="1"/>
      <w:numFmt w:val="bullet"/>
      <w:lvlText w:val="o"/>
      <w:lvlJc w:val="left"/>
      <w:pPr>
        <w:ind w:left="5760" w:hanging="360"/>
      </w:pPr>
      <w:rPr>
        <w:rFonts w:hint="default" w:ascii="Courier New" w:hAnsi="Courier New"/>
      </w:rPr>
    </w:lvl>
    <w:lvl w:ilvl="8" w:tplc="AF9CA8AC">
      <w:start w:val="1"/>
      <w:numFmt w:val="bullet"/>
      <w:lvlText w:val=""/>
      <w:lvlJc w:val="left"/>
      <w:pPr>
        <w:ind w:left="6480" w:hanging="360"/>
      </w:pPr>
      <w:rPr>
        <w:rFonts w:hint="default" w:ascii="Wingdings" w:hAnsi="Wingdings"/>
      </w:rPr>
    </w:lvl>
  </w:abstractNum>
  <w:abstractNum w:abstractNumId="6" w15:restartNumberingAfterBreak="0">
    <w:nsid w:val="3EF1B8F6"/>
    <w:multiLevelType w:val="hybridMultilevel"/>
    <w:tmpl w:val="56D6A48C"/>
    <w:lvl w:ilvl="0" w:tplc="40EC2370">
      <w:start w:val="1"/>
      <w:numFmt w:val="bullet"/>
      <w:lvlText w:val=""/>
      <w:lvlJc w:val="left"/>
      <w:pPr>
        <w:ind w:left="720" w:hanging="360"/>
      </w:pPr>
      <w:rPr>
        <w:rFonts w:hint="default" w:ascii="Symbol" w:hAnsi="Symbol"/>
      </w:rPr>
    </w:lvl>
    <w:lvl w:ilvl="1" w:tplc="FF006CBE">
      <w:start w:val="1"/>
      <w:numFmt w:val="bullet"/>
      <w:lvlText w:val="o"/>
      <w:lvlJc w:val="left"/>
      <w:pPr>
        <w:ind w:left="1440" w:hanging="360"/>
      </w:pPr>
      <w:rPr>
        <w:rFonts w:hint="default" w:ascii="Courier New" w:hAnsi="Courier New"/>
      </w:rPr>
    </w:lvl>
    <w:lvl w:ilvl="2" w:tplc="4A365542">
      <w:start w:val="1"/>
      <w:numFmt w:val="bullet"/>
      <w:lvlText w:val=""/>
      <w:lvlJc w:val="left"/>
      <w:pPr>
        <w:ind w:left="2160" w:hanging="360"/>
      </w:pPr>
      <w:rPr>
        <w:rFonts w:hint="default" w:ascii="Wingdings" w:hAnsi="Wingdings"/>
      </w:rPr>
    </w:lvl>
    <w:lvl w:ilvl="3" w:tplc="2F32F9BC">
      <w:start w:val="1"/>
      <w:numFmt w:val="bullet"/>
      <w:lvlText w:val=""/>
      <w:lvlJc w:val="left"/>
      <w:pPr>
        <w:ind w:left="2880" w:hanging="360"/>
      </w:pPr>
      <w:rPr>
        <w:rFonts w:hint="default" w:ascii="Symbol" w:hAnsi="Symbol"/>
      </w:rPr>
    </w:lvl>
    <w:lvl w:ilvl="4" w:tplc="2CC29BDE">
      <w:start w:val="1"/>
      <w:numFmt w:val="bullet"/>
      <w:lvlText w:val="o"/>
      <w:lvlJc w:val="left"/>
      <w:pPr>
        <w:ind w:left="3600" w:hanging="360"/>
      </w:pPr>
      <w:rPr>
        <w:rFonts w:hint="default" w:ascii="Courier New" w:hAnsi="Courier New"/>
      </w:rPr>
    </w:lvl>
    <w:lvl w:ilvl="5" w:tplc="10B08A32">
      <w:start w:val="1"/>
      <w:numFmt w:val="bullet"/>
      <w:lvlText w:val=""/>
      <w:lvlJc w:val="left"/>
      <w:pPr>
        <w:ind w:left="4320" w:hanging="360"/>
      </w:pPr>
      <w:rPr>
        <w:rFonts w:hint="default" w:ascii="Wingdings" w:hAnsi="Wingdings"/>
      </w:rPr>
    </w:lvl>
    <w:lvl w:ilvl="6" w:tplc="40AA4168">
      <w:start w:val="1"/>
      <w:numFmt w:val="bullet"/>
      <w:lvlText w:val=""/>
      <w:lvlJc w:val="left"/>
      <w:pPr>
        <w:ind w:left="5040" w:hanging="360"/>
      </w:pPr>
      <w:rPr>
        <w:rFonts w:hint="default" w:ascii="Symbol" w:hAnsi="Symbol"/>
      </w:rPr>
    </w:lvl>
    <w:lvl w:ilvl="7" w:tplc="A808AAC8">
      <w:start w:val="1"/>
      <w:numFmt w:val="bullet"/>
      <w:lvlText w:val="o"/>
      <w:lvlJc w:val="left"/>
      <w:pPr>
        <w:ind w:left="5760" w:hanging="360"/>
      </w:pPr>
      <w:rPr>
        <w:rFonts w:hint="default" w:ascii="Courier New" w:hAnsi="Courier New"/>
      </w:rPr>
    </w:lvl>
    <w:lvl w:ilvl="8" w:tplc="4E3258F0">
      <w:start w:val="1"/>
      <w:numFmt w:val="bullet"/>
      <w:lvlText w:val=""/>
      <w:lvlJc w:val="left"/>
      <w:pPr>
        <w:ind w:left="6480" w:hanging="360"/>
      </w:pPr>
      <w:rPr>
        <w:rFonts w:hint="default" w:ascii="Wingdings" w:hAnsi="Wingdings"/>
      </w:rPr>
    </w:lvl>
  </w:abstractNum>
  <w:abstractNum w:abstractNumId="7" w15:restartNumberingAfterBreak="0">
    <w:nsid w:val="3F9D8D41"/>
    <w:multiLevelType w:val="hybridMultilevel"/>
    <w:tmpl w:val="ED8A65C0"/>
    <w:lvl w:ilvl="0" w:tplc="F17481A6">
      <w:start w:val="1"/>
      <w:numFmt w:val="decimal"/>
      <w:lvlText w:val="%1."/>
      <w:lvlJc w:val="left"/>
      <w:pPr>
        <w:ind w:left="720" w:hanging="360"/>
      </w:pPr>
    </w:lvl>
    <w:lvl w:ilvl="1" w:tplc="1F14866E">
      <w:start w:val="1"/>
      <w:numFmt w:val="lowerLetter"/>
      <w:lvlText w:val="%2."/>
      <w:lvlJc w:val="left"/>
      <w:pPr>
        <w:ind w:left="1440" w:hanging="360"/>
      </w:pPr>
    </w:lvl>
    <w:lvl w:ilvl="2" w:tplc="D1CC1FAC">
      <w:start w:val="1"/>
      <w:numFmt w:val="lowerRoman"/>
      <w:lvlText w:val="%3."/>
      <w:lvlJc w:val="right"/>
      <w:pPr>
        <w:ind w:left="2160" w:hanging="180"/>
      </w:pPr>
    </w:lvl>
    <w:lvl w:ilvl="3" w:tplc="606EC0EA">
      <w:start w:val="1"/>
      <w:numFmt w:val="decimal"/>
      <w:lvlText w:val="%4."/>
      <w:lvlJc w:val="left"/>
      <w:pPr>
        <w:ind w:left="2880" w:hanging="360"/>
      </w:pPr>
    </w:lvl>
    <w:lvl w:ilvl="4" w:tplc="783AC428">
      <w:start w:val="1"/>
      <w:numFmt w:val="lowerLetter"/>
      <w:lvlText w:val="%5."/>
      <w:lvlJc w:val="left"/>
      <w:pPr>
        <w:ind w:left="3600" w:hanging="360"/>
      </w:pPr>
    </w:lvl>
    <w:lvl w:ilvl="5" w:tplc="BEEAC0CE">
      <w:start w:val="1"/>
      <w:numFmt w:val="lowerRoman"/>
      <w:lvlText w:val="%6."/>
      <w:lvlJc w:val="right"/>
      <w:pPr>
        <w:ind w:left="4320" w:hanging="180"/>
      </w:pPr>
    </w:lvl>
    <w:lvl w:ilvl="6" w:tplc="510EF06E">
      <w:start w:val="1"/>
      <w:numFmt w:val="decimal"/>
      <w:lvlText w:val="%7."/>
      <w:lvlJc w:val="left"/>
      <w:pPr>
        <w:ind w:left="5040" w:hanging="360"/>
      </w:pPr>
    </w:lvl>
    <w:lvl w:ilvl="7" w:tplc="6C2655D6">
      <w:start w:val="1"/>
      <w:numFmt w:val="lowerLetter"/>
      <w:lvlText w:val="%8."/>
      <w:lvlJc w:val="left"/>
      <w:pPr>
        <w:ind w:left="5760" w:hanging="360"/>
      </w:pPr>
    </w:lvl>
    <w:lvl w:ilvl="8" w:tplc="50F2A6C0">
      <w:start w:val="1"/>
      <w:numFmt w:val="lowerRoman"/>
      <w:lvlText w:val="%9."/>
      <w:lvlJc w:val="right"/>
      <w:pPr>
        <w:ind w:left="6480" w:hanging="180"/>
      </w:pPr>
    </w:lvl>
  </w:abstractNum>
  <w:abstractNum w:abstractNumId="8" w15:restartNumberingAfterBreak="0">
    <w:nsid w:val="4569DA1F"/>
    <w:multiLevelType w:val="hybridMultilevel"/>
    <w:tmpl w:val="0EBCB9DC"/>
    <w:lvl w:ilvl="0" w:tplc="ACC69E64">
      <w:start w:val="1"/>
      <w:numFmt w:val="bullet"/>
      <w:lvlText w:val=""/>
      <w:lvlJc w:val="left"/>
      <w:pPr>
        <w:ind w:left="720" w:hanging="360"/>
      </w:pPr>
      <w:rPr>
        <w:rFonts w:hint="default" w:ascii="Symbol" w:hAnsi="Symbol"/>
      </w:rPr>
    </w:lvl>
    <w:lvl w:ilvl="1" w:tplc="03645954">
      <w:start w:val="1"/>
      <w:numFmt w:val="bullet"/>
      <w:lvlText w:val="o"/>
      <w:lvlJc w:val="left"/>
      <w:pPr>
        <w:ind w:left="1440" w:hanging="360"/>
      </w:pPr>
      <w:rPr>
        <w:rFonts w:hint="default" w:ascii="Courier New" w:hAnsi="Courier New"/>
      </w:rPr>
    </w:lvl>
    <w:lvl w:ilvl="2" w:tplc="70805C8C">
      <w:start w:val="1"/>
      <w:numFmt w:val="bullet"/>
      <w:lvlText w:val=""/>
      <w:lvlJc w:val="left"/>
      <w:pPr>
        <w:ind w:left="2160" w:hanging="360"/>
      </w:pPr>
      <w:rPr>
        <w:rFonts w:hint="default" w:ascii="Wingdings" w:hAnsi="Wingdings"/>
      </w:rPr>
    </w:lvl>
    <w:lvl w:ilvl="3" w:tplc="DCFA0104">
      <w:start w:val="1"/>
      <w:numFmt w:val="bullet"/>
      <w:lvlText w:val=""/>
      <w:lvlJc w:val="left"/>
      <w:pPr>
        <w:ind w:left="2880" w:hanging="360"/>
      </w:pPr>
      <w:rPr>
        <w:rFonts w:hint="default" w:ascii="Symbol" w:hAnsi="Symbol"/>
      </w:rPr>
    </w:lvl>
    <w:lvl w:ilvl="4" w:tplc="5044D87E">
      <w:start w:val="1"/>
      <w:numFmt w:val="bullet"/>
      <w:lvlText w:val="o"/>
      <w:lvlJc w:val="left"/>
      <w:pPr>
        <w:ind w:left="3600" w:hanging="360"/>
      </w:pPr>
      <w:rPr>
        <w:rFonts w:hint="default" w:ascii="Courier New" w:hAnsi="Courier New"/>
      </w:rPr>
    </w:lvl>
    <w:lvl w:ilvl="5" w:tplc="FA8EC5A2">
      <w:start w:val="1"/>
      <w:numFmt w:val="bullet"/>
      <w:lvlText w:val=""/>
      <w:lvlJc w:val="left"/>
      <w:pPr>
        <w:ind w:left="4320" w:hanging="360"/>
      </w:pPr>
      <w:rPr>
        <w:rFonts w:hint="default" w:ascii="Wingdings" w:hAnsi="Wingdings"/>
      </w:rPr>
    </w:lvl>
    <w:lvl w:ilvl="6" w:tplc="5F00EDEC">
      <w:start w:val="1"/>
      <w:numFmt w:val="bullet"/>
      <w:lvlText w:val=""/>
      <w:lvlJc w:val="left"/>
      <w:pPr>
        <w:ind w:left="5040" w:hanging="360"/>
      </w:pPr>
      <w:rPr>
        <w:rFonts w:hint="default" w:ascii="Symbol" w:hAnsi="Symbol"/>
      </w:rPr>
    </w:lvl>
    <w:lvl w:ilvl="7" w:tplc="2F30A8A8">
      <w:start w:val="1"/>
      <w:numFmt w:val="bullet"/>
      <w:lvlText w:val="o"/>
      <w:lvlJc w:val="left"/>
      <w:pPr>
        <w:ind w:left="5760" w:hanging="360"/>
      </w:pPr>
      <w:rPr>
        <w:rFonts w:hint="default" w:ascii="Courier New" w:hAnsi="Courier New"/>
      </w:rPr>
    </w:lvl>
    <w:lvl w:ilvl="8" w:tplc="ABDCC840">
      <w:start w:val="1"/>
      <w:numFmt w:val="bullet"/>
      <w:lvlText w:val=""/>
      <w:lvlJc w:val="left"/>
      <w:pPr>
        <w:ind w:left="6480" w:hanging="360"/>
      </w:pPr>
      <w:rPr>
        <w:rFonts w:hint="default" w:ascii="Wingdings" w:hAnsi="Wingdings"/>
      </w:rPr>
    </w:lvl>
  </w:abstractNum>
  <w:abstractNum w:abstractNumId="9" w15:restartNumberingAfterBreak="0">
    <w:nsid w:val="491A88A9"/>
    <w:multiLevelType w:val="hybridMultilevel"/>
    <w:tmpl w:val="74348474"/>
    <w:lvl w:ilvl="0" w:tplc="F4085722">
      <w:start w:val="1"/>
      <w:numFmt w:val="bullet"/>
      <w:lvlText w:val=""/>
      <w:lvlJc w:val="left"/>
      <w:pPr>
        <w:ind w:left="720" w:hanging="360"/>
      </w:pPr>
      <w:rPr>
        <w:rFonts w:hint="default" w:ascii="Symbol" w:hAnsi="Symbol"/>
      </w:rPr>
    </w:lvl>
    <w:lvl w:ilvl="1" w:tplc="2A7AD604">
      <w:start w:val="1"/>
      <w:numFmt w:val="bullet"/>
      <w:lvlText w:val="o"/>
      <w:lvlJc w:val="left"/>
      <w:pPr>
        <w:ind w:left="1440" w:hanging="360"/>
      </w:pPr>
      <w:rPr>
        <w:rFonts w:hint="default" w:ascii="Courier New" w:hAnsi="Courier New"/>
      </w:rPr>
    </w:lvl>
    <w:lvl w:ilvl="2" w:tplc="E72871CE">
      <w:start w:val="1"/>
      <w:numFmt w:val="bullet"/>
      <w:lvlText w:val=""/>
      <w:lvlJc w:val="left"/>
      <w:pPr>
        <w:ind w:left="2160" w:hanging="360"/>
      </w:pPr>
      <w:rPr>
        <w:rFonts w:hint="default" w:ascii="Wingdings" w:hAnsi="Wingdings"/>
      </w:rPr>
    </w:lvl>
    <w:lvl w:ilvl="3" w:tplc="4E00A730">
      <w:start w:val="1"/>
      <w:numFmt w:val="bullet"/>
      <w:lvlText w:val=""/>
      <w:lvlJc w:val="left"/>
      <w:pPr>
        <w:ind w:left="2880" w:hanging="360"/>
      </w:pPr>
      <w:rPr>
        <w:rFonts w:hint="default" w:ascii="Symbol" w:hAnsi="Symbol"/>
      </w:rPr>
    </w:lvl>
    <w:lvl w:ilvl="4" w:tplc="9058E68C">
      <w:start w:val="1"/>
      <w:numFmt w:val="bullet"/>
      <w:lvlText w:val="o"/>
      <w:lvlJc w:val="left"/>
      <w:pPr>
        <w:ind w:left="3600" w:hanging="360"/>
      </w:pPr>
      <w:rPr>
        <w:rFonts w:hint="default" w:ascii="Courier New" w:hAnsi="Courier New"/>
      </w:rPr>
    </w:lvl>
    <w:lvl w:ilvl="5" w:tplc="4A90C328">
      <w:start w:val="1"/>
      <w:numFmt w:val="bullet"/>
      <w:lvlText w:val=""/>
      <w:lvlJc w:val="left"/>
      <w:pPr>
        <w:ind w:left="4320" w:hanging="360"/>
      </w:pPr>
      <w:rPr>
        <w:rFonts w:hint="default" w:ascii="Wingdings" w:hAnsi="Wingdings"/>
      </w:rPr>
    </w:lvl>
    <w:lvl w:ilvl="6" w:tplc="5B82F588">
      <w:start w:val="1"/>
      <w:numFmt w:val="bullet"/>
      <w:lvlText w:val=""/>
      <w:lvlJc w:val="left"/>
      <w:pPr>
        <w:ind w:left="5040" w:hanging="360"/>
      </w:pPr>
      <w:rPr>
        <w:rFonts w:hint="default" w:ascii="Symbol" w:hAnsi="Symbol"/>
      </w:rPr>
    </w:lvl>
    <w:lvl w:ilvl="7" w:tplc="1C10F7E2">
      <w:start w:val="1"/>
      <w:numFmt w:val="bullet"/>
      <w:lvlText w:val="o"/>
      <w:lvlJc w:val="left"/>
      <w:pPr>
        <w:ind w:left="5760" w:hanging="360"/>
      </w:pPr>
      <w:rPr>
        <w:rFonts w:hint="default" w:ascii="Courier New" w:hAnsi="Courier New"/>
      </w:rPr>
    </w:lvl>
    <w:lvl w:ilvl="8" w:tplc="2572E796">
      <w:start w:val="1"/>
      <w:numFmt w:val="bullet"/>
      <w:lvlText w:val=""/>
      <w:lvlJc w:val="left"/>
      <w:pPr>
        <w:ind w:left="6480" w:hanging="360"/>
      </w:pPr>
      <w:rPr>
        <w:rFonts w:hint="default" w:ascii="Wingdings" w:hAnsi="Wingdings"/>
      </w:rPr>
    </w:lvl>
  </w:abstractNum>
  <w:abstractNum w:abstractNumId="10" w15:restartNumberingAfterBreak="0">
    <w:nsid w:val="501FC0DF"/>
    <w:multiLevelType w:val="hybridMultilevel"/>
    <w:tmpl w:val="E17851BC"/>
    <w:lvl w:ilvl="0" w:tplc="271222DA">
      <w:start w:val="1"/>
      <w:numFmt w:val="bullet"/>
      <w:lvlText w:val=""/>
      <w:lvlJc w:val="left"/>
      <w:pPr>
        <w:ind w:left="720" w:hanging="360"/>
      </w:pPr>
      <w:rPr>
        <w:rFonts w:hint="default" w:ascii="Symbol" w:hAnsi="Symbol"/>
      </w:rPr>
    </w:lvl>
    <w:lvl w:ilvl="1" w:tplc="6D40BAD4">
      <w:start w:val="1"/>
      <w:numFmt w:val="bullet"/>
      <w:lvlText w:val="o"/>
      <w:lvlJc w:val="left"/>
      <w:pPr>
        <w:ind w:left="1440" w:hanging="360"/>
      </w:pPr>
      <w:rPr>
        <w:rFonts w:hint="default" w:ascii="Courier New" w:hAnsi="Courier New"/>
      </w:rPr>
    </w:lvl>
    <w:lvl w:ilvl="2" w:tplc="D5DE5B64">
      <w:start w:val="1"/>
      <w:numFmt w:val="bullet"/>
      <w:lvlText w:val=""/>
      <w:lvlJc w:val="left"/>
      <w:pPr>
        <w:ind w:left="2160" w:hanging="360"/>
      </w:pPr>
      <w:rPr>
        <w:rFonts w:hint="default" w:ascii="Wingdings" w:hAnsi="Wingdings"/>
      </w:rPr>
    </w:lvl>
    <w:lvl w:ilvl="3" w:tplc="A3183DD0">
      <w:start w:val="1"/>
      <w:numFmt w:val="bullet"/>
      <w:lvlText w:val=""/>
      <w:lvlJc w:val="left"/>
      <w:pPr>
        <w:ind w:left="2880" w:hanging="360"/>
      </w:pPr>
      <w:rPr>
        <w:rFonts w:hint="default" w:ascii="Symbol" w:hAnsi="Symbol"/>
      </w:rPr>
    </w:lvl>
    <w:lvl w:ilvl="4" w:tplc="E5A0D300">
      <w:start w:val="1"/>
      <w:numFmt w:val="bullet"/>
      <w:lvlText w:val="o"/>
      <w:lvlJc w:val="left"/>
      <w:pPr>
        <w:ind w:left="3600" w:hanging="360"/>
      </w:pPr>
      <w:rPr>
        <w:rFonts w:hint="default" w:ascii="Courier New" w:hAnsi="Courier New"/>
      </w:rPr>
    </w:lvl>
    <w:lvl w:ilvl="5" w:tplc="533CB3EE">
      <w:start w:val="1"/>
      <w:numFmt w:val="bullet"/>
      <w:lvlText w:val=""/>
      <w:lvlJc w:val="left"/>
      <w:pPr>
        <w:ind w:left="4320" w:hanging="360"/>
      </w:pPr>
      <w:rPr>
        <w:rFonts w:hint="default" w:ascii="Wingdings" w:hAnsi="Wingdings"/>
      </w:rPr>
    </w:lvl>
    <w:lvl w:ilvl="6" w:tplc="279CDCF6">
      <w:start w:val="1"/>
      <w:numFmt w:val="bullet"/>
      <w:lvlText w:val=""/>
      <w:lvlJc w:val="left"/>
      <w:pPr>
        <w:ind w:left="5040" w:hanging="360"/>
      </w:pPr>
      <w:rPr>
        <w:rFonts w:hint="default" w:ascii="Symbol" w:hAnsi="Symbol"/>
      </w:rPr>
    </w:lvl>
    <w:lvl w:ilvl="7" w:tplc="4F6083B6">
      <w:start w:val="1"/>
      <w:numFmt w:val="bullet"/>
      <w:lvlText w:val="o"/>
      <w:lvlJc w:val="left"/>
      <w:pPr>
        <w:ind w:left="5760" w:hanging="360"/>
      </w:pPr>
      <w:rPr>
        <w:rFonts w:hint="default" w:ascii="Courier New" w:hAnsi="Courier New"/>
      </w:rPr>
    </w:lvl>
    <w:lvl w:ilvl="8" w:tplc="7D06D09E">
      <w:start w:val="1"/>
      <w:numFmt w:val="bullet"/>
      <w:lvlText w:val=""/>
      <w:lvlJc w:val="left"/>
      <w:pPr>
        <w:ind w:left="6480" w:hanging="360"/>
      </w:pPr>
      <w:rPr>
        <w:rFonts w:hint="default" w:ascii="Wingdings" w:hAnsi="Wingdings"/>
      </w:rPr>
    </w:lvl>
  </w:abstractNum>
  <w:abstractNum w:abstractNumId="11" w15:restartNumberingAfterBreak="0">
    <w:nsid w:val="52452947"/>
    <w:multiLevelType w:val="hybridMultilevel"/>
    <w:tmpl w:val="B398488E"/>
    <w:lvl w:ilvl="0" w:tplc="C59215A6">
      <w:start w:val="1"/>
      <w:numFmt w:val="bullet"/>
      <w:lvlText w:val=""/>
      <w:lvlJc w:val="left"/>
      <w:pPr>
        <w:ind w:left="720" w:hanging="360"/>
      </w:pPr>
      <w:rPr>
        <w:rFonts w:hint="default" w:ascii="Symbol" w:hAnsi="Symbol"/>
      </w:rPr>
    </w:lvl>
    <w:lvl w:ilvl="1" w:tplc="F990D6C8">
      <w:start w:val="1"/>
      <w:numFmt w:val="bullet"/>
      <w:lvlText w:val="o"/>
      <w:lvlJc w:val="left"/>
      <w:pPr>
        <w:ind w:left="1440" w:hanging="360"/>
      </w:pPr>
      <w:rPr>
        <w:rFonts w:hint="default" w:ascii="Courier New" w:hAnsi="Courier New"/>
      </w:rPr>
    </w:lvl>
    <w:lvl w:ilvl="2" w:tplc="716CD974">
      <w:start w:val="1"/>
      <w:numFmt w:val="bullet"/>
      <w:lvlText w:val=""/>
      <w:lvlJc w:val="left"/>
      <w:pPr>
        <w:ind w:left="2160" w:hanging="360"/>
      </w:pPr>
      <w:rPr>
        <w:rFonts w:hint="default" w:ascii="Wingdings" w:hAnsi="Wingdings"/>
      </w:rPr>
    </w:lvl>
    <w:lvl w:ilvl="3" w:tplc="C6C2B7FC">
      <w:start w:val="1"/>
      <w:numFmt w:val="bullet"/>
      <w:lvlText w:val=""/>
      <w:lvlJc w:val="left"/>
      <w:pPr>
        <w:ind w:left="2880" w:hanging="360"/>
      </w:pPr>
      <w:rPr>
        <w:rFonts w:hint="default" w:ascii="Symbol" w:hAnsi="Symbol"/>
      </w:rPr>
    </w:lvl>
    <w:lvl w:ilvl="4" w:tplc="DDF837AA">
      <w:start w:val="1"/>
      <w:numFmt w:val="bullet"/>
      <w:lvlText w:val="o"/>
      <w:lvlJc w:val="left"/>
      <w:pPr>
        <w:ind w:left="3600" w:hanging="360"/>
      </w:pPr>
      <w:rPr>
        <w:rFonts w:hint="default" w:ascii="Courier New" w:hAnsi="Courier New"/>
      </w:rPr>
    </w:lvl>
    <w:lvl w:ilvl="5" w:tplc="EF229A68">
      <w:start w:val="1"/>
      <w:numFmt w:val="bullet"/>
      <w:lvlText w:val=""/>
      <w:lvlJc w:val="left"/>
      <w:pPr>
        <w:ind w:left="4320" w:hanging="360"/>
      </w:pPr>
      <w:rPr>
        <w:rFonts w:hint="default" w:ascii="Wingdings" w:hAnsi="Wingdings"/>
      </w:rPr>
    </w:lvl>
    <w:lvl w:ilvl="6" w:tplc="F13065A2">
      <w:start w:val="1"/>
      <w:numFmt w:val="bullet"/>
      <w:lvlText w:val=""/>
      <w:lvlJc w:val="left"/>
      <w:pPr>
        <w:ind w:left="5040" w:hanging="360"/>
      </w:pPr>
      <w:rPr>
        <w:rFonts w:hint="default" w:ascii="Symbol" w:hAnsi="Symbol"/>
      </w:rPr>
    </w:lvl>
    <w:lvl w:ilvl="7" w:tplc="510CB7A0">
      <w:start w:val="1"/>
      <w:numFmt w:val="bullet"/>
      <w:lvlText w:val="o"/>
      <w:lvlJc w:val="left"/>
      <w:pPr>
        <w:ind w:left="5760" w:hanging="360"/>
      </w:pPr>
      <w:rPr>
        <w:rFonts w:hint="default" w:ascii="Courier New" w:hAnsi="Courier New"/>
      </w:rPr>
    </w:lvl>
    <w:lvl w:ilvl="8" w:tplc="10608B04">
      <w:start w:val="1"/>
      <w:numFmt w:val="bullet"/>
      <w:lvlText w:val=""/>
      <w:lvlJc w:val="left"/>
      <w:pPr>
        <w:ind w:left="6480" w:hanging="360"/>
      </w:pPr>
      <w:rPr>
        <w:rFonts w:hint="default" w:ascii="Wingdings" w:hAnsi="Wingdings"/>
      </w:rPr>
    </w:lvl>
  </w:abstractNum>
  <w:abstractNum w:abstractNumId="12" w15:restartNumberingAfterBreak="0">
    <w:nsid w:val="52ED0154"/>
    <w:multiLevelType w:val="hybridMultilevel"/>
    <w:tmpl w:val="37A4E320"/>
    <w:lvl w:ilvl="0" w:tplc="EC202276">
      <w:start w:val="1"/>
      <w:numFmt w:val="decimal"/>
      <w:lvlText w:val="%1."/>
      <w:lvlJc w:val="left"/>
      <w:pPr>
        <w:ind w:left="720" w:hanging="360"/>
      </w:pPr>
    </w:lvl>
    <w:lvl w:ilvl="1" w:tplc="7BFE55C8">
      <w:start w:val="1"/>
      <w:numFmt w:val="lowerLetter"/>
      <w:lvlText w:val="%2."/>
      <w:lvlJc w:val="left"/>
      <w:pPr>
        <w:ind w:left="1440" w:hanging="360"/>
      </w:pPr>
    </w:lvl>
    <w:lvl w:ilvl="2" w:tplc="6B68EF74">
      <w:start w:val="1"/>
      <w:numFmt w:val="lowerRoman"/>
      <w:lvlText w:val="%3."/>
      <w:lvlJc w:val="right"/>
      <w:pPr>
        <w:ind w:left="2160" w:hanging="180"/>
      </w:pPr>
    </w:lvl>
    <w:lvl w:ilvl="3" w:tplc="EB4A229E">
      <w:start w:val="1"/>
      <w:numFmt w:val="decimal"/>
      <w:lvlText w:val="%4."/>
      <w:lvlJc w:val="left"/>
      <w:pPr>
        <w:ind w:left="2880" w:hanging="360"/>
      </w:pPr>
    </w:lvl>
    <w:lvl w:ilvl="4" w:tplc="811813AA">
      <w:start w:val="1"/>
      <w:numFmt w:val="lowerLetter"/>
      <w:lvlText w:val="%5."/>
      <w:lvlJc w:val="left"/>
      <w:pPr>
        <w:ind w:left="3600" w:hanging="360"/>
      </w:pPr>
    </w:lvl>
    <w:lvl w:ilvl="5" w:tplc="E0E8D85E">
      <w:start w:val="1"/>
      <w:numFmt w:val="lowerRoman"/>
      <w:lvlText w:val="%6."/>
      <w:lvlJc w:val="right"/>
      <w:pPr>
        <w:ind w:left="4320" w:hanging="180"/>
      </w:pPr>
    </w:lvl>
    <w:lvl w:ilvl="6" w:tplc="3AC88768">
      <w:start w:val="1"/>
      <w:numFmt w:val="decimal"/>
      <w:lvlText w:val="%7."/>
      <w:lvlJc w:val="left"/>
      <w:pPr>
        <w:ind w:left="5040" w:hanging="360"/>
      </w:pPr>
    </w:lvl>
    <w:lvl w:ilvl="7" w:tplc="0E588A9C">
      <w:start w:val="1"/>
      <w:numFmt w:val="lowerLetter"/>
      <w:lvlText w:val="%8."/>
      <w:lvlJc w:val="left"/>
      <w:pPr>
        <w:ind w:left="5760" w:hanging="360"/>
      </w:pPr>
    </w:lvl>
    <w:lvl w:ilvl="8" w:tplc="0ADCF1B2">
      <w:start w:val="1"/>
      <w:numFmt w:val="lowerRoman"/>
      <w:lvlText w:val="%9."/>
      <w:lvlJc w:val="right"/>
      <w:pPr>
        <w:ind w:left="6480" w:hanging="180"/>
      </w:pPr>
    </w:lvl>
  </w:abstractNum>
  <w:abstractNum w:abstractNumId="13" w15:restartNumberingAfterBreak="0">
    <w:nsid w:val="57A77CC1"/>
    <w:multiLevelType w:val="hybridMultilevel"/>
    <w:tmpl w:val="BE72A202"/>
    <w:lvl w:ilvl="0" w:tplc="AC8054E2">
      <w:start w:val="1"/>
      <w:numFmt w:val="bullet"/>
      <w:lvlText w:val=""/>
      <w:lvlJc w:val="left"/>
      <w:pPr>
        <w:ind w:left="720" w:hanging="360"/>
      </w:pPr>
      <w:rPr>
        <w:rFonts w:hint="default" w:ascii="Symbol" w:hAnsi="Symbol"/>
      </w:rPr>
    </w:lvl>
    <w:lvl w:ilvl="1" w:tplc="E8801D28">
      <w:start w:val="1"/>
      <w:numFmt w:val="bullet"/>
      <w:lvlText w:val="o"/>
      <w:lvlJc w:val="left"/>
      <w:pPr>
        <w:ind w:left="1440" w:hanging="360"/>
      </w:pPr>
      <w:rPr>
        <w:rFonts w:hint="default" w:ascii="Courier New" w:hAnsi="Courier New"/>
      </w:rPr>
    </w:lvl>
    <w:lvl w:ilvl="2" w:tplc="FB12AC9A">
      <w:start w:val="1"/>
      <w:numFmt w:val="bullet"/>
      <w:lvlText w:val=""/>
      <w:lvlJc w:val="left"/>
      <w:pPr>
        <w:ind w:left="2160" w:hanging="360"/>
      </w:pPr>
      <w:rPr>
        <w:rFonts w:hint="default" w:ascii="Wingdings" w:hAnsi="Wingdings"/>
      </w:rPr>
    </w:lvl>
    <w:lvl w:ilvl="3" w:tplc="156C4B64">
      <w:start w:val="1"/>
      <w:numFmt w:val="bullet"/>
      <w:lvlText w:val=""/>
      <w:lvlJc w:val="left"/>
      <w:pPr>
        <w:ind w:left="2880" w:hanging="360"/>
      </w:pPr>
      <w:rPr>
        <w:rFonts w:hint="default" w:ascii="Symbol" w:hAnsi="Symbol"/>
      </w:rPr>
    </w:lvl>
    <w:lvl w:ilvl="4" w:tplc="93B87484">
      <w:start w:val="1"/>
      <w:numFmt w:val="bullet"/>
      <w:lvlText w:val="o"/>
      <w:lvlJc w:val="left"/>
      <w:pPr>
        <w:ind w:left="3600" w:hanging="360"/>
      </w:pPr>
      <w:rPr>
        <w:rFonts w:hint="default" w:ascii="Courier New" w:hAnsi="Courier New"/>
      </w:rPr>
    </w:lvl>
    <w:lvl w:ilvl="5" w:tplc="6928991C">
      <w:start w:val="1"/>
      <w:numFmt w:val="bullet"/>
      <w:lvlText w:val=""/>
      <w:lvlJc w:val="left"/>
      <w:pPr>
        <w:ind w:left="4320" w:hanging="360"/>
      </w:pPr>
      <w:rPr>
        <w:rFonts w:hint="default" w:ascii="Wingdings" w:hAnsi="Wingdings"/>
      </w:rPr>
    </w:lvl>
    <w:lvl w:ilvl="6" w:tplc="426EF67C">
      <w:start w:val="1"/>
      <w:numFmt w:val="bullet"/>
      <w:lvlText w:val=""/>
      <w:lvlJc w:val="left"/>
      <w:pPr>
        <w:ind w:left="5040" w:hanging="360"/>
      </w:pPr>
      <w:rPr>
        <w:rFonts w:hint="default" w:ascii="Symbol" w:hAnsi="Symbol"/>
      </w:rPr>
    </w:lvl>
    <w:lvl w:ilvl="7" w:tplc="838637F6">
      <w:start w:val="1"/>
      <w:numFmt w:val="bullet"/>
      <w:lvlText w:val="o"/>
      <w:lvlJc w:val="left"/>
      <w:pPr>
        <w:ind w:left="5760" w:hanging="360"/>
      </w:pPr>
      <w:rPr>
        <w:rFonts w:hint="default" w:ascii="Courier New" w:hAnsi="Courier New"/>
      </w:rPr>
    </w:lvl>
    <w:lvl w:ilvl="8" w:tplc="507E5B86">
      <w:start w:val="1"/>
      <w:numFmt w:val="bullet"/>
      <w:lvlText w:val=""/>
      <w:lvlJc w:val="left"/>
      <w:pPr>
        <w:ind w:left="6480" w:hanging="360"/>
      </w:pPr>
      <w:rPr>
        <w:rFonts w:hint="default" w:ascii="Wingdings" w:hAnsi="Wingdings"/>
      </w:rPr>
    </w:lvl>
  </w:abstractNum>
  <w:abstractNum w:abstractNumId="14" w15:restartNumberingAfterBreak="0">
    <w:nsid w:val="5924721A"/>
    <w:multiLevelType w:val="hybridMultilevel"/>
    <w:tmpl w:val="04207918"/>
    <w:lvl w:ilvl="0" w:tplc="3014DA90">
      <w:start w:val="1"/>
      <w:numFmt w:val="bullet"/>
      <w:lvlText w:val=""/>
      <w:lvlJc w:val="left"/>
      <w:pPr>
        <w:ind w:left="720" w:hanging="360"/>
      </w:pPr>
      <w:rPr>
        <w:rFonts w:hint="default" w:ascii="Symbol" w:hAnsi="Symbol"/>
      </w:rPr>
    </w:lvl>
    <w:lvl w:ilvl="1" w:tplc="4ACE20EC">
      <w:start w:val="1"/>
      <w:numFmt w:val="bullet"/>
      <w:lvlText w:val="o"/>
      <w:lvlJc w:val="left"/>
      <w:pPr>
        <w:ind w:left="1440" w:hanging="360"/>
      </w:pPr>
      <w:rPr>
        <w:rFonts w:hint="default" w:ascii="Courier New" w:hAnsi="Courier New"/>
      </w:rPr>
    </w:lvl>
    <w:lvl w:ilvl="2" w:tplc="663C66BE">
      <w:start w:val="1"/>
      <w:numFmt w:val="bullet"/>
      <w:lvlText w:val=""/>
      <w:lvlJc w:val="left"/>
      <w:pPr>
        <w:ind w:left="2160" w:hanging="360"/>
      </w:pPr>
      <w:rPr>
        <w:rFonts w:hint="default" w:ascii="Wingdings" w:hAnsi="Wingdings"/>
      </w:rPr>
    </w:lvl>
    <w:lvl w:ilvl="3" w:tplc="E47E46A6">
      <w:start w:val="1"/>
      <w:numFmt w:val="bullet"/>
      <w:lvlText w:val=""/>
      <w:lvlJc w:val="left"/>
      <w:pPr>
        <w:ind w:left="2880" w:hanging="360"/>
      </w:pPr>
      <w:rPr>
        <w:rFonts w:hint="default" w:ascii="Symbol" w:hAnsi="Symbol"/>
      </w:rPr>
    </w:lvl>
    <w:lvl w:ilvl="4" w:tplc="DD0A60E8">
      <w:start w:val="1"/>
      <w:numFmt w:val="bullet"/>
      <w:lvlText w:val="o"/>
      <w:lvlJc w:val="left"/>
      <w:pPr>
        <w:ind w:left="3600" w:hanging="360"/>
      </w:pPr>
      <w:rPr>
        <w:rFonts w:hint="default" w:ascii="Courier New" w:hAnsi="Courier New"/>
      </w:rPr>
    </w:lvl>
    <w:lvl w:ilvl="5" w:tplc="FFC8218A">
      <w:start w:val="1"/>
      <w:numFmt w:val="bullet"/>
      <w:lvlText w:val=""/>
      <w:lvlJc w:val="left"/>
      <w:pPr>
        <w:ind w:left="4320" w:hanging="360"/>
      </w:pPr>
      <w:rPr>
        <w:rFonts w:hint="default" w:ascii="Wingdings" w:hAnsi="Wingdings"/>
      </w:rPr>
    </w:lvl>
    <w:lvl w:ilvl="6" w:tplc="05F27516">
      <w:start w:val="1"/>
      <w:numFmt w:val="bullet"/>
      <w:lvlText w:val=""/>
      <w:lvlJc w:val="left"/>
      <w:pPr>
        <w:ind w:left="5040" w:hanging="360"/>
      </w:pPr>
      <w:rPr>
        <w:rFonts w:hint="default" w:ascii="Symbol" w:hAnsi="Symbol"/>
      </w:rPr>
    </w:lvl>
    <w:lvl w:ilvl="7" w:tplc="39E6B0EA">
      <w:start w:val="1"/>
      <w:numFmt w:val="bullet"/>
      <w:lvlText w:val="o"/>
      <w:lvlJc w:val="left"/>
      <w:pPr>
        <w:ind w:left="5760" w:hanging="360"/>
      </w:pPr>
      <w:rPr>
        <w:rFonts w:hint="default" w:ascii="Courier New" w:hAnsi="Courier New"/>
      </w:rPr>
    </w:lvl>
    <w:lvl w:ilvl="8" w:tplc="9D86C7EA">
      <w:start w:val="1"/>
      <w:numFmt w:val="bullet"/>
      <w:lvlText w:val=""/>
      <w:lvlJc w:val="left"/>
      <w:pPr>
        <w:ind w:left="6480" w:hanging="360"/>
      </w:pPr>
      <w:rPr>
        <w:rFonts w:hint="default" w:ascii="Wingdings" w:hAnsi="Wingdings"/>
      </w:rPr>
    </w:lvl>
  </w:abstractNum>
  <w:abstractNum w:abstractNumId="15" w15:restartNumberingAfterBreak="0">
    <w:nsid w:val="616A2860"/>
    <w:multiLevelType w:val="hybridMultilevel"/>
    <w:tmpl w:val="A21EE692"/>
    <w:lvl w:ilvl="0" w:tplc="0E0A0AC4">
      <w:start w:val="1"/>
      <w:numFmt w:val="bullet"/>
      <w:lvlText w:val=""/>
      <w:lvlJc w:val="left"/>
      <w:pPr>
        <w:ind w:left="720" w:hanging="360"/>
      </w:pPr>
      <w:rPr>
        <w:rFonts w:hint="default" w:ascii="Symbol" w:hAnsi="Symbol"/>
      </w:rPr>
    </w:lvl>
    <w:lvl w:ilvl="1" w:tplc="4156076E">
      <w:start w:val="1"/>
      <w:numFmt w:val="bullet"/>
      <w:lvlText w:val="o"/>
      <w:lvlJc w:val="left"/>
      <w:pPr>
        <w:ind w:left="1440" w:hanging="360"/>
      </w:pPr>
      <w:rPr>
        <w:rFonts w:hint="default" w:ascii="Courier New" w:hAnsi="Courier New"/>
      </w:rPr>
    </w:lvl>
    <w:lvl w:ilvl="2" w:tplc="4F26DC26">
      <w:start w:val="1"/>
      <w:numFmt w:val="bullet"/>
      <w:lvlText w:val=""/>
      <w:lvlJc w:val="left"/>
      <w:pPr>
        <w:ind w:left="2160" w:hanging="360"/>
      </w:pPr>
      <w:rPr>
        <w:rFonts w:hint="default" w:ascii="Wingdings" w:hAnsi="Wingdings"/>
      </w:rPr>
    </w:lvl>
    <w:lvl w:ilvl="3" w:tplc="6122E398">
      <w:start w:val="1"/>
      <w:numFmt w:val="bullet"/>
      <w:lvlText w:val=""/>
      <w:lvlJc w:val="left"/>
      <w:pPr>
        <w:ind w:left="2880" w:hanging="360"/>
      </w:pPr>
      <w:rPr>
        <w:rFonts w:hint="default" w:ascii="Symbol" w:hAnsi="Symbol"/>
      </w:rPr>
    </w:lvl>
    <w:lvl w:ilvl="4" w:tplc="BC4C4A8E">
      <w:start w:val="1"/>
      <w:numFmt w:val="bullet"/>
      <w:lvlText w:val="o"/>
      <w:lvlJc w:val="left"/>
      <w:pPr>
        <w:ind w:left="3600" w:hanging="360"/>
      </w:pPr>
      <w:rPr>
        <w:rFonts w:hint="default" w:ascii="Courier New" w:hAnsi="Courier New"/>
      </w:rPr>
    </w:lvl>
    <w:lvl w:ilvl="5" w:tplc="7C74095E">
      <w:start w:val="1"/>
      <w:numFmt w:val="bullet"/>
      <w:lvlText w:val=""/>
      <w:lvlJc w:val="left"/>
      <w:pPr>
        <w:ind w:left="4320" w:hanging="360"/>
      </w:pPr>
      <w:rPr>
        <w:rFonts w:hint="default" w:ascii="Wingdings" w:hAnsi="Wingdings"/>
      </w:rPr>
    </w:lvl>
    <w:lvl w:ilvl="6" w:tplc="ABF67D8A">
      <w:start w:val="1"/>
      <w:numFmt w:val="bullet"/>
      <w:lvlText w:val=""/>
      <w:lvlJc w:val="left"/>
      <w:pPr>
        <w:ind w:left="5040" w:hanging="360"/>
      </w:pPr>
      <w:rPr>
        <w:rFonts w:hint="default" w:ascii="Symbol" w:hAnsi="Symbol"/>
      </w:rPr>
    </w:lvl>
    <w:lvl w:ilvl="7" w:tplc="7CE042E0">
      <w:start w:val="1"/>
      <w:numFmt w:val="bullet"/>
      <w:lvlText w:val="o"/>
      <w:lvlJc w:val="left"/>
      <w:pPr>
        <w:ind w:left="5760" w:hanging="360"/>
      </w:pPr>
      <w:rPr>
        <w:rFonts w:hint="default" w:ascii="Courier New" w:hAnsi="Courier New"/>
      </w:rPr>
    </w:lvl>
    <w:lvl w:ilvl="8" w:tplc="F0742EF4">
      <w:start w:val="1"/>
      <w:numFmt w:val="bullet"/>
      <w:lvlText w:val=""/>
      <w:lvlJc w:val="left"/>
      <w:pPr>
        <w:ind w:left="6480" w:hanging="360"/>
      </w:pPr>
      <w:rPr>
        <w:rFonts w:hint="default" w:ascii="Wingdings" w:hAnsi="Wingdings"/>
      </w:rPr>
    </w:lvl>
  </w:abstractNum>
  <w:abstractNum w:abstractNumId="16" w15:restartNumberingAfterBreak="0">
    <w:nsid w:val="70918254"/>
    <w:multiLevelType w:val="hybridMultilevel"/>
    <w:tmpl w:val="BDA4DBAC"/>
    <w:lvl w:ilvl="0" w:tplc="CDF48078">
      <w:start w:val="1"/>
      <w:numFmt w:val="bullet"/>
      <w:lvlText w:val=""/>
      <w:lvlJc w:val="left"/>
      <w:pPr>
        <w:ind w:left="720" w:hanging="360"/>
      </w:pPr>
      <w:rPr>
        <w:rFonts w:hint="default" w:ascii="Symbol" w:hAnsi="Symbol"/>
      </w:rPr>
    </w:lvl>
    <w:lvl w:ilvl="1" w:tplc="177C48D0">
      <w:start w:val="1"/>
      <w:numFmt w:val="bullet"/>
      <w:lvlText w:val="o"/>
      <w:lvlJc w:val="left"/>
      <w:pPr>
        <w:ind w:left="1440" w:hanging="360"/>
      </w:pPr>
      <w:rPr>
        <w:rFonts w:hint="default" w:ascii="Courier New" w:hAnsi="Courier New"/>
      </w:rPr>
    </w:lvl>
    <w:lvl w:ilvl="2" w:tplc="AD56578A">
      <w:start w:val="1"/>
      <w:numFmt w:val="bullet"/>
      <w:lvlText w:val=""/>
      <w:lvlJc w:val="left"/>
      <w:pPr>
        <w:ind w:left="2160" w:hanging="360"/>
      </w:pPr>
      <w:rPr>
        <w:rFonts w:hint="default" w:ascii="Wingdings" w:hAnsi="Wingdings"/>
      </w:rPr>
    </w:lvl>
    <w:lvl w:ilvl="3" w:tplc="BDE44DE6">
      <w:start w:val="1"/>
      <w:numFmt w:val="bullet"/>
      <w:lvlText w:val=""/>
      <w:lvlJc w:val="left"/>
      <w:pPr>
        <w:ind w:left="2880" w:hanging="360"/>
      </w:pPr>
      <w:rPr>
        <w:rFonts w:hint="default" w:ascii="Symbol" w:hAnsi="Symbol"/>
      </w:rPr>
    </w:lvl>
    <w:lvl w:ilvl="4" w:tplc="DE60AE38">
      <w:start w:val="1"/>
      <w:numFmt w:val="bullet"/>
      <w:lvlText w:val="o"/>
      <w:lvlJc w:val="left"/>
      <w:pPr>
        <w:ind w:left="3600" w:hanging="360"/>
      </w:pPr>
      <w:rPr>
        <w:rFonts w:hint="default" w:ascii="Courier New" w:hAnsi="Courier New"/>
      </w:rPr>
    </w:lvl>
    <w:lvl w:ilvl="5" w:tplc="2B7CBFE6">
      <w:start w:val="1"/>
      <w:numFmt w:val="bullet"/>
      <w:lvlText w:val=""/>
      <w:lvlJc w:val="left"/>
      <w:pPr>
        <w:ind w:left="4320" w:hanging="360"/>
      </w:pPr>
      <w:rPr>
        <w:rFonts w:hint="default" w:ascii="Wingdings" w:hAnsi="Wingdings"/>
      </w:rPr>
    </w:lvl>
    <w:lvl w:ilvl="6" w:tplc="69AC7E78">
      <w:start w:val="1"/>
      <w:numFmt w:val="bullet"/>
      <w:lvlText w:val=""/>
      <w:lvlJc w:val="left"/>
      <w:pPr>
        <w:ind w:left="5040" w:hanging="360"/>
      </w:pPr>
      <w:rPr>
        <w:rFonts w:hint="default" w:ascii="Symbol" w:hAnsi="Symbol"/>
      </w:rPr>
    </w:lvl>
    <w:lvl w:ilvl="7" w:tplc="33BE71DC">
      <w:start w:val="1"/>
      <w:numFmt w:val="bullet"/>
      <w:lvlText w:val="o"/>
      <w:lvlJc w:val="left"/>
      <w:pPr>
        <w:ind w:left="5760" w:hanging="360"/>
      </w:pPr>
      <w:rPr>
        <w:rFonts w:hint="default" w:ascii="Courier New" w:hAnsi="Courier New"/>
      </w:rPr>
    </w:lvl>
    <w:lvl w:ilvl="8" w:tplc="9C60986A">
      <w:start w:val="1"/>
      <w:numFmt w:val="bullet"/>
      <w:lvlText w:val=""/>
      <w:lvlJc w:val="left"/>
      <w:pPr>
        <w:ind w:left="6480" w:hanging="360"/>
      </w:pPr>
      <w:rPr>
        <w:rFonts w:hint="default" w:ascii="Wingdings" w:hAnsi="Wingdings"/>
      </w:rPr>
    </w:lvl>
  </w:abstractNum>
  <w:abstractNum w:abstractNumId="17" w15:restartNumberingAfterBreak="0">
    <w:nsid w:val="729F725E"/>
    <w:multiLevelType w:val="hybridMultilevel"/>
    <w:tmpl w:val="DEA279C2"/>
    <w:lvl w:ilvl="0" w:tplc="795C19AE">
      <w:start w:val="1"/>
      <w:numFmt w:val="bullet"/>
      <w:lvlText w:val=""/>
      <w:lvlJc w:val="left"/>
      <w:pPr>
        <w:ind w:left="720" w:hanging="360"/>
      </w:pPr>
      <w:rPr>
        <w:rFonts w:hint="default" w:ascii="Symbol" w:hAnsi="Symbol"/>
      </w:rPr>
    </w:lvl>
    <w:lvl w:ilvl="1" w:tplc="94D6795A">
      <w:start w:val="1"/>
      <w:numFmt w:val="bullet"/>
      <w:lvlText w:val="o"/>
      <w:lvlJc w:val="left"/>
      <w:pPr>
        <w:ind w:left="1440" w:hanging="360"/>
      </w:pPr>
      <w:rPr>
        <w:rFonts w:hint="default" w:ascii="Courier New" w:hAnsi="Courier New"/>
      </w:rPr>
    </w:lvl>
    <w:lvl w:ilvl="2" w:tplc="155A79EC">
      <w:start w:val="1"/>
      <w:numFmt w:val="bullet"/>
      <w:lvlText w:val=""/>
      <w:lvlJc w:val="left"/>
      <w:pPr>
        <w:ind w:left="2160" w:hanging="360"/>
      </w:pPr>
      <w:rPr>
        <w:rFonts w:hint="default" w:ascii="Wingdings" w:hAnsi="Wingdings"/>
      </w:rPr>
    </w:lvl>
    <w:lvl w:ilvl="3" w:tplc="CBCAB71A">
      <w:start w:val="1"/>
      <w:numFmt w:val="bullet"/>
      <w:lvlText w:val=""/>
      <w:lvlJc w:val="left"/>
      <w:pPr>
        <w:ind w:left="2880" w:hanging="360"/>
      </w:pPr>
      <w:rPr>
        <w:rFonts w:hint="default" w:ascii="Symbol" w:hAnsi="Symbol"/>
      </w:rPr>
    </w:lvl>
    <w:lvl w:ilvl="4" w:tplc="0BE49938">
      <w:start w:val="1"/>
      <w:numFmt w:val="bullet"/>
      <w:lvlText w:val="o"/>
      <w:lvlJc w:val="left"/>
      <w:pPr>
        <w:ind w:left="3600" w:hanging="360"/>
      </w:pPr>
      <w:rPr>
        <w:rFonts w:hint="default" w:ascii="Courier New" w:hAnsi="Courier New"/>
      </w:rPr>
    </w:lvl>
    <w:lvl w:ilvl="5" w:tplc="85B4BFAE">
      <w:start w:val="1"/>
      <w:numFmt w:val="bullet"/>
      <w:lvlText w:val=""/>
      <w:lvlJc w:val="left"/>
      <w:pPr>
        <w:ind w:left="4320" w:hanging="360"/>
      </w:pPr>
      <w:rPr>
        <w:rFonts w:hint="default" w:ascii="Wingdings" w:hAnsi="Wingdings"/>
      </w:rPr>
    </w:lvl>
    <w:lvl w:ilvl="6" w:tplc="1DA0F990">
      <w:start w:val="1"/>
      <w:numFmt w:val="bullet"/>
      <w:lvlText w:val=""/>
      <w:lvlJc w:val="left"/>
      <w:pPr>
        <w:ind w:left="5040" w:hanging="360"/>
      </w:pPr>
      <w:rPr>
        <w:rFonts w:hint="default" w:ascii="Symbol" w:hAnsi="Symbol"/>
      </w:rPr>
    </w:lvl>
    <w:lvl w:ilvl="7" w:tplc="92381BA2">
      <w:start w:val="1"/>
      <w:numFmt w:val="bullet"/>
      <w:lvlText w:val="o"/>
      <w:lvlJc w:val="left"/>
      <w:pPr>
        <w:ind w:left="5760" w:hanging="360"/>
      </w:pPr>
      <w:rPr>
        <w:rFonts w:hint="default" w:ascii="Courier New" w:hAnsi="Courier New"/>
      </w:rPr>
    </w:lvl>
    <w:lvl w:ilvl="8" w:tplc="7A90583C">
      <w:start w:val="1"/>
      <w:numFmt w:val="bullet"/>
      <w:lvlText w:val=""/>
      <w:lvlJc w:val="left"/>
      <w:pPr>
        <w:ind w:left="6480" w:hanging="360"/>
      </w:pPr>
      <w:rPr>
        <w:rFonts w:hint="default" w:ascii="Wingdings" w:hAnsi="Wingdings"/>
      </w:rPr>
    </w:lvl>
  </w:abstractNum>
  <w:abstractNum w:abstractNumId="18" w15:restartNumberingAfterBreak="0">
    <w:nsid w:val="757B7F1F"/>
    <w:multiLevelType w:val="hybridMultilevel"/>
    <w:tmpl w:val="B838E806"/>
    <w:lvl w:ilvl="0" w:tplc="C4B03A64">
      <w:start w:val="1"/>
      <w:numFmt w:val="bullet"/>
      <w:lvlText w:val=""/>
      <w:lvlJc w:val="left"/>
      <w:pPr>
        <w:ind w:left="720" w:hanging="360"/>
      </w:pPr>
      <w:rPr>
        <w:rFonts w:hint="default" w:ascii="Symbol" w:hAnsi="Symbol"/>
      </w:rPr>
    </w:lvl>
    <w:lvl w:ilvl="1" w:tplc="9ED01786">
      <w:start w:val="1"/>
      <w:numFmt w:val="bullet"/>
      <w:lvlText w:val="o"/>
      <w:lvlJc w:val="left"/>
      <w:pPr>
        <w:ind w:left="1440" w:hanging="360"/>
      </w:pPr>
      <w:rPr>
        <w:rFonts w:hint="default" w:ascii="Courier New" w:hAnsi="Courier New"/>
      </w:rPr>
    </w:lvl>
    <w:lvl w:ilvl="2" w:tplc="C4940E76">
      <w:start w:val="1"/>
      <w:numFmt w:val="bullet"/>
      <w:lvlText w:val=""/>
      <w:lvlJc w:val="left"/>
      <w:pPr>
        <w:ind w:left="2160" w:hanging="360"/>
      </w:pPr>
      <w:rPr>
        <w:rFonts w:hint="default" w:ascii="Wingdings" w:hAnsi="Wingdings"/>
      </w:rPr>
    </w:lvl>
    <w:lvl w:ilvl="3" w:tplc="1D385BB6">
      <w:start w:val="1"/>
      <w:numFmt w:val="bullet"/>
      <w:lvlText w:val=""/>
      <w:lvlJc w:val="left"/>
      <w:pPr>
        <w:ind w:left="2880" w:hanging="360"/>
      </w:pPr>
      <w:rPr>
        <w:rFonts w:hint="default" w:ascii="Symbol" w:hAnsi="Symbol"/>
      </w:rPr>
    </w:lvl>
    <w:lvl w:ilvl="4" w:tplc="C194CF3E">
      <w:start w:val="1"/>
      <w:numFmt w:val="bullet"/>
      <w:lvlText w:val="o"/>
      <w:lvlJc w:val="left"/>
      <w:pPr>
        <w:ind w:left="3600" w:hanging="360"/>
      </w:pPr>
      <w:rPr>
        <w:rFonts w:hint="default" w:ascii="Courier New" w:hAnsi="Courier New"/>
      </w:rPr>
    </w:lvl>
    <w:lvl w:ilvl="5" w:tplc="13782D8C">
      <w:start w:val="1"/>
      <w:numFmt w:val="bullet"/>
      <w:lvlText w:val=""/>
      <w:lvlJc w:val="left"/>
      <w:pPr>
        <w:ind w:left="4320" w:hanging="360"/>
      </w:pPr>
      <w:rPr>
        <w:rFonts w:hint="default" w:ascii="Wingdings" w:hAnsi="Wingdings"/>
      </w:rPr>
    </w:lvl>
    <w:lvl w:ilvl="6" w:tplc="9DC4FD1A">
      <w:start w:val="1"/>
      <w:numFmt w:val="bullet"/>
      <w:lvlText w:val=""/>
      <w:lvlJc w:val="left"/>
      <w:pPr>
        <w:ind w:left="5040" w:hanging="360"/>
      </w:pPr>
      <w:rPr>
        <w:rFonts w:hint="default" w:ascii="Symbol" w:hAnsi="Symbol"/>
      </w:rPr>
    </w:lvl>
    <w:lvl w:ilvl="7" w:tplc="745459CC">
      <w:start w:val="1"/>
      <w:numFmt w:val="bullet"/>
      <w:lvlText w:val="o"/>
      <w:lvlJc w:val="left"/>
      <w:pPr>
        <w:ind w:left="5760" w:hanging="360"/>
      </w:pPr>
      <w:rPr>
        <w:rFonts w:hint="default" w:ascii="Courier New" w:hAnsi="Courier New"/>
      </w:rPr>
    </w:lvl>
    <w:lvl w:ilvl="8" w:tplc="5CFCBA48">
      <w:start w:val="1"/>
      <w:numFmt w:val="bullet"/>
      <w:lvlText w:val=""/>
      <w:lvlJc w:val="left"/>
      <w:pPr>
        <w:ind w:left="6480" w:hanging="360"/>
      </w:pPr>
      <w:rPr>
        <w:rFonts w:hint="default" w:ascii="Wingdings" w:hAnsi="Wingdings"/>
      </w:rPr>
    </w:lvl>
  </w:abstractNum>
  <w:abstractNum w:abstractNumId="19" w15:restartNumberingAfterBreak="0">
    <w:nsid w:val="7584E3B7"/>
    <w:multiLevelType w:val="hybridMultilevel"/>
    <w:tmpl w:val="CEBEC492"/>
    <w:lvl w:ilvl="0" w:tplc="A024EC7C">
      <w:start w:val="1"/>
      <w:numFmt w:val="bullet"/>
      <w:lvlText w:val=""/>
      <w:lvlJc w:val="left"/>
      <w:pPr>
        <w:ind w:left="720" w:hanging="360"/>
      </w:pPr>
      <w:rPr>
        <w:rFonts w:hint="default" w:ascii="Symbol" w:hAnsi="Symbol"/>
      </w:rPr>
    </w:lvl>
    <w:lvl w:ilvl="1" w:tplc="D7AA4164">
      <w:start w:val="1"/>
      <w:numFmt w:val="bullet"/>
      <w:lvlText w:val="o"/>
      <w:lvlJc w:val="left"/>
      <w:pPr>
        <w:ind w:left="1440" w:hanging="360"/>
      </w:pPr>
      <w:rPr>
        <w:rFonts w:hint="default" w:ascii="Courier New" w:hAnsi="Courier New"/>
      </w:rPr>
    </w:lvl>
    <w:lvl w:ilvl="2" w:tplc="1968EC3C">
      <w:start w:val="1"/>
      <w:numFmt w:val="bullet"/>
      <w:lvlText w:val=""/>
      <w:lvlJc w:val="left"/>
      <w:pPr>
        <w:ind w:left="2160" w:hanging="360"/>
      </w:pPr>
      <w:rPr>
        <w:rFonts w:hint="default" w:ascii="Wingdings" w:hAnsi="Wingdings"/>
      </w:rPr>
    </w:lvl>
    <w:lvl w:ilvl="3" w:tplc="5BE6DE30">
      <w:start w:val="1"/>
      <w:numFmt w:val="bullet"/>
      <w:lvlText w:val=""/>
      <w:lvlJc w:val="left"/>
      <w:pPr>
        <w:ind w:left="2880" w:hanging="360"/>
      </w:pPr>
      <w:rPr>
        <w:rFonts w:hint="default" w:ascii="Symbol" w:hAnsi="Symbol"/>
      </w:rPr>
    </w:lvl>
    <w:lvl w:ilvl="4" w:tplc="56625D6A">
      <w:start w:val="1"/>
      <w:numFmt w:val="bullet"/>
      <w:lvlText w:val="o"/>
      <w:lvlJc w:val="left"/>
      <w:pPr>
        <w:ind w:left="3600" w:hanging="360"/>
      </w:pPr>
      <w:rPr>
        <w:rFonts w:hint="default" w:ascii="Courier New" w:hAnsi="Courier New"/>
      </w:rPr>
    </w:lvl>
    <w:lvl w:ilvl="5" w:tplc="08AE48D4">
      <w:start w:val="1"/>
      <w:numFmt w:val="bullet"/>
      <w:lvlText w:val=""/>
      <w:lvlJc w:val="left"/>
      <w:pPr>
        <w:ind w:left="4320" w:hanging="360"/>
      </w:pPr>
      <w:rPr>
        <w:rFonts w:hint="default" w:ascii="Wingdings" w:hAnsi="Wingdings"/>
      </w:rPr>
    </w:lvl>
    <w:lvl w:ilvl="6" w:tplc="49F484C2">
      <w:start w:val="1"/>
      <w:numFmt w:val="bullet"/>
      <w:lvlText w:val=""/>
      <w:lvlJc w:val="left"/>
      <w:pPr>
        <w:ind w:left="5040" w:hanging="360"/>
      </w:pPr>
      <w:rPr>
        <w:rFonts w:hint="default" w:ascii="Symbol" w:hAnsi="Symbol"/>
      </w:rPr>
    </w:lvl>
    <w:lvl w:ilvl="7" w:tplc="9EF6CCC4">
      <w:start w:val="1"/>
      <w:numFmt w:val="bullet"/>
      <w:lvlText w:val="o"/>
      <w:lvlJc w:val="left"/>
      <w:pPr>
        <w:ind w:left="5760" w:hanging="360"/>
      </w:pPr>
      <w:rPr>
        <w:rFonts w:hint="default" w:ascii="Courier New" w:hAnsi="Courier New"/>
      </w:rPr>
    </w:lvl>
    <w:lvl w:ilvl="8" w:tplc="F6BAD2B8">
      <w:start w:val="1"/>
      <w:numFmt w:val="bullet"/>
      <w:lvlText w:val=""/>
      <w:lvlJc w:val="left"/>
      <w:pPr>
        <w:ind w:left="6480" w:hanging="360"/>
      </w:pPr>
      <w:rPr>
        <w:rFonts w:hint="default" w:ascii="Wingdings" w:hAnsi="Wingdings"/>
      </w:rPr>
    </w:lvl>
  </w:abstractNum>
  <w:abstractNum w:abstractNumId="20" w15:restartNumberingAfterBreak="0">
    <w:nsid w:val="7754E275"/>
    <w:multiLevelType w:val="hybridMultilevel"/>
    <w:tmpl w:val="E7EE347A"/>
    <w:lvl w:ilvl="0" w:tplc="A75E6B22">
      <w:start w:val="1"/>
      <w:numFmt w:val="bullet"/>
      <w:lvlText w:val=""/>
      <w:lvlJc w:val="left"/>
      <w:pPr>
        <w:ind w:left="720" w:hanging="360"/>
      </w:pPr>
      <w:rPr>
        <w:rFonts w:hint="default" w:ascii="Symbol" w:hAnsi="Symbol"/>
      </w:rPr>
    </w:lvl>
    <w:lvl w:ilvl="1" w:tplc="81A28C40">
      <w:start w:val="1"/>
      <w:numFmt w:val="bullet"/>
      <w:lvlText w:val="o"/>
      <w:lvlJc w:val="left"/>
      <w:pPr>
        <w:ind w:left="1440" w:hanging="360"/>
      </w:pPr>
      <w:rPr>
        <w:rFonts w:hint="default" w:ascii="Courier New" w:hAnsi="Courier New"/>
      </w:rPr>
    </w:lvl>
    <w:lvl w:ilvl="2" w:tplc="D9D2CB78">
      <w:start w:val="1"/>
      <w:numFmt w:val="bullet"/>
      <w:lvlText w:val=""/>
      <w:lvlJc w:val="left"/>
      <w:pPr>
        <w:ind w:left="2160" w:hanging="360"/>
      </w:pPr>
      <w:rPr>
        <w:rFonts w:hint="default" w:ascii="Wingdings" w:hAnsi="Wingdings"/>
      </w:rPr>
    </w:lvl>
    <w:lvl w:ilvl="3" w:tplc="5D5ADC8E">
      <w:start w:val="1"/>
      <w:numFmt w:val="bullet"/>
      <w:lvlText w:val=""/>
      <w:lvlJc w:val="left"/>
      <w:pPr>
        <w:ind w:left="2880" w:hanging="360"/>
      </w:pPr>
      <w:rPr>
        <w:rFonts w:hint="default" w:ascii="Symbol" w:hAnsi="Symbol"/>
      </w:rPr>
    </w:lvl>
    <w:lvl w:ilvl="4" w:tplc="CCE640E0">
      <w:start w:val="1"/>
      <w:numFmt w:val="bullet"/>
      <w:lvlText w:val="o"/>
      <w:lvlJc w:val="left"/>
      <w:pPr>
        <w:ind w:left="3600" w:hanging="360"/>
      </w:pPr>
      <w:rPr>
        <w:rFonts w:hint="default" w:ascii="Courier New" w:hAnsi="Courier New"/>
      </w:rPr>
    </w:lvl>
    <w:lvl w:ilvl="5" w:tplc="1BF03310">
      <w:start w:val="1"/>
      <w:numFmt w:val="bullet"/>
      <w:lvlText w:val=""/>
      <w:lvlJc w:val="left"/>
      <w:pPr>
        <w:ind w:left="4320" w:hanging="360"/>
      </w:pPr>
      <w:rPr>
        <w:rFonts w:hint="default" w:ascii="Wingdings" w:hAnsi="Wingdings"/>
      </w:rPr>
    </w:lvl>
    <w:lvl w:ilvl="6" w:tplc="65F4D014">
      <w:start w:val="1"/>
      <w:numFmt w:val="bullet"/>
      <w:lvlText w:val=""/>
      <w:lvlJc w:val="left"/>
      <w:pPr>
        <w:ind w:left="5040" w:hanging="360"/>
      </w:pPr>
      <w:rPr>
        <w:rFonts w:hint="default" w:ascii="Symbol" w:hAnsi="Symbol"/>
      </w:rPr>
    </w:lvl>
    <w:lvl w:ilvl="7" w:tplc="3746F90C">
      <w:start w:val="1"/>
      <w:numFmt w:val="bullet"/>
      <w:lvlText w:val="o"/>
      <w:lvlJc w:val="left"/>
      <w:pPr>
        <w:ind w:left="5760" w:hanging="360"/>
      </w:pPr>
      <w:rPr>
        <w:rFonts w:hint="default" w:ascii="Courier New" w:hAnsi="Courier New"/>
      </w:rPr>
    </w:lvl>
    <w:lvl w:ilvl="8" w:tplc="DB2CC2D6">
      <w:start w:val="1"/>
      <w:numFmt w:val="bullet"/>
      <w:lvlText w:val=""/>
      <w:lvlJc w:val="left"/>
      <w:pPr>
        <w:ind w:left="6480" w:hanging="360"/>
      </w:pPr>
      <w:rPr>
        <w:rFonts w:hint="default" w:ascii="Wingdings" w:hAnsi="Wingdings"/>
      </w:rPr>
    </w:lvl>
  </w:abstractNum>
  <w:num w:numId="1" w16cid:durableId="869806605">
    <w:abstractNumId w:val="11"/>
  </w:num>
  <w:num w:numId="2" w16cid:durableId="1167090343">
    <w:abstractNumId w:val="14"/>
  </w:num>
  <w:num w:numId="3" w16cid:durableId="353267555">
    <w:abstractNumId w:val="8"/>
  </w:num>
  <w:num w:numId="4" w16cid:durableId="1120224482">
    <w:abstractNumId w:val="9"/>
  </w:num>
  <w:num w:numId="5" w16cid:durableId="1370032921">
    <w:abstractNumId w:val="4"/>
  </w:num>
  <w:num w:numId="6" w16cid:durableId="20937073">
    <w:abstractNumId w:val="7"/>
  </w:num>
  <w:num w:numId="7" w16cid:durableId="133377856">
    <w:abstractNumId w:val="17"/>
  </w:num>
  <w:num w:numId="8" w16cid:durableId="591665826">
    <w:abstractNumId w:val="18"/>
  </w:num>
  <w:num w:numId="9" w16cid:durableId="2106076115">
    <w:abstractNumId w:val="12"/>
  </w:num>
  <w:num w:numId="10" w16cid:durableId="228196551">
    <w:abstractNumId w:val="5"/>
  </w:num>
  <w:num w:numId="11" w16cid:durableId="157573041">
    <w:abstractNumId w:val="10"/>
  </w:num>
  <w:num w:numId="12" w16cid:durableId="1689210798">
    <w:abstractNumId w:val="13"/>
  </w:num>
  <w:num w:numId="13" w16cid:durableId="1580215296">
    <w:abstractNumId w:val="15"/>
  </w:num>
  <w:num w:numId="14" w16cid:durableId="1555198414">
    <w:abstractNumId w:val="16"/>
  </w:num>
  <w:num w:numId="15" w16cid:durableId="812721517">
    <w:abstractNumId w:val="2"/>
  </w:num>
  <w:num w:numId="16" w16cid:durableId="83380733">
    <w:abstractNumId w:val="19"/>
  </w:num>
  <w:num w:numId="17" w16cid:durableId="500974887">
    <w:abstractNumId w:val="6"/>
  </w:num>
  <w:num w:numId="18" w16cid:durableId="489906238">
    <w:abstractNumId w:val="0"/>
  </w:num>
  <w:num w:numId="19" w16cid:durableId="84421150">
    <w:abstractNumId w:val="3"/>
  </w:num>
  <w:num w:numId="20" w16cid:durableId="585769556">
    <w:abstractNumId w:val="20"/>
  </w:num>
  <w:num w:numId="21" w16cid:durableId="519902835">
    <w:abstractNumId w:val="1"/>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AEBA34"/>
    <w:rsid w:val="00051BB9"/>
    <w:rsid w:val="000E435A"/>
    <w:rsid w:val="000F7B90"/>
    <w:rsid w:val="001F0F1F"/>
    <w:rsid w:val="002E05CA"/>
    <w:rsid w:val="0041D751"/>
    <w:rsid w:val="00491CD9"/>
    <w:rsid w:val="006E0BBC"/>
    <w:rsid w:val="00740A5F"/>
    <w:rsid w:val="00807B1F"/>
    <w:rsid w:val="0089F731"/>
    <w:rsid w:val="008A1B7D"/>
    <w:rsid w:val="008B0AA0"/>
    <w:rsid w:val="0093EA3B"/>
    <w:rsid w:val="009A1169"/>
    <w:rsid w:val="00A408F0"/>
    <w:rsid w:val="00AD3CB1"/>
    <w:rsid w:val="00AD4E86"/>
    <w:rsid w:val="00B81FE1"/>
    <w:rsid w:val="00CE3B6F"/>
    <w:rsid w:val="00D63CC2"/>
    <w:rsid w:val="00E961D2"/>
    <w:rsid w:val="00F14C95"/>
    <w:rsid w:val="00FD1C31"/>
    <w:rsid w:val="0154341B"/>
    <w:rsid w:val="0180ABC3"/>
    <w:rsid w:val="0189A096"/>
    <w:rsid w:val="01C056A7"/>
    <w:rsid w:val="01DB12A9"/>
    <w:rsid w:val="02464F49"/>
    <w:rsid w:val="02761A63"/>
    <w:rsid w:val="02D98C42"/>
    <w:rsid w:val="03017684"/>
    <w:rsid w:val="038E5400"/>
    <w:rsid w:val="03FB59CA"/>
    <w:rsid w:val="0442C97D"/>
    <w:rsid w:val="044ACDFA"/>
    <w:rsid w:val="0464A544"/>
    <w:rsid w:val="0467AE3A"/>
    <w:rsid w:val="04830E2C"/>
    <w:rsid w:val="04A117B2"/>
    <w:rsid w:val="04C8EEBB"/>
    <w:rsid w:val="04F73161"/>
    <w:rsid w:val="05296DD4"/>
    <w:rsid w:val="0543FD9C"/>
    <w:rsid w:val="055D312C"/>
    <w:rsid w:val="056078E2"/>
    <w:rsid w:val="057CB8DC"/>
    <w:rsid w:val="058824F4"/>
    <w:rsid w:val="058C676D"/>
    <w:rsid w:val="059FC221"/>
    <w:rsid w:val="05D2E3BC"/>
    <w:rsid w:val="06269390"/>
    <w:rsid w:val="06272C7E"/>
    <w:rsid w:val="06442426"/>
    <w:rsid w:val="066D03E0"/>
    <w:rsid w:val="06776F24"/>
    <w:rsid w:val="06AFC630"/>
    <w:rsid w:val="06F47AA1"/>
    <w:rsid w:val="0706CC3D"/>
    <w:rsid w:val="073CDD80"/>
    <w:rsid w:val="078E7CF9"/>
    <w:rsid w:val="07C2D87F"/>
    <w:rsid w:val="07C531B1"/>
    <w:rsid w:val="07D5A462"/>
    <w:rsid w:val="07DE538D"/>
    <w:rsid w:val="07F157CA"/>
    <w:rsid w:val="0829FD1B"/>
    <w:rsid w:val="0837F953"/>
    <w:rsid w:val="08718ACD"/>
    <w:rsid w:val="08DC6588"/>
    <w:rsid w:val="0909DD2D"/>
    <w:rsid w:val="090DA103"/>
    <w:rsid w:val="090DB07B"/>
    <w:rsid w:val="091F2A02"/>
    <w:rsid w:val="0924061D"/>
    <w:rsid w:val="097511A4"/>
    <w:rsid w:val="0989FF43"/>
    <w:rsid w:val="09A2A524"/>
    <w:rsid w:val="09D311F1"/>
    <w:rsid w:val="0A025167"/>
    <w:rsid w:val="0A2DCA14"/>
    <w:rsid w:val="0A36AB20"/>
    <w:rsid w:val="0A45325A"/>
    <w:rsid w:val="0A73FF3F"/>
    <w:rsid w:val="0A8D0395"/>
    <w:rsid w:val="0B0548FE"/>
    <w:rsid w:val="0B057072"/>
    <w:rsid w:val="0B093755"/>
    <w:rsid w:val="0B5AA434"/>
    <w:rsid w:val="0B833B82"/>
    <w:rsid w:val="0BC47EAC"/>
    <w:rsid w:val="0BD8F5F5"/>
    <w:rsid w:val="0BDB3027"/>
    <w:rsid w:val="0C0EBD1B"/>
    <w:rsid w:val="0C1060F7"/>
    <w:rsid w:val="0C10AA36"/>
    <w:rsid w:val="0C4395DF"/>
    <w:rsid w:val="0C5A1430"/>
    <w:rsid w:val="0C5DC608"/>
    <w:rsid w:val="0C5EE3DD"/>
    <w:rsid w:val="0C5F77B2"/>
    <w:rsid w:val="0C9A9C9F"/>
    <w:rsid w:val="0CFC52A4"/>
    <w:rsid w:val="0D192E64"/>
    <w:rsid w:val="0D3D8922"/>
    <w:rsid w:val="0D5AF022"/>
    <w:rsid w:val="0D5CDF63"/>
    <w:rsid w:val="0DB0E48E"/>
    <w:rsid w:val="0DF0730D"/>
    <w:rsid w:val="0E1E2D7F"/>
    <w:rsid w:val="0E71222B"/>
    <w:rsid w:val="0EE74299"/>
    <w:rsid w:val="0F314CCD"/>
    <w:rsid w:val="0F90D3BC"/>
    <w:rsid w:val="0FA09F9E"/>
    <w:rsid w:val="0FB0F547"/>
    <w:rsid w:val="0FBBE3AB"/>
    <w:rsid w:val="0FEC2992"/>
    <w:rsid w:val="0FF3792B"/>
    <w:rsid w:val="0FFDC703"/>
    <w:rsid w:val="1003D4BA"/>
    <w:rsid w:val="1013A146"/>
    <w:rsid w:val="10748FEC"/>
    <w:rsid w:val="10876895"/>
    <w:rsid w:val="109C0EBD"/>
    <w:rsid w:val="10CEE731"/>
    <w:rsid w:val="10E42262"/>
    <w:rsid w:val="10F016B2"/>
    <w:rsid w:val="1107B8B2"/>
    <w:rsid w:val="1110126E"/>
    <w:rsid w:val="1150DD9F"/>
    <w:rsid w:val="11537A1E"/>
    <w:rsid w:val="11790A27"/>
    <w:rsid w:val="11C66087"/>
    <w:rsid w:val="11F2B295"/>
    <w:rsid w:val="11F9A5C2"/>
    <w:rsid w:val="121BB5D2"/>
    <w:rsid w:val="123B2E75"/>
    <w:rsid w:val="1266FD18"/>
    <w:rsid w:val="128225B6"/>
    <w:rsid w:val="129612B4"/>
    <w:rsid w:val="129E4865"/>
    <w:rsid w:val="12A8CDE1"/>
    <w:rsid w:val="132D4531"/>
    <w:rsid w:val="1330D525"/>
    <w:rsid w:val="13658994"/>
    <w:rsid w:val="137B86DE"/>
    <w:rsid w:val="139F3ADC"/>
    <w:rsid w:val="13A21737"/>
    <w:rsid w:val="13C0C1F9"/>
    <w:rsid w:val="13C968A5"/>
    <w:rsid w:val="1414B7B2"/>
    <w:rsid w:val="1455FF59"/>
    <w:rsid w:val="14E6A7B5"/>
    <w:rsid w:val="14EFBD35"/>
    <w:rsid w:val="158342B6"/>
    <w:rsid w:val="15C3173B"/>
    <w:rsid w:val="15E1FA55"/>
    <w:rsid w:val="1602EB42"/>
    <w:rsid w:val="160428B4"/>
    <w:rsid w:val="160BEBDB"/>
    <w:rsid w:val="163552BF"/>
    <w:rsid w:val="1639208B"/>
    <w:rsid w:val="1654F7E7"/>
    <w:rsid w:val="16B21FD7"/>
    <w:rsid w:val="16BCC44B"/>
    <w:rsid w:val="16CD589E"/>
    <w:rsid w:val="1709A442"/>
    <w:rsid w:val="173585AA"/>
    <w:rsid w:val="1737D182"/>
    <w:rsid w:val="1771B1B1"/>
    <w:rsid w:val="1786CF27"/>
    <w:rsid w:val="1793FD55"/>
    <w:rsid w:val="17A740ED"/>
    <w:rsid w:val="17CAE283"/>
    <w:rsid w:val="18280F8C"/>
    <w:rsid w:val="18882A21"/>
    <w:rsid w:val="189D5A7F"/>
    <w:rsid w:val="18C61573"/>
    <w:rsid w:val="18E599E4"/>
    <w:rsid w:val="18EA94D5"/>
    <w:rsid w:val="18F9016B"/>
    <w:rsid w:val="190EFF03"/>
    <w:rsid w:val="19DAE5FC"/>
    <w:rsid w:val="19E61F2F"/>
    <w:rsid w:val="19ED24B5"/>
    <w:rsid w:val="1A051F4F"/>
    <w:rsid w:val="1A2299DA"/>
    <w:rsid w:val="1A257E0A"/>
    <w:rsid w:val="1A31FC9D"/>
    <w:rsid w:val="1A661144"/>
    <w:rsid w:val="1ABD8C51"/>
    <w:rsid w:val="1AD3FE09"/>
    <w:rsid w:val="1ADC7FB4"/>
    <w:rsid w:val="1B14EA68"/>
    <w:rsid w:val="1B435A98"/>
    <w:rsid w:val="1B81DA82"/>
    <w:rsid w:val="1B82A725"/>
    <w:rsid w:val="1B8B3636"/>
    <w:rsid w:val="1BCCD025"/>
    <w:rsid w:val="1BFE184E"/>
    <w:rsid w:val="1C59BCDD"/>
    <w:rsid w:val="1C6576DC"/>
    <w:rsid w:val="1C912004"/>
    <w:rsid w:val="1CC8E5B5"/>
    <w:rsid w:val="1D544B30"/>
    <w:rsid w:val="1D7C069C"/>
    <w:rsid w:val="1DA1FA10"/>
    <w:rsid w:val="1DF28FD4"/>
    <w:rsid w:val="1E1F2571"/>
    <w:rsid w:val="1E53C0F8"/>
    <w:rsid w:val="1E69AFC0"/>
    <w:rsid w:val="1E6A2CB7"/>
    <w:rsid w:val="1E81CD17"/>
    <w:rsid w:val="1ED62E48"/>
    <w:rsid w:val="1EFAAE1C"/>
    <w:rsid w:val="1F0BB119"/>
    <w:rsid w:val="1F170A1E"/>
    <w:rsid w:val="1F1B64F5"/>
    <w:rsid w:val="1F3CA194"/>
    <w:rsid w:val="1FDB1DE7"/>
    <w:rsid w:val="2043C475"/>
    <w:rsid w:val="2073C97E"/>
    <w:rsid w:val="2089F2CB"/>
    <w:rsid w:val="20A1C53F"/>
    <w:rsid w:val="20CD56FC"/>
    <w:rsid w:val="20CFC6D2"/>
    <w:rsid w:val="20D17C39"/>
    <w:rsid w:val="20E1983F"/>
    <w:rsid w:val="21486612"/>
    <w:rsid w:val="214FEE80"/>
    <w:rsid w:val="21614B54"/>
    <w:rsid w:val="21AFCD34"/>
    <w:rsid w:val="21B1946E"/>
    <w:rsid w:val="21D1481B"/>
    <w:rsid w:val="21DF9644"/>
    <w:rsid w:val="21E8C856"/>
    <w:rsid w:val="221CCA27"/>
    <w:rsid w:val="225B0D14"/>
    <w:rsid w:val="22AA7471"/>
    <w:rsid w:val="22C76131"/>
    <w:rsid w:val="22EF4E02"/>
    <w:rsid w:val="231268B1"/>
    <w:rsid w:val="232C7181"/>
    <w:rsid w:val="235BBCDD"/>
    <w:rsid w:val="2360D099"/>
    <w:rsid w:val="23BB20A5"/>
    <w:rsid w:val="23EE9192"/>
    <w:rsid w:val="240F35F2"/>
    <w:rsid w:val="242C6FCB"/>
    <w:rsid w:val="24752A75"/>
    <w:rsid w:val="249D719F"/>
    <w:rsid w:val="24B4427D"/>
    <w:rsid w:val="24C087D6"/>
    <w:rsid w:val="24FF2F82"/>
    <w:rsid w:val="25291276"/>
    <w:rsid w:val="259D5E8E"/>
    <w:rsid w:val="25B6C415"/>
    <w:rsid w:val="25C4F899"/>
    <w:rsid w:val="25F82812"/>
    <w:rsid w:val="26171BD6"/>
    <w:rsid w:val="26307672"/>
    <w:rsid w:val="2645A21C"/>
    <w:rsid w:val="267DE415"/>
    <w:rsid w:val="2684DFE2"/>
    <w:rsid w:val="269B713F"/>
    <w:rsid w:val="26A05EFF"/>
    <w:rsid w:val="26C7A988"/>
    <w:rsid w:val="26CED074"/>
    <w:rsid w:val="26DC8279"/>
    <w:rsid w:val="26EBFF72"/>
    <w:rsid w:val="272C2C7B"/>
    <w:rsid w:val="272EAEDE"/>
    <w:rsid w:val="274752E0"/>
    <w:rsid w:val="2757D9EE"/>
    <w:rsid w:val="2774B08D"/>
    <w:rsid w:val="278F6D96"/>
    <w:rsid w:val="27986C84"/>
    <w:rsid w:val="27DEF2BF"/>
    <w:rsid w:val="2821606D"/>
    <w:rsid w:val="284EA148"/>
    <w:rsid w:val="28723C16"/>
    <w:rsid w:val="288BEF21"/>
    <w:rsid w:val="292F374D"/>
    <w:rsid w:val="2954AE7B"/>
    <w:rsid w:val="297938D2"/>
    <w:rsid w:val="29914885"/>
    <w:rsid w:val="29E19631"/>
    <w:rsid w:val="29EE49EB"/>
    <w:rsid w:val="29F449E1"/>
    <w:rsid w:val="2A0386A4"/>
    <w:rsid w:val="2AAB3E5F"/>
    <w:rsid w:val="2AC3872D"/>
    <w:rsid w:val="2AC71F5A"/>
    <w:rsid w:val="2AE70B90"/>
    <w:rsid w:val="2B29BB16"/>
    <w:rsid w:val="2B352527"/>
    <w:rsid w:val="2B63C0F0"/>
    <w:rsid w:val="2BBFDF85"/>
    <w:rsid w:val="2BDAB538"/>
    <w:rsid w:val="2C18DD24"/>
    <w:rsid w:val="2C20ECBB"/>
    <w:rsid w:val="2C2CE181"/>
    <w:rsid w:val="2C38BB07"/>
    <w:rsid w:val="2C3D4408"/>
    <w:rsid w:val="2C43D69B"/>
    <w:rsid w:val="2C4FB44B"/>
    <w:rsid w:val="2CDC07C5"/>
    <w:rsid w:val="2CFF5E5F"/>
    <w:rsid w:val="2D59154D"/>
    <w:rsid w:val="2DBA16BA"/>
    <w:rsid w:val="2DCE844E"/>
    <w:rsid w:val="2E576284"/>
    <w:rsid w:val="2E8B60DD"/>
    <w:rsid w:val="2E9119FD"/>
    <w:rsid w:val="2E94E7E0"/>
    <w:rsid w:val="2EC12016"/>
    <w:rsid w:val="2EC5EF20"/>
    <w:rsid w:val="2ED1FA44"/>
    <w:rsid w:val="2EF2B461"/>
    <w:rsid w:val="2F8AB6A9"/>
    <w:rsid w:val="2FD4826E"/>
    <w:rsid w:val="2FDBF1BE"/>
    <w:rsid w:val="3000F4B2"/>
    <w:rsid w:val="302982A6"/>
    <w:rsid w:val="302ABF4D"/>
    <w:rsid w:val="303DC9D6"/>
    <w:rsid w:val="306CA51F"/>
    <w:rsid w:val="3095AE69"/>
    <w:rsid w:val="30A8EEAD"/>
    <w:rsid w:val="30AF412C"/>
    <w:rsid w:val="30D43799"/>
    <w:rsid w:val="3128E9D2"/>
    <w:rsid w:val="314F31C0"/>
    <w:rsid w:val="3179D356"/>
    <w:rsid w:val="31AE0F3E"/>
    <w:rsid w:val="3221A867"/>
    <w:rsid w:val="3284C94D"/>
    <w:rsid w:val="328FD89C"/>
    <w:rsid w:val="32A63D95"/>
    <w:rsid w:val="32A911CD"/>
    <w:rsid w:val="32B20193"/>
    <w:rsid w:val="3304D8F5"/>
    <w:rsid w:val="33180647"/>
    <w:rsid w:val="33325DF6"/>
    <w:rsid w:val="33370991"/>
    <w:rsid w:val="33798A54"/>
    <w:rsid w:val="3394284E"/>
    <w:rsid w:val="33F2F85C"/>
    <w:rsid w:val="34083B2D"/>
    <w:rsid w:val="341D1800"/>
    <w:rsid w:val="3428814D"/>
    <w:rsid w:val="344B4C3B"/>
    <w:rsid w:val="345FA056"/>
    <w:rsid w:val="34683C45"/>
    <w:rsid w:val="34B07F5D"/>
    <w:rsid w:val="34D02E41"/>
    <w:rsid w:val="34D887C1"/>
    <w:rsid w:val="34DAFE28"/>
    <w:rsid w:val="34DFB731"/>
    <w:rsid w:val="34EE952E"/>
    <w:rsid w:val="35128A92"/>
    <w:rsid w:val="351A3956"/>
    <w:rsid w:val="35333B3D"/>
    <w:rsid w:val="35E7D585"/>
    <w:rsid w:val="35EABB2C"/>
    <w:rsid w:val="360E17DB"/>
    <w:rsid w:val="36473CDD"/>
    <w:rsid w:val="36525A9E"/>
    <w:rsid w:val="3666ED66"/>
    <w:rsid w:val="366C3645"/>
    <w:rsid w:val="36764693"/>
    <w:rsid w:val="3688155A"/>
    <w:rsid w:val="36D1ECCD"/>
    <w:rsid w:val="36E11CC4"/>
    <w:rsid w:val="3704C3AD"/>
    <w:rsid w:val="3732F497"/>
    <w:rsid w:val="37459CAF"/>
    <w:rsid w:val="3765C625"/>
    <w:rsid w:val="37959EFF"/>
    <w:rsid w:val="3797D617"/>
    <w:rsid w:val="37A0735C"/>
    <w:rsid w:val="37A2FD49"/>
    <w:rsid w:val="37BEE329"/>
    <w:rsid w:val="37FC2DFB"/>
    <w:rsid w:val="380C89B5"/>
    <w:rsid w:val="38374488"/>
    <w:rsid w:val="3857DC2C"/>
    <w:rsid w:val="385E1D8B"/>
    <w:rsid w:val="387DBC5B"/>
    <w:rsid w:val="38D00648"/>
    <w:rsid w:val="38E80E62"/>
    <w:rsid w:val="38FEE66D"/>
    <w:rsid w:val="39034247"/>
    <w:rsid w:val="390951A2"/>
    <w:rsid w:val="3939F08B"/>
    <w:rsid w:val="393D27B6"/>
    <w:rsid w:val="3945DE2A"/>
    <w:rsid w:val="3946BBC2"/>
    <w:rsid w:val="397EE4C1"/>
    <w:rsid w:val="39845FB0"/>
    <w:rsid w:val="398F0B78"/>
    <w:rsid w:val="39D12909"/>
    <w:rsid w:val="39D33841"/>
    <w:rsid w:val="3A22AD74"/>
    <w:rsid w:val="3A262C7B"/>
    <w:rsid w:val="3A56E92C"/>
    <w:rsid w:val="3A9BCB34"/>
    <w:rsid w:val="3A9D011D"/>
    <w:rsid w:val="3AAFF71C"/>
    <w:rsid w:val="3ADE4C8A"/>
    <w:rsid w:val="3AECD1F9"/>
    <w:rsid w:val="3B10AD4B"/>
    <w:rsid w:val="3B11B302"/>
    <w:rsid w:val="3B569F60"/>
    <w:rsid w:val="3B67EF72"/>
    <w:rsid w:val="3B94254A"/>
    <w:rsid w:val="3BA46D9B"/>
    <w:rsid w:val="3BD2B887"/>
    <w:rsid w:val="3BE88E84"/>
    <w:rsid w:val="3BFB3103"/>
    <w:rsid w:val="3C08BADE"/>
    <w:rsid w:val="3C63B369"/>
    <w:rsid w:val="3C768831"/>
    <w:rsid w:val="3C80CE64"/>
    <w:rsid w:val="3C813099"/>
    <w:rsid w:val="3CB0F78E"/>
    <w:rsid w:val="3CB84DAE"/>
    <w:rsid w:val="3CBB21F3"/>
    <w:rsid w:val="3CC9C0BB"/>
    <w:rsid w:val="3CE29120"/>
    <w:rsid w:val="3D06AFB4"/>
    <w:rsid w:val="3DB5EBAB"/>
    <w:rsid w:val="3E0C77A9"/>
    <w:rsid w:val="3E2F45DD"/>
    <w:rsid w:val="3E387FFF"/>
    <w:rsid w:val="3E406878"/>
    <w:rsid w:val="3E50F759"/>
    <w:rsid w:val="3E711EEB"/>
    <w:rsid w:val="3E991424"/>
    <w:rsid w:val="3E9A56BC"/>
    <w:rsid w:val="3EA5DCF6"/>
    <w:rsid w:val="3EB0DB63"/>
    <w:rsid w:val="3EF78352"/>
    <w:rsid w:val="3EFD3B49"/>
    <w:rsid w:val="3EFE52CF"/>
    <w:rsid w:val="3F7352D1"/>
    <w:rsid w:val="3F73AD81"/>
    <w:rsid w:val="3F93DC6C"/>
    <w:rsid w:val="3F95D623"/>
    <w:rsid w:val="3F962F3D"/>
    <w:rsid w:val="3FC79AD1"/>
    <w:rsid w:val="3FF7C1AB"/>
    <w:rsid w:val="400CB6A3"/>
    <w:rsid w:val="401F9B96"/>
    <w:rsid w:val="4059E0FF"/>
    <w:rsid w:val="406C3C8A"/>
    <w:rsid w:val="406C5BFB"/>
    <w:rsid w:val="409CE258"/>
    <w:rsid w:val="40BDEB66"/>
    <w:rsid w:val="40DA0FF3"/>
    <w:rsid w:val="40E73586"/>
    <w:rsid w:val="4104D1AC"/>
    <w:rsid w:val="4123163B"/>
    <w:rsid w:val="41389BF3"/>
    <w:rsid w:val="417695F8"/>
    <w:rsid w:val="417FEC4B"/>
    <w:rsid w:val="418EDAB6"/>
    <w:rsid w:val="41AA5D55"/>
    <w:rsid w:val="41D8EF11"/>
    <w:rsid w:val="41D91821"/>
    <w:rsid w:val="41E76D04"/>
    <w:rsid w:val="41FA78C5"/>
    <w:rsid w:val="42A5835E"/>
    <w:rsid w:val="4358DA71"/>
    <w:rsid w:val="437C34F0"/>
    <w:rsid w:val="4385C8F2"/>
    <w:rsid w:val="43D97790"/>
    <w:rsid w:val="43E274F2"/>
    <w:rsid w:val="43E9D586"/>
    <w:rsid w:val="443DB5CA"/>
    <w:rsid w:val="445A9873"/>
    <w:rsid w:val="445BFDB0"/>
    <w:rsid w:val="449FA80B"/>
    <w:rsid w:val="44A79E55"/>
    <w:rsid w:val="44AEBA34"/>
    <w:rsid w:val="44D1EE21"/>
    <w:rsid w:val="44E5658F"/>
    <w:rsid w:val="4521870A"/>
    <w:rsid w:val="4534A1FE"/>
    <w:rsid w:val="453563AE"/>
    <w:rsid w:val="455EEDF8"/>
    <w:rsid w:val="45B99D08"/>
    <w:rsid w:val="45DFB386"/>
    <w:rsid w:val="45E1C66B"/>
    <w:rsid w:val="45F6EC72"/>
    <w:rsid w:val="4613F5BA"/>
    <w:rsid w:val="463208F5"/>
    <w:rsid w:val="4675AE46"/>
    <w:rsid w:val="46912748"/>
    <w:rsid w:val="46AB5FB4"/>
    <w:rsid w:val="47BB90F3"/>
    <w:rsid w:val="47BDE862"/>
    <w:rsid w:val="47C652E7"/>
    <w:rsid w:val="4800E650"/>
    <w:rsid w:val="481BAE8A"/>
    <w:rsid w:val="4869F487"/>
    <w:rsid w:val="48C4855C"/>
    <w:rsid w:val="48ECA49D"/>
    <w:rsid w:val="48ED9C5B"/>
    <w:rsid w:val="48FDD5BE"/>
    <w:rsid w:val="490CA960"/>
    <w:rsid w:val="49126027"/>
    <w:rsid w:val="491613BA"/>
    <w:rsid w:val="49451B85"/>
    <w:rsid w:val="497BE4EC"/>
    <w:rsid w:val="499005D1"/>
    <w:rsid w:val="49AF34B2"/>
    <w:rsid w:val="4A07427C"/>
    <w:rsid w:val="4A3CFFC2"/>
    <w:rsid w:val="4A43CC18"/>
    <w:rsid w:val="4A566798"/>
    <w:rsid w:val="4A6DCC6F"/>
    <w:rsid w:val="4A7926DD"/>
    <w:rsid w:val="4A7E93CA"/>
    <w:rsid w:val="4A8544AB"/>
    <w:rsid w:val="4ACB050C"/>
    <w:rsid w:val="4AD814E8"/>
    <w:rsid w:val="4BE0ACDB"/>
    <w:rsid w:val="4C0925F6"/>
    <w:rsid w:val="4C4EF18B"/>
    <w:rsid w:val="4C50BE26"/>
    <w:rsid w:val="4C967272"/>
    <w:rsid w:val="4D3852E9"/>
    <w:rsid w:val="4D448BEA"/>
    <w:rsid w:val="4D75E5E3"/>
    <w:rsid w:val="4D7A4F13"/>
    <w:rsid w:val="4D85C96B"/>
    <w:rsid w:val="4DCF63B9"/>
    <w:rsid w:val="4E005BD5"/>
    <w:rsid w:val="4E0351D5"/>
    <w:rsid w:val="4E13C46D"/>
    <w:rsid w:val="4E2FD847"/>
    <w:rsid w:val="4E4A5E31"/>
    <w:rsid w:val="4E646371"/>
    <w:rsid w:val="4E9ACF0A"/>
    <w:rsid w:val="4EA0DF0E"/>
    <w:rsid w:val="4EC0FA69"/>
    <w:rsid w:val="4EC6649B"/>
    <w:rsid w:val="4EF5A3E6"/>
    <w:rsid w:val="4F0AE949"/>
    <w:rsid w:val="4F1E8D2C"/>
    <w:rsid w:val="4F3517C0"/>
    <w:rsid w:val="4FA4D7D0"/>
    <w:rsid w:val="4FB938DA"/>
    <w:rsid w:val="5009B2EF"/>
    <w:rsid w:val="5030EECF"/>
    <w:rsid w:val="5087B3D7"/>
    <w:rsid w:val="508D34BB"/>
    <w:rsid w:val="50A64E2C"/>
    <w:rsid w:val="50BF2FA5"/>
    <w:rsid w:val="50D0CAAE"/>
    <w:rsid w:val="50EB1729"/>
    <w:rsid w:val="50F4E492"/>
    <w:rsid w:val="51158873"/>
    <w:rsid w:val="514D0622"/>
    <w:rsid w:val="5157C2E7"/>
    <w:rsid w:val="515D45FB"/>
    <w:rsid w:val="51710CB3"/>
    <w:rsid w:val="519432B4"/>
    <w:rsid w:val="51B9F8C6"/>
    <w:rsid w:val="51DE24C7"/>
    <w:rsid w:val="521F3653"/>
    <w:rsid w:val="5257B290"/>
    <w:rsid w:val="528CAC16"/>
    <w:rsid w:val="52CD560C"/>
    <w:rsid w:val="52E64EA1"/>
    <w:rsid w:val="530C9DDF"/>
    <w:rsid w:val="532ED7BC"/>
    <w:rsid w:val="5386C6C8"/>
    <w:rsid w:val="538BAB75"/>
    <w:rsid w:val="53B4EBE4"/>
    <w:rsid w:val="53B73468"/>
    <w:rsid w:val="53F83A54"/>
    <w:rsid w:val="54186B8B"/>
    <w:rsid w:val="542352D1"/>
    <w:rsid w:val="5429B42A"/>
    <w:rsid w:val="544BCB0A"/>
    <w:rsid w:val="544D177D"/>
    <w:rsid w:val="544F8FE2"/>
    <w:rsid w:val="550DD37A"/>
    <w:rsid w:val="5518C071"/>
    <w:rsid w:val="55216E35"/>
    <w:rsid w:val="552E49EC"/>
    <w:rsid w:val="553B2DCC"/>
    <w:rsid w:val="554256EC"/>
    <w:rsid w:val="559E1FB5"/>
    <w:rsid w:val="55C9A89B"/>
    <w:rsid w:val="55D02CE0"/>
    <w:rsid w:val="55E30BD2"/>
    <w:rsid w:val="56002D08"/>
    <w:rsid w:val="56062124"/>
    <w:rsid w:val="56124091"/>
    <w:rsid w:val="5619A625"/>
    <w:rsid w:val="566372B4"/>
    <w:rsid w:val="5697EE0B"/>
    <w:rsid w:val="56C1BAB8"/>
    <w:rsid w:val="56C1CC22"/>
    <w:rsid w:val="56D00135"/>
    <w:rsid w:val="570981F6"/>
    <w:rsid w:val="575D7B9F"/>
    <w:rsid w:val="5767D54F"/>
    <w:rsid w:val="57983874"/>
    <w:rsid w:val="57A4674F"/>
    <w:rsid w:val="57E00B13"/>
    <w:rsid w:val="57E469BA"/>
    <w:rsid w:val="58021692"/>
    <w:rsid w:val="585A079A"/>
    <w:rsid w:val="58611EE8"/>
    <w:rsid w:val="588742BE"/>
    <w:rsid w:val="58AACFE6"/>
    <w:rsid w:val="58B26B0D"/>
    <w:rsid w:val="58CB1D29"/>
    <w:rsid w:val="59327710"/>
    <w:rsid w:val="596C13CF"/>
    <w:rsid w:val="599431D7"/>
    <w:rsid w:val="59CDBCC6"/>
    <w:rsid w:val="59D1A0C7"/>
    <w:rsid w:val="59D3246B"/>
    <w:rsid w:val="5A07946E"/>
    <w:rsid w:val="5A4EC5C9"/>
    <w:rsid w:val="5A5FF87F"/>
    <w:rsid w:val="5A658533"/>
    <w:rsid w:val="5A89ECB2"/>
    <w:rsid w:val="5A8ECF09"/>
    <w:rsid w:val="5A9105BD"/>
    <w:rsid w:val="5ABF6FF4"/>
    <w:rsid w:val="5AEE05D8"/>
    <w:rsid w:val="5B07DCB6"/>
    <w:rsid w:val="5B101926"/>
    <w:rsid w:val="5B40B97F"/>
    <w:rsid w:val="5B52A3D1"/>
    <w:rsid w:val="5B593788"/>
    <w:rsid w:val="5CBB6654"/>
    <w:rsid w:val="5D1C9566"/>
    <w:rsid w:val="5D385690"/>
    <w:rsid w:val="5D6CC7CF"/>
    <w:rsid w:val="5D805F3A"/>
    <w:rsid w:val="5D860583"/>
    <w:rsid w:val="5D9A7381"/>
    <w:rsid w:val="5D9B3343"/>
    <w:rsid w:val="5DC79E4D"/>
    <w:rsid w:val="5DC9D422"/>
    <w:rsid w:val="5DFEF360"/>
    <w:rsid w:val="5E0C9EA6"/>
    <w:rsid w:val="5E398B8C"/>
    <w:rsid w:val="5E409B00"/>
    <w:rsid w:val="5E5C8327"/>
    <w:rsid w:val="5EA09D51"/>
    <w:rsid w:val="5EC60D0D"/>
    <w:rsid w:val="5F1671DF"/>
    <w:rsid w:val="5F2B886B"/>
    <w:rsid w:val="5F60833A"/>
    <w:rsid w:val="5FC016F2"/>
    <w:rsid w:val="5FEA8179"/>
    <w:rsid w:val="5FED3DC1"/>
    <w:rsid w:val="60242393"/>
    <w:rsid w:val="60575ABD"/>
    <w:rsid w:val="607A5B46"/>
    <w:rsid w:val="607BB6AA"/>
    <w:rsid w:val="60829847"/>
    <w:rsid w:val="6091BC4F"/>
    <w:rsid w:val="60ACD25F"/>
    <w:rsid w:val="60C25B34"/>
    <w:rsid w:val="60C28956"/>
    <w:rsid w:val="6117AA2E"/>
    <w:rsid w:val="614C403E"/>
    <w:rsid w:val="614E8166"/>
    <w:rsid w:val="615B5282"/>
    <w:rsid w:val="617FF8DD"/>
    <w:rsid w:val="61A1A524"/>
    <w:rsid w:val="61D486D3"/>
    <w:rsid w:val="61E665B4"/>
    <w:rsid w:val="61F00D1A"/>
    <w:rsid w:val="61F31A5F"/>
    <w:rsid w:val="61F5DA58"/>
    <w:rsid w:val="61FBA9EC"/>
    <w:rsid w:val="620EE9A2"/>
    <w:rsid w:val="6214998F"/>
    <w:rsid w:val="622911A9"/>
    <w:rsid w:val="6253ECC2"/>
    <w:rsid w:val="6272C4C0"/>
    <w:rsid w:val="62C51D67"/>
    <w:rsid w:val="62EBFB13"/>
    <w:rsid w:val="62FF94B7"/>
    <w:rsid w:val="6322494C"/>
    <w:rsid w:val="634A432E"/>
    <w:rsid w:val="635179D9"/>
    <w:rsid w:val="6352483C"/>
    <w:rsid w:val="63581CF7"/>
    <w:rsid w:val="63AE8152"/>
    <w:rsid w:val="63C01EF2"/>
    <w:rsid w:val="63CD9972"/>
    <w:rsid w:val="63FF0FF7"/>
    <w:rsid w:val="644EB988"/>
    <w:rsid w:val="6457A9D9"/>
    <w:rsid w:val="646CA1F4"/>
    <w:rsid w:val="647FA879"/>
    <w:rsid w:val="64B1CDEA"/>
    <w:rsid w:val="64CE6C4B"/>
    <w:rsid w:val="651A4E71"/>
    <w:rsid w:val="651BA3F9"/>
    <w:rsid w:val="653BEB1D"/>
    <w:rsid w:val="656A7508"/>
    <w:rsid w:val="656C627A"/>
    <w:rsid w:val="65740F45"/>
    <w:rsid w:val="65AB5A3B"/>
    <w:rsid w:val="65ABE055"/>
    <w:rsid w:val="65E1B03D"/>
    <w:rsid w:val="6601A6FA"/>
    <w:rsid w:val="66654488"/>
    <w:rsid w:val="666783D5"/>
    <w:rsid w:val="6677D1F4"/>
    <w:rsid w:val="66D3D5DF"/>
    <w:rsid w:val="66F6296C"/>
    <w:rsid w:val="6705F2C5"/>
    <w:rsid w:val="67102186"/>
    <w:rsid w:val="67326245"/>
    <w:rsid w:val="67340DCD"/>
    <w:rsid w:val="6737727A"/>
    <w:rsid w:val="673D7D79"/>
    <w:rsid w:val="67B29BAF"/>
    <w:rsid w:val="67B5970C"/>
    <w:rsid w:val="67D9F82B"/>
    <w:rsid w:val="67FD1BD9"/>
    <w:rsid w:val="682342B3"/>
    <w:rsid w:val="684263F8"/>
    <w:rsid w:val="684A9575"/>
    <w:rsid w:val="68570CAD"/>
    <w:rsid w:val="68621C40"/>
    <w:rsid w:val="68CA87CD"/>
    <w:rsid w:val="68DFEB81"/>
    <w:rsid w:val="68F020DF"/>
    <w:rsid w:val="68F6D363"/>
    <w:rsid w:val="68FDAA11"/>
    <w:rsid w:val="6901DEAE"/>
    <w:rsid w:val="6906184C"/>
    <w:rsid w:val="690C3368"/>
    <w:rsid w:val="69361873"/>
    <w:rsid w:val="6937243B"/>
    <w:rsid w:val="693AE380"/>
    <w:rsid w:val="695E1B57"/>
    <w:rsid w:val="696FF5B4"/>
    <w:rsid w:val="69C99341"/>
    <w:rsid w:val="69CF0DED"/>
    <w:rsid w:val="69F94483"/>
    <w:rsid w:val="6A03C01F"/>
    <w:rsid w:val="6A294243"/>
    <w:rsid w:val="6A3EBFA4"/>
    <w:rsid w:val="6A572A87"/>
    <w:rsid w:val="6A7DBBE5"/>
    <w:rsid w:val="6A8F802F"/>
    <w:rsid w:val="6A94F04E"/>
    <w:rsid w:val="6AA296E8"/>
    <w:rsid w:val="6AB6B164"/>
    <w:rsid w:val="6AC75BD5"/>
    <w:rsid w:val="6AFCA228"/>
    <w:rsid w:val="6B3141D6"/>
    <w:rsid w:val="6B7E1369"/>
    <w:rsid w:val="6B91AC21"/>
    <w:rsid w:val="6BD87E64"/>
    <w:rsid w:val="6C0D7EBF"/>
    <w:rsid w:val="6C1EF5F9"/>
    <w:rsid w:val="6C44DDD2"/>
    <w:rsid w:val="6C4C189B"/>
    <w:rsid w:val="6C5E6678"/>
    <w:rsid w:val="6C8E1CA9"/>
    <w:rsid w:val="6CC3AE7A"/>
    <w:rsid w:val="6CDC2F8A"/>
    <w:rsid w:val="6D06879E"/>
    <w:rsid w:val="6D0AF897"/>
    <w:rsid w:val="6D0E5783"/>
    <w:rsid w:val="6D31D2D2"/>
    <w:rsid w:val="6D6EED2C"/>
    <w:rsid w:val="6D700A54"/>
    <w:rsid w:val="6D9F6ADE"/>
    <w:rsid w:val="6DABDA0B"/>
    <w:rsid w:val="6DACBF80"/>
    <w:rsid w:val="6DBA5D7B"/>
    <w:rsid w:val="6DD8D4C6"/>
    <w:rsid w:val="6DFED9E2"/>
    <w:rsid w:val="6E5BE62A"/>
    <w:rsid w:val="6E9608B9"/>
    <w:rsid w:val="6EBBBC31"/>
    <w:rsid w:val="6EC27C94"/>
    <w:rsid w:val="6ECD3F6D"/>
    <w:rsid w:val="6F073785"/>
    <w:rsid w:val="6F24E75E"/>
    <w:rsid w:val="6F3B52FF"/>
    <w:rsid w:val="6F3BBD88"/>
    <w:rsid w:val="6F598A9A"/>
    <w:rsid w:val="6F5FF0DE"/>
    <w:rsid w:val="6F60C688"/>
    <w:rsid w:val="6F63C37D"/>
    <w:rsid w:val="6F734326"/>
    <w:rsid w:val="6F999952"/>
    <w:rsid w:val="6F9BABEE"/>
    <w:rsid w:val="6FB72143"/>
    <w:rsid w:val="6FDA5556"/>
    <w:rsid w:val="6FE0C2BB"/>
    <w:rsid w:val="6FE95C36"/>
    <w:rsid w:val="6FEDAE15"/>
    <w:rsid w:val="704F767F"/>
    <w:rsid w:val="709868D4"/>
    <w:rsid w:val="70AC7802"/>
    <w:rsid w:val="70BF5028"/>
    <w:rsid w:val="71171ABB"/>
    <w:rsid w:val="71302BB1"/>
    <w:rsid w:val="7136BA47"/>
    <w:rsid w:val="7159A8D0"/>
    <w:rsid w:val="717D561F"/>
    <w:rsid w:val="7181FC6F"/>
    <w:rsid w:val="71AD4517"/>
    <w:rsid w:val="71D124AA"/>
    <w:rsid w:val="72030EE9"/>
    <w:rsid w:val="72C0E3FA"/>
    <w:rsid w:val="7303C0F4"/>
    <w:rsid w:val="732D6748"/>
    <w:rsid w:val="733BC9EE"/>
    <w:rsid w:val="73429148"/>
    <w:rsid w:val="736569E1"/>
    <w:rsid w:val="736C1F0F"/>
    <w:rsid w:val="738F6BE6"/>
    <w:rsid w:val="73A40EB4"/>
    <w:rsid w:val="73B52226"/>
    <w:rsid w:val="73B9291D"/>
    <w:rsid w:val="73BE233E"/>
    <w:rsid w:val="73C2596F"/>
    <w:rsid w:val="73CCB87A"/>
    <w:rsid w:val="73D40841"/>
    <w:rsid w:val="73EE1EAF"/>
    <w:rsid w:val="741CE6E7"/>
    <w:rsid w:val="7458B3FC"/>
    <w:rsid w:val="746101B3"/>
    <w:rsid w:val="7488D871"/>
    <w:rsid w:val="7495B3B6"/>
    <w:rsid w:val="74BE7B0F"/>
    <w:rsid w:val="74FEC1AA"/>
    <w:rsid w:val="751AC4D7"/>
    <w:rsid w:val="7580814B"/>
    <w:rsid w:val="758E9A8E"/>
    <w:rsid w:val="75A250C5"/>
    <w:rsid w:val="75A83390"/>
    <w:rsid w:val="75EC5C64"/>
    <w:rsid w:val="7644F3D8"/>
    <w:rsid w:val="764B0220"/>
    <w:rsid w:val="765BCC59"/>
    <w:rsid w:val="7663E1ED"/>
    <w:rsid w:val="766EA316"/>
    <w:rsid w:val="7675D7BD"/>
    <w:rsid w:val="769D7333"/>
    <w:rsid w:val="76A99C03"/>
    <w:rsid w:val="76C92C20"/>
    <w:rsid w:val="76C96D2B"/>
    <w:rsid w:val="76C9AD8F"/>
    <w:rsid w:val="76F6542A"/>
    <w:rsid w:val="773DA6A9"/>
    <w:rsid w:val="778EF173"/>
    <w:rsid w:val="77A92E1B"/>
    <w:rsid w:val="77BECB07"/>
    <w:rsid w:val="781642C1"/>
    <w:rsid w:val="782A46F2"/>
    <w:rsid w:val="78540962"/>
    <w:rsid w:val="7897684B"/>
    <w:rsid w:val="78CCEECE"/>
    <w:rsid w:val="79143811"/>
    <w:rsid w:val="79226B66"/>
    <w:rsid w:val="7943331D"/>
    <w:rsid w:val="79572511"/>
    <w:rsid w:val="79A4EC27"/>
    <w:rsid w:val="79AEC4DF"/>
    <w:rsid w:val="79BAD1FD"/>
    <w:rsid w:val="7A0227D2"/>
    <w:rsid w:val="7A0C0304"/>
    <w:rsid w:val="7A0D3196"/>
    <w:rsid w:val="7A0DD77E"/>
    <w:rsid w:val="7A0FBEEE"/>
    <w:rsid w:val="7A1F9924"/>
    <w:rsid w:val="7A52AE04"/>
    <w:rsid w:val="7ACA8707"/>
    <w:rsid w:val="7AD6DA35"/>
    <w:rsid w:val="7AE9FB2D"/>
    <w:rsid w:val="7AF12F45"/>
    <w:rsid w:val="7B9FBF71"/>
    <w:rsid w:val="7BA6EF3F"/>
    <w:rsid w:val="7C39A4A5"/>
    <w:rsid w:val="7C3E8CE1"/>
    <w:rsid w:val="7D06078C"/>
    <w:rsid w:val="7D681C6E"/>
    <w:rsid w:val="7D72FE5F"/>
    <w:rsid w:val="7DA343A1"/>
    <w:rsid w:val="7DAF2EB6"/>
    <w:rsid w:val="7DC510FC"/>
    <w:rsid w:val="7DFF4A64"/>
    <w:rsid w:val="7E25369B"/>
    <w:rsid w:val="7E5C86C0"/>
    <w:rsid w:val="7E628E70"/>
    <w:rsid w:val="7EAD91B0"/>
    <w:rsid w:val="7ECDFE11"/>
    <w:rsid w:val="7F1BC3F8"/>
    <w:rsid w:val="7F4B0289"/>
    <w:rsid w:val="7F706EEA"/>
    <w:rsid w:val="7FA636AF"/>
    <w:rsid w:val="7FAA8461"/>
    <w:rsid w:val="7FCBD5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CBD320"/>
  <w15:chartTrackingRefBased/>
  <w15:docId w15:val="{CB76346A-61AC-4157-820C-1DE485455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rsid w:val="41AA5D5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uiPriority w:val="9"/>
    <w:unhideWhenUsed/>
    <w:qFormat/>
    <w:rsid w:val="41AA5D5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4FA4D7D0"/>
    <w:pPr>
      <w:ind w:left="720"/>
      <w:contextualSpacing/>
    </w:pPr>
  </w:style>
  <w:style w:type="character" w:styleId="Hyperlink">
    <w:name w:val="Hyperlink"/>
    <w:basedOn w:val="DefaultParagraphFont"/>
    <w:uiPriority w:val="99"/>
    <w:unhideWhenUsed/>
    <w:rsid w:val="4FA4D7D0"/>
    <w:rPr>
      <w:color w:val="467886"/>
      <w:u w:val="single"/>
    </w:rPr>
  </w:style>
  <w:style w:type="character" w:styleId="CommentReference">
    <w:name w:val="annotation reference"/>
    <w:basedOn w:val="DefaultParagraphFont"/>
    <w:uiPriority w:val="99"/>
    <w:semiHidden/>
    <w:unhideWhenUsed/>
    <w:rsid w:val="00D63CC2"/>
    <w:rPr>
      <w:sz w:val="16"/>
      <w:szCs w:val="16"/>
    </w:rPr>
  </w:style>
  <w:style w:type="paragraph" w:styleId="CommentText">
    <w:name w:val="annotation text"/>
    <w:basedOn w:val="Normal"/>
    <w:link w:val="CommentTextChar"/>
    <w:uiPriority w:val="99"/>
    <w:unhideWhenUsed/>
    <w:rsid w:val="00D63CC2"/>
    <w:pPr>
      <w:spacing w:line="240" w:lineRule="auto"/>
    </w:pPr>
    <w:rPr>
      <w:sz w:val="20"/>
      <w:szCs w:val="20"/>
    </w:rPr>
  </w:style>
  <w:style w:type="character" w:styleId="CommentTextChar" w:customStyle="1">
    <w:name w:val="Comment Text Char"/>
    <w:basedOn w:val="DefaultParagraphFont"/>
    <w:link w:val="CommentText"/>
    <w:uiPriority w:val="99"/>
    <w:rsid w:val="00D63CC2"/>
    <w:rPr>
      <w:sz w:val="20"/>
      <w:szCs w:val="20"/>
    </w:rPr>
  </w:style>
  <w:style w:type="paragraph" w:styleId="CommentSubject">
    <w:name w:val="annotation subject"/>
    <w:basedOn w:val="CommentText"/>
    <w:next w:val="CommentText"/>
    <w:link w:val="CommentSubjectChar"/>
    <w:uiPriority w:val="99"/>
    <w:semiHidden/>
    <w:unhideWhenUsed/>
    <w:rsid w:val="00D63CC2"/>
    <w:rPr>
      <w:b/>
      <w:bCs/>
    </w:rPr>
  </w:style>
  <w:style w:type="character" w:styleId="CommentSubjectChar" w:customStyle="1">
    <w:name w:val="Comment Subject Char"/>
    <w:basedOn w:val="CommentTextChar"/>
    <w:link w:val="CommentSubject"/>
    <w:uiPriority w:val="99"/>
    <w:semiHidden/>
    <w:rsid w:val="00D63CC2"/>
    <w:rPr>
      <w:b/>
      <w:bCs/>
      <w:sz w:val="20"/>
      <w:szCs w:val="20"/>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8B0AA0"/>
    <w:pPr>
      <w:tabs>
        <w:tab w:val="center" w:pos="4513"/>
        <w:tab w:val="right" w:pos="9026"/>
      </w:tabs>
      <w:spacing w:after="0" w:line="240" w:lineRule="auto"/>
    </w:pPr>
  </w:style>
  <w:style w:type="character" w:styleId="HeaderChar" w:customStyle="1">
    <w:name w:val="Header Char"/>
    <w:basedOn w:val="DefaultParagraphFont"/>
    <w:link w:val="Header"/>
    <w:uiPriority w:val="99"/>
    <w:rsid w:val="008B0AA0"/>
  </w:style>
  <w:style w:type="paragraph" w:styleId="Footer">
    <w:name w:val="footer"/>
    <w:basedOn w:val="Normal"/>
    <w:link w:val="FooterChar"/>
    <w:uiPriority w:val="99"/>
    <w:unhideWhenUsed/>
    <w:rsid w:val="008B0AA0"/>
    <w:pPr>
      <w:tabs>
        <w:tab w:val="center" w:pos="4513"/>
        <w:tab w:val="right" w:pos="9026"/>
      </w:tabs>
      <w:spacing w:after="0" w:line="240" w:lineRule="auto"/>
    </w:pPr>
  </w:style>
  <w:style w:type="character" w:styleId="FooterChar" w:customStyle="1">
    <w:name w:val="Footer Char"/>
    <w:basedOn w:val="DefaultParagraphFont"/>
    <w:link w:val="Footer"/>
    <w:uiPriority w:val="99"/>
    <w:rsid w:val="008B0AA0"/>
  </w:style>
  <w:style w:type="character" w:styleId="UnresolvedMention">
    <w:name w:val="Unresolved Mention"/>
    <w:basedOn w:val="DefaultParagraphFont"/>
    <w:uiPriority w:val="99"/>
    <w:semiHidden/>
    <w:unhideWhenUsed/>
    <w:rsid w:val="008A1B7D"/>
    <w:rPr>
      <w:color w:val="605E5C"/>
      <w:shd w:val="clear" w:color="auto" w:fill="E1DFDD"/>
    </w:rPr>
  </w:style>
  <w:style w:type="paragraph" w:styleId="TOC1">
    <w:uiPriority w:val="39"/>
    <w:name w:val="toc 1"/>
    <w:basedOn w:val="Normal"/>
    <w:next w:val="Normal"/>
    <w:unhideWhenUsed/>
    <w:rsid w:val="7AD6DA35"/>
    <w:pPr>
      <w:spacing w:after="100"/>
    </w:pPr>
  </w:style>
  <w:style w:type="paragraph" w:styleId="TOC2">
    <w:uiPriority w:val="39"/>
    <w:name w:val="toc 2"/>
    <w:basedOn w:val="Normal"/>
    <w:next w:val="Normal"/>
    <w:unhideWhenUsed/>
    <w:rsid w:val="7AD6DA35"/>
    <w:pPr>
      <w:spacing w:after="100"/>
      <w:ind w:left="220"/>
    </w:pPr>
  </w:style>
  <w:style w:type="paragraph" w:styleId="TOC3">
    <w:uiPriority w:val="39"/>
    <w:name w:val="toc 3"/>
    <w:basedOn w:val="Normal"/>
    <w:next w:val="Normal"/>
    <w:unhideWhenUsed/>
    <w:rsid w:val="7AD6DA3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microsoft.com/office/2016/09/relationships/commentsIds" Target="commentsIds.xml" Id="rId12" /><Relationship Type="http://schemas.openxmlformats.org/officeDocument/2006/relationships/customXml" Target="../customXml/item2.xml" Id="rId2" /><Relationship Type="http://schemas.microsoft.com/office/2011/relationships/people" Target="people.xml" Id="rId29" /><Relationship Type="http://schemas.openxmlformats.org/officeDocument/2006/relationships/customXml" Target="../customXml/item1.xml" Id="rId1" /><Relationship Type="http://schemas.openxmlformats.org/officeDocument/2006/relationships/settings" Target="settings.xml" Id="rId6" /><Relationship Type="http://schemas.microsoft.com/office/2011/relationships/commentsExtended" Target="commentsExtended.xml" Id="rId11" /><Relationship Type="http://schemas.openxmlformats.org/officeDocument/2006/relationships/styles" Target="styles.xml" Id="rId5" /><Relationship Type="http://schemas.openxmlformats.org/officeDocument/2006/relationships/fontTable" Target="fontTable.xml" Id="rId28" /><Relationship Type="http://schemas.microsoft.com/office/2020/10/relationships/intelligence" Target="intelligence2.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30" /><Relationship Type="http://schemas.openxmlformats.org/officeDocument/2006/relationships/image" Target="/media/image.png" Id="rId767850174" /><Relationship Type="http://schemas.openxmlformats.org/officeDocument/2006/relationships/hyperlink" Target="https://www.gov.uk/government/publications/government-response-to-the-post-office-horizon-it-inquiry-report-volume-1" TargetMode="External" Id="R90f75ec20c4e4f61" /><Relationship Type="http://schemas.openxmlformats.org/officeDocument/2006/relationships/hyperlink" Target="https://www.postoffice.co.uk/" TargetMode="External" Id="Ra803c8955a584de1" /><Relationship Type="http://schemas.openxmlformats.org/officeDocument/2006/relationships/hyperlink" Target="https://www.postofficehorizoninquiry.org.uk/" TargetMode="External" Id="R3e464bcd3f71408a" /><Relationship Type="http://schemas.openxmlformats.org/officeDocument/2006/relationships/hyperlink" Target="https://publications.parliament.uk/pa/cm5901/cmselect/cmbeis/969/report.html" TargetMode="External" Id="Rc9ac00c9b2af4156" /><Relationship Type="http://schemas.openxmlformats.org/officeDocument/2006/relationships/hyperlink" Target="https://www.theregister.com/2025/05/14/post_office_horizon_support/" TargetMode="External" Id="Rf4e1d6f2820d4fdd" /><Relationship Type="http://schemas.openxmlformats.org/officeDocument/2006/relationships/hyperlink" Target="https://www.theguardian.com/uk-news/2026/jan/31/post-office-workers-horizon-compensation-scheme-deadline" TargetMode="External" Id="R7c23c0a2e66b4103" /><Relationship Type="http://schemas.openxmlformats.org/officeDocument/2006/relationships/hyperlink" Target="https://doi.org/10.14296/deeslr.v17i0.5226" TargetMode="External" Id="Raec06d210af2454d" /><Relationship Type="http://schemas.openxmlformats.org/officeDocument/2006/relationships/hyperlink" Target="https://doi.org/10.1093/itnow/bwaf031" TargetMode="External" Id="R1ac2d787ebc44bfd" /><Relationship Type="http://schemas.openxmlformats.org/officeDocument/2006/relationships/hyperlink" Target="https://www.gov.uk/government/publications/government-response-to-the-post-office-horizon-it-inquiry-report-volume-1" TargetMode="External" Id="Rc154d5b4f7114074" /><Relationship Type="http://schemas.openxmlformats.org/officeDocument/2006/relationships/hyperlink" Target="https://www.gov.uk/government/publications/" TargetMode="External" Id="R55b4ff361fc14912" /><Relationship Type="http://schemas.openxmlformats.org/officeDocument/2006/relationships/hyperlink" Target="https://doi.org/10.5465/amj.2024.1166" TargetMode="External" Id="R544a3bd092784927" /><Relationship Type="http://schemas.openxmlformats.org/officeDocument/2006/relationships/hyperlink" Target="https://doi.org/10.37307/j.1867-8394.2026.02.05" TargetMode="External" Id="Rad19230e0faf46cf" /><Relationship Type="http://schemas.openxmlformats.org/officeDocument/2006/relationships/hyperlink" Target="https://bpspsychub.onlinelibrary.wiley.com/doi/10.1111/lcrp.12247" TargetMode="External" Id="R0ca51be5a1444b36" /><Relationship Type="http://schemas.openxmlformats.org/officeDocument/2006/relationships/hyperlink" Target="https://academic.oup.com/itnow/article-abstract/66/3/48/7724813?redirectedFrom=fulltext&amp;login=true" TargetMode="External" Id="R997d9f0a2ae04437" /><Relationship Type="http://schemas.openxmlformats.org/officeDocument/2006/relationships/hyperlink" Target="https://journals.sagepub.com/doi/abs/10.1177/1098214005283748" TargetMode="External" Id="R966dfc69ca50436c" /><Relationship Type="http://schemas.openxmlformats.org/officeDocument/2006/relationships/hyperlink" Target="https://doi.org/10.1177/1098214005283748" TargetMode="External" Id="R1abf320f5523473c" /><Relationship Type="http://schemas.openxmlformats.org/officeDocument/2006/relationships/header" Target="header.xml" Id="Rf4aa937756304ca7" /><Relationship Type="http://schemas.openxmlformats.org/officeDocument/2006/relationships/footer" Target="footer.xml" Id="R7eba9934bec5479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63a5f66163aa2e650179306cf0bd67f4">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822fad2bc083362ddf3ebc86275f4d86"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C737CA6-1CA5-4C3E-81EE-70E30687433F}">
  <ds:schemaRefs>
    <ds:schemaRef ds:uri="http://schemas.microsoft.com/office/2006/metadata/properties"/>
    <ds:schemaRef ds:uri="http://schemas.microsoft.com/office/infopath/2007/PartnerControls"/>
    <ds:schemaRef ds:uri="ad7316b1-23f1-480c-8fa6-cbf037f4db9c"/>
  </ds:schemaRefs>
</ds:datastoreItem>
</file>

<file path=customXml/itemProps2.xml><?xml version="1.0" encoding="utf-8"?>
<ds:datastoreItem xmlns:ds="http://schemas.openxmlformats.org/officeDocument/2006/customXml" ds:itemID="{91011FCB-7A45-4F07-A41A-C061973B65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2BC172-D0CA-47B6-9D73-D5A948461EAF}">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Kodesha Grant (2310545)</dc:creator>
  <keywords/>
  <dc:description/>
  <lastModifiedBy>Kodesha Grant (2310545)</lastModifiedBy>
  <revision>7</revision>
  <dcterms:created xsi:type="dcterms:W3CDTF">2026-07-17T13:54:00.0000000Z</dcterms:created>
  <dcterms:modified xsi:type="dcterms:W3CDTF">2026-07-26T18:25:10.4804503Z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