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B114C0" w14:textId="2913EF79" w:rsidR="00D561E7" w:rsidRDefault="00D561E7" w:rsidP="00775E7B">
      <w:pPr>
        <w:jc w:val="center"/>
        <w:rPr>
          <w:rFonts w:ascii="Arial" w:hAnsi="Arial" w:cs="Arial"/>
          <w:b/>
          <w:bCs/>
          <w:i/>
          <w:iCs/>
          <w:color w:val="000000" w:themeColor="text1"/>
          <w:sz w:val="36"/>
          <w:szCs w:val="36"/>
        </w:rPr>
      </w:pPr>
      <w:r w:rsidRPr="00D561E7">
        <w:rPr>
          <w:b/>
          <w:bCs/>
          <w:i/>
          <w:iCs/>
          <w:sz w:val="36"/>
          <w:szCs w:val="36"/>
        </w:rPr>
        <w:t xml:space="preserve">Alice </w:t>
      </w:r>
      <w:r w:rsidRPr="00D561E7">
        <w:rPr>
          <w:rFonts w:ascii="Arial" w:hAnsi="Arial" w:cs="Arial"/>
          <w:b/>
          <w:bCs/>
          <w:i/>
          <w:iCs/>
          <w:color w:val="000000" w:themeColor="text1"/>
          <w:sz w:val="36"/>
          <w:szCs w:val="36"/>
        </w:rPr>
        <w:t xml:space="preserve">Freeman </w:t>
      </w:r>
      <w:r>
        <w:rPr>
          <w:rFonts w:ascii="Arial" w:hAnsi="Arial" w:cs="Arial"/>
          <w:b/>
          <w:bCs/>
          <w:i/>
          <w:iCs/>
          <w:color w:val="000000" w:themeColor="text1"/>
          <w:sz w:val="36"/>
          <w:szCs w:val="36"/>
        </w:rPr>
        <w:t>–</w:t>
      </w:r>
      <w:r w:rsidRPr="00D561E7">
        <w:rPr>
          <w:rFonts w:ascii="Arial" w:hAnsi="Arial" w:cs="Arial"/>
          <w:b/>
          <w:bCs/>
          <w:i/>
          <w:iCs/>
          <w:color w:val="000000" w:themeColor="text1"/>
          <w:sz w:val="36"/>
          <w:szCs w:val="36"/>
        </w:rPr>
        <w:t xml:space="preserve"> </w:t>
      </w:r>
      <w:r w:rsidR="00C02180">
        <w:rPr>
          <w:rFonts w:ascii="Arial" w:hAnsi="Arial" w:cs="Arial"/>
          <w:b/>
          <w:bCs/>
          <w:i/>
          <w:iCs/>
          <w:color w:val="000000" w:themeColor="text1"/>
          <w:sz w:val="36"/>
          <w:szCs w:val="36"/>
        </w:rPr>
        <w:t xml:space="preserve">July 2025 </w:t>
      </w:r>
    </w:p>
    <w:p w14:paraId="5A42FD4E" w14:textId="703364DB" w:rsidR="00452D25" w:rsidRPr="00D561E7" w:rsidRDefault="00D561E7" w:rsidP="00775E7B">
      <w:pPr>
        <w:jc w:val="center"/>
        <w:rPr>
          <w:b/>
          <w:bCs/>
          <w:i/>
          <w:iCs/>
          <w:sz w:val="36"/>
          <w:szCs w:val="36"/>
        </w:rPr>
      </w:pPr>
      <w:r w:rsidRPr="00D561E7">
        <w:rPr>
          <w:rFonts w:ascii="Arial" w:hAnsi="Arial" w:cs="Arial"/>
          <w:b/>
          <w:bCs/>
          <w:i/>
          <w:iCs/>
          <w:color w:val="000000" w:themeColor="text1"/>
          <w:sz w:val="36"/>
          <w:szCs w:val="36"/>
          <w:lang w:val="en-US"/>
        </w:rPr>
        <w:t xml:space="preserve">5HR01 </w:t>
      </w:r>
      <w:r w:rsidRPr="00D561E7">
        <w:rPr>
          <w:rFonts w:ascii="Arial" w:hAnsi="Arial" w:cs="Arial"/>
          <w:b/>
          <w:bCs/>
          <w:i/>
          <w:iCs/>
          <w:color w:val="000000" w:themeColor="text1"/>
          <w:sz w:val="36"/>
          <w:szCs w:val="36"/>
          <w:lang w:val="en-US"/>
        </w:rPr>
        <w:t xml:space="preserve">- </w:t>
      </w:r>
      <w:r w:rsidR="00452D25" w:rsidRPr="00D561E7">
        <w:rPr>
          <w:rFonts w:ascii="Arial" w:hAnsi="Arial" w:cs="Arial"/>
          <w:b/>
          <w:bCs/>
          <w:i/>
          <w:iCs/>
          <w:color w:val="000000" w:themeColor="text1"/>
          <w:sz w:val="36"/>
          <w:szCs w:val="36"/>
        </w:rPr>
        <w:t>Employment Relationship Management</w:t>
      </w:r>
    </w:p>
    <w:p w14:paraId="320E66A7" w14:textId="77777777" w:rsidR="00452D25" w:rsidRDefault="00452D25" w:rsidP="00775E7B">
      <w:pPr>
        <w:jc w:val="center"/>
        <w:rPr>
          <w:b/>
          <w:bCs/>
          <w:i/>
          <w:iCs/>
          <w:sz w:val="36"/>
          <w:szCs w:val="36"/>
          <w:u w:val="single"/>
        </w:rPr>
      </w:pPr>
    </w:p>
    <w:p w14:paraId="046351DA" w14:textId="56FC8F32" w:rsidR="00775E7B" w:rsidRPr="00775E7B" w:rsidRDefault="00775E7B" w:rsidP="00775E7B">
      <w:pPr>
        <w:jc w:val="center"/>
        <w:rPr>
          <w:b/>
          <w:bCs/>
          <w:i/>
          <w:iCs/>
          <w:sz w:val="36"/>
          <w:szCs w:val="36"/>
          <w:u w:val="single"/>
        </w:rPr>
      </w:pPr>
      <w:r>
        <w:rPr>
          <w:b/>
          <w:bCs/>
          <w:i/>
          <w:iCs/>
          <w:sz w:val="36"/>
          <w:szCs w:val="36"/>
          <w:u w:val="single"/>
        </w:rPr>
        <w:t xml:space="preserve">1. </w:t>
      </w:r>
      <w:r w:rsidRPr="00775E7B">
        <w:rPr>
          <w:b/>
          <w:bCs/>
          <w:i/>
          <w:iCs/>
          <w:sz w:val="36"/>
          <w:szCs w:val="36"/>
          <w:u w:val="single"/>
        </w:rPr>
        <w:t>Understand employee voice and practices to support better working lives.</w:t>
      </w:r>
    </w:p>
    <w:p w14:paraId="19E6864D" w14:textId="40802989" w:rsidR="00202B40" w:rsidRPr="00202B40" w:rsidRDefault="00202B40" w:rsidP="00202B40">
      <w:pPr>
        <w:rPr>
          <w:rFonts w:ascii="Arial" w:hAnsi="Arial" w:cs="Arial"/>
          <w:i/>
          <w:iCs/>
          <w:sz w:val="32"/>
          <w:szCs w:val="32"/>
        </w:rPr>
      </w:pPr>
      <w:r w:rsidRPr="00202B40">
        <w:rPr>
          <w:rFonts w:ascii="Arial" w:hAnsi="Arial" w:cs="Arial"/>
          <w:b/>
          <w:bCs/>
          <w:i/>
          <w:iCs/>
          <w:sz w:val="32"/>
          <w:szCs w:val="32"/>
        </w:rPr>
        <w:t xml:space="preserve">1.1 Differentiate between employee involvement and employee participation and how they build relationships. </w:t>
      </w:r>
    </w:p>
    <w:p w14:paraId="25A70882" w14:textId="77777777" w:rsidR="006F4F1B" w:rsidRDefault="006F4F1B" w:rsidP="00202B40">
      <w:pPr>
        <w:shd w:val="clear" w:color="auto" w:fill="FFFFFF"/>
        <w:textAlignment w:val="baseline"/>
        <w:outlineLvl w:val="0"/>
        <w:rPr>
          <w:rFonts w:ascii="Arial" w:hAnsi="Arial" w:cs="Arial"/>
          <w:color w:val="000000" w:themeColor="text1"/>
          <w:sz w:val="22"/>
          <w:szCs w:val="22"/>
        </w:rPr>
      </w:pPr>
      <w:r w:rsidRPr="00202B40">
        <w:rPr>
          <w:rFonts w:ascii="Arial" w:hAnsi="Arial" w:cs="Arial"/>
          <w:b/>
          <w:bCs/>
          <w:color w:val="000000" w:themeColor="text1"/>
          <w:sz w:val="22"/>
          <w:szCs w:val="22"/>
        </w:rPr>
        <w:t>Employee participation</w:t>
      </w:r>
      <w:r w:rsidRPr="00202B40">
        <w:rPr>
          <w:rFonts w:ascii="Arial" w:hAnsi="Arial" w:cs="Arial"/>
          <w:color w:val="000000" w:themeColor="text1"/>
          <w:sz w:val="22"/>
          <w:szCs w:val="22"/>
        </w:rPr>
        <w:t xml:space="preserve"> </w:t>
      </w:r>
    </w:p>
    <w:p w14:paraId="62A330C5" w14:textId="123F68E0" w:rsidR="00202B40" w:rsidRPr="00202B40" w:rsidRDefault="00202B40" w:rsidP="00202B40">
      <w:pPr>
        <w:shd w:val="clear" w:color="auto" w:fill="FFFFFF"/>
        <w:textAlignment w:val="baseline"/>
        <w:outlineLvl w:val="0"/>
        <w:rPr>
          <w:rFonts w:ascii="Arial" w:hAnsi="Arial" w:cs="Arial"/>
          <w:color w:val="000000" w:themeColor="text1"/>
          <w:sz w:val="22"/>
          <w:szCs w:val="22"/>
        </w:rPr>
      </w:pPr>
      <w:r w:rsidRPr="006F4F1B">
        <w:rPr>
          <w:rFonts w:ascii="Arial" w:hAnsi="Arial" w:cs="Arial"/>
          <w:color w:val="000000" w:themeColor="text1"/>
          <w:sz w:val="22"/>
          <w:szCs w:val="22"/>
        </w:rPr>
        <w:t>Employee participation</w:t>
      </w:r>
      <w:r w:rsidRPr="00202B40">
        <w:rPr>
          <w:rFonts w:ascii="Arial" w:hAnsi="Arial" w:cs="Arial"/>
          <w:color w:val="000000" w:themeColor="text1"/>
          <w:sz w:val="22"/>
          <w:szCs w:val="22"/>
        </w:rPr>
        <w:t xml:space="preserve"> involves collaborative accomplishments where all employees contribute their unique skills to achieve common goals, boosting morale and creating an inclusive workplace. Employee participation emphasises on fostering a collaborative teamworking environment; Employees feel a sense of belonging and purpose. Collaborative methods can also lead to better decision-making and overall problem-solving ability.</w:t>
      </w:r>
    </w:p>
    <w:p w14:paraId="1573CA41" w14:textId="530E53BF" w:rsidR="006F4F1B" w:rsidRDefault="006F4F1B" w:rsidP="00202B40">
      <w:pPr>
        <w:shd w:val="clear" w:color="auto" w:fill="FFFFFF"/>
        <w:textAlignment w:val="baseline"/>
        <w:outlineLvl w:val="0"/>
        <w:rPr>
          <w:rFonts w:ascii="Arial" w:hAnsi="Arial" w:cs="Arial"/>
          <w:color w:val="000000" w:themeColor="text1"/>
          <w:sz w:val="22"/>
          <w:szCs w:val="22"/>
        </w:rPr>
      </w:pPr>
      <w:r>
        <w:rPr>
          <w:rFonts w:ascii="Arial" w:hAnsi="Arial" w:cs="Arial"/>
          <w:b/>
          <w:bCs/>
          <w:color w:val="000000" w:themeColor="text1"/>
          <w:sz w:val="22"/>
          <w:szCs w:val="22"/>
        </w:rPr>
        <w:t>E</w:t>
      </w:r>
      <w:r w:rsidRPr="00202B40">
        <w:rPr>
          <w:rFonts w:ascii="Arial" w:hAnsi="Arial" w:cs="Arial"/>
          <w:b/>
          <w:bCs/>
          <w:color w:val="000000" w:themeColor="text1"/>
          <w:sz w:val="22"/>
          <w:szCs w:val="22"/>
        </w:rPr>
        <w:t>mployee involvement</w:t>
      </w:r>
      <w:r w:rsidRPr="00202B40">
        <w:rPr>
          <w:rFonts w:ascii="Arial" w:hAnsi="Arial" w:cs="Arial"/>
          <w:color w:val="000000" w:themeColor="text1"/>
          <w:sz w:val="22"/>
          <w:szCs w:val="22"/>
        </w:rPr>
        <w:t xml:space="preserve"> </w:t>
      </w:r>
    </w:p>
    <w:p w14:paraId="2992E789" w14:textId="0BB0B747" w:rsidR="00202B40" w:rsidRPr="00202B40" w:rsidRDefault="00202B40" w:rsidP="00202B40">
      <w:pPr>
        <w:shd w:val="clear" w:color="auto" w:fill="FFFFFF"/>
        <w:textAlignment w:val="baseline"/>
        <w:outlineLvl w:val="0"/>
        <w:rPr>
          <w:rFonts w:ascii="Arial" w:eastAsia="MS Gothic" w:hAnsi="Arial" w:cs="Arial"/>
          <w:color w:val="000000" w:themeColor="text1"/>
          <w:sz w:val="22"/>
          <w:szCs w:val="22"/>
        </w:rPr>
      </w:pPr>
      <w:r w:rsidRPr="00202B40">
        <w:rPr>
          <w:rFonts w:ascii="Arial" w:hAnsi="Arial" w:cs="Arial"/>
          <w:color w:val="000000" w:themeColor="text1"/>
          <w:sz w:val="22"/>
          <w:szCs w:val="22"/>
        </w:rPr>
        <w:t xml:space="preserve">In contrast, </w:t>
      </w:r>
      <w:r w:rsidRPr="006F4F1B">
        <w:rPr>
          <w:rFonts w:ascii="Arial" w:hAnsi="Arial" w:cs="Arial"/>
          <w:color w:val="000000" w:themeColor="text1"/>
          <w:sz w:val="22"/>
          <w:szCs w:val="22"/>
        </w:rPr>
        <w:t>employee involvement</w:t>
      </w:r>
      <w:r w:rsidRPr="00202B40">
        <w:rPr>
          <w:rFonts w:ascii="Arial" w:hAnsi="Arial" w:cs="Arial"/>
          <w:color w:val="000000" w:themeColor="text1"/>
          <w:sz w:val="22"/>
          <w:szCs w:val="22"/>
        </w:rPr>
        <w:t xml:space="preserve"> focuses on empowering employees to participate in decision-making and process improvements, fostering a direct connection with management. A balance of participation and involvement leads to a more motivated workforce, a higher level of job satisfaction, improves employee retention, and harbours greater productivity, thereby strengthening relationships and communication within the organisation (Quain</w:t>
      </w:r>
      <w:r w:rsidR="00390723">
        <w:rPr>
          <w:rFonts w:ascii="Arial" w:hAnsi="Arial" w:cs="Arial"/>
          <w:color w:val="000000" w:themeColor="text1"/>
          <w:sz w:val="22"/>
          <w:szCs w:val="22"/>
        </w:rPr>
        <w:t>,</w:t>
      </w:r>
      <w:r w:rsidRPr="00202B40">
        <w:rPr>
          <w:rFonts w:ascii="Arial" w:hAnsi="Arial" w:cs="Arial"/>
          <w:color w:val="000000" w:themeColor="text1"/>
          <w:sz w:val="22"/>
          <w:szCs w:val="22"/>
        </w:rPr>
        <w:t xml:space="preserve"> 2018). Employee involvement in decision-making can improve outcomes for businesses and positively impact on employee relations, contributing to higher levels of commitment and engagement (CIPD 2023). Additionally, the Growth Institute (n.d) highlights that employee involvement, where employees participate directly in strategic planning alongside their management, leads to better ideas, an increase in productivity, greater loyalty, and enhanced teamwork, therefore contributing to stronger working relationships and overall business growth</w:t>
      </w:r>
      <w:r w:rsidRPr="00202B40">
        <w:rPr>
          <w:rFonts w:ascii="Arial" w:eastAsia="MS Gothic" w:hAnsi="Arial" w:cs="Arial"/>
          <w:color w:val="000000" w:themeColor="text1"/>
          <w:sz w:val="22"/>
          <w:szCs w:val="22"/>
        </w:rPr>
        <w:t>.</w:t>
      </w:r>
    </w:p>
    <w:p w14:paraId="02C14847" w14:textId="77777777" w:rsidR="00D56351" w:rsidRPr="00D56351" w:rsidRDefault="00D56351" w:rsidP="00202B40">
      <w:pPr>
        <w:rPr>
          <w:rFonts w:ascii="Arial" w:hAnsi="Arial" w:cs="Arial"/>
          <w:b/>
          <w:bCs/>
          <w:sz w:val="22"/>
          <w:szCs w:val="22"/>
        </w:rPr>
      </w:pPr>
      <w:r w:rsidRPr="00D56351">
        <w:rPr>
          <w:rFonts w:ascii="Arial" w:hAnsi="Arial" w:cs="Arial"/>
          <w:b/>
          <w:bCs/>
          <w:sz w:val="22"/>
          <w:szCs w:val="22"/>
        </w:rPr>
        <w:t>Legislative support</w:t>
      </w:r>
    </w:p>
    <w:p w14:paraId="03C930D0" w14:textId="21A64567" w:rsidR="00202B40" w:rsidRDefault="00202B40" w:rsidP="00202B40">
      <w:pPr>
        <w:rPr>
          <w:rFonts w:ascii="Arial" w:hAnsi="Arial" w:cs="Arial"/>
          <w:sz w:val="22"/>
          <w:szCs w:val="22"/>
        </w:rPr>
      </w:pPr>
      <w:r w:rsidRPr="00202B40">
        <w:rPr>
          <w:rFonts w:ascii="Arial" w:hAnsi="Arial" w:cs="Arial"/>
          <w:sz w:val="22"/>
          <w:szCs w:val="22"/>
        </w:rPr>
        <w:t>In Wales, the Well-being of Future Generations (Wales) Act 2015 has been in force for approximately 10 years, previously introduced to prioritise the well-being of future generations with a long-term outlook; HR professionals should be looking at longer term positive practice with regard to organisational design and workforce planning addressing the wellbeing of their teams and workplace culture. However, Lucy O'Melia</w:t>
      </w:r>
      <w:r w:rsidR="00390723">
        <w:rPr>
          <w:rFonts w:ascii="Arial" w:hAnsi="Arial" w:cs="Arial"/>
          <w:sz w:val="22"/>
          <w:szCs w:val="22"/>
        </w:rPr>
        <w:t xml:space="preserve"> (2025)</w:t>
      </w:r>
      <w:r w:rsidRPr="00202B40">
        <w:rPr>
          <w:rFonts w:ascii="Arial" w:hAnsi="Arial" w:cs="Arial"/>
          <w:sz w:val="22"/>
          <w:szCs w:val="22"/>
        </w:rPr>
        <w:t xml:space="preserve">, from the Involvement &amp; Participation Association (IPA) states that it is essential now </w:t>
      </w:r>
      <w:r w:rsidR="00390723" w:rsidRPr="00202B40">
        <w:rPr>
          <w:rFonts w:ascii="Arial" w:hAnsi="Arial" w:cs="Arial"/>
          <w:sz w:val="22"/>
          <w:szCs w:val="22"/>
        </w:rPr>
        <w:t>to move</w:t>
      </w:r>
      <w:r w:rsidRPr="00202B40">
        <w:rPr>
          <w:rFonts w:ascii="Arial" w:hAnsi="Arial" w:cs="Arial"/>
          <w:sz w:val="22"/>
          <w:szCs w:val="22"/>
        </w:rPr>
        <w:t xml:space="preserve"> from principle to practice. The framework is there but success relies in public bodies embedding employee voice into strategic decision-making. The introduction of the </w:t>
      </w:r>
      <w:r w:rsidR="00390723">
        <w:rPr>
          <w:rFonts w:ascii="Arial" w:hAnsi="Arial" w:cs="Arial"/>
          <w:sz w:val="22"/>
          <w:szCs w:val="22"/>
        </w:rPr>
        <w:t>S</w:t>
      </w:r>
      <w:r w:rsidRPr="00202B40">
        <w:rPr>
          <w:rFonts w:ascii="Arial" w:hAnsi="Arial" w:cs="Arial"/>
          <w:sz w:val="22"/>
          <w:szCs w:val="22"/>
        </w:rPr>
        <w:t xml:space="preserve">ocial </w:t>
      </w:r>
      <w:r w:rsidR="00390723">
        <w:rPr>
          <w:rFonts w:ascii="Arial" w:hAnsi="Arial" w:cs="Arial"/>
          <w:sz w:val="22"/>
          <w:szCs w:val="22"/>
        </w:rPr>
        <w:t>P</w:t>
      </w:r>
      <w:r w:rsidR="00390723" w:rsidRPr="00202B40">
        <w:rPr>
          <w:rFonts w:ascii="Arial" w:hAnsi="Arial" w:cs="Arial"/>
          <w:sz w:val="22"/>
          <w:szCs w:val="22"/>
        </w:rPr>
        <w:t>artnership</w:t>
      </w:r>
      <w:r w:rsidR="00390723">
        <w:rPr>
          <w:rFonts w:ascii="Arial" w:hAnsi="Arial" w:cs="Arial"/>
          <w:sz w:val="22"/>
          <w:szCs w:val="22"/>
        </w:rPr>
        <w:t>s</w:t>
      </w:r>
      <w:r w:rsidRPr="00202B40">
        <w:rPr>
          <w:rFonts w:ascii="Arial" w:hAnsi="Arial" w:cs="Arial"/>
          <w:sz w:val="22"/>
          <w:szCs w:val="22"/>
        </w:rPr>
        <w:t xml:space="preserve"> </w:t>
      </w:r>
      <w:r w:rsidR="00390723">
        <w:rPr>
          <w:rFonts w:ascii="Arial" w:hAnsi="Arial" w:cs="Arial"/>
          <w:sz w:val="22"/>
          <w:szCs w:val="22"/>
        </w:rPr>
        <w:t>A</w:t>
      </w:r>
      <w:r w:rsidRPr="00202B40">
        <w:rPr>
          <w:rFonts w:ascii="Arial" w:hAnsi="Arial" w:cs="Arial"/>
          <w:sz w:val="22"/>
          <w:szCs w:val="22"/>
        </w:rPr>
        <w:t xml:space="preserve">ct in 2023 gives organisations in </w:t>
      </w:r>
      <w:r w:rsidR="00390723" w:rsidRPr="00202B40">
        <w:rPr>
          <w:rFonts w:ascii="Arial" w:hAnsi="Arial" w:cs="Arial"/>
          <w:sz w:val="22"/>
          <w:szCs w:val="22"/>
        </w:rPr>
        <w:t>Wales</w:t>
      </w:r>
      <w:r w:rsidRPr="00202B40">
        <w:rPr>
          <w:rFonts w:ascii="Arial" w:hAnsi="Arial" w:cs="Arial"/>
          <w:sz w:val="22"/>
          <w:szCs w:val="22"/>
        </w:rPr>
        <w:t xml:space="preserve"> a legal responsibility to actively engage and consult with their workforce towards healthier working environment and social responsibility. </w:t>
      </w:r>
      <w:r w:rsidRPr="00202B40">
        <w:rPr>
          <w:rFonts w:ascii="Arial" w:hAnsi="Arial" w:cs="Arial"/>
          <w:sz w:val="22"/>
          <w:szCs w:val="22"/>
        </w:rPr>
        <w:lastRenderedPageBreak/>
        <w:t>Organisations must consult with either trade unions or staff repre</w:t>
      </w:r>
      <w:r w:rsidR="00390723">
        <w:rPr>
          <w:rFonts w:ascii="Arial" w:hAnsi="Arial" w:cs="Arial"/>
          <w:sz w:val="22"/>
          <w:szCs w:val="22"/>
        </w:rPr>
        <w:t>se</w:t>
      </w:r>
      <w:r w:rsidRPr="00202B40">
        <w:rPr>
          <w:rFonts w:ascii="Arial" w:hAnsi="Arial" w:cs="Arial"/>
          <w:sz w:val="22"/>
          <w:szCs w:val="22"/>
        </w:rPr>
        <w:t>ntatives with regard to strategic decision making and setting wellbeing objectives. The act amends wording in the Wellbeing of future generations act from ‘</w:t>
      </w:r>
      <w:r w:rsidR="00390723" w:rsidRPr="00202B40">
        <w:rPr>
          <w:rFonts w:ascii="Arial" w:hAnsi="Arial" w:cs="Arial"/>
          <w:sz w:val="22"/>
          <w:szCs w:val="22"/>
        </w:rPr>
        <w:t>fair work</w:t>
      </w:r>
      <w:r w:rsidRPr="00202B40">
        <w:rPr>
          <w:rFonts w:ascii="Arial" w:hAnsi="Arial" w:cs="Arial"/>
          <w:sz w:val="22"/>
          <w:szCs w:val="22"/>
        </w:rPr>
        <w:t>’ to ‘decent work’.</w:t>
      </w:r>
    </w:p>
    <w:p w14:paraId="585DAB8B" w14:textId="77777777" w:rsidR="00BA10E3" w:rsidRDefault="00BA10E3" w:rsidP="00202B40">
      <w:pPr>
        <w:rPr>
          <w:rFonts w:ascii="Arial" w:hAnsi="Arial" w:cs="Arial"/>
          <w:sz w:val="22"/>
          <w:szCs w:val="22"/>
        </w:rPr>
      </w:pPr>
    </w:p>
    <w:p w14:paraId="70C14D4E" w14:textId="464BBA5A" w:rsidR="006A4A01" w:rsidRPr="006A4A01" w:rsidRDefault="006A4A01" w:rsidP="006A4A01">
      <w:pPr>
        <w:rPr>
          <w:rFonts w:ascii="Arial" w:hAnsi="Arial" w:cs="Arial"/>
          <w:i/>
          <w:iCs/>
          <w:sz w:val="32"/>
          <w:szCs w:val="32"/>
        </w:rPr>
      </w:pPr>
      <w:r w:rsidRPr="006A4A01">
        <w:rPr>
          <w:rFonts w:ascii="Arial" w:hAnsi="Arial" w:cs="Arial"/>
          <w:b/>
          <w:bCs/>
          <w:i/>
          <w:iCs/>
          <w:sz w:val="32"/>
          <w:szCs w:val="32"/>
        </w:rPr>
        <w:t xml:space="preserve">1.2 Compare forms of union and non-union employee representation. </w:t>
      </w:r>
    </w:p>
    <w:p w14:paraId="42BF9C6D" w14:textId="77777777" w:rsidR="006A4A01" w:rsidRPr="006A4A01" w:rsidRDefault="006A4A01" w:rsidP="006A4A01">
      <w:pPr>
        <w:rPr>
          <w:rFonts w:ascii="Arial" w:hAnsi="Arial" w:cs="Arial"/>
          <w:sz w:val="22"/>
          <w:szCs w:val="22"/>
        </w:rPr>
      </w:pPr>
      <w:r w:rsidRPr="001D3E85">
        <w:rPr>
          <w:rFonts w:ascii="Arial" w:eastAsia="Times New Roman" w:hAnsi="Arial" w:cs="Arial"/>
          <w:b/>
          <w:bCs/>
          <w:sz w:val="22"/>
          <w:szCs w:val="22"/>
        </w:rPr>
        <w:t>Trade union</w:t>
      </w:r>
      <w:r w:rsidRPr="006A4A01">
        <w:rPr>
          <w:rFonts w:ascii="Arial" w:hAnsi="Arial" w:cs="Arial"/>
          <w:b/>
          <w:bCs/>
          <w:sz w:val="22"/>
          <w:szCs w:val="22"/>
        </w:rPr>
        <w:t xml:space="preserve"> representatives</w:t>
      </w:r>
    </w:p>
    <w:p w14:paraId="4BE0DB70" w14:textId="77777777" w:rsidR="006A4A01" w:rsidRPr="006A4A01" w:rsidRDefault="006A4A01" w:rsidP="006A4A01">
      <w:pPr>
        <w:rPr>
          <w:rFonts w:ascii="Arial" w:hAnsi="Arial" w:cs="Arial"/>
          <w:sz w:val="22"/>
          <w:szCs w:val="22"/>
        </w:rPr>
      </w:pPr>
      <w:r w:rsidRPr="001D3E85">
        <w:rPr>
          <w:rFonts w:ascii="Arial" w:eastAsia="Times New Roman" w:hAnsi="Arial" w:cs="Arial"/>
          <w:sz w:val="22"/>
          <w:szCs w:val="22"/>
        </w:rPr>
        <w:t>Trade unions</w:t>
      </w:r>
      <w:r w:rsidRPr="001D3E85">
        <w:rPr>
          <w:rFonts w:ascii="Arial" w:hAnsi="Arial" w:cs="Arial"/>
          <w:sz w:val="22"/>
          <w:szCs w:val="22"/>
        </w:rPr>
        <w:t xml:space="preserve"> are independent organisations </w:t>
      </w:r>
      <w:r w:rsidRPr="006A4A01">
        <w:rPr>
          <w:rFonts w:ascii="Arial" w:hAnsi="Arial" w:cs="Arial"/>
          <w:sz w:val="22"/>
          <w:szCs w:val="22"/>
        </w:rPr>
        <w:t xml:space="preserve">with legal recognition who exist to represent employees and protect the interests of their members by negotiating with employers over working conditions, employment rights and matter relating to pay. They do so by consulting and negotiating with employers. This is called collective bargaining. Trade unions have special rights that other employee groups might to have with legal protections (TULCRA 1992). As a result, trade unions hold a high level of power, can negotiate and strike should it be necessary. They have a higher level of independence compared to non-union representatives and are accountable to their members - Trade unions representatives often have a higher level of employee trust. Trade union representatives do not get paid but do get paid time off to perform their duties. </w:t>
      </w:r>
    </w:p>
    <w:p w14:paraId="0C4F295D" w14:textId="77777777" w:rsidR="006A4A01" w:rsidRPr="006A4A01" w:rsidRDefault="006A4A01" w:rsidP="006A4A01">
      <w:pPr>
        <w:rPr>
          <w:rFonts w:ascii="Arial" w:hAnsi="Arial" w:cs="Arial"/>
          <w:sz w:val="22"/>
          <w:szCs w:val="22"/>
        </w:rPr>
      </w:pPr>
    </w:p>
    <w:p w14:paraId="53F287CF" w14:textId="77777777" w:rsidR="006A4A01" w:rsidRPr="001D3E85" w:rsidRDefault="006A4A01" w:rsidP="006A4A01">
      <w:pPr>
        <w:rPr>
          <w:rFonts w:ascii="Arial" w:hAnsi="Arial" w:cs="Arial"/>
          <w:b/>
          <w:bCs/>
          <w:sz w:val="22"/>
          <w:szCs w:val="22"/>
        </w:rPr>
      </w:pPr>
      <w:r w:rsidRPr="006A4A01">
        <w:rPr>
          <w:rFonts w:ascii="Arial" w:hAnsi="Arial" w:cs="Arial"/>
          <w:b/>
          <w:bCs/>
          <w:sz w:val="22"/>
          <w:szCs w:val="22"/>
        </w:rPr>
        <w:t>Non-union representatives</w:t>
      </w:r>
    </w:p>
    <w:p w14:paraId="1A5104CA" w14:textId="11681C66" w:rsidR="006A4A01" w:rsidRPr="006A4A01" w:rsidRDefault="006A4A01" w:rsidP="006A4A01">
      <w:pPr>
        <w:rPr>
          <w:rFonts w:ascii="Arial" w:hAnsi="Arial" w:cs="Arial"/>
          <w:sz w:val="22"/>
          <w:szCs w:val="22"/>
        </w:rPr>
      </w:pPr>
      <w:r w:rsidRPr="006A4A01">
        <w:rPr>
          <w:rFonts w:ascii="Arial" w:hAnsi="Arial" w:cs="Arial"/>
          <w:sz w:val="22"/>
          <w:szCs w:val="22"/>
        </w:rPr>
        <w:t>According to the LRA (2023), approximately half of employee representatives in the UK a</w:t>
      </w:r>
      <w:r w:rsidR="00D56351">
        <w:rPr>
          <w:rFonts w:ascii="Arial" w:hAnsi="Arial" w:cs="Arial"/>
          <w:sz w:val="22"/>
          <w:szCs w:val="22"/>
        </w:rPr>
        <w:t>re</w:t>
      </w:r>
      <w:r w:rsidRPr="006A4A01">
        <w:rPr>
          <w:rFonts w:ascii="Arial" w:hAnsi="Arial" w:cs="Arial"/>
          <w:sz w:val="22"/>
          <w:szCs w:val="22"/>
        </w:rPr>
        <w:t xml:space="preserve"> no-union. Roles tend to be more restricted, limited mainly to consultation.  In businesses that do not recognise trade unions, non-union representatives have a right to paid time off for training, conducting their duties and access to facilities. Forums set up under ICE aro only entitled by statute to time off with pay to carry out duties.</w:t>
      </w:r>
    </w:p>
    <w:p w14:paraId="31318523" w14:textId="77777777" w:rsidR="006A4A01" w:rsidRPr="006A4A01" w:rsidRDefault="006A4A01" w:rsidP="006A4A01">
      <w:pPr>
        <w:rPr>
          <w:rFonts w:ascii="Arial" w:hAnsi="Arial" w:cs="Arial"/>
          <w:sz w:val="22"/>
          <w:szCs w:val="22"/>
        </w:rPr>
      </w:pPr>
      <w:r w:rsidRPr="006A4A01">
        <w:rPr>
          <w:rFonts w:ascii="Arial" w:hAnsi="Arial" w:cs="Arial"/>
          <w:sz w:val="22"/>
          <w:szCs w:val="22"/>
        </w:rPr>
        <w:t>Consulting bodies (employee forums and work councils are employer -initiates or supported voluntary groups and as a result sometimes lack credibility and trust amongst employees. As they are not in reference to the law, they are not enforceable rights to time off, pay, training or facility access. U</w:t>
      </w:r>
      <w:r w:rsidRPr="001D3E85">
        <w:rPr>
          <w:rFonts w:ascii="Arial" w:hAnsi="Arial" w:cs="Arial"/>
          <w:sz w:val="22"/>
          <w:szCs w:val="22"/>
        </w:rPr>
        <w:t xml:space="preserve">nlike unions, these bodies generally have </w:t>
      </w:r>
      <w:r w:rsidRPr="001D3E85">
        <w:rPr>
          <w:rFonts w:ascii="Arial" w:eastAsia="Times New Roman" w:hAnsi="Arial" w:cs="Arial"/>
          <w:sz w:val="22"/>
          <w:szCs w:val="22"/>
        </w:rPr>
        <w:t>limited power</w:t>
      </w:r>
      <w:r w:rsidRPr="001D3E85">
        <w:rPr>
          <w:rFonts w:ascii="Arial" w:hAnsi="Arial" w:cs="Arial"/>
          <w:sz w:val="22"/>
          <w:szCs w:val="22"/>
        </w:rPr>
        <w:t xml:space="preserve"> to influence contractual terms or challenge decisions legally</w:t>
      </w:r>
      <w:r w:rsidRPr="006A4A01">
        <w:rPr>
          <w:rFonts w:ascii="Arial" w:hAnsi="Arial" w:cs="Arial"/>
          <w:sz w:val="22"/>
          <w:szCs w:val="22"/>
        </w:rPr>
        <w:t xml:space="preserve"> and often operates as an advisory resource. </w:t>
      </w:r>
    </w:p>
    <w:p w14:paraId="755D557B" w14:textId="77777777" w:rsidR="00D56351" w:rsidRDefault="00D56351" w:rsidP="00140DB4">
      <w:pPr>
        <w:rPr>
          <w:rFonts w:ascii="Arial" w:hAnsi="Arial" w:cs="Arial"/>
          <w:sz w:val="22"/>
          <w:szCs w:val="22"/>
        </w:rPr>
      </w:pPr>
    </w:p>
    <w:p w14:paraId="3F902EC3" w14:textId="2A1EA99A" w:rsidR="00140DB4" w:rsidRPr="00140DB4" w:rsidRDefault="00140DB4" w:rsidP="00140DB4">
      <w:pPr>
        <w:rPr>
          <w:rFonts w:ascii="Arial" w:hAnsi="Arial" w:cs="Arial"/>
          <w:i/>
          <w:iCs/>
          <w:sz w:val="32"/>
          <w:szCs w:val="32"/>
        </w:rPr>
      </w:pPr>
      <w:r w:rsidRPr="00140DB4">
        <w:rPr>
          <w:rFonts w:ascii="Arial" w:hAnsi="Arial" w:cs="Arial"/>
          <w:b/>
          <w:bCs/>
          <w:i/>
          <w:iCs/>
          <w:sz w:val="32"/>
          <w:szCs w:val="32"/>
        </w:rPr>
        <w:t xml:space="preserve">1.3 Evaluate the relationship between employee voice and organisational performance. </w:t>
      </w:r>
    </w:p>
    <w:p w14:paraId="195EC8E8" w14:textId="64EC1B26" w:rsidR="00140DB4" w:rsidRPr="00AD0577" w:rsidRDefault="00140DB4" w:rsidP="00140DB4">
      <w:pPr>
        <w:shd w:val="clear" w:color="auto" w:fill="FFFFFF"/>
        <w:textAlignment w:val="baseline"/>
        <w:outlineLvl w:val="0"/>
        <w:rPr>
          <w:rFonts w:ascii="Arial" w:hAnsi="Arial" w:cs="Arial"/>
          <w:color w:val="000000" w:themeColor="text1"/>
          <w:sz w:val="22"/>
          <w:szCs w:val="22"/>
        </w:rPr>
      </w:pPr>
      <w:r w:rsidRPr="00AD0577">
        <w:rPr>
          <w:rFonts w:ascii="Arial" w:hAnsi="Arial" w:cs="Arial"/>
          <w:color w:val="000000" w:themeColor="text1"/>
          <w:sz w:val="22"/>
          <w:szCs w:val="22"/>
        </w:rPr>
        <w:t>Employee Voice refers to the methods through which employees communicate their views to their employers, influencing decision-making and contributing to organisational success (IPA, 2024</w:t>
      </w:r>
      <w:r w:rsidR="0065618F">
        <w:rPr>
          <w:rFonts w:ascii="Arial" w:hAnsi="Arial" w:cs="Arial"/>
          <w:color w:val="000000" w:themeColor="text1"/>
          <w:sz w:val="22"/>
          <w:szCs w:val="22"/>
        </w:rPr>
        <w:t xml:space="preserve"> </w:t>
      </w:r>
      <w:r w:rsidRPr="00AD0577">
        <w:rPr>
          <w:rFonts w:ascii="Arial" w:hAnsi="Arial" w:cs="Arial"/>
          <w:color w:val="000000" w:themeColor="text1"/>
          <w:sz w:val="22"/>
          <w:szCs w:val="22"/>
        </w:rPr>
        <w:t xml:space="preserve">a). </w:t>
      </w:r>
    </w:p>
    <w:p w14:paraId="644E2C7E" w14:textId="2E27299E" w:rsidR="00140DB4" w:rsidRPr="00AD0577" w:rsidRDefault="00140DB4" w:rsidP="00140DB4">
      <w:pPr>
        <w:pStyle w:val="Nornal"/>
        <w:spacing w:line="240" w:lineRule="auto"/>
        <w:rPr>
          <w:color w:val="000000" w:themeColor="text1"/>
        </w:rPr>
      </w:pPr>
      <w:r w:rsidRPr="00AD0577">
        <w:rPr>
          <w:rStyle w:val="Hyperlink"/>
          <w:rFonts w:eastAsia="Trebuchet MS"/>
          <w:color w:val="000000" w:themeColor="text1"/>
          <w:u w:val="none"/>
        </w:rPr>
        <w:t xml:space="preserve">CIPD claims that having a voice at work makes a fundamental difference to relationships with employers and the rest of the workforce, their wellbeing and commitment. Innovation is positively impacted when people feel a sense of job satisfaction and voice channels contribute to this by enhancing a feeling of value, trust and that employees are influencing </w:t>
      </w:r>
      <w:r w:rsidRPr="00AD0577">
        <w:rPr>
          <w:rStyle w:val="Hyperlink"/>
          <w:rFonts w:eastAsia="Trebuchet MS"/>
          <w:color w:val="000000" w:themeColor="text1"/>
          <w:u w:val="none"/>
        </w:rPr>
        <w:lastRenderedPageBreak/>
        <w:t xml:space="preserve">thew workplace. Using a variety of voice methods (direct and in direct) build a more inclusive culture for employee voice. Employee voice leads to better engagement into the workplace, </w:t>
      </w:r>
      <w:r w:rsidRPr="00AD0577">
        <w:rPr>
          <w:color w:val="000000" w:themeColor="text1"/>
        </w:rPr>
        <w:t>is the emotional commitment employees have to the organisation and its goals, result in the use of discretionary effort in their work (IPA, 2024</w:t>
      </w:r>
      <w:r w:rsidR="0065618F">
        <w:rPr>
          <w:color w:val="000000" w:themeColor="text1"/>
        </w:rPr>
        <w:t xml:space="preserve"> </w:t>
      </w:r>
      <w:r w:rsidRPr="00AD0577">
        <w:rPr>
          <w:color w:val="000000" w:themeColor="text1"/>
        </w:rPr>
        <w:t>b). Employee engagement is consistently associated with improved employee well-being and organisational performance. Metrics include: customer satisfaction, productivity, innovation, staff retention, efficiency, and employee health and safety (CIPD 2025</w:t>
      </w:r>
      <w:r w:rsidR="0065618F">
        <w:rPr>
          <w:color w:val="000000" w:themeColor="text1"/>
        </w:rPr>
        <w:t xml:space="preserve"> a</w:t>
      </w:r>
      <w:r w:rsidRPr="00AD0577">
        <w:rPr>
          <w:color w:val="000000" w:themeColor="text1"/>
        </w:rPr>
        <w:t>). Using a combination of voice monitoring tools and approaches, while addressing their barriers, can create a more engaged and motivated workforce.</w:t>
      </w:r>
    </w:p>
    <w:p w14:paraId="260DD12A" w14:textId="77777777" w:rsidR="00140DB4" w:rsidRPr="00AD0577" w:rsidRDefault="00140DB4" w:rsidP="00140DB4">
      <w:pPr>
        <w:shd w:val="clear" w:color="auto" w:fill="FFFFFF"/>
        <w:textAlignment w:val="baseline"/>
        <w:outlineLvl w:val="0"/>
        <w:rPr>
          <w:rFonts w:ascii="Arial" w:hAnsi="Arial" w:cs="Arial"/>
          <w:color w:val="000000" w:themeColor="text1"/>
          <w:sz w:val="22"/>
          <w:szCs w:val="22"/>
        </w:rPr>
      </w:pPr>
      <w:r w:rsidRPr="00AD0577">
        <w:rPr>
          <w:rFonts w:ascii="Arial" w:hAnsi="Arial" w:cs="Arial"/>
          <w:color w:val="000000" w:themeColor="text1"/>
          <w:sz w:val="22"/>
          <w:szCs w:val="22"/>
        </w:rPr>
        <w:t>Advancements in technological communication tools have modernised how employee voice is expressed and heard. Platforms like ‘Microsoft Teams’, ‘Zoom’ and ‘Slack’ enable real-time communication and collaboration, breaking down geographical barriers and allowing for more inclusive employee participation. Utilising platforms can reduce costs to employees and businesses alike.</w:t>
      </w:r>
    </w:p>
    <w:p w14:paraId="7B1E079B" w14:textId="77777777" w:rsidR="00140DB4" w:rsidRPr="00AD0577" w:rsidRDefault="00140DB4" w:rsidP="00140DB4">
      <w:pPr>
        <w:pStyle w:val="Nornal"/>
        <w:spacing w:line="240" w:lineRule="auto"/>
        <w:rPr>
          <w:color w:val="000000" w:themeColor="text1"/>
        </w:rPr>
      </w:pPr>
      <w:r w:rsidRPr="00AD0577">
        <w:rPr>
          <w:color w:val="000000" w:themeColor="text1"/>
        </w:rPr>
        <w:t>The success of shared employee voice hinges on organisational culture and values, alongside the development of managerial skill in-order-to promote genuine participation. Superficial gestures like ‘open-door’ policies or collection of employee views without follow-up can lead to disengagement and reluctance to speak up (CIPD 2022).</w:t>
      </w:r>
    </w:p>
    <w:p w14:paraId="4A16ACDC" w14:textId="08F3F4A6" w:rsidR="00140DB4" w:rsidRPr="00AD0577" w:rsidRDefault="00140DB4" w:rsidP="00140DB4">
      <w:pPr>
        <w:pStyle w:val="Nornal"/>
        <w:spacing w:line="240" w:lineRule="auto"/>
        <w:rPr>
          <w:color w:val="000000" w:themeColor="text1"/>
        </w:rPr>
      </w:pPr>
      <w:r w:rsidRPr="00AD0577">
        <w:rPr>
          <w:color w:val="000000" w:themeColor="text1"/>
          <w:shd w:val="clear" w:color="auto" w:fill="FFFFFF"/>
        </w:rPr>
        <w:t xml:space="preserve">“Different individuals and groups may need different motivations for using their voice, so organisations will need to regularly review the range of methods for enabling and capturing voice if they are to ensure it is representative of all genders, ages, disabilities and ethnicities” </w:t>
      </w:r>
      <w:r>
        <w:rPr>
          <w:color w:val="000000" w:themeColor="text1"/>
          <w:shd w:val="clear" w:color="auto" w:fill="FFFFFF"/>
        </w:rPr>
        <w:t>(</w:t>
      </w:r>
      <w:r w:rsidRPr="00AD0577">
        <w:rPr>
          <w:color w:val="000000" w:themeColor="text1"/>
        </w:rPr>
        <w:t>CIPD</w:t>
      </w:r>
      <w:r w:rsidR="0065618F">
        <w:rPr>
          <w:color w:val="000000" w:themeColor="text1"/>
        </w:rPr>
        <w:t xml:space="preserve">, </w:t>
      </w:r>
      <w:r w:rsidRPr="00AD0577">
        <w:rPr>
          <w:color w:val="000000" w:themeColor="text1"/>
        </w:rPr>
        <w:t>2022)</w:t>
      </w:r>
      <w:r>
        <w:rPr>
          <w:color w:val="000000" w:themeColor="text1"/>
        </w:rPr>
        <w:t>.</w:t>
      </w:r>
    </w:p>
    <w:p w14:paraId="2108FC3C" w14:textId="1516D5E8" w:rsidR="006A4A01" w:rsidRPr="006A4A01" w:rsidRDefault="006A4A01" w:rsidP="00202B40">
      <w:pPr>
        <w:rPr>
          <w:rFonts w:ascii="Arial" w:hAnsi="Arial" w:cs="Arial"/>
          <w:sz w:val="22"/>
          <w:szCs w:val="22"/>
        </w:rPr>
      </w:pPr>
    </w:p>
    <w:p w14:paraId="17A03AA1" w14:textId="77777777" w:rsidR="00BA10E3" w:rsidRDefault="00BA10E3" w:rsidP="00202B40">
      <w:pPr>
        <w:rPr>
          <w:rFonts w:ascii="Arial" w:hAnsi="Arial" w:cs="Arial"/>
          <w:sz w:val="22"/>
          <w:szCs w:val="22"/>
        </w:rPr>
      </w:pPr>
    </w:p>
    <w:p w14:paraId="504C06AE" w14:textId="560A20D2" w:rsidR="00775E7B" w:rsidRPr="00775E7B" w:rsidRDefault="00775E7B" w:rsidP="00775E7B">
      <w:pPr>
        <w:jc w:val="center"/>
        <w:rPr>
          <w:rFonts w:ascii="Arial" w:hAnsi="Arial" w:cs="Arial"/>
          <w:i/>
          <w:iCs/>
          <w:sz w:val="36"/>
          <w:szCs w:val="36"/>
          <w:u w:val="single"/>
        </w:rPr>
      </w:pPr>
      <w:r w:rsidRPr="00775E7B">
        <w:rPr>
          <w:rFonts w:ascii="Arial" w:hAnsi="Arial" w:cs="Arial"/>
          <w:b/>
          <w:bCs/>
          <w:i/>
          <w:iCs/>
          <w:sz w:val="36"/>
          <w:szCs w:val="36"/>
          <w:u w:val="single"/>
        </w:rPr>
        <w:t>2. Understand different forms of</w:t>
      </w:r>
    </w:p>
    <w:p w14:paraId="1F5164E3" w14:textId="260306E6" w:rsidR="00775E7B" w:rsidRPr="00775E7B" w:rsidRDefault="00775E7B" w:rsidP="00775E7B">
      <w:pPr>
        <w:jc w:val="center"/>
        <w:rPr>
          <w:rFonts w:ascii="Arial" w:hAnsi="Arial" w:cs="Arial"/>
          <w:i/>
          <w:iCs/>
          <w:sz w:val="36"/>
          <w:szCs w:val="36"/>
          <w:u w:val="single"/>
        </w:rPr>
      </w:pPr>
      <w:r w:rsidRPr="00775E7B">
        <w:rPr>
          <w:rFonts w:ascii="Arial" w:hAnsi="Arial" w:cs="Arial"/>
          <w:b/>
          <w:bCs/>
          <w:i/>
          <w:iCs/>
          <w:sz w:val="36"/>
          <w:szCs w:val="36"/>
          <w:u w:val="single"/>
        </w:rPr>
        <w:t>conflict behaviour and dispute resolution.</w:t>
      </w:r>
    </w:p>
    <w:p w14:paraId="16C59D58" w14:textId="77777777" w:rsidR="00DC1EFF" w:rsidRPr="009A042E" w:rsidRDefault="00DC1EFF" w:rsidP="00DC1EFF">
      <w:pPr>
        <w:rPr>
          <w:rFonts w:ascii="Arial" w:hAnsi="Arial" w:cs="Arial"/>
          <w:i/>
          <w:iCs/>
          <w:sz w:val="32"/>
          <w:szCs w:val="32"/>
        </w:rPr>
      </w:pPr>
      <w:r w:rsidRPr="009A042E">
        <w:rPr>
          <w:rFonts w:ascii="Arial" w:hAnsi="Arial" w:cs="Arial"/>
          <w:b/>
          <w:bCs/>
          <w:i/>
          <w:iCs/>
          <w:sz w:val="32"/>
          <w:szCs w:val="32"/>
        </w:rPr>
        <w:t xml:space="preserve">2.1 Distinguish between organisational conflict and misbehaviour. </w:t>
      </w:r>
    </w:p>
    <w:p w14:paraId="59D0E4A3" w14:textId="77777777" w:rsidR="00D56351" w:rsidRPr="00D56351" w:rsidRDefault="00D56351" w:rsidP="00DC1EFF">
      <w:pPr>
        <w:rPr>
          <w:rFonts w:ascii="Arial" w:eastAsia="Trebuchet MS" w:hAnsi="Arial" w:cs="Arial"/>
          <w:b/>
          <w:bCs/>
          <w:sz w:val="22"/>
          <w:szCs w:val="22"/>
        </w:rPr>
      </w:pPr>
      <w:r w:rsidRPr="00D56351">
        <w:rPr>
          <w:rFonts w:ascii="Arial" w:eastAsia="Trebuchet MS" w:hAnsi="Arial" w:cs="Arial"/>
          <w:b/>
          <w:bCs/>
          <w:sz w:val="22"/>
          <w:szCs w:val="22"/>
        </w:rPr>
        <w:t>Organisational Conflict</w:t>
      </w:r>
    </w:p>
    <w:p w14:paraId="796806C7" w14:textId="218DB6F3" w:rsidR="00DC1EFF" w:rsidRPr="00D334FD" w:rsidRDefault="00DC1EFF" w:rsidP="00DC1EFF">
      <w:pPr>
        <w:rPr>
          <w:rFonts w:ascii="Arial" w:eastAsia="Trebuchet MS" w:hAnsi="Arial" w:cs="Arial"/>
          <w:sz w:val="22"/>
          <w:szCs w:val="22"/>
        </w:rPr>
      </w:pPr>
      <w:r w:rsidRPr="000A6240">
        <w:rPr>
          <w:rFonts w:ascii="Arial" w:eastAsia="Trebuchet MS" w:hAnsi="Arial" w:cs="Arial"/>
          <w:sz w:val="22"/>
          <w:szCs w:val="22"/>
        </w:rPr>
        <w:t>Conflict is a common feature in the workplace and needs to be managed proactively (CIPD, 2025</w:t>
      </w:r>
      <w:r w:rsidR="0065618F">
        <w:rPr>
          <w:rFonts w:ascii="Arial" w:eastAsia="Trebuchet MS" w:hAnsi="Arial" w:cs="Arial"/>
          <w:sz w:val="22"/>
          <w:szCs w:val="22"/>
        </w:rPr>
        <w:t xml:space="preserve"> b</w:t>
      </w:r>
      <w:r w:rsidRPr="000A6240">
        <w:rPr>
          <w:rFonts w:ascii="Arial" w:eastAsia="Trebuchet MS" w:hAnsi="Arial" w:cs="Arial"/>
          <w:sz w:val="22"/>
          <w:szCs w:val="22"/>
        </w:rPr>
        <w:t>). CIPD (2020) explains that not all conflict is negative and can have come constructive benefits. Conflict can spark creativity and innovative solutions, improved communication when conflict is dealt with professionalism and understanding. It can identify problems and thus developing problem solving skills and prevent ‘groupthink’. Workplaces need a health company culture in-order-to nurture healthy conflict without it growing out of control and becoming damaging and costly to the business.</w:t>
      </w:r>
    </w:p>
    <w:p w14:paraId="26D8EE84" w14:textId="77777777" w:rsidR="00DC1EFF" w:rsidRPr="000A6240" w:rsidRDefault="00DC1EFF" w:rsidP="00DC1EFF">
      <w:pPr>
        <w:rPr>
          <w:rFonts w:ascii="Arial" w:hAnsi="Arial" w:cs="Arial"/>
          <w:sz w:val="22"/>
          <w:szCs w:val="22"/>
        </w:rPr>
      </w:pPr>
      <w:r w:rsidRPr="000A6240">
        <w:rPr>
          <w:rFonts w:ascii="Arial" w:hAnsi="Arial" w:cs="Arial"/>
          <w:sz w:val="22"/>
          <w:szCs w:val="22"/>
        </w:rPr>
        <w:t xml:space="preserve">Organisational conflict can be defined as established and more organised or intentional actions or formal procedures for expressing dissatisfaction; ‘work-to-rule’, ‘go slow’ or refusing to work overtime are some examples of strike action that disrupt the workplace without actually striking. Trade Unions Strikes and picketing are other forms of ‘organisational conflict’. </w:t>
      </w:r>
    </w:p>
    <w:p w14:paraId="0F4578A3" w14:textId="77777777" w:rsidR="00D56351" w:rsidRPr="00D56351" w:rsidRDefault="00D56351" w:rsidP="00DC1EFF">
      <w:pPr>
        <w:spacing w:line="259" w:lineRule="auto"/>
        <w:rPr>
          <w:rFonts w:ascii="Arial" w:hAnsi="Arial" w:cs="Arial"/>
          <w:b/>
          <w:bCs/>
          <w:sz w:val="22"/>
          <w:szCs w:val="22"/>
        </w:rPr>
      </w:pPr>
      <w:r w:rsidRPr="00D56351">
        <w:rPr>
          <w:rFonts w:ascii="Arial" w:hAnsi="Arial" w:cs="Arial"/>
          <w:b/>
          <w:bCs/>
          <w:sz w:val="22"/>
          <w:szCs w:val="22"/>
        </w:rPr>
        <w:lastRenderedPageBreak/>
        <w:t>Misbehaviour</w:t>
      </w:r>
    </w:p>
    <w:p w14:paraId="6B42F8EB" w14:textId="5409A335" w:rsidR="00DC1EFF" w:rsidRPr="00D07A6C" w:rsidRDefault="00DC1EFF" w:rsidP="00DC1EFF">
      <w:pPr>
        <w:spacing w:line="259" w:lineRule="auto"/>
        <w:rPr>
          <w:rFonts w:ascii="Arial" w:hAnsi="Arial" w:cs="Arial"/>
          <w:color w:val="000000" w:themeColor="text1"/>
          <w:sz w:val="22"/>
          <w:szCs w:val="22"/>
        </w:rPr>
      </w:pPr>
      <w:r w:rsidRPr="00D07A6C">
        <w:rPr>
          <w:rFonts w:ascii="Arial" w:hAnsi="Arial" w:cs="Arial"/>
          <w:sz w:val="22"/>
          <w:szCs w:val="22"/>
        </w:rPr>
        <w:t>Forms of unorganised conflict, also known as misbehaviour, deliberate acts of defiance and can be considered ‘misconduct’ (</w:t>
      </w:r>
      <w:r w:rsidRPr="00D07A6C">
        <w:rPr>
          <w:rFonts w:ascii="Arial" w:hAnsi="Arial" w:cs="Arial"/>
          <w:color w:val="000000" w:themeColor="text1"/>
          <w:sz w:val="22"/>
          <w:szCs w:val="22"/>
        </w:rPr>
        <w:t>when inappropriate behaviour breaks predefined rules).</w:t>
      </w:r>
      <w:r w:rsidRPr="00D07A6C">
        <w:rPr>
          <w:rFonts w:ascii="Arial" w:hAnsi="Arial" w:cs="Arial"/>
          <w:sz w:val="22"/>
          <w:szCs w:val="22"/>
        </w:rPr>
        <w:t xml:space="preserve"> </w:t>
      </w:r>
      <w:r w:rsidRPr="00D07A6C">
        <w:rPr>
          <w:rFonts w:ascii="Arial" w:hAnsi="Arial" w:cs="Arial"/>
          <w:color w:val="000000" w:themeColor="text1"/>
          <w:sz w:val="22"/>
          <w:szCs w:val="22"/>
        </w:rPr>
        <w:t>Rules and conduct don’t always have to be written down and can be implied. ACAS (2024</w:t>
      </w:r>
      <w:r w:rsidR="0065618F">
        <w:rPr>
          <w:rFonts w:ascii="Arial" w:hAnsi="Arial" w:cs="Arial"/>
          <w:color w:val="000000" w:themeColor="text1"/>
          <w:sz w:val="22"/>
          <w:szCs w:val="22"/>
        </w:rPr>
        <w:t xml:space="preserve"> a</w:t>
      </w:r>
      <w:r w:rsidRPr="00D07A6C">
        <w:rPr>
          <w:rFonts w:ascii="Arial" w:hAnsi="Arial" w:cs="Arial"/>
          <w:color w:val="000000" w:themeColor="text1"/>
          <w:sz w:val="22"/>
          <w:szCs w:val="22"/>
        </w:rPr>
        <w:t>) explains that employers will have their own examples of misbehaviour, however, they outline some examples:</w:t>
      </w:r>
    </w:p>
    <w:p w14:paraId="03544DB4" w14:textId="77777777" w:rsidR="00DC1EFF" w:rsidRPr="00D07A6C" w:rsidRDefault="00DC1EFF" w:rsidP="00DC1EFF">
      <w:pPr>
        <w:rPr>
          <w:rFonts w:ascii="Arial" w:hAnsi="Arial" w:cs="Arial"/>
          <w:color w:val="000000" w:themeColor="text1"/>
          <w:sz w:val="22"/>
          <w:szCs w:val="22"/>
        </w:rPr>
      </w:pPr>
      <w:r w:rsidRPr="00D07A6C">
        <w:rPr>
          <w:rFonts w:ascii="Arial" w:hAnsi="Arial" w:cs="Arial"/>
          <w:color w:val="000000" w:themeColor="text1"/>
          <w:sz w:val="22"/>
          <w:szCs w:val="22"/>
        </w:rPr>
        <w:t xml:space="preserve">Bullying, harassment, insubordination and absenteeism without permission </w:t>
      </w:r>
      <w:r w:rsidRPr="00D07A6C">
        <w:rPr>
          <w:rFonts w:ascii="Arial" w:hAnsi="Arial" w:cs="Arial"/>
          <w:sz w:val="22"/>
          <w:szCs w:val="22"/>
        </w:rPr>
        <w:t xml:space="preserve">walking out and sabotage. </w:t>
      </w:r>
      <w:r w:rsidRPr="00D07A6C">
        <w:rPr>
          <w:rFonts w:ascii="Arial" w:hAnsi="Arial" w:cs="Arial"/>
          <w:color w:val="000000" w:themeColor="text1"/>
          <w:sz w:val="22"/>
          <w:szCs w:val="22"/>
        </w:rPr>
        <w:t>Violence, fraud and negligence amongst others can be considered as ‘</w:t>
      </w:r>
      <w:r w:rsidRPr="00D07A6C">
        <w:rPr>
          <w:rFonts w:ascii="Arial" w:hAnsi="Arial" w:cs="Arial"/>
          <w:sz w:val="22"/>
          <w:szCs w:val="22"/>
        </w:rPr>
        <w:t>gross</w:t>
      </w:r>
      <w:r w:rsidRPr="00D07A6C">
        <w:rPr>
          <w:rFonts w:ascii="Arial" w:hAnsi="Arial" w:cs="Arial"/>
          <w:color w:val="000000" w:themeColor="text1"/>
          <w:sz w:val="22"/>
          <w:szCs w:val="22"/>
        </w:rPr>
        <w:t xml:space="preserve"> misconduct’.</w:t>
      </w:r>
    </w:p>
    <w:p w14:paraId="5435AF75" w14:textId="77777777" w:rsidR="00DC1EFF" w:rsidRDefault="00DC1EFF" w:rsidP="00DC1EFF">
      <w:pPr>
        <w:rPr>
          <w:rFonts w:ascii="Arial" w:hAnsi="Arial" w:cs="Arial"/>
          <w:color w:val="000000" w:themeColor="text1"/>
          <w:sz w:val="22"/>
          <w:szCs w:val="22"/>
        </w:rPr>
      </w:pPr>
      <w:r w:rsidRPr="00D07A6C">
        <w:rPr>
          <w:rFonts w:ascii="Arial" w:hAnsi="Arial" w:cs="Arial"/>
          <w:color w:val="000000" w:themeColor="text1"/>
          <w:sz w:val="22"/>
          <w:szCs w:val="22"/>
        </w:rPr>
        <w:t>Research (Saundry. R, et, al. 2024) shows that early and effective resolution to conflict was down to a lack of management confidence. Conflict management training and investigation training was limited, and most managers felt underprepared and relied on developing competence informally through experience. Some managers were unclear whether conflict resolution was informal or formal – formal processes were too detailed and informal procedures were too vague. Research also concluded that HR often focus on documentations, compliance and ability to defend actions legally which often encouraged management of conflict through more formal processes and lack of support through informal resolution discouraged managers from taking this route.</w:t>
      </w:r>
    </w:p>
    <w:p w14:paraId="3890F686" w14:textId="77777777" w:rsidR="0027402F" w:rsidRPr="0027402F" w:rsidRDefault="0027402F" w:rsidP="0027402F">
      <w:pPr>
        <w:rPr>
          <w:rFonts w:ascii="Arial" w:hAnsi="Arial" w:cs="Arial"/>
          <w:sz w:val="22"/>
          <w:szCs w:val="22"/>
        </w:rPr>
      </w:pPr>
    </w:p>
    <w:p w14:paraId="2C4E4481" w14:textId="77777777" w:rsidR="0027402F" w:rsidRPr="0027402F" w:rsidRDefault="0027402F" w:rsidP="0027402F">
      <w:pPr>
        <w:rPr>
          <w:rFonts w:ascii="Arial" w:hAnsi="Arial" w:cs="Arial"/>
          <w:sz w:val="22"/>
          <w:szCs w:val="22"/>
        </w:rPr>
      </w:pPr>
    </w:p>
    <w:p w14:paraId="51A6C9D3" w14:textId="77777777" w:rsidR="0027402F" w:rsidRPr="0027402F" w:rsidRDefault="0027402F" w:rsidP="0027402F">
      <w:pPr>
        <w:rPr>
          <w:rFonts w:ascii="Arial" w:hAnsi="Arial" w:cs="Arial"/>
          <w:b/>
          <w:bCs/>
          <w:i/>
          <w:iCs/>
          <w:sz w:val="32"/>
          <w:szCs w:val="32"/>
        </w:rPr>
      </w:pPr>
      <w:r w:rsidRPr="0027402F">
        <w:rPr>
          <w:rFonts w:ascii="Arial" w:hAnsi="Arial" w:cs="Arial"/>
          <w:b/>
          <w:bCs/>
          <w:i/>
          <w:iCs/>
          <w:sz w:val="32"/>
          <w:szCs w:val="32"/>
        </w:rPr>
        <w:t xml:space="preserve">2.2 Assess emerging trends in the types of conflict and industrial sanctions. </w:t>
      </w:r>
    </w:p>
    <w:p w14:paraId="06999001" w14:textId="77777777" w:rsidR="0027402F" w:rsidRPr="0027402F" w:rsidRDefault="0027402F" w:rsidP="0027402F">
      <w:pPr>
        <w:rPr>
          <w:rFonts w:ascii="Arial" w:hAnsi="Arial" w:cs="Arial"/>
          <w:color w:val="A02B93" w:themeColor="accent5"/>
          <w:sz w:val="22"/>
          <w:szCs w:val="22"/>
        </w:rPr>
      </w:pPr>
      <w:r w:rsidRPr="0027402F">
        <w:rPr>
          <w:rFonts w:ascii="Arial" w:hAnsi="Arial" w:cs="Arial"/>
          <w:color w:val="000000" w:themeColor="text1"/>
          <w:sz w:val="22"/>
          <w:szCs w:val="22"/>
        </w:rPr>
        <w:t xml:space="preserve">The Labour Research Department (2024) explain that in the last two years there has been a transformation in the profile of trade unions following significant increase in strike action, an increase in working days lost and increased individual organised cessation of work in the UK; Significant change in individual cessation has been attributed to legal tactics for navigating legal turnout thresholds (50% minimum turnout requirement and at least 40% within “important public services”) set by the Trade Union Act 2016. Monthly averages of individual ‘stoppages’ peaked at 234 in the public sector and 51 in the private sector between 2022 and 2024. Critics have argued that the changes in how the Office of National Statistics (ONS) report on strike action could grossly underestimate strike activity and significantly limit the data available regarding the nature of disputes. They further explain that the Trades Union Congress (TUC) ‘Dispute Intelligence Database’ and ‘Strike Map’ have been established to offer more accurate data into union strategy and outcomes using crowd sourcing data for more accurate study of statistics.   </w:t>
      </w:r>
      <w:hyperlink r:id="rId6" w:history="1"/>
    </w:p>
    <w:p w14:paraId="4C361C80" w14:textId="77777777" w:rsidR="0027402F" w:rsidRPr="0027402F" w:rsidRDefault="0027402F" w:rsidP="0027402F">
      <w:pPr>
        <w:rPr>
          <w:rFonts w:ascii="Arial" w:hAnsi="Arial" w:cs="Arial"/>
          <w:color w:val="000000" w:themeColor="text1"/>
          <w:sz w:val="22"/>
          <w:szCs w:val="22"/>
        </w:rPr>
      </w:pPr>
      <w:r w:rsidRPr="0027402F">
        <w:rPr>
          <w:rFonts w:ascii="Arial" w:hAnsi="Arial" w:cs="Arial"/>
          <w:color w:val="000000" w:themeColor="text1"/>
          <w:sz w:val="22"/>
          <w:szCs w:val="22"/>
        </w:rPr>
        <w:t xml:space="preserve">Legislation related to Trade Union (TU) representation has created challenges for representing workers with the Trade Union Act 2016 introducing more strict regulations and expanding the powers of their regulator, the Certification Officer’. Since the introduction of the Act, higher thresholds are required for industrial action ballots, a mandatory notice period is required before strikes can commence and restrictions on picketing. Socialist publication ‘Notes from below’ (2023) describes modern picket lines as a “cluster of 6 people with official hi-vis vests” politely ‘demonstrating’ their beliefs rather than actively trying to disrupt the </w:t>
      </w:r>
      <w:r w:rsidRPr="0027402F">
        <w:rPr>
          <w:rFonts w:ascii="Arial" w:hAnsi="Arial" w:cs="Arial"/>
          <w:color w:val="000000" w:themeColor="text1"/>
          <w:sz w:val="22"/>
          <w:szCs w:val="22"/>
        </w:rPr>
        <w:lastRenderedPageBreak/>
        <w:t xml:space="preserve">workplace as traditional ‘picketing’ was intended. </w:t>
      </w:r>
      <w:r w:rsidRPr="0027402F">
        <w:rPr>
          <w:rFonts w:ascii="Arial" w:hAnsi="Arial" w:cs="Arial"/>
          <w:color w:val="A02B93" w:themeColor="accent5"/>
          <w:sz w:val="22"/>
          <w:szCs w:val="22"/>
        </w:rPr>
        <w:t xml:space="preserve"> </w:t>
      </w:r>
      <w:r w:rsidRPr="0027402F">
        <w:rPr>
          <w:rFonts w:ascii="Arial" w:hAnsi="Arial" w:cs="Arial"/>
          <w:color w:val="000000" w:themeColor="text1"/>
          <w:sz w:val="22"/>
          <w:szCs w:val="22"/>
        </w:rPr>
        <w:t>Further challenges to TU Representation were threatened with the introduction of the Strikes (Minimum Service Levels) Act 2023 many unions have challenged the Act, claiming that there has been a negative impact on resolution between employers and trade unions; The UK Government have since stated that they plan to repeal the Act. Until then, they have encouraged employers to resolve disputes through voluntary agreements in preference to enforcing minimum service levels (House of Commons, 2024).</w:t>
      </w:r>
    </w:p>
    <w:p w14:paraId="52F045CC" w14:textId="77777777" w:rsidR="0027402F" w:rsidRPr="0027402F" w:rsidRDefault="0027402F" w:rsidP="0027402F">
      <w:pPr>
        <w:rPr>
          <w:rFonts w:ascii="Arial" w:hAnsi="Arial" w:cs="Arial"/>
          <w:color w:val="A02B93" w:themeColor="accent5"/>
          <w:sz w:val="22"/>
          <w:szCs w:val="22"/>
          <w:highlight w:val="green"/>
        </w:rPr>
      </w:pPr>
      <w:r w:rsidRPr="0027402F">
        <w:rPr>
          <w:rFonts w:ascii="Arial" w:hAnsi="Arial" w:cs="Arial"/>
          <w:color w:val="000000" w:themeColor="text1"/>
          <w:sz w:val="22"/>
          <w:szCs w:val="22"/>
        </w:rPr>
        <w:t>Recent strike action reflects the rising cost of living; The majority of larger strike action has been concerning pay disputes, particularly in the public sector. ‘Notes from below’ (2023) describe recent strikes as a “preview of what the class struggle is going to look like in the next decade” and that recent strike action has been successful in part perhaps due to the public offering sympathy - possibly as a legacy following the ‘keyworker’ profile formed during the pandemic.</w:t>
      </w:r>
    </w:p>
    <w:p w14:paraId="6B2A8102" w14:textId="549A9649" w:rsidR="0027402F" w:rsidRPr="00D56351" w:rsidRDefault="0027402F" w:rsidP="0027402F">
      <w:pPr>
        <w:rPr>
          <w:rFonts w:ascii="Arial" w:hAnsi="Arial" w:cs="Arial"/>
          <w:color w:val="000000" w:themeColor="text1"/>
          <w:sz w:val="22"/>
          <w:szCs w:val="22"/>
        </w:rPr>
      </w:pPr>
      <w:r w:rsidRPr="0027402F">
        <w:rPr>
          <w:rFonts w:ascii="Arial" w:hAnsi="Arial" w:cs="Arial"/>
          <w:color w:val="000000" w:themeColor="text1"/>
          <w:sz w:val="22"/>
          <w:szCs w:val="22"/>
        </w:rPr>
        <w:t xml:space="preserve"> </w:t>
      </w:r>
    </w:p>
    <w:p w14:paraId="7AE4B8BA" w14:textId="7FC607E9" w:rsidR="0027402F" w:rsidRPr="0027402F" w:rsidRDefault="0027402F" w:rsidP="0027402F">
      <w:pPr>
        <w:rPr>
          <w:rFonts w:ascii="Arial" w:hAnsi="Arial" w:cs="Arial"/>
          <w:i/>
          <w:iCs/>
          <w:sz w:val="32"/>
          <w:szCs w:val="32"/>
        </w:rPr>
      </w:pPr>
      <w:r w:rsidRPr="0027402F">
        <w:rPr>
          <w:rFonts w:ascii="Arial" w:hAnsi="Arial" w:cs="Arial"/>
          <w:b/>
          <w:bCs/>
          <w:i/>
          <w:iCs/>
          <w:sz w:val="32"/>
          <w:szCs w:val="32"/>
        </w:rPr>
        <w:t xml:space="preserve">2.3 Distinguish between third-party conciliation, mediation and arbitration. </w:t>
      </w:r>
    </w:p>
    <w:tbl>
      <w:tblPr>
        <w:tblStyle w:val="TableGrid"/>
        <w:tblW w:w="0" w:type="auto"/>
        <w:tblLook w:val="04A0" w:firstRow="1" w:lastRow="0" w:firstColumn="1" w:lastColumn="0" w:noHBand="0" w:noVBand="1"/>
      </w:tblPr>
      <w:tblGrid>
        <w:gridCol w:w="3005"/>
        <w:gridCol w:w="3005"/>
        <w:gridCol w:w="3006"/>
      </w:tblGrid>
      <w:tr w:rsidR="0027402F" w:rsidRPr="0027402F" w14:paraId="4381C3D8" w14:textId="77777777" w:rsidTr="0006025E">
        <w:tc>
          <w:tcPr>
            <w:tcW w:w="3005" w:type="dxa"/>
          </w:tcPr>
          <w:p w14:paraId="338FB4A0" w14:textId="77777777" w:rsidR="0027402F" w:rsidRPr="0027402F" w:rsidRDefault="0027402F" w:rsidP="0006025E">
            <w:pPr>
              <w:rPr>
                <w:rFonts w:ascii="Arial" w:hAnsi="Arial" w:cs="Arial"/>
                <w:b/>
                <w:bCs/>
                <w:sz w:val="22"/>
                <w:szCs w:val="22"/>
                <w:lang w:val="en-US"/>
              </w:rPr>
            </w:pPr>
            <w:r w:rsidRPr="0027402F">
              <w:rPr>
                <w:rFonts w:ascii="Arial" w:hAnsi="Arial" w:cs="Arial"/>
                <w:b/>
                <w:bCs/>
                <w:sz w:val="22"/>
                <w:szCs w:val="22"/>
                <w:lang w:val="en-US"/>
              </w:rPr>
              <w:t>Third-party conciliation</w:t>
            </w:r>
          </w:p>
        </w:tc>
        <w:tc>
          <w:tcPr>
            <w:tcW w:w="3005" w:type="dxa"/>
          </w:tcPr>
          <w:p w14:paraId="2B113E1C" w14:textId="77777777" w:rsidR="0027402F" w:rsidRPr="0027402F" w:rsidRDefault="0027402F" w:rsidP="0006025E">
            <w:pPr>
              <w:rPr>
                <w:rFonts w:ascii="Arial" w:hAnsi="Arial" w:cs="Arial"/>
                <w:b/>
                <w:bCs/>
                <w:sz w:val="22"/>
                <w:szCs w:val="22"/>
                <w:lang w:val="en-US"/>
              </w:rPr>
            </w:pPr>
            <w:r w:rsidRPr="0027402F">
              <w:rPr>
                <w:rFonts w:ascii="Arial" w:hAnsi="Arial" w:cs="Arial"/>
                <w:b/>
                <w:bCs/>
                <w:sz w:val="22"/>
                <w:szCs w:val="22"/>
                <w:lang w:val="en-US"/>
              </w:rPr>
              <w:t>Mediation</w:t>
            </w:r>
          </w:p>
        </w:tc>
        <w:tc>
          <w:tcPr>
            <w:tcW w:w="3006" w:type="dxa"/>
          </w:tcPr>
          <w:p w14:paraId="4F8885CC" w14:textId="77777777" w:rsidR="0027402F" w:rsidRPr="0027402F" w:rsidRDefault="0027402F" w:rsidP="0006025E">
            <w:pPr>
              <w:rPr>
                <w:rFonts w:ascii="Arial" w:hAnsi="Arial" w:cs="Arial"/>
                <w:b/>
                <w:bCs/>
                <w:sz w:val="22"/>
                <w:szCs w:val="22"/>
                <w:lang w:val="en-US"/>
              </w:rPr>
            </w:pPr>
            <w:r w:rsidRPr="0027402F">
              <w:rPr>
                <w:rFonts w:ascii="Arial" w:hAnsi="Arial" w:cs="Arial"/>
                <w:b/>
                <w:bCs/>
                <w:sz w:val="22"/>
                <w:szCs w:val="22"/>
                <w:lang w:val="en-US"/>
              </w:rPr>
              <w:t>Arbitration</w:t>
            </w:r>
          </w:p>
        </w:tc>
      </w:tr>
      <w:tr w:rsidR="0027402F" w:rsidRPr="0027402F" w14:paraId="4AF7035A" w14:textId="77777777" w:rsidTr="0006025E">
        <w:tc>
          <w:tcPr>
            <w:tcW w:w="3005" w:type="dxa"/>
          </w:tcPr>
          <w:p w14:paraId="6442FC0D" w14:textId="77777777" w:rsidR="0027402F" w:rsidRPr="0027402F" w:rsidRDefault="0027402F" w:rsidP="0006025E">
            <w:pPr>
              <w:rPr>
                <w:rFonts w:ascii="Arial" w:hAnsi="Arial" w:cs="Arial"/>
                <w:sz w:val="22"/>
                <w:szCs w:val="22"/>
              </w:rPr>
            </w:pPr>
          </w:p>
          <w:p w14:paraId="78CC5C9B" w14:textId="77777777" w:rsidR="0027402F" w:rsidRPr="0027402F" w:rsidRDefault="0027402F" w:rsidP="0006025E">
            <w:pPr>
              <w:rPr>
                <w:rFonts w:ascii="Arial" w:hAnsi="Arial" w:cs="Arial"/>
                <w:sz w:val="22"/>
                <w:szCs w:val="22"/>
              </w:rPr>
            </w:pPr>
            <w:r w:rsidRPr="0027402F">
              <w:rPr>
                <w:rFonts w:ascii="Arial" w:hAnsi="Arial" w:cs="Arial"/>
                <w:sz w:val="22"/>
                <w:szCs w:val="22"/>
              </w:rPr>
              <w:t>A third- party (e.g. ACAS) acts as an impartial ‘conciliator’ to liaise between the employee and employer to try to help both parties reach a resolution.</w:t>
            </w:r>
          </w:p>
          <w:p w14:paraId="53099700" w14:textId="77777777" w:rsidR="0027402F" w:rsidRPr="0027402F" w:rsidRDefault="0027402F" w:rsidP="0006025E">
            <w:pPr>
              <w:rPr>
                <w:rFonts w:ascii="Arial" w:hAnsi="Arial" w:cs="Arial"/>
                <w:sz w:val="22"/>
                <w:szCs w:val="22"/>
              </w:rPr>
            </w:pPr>
          </w:p>
          <w:p w14:paraId="31F2BC09" w14:textId="77777777" w:rsidR="0027402F" w:rsidRPr="0027402F" w:rsidRDefault="0027402F" w:rsidP="0006025E">
            <w:pPr>
              <w:rPr>
                <w:rFonts w:ascii="Arial" w:hAnsi="Arial" w:cs="Arial"/>
                <w:sz w:val="22"/>
                <w:szCs w:val="22"/>
              </w:rPr>
            </w:pPr>
            <w:r w:rsidRPr="0027402F">
              <w:rPr>
                <w:rFonts w:ascii="Arial" w:hAnsi="Arial" w:cs="Arial"/>
                <w:sz w:val="22"/>
                <w:szCs w:val="22"/>
              </w:rPr>
              <w:t>A voluntary process where and employee and employer agree to work together to try to find a solution to an employment related issue.</w:t>
            </w:r>
          </w:p>
          <w:p w14:paraId="4824615D" w14:textId="77777777" w:rsidR="0027402F" w:rsidRPr="0027402F" w:rsidRDefault="0027402F" w:rsidP="0006025E">
            <w:pPr>
              <w:rPr>
                <w:rFonts w:ascii="Arial" w:hAnsi="Arial" w:cs="Arial"/>
                <w:sz w:val="22"/>
                <w:szCs w:val="22"/>
                <w:u w:val="single"/>
              </w:rPr>
            </w:pPr>
          </w:p>
          <w:p w14:paraId="36B7FA30" w14:textId="77777777" w:rsidR="0027402F" w:rsidRPr="0027402F" w:rsidRDefault="0027402F" w:rsidP="0006025E">
            <w:pPr>
              <w:rPr>
                <w:rFonts w:ascii="Arial" w:hAnsi="Arial" w:cs="Arial"/>
                <w:sz w:val="22"/>
                <w:szCs w:val="22"/>
                <w:u w:val="single"/>
              </w:rPr>
            </w:pPr>
            <w:r w:rsidRPr="0027402F">
              <w:rPr>
                <w:rFonts w:ascii="Arial" w:hAnsi="Arial" w:cs="Arial"/>
                <w:sz w:val="22"/>
                <w:szCs w:val="22"/>
                <w:u w:val="single"/>
              </w:rPr>
              <w:t>Early conciliation</w:t>
            </w:r>
          </w:p>
          <w:p w14:paraId="4B05CF44" w14:textId="77777777" w:rsidR="0027402F" w:rsidRPr="0027402F" w:rsidRDefault="0027402F" w:rsidP="0006025E">
            <w:pPr>
              <w:rPr>
                <w:rFonts w:ascii="Arial" w:hAnsi="Arial" w:cs="Arial"/>
                <w:sz w:val="22"/>
                <w:szCs w:val="22"/>
              </w:rPr>
            </w:pPr>
            <w:r w:rsidRPr="0027402F">
              <w:rPr>
                <w:rFonts w:ascii="Arial" w:hAnsi="Arial" w:cs="Arial"/>
                <w:sz w:val="22"/>
                <w:szCs w:val="22"/>
              </w:rPr>
              <w:t>Before any claims are submitted to an employment tribunal.</w:t>
            </w:r>
          </w:p>
          <w:p w14:paraId="38ED36A6" w14:textId="77777777" w:rsidR="0027402F" w:rsidRPr="0027402F" w:rsidRDefault="0027402F" w:rsidP="0006025E">
            <w:pPr>
              <w:rPr>
                <w:rFonts w:ascii="Arial" w:hAnsi="Arial" w:cs="Arial"/>
                <w:sz w:val="22"/>
                <w:szCs w:val="22"/>
                <w:u w:val="single"/>
              </w:rPr>
            </w:pPr>
          </w:p>
          <w:p w14:paraId="7F565B10" w14:textId="77777777" w:rsidR="0027402F" w:rsidRPr="0027402F" w:rsidRDefault="0027402F" w:rsidP="0006025E">
            <w:pPr>
              <w:rPr>
                <w:rFonts w:ascii="Arial" w:hAnsi="Arial" w:cs="Arial"/>
                <w:sz w:val="22"/>
                <w:szCs w:val="22"/>
                <w:u w:val="single"/>
              </w:rPr>
            </w:pPr>
            <w:r w:rsidRPr="0027402F">
              <w:rPr>
                <w:rFonts w:ascii="Arial" w:hAnsi="Arial" w:cs="Arial"/>
                <w:sz w:val="22"/>
                <w:szCs w:val="22"/>
                <w:u w:val="single"/>
              </w:rPr>
              <w:t>Conciliation</w:t>
            </w:r>
          </w:p>
          <w:p w14:paraId="2EF07012" w14:textId="77777777" w:rsidR="0027402F" w:rsidRPr="0027402F" w:rsidRDefault="0027402F" w:rsidP="0006025E">
            <w:pPr>
              <w:rPr>
                <w:rFonts w:ascii="Arial" w:hAnsi="Arial" w:cs="Arial"/>
                <w:sz w:val="22"/>
                <w:szCs w:val="22"/>
              </w:rPr>
            </w:pPr>
            <w:r w:rsidRPr="0027402F">
              <w:rPr>
                <w:rFonts w:ascii="Arial" w:hAnsi="Arial" w:cs="Arial"/>
                <w:sz w:val="22"/>
                <w:szCs w:val="22"/>
              </w:rPr>
              <w:t>After a claim has been submitted to an employment tribunal.</w:t>
            </w:r>
          </w:p>
          <w:p w14:paraId="590834BC" w14:textId="77777777" w:rsidR="0027402F" w:rsidRPr="0027402F" w:rsidRDefault="0027402F" w:rsidP="0006025E">
            <w:pPr>
              <w:rPr>
                <w:rFonts w:ascii="Arial" w:hAnsi="Arial" w:cs="Arial"/>
                <w:sz w:val="22"/>
                <w:szCs w:val="22"/>
              </w:rPr>
            </w:pPr>
          </w:p>
          <w:p w14:paraId="2ADBF41A" w14:textId="77777777" w:rsidR="0027402F" w:rsidRPr="0027402F" w:rsidRDefault="0027402F" w:rsidP="0006025E">
            <w:pPr>
              <w:rPr>
                <w:rFonts w:ascii="Arial" w:hAnsi="Arial" w:cs="Arial"/>
                <w:sz w:val="22"/>
                <w:szCs w:val="22"/>
                <w:u w:val="single"/>
              </w:rPr>
            </w:pPr>
            <w:r w:rsidRPr="0027402F">
              <w:rPr>
                <w:rFonts w:ascii="Arial" w:hAnsi="Arial" w:cs="Arial"/>
                <w:sz w:val="22"/>
                <w:szCs w:val="22"/>
                <w:u w:val="single"/>
              </w:rPr>
              <w:t>Collective conciliation.</w:t>
            </w:r>
          </w:p>
          <w:p w14:paraId="5330612F" w14:textId="77777777" w:rsidR="0027402F" w:rsidRPr="0027402F" w:rsidRDefault="0027402F" w:rsidP="0006025E">
            <w:pPr>
              <w:rPr>
                <w:rFonts w:ascii="Arial" w:hAnsi="Arial" w:cs="Arial"/>
                <w:sz w:val="22"/>
                <w:szCs w:val="22"/>
              </w:rPr>
            </w:pPr>
            <w:r w:rsidRPr="0027402F">
              <w:rPr>
                <w:rFonts w:ascii="Arial" w:hAnsi="Arial" w:cs="Arial"/>
                <w:sz w:val="22"/>
                <w:szCs w:val="22"/>
              </w:rPr>
              <w:t xml:space="preserve">A group of employees want to raise an issue with the employer. </w:t>
            </w:r>
          </w:p>
          <w:p w14:paraId="020D3CD1" w14:textId="77777777" w:rsidR="0027402F" w:rsidRPr="0027402F" w:rsidRDefault="0027402F" w:rsidP="0006025E">
            <w:pPr>
              <w:rPr>
                <w:rFonts w:ascii="Arial" w:hAnsi="Arial" w:cs="Arial"/>
                <w:sz w:val="22"/>
                <w:szCs w:val="22"/>
              </w:rPr>
            </w:pPr>
          </w:p>
          <w:p w14:paraId="50E2D140" w14:textId="77777777" w:rsidR="0027402F" w:rsidRPr="0027402F" w:rsidRDefault="0027402F" w:rsidP="0006025E">
            <w:pPr>
              <w:rPr>
                <w:rFonts w:ascii="Arial" w:hAnsi="Arial" w:cs="Arial"/>
                <w:sz w:val="22"/>
                <w:szCs w:val="22"/>
              </w:rPr>
            </w:pPr>
            <w:r w:rsidRPr="0027402F">
              <w:rPr>
                <w:rFonts w:ascii="Arial" w:hAnsi="Arial" w:cs="Arial"/>
                <w:sz w:val="22"/>
                <w:szCs w:val="22"/>
              </w:rPr>
              <w:t>Pros:</w:t>
            </w:r>
          </w:p>
          <w:p w14:paraId="28826E5A" w14:textId="77777777" w:rsidR="0027402F" w:rsidRPr="0027402F" w:rsidRDefault="0027402F" w:rsidP="0027402F">
            <w:pPr>
              <w:pStyle w:val="ListParagraph"/>
              <w:numPr>
                <w:ilvl w:val="0"/>
                <w:numId w:val="2"/>
              </w:numPr>
              <w:rPr>
                <w:rFonts w:ascii="Arial" w:hAnsi="Arial" w:cs="Arial"/>
                <w:sz w:val="22"/>
                <w:szCs w:val="22"/>
              </w:rPr>
            </w:pPr>
            <w:r w:rsidRPr="0027402F">
              <w:rPr>
                <w:rFonts w:ascii="Arial" w:hAnsi="Arial" w:cs="Arial"/>
                <w:b/>
                <w:bCs/>
                <w:sz w:val="22"/>
                <w:szCs w:val="22"/>
              </w:rPr>
              <w:lastRenderedPageBreak/>
              <w:t>Cost</w:t>
            </w:r>
            <w:r w:rsidRPr="0027402F">
              <w:rPr>
                <w:rFonts w:ascii="Arial" w:hAnsi="Arial" w:cs="Arial"/>
                <w:sz w:val="22"/>
                <w:szCs w:val="22"/>
              </w:rPr>
              <w:t xml:space="preserve"> – ACAS services are free.</w:t>
            </w:r>
          </w:p>
          <w:p w14:paraId="2ED044F8" w14:textId="77777777" w:rsidR="0027402F" w:rsidRPr="0027402F" w:rsidRDefault="0027402F" w:rsidP="0027402F">
            <w:pPr>
              <w:pStyle w:val="ListParagraph"/>
              <w:numPr>
                <w:ilvl w:val="0"/>
                <w:numId w:val="2"/>
              </w:numPr>
              <w:rPr>
                <w:rFonts w:ascii="Arial" w:hAnsi="Arial" w:cs="Arial"/>
                <w:sz w:val="22"/>
                <w:szCs w:val="22"/>
              </w:rPr>
            </w:pPr>
            <w:r w:rsidRPr="0027402F">
              <w:rPr>
                <w:rFonts w:ascii="Arial" w:hAnsi="Arial" w:cs="Arial"/>
                <w:sz w:val="22"/>
                <w:szCs w:val="22"/>
              </w:rPr>
              <w:t>Can help to preserve a relationship.</w:t>
            </w:r>
          </w:p>
          <w:p w14:paraId="06F2A282" w14:textId="77777777" w:rsidR="0027402F" w:rsidRPr="0027402F" w:rsidRDefault="0027402F" w:rsidP="0027402F">
            <w:pPr>
              <w:pStyle w:val="ListParagraph"/>
              <w:numPr>
                <w:ilvl w:val="0"/>
                <w:numId w:val="2"/>
              </w:numPr>
              <w:rPr>
                <w:rFonts w:ascii="Arial" w:hAnsi="Arial" w:cs="Arial"/>
                <w:sz w:val="22"/>
                <w:szCs w:val="22"/>
              </w:rPr>
            </w:pPr>
            <w:r w:rsidRPr="0027402F">
              <w:rPr>
                <w:rFonts w:ascii="Arial" w:hAnsi="Arial" w:cs="Arial"/>
                <w:sz w:val="22"/>
                <w:szCs w:val="22"/>
              </w:rPr>
              <w:t>It can prevent escalation and more formal processes which have a cost involved.</w:t>
            </w:r>
          </w:p>
          <w:p w14:paraId="2551027C" w14:textId="77777777" w:rsidR="0027402F" w:rsidRPr="0027402F" w:rsidRDefault="0027402F" w:rsidP="0027402F">
            <w:pPr>
              <w:pStyle w:val="ListParagraph"/>
              <w:numPr>
                <w:ilvl w:val="0"/>
                <w:numId w:val="2"/>
              </w:numPr>
              <w:rPr>
                <w:rFonts w:ascii="Arial" w:hAnsi="Arial" w:cs="Arial"/>
                <w:sz w:val="22"/>
                <w:szCs w:val="22"/>
              </w:rPr>
            </w:pPr>
            <w:r w:rsidRPr="0027402F">
              <w:rPr>
                <w:rFonts w:ascii="Arial" w:hAnsi="Arial" w:cs="Arial"/>
                <w:sz w:val="22"/>
                <w:szCs w:val="22"/>
              </w:rPr>
              <w:t>Its voluntary so there is no obligation to take part.</w:t>
            </w:r>
          </w:p>
          <w:p w14:paraId="2FD91DCC" w14:textId="77777777" w:rsidR="0027402F" w:rsidRPr="0027402F" w:rsidRDefault="0027402F" w:rsidP="0027402F">
            <w:pPr>
              <w:pStyle w:val="ListParagraph"/>
              <w:numPr>
                <w:ilvl w:val="0"/>
                <w:numId w:val="2"/>
              </w:numPr>
              <w:rPr>
                <w:rFonts w:ascii="Arial" w:hAnsi="Arial" w:cs="Arial"/>
                <w:sz w:val="22"/>
                <w:szCs w:val="22"/>
              </w:rPr>
            </w:pPr>
            <w:r w:rsidRPr="0027402F">
              <w:rPr>
                <w:rFonts w:ascii="Arial" w:hAnsi="Arial" w:cs="Arial"/>
                <w:sz w:val="22"/>
                <w:szCs w:val="22"/>
              </w:rPr>
              <w:t>Confidential route to reach resolution.</w:t>
            </w:r>
          </w:p>
          <w:p w14:paraId="3758F147" w14:textId="77777777" w:rsidR="0027402F" w:rsidRPr="0027402F" w:rsidRDefault="0027402F" w:rsidP="0027402F">
            <w:pPr>
              <w:pStyle w:val="ListParagraph"/>
              <w:numPr>
                <w:ilvl w:val="0"/>
                <w:numId w:val="2"/>
              </w:numPr>
              <w:rPr>
                <w:rFonts w:ascii="Arial" w:hAnsi="Arial" w:cs="Arial"/>
                <w:sz w:val="22"/>
                <w:szCs w:val="22"/>
              </w:rPr>
            </w:pPr>
            <w:r w:rsidRPr="0027402F">
              <w:rPr>
                <w:rFonts w:ascii="Arial" w:hAnsi="Arial" w:cs="Arial"/>
                <w:sz w:val="22"/>
                <w:szCs w:val="22"/>
              </w:rPr>
              <w:t>Both parties can agree potential outcomes.</w:t>
            </w:r>
          </w:p>
          <w:p w14:paraId="6A2D0649" w14:textId="77777777" w:rsidR="0027402F" w:rsidRPr="0027402F" w:rsidRDefault="0027402F" w:rsidP="0027402F">
            <w:pPr>
              <w:pStyle w:val="ListParagraph"/>
              <w:numPr>
                <w:ilvl w:val="0"/>
                <w:numId w:val="2"/>
              </w:numPr>
              <w:rPr>
                <w:rFonts w:ascii="Arial" w:hAnsi="Arial" w:cs="Arial"/>
                <w:sz w:val="22"/>
                <w:szCs w:val="22"/>
              </w:rPr>
            </w:pPr>
            <w:r w:rsidRPr="0027402F">
              <w:rPr>
                <w:rFonts w:ascii="Arial" w:hAnsi="Arial" w:cs="Arial"/>
                <w:sz w:val="22"/>
                <w:szCs w:val="22"/>
              </w:rPr>
              <w:t>Flexible route toward an agreement opposed to and enforcement route.</w:t>
            </w:r>
          </w:p>
          <w:p w14:paraId="5C570206" w14:textId="77777777" w:rsidR="0027402F" w:rsidRPr="0027402F" w:rsidRDefault="0027402F" w:rsidP="0006025E">
            <w:pPr>
              <w:rPr>
                <w:rFonts w:ascii="Arial" w:hAnsi="Arial" w:cs="Arial"/>
                <w:sz w:val="22"/>
                <w:szCs w:val="22"/>
              </w:rPr>
            </w:pPr>
          </w:p>
          <w:p w14:paraId="10F5826A" w14:textId="77777777" w:rsidR="0027402F" w:rsidRPr="0027402F" w:rsidRDefault="0027402F" w:rsidP="0006025E">
            <w:pPr>
              <w:rPr>
                <w:rFonts w:ascii="Arial" w:hAnsi="Arial" w:cs="Arial"/>
                <w:sz w:val="22"/>
                <w:szCs w:val="22"/>
              </w:rPr>
            </w:pPr>
            <w:r w:rsidRPr="0027402F">
              <w:rPr>
                <w:rFonts w:ascii="Arial" w:hAnsi="Arial" w:cs="Arial"/>
                <w:sz w:val="22"/>
                <w:szCs w:val="22"/>
              </w:rPr>
              <w:t>Cons:</w:t>
            </w:r>
          </w:p>
          <w:p w14:paraId="3598D501" w14:textId="77777777" w:rsidR="0027402F" w:rsidRPr="0027402F" w:rsidRDefault="0027402F" w:rsidP="0006025E">
            <w:pPr>
              <w:rPr>
                <w:rFonts w:ascii="Arial" w:hAnsi="Arial" w:cs="Arial"/>
                <w:sz w:val="22"/>
                <w:szCs w:val="22"/>
              </w:rPr>
            </w:pPr>
          </w:p>
          <w:p w14:paraId="43305F8E" w14:textId="77777777" w:rsidR="0027402F" w:rsidRPr="0027402F" w:rsidRDefault="0027402F" w:rsidP="0027402F">
            <w:pPr>
              <w:pStyle w:val="ListParagraph"/>
              <w:numPr>
                <w:ilvl w:val="0"/>
                <w:numId w:val="2"/>
              </w:numPr>
              <w:rPr>
                <w:rFonts w:ascii="Arial" w:hAnsi="Arial" w:cs="Arial"/>
                <w:sz w:val="22"/>
                <w:szCs w:val="22"/>
              </w:rPr>
            </w:pPr>
            <w:r w:rsidRPr="0027402F">
              <w:rPr>
                <w:rFonts w:ascii="Arial" w:hAnsi="Arial" w:cs="Arial"/>
                <w:sz w:val="22"/>
                <w:szCs w:val="22"/>
              </w:rPr>
              <w:t>Not enforceable and relies on a voluntary agreement of parties to take part.</w:t>
            </w:r>
          </w:p>
          <w:p w14:paraId="31CE9C69" w14:textId="77777777" w:rsidR="0027402F" w:rsidRPr="0027402F" w:rsidRDefault="0027402F" w:rsidP="0027402F">
            <w:pPr>
              <w:pStyle w:val="ListParagraph"/>
              <w:numPr>
                <w:ilvl w:val="0"/>
                <w:numId w:val="2"/>
              </w:numPr>
              <w:rPr>
                <w:rFonts w:ascii="Arial" w:hAnsi="Arial" w:cs="Arial"/>
                <w:sz w:val="22"/>
                <w:szCs w:val="22"/>
              </w:rPr>
            </w:pPr>
            <w:r w:rsidRPr="0027402F">
              <w:rPr>
                <w:rFonts w:ascii="Arial" w:hAnsi="Arial" w:cs="Arial"/>
                <w:sz w:val="22"/>
                <w:szCs w:val="22"/>
              </w:rPr>
              <w:t>Poses no legal requirement to provide information to the conciliator – depending on the nature of the issue, this could cause issues for the claimant.</w:t>
            </w:r>
          </w:p>
          <w:p w14:paraId="5E53291B" w14:textId="77777777" w:rsidR="0027402F" w:rsidRPr="0027402F" w:rsidRDefault="0027402F" w:rsidP="0027402F">
            <w:pPr>
              <w:pStyle w:val="ListParagraph"/>
              <w:numPr>
                <w:ilvl w:val="0"/>
                <w:numId w:val="2"/>
              </w:numPr>
              <w:rPr>
                <w:rFonts w:ascii="Arial" w:hAnsi="Arial" w:cs="Arial"/>
                <w:sz w:val="22"/>
                <w:szCs w:val="22"/>
              </w:rPr>
            </w:pPr>
            <w:r w:rsidRPr="0027402F">
              <w:rPr>
                <w:rFonts w:ascii="Arial" w:hAnsi="Arial" w:cs="Arial"/>
                <w:sz w:val="22"/>
                <w:szCs w:val="22"/>
              </w:rPr>
              <w:t>Confidential process which might be a negative point if the claimant wishes to highlight the issue publicly hold the employer publicly accountable.</w:t>
            </w:r>
          </w:p>
          <w:p w14:paraId="375CDD28" w14:textId="77777777" w:rsidR="0027402F" w:rsidRPr="0027402F" w:rsidRDefault="0027402F" w:rsidP="0006025E">
            <w:pPr>
              <w:rPr>
                <w:rFonts w:ascii="Arial" w:hAnsi="Arial" w:cs="Arial"/>
                <w:sz w:val="22"/>
                <w:szCs w:val="22"/>
              </w:rPr>
            </w:pPr>
          </w:p>
          <w:p w14:paraId="009D140A" w14:textId="77777777" w:rsidR="0027402F" w:rsidRPr="0027402F" w:rsidRDefault="0027402F" w:rsidP="0006025E">
            <w:pPr>
              <w:rPr>
                <w:rFonts w:ascii="Arial" w:hAnsi="Arial" w:cs="Arial"/>
                <w:sz w:val="22"/>
                <w:szCs w:val="22"/>
              </w:rPr>
            </w:pPr>
            <w:r w:rsidRPr="0027402F">
              <w:rPr>
                <w:rFonts w:ascii="Arial" w:hAnsi="Arial" w:cs="Arial"/>
                <w:sz w:val="22"/>
                <w:szCs w:val="22"/>
              </w:rPr>
              <w:t>ACAS can extend the process by 6 weeks while conciliation takes place.</w:t>
            </w:r>
          </w:p>
          <w:p w14:paraId="25166235" w14:textId="77777777" w:rsidR="0027402F" w:rsidRPr="0027402F" w:rsidRDefault="0027402F" w:rsidP="0006025E">
            <w:pPr>
              <w:rPr>
                <w:rFonts w:ascii="Arial" w:hAnsi="Arial" w:cs="Arial"/>
                <w:sz w:val="22"/>
                <w:szCs w:val="22"/>
              </w:rPr>
            </w:pPr>
          </w:p>
          <w:p w14:paraId="66C242ED" w14:textId="77777777" w:rsidR="0027402F" w:rsidRPr="0027402F" w:rsidRDefault="0027402F" w:rsidP="0006025E">
            <w:pPr>
              <w:rPr>
                <w:rFonts w:ascii="Arial" w:hAnsi="Arial" w:cs="Arial"/>
                <w:sz w:val="22"/>
                <w:szCs w:val="22"/>
              </w:rPr>
            </w:pPr>
            <w:r w:rsidRPr="0027402F">
              <w:rPr>
                <w:rFonts w:ascii="Arial" w:hAnsi="Arial" w:cs="Arial"/>
                <w:sz w:val="22"/>
                <w:szCs w:val="22"/>
              </w:rPr>
              <w:t>Both employee and employer alike can trigger this process however it is usually the employee</w:t>
            </w:r>
          </w:p>
          <w:p w14:paraId="458E61DD" w14:textId="77777777" w:rsidR="0027402F" w:rsidRPr="0027402F" w:rsidRDefault="0027402F" w:rsidP="0006025E">
            <w:pPr>
              <w:rPr>
                <w:rFonts w:ascii="Arial" w:eastAsia="Arial" w:hAnsi="Arial" w:cs="Arial"/>
                <w:sz w:val="22"/>
                <w:szCs w:val="22"/>
                <w:lang w:val="en-US"/>
              </w:rPr>
            </w:pPr>
            <w:r w:rsidRPr="0027402F">
              <w:rPr>
                <w:rFonts w:ascii="Arial" w:eastAsia="Arial" w:hAnsi="Arial" w:cs="Arial"/>
                <w:sz w:val="22"/>
                <w:szCs w:val="22"/>
                <w:lang w:val="en-US"/>
              </w:rPr>
              <w:lastRenderedPageBreak/>
              <w:t>(GOV.UK, n.d. and ACAS, 2022).</w:t>
            </w:r>
          </w:p>
          <w:p w14:paraId="024D42B1" w14:textId="77777777" w:rsidR="0027402F" w:rsidRPr="0027402F" w:rsidRDefault="0027402F" w:rsidP="0006025E">
            <w:pPr>
              <w:rPr>
                <w:rFonts w:ascii="Arial" w:hAnsi="Arial" w:cs="Arial"/>
                <w:sz w:val="22"/>
                <w:szCs w:val="22"/>
                <w:lang w:val="en-US"/>
              </w:rPr>
            </w:pPr>
          </w:p>
          <w:p w14:paraId="690426E3" w14:textId="77777777" w:rsidR="0027402F" w:rsidRPr="0027402F" w:rsidRDefault="0027402F" w:rsidP="0006025E">
            <w:pPr>
              <w:rPr>
                <w:rFonts w:ascii="Arial" w:hAnsi="Arial" w:cs="Arial"/>
                <w:sz w:val="22"/>
                <w:szCs w:val="22"/>
                <w:lang w:val="en-US"/>
              </w:rPr>
            </w:pPr>
          </w:p>
        </w:tc>
        <w:tc>
          <w:tcPr>
            <w:tcW w:w="3005" w:type="dxa"/>
          </w:tcPr>
          <w:p w14:paraId="5F54C136" w14:textId="77777777" w:rsidR="0027402F" w:rsidRPr="0027402F" w:rsidRDefault="0027402F" w:rsidP="0006025E">
            <w:pPr>
              <w:rPr>
                <w:rFonts w:ascii="Arial" w:hAnsi="Arial" w:cs="Arial"/>
                <w:sz w:val="22"/>
                <w:szCs w:val="22"/>
              </w:rPr>
            </w:pPr>
          </w:p>
          <w:p w14:paraId="518510EE" w14:textId="77777777" w:rsidR="0027402F" w:rsidRPr="0027402F" w:rsidRDefault="0027402F" w:rsidP="0006025E">
            <w:pPr>
              <w:rPr>
                <w:rFonts w:ascii="Arial" w:hAnsi="Arial" w:cs="Arial"/>
                <w:sz w:val="22"/>
                <w:szCs w:val="22"/>
              </w:rPr>
            </w:pPr>
            <w:r w:rsidRPr="0027402F">
              <w:rPr>
                <w:rFonts w:ascii="Arial" w:hAnsi="Arial" w:cs="Arial"/>
                <w:sz w:val="22"/>
                <w:szCs w:val="22"/>
              </w:rPr>
              <w:t>Can be used to reach a settlement claim to a value up to £50,000.</w:t>
            </w:r>
          </w:p>
          <w:p w14:paraId="78E74BE8" w14:textId="77777777" w:rsidR="0027402F" w:rsidRPr="0027402F" w:rsidRDefault="0027402F" w:rsidP="0006025E">
            <w:pPr>
              <w:rPr>
                <w:rFonts w:ascii="Arial" w:hAnsi="Arial" w:cs="Arial"/>
                <w:sz w:val="22"/>
                <w:szCs w:val="22"/>
              </w:rPr>
            </w:pPr>
          </w:p>
          <w:p w14:paraId="5C57EE21" w14:textId="77777777" w:rsidR="0027402F" w:rsidRPr="0027402F" w:rsidRDefault="0027402F" w:rsidP="0006025E">
            <w:pPr>
              <w:rPr>
                <w:rFonts w:ascii="Arial" w:hAnsi="Arial" w:cs="Arial"/>
                <w:sz w:val="22"/>
                <w:szCs w:val="22"/>
              </w:rPr>
            </w:pPr>
            <w:r w:rsidRPr="0027402F">
              <w:rPr>
                <w:rFonts w:ascii="Arial" w:hAnsi="Arial" w:cs="Arial"/>
                <w:sz w:val="22"/>
                <w:szCs w:val="22"/>
              </w:rPr>
              <w:t>Not to be used following formal investigation.</w:t>
            </w:r>
          </w:p>
          <w:p w14:paraId="345742BA" w14:textId="77777777" w:rsidR="0027402F" w:rsidRPr="0027402F" w:rsidRDefault="0027402F" w:rsidP="0006025E">
            <w:pPr>
              <w:rPr>
                <w:rFonts w:ascii="Arial" w:hAnsi="Arial" w:cs="Arial"/>
                <w:sz w:val="22"/>
                <w:szCs w:val="22"/>
              </w:rPr>
            </w:pPr>
          </w:p>
          <w:p w14:paraId="12A7B223" w14:textId="77777777" w:rsidR="0027402F" w:rsidRPr="0027402F" w:rsidRDefault="0027402F" w:rsidP="0006025E">
            <w:pPr>
              <w:rPr>
                <w:rFonts w:ascii="Arial" w:hAnsi="Arial" w:cs="Arial"/>
                <w:sz w:val="22"/>
                <w:szCs w:val="22"/>
              </w:rPr>
            </w:pPr>
            <w:r w:rsidRPr="0027402F">
              <w:rPr>
                <w:rFonts w:ascii="Arial" w:hAnsi="Arial" w:cs="Arial"/>
                <w:sz w:val="22"/>
                <w:szCs w:val="22"/>
              </w:rPr>
              <w:t>A mediator acts as an impartial third-party to attempt to reach a solution that suits both parties.</w:t>
            </w:r>
          </w:p>
          <w:p w14:paraId="4669B704" w14:textId="77777777" w:rsidR="0027402F" w:rsidRPr="0027402F" w:rsidRDefault="0027402F" w:rsidP="0006025E">
            <w:pPr>
              <w:rPr>
                <w:rFonts w:ascii="Arial" w:hAnsi="Arial" w:cs="Arial"/>
                <w:sz w:val="22"/>
                <w:szCs w:val="22"/>
              </w:rPr>
            </w:pPr>
          </w:p>
          <w:p w14:paraId="609EE72C" w14:textId="77777777" w:rsidR="0027402F" w:rsidRPr="0027402F" w:rsidRDefault="0027402F" w:rsidP="0006025E">
            <w:pPr>
              <w:rPr>
                <w:rFonts w:ascii="Arial" w:hAnsi="Arial" w:cs="Arial"/>
                <w:sz w:val="22"/>
                <w:szCs w:val="22"/>
              </w:rPr>
            </w:pPr>
            <w:r w:rsidRPr="0027402F">
              <w:rPr>
                <w:rFonts w:ascii="Arial" w:hAnsi="Arial" w:cs="Arial"/>
                <w:sz w:val="22"/>
                <w:szCs w:val="22"/>
              </w:rPr>
              <w:t xml:space="preserve">Its aim is to maintain relationships and focus on a win/win approach (CVC, 2021). </w:t>
            </w:r>
          </w:p>
          <w:p w14:paraId="4B177134" w14:textId="77777777" w:rsidR="0027402F" w:rsidRPr="0027402F" w:rsidRDefault="0027402F" w:rsidP="0006025E">
            <w:pPr>
              <w:rPr>
                <w:rFonts w:ascii="Arial" w:hAnsi="Arial" w:cs="Arial"/>
                <w:sz w:val="22"/>
                <w:szCs w:val="22"/>
              </w:rPr>
            </w:pPr>
          </w:p>
          <w:p w14:paraId="5D5EB925" w14:textId="0F3906E7" w:rsidR="0027402F" w:rsidRPr="0027402F" w:rsidRDefault="0027402F" w:rsidP="0006025E">
            <w:pPr>
              <w:rPr>
                <w:rFonts w:ascii="Arial" w:hAnsi="Arial" w:cs="Arial"/>
                <w:sz w:val="22"/>
                <w:szCs w:val="22"/>
              </w:rPr>
            </w:pPr>
            <w:r w:rsidRPr="0027402F">
              <w:rPr>
                <w:rFonts w:ascii="Arial" w:hAnsi="Arial" w:cs="Arial"/>
                <w:sz w:val="22"/>
                <w:szCs w:val="22"/>
              </w:rPr>
              <w:t>ACAS (2022</w:t>
            </w:r>
            <w:r w:rsidR="0065618F">
              <w:rPr>
                <w:rFonts w:ascii="Arial" w:hAnsi="Arial" w:cs="Arial"/>
                <w:sz w:val="22"/>
                <w:szCs w:val="22"/>
              </w:rPr>
              <w:t xml:space="preserve"> a</w:t>
            </w:r>
            <w:r w:rsidRPr="0027402F">
              <w:rPr>
                <w:rFonts w:ascii="Arial" w:hAnsi="Arial" w:cs="Arial"/>
                <w:sz w:val="22"/>
                <w:szCs w:val="22"/>
              </w:rPr>
              <w:t xml:space="preserve">) explains that mediation focusses on strengthening communication and finding positive solutions with an aim to improve relationships (even defining future acceptable behaviours for both parties) in the workplace and to keep valuable employees. </w:t>
            </w:r>
          </w:p>
          <w:p w14:paraId="15F1B7CE" w14:textId="77777777" w:rsidR="0027402F" w:rsidRPr="0027402F" w:rsidRDefault="0027402F" w:rsidP="0006025E">
            <w:pPr>
              <w:rPr>
                <w:rFonts w:ascii="Arial" w:hAnsi="Arial" w:cs="Arial"/>
                <w:sz w:val="22"/>
                <w:szCs w:val="22"/>
              </w:rPr>
            </w:pPr>
          </w:p>
          <w:p w14:paraId="75251ADF" w14:textId="77777777" w:rsidR="0027402F" w:rsidRPr="0027402F" w:rsidRDefault="0027402F" w:rsidP="0006025E">
            <w:pPr>
              <w:rPr>
                <w:rFonts w:ascii="Arial" w:hAnsi="Arial" w:cs="Arial"/>
                <w:sz w:val="22"/>
                <w:szCs w:val="22"/>
              </w:rPr>
            </w:pPr>
            <w:r w:rsidRPr="0027402F">
              <w:rPr>
                <w:rFonts w:ascii="Arial" w:hAnsi="Arial" w:cs="Arial"/>
                <w:sz w:val="22"/>
                <w:szCs w:val="22"/>
              </w:rPr>
              <w:lastRenderedPageBreak/>
              <w:t>Mediation is used to attempt to reach a solution when other informal discussions have not yet reached a solution. A mediator will be employed to discuss matters with both parties to attempt to reach a suitable solution for both parties. This could be an issue with and employee or employer relationship or between employees.</w:t>
            </w:r>
          </w:p>
          <w:p w14:paraId="2B84D054" w14:textId="77777777" w:rsidR="0027402F" w:rsidRPr="0027402F" w:rsidRDefault="0027402F" w:rsidP="0006025E">
            <w:pPr>
              <w:rPr>
                <w:rFonts w:ascii="Arial" w:hAnsi="Arial" w:cs="Arial"/>
                <w:sz w:val="22"/>
                <w:szCs w:val="22"/>
              </w:rPr>
            </w:pPr>
          </w:p>
          <w:p w14:paraId="2138EEF9" w14:textId="77777777" w:rsidR="0027402F" w:rsidRPr="0027402F" w:rsidRDefault="0027402F" w:rsidP="0006025E">
            <w:pPr>
              <w:rPr>
                <w:rFonts w:ascii="Arial" w:hAnsi="Arial" w:cs="Arial"/>
                <w:sz w:val="22"/>
                <w:szCs w:val="22"/>
              </w:rPr>
            </w:pPr>
            <w:r w:rsidRPr="0027402F">
              <w:rPr>
                <w:rFonts w:ascii="Arial" w:hAnsi="Arial" w:cs="Arial"/>
                <w:sz w:val="22"/>
                <w:szCs w:val="22"/>
              </w:rPr>
              <w:t>The solution may or may not be acceptable to both parties and you are not required to accept the solution suggested by the mediator.</w:t>
            </w:r>
          </w:p>
          <w:p w14:paraId="203492BC" w14:textId="77777777" w:rsidR="0027402F" w:rsidRPr="0027402F" w:rsidRDefault="0027402F" w:rsidP="0006025E">
            <w:pPr>
              <w:rPr>
                <w:rFonts w:ascii="Arial" w:hAnsi="Arial" w:cs="Arial"/>
                <w:sz w:val="22"/>
                <w:szCs w:val="22"/>
                <w:lang w:val="en-US"/>
              </w:rPr>
            </w:pPr>
          </w:p>
          <w:p w14:paraId="1BEE0CB1" w14:textId="77777777" w:rsidR="0027402F" w:rsidRPr="0027402F" w:rsidRDefault="0027402F" w:rsidP="0006025E">
            <w:pPr>
              <w:rPr>
                <w:rFonts w:ascii="Arial" w:hAnsi="Arial" w:cs="Arial"/>
                <w:sz w:val="22"/>
                <w:szCs w:val="22"/>
              </w:rPr>
            </w:pPr>
            <w:r w:rsidRPr="0027402F">
              <w:rPr>
                <w:rFonts w:ascii="Arial" w:hAnsi="Arial" w:cs="Arial"/>
                <w:sz w:val="22"/>
                <w:szCs w:val="22"/>
                <w:lang w:val="en-US"/>
              </w:rPr>
              <w:t xml:space="preserve">Cost – there is often a cost for this service however some mediators are committed to the </w:t>
            </w:r>
            <w:r w:rsidRPr="0027402F">
              <w:rPr>
                <w:rFonts w:ascii="Arial" w:hAnsi="Arial" w:cs="Arial"/>
                <w:sz w:val="22"/>
                <w:szCs w:val="22"/>
              </w:rPr>
              <w:t>Fixed Fee Mediation Scheme setting a standard fee.</w:t>
            </w:r>
          </w:p>
          <w:p w14:paraId="1669A657" w14:textId="77777777" w:rsidR="0027402F" w:rsidRPr="0027402F" w:rsidRDefault="0027402F" w:rsidP="0006025E">
            <w:pPr>
              <w:rPr>
                <w:rFonts w:ascii="Arial" w:hAnsi="Arial" w:cs="Arial"/>
                <w:sz w:val="22"/>
                <w:szCs w:val="22"/>
                <w:lang w:val="en-US"/>
              </w:rPr>
            </w:pPr>
            <w:r w:rsidRPr="0027402F">
              <w:rPr>
                <w:rFonts w:ascii="Arial" w:hAnsi="Arial" w:cs="Arial"/>
                <w:sz w:val="22"/>
                <w:szCs w:val="22"/>
                <w:lang w:val="en-US"/>
              </w:rPr>
              <w:t>Confidential – mediation discussions cannot be repeated in court.</w:t>
            </w:r>
          </w:p>
          <w:p w14:paraId="6E1F0862" w14:textId="77777777" w:rsidR="0027402F" w:rsidRPr="0027402F" w:rsidRDefault="0027402F" w:rsidP="0006025E">
            <w:pPr>
              <w:rPr>
                <w:rFonts w:ascii="Arial" w:hAnsi="Arial" w:cs="Arial"/>
                <w:sz w:val="22"/>
                <w:szCs w:val="22"/>
                <w:lang w:val="en-US"/>
              </w:rPr>
            </w:pPr>
          </w:p>
          <w:p w14:paraId="37917AF5" w14:textId="77777777" w:rsidR="0027402F" w:rsidRPr="0027402F" w:rsidRDefault="0027402F" w:rsidP="0006025E">
            <w:pPr>
              <w:rPr>
                <w:rFonts w:ascii="Arial" w:hAnsi="Arial" w:cs="Arial"/>
                <w:sz w:val="22"/>
                <w:szCs w:val="22"/>
                <w:lang w:val="en-US"/>
              </w:rPr>
            </w:pPr>
            <w:r w:rsidRPr="0027402F">
              <w:rPr>
                <w:rFonts w:ascii="Arial" w:hAnsi="Arial" w:cs="Arial"/>
                <w:sz w:val="22"/>
                <w:szCs w:val="22"/>
                <w:lang w:val="en-US"/>
              </w:rPr>
              <w:t xml:space="preserve">Voluntary – requires agreement from both parties. </w:t>
            </w:r>
          </w:p>
          <w:p w14:paraId="6326DD72" w14:textId="77777777" w:rsidR="0027402F" w:rsidRPr="0027402F" w:rsidRDefault="0027402F" w:rsidP="0006025E">
            <w:pPr>
              <w:rPr>
                <w:rFonts w:ascii="Arial" w:hAnsi="Arial" w:cs="Arial"/>
                <w:sz w:val="22"/>
                <w:szCs w:val="22"/>
                <w:lang w:val="en-US"/>
              </w:rPr>
            </w:pPr>
          </w:p>
          <w:p w14:paraId="650A5373" w14:textId="77777777" w:rsidR="0027402F" w:rsidRPr="0027402F" w:rsidRDefault="0027402F" w:rsidP="0006025E">
            <w:pPr>
              <w:rPr>
                <w:rFonts w:ascii="Arial" w:hAnsi="Arial" w:cs="Arial"/>
                <w:sz w:val="22"/>
                <w:szCs w:val="22"/>
                <w:lang w:val="en-US"/>
              </w:rPr>
            </w:pPr>
            <w:r w:rsidRPr="0027402F">
              <w:rPr>
                <w:rFonts w:ascii="Arial" w:hAnsi="Arial" w:cs="Arial"/>
                <w:sz w:val="22"/>
                <w:szCs w:val="22"/>
                <w:lang w:val="en-US"/>
              </w:rPr>
              <w:t>Potentially quicker and cheaper than going to court</w:t>
            </w:r>
          </w:p>
          <w:p w14:paraId="58305857" w14:textId="77777777" w:rsidR="0027402F" w:rsidRPr="0027402F" w:rsidRDefault="0027402F" w:rsidP="0006025E">
            <w:pPr>
              <w:rPr>
                <w:rFonts w:ascii="Arial" w:hAnsi="Arial" w:cs="Arial"/>
                <w:b/>
                <w:bCs/>
                <w:sz w:val="22"/>
                <w:szCs w:val="22"/>
              </w:rPr>
            </w:pPr>
            <w:r w:rsidRPr="0027402F">
              <w:rPr>
                <w:rFonts w:ascii="Arial" w:hAnsi="Arial" w:cs="Arial"/>
                <w:sz w:val="22"/>
                <w:szCs w:val="22"/>
                <w:lang w:val="en-US"/>
              </w:rPr>
              <w:t xml:space="preserve">(CVC, 2021). </w:t>
            </w:r>
          </w:p>
          <w:p w14:paraId="51B9DB38" w14:textId="77777777" w:rsidR="0027402F" w:rsidRPr="0027402F" w:rsidRDefault="0027402F" w:rsidP="0006025E">
            <w:pPr>
              <w:rPr>
                <w:rFonts w:ascii="Arial" w:hAnsi="Arial" w:cs="Arial"/>
                <w:sz w:val="22"/>
                <w:szCs w:val="22"/>
                <w:lang w:val="en-US"/>
              </w:rPr>
            </w:pPr>
          </w:p>
          <w:p w14:paraId="621BD679" w14:textId="77777777" w:rsidR="0027402F" w:rsidRPr="0027402F" w:rsidRDefault="0027402F" w:rsidP="0006025E">
            <w:pPr>
              <w:rPr>
                <w:rFonts w:ascii="Arial" w:hAnsi="Arial" w:cs="Arial"/>
                <w:sz w:val="22"/>
                <w:szCs w:val="22"/>
                <w:lang w:val="en-US"/>
              </w:rPr>
            </w:pPr>
          </w:p>
          <w:p w14:paraId="60FFC5B5" w14:textId="77777777" w:rsidR="0027402F" w:rsidRPr="0027402F" w:rsidRDefault="0027402F" w:rsidP="0006025E">
            <w:pPr>
              <w:rPr>
                <w:rFonts w:ascii="Arial" w:hAnsi="Arial" w:cs="Arial"/>
                <w:sz w:val="22"/>
                <w:szCs w:val="22"/>
                <w:lang w:val="en-US"/>
              </w:rPr>
            </w:pPr>
            <w:r w:rsidRPr="0027402F">
              <w:rPr>
                <w:rFonts w:ascii="Arial" w:hAnsi="Arial" w:cs="Arial"/>
                <w:sz w:val="22"/>
                <w:szCs w:val="22"/>
                <w:lang w:val="en-US"/>
              </w:rPr>
              <w:t>Cons:</w:t>
            </w:r>
          </w:p>
          <w:p w14:paraId="4F50A438" w14:textId="77777777" w:rsidR="0027402F" w:rsidRPr="0027402F" w:rsidRDefault="0027402F" w:rsidP="0006025E">
            <w:pPr>
              <w:rPr>
                <w:rFonts w:ascii="Arial" w:hAnsi="Arial" w:cs="Arial"/>
                <w:sz w:val="22"/>
                <w:szCs w:val="22"/>
                <w:lang w:val="en-US"/>
              </w:rPr>
            </w:pPr>
            <w:r w:rsidRPr="0027402F">
              <w:rPr>
                <w:rFonts w:ascii="Arial" w:hAnsi="Arial" w:cs="Arial"/>
                <w:sz w:val="22"/>
                <w:szCs w:val="22"/>
                <w:lang w:val="en-US"/>
              </w:rPr>
              <w:t>Not legally binding regarding workplace disputes but ‘made in good faith’.</w:t>
            </w:r>
          </w:p>
          <w:p w14:paraId="63B8CEA9" w14:textId="77777777" w:rsidR="0027402F" w:rsidRPr="0027402F" w:rsidRDefault="0027402F" w:rsidP="0006025E">
            <w:pPr>
              <w:rPr>
                <w:rFonts w:ascii="Arial" w:hAnsi="Arial" w:cs="Arial"/>
                <w:sz w:val="22"/>
                <w:szCs w:val="22"/>
                <w:lang w:val="en-US"/>
              </w:rPr>
            </w:pPr>
          </w:p>
          <w:p w14:paraId="43DD0CD3" w14:textId="77777777" w:rsidR="0027402F" w:rsidRPr="0027402F" w:rsidRDefault="0027402F" w:rsidP="0006025E">
            <w:pPr>
              <w:rPr>
                <w:rFonts w:ascii="Arial" w:hAnsi="Arial" w:cs="Arial"/>
                <w:sz w:val="22"/>
                <w:szCs w:val="22"/>
                <w:lang w:val="en-US"/>
              </w:rPr>
            </w:pPr>
          </w:p>
        </w:tc>
        <w:tc>
          <w:tcPr>
            <w:tcW w:w="3006" w:type="dxa"/>
          </w:tcPr>
          <w:p w14:paraId="1241D5EB" w14:textId="77777777" w:rsidR="0027402F" w:rsidRPr="0027402F" w:rsidRDefault="0027402F" w:rsidP="0006025E">
            <w:pPr>
              <w:rPr>
                <w:rFonts w:ascii="Arial" w:hAnsi="Arial" w:cs="Arial"/>
                <w:color w:val="000000" w:themeColor="text1"/>
                <w:sz w:val="22"/>
                <w:szCs w:val="22"/>
              </w:rPr>
            </w:pPr>
            <w:r w:rsidRPr="0027402F">
              <w:rPr>
                <w:rFonts w:ascii="Arial" w:hAnsi="Arial" w:cs="Arial"/>
                <w:color w:val="000000" w:themeColor="text1"/>
                <w:sz w:val="22"/>
                <w:szCs w:val="22"/>
              </w:rPr>
              <w:lastRenderedPageBreak/>
              <w:t>Can only be used for employment cases regarding flexible working or unfair dismissal.</w:t>
            </w:r>
          </w:p>
          <w:p w14:paraId="02B854FE" w14:textId="77777777" w:rsidR="0027402F" w:rsidRPr="0027402F" w:rsidRDefault="0027402F" w:rsidP="0006025E">
            <w:pPr>
              <w:rPr>
                <w:rFonts w:ascii="Arial" w:hAnsi="Arial" w:cs="Arial"/>
                <w:color w:val="000000" w:themeColor="text1"/>
                <w:sz w:val="22"/>
                <w:szCs w:val="22"/>
              </w:rPr>
            </w:pPr>
          </w:p>
          <w:p w14:paraId="74A145B9" w14:textId="77777777" w:rsidR="0027402F" w:rsidRPr="0027402F" w:rsidRDefault="0027402F" w:rsidP="0006025E">
            <w:pPr>
              <w:rPr>
                <w:rFonts w:ascii="Arial" w:hAnsi="Arial" w:cs="Arial"/>
                <w:color w:val="000000" w:themeColor="text1"/>
                <w:sz w:val="22"/>
                <w:szCs w:val="22"/>
              </w:rPr>
            </w:pPr>
            <w:r w:rsidRPr="0027402F">
              <w:rPr>
                <w:rFonts w:ascii="Arial" w:hAnsi="Arial" w:cs="Arial"/>
                <w:color w:val="000000" w:themeColor="text1"/>
                <w:sz w:val="22"/>
                <w:szCs w:val="22"/>
              </w:rPr>
              <w:t>Arbitration is best used when more flexible methods have failed to reach a solution.</w:t>
            </w:r>
          </w:p>
          <w:p w14:paraId="69FCC5EA" w14:textId="77777777" w:rsidR="0027402F" w:rsidRPr="0027402F" w:rsidRDefault="0027402F" w:rsidP="0006025E">
            <w:pPr>
              <w:rPr>
                <w:rFonts w:ascii="Arial" w:hAnsi="Arial" w:cs="Arial"/>
                <w:color w:val="000000" w:themeColor="text1"/>
                <w:sz w:val="22"/>
                <w:szCs w:val="22"/>
              </w:rPr>
            </w:pPr>
          </w:p>
          <w:p w14:paraId="21418E95" w14:textId="77777777" w:rsidR="0027402F" w:rsidRPr="0027402F" w:rsidRDefault="0027402F" w:rsidP="0006025E">
            <w:pPr>
              <w:rPr>
                <w:rFonts w:ascii="Arial" w:hAnsi="Arial" w:cs="Arial"/>
                <w:color w:val="000000" w:themeColor="text1"/>
                <w:sz w:val="22"/>
                <w:szCs w:val="22"/>
              </w:rPr>
            </w:pPr>
            <w:r w:rsidRPr="0027402F">
              <w:rPr>
                <w:rFonts w:ascii="Arial" w:hAnsi="Arial" w:cs="Arial"/>
                <w:color w:val="000000" w:themeColor="text1"/>
                <w:sz w:val="22"/>
                <w:szCs w:val="22"/>
              </w:rPr>
              <w:t>Both sides must agree to agree to the outcome that an arbitrator will come to prior to the process commencing.</w:t>
            </w:r>
          </w:p>
          <w:p w14:paraId="6B07A52C" w14:textId="77777777" w:rsidR="0027402F" w:rsidRPr="0027402F" w:rsidRDefault="0027402F" w:rsidP="0006025E">
            <w:pPr>
              <w:rPr>
                <w:rFonts w:ascii="Arial" w:hAnsi="Arial" w:cs="Arial"/>
                <w:color w:val="000000" w:themeColor="text1"/>
                <w:sz w:val="22"/>
                <w:szCs w:val="22"/>
              </w:rPr>
            </w:pPr>
          </w:p>
          <w:p w14:paraId="1F5867EC" w14:textId="77777777" w:rsidR="0027402F" w:rsidRPr="0027402F" w:rsidRDefault="0027402F" w:rsidP="0006025E">
            <w:pPr>
              <w:rPr>
                <w:rFonts w:ascii="Arial" w:hAnsi="Arial" w:cs="Arial"/>
                <w:color w:val="000000" w:themeColor="text1"/>
                <w:sz w:val="22"/>
                <w:szCs w:val="22"/>
              </w:rPr>
            </w:pPr>
            <w:r w:rsidRPr="0027402F">
              <w:rPr>
                <w:rFonts w:ascii="Arial" w:hAnsi="Arial" w:cs="Arial"/>
                <w:color w:val="000000" w:themeColor="text1"/>
                <w:sz w:val="22"/>
                <w:szCs w:val="22"/>
              </w:rPr>
              <w:t>Arbitration is a less flexible approach where an impartial third-party ‘arbitrator’ considers evidence presented in a hearing and decides an outcome on behalf of both parties.</w:t>
            </w:r>
          </w:p>
          <w:p w14:paraId="1D97819B" w14:textId="77777777" w:rsidR="0027402F" w:rsidRPr="0027402F" w:rsidRDefault="0027402F" w:rsidP="0006025E">
            <w:pPr>
              <w:rPr>
                <w:rFonts w:ascii="Arial" w:hAnsi="Arial" w:cs="Arial"/>
                <w:color w:val="000000" w:themeColor="text1"/>
                <w:sz w:val="22"/>
                <w:szCs w:val="22"/>
              </w:rPr>
            </w:pPr>
          </w:p>
          <w:p w14:paraId="5853EBFA" w14:textId="5DFDD1FE" w:rsidR="0027402F" w:rsidRPr="0027402F" w:rsidRDefault="0027402F" w:rsidP="0006025E">
            <w:pPr>
              <w:rPr>
                <w:rFonts w:ascii="Arial" w:hAnsi="Arial" w:cs="Arial"/>
                <w:sz w:val="22"/>
                <w:szCs w:val="22"/>
              </w:rPr>
            </w:pPr>
            <w:r w:rsidRPr="0027402F">
              <w:rPr>
                <w:rFonts w:ascii="Arial" w:hAnsi="Arial" w:cs="Arial"/>
                <w:color w:val="000000" w:themeColor="text1"/>
                <w:sz w:val="22"/>
                <w:szCs w:val="22"/>
              </w:rPr>
              <w:t>Not legally binding but ‘binding in honour’ so not able to be contested in court later (ACAS, 2022</w:t>
            </w:r>
            <w:r w:rsidR="0065618F">
              <w:rPr>
                <w:rFonts w:ascii="Arial" w:hAnsi="Arial" w:cs="Arial"/>
                <w:color w:val="000000" w:themeColor="text1"/>
                <w:sz w:val="22"/>
                <w:szCs w:val="22"/>
              </w:rPr>
              <w:t xml:space="preserve"> b</w:t>
            </w:r>
            <w:r w:rsidRPr="0027402F">
              <w:rPr>
                <w:rFonts w:ascii="Arial" w:hAnsi="Arial" w:cs="Arial"/>
                <w:color w:val="000000" w:themeColor="text1"/>
                <w:sz w:val="22"/>
                <w:szCs w:val="22"/>
              </w:rPr>
              <w:t>).</w:t>
            </w:r>
          </w:p>
          <w:p w14:paraId="2690B967" w14:textId="77777777" w:rsidR="0027402F" w:rsidRPr="0027402F" w:rsidRDefault="0027402F" w:rsidP="0006025E">
            <w:pPr>
              <w:rPr>
                <w:rFonts w:ascii="Arial" w:hAnsi="Arial" w:cs="Arial"/>
                <w:b/>
                <w:bCs/>
                <w:color w:val="000000" w:themeColor="text1"/>
                <w:sz w:val="22"/>
                <w:szCs w:val="22"/>
              </w:rPr>
            </w:pPr>
          </w:p>
          <w:p w14:paraId="19256742" w14:textId="77777777" w:rsidR="0027402F" w:rsidRPr="0027402F" w:rsidRDefault="0027402F" w:rsidP="0006025E">
            <w:pPr>
              <w:rPr>
                <w:rFonts w:ascii="Arial" w:hAnsi="Arial" w:cs="Arial"/>
                <w:sz w:val="22"/>
                <w:szCs w:val="22"/>
                <w:lang w:val="en-US"/>
              </w:rPr>
            </w:pPr>
            <w:r w:rsidRPr="0027402F">
              <w:rPr>
                <w:rFonts w:ascii="Arial" w:hAnsi="Arial" w:cs="Arial"/>
                <w:sz w:val="22"/>
                <w:szCs w:val="22"/>
                <w:lang w:val="en-US"/>
              </w:rPr>
              <w:lastRenderedPageBreak/>
              <w:t>Cost: ACAS can act as the ‘arbitrator’ and is a free service.</w:t>
            </w:r>
          </w:p>
        </w:tc>
      </w:tr>
    </w:tbl>
    <w:p w14:paraId="5C0ED6F5" w14:textId="77777777" w:rsidR="0027402F" w:rsidRDefault="0027402F" w:rsidP="0027402F">
      <w:pPr>
        <w:rPr>
          <w:rFonts w:ascii="Arial" w:hAnsi="Arial" w:cs="Arial"/>
          <w:sz w:val="22"/>
          <w:szCs w:val="22"/>
        </w:rPr>
      </w:pPr>
    </w:p>
    <w:p w14:paraId="40A21E91" w14:textId="77777777" w:rsidR="0027402F" w:rsidRPr="0027402F" w:rsidRDefault="0027402F" w:rsidP="0027402F">
      <w:pPr>
        <w:rPr>
          <w:rFonts w:ascii="Arial" w:hAnsi="Arial" w:cs="Arial"/>
          <w:sz w:val="22"/>
          <w:szCs w:val="22"/>
        </w:rPr>
      </w:pPr>
    </w:p>
    <w:p w14:paraId="132CF287" w14:textId="4F7B5D49" w:rsidR="004B6668" w:rsidRPr="004B6668" w:rsidRDefault="004B6668" w:rsidP="004B6668">
      <w:pPr>
        <w:jc w:val="center"/>
        <w:rPr>
          <w:rFonts w:ascii="Arial" w:hAnsi="Arial" w:cs="Arial"/>
          <w:b/>
          <w:bCs/>
          <w:i/>
          <w:iCs/>
          <w:sz w:val="36"/>
          <w:szCs w:val="36"/>
          <w:u w:val="single"/>
        </w:rPr>
      </w:pPr>
      <w:r w:rsidRPr="004B6668">
        <w:rPr>
          <w:rFonts w:ascii="Arial" w:hAnsi="Arial" w:cs="Arial"/>
          <w:b/>
          <w:bCs/>
          <w:i/>
          <w:iCs/>
          <w:sz w:val="36"/>
          <w:szCs w:val="36"/>
          <w:u w:val="single"/>
        </w:rPr>
        <w:t>3. Understand how to manage</w:t>
      </w:r>
    </w:p>
    <w:p w14:paraId="3E60D885" w14:textId="4AB68D5D" w:rsidR="004B6668" w:rsidRPr="004B6668" w:rsidRDefault="004B6668" w:rsidP="004B6668">
      <w:pPr>
        <w:jc w:val="center"/>
        <w:rPr>
          <w:rFonts w:ascii="Arial" w:hAnsi="Arial" w:cs="Arial"/>
          <w:b/>
          <w:bCs/>
          <w:i/>
          <w:iCs/>
          <w:sz w:val="36"/>
          <w:szCs w:val="36"/>
          <w:u w:val="single"/>
        </w:rPr>
      </w:pPr>
      <w:r w:rsidRPr="004B6668">
        <w:rPr>
          <w:rFonts w:ascii="Arial" w:hAnsi="Arial" w:cs="Arial"/>
          <w:b/>
          <w:bCs/>
          <w:i/>
          <w:iCs/>
          <w:sz w:val="36"/>
          <w:szCs w:val="36"/>
          <w:u w:val="single"/>
        </w:rPr>
        <w:t>performance, disciplinary and grievance matters lawfully.</w:t>
      </w:r>
    </w:p>
    <w:p w14:paraId="7892BACC" w14:textId="77777777" w:rsidR="00C848C7" w:rsidRPr="00C35503" w:rsidRDefault="00C848C7" w:rsidP="00C848C7">
      <w:pPr>
        <w:rPr>
          <w:rFonts w:ascii="Arial" w:hAnsi="Arial" w:cs="Arial"/>
          <w:b/>
          <w:bCs/>
          <w:i/>
          <w:iCs/>
          <w:sz w:val="32"/>
          <w:szCs w:val="32"/>
        </w:rPr>
      </w:pPr>
      <w:r w:rsidRPr="00C35503">
        <w:rPr>
          <w:rFonts w:ascii="Arial" w:hAnsi="Arial" w:cs="Arial"/>
          <w:b/>
          <w:bCs/>
          <w:i/>
          <w:iCs/>
          <w:sz w:val="32"/>
          <w:szCs w:val="32"/>
        </w:rPr>
        <w:t xml:space="preserve">3.1 Explain the principles of legislation relating to unfair dismissal in respect of capability and misconduct issues. </w:t>
      </w:r>
    </w:p>
    <w:p w14:paraId="00737686" w14:textId="77777777" w:rsidR="00D56351" w:rsidRPr="00D56351" w:rsidRDefault="00D56351" w:rsidP="00C848C7">
      <w:pPr>
        <w:rPr>
          <w:rFonts w:ascii="Arial" w:hAnsi="Arial" w:cs="Arial"/>
          <w:b/>
          <w:bCs/>
          <w:sz w:val="22"/>
          <w:szCs w:val="22"/>
        </w:rPr>
      </w:pPr>
      <w:r w:rsidRPr="00D56351">
        <w:rPr>
          <w:rFonts w:ascii="Arial" w:hAnsi="Arial" w:cs="Arial"/>
          <w:b/>
          <w:bCs/>
          <w:sz w:val="22"/>
          <w:szCs w:val="22"/>
        </w:rPr>
        <w:t>Unfair dismissal</w:t>
      </w:r>
    </w:p>
    <w:p w14:paraId="30152A62" w14:textId="61CD6606" w:rsidR="00C848C7" w:rsidRPr="00C35503" w:rsidRDefault="00C848C7" w:rsidP="00C848C7">
      <w:pPr>
        <w:rPr>
          <w:rFonts w:ascii="Arial" w:hAnsi="Arial" w:cs="Arial"/>
          <w:sz w:val="22"/>
          <w:szCs w:val="22"/>
        </w:rPr>
      </w:pPr>
      <w:r w:rsidRPr="00C35503">
        <w:rPr>
          <w:rFonts w:ascii="Arial" w:hAnsi="Arial" w:cs="Arial"/>
          <w:sz w:val="22"/>
          <w:szCs w:val="22"/>
        </w:rPr>
        <w:t xml:space="preserve">‘Unfair dismissal’ is defined as: No fair reason for dismissal, the reason is not justified, the employer did not follow a fair procedure as defined in the </w:t>
      </w:r>
      <w:r w:rsidRPr="00C35503">
        <w:rPr>
          <w:rFonts w:ascii="Arial" w:hAnsi="Arial" w:cs="Arial"/>
          <w:b/>
          <w:bCs/>
          <w:sz w:val="22"/>
          <w:szCs w:val="22"/>
        </w:rPr>
        <w:t>ACAS Code of Practice on disciplinary and grievance procedures</w:t>
      </w:r>
      <w:r w:rsidRPr="00C35503">
        <w:rPr>
          <w:rFonts w:ascii="Arial" w:hAnsi="Arial" w:cs="Arial"/>
          <w:sz w:val="22"/>
          <w:szCs w:val="22"/>
        </w:rPr>
        <w:t>. The code must be followed, as a minimum procedure, regarding ‘misconduct’ and ‘capability’ ACAS (2024</w:t>
      </w:r>
      <w:r w:rsidR="0065618F">
        <w:rPr>
          <w:rFonts w:ascii="Arial" w:hAnsi="Arial" w:cs="Arial"/>
          <w:sz w:val="22"/>
          <w:szCs w:val="22"/>
        </w:rPr>
        <w:t xml:space="preserve"> b</w:t>
      </w:r>
      <w:r w:rsidRPr="00C35503">
        <w:rPr>
          <w:rFonts w:ascii="Arial" w:hAnsi="Arial" w:cs="Arial"/>
          <w:sz w:val="22"/>
          <w:szCs w:val="22"/>
        </w:rPr>
        <w:t xml:space="preserve">). The code requires prompt address of issues raised, acting fairly and consistently, investigating the facts, informing employees and allowing response, the right to be accompanied at formal meetings and the right to appeal. </w:t>
      </w:r>
    </w:p>
    <w:p w14:paraId="50ED3D45" w14:textId="77777777" w:rsidR="00D56351" w:rsidRPr="00D56351" w:rsidRDefault="00D56351" w:rsidP="00C848C7">
      <w:pPr>
        <w:rPr>
          <w:rFonts w:ascii="Arial" w:hAnsi="Arial" w:cs="Arial"/>
          <w:b/>
          <w:bCs/>
          <w:sz w:val="22"/>
          <w:szCs w:val="22"/>
        </w:rPr>
      </w:pPr>
      <w:r w:rsidRPr="00D56351">
        <w:rPr>
          <w:rFonts w:ascii="Arial" w:hAnsi="Arial" w:cs="Arial"/>
          <w:b/>
          <w:bCs/>
          <w:sz w:val="22"/>
          <w:szCs w:val="22"/>
        </w:rPr>
        <w:t>Related legislation</w:t>
      </w:r>
    </w:p>
    <w:p w14:paraId="3707B843" w14:textId="02086887" w:rsidR="00C848C7" w:rsidRPr="00C35503" w:rsidRDefault="00C848C7" w:rsidP="00C848C7">
      <w:pPr>
        <w:rPr>
          <w:rFonts w:ascii="Arial" w:hAnsi="Arial" w:cs="Arial"/>
          <w:sz w:val="22"/>
          <w:szCs w:val="22"/>
        </w:rPr>
      </w:pPr>
      <w:r w:rsidRPr="00C35503">
        <w:rPr>
          <w:rFonts w:ascii="Arial" w:hAnsi="Arial" w:cs="Arial"/>
          <w:sz w:val="22"/>
          <w:szCs w:val="22"/>
        </w:rPr>
        <w:t xml:space="preserve">The </w:t>
      </w:r>
      <w:r w:rsidRPr="00C35503">
        <w:rPr>
          <w:rFonts w:ascii="Arial" w:hAnsi="Arial" w:cs="Arial"/>
          <w:b/>
          <w:bCs/>
          <w:sz w:val="22"/>
          <w:szCs w:val="22"/>
        </w:rPr>
        <w:t>Employment Rights Act 1996</w:t>
      </w:r>
      <w:r w:rsidRPr="00C35503">
        <w:rPr>
          <w:rFonts w:ascii="Arial" w:hAnsi="Arial" w:cs="Arial"/>
          <w:sz w:val="22"/>
          <w:szCs w:val="22"/>
        </w:rPr>
        <w:t xml:space="preserve"> protects employees from unfair dismissal. ACAS (2022</w:t>
      </w:r>
      <w:r w:rsidR="0065618F">
        <w:rPr>
          <w:rFonts w:ascii="Arial" w:hAnsi="Arial" w:cs="Arial"/>
          <w:sz w:val="22"/>
          <w:szCs w:val="22"/>
        </w:rPr>
        <w:t xml:space="preserve"> b</w:t>
      </w:r>
      <w:r w:rsidRPr="00C35503">
        <w:rPr>
          <w:rFonts w:ascii="Arial" w:hAnsi="Arial" w:cs="Arial"/>
          <w:sz w:val="22"/>
          <w:szCs w:val="22"/>
        </w:rPr>
        <w:t>) states that employers must give fair reasons and fair process for dismissal which include capability and misconduct in the workplace. The Act also state that the employee is entitled to a written statement regarding the reasons for dismissal should they request it.</w:t>
      </w:r>
    </w:p>
    <w:p w14:paraId="3E34A0D5" w14:textId="77777777" w:rsidR="00C848C7" w:rsidRPr="00C35503" w:rsidRDefault="00C848C7" w:rsidP="00C848C7">
      <w:pPr>
        <w:pStyle w:val="ListParagraph"/>
        <w:ind w:left="0"/>
        <w:rPr>
          <w:rFonts w:ascii="Arial" w:hAnsi="Arial" w:cs="Arial"/>
          <w:color w:val="000000" w:themeColor="text1"/>
          <w:sz w:val="22"/>
          <w:szCs w:val="22"/>
        </w:rPr>
      </w:pPr>
      <w:r w:rsidRPr="00C35503">
        <w:rPr>
          <w:rFonts w:ascii="Arial" w:hAnsi="Arial" w:cs="Arial"/>
          <w:color w:val="000000" w:themeColor="text1"/>
          <w:sz w:val="22"/>
          <w:szCs w:val="22"/>
        </w:rPr>
        <w:t xml:space="preserve">Unfair dismissal under the </w:t>
      </w:r>
      <w:r w:rsidRPr="00C35503">
        <w:rPr>
          <w:rFonts w:ascii="Arial" w:hAnsi="Arial" w:cs="Arial"/>
          <w:b/>
          <w:bCs/>
          <w:color w:val="000000" w:themeColor="text1"/>
          <w:sz w:val="22"/>
          <w:szCs w:val="22"/>
        </w:rPr>
        <w:t>Equality Act 2010</w:t>
      </w:r>
      <w:r w:rsidRPr="00C35503">
        <w:rPr>
          <w:rFonts w:ascii="Arial" w:hAnsi="Arial" w:cs="Arial"/>
          <w:color w:val="000000" w:themeColor="text1"/>
          <w:sz w:val="22"/>
          <w:szCs w:val="22"/>
        </w:rPr>
        <w:t xml:space="preserve"> could be when the individual has a disability of underlying health condition, and the employer has not made reasonable adjustments required by law and suitable for the workplace and worker. Persistent or long-term illness which makes it impossible to do your job should be supported and you should have reasonable time off to recover from illness before dismissal is considered. Dismissal for disability might be unlawful discrimination (GOV.UK, n.d.).</w:t>
      </w:r>
    </w:p>
    <w:p w14:paraId="040AD197" w14:textId="77777777" w:rsidR="00C848C7" w:rsidRPr="00C35503" w:rsidRDefault="00C848C7" w:rsidP="00C848C7">
      <w:pPr>
        <w:pStyle w:val="Body"/>
        <w:rPr>
          <w:rFonts w:eastAsia="Trebuchet MS"/>
        </w:rPr>
      </w:pPr>
      <w:r w:rsidRPr="00C35503">
        <w:rPr>
          <w:rFonts w:eastAsia="Trebuchet MS"/>
        </w:rPr>
        <w:t>‘Misconduct’</w:t>
      </w:r>
      <w:r w:rsidRPr="00C35503">
        <w:rPr>
          <w:rFonts w:eastAsia="Trebuchet MS"/>
          <w:b/>
          <w:bCs/>
        </w:rPr>
        <w:t xml:space="preserve"> </w:t>
      </w:r>
      <w:r w:rsidRPr="00C35503">
        <w:rPr>
          <w:rFonts w:eastAsia="Trebuchet MS"/>
        </w:rPr>
        <w:t>is related to behaviour issues such as malingering, unauthorised absence, continued lateness, bullying, abuse of work environment or equipment, criminal activity and failure to follow reasonable instruction for example.</w:t>
      </w:r>
    </w:p>
    <w:p w14:paraId="2E1748E6" w14:textId="77777777" w:rsidR="00C848C7" w:rsidRPr="00C35503" w:rsidRDefault="00C848C7" w:rsidP="00C848C7">
      <w:pPr>
        <w:pStyle w:val="Body"/>
        <w:rPr>
          <w:rFonts w:eastAsia="Trebuchet MS"/>
        </w:rPr>
      </w:pPr>
    </w:p>
    <w:p w14:paraId="4E547E7D" w14:textId="77777777" w:rsidR="00C848C7" w:rsidRPr="00C35503" w:rsidRDefault="00C848C7" w:rsidP="00C848C7">
      <w:pPr>
        <w:rPr>
          <w:rFonts w:ascii="Arial" w:hAnsi="Arial" w:cs="Arial"/>
          <w:sz w:val="22"/>
          <w:szCs w:val="22"/>
        </w:rPr>
      </w:pPr>
      <w:r w:rsidRPr="00C35503">
        <w:rPr>
          <w:rFonts w:ascii="Arial" w:hAnsi="Arial" w:cs="Arial"/>
          <w:sz w:val="22"/>
          <w:szCs w:val="22"/>
        </w:rPr>
        <w:t>‘Gross misconduct’ could lead to ‘summary dismissal’ without the need for normal disciplinary procedures. Examples include violence, destruction of property amongst others (GOV.UK, n.d.).  The employer should always investigate fully regardless of the severity and route to dismissal and document findings accurately.</w:t>
      </w:r>
    </w:p>
    <w:p w14:paraId="1A856092" w14:textId="77777777" w:rsidR="00C848C7" w:rsidRDefault="00C848C7" w:rsidP="00C848C7">
      <w:pPr>
        <w:pStyle w:val="Body"/>
        <w:rPr>
          <w:rFonts w:eastAsia="Trebuchet MS"/>
        </w:rPr>
      </w:pPr>
      <w:r w:rsidRPr="00C35503">
        <w:rPr>
          <w:rFonts w:eastAsia="Trebuchet MS"/>
        </w:rPr>
        <w:lastRenderedPageBreak/>
        <w:t>Currently and employee must have 2 years of continuous service to claim unfair dismissal (with some exceptions e.g. protected characteristics under the Equality Act 2010, health and safety related reports and whistleblowing for example). The proposed Employment Rights Bill plans to abolish this rule in preference for a day one right to claim.</w:t>
      </w:r>
    </w:p>
    <w:p w14:paraId="09D68EBE" w14:textId="77777777" w:rsidR="00C848C7" w:rsidRPr="00C35503" w:rsidRDefault="00C848C7" w:rsidP="00C848C7">
      <w:pPr>
        <w:pStyle w:val="Body"/>
        <w:rPr>
          <w:rFonts w:eastAsia="Trebuchet MS"/>
        </w:rPr>
      </w:pPr>
    </w:p>
    <w:p w14:paraId="072ED05D" w14:textId="38544FB7" w:rsidR="00C848C7" w:rsidRPr="00C35503" w:rsidRDefault="00C848C7" w:rsidP="00C848C7">
      <w:pPr>
        <w:rPr>
          <w:rFonts w:ascii="Arial" w:hAnsi="Arial" w:cs="Arial"/>
        </w:rPr>
      </w:pPr>
      <w:r w:rsidRPr="00C35503">
        <w:rPr>
          <w:rFonts w:ascii="Arial" w:hAnsi="Arial" w:cs="Arial"/>
        </w:rPr>
        <w:t xml:space="preserve"> </w:t>
      </w:r>
    </w:p>
    <w:p w14:paraId="5B76A0AB" w14:textId="77777777" w:rsidR="00C848C7" w:rsidRDefault="00C848C7"/>
    <w:p w14:paraId="2E19A87D" w14:textId="77777777" w:rsidR="00C848C7" w:rsidRPr="00C35503" w:rsidRDefault="00C848C7" w:rsidP="00C848C7">
      <w:pPr>
        <w:rPr>
          <w:rFonts w:ascii="Arial" w:hAnsi="Arial" w:cs="Arial"/>
          <w:b/>
          <w:bCs/>
          <w:i/>
          <w:iCs/>
          <w:sz w:val="32"/>
          <w:szCs w:val="32"/>
        </w:rPr>
      </w:pPr>
      <w:r w:rsidRPr="00C35503">
        <w:rPr>
          <w:rFonts w:ascii="Arial" w:hAnsi="Arial" w:cs="Arial"/>
          <w:b/>
          <w:bCs/>
          <w:i/>
          <w:iCs/>
          <w:sz w:val="32"/>
          <w:szCs w:val="32"/>
        </w:rPr>
        <w:t xml:space="preserve">3.2 Analyse three key causes of employee grievances. </w:t>
      </w:r>
    </w:p>
    <w:p w14:paraId="29618533" w14:textId="77777777" w:rsidR="00C848C7" w:rsidRPr="00C35503" w:rsidRDefault="00C848C7" w:rsidP="00C848C7">
      <w:pPr>
        <w:rPr>
          <w:rFonts w:ascii="Arial" w:hAnsi="Arial" w:cs="Arial"/>
          <w:color w:val="000000" w:themeColor="text1"/>
          <w:sz w:val="22"/>
          <w:szCs w:val="22"/>
        </w:rPr>
      </w:pPr>
      <w:r w:rsidRPr="00C35503">
        <w:rPr>
          <w:rFonts w:ascii="Arial" w:hAnsi="Arial" w:cs="Arial"/>
          <w:color w:val="000000" w:themeColor="text1"/>
          <w:sz w:val="22"/>
          <w:szCs w:val="22"/>
        </w:rPr>
        <w:t>Unison (2025) explains that a grievance typically relates to pay and working conditions; terms of employment and workplace rules; disagreements with co-workers and allegations of unfair treatment at work.</w:t>
      </w:r>
    </w:p>
    <w:p w14:paraId="1D3FBB70" w14:textId="77777777" w:rsidR="00C848C7" w:rsidRPr="00C35503" w:rsidRDefault="00C848C7" w:rsidP="00C848C7">
      <w:pPr>
        <w:rPr>
          <w:rFonts w:ascii="Arial" w:hAnsi="Arial" w:cs="Arial"/>
          <w:color w:val="000000" w:themeColor="text1"/>
          <w:sz w:val="22"/>
          <w:szCs w:val="22"/>
        </w:rPr>
      </w:pPr>
      <w:r w:rsidRPr="00C35503">
        <w:rPr>
          <w:rFonts w:ascii="Arial" w:hAnsi="Arial" w:cs="Arial"/>
          <w:color w:val="000000" w:themeColor="text1"/>
          <w:sz w:val="22"/>
          <w:szCs w:val="22"/>
        </w:rPr>
        <w:t>Personnel Today (2023) reports that nearly a third (30%) of employers have seen a rise in employee grievance in the past year, mostly around issues related to pay and relationships in the workplace:</w:t>
      </w:r>
    </w:p>
    <w:p w14:paraId="31067D39" w14:textId="77777777" w:rsidR="00C848C7" w:rsidRPr="00C35503" w:rsidRDefault="00C848C7" w:rsidP="00C848C7">
      <w:pPr>
        <w:pStyle w:val="ListParagraph"/>
        <w:numPr>
          <w:ilvl w:val="0"/>
          <w:numId w:val="1"/>
        </w:numPr>
        <w:spacing w:after="0" w:line="240" w:lineRule="auto"/>
        <w:rPr>
          <w:rFonts w:ascii="Arial" w:hAnsi="Arial" w:cs="Arial"/>
          <w:color w:val="000000" w:themeColor="text1"/>
          <w:sz w:val="22"/>
          <w:szCs w:val="22"/>
        </w:rPr>
      </w:pPr>
      <w:r w:rsidRPr="00C35503">
        <w:rPr>
          <w:rFonts w:ascii="Arial" w:hAnsi="Arial" w:cs="Arial"/>
          <w:color w:val="000000" w:themeColor="text1"/>
          <w:sz w:val="22"/>
          <w:szCs w:val="22"/>
        </w:rPr>
        <w:t>Relationships with colleagues (49%),</w:t>
      </w:r>
    </w:p>
    <w:p w14:paraId="60FEBCC3" w14:textId="77777777" w:rsidR="00C848C7" w:rsidRPr="00C35503" w:rsidRDefault="00C848C7" w:rsidP="00C848C7">
      <w:pPr>
        <w:pStyle w:val="ListParagraph"/>
        <w:numPr>
          <w:ilvl w:val="0"/>
          <w:numId w:val="1"/>
        </w:numPr>
        <w:spacing w:after="0" w:line="240" w:lineRule="auto"/>
        <w:rPr>
          <w:rFonts w:ascii="Arial" w:hAnsi="Arial" w:cs="Arial"/>
          <w:color w:val="000000" w:themeColor="text1"/>
          <w:sz w:val="22"/>
          <w:szCs w:val="22"/>
        </w:rPr>
      </w:pPr>
      <w:r w:rsidRPr="00C35503">
        <w:rPr>
          <w:rFonts w:ascii="Arial" w:hAnsi="Arial" w:cs="Arial"/>
          <w:color w:val="000000" w:themeColor="text1"/>
          <w:sz w:val="22"/>
          <w:szCs w:val="22"/>
        </w:rPr>
        <w:t xml:space="preserve">Relationships with managers (54%) – Attributed to ineffective resolution practice toward issues prior to commencing formal grievance or disciplinary procedures. Some reported that managers were unequip to deal with issues as a result of a lack of training and some were attributed to ‘mangers not wanting to seem like they were the bad guy’.  </w:t>
      </w:r>
    </w:p>
    <w:p w14:paraId="279C6281" w14:textId="77777777" w:rsidR="00C848C7" w:rsidRPr="00C35503" w:rsidRDefault="00C848C7" w:rsidP="00C848C7">
      <w:pPr>
        <w:pStyle w:val="ListParagraph"/>
        <w:numPr>
          <w:ilvl w:val="0"/>
          <w:numId w:val="1"/>
        </w:numPr>
        <w:spacing w:after="0" w:line="240" w:lineRule="auto"/>
        <w:rPr>
          <w:rFonts w:ascii="Arial" w:hAnsi="Arial" w:cs="Arial"/>
          <w:color w:val="000000" w:themeColor="text1"/>
          <w:sz w:val="22"/>
          <w:szCs w:val="22"/>
        </w:rPr>
      </w:pPr>
      <w:r w:rsidRPr="00C35503">
        <w:rPr>
          <w:rFonts w:ascii="Arial" w:hAnsi="Arial" w:cs="Arial"/>
          <w:color w:val="000000" w:themeColor="text1"/>
          <w:sz w:val="22"/>
          <w:szCs w:val="22"/>
        </w:rPr>
        <w:t>pay related issues (37%) largely attributed to the cost-of-living in relation to affordable pay rewards for employers which can be demonstrated in recent industrial action.</w:t>
      </w:r>
    </w:p>
    <w:p w14:paraId="357BA44A" w14:textId="77777777" w:rsidR="00C848C7" w:rsidRPr="00C35503" w:rsidRDefault="00C848C7" w:rsidP="00C848C7">
      <w:pPr>
        <w:pStyle w:val="ListParagraph"/>
        <w:numPr>
          <w:ilvl w:val="0"/>
          <w:numId w:val="1"/>
        </w:numPr>
        <w:spacing w:after="0" w:line="240" w:lineRule="auto"/>
        <w:rPr>
          <w:rFonts w:ascii="Arial" w:hAnsi="Arial" w:cs="Arial"/>
          <w:color w:val="000000" w:themeColor="text1"/>
          <w:sz w:val="22"/>
          <w:szCs w:val="22"/>
        </w:rPr>
      </w:pPr>
      <w:r w:rsidRPr="00C35503">
        <w:rPr>
          <w:rFonts w:ascii="Arial" w:hAnsi="Arial" w:cs="Arial"/>
          <w:color w:val="000000" w:themeColor="text1"/>
          <w:sz w:val="22"/>
          <w:szCs w:val="22"/>
        </w:rPr>
        <w:t>A staggering 67% of grievances were also related to bullying and harassment.</w:t>
      </w:r>
    </w:p>
    <w:p w14:paraId="635A71EA" w14:textId="77777777" w:rsidR="00C848C7" w:rsidRPr="00C35503" w:rsidRDefault="00C848C7" w:rsidP="00C848C7">
      <w:pPr>
        <w:rPr>
          <w:rFonts w:ascii="Arial" w:hAnsi="Arial" w:cs="Arial"/>
          <w:b/>
          <w:bCs/>
          <w:color w:val="A02B93" w:themeColor="accent5"/>
          <w:sz w:val="22"/>
          <w:szCs w:val="22"/>
        </w:rPr>
      </w:pPr>
    </w:p>
    <w:p w14:paraId="748DEF1D" w14:textId="021665AF" w:rsidR="00C848C7" w:rsidRPr="00C35503" w:rsidRDefault="00C848C7" w:rsidP="00C848C7">
      <w:pPr>
        <w:rPr>
          <w:rFonts w:ascii="Arial" w:hAnsi="Arial" w:cs="Arial"/>
          <w:color w:val="000000" w:themeColor="text1"/>
          <w:sz w:val="22"/>
          <w:szCs w:val="22"/>
        </w:rPr>
      </w:pPr>
      <w:r w:rsidRPr="00C35503">
        <w:rPr>
          <w:rFonts w:ascii="Arial" w:hAnsi="Arial" w:cs="Arial"/>
          <w:color w:val="000000" w:themeColor="text1"/>
          <w:sz w:val="22"/>
          <w:szCs w:val="22"/>
        </w:rPr>
        <w:t>The article explained that only 70% of employees understood the HR role to support employees in raising a grievance while 95 % think that the role is to support manager in investigation procedures. It is crucial that HR have an involvement in every part of conflict resolution – from preparation for managers to identify route causes and tackle low level conflict informally to being involved and accessible in every part of the investigation process for both parties. Further troubling statistics appear in CIPD (2024</w:t>
      </w:r>
      <w:r w:rsidR="0065618F">
        <w:rPr>
          <w:rFonts w:ascii="Arial" w:hAnsi="Arial" w:cs="Arial"/>
          <w:color w:val="000000" w:themeColor="text1"/>
          <w:sz w:val="22"/>
          <w:szCs w:val="22"/>
        </w:rPr>
        <w:t xml:space="preserve"> a</w:t>
      </w:r>
      <w:r w:rsidRPr="00C35503">
        <w:rPr>
          <w:rFonts w:ascii="Arial" w:hAnsi="Arial" w:cs="Arial"/>
          <w:color w:val="000000" w:themeColor="text1"/>
          <w:sz w:val="22"/>
          <w:szCs w:val="22"/>
        </w:rPr>
        <w:t>) research on bullying and harassment in the workplace where less than a third (29%) of the employees who had experienced conflict at work say that they discussed issues with HR or their line management and almost half (47%) just ‘let it go’. Their</w:t>
      </w:r>
      <w:r w:rsidRPr="00DF67B4">
        <w:rPr>
          <w:rFonts w:ascii="Arial" w:eastAsia="Times New Roman" w:hAnsi="Arial" w:cs="Arial"/>
          <w:color w:val="000000" w:themeColor="text1"/>
          <w:sz w:val="22"/>
          <w:szCs w:val="22"/>
        </w:rPr>
        <w:t xml:space="preserve"> research </w:t>
      </w:r>
      <w:r w:rsidRPr="00C35503">
        <w:rPr>
          <w:rFonts w:ascii="Arial" w:hAnsi="Arial" w:cs="Arial"/>
          <w:color w:val="000000" w:themeColor="text1"/>
          <w:sz w:val="22"/>
          <w:szCs w:val="22"/>
        </w:rPr>
        <w:t xml:space="preserve">also </w:t>
      </w:r>
      <w:r w:rsidRPr="00DF67B4">
        <w:rPr>
          <w:rFonts w:ascii="Arial" w:eastAsia="Times New Roman" w:hAnsi="Arial" w:cs="Arial"/>
          <w:color w:val="000000" w:themeColor="text1"/>
          <w:sz w:val="22"/>
          <w:szCs w:val="22"/>
        </w:rPr>
        <w:t>found that poor perceptions of management and senior leaders—particularly their lack of confidence in challenging inappropriate behaviour and failure to act as positive role models—were key contributors to workplace conflict</w:t>
      </w:r>
      <w:r w:rsidRPr="00C35503">
        <w:rPr>
          <w:rFonts w:ascii="Arial" w:hAnsi="Arial" w:cs="Arial"/>
          <w:color w:val="000000" w:themeColor="text1"/>
          <w:sz w:val="22"/>
          <w:szCs w:val="22"/>
        </w:rPr>
        <w:t>;</w:t>
      </w:r>
      <w:r w:rsidRPr="00DF67B4">
        <w:rPr>
          <w:rFonts w:ascii="Arial" w:eastAsia="Times New Roman" w:hAnsi="Arial" w:cs="Arial"/>
          <w:color w:val="000000" w:themeColor="text1"/>
          <w:sz w:val="22"/>
          <w:szCs w:val="22"/>
        </w:rPr>
        <w:t xml:space="preserve"> 38% of employees reported these concerns, and 49% believed that line managers themselves can be a source of team conflict.</w:t>
      </w:r>
      <w:r w:rsidRPr="00C35503">
        <w:rPr>
          <w:rFonts w:ascii="Arial" w:hAnsi="Arial" w:cs="Arial"/>
          <w:color w:val="000000" w:themeColor="text1"/>
          <w:sz w:val="22"/>
          <w:szCs w:val="22"/>
        </w:rPr>
        <w:t xml:space="preserve"> </w:t>
      </w:r>
    </w:p>
    <w:p w14:paraId="5BEAE352" w14:textId="77777777" w:rsidR="00C848C7" w:rsidRDefault="00C848C7"/>
    <w:p w14:paraId="5797A81C" w14:textId="77777777" w:rsidR="00C848C7" w:rsidRPr="00C35503" w:rsidRDefault="00C848C7" w:rsidP="00C848C7">
      <w:pPr>
        <w:rPr>
          <w:rFonts w:ascii="Arial" w:hAnsi="Arial" w:cs="Arial"/>
          <w:b/>
          <w:bCs/>
          <w:i/>
          <w:iCs/>
          <w:sz w:val="32"/>
          <w:szCs w:val="32"/>
        </w:rPr>
      </w:pPr>
      <w:r w:rsidRPr="00C35503">
        <w:rPr>
          <w:rFonts w:ascii="Arial" w:hAnsi="Arial" w:cs="Arial"/>
          <w:b/>
          <w:bCs/>
          <w:i/>
          <w:iCs/>
          <w:sz w:val="32"/>
          <w:szCs w:val="32"/>
        </w:rPr>
        <w:t xml:space="preserve">3.3 Advise on the importance of handling grievances effectively. </w:t>
      </w:r>
    </w:p>
    <w:p w14:paraId="701931AE" w14:textId="41A486CF" w:rsidR="00C848C7" w:rsidRPr="00C35503" w:rsidRDefault="00C848C7" w:rsidP="00C848C7">
      <w:pPr>
        <w:pStyle w:val="Nornal"/>
        <w:rPr>
          <w:color w:val="000000" w:themeColor="text1"/>
          <w:lang w:val="en-GB"/>
        </w:rPr>
      </w:pPr>
      <w:r w:rsidRPr="00C35503">
        <w:rPr>
          <w:color w:val="000000" w:themeColor="text1"/>
          <w:lang w:val="en-GB"/>
        </w:rPr>
        <w:lastRenderedPageBreak/>
        <w:t>The most effective and pleasant way to deal with conflict in the workplace is to manage issues promptly, professionally and informally before escalation occurs. Should informal conversation be unfruitful you can use effective and relatively low cost options like mediation. Should you need to deal with issue through a grievance procedure, policies and procedures must be in place providing a course of action providing contact points and timescales to resolve matter before they reach employment tribunal, which is costly financially, emotionally and formalises a breakdown in employee and employer relationship. CIPD (2024</w:t>
      </w:r>
      <w:r w:rsidR="0065618F">
        <w:rPr>
          <w:color w:val="000000" w:themeColor="text1"/>
          <w:lang w:val="en-GB"/>
        </w:rPr>
        <w:t xml:space="preserve"> b</w:t>
      </w:r>
      <w:r w:rsidRPr="00C35503">
        <w:rPr>
          <w:color w:val="000000" w:themeColor="text1"/>
          <w:lang w:val="en-GB"/>
        </w:rPr>
        <w:t xml:space="preserve">) states that suspension and dismissal not only have a detrimental impact on the individual but have significant cost financially and in staffing time to resolve issues whist providing ongoing support to the employee for the business.  </w:t>
      </w:r>
      <w:r w:rsidR="006501CD">
        <w:rPr>
          <w:color w:val="000000" w:themeColor="text1"/>
          <w:lang w:val="en-GB"/>
        </w:rPr>
        <w:t>I</w:t>
      </w:r>
      <w:r w:rsidRPr="00C35503">
        <w:rPr>
          <w:color w:val="000000" w:themeColor="text1"/>
          <w:lang w:val="en-GB"/>
        </w:rPr>
        <w:t xml:space="preserve">ssues </w:t>
      </w:r>
      <w:r w:rsidR="006501CD">
        <w:rPr>
          <w:color w:val="000000" w:themeColor="text1"/>
          <w:lang w:val="en-GB"/>
        </w:rPr>
        <w:t xml:space="preserve">should be </w:t>
      </w:r>
      <w:r w:rsidRPr="00C35503">
        <w:rPr>
          <w:color w:val="000000" w:themeColor="text1"/>
          <w:lang w:val="en-GB"/>
        </w:rPr>
        <w:t>dealt with fairly and consistently</w:t>
      </w:r>
      <w:r w:rsidR="006501CD">
        <w:rPr>
          <w:color w:val="000000" w:themeColor="text1"/>
          <w:lang w:val="en-GB"/>
        </w:rPr>
        <w:t xml:space="preserve"> and</w:t>
      </w:r>
      <w:r w:rsidRPr="00C35503">
        <w:rPr>
          <w:color w:val="000000" w:themeColor="text1"/>
          <w:lang w:val="en-GB"/>
        </w:rPr>
        <w:t xml:space="preserve"> ensure that employers comply with current law.</w:t>
      </w:r>
      <w:r w:rsidR="006501CD">
        <w:rPr>
          <w:color w:val="000000" w:themeColor="text1"/>
          <w:lang w:val="en-GB"/>
        </w:rPr>
        <w:t xml:space="preserve"> Compliance with legal formalities is imperative to help to avoid costly legal disputes.</w:t>
      </w:r>
    </w:p>
    <w:p w14:paraId="1193D58D" w14:textId="77777777" w:rsidR="00C848C7" w:rsidRPr="00C35503" w:rsidRDefault="00C848C7" w:rsidP="00C848C7">
      <w:pPr>
        <w:pStyle w:val="Nornal"/>
        <w:rPr>
          <w:color w:val="000000" w:themeColor="text1"/>
          <w:lang w:val="en-GB"/>
        </w:rPr>
      </w:pPr>
      <w:r w:rsidRPr="00C35503">
        <w:rPr>
          <w:color w:val="000000" w:themeColor="text1"/>
          <w:lang w:val="en-GB"/>
        </w:rPr>
        <w:t>MDU Journal (2023) explains that there is a significant negative impact on both parties causing stress, anxiety and work absences thus causing financial burden on the organisation. They explain that ACAS estimates approximately 10 million people are experiencing conflict in the workplace each year costing businesses £28.5 billion per year and attributing £360 million to grievances alone.</w:t>
      </w:r>
    </w:p>
    <w:p w14:paraId="6F744714" w14:textId="6560E38A" w:rsidR="00C848C7" w:rsidRPr="00C35503" w:rsidRDefault="00C848C7" w:rsidP="00C848C7">
      <w:pPr>
        <w:pStyle w:val="Nornal"/>
        <w:rPr>
          <w:color w:val="000000" w:themeColor="text1"/>
          <w:lang w:val="en-GB"/>
        </w:rPr>
      </w:pPr>
      <w:r w:rsidRPr="0099589E">
        <w:rPr>
          <w:rStyle w:val="Hyperlink"/>
          <w:color w:val="000000" w:themeColor="text1"/>
          <w:u w:val="none"/>
          <w:lang w:val="en-GB"/>
        </w:rPr>
        <w:t xml:space="preserve">Workplaces are and environment which most people spend a significant part of their life, therefore relationships with colleagues and employers are important to overall individual wellbeing, workplace culture and team performance (IOD, 2023). The CIPD (2020) reported that most people experienced </w:t>
      </w:r>
      <w:r w:rsidRPr="0099589E">
        <w:rPr>
          <w:color w:val="000000" w:themeColor="text1"/>
          <w:lang w:val="en-GB"/>
        </w:rPr>
        <w:t>stress</w:t>
      </w:r>
      <w:r w:rsidRPr="00C35503">
        <w:rPr>
          <w:color w:val="000000" w:themeColor="text1"/>
          <w:lang w:val="en-GB"/>
        </w:rPr>
        <w:t>, a reduction in motivation or commitment toward the company, loss of self-confidence, some of which felt long lasting damage to their confidence for years with potentially no resolution. Both the CIPDs report on Managing Conflict in the Modern Workplace (2020) and the CIPD’s Good Work Index (2024</w:t>
      </w:r>
      <w:r w:rsidR="0065618F">
        <w:rPr>
          <w:color w:val="000000" w:themeColor="text1"/>
          <w:lang w:val="en-GB"/>
        </w:rPr>
        <w:t xml:space="preserve"> c</w:t>
      </w:r>
      <w:r w:rsidRPr="00C35503">
        <w:rPr>
          <w:color w:val="000000" w:themeColor="text1"/>
          <w:lang w:val="en-GB"/>
        </w:rPr>
        <w:t>) highlight that conflict leads to a breakdown in trust between employees and management when unresolved and employees, who were both directly involved or observers, where less likely speak up about concerns in the future. When issues like this are inherent to workplace culture, teams can lose trust in their employer, become stagnant, defiant and resistant to change.</w:t>
      </w:r>
    </w:p>
    <w:p w14:paraId="5AD7C7B2" w14:textId="77777777" w:rsidR="00C848C7" w:rsidRPr="00C35503" w:rsidRDefault="00C848C7" w:rsidP="00C848C7">
      <w:pPr>
        <w:pStyle w:val="Nornal"/>
        <w:rPr>
          <w:rStyle w:val="Hyperlink"/>
          <w:color w:val="000000" w:themeColor="text1"/>
        </w:rPr>
      </w:pPr>
      <w:r w:rsidRPr="00C35503">
        <w:rPr>
          <w:color w:val="000000" w:themeColor="text1"/>
          <w:lang w:val="en-GB"/>
        </w:rPr>
        <w:t>Businesses with poor management of conflict experience higher staff turnover and reputational consequences. Individuals may also experience reputational damage following investigation and disciplinary proceedings and have a negative long term effect on future employability and psychological damage.</w:t>
      </w:r>
    </w:p>
    <w:p w14:paraId="2314D434" w14:textId="77777777" w:rsidR="00C848C7" w:rsidRPr="00C848C7" w:rsidRDefault="00C848C7" w:rsidP="00C848C7">
      <w:pPr>
        <w:pStyle w:val="Nornal"/>
        <w:rPr>
          <w:rStyle w:val="Hyperlink"/>
          <w:color w:val="000000" w:themeColor="text1"/>
          <w:u w:val="none"/>
          <w:lang w:val="en-GB"/>
        </w:rPr>
      </w:pPr>
      <w:r w:rsidRPr="00C848C7">
        <w:rPr>
          <w:rStyle w:val="Hyperlink"/>
          <w:color w:val="000000" w:themeColor="text1"/>
          <w:u w:val="none"/>
          <w:lang w:val="en-GB"/>
        </w:rPr>
        <w:t>When grievance procedures are delayed or not dealt with, case law demonstrate that employees can become more aggrieved and lead to resignation and constructive dismissal or discrimination claims (MDU Journal, 2023).</w:t>
      </w:r>
    </w:p>
    <w:p w14:paraId="711D8EE0" w14:textId="2D9C0170" w:rsidR="00C848C7" w:rsidRPr="00C848C7" w:rsidRDefault="00C848C7" w:rsidP="00C848C7">
      <w:pPr>
        <w:pStyle w:val="Nornal"/>
        <w:rPr>
          <w:rStyle w:val="Hyperlink"/>
          <w:color w:val="000000" w:themeColor="text1"/>
          <w:u w:val="none"/>
          <w:lang w:val="en-GB"/>
        </w:rPr>
      </w:pPr>
    </w:p>
    <w:p w14:paraId="3D6BF93A" w14:textId="4257CFD4" w:rsidR="00C848C7" w:rsidRDefault="00395D78">
      <w:pPr>
        <w:rPr>
          <w:b/>
          <w:bCs/>
          <w:u w:val="single"/>
        </w:rPr>
      </w:pPr>
      <w:r w:rsidRPr="00395D78">
        <w:rPr>
          <w:b/>
          <w:bCs/>
          <w:u w:val="single"/>
        </w:rPr>
        <w:t>References</w:t>
      </w:r>
    </w:p>
    <w:p w14:paraId="3AF75DF2" w14:textId="77777777" w:rsidR="00395D78" w:rsidRPr="001D3C4F" w:rsidRDefault="00395D78" w:rsidP="00395D78">
      <w:pPr>
        <w:rPr>
          <w:rFonts w:ascii="Arial" w:hAnsi="Arial" w:cs="Arial"/>
          <w:color w:val="000000" w:themeColor="text1"/>
          <w:sz w:val="22"/>
          <w:szCs w:val="22"/>
        </w:rPr>
      </w:pPr>
      <w:r w:rsidRPr="001D3C4F">
        <w:rPr>
          <w:rFonts w:ascii="Arial" w:hAnsi="Arial" w:cs="Arial"/>
          <w:color w:val="000000" w:themeColor="text1"/>
          <w:sz w:val="22"/>
          <w:szCs w:val="22"/>
        </w:rPr>
        <w:t>ACAS (2022</w:t>
      </w:r>
      <w:r>
        <w:rPr>
          <w:rFonts w:ascii="Arial" w:hAnsi="Arial" w:cs="Arial"/>
          <w:color w:val="000000" w:themeColor="text1"/>
          <w:sz w:val="22"/>
          <w:szCs w:val="22"/>
        </w:rPr>
        <w:t xml:space="preserve"> b</w:t>
      </w:r>
      <w:r w:rsidRPr="001D3C4F">
        <w:rPr>
          <w:rFonts w:ascii="Arial" w:hAnsi="Arial" w:cs="Arial"/>
          <w:color w:val="000000" w:themeColor="text1"/>
          <w:sz w:val="22"/>
          <w:szCs w:val="22"/>
        </w:rPr>
        <w:t xml:space="preserve">) </w:t>
      </w:r>
      <w:r w:rsidRPr="001D3C4F">
        <w:rPr>
          <w:rFonts w:ascii="Arial" w:hAnsi="Arial" w:cs="Arial"/>
          <w:i/>
          <w:iCs/>
          <w:color w:val="000000" w:themeColor="text1"/>
          <w:sz w:val="22"/>
          <w:szCs w:val="22"/>
        </w:rPr>
        <w:t>Arbitration.</w:t>
      </w:r>
      <w:r w:rsidRPr="001D3C4F">
        <w:rPr>
          <w:rFonts w:ascii="Arial" w:hAnsi="Arial" w:cs="Arial"/>
          <w:color w:val="000000" w:themeColor="text1"/>
          <w:sz w:val="22"/>
          <w:szCs w:val="22"/>
        </w:rPr>
        <w:t xml:space="preserve"> Available at: </w:t>
      </w:r>
      <w:hyperlink r:id="rId7" w:history="1">
        <w:r w:rsidRPr="001D3C4F">
          <w:rPr>
            <w:rStyle w:val="Hyperlink"/>
            <w:rFonts w:ascii="Arial" w:hAnsi="Arial" w:cs="Arial"/>
            <w:color w:val="000000" w:themeColor="text1"/>
            <w:sz w:val="22"/>
            <w:szCs w:val="22"/>
          </w:rPr>
          <w:t>https://www.acas.org.uk/arbitration</w:t>
        </w:r>
      </w:hyperlink>
      <w:r w:rsidRPr="001D3C4F">
        <w:rPr>
          <w:rFonts w:ascii="Arial" w:hAnsi="Arial" w:cs="Arial"/>
          <w:color w:val="000000" w:themeColor="text1"/>
          <w:sz w:val="22"/>
          <w:szCs w:val="22"/>
        </w:rPr>
        <w:t xml:space="preserve"> (Accessed: 30 July 2025).</w:t>
      </w:r>
    </w:p>
    <w:p w14:paraId="3EDBD49F" w14:textId="77777777" w:rsidR="00395D78" w:rsidRPr="001D3C4F" w:rsidRDefault="00395D78" w:rsidP="00395D78">
      <w:pPr>
        <w:rPr>
          <w:rFonts w:ascii="Arial" w:hAnsi="Arial" w:cs="Arial"/>
          <w:color w:val="000000" w:themeColor="text1"/>
          <w:sz w:val="22"/>
          <w:szCs w:val="22"/>
        </w:rPr>
      </w:pPr>
      <w:r w:rsidRPr="001D3C4F">
        <w:rPr>
          <w:rFonts w:ascii="Arial" w:hAnsi="Arial" w:cs="Arial"/>
          <w:color w:val="000000" w:themeColor="text1"/>
          <w:sz w:val="22"/>
          <w:szCs w:val="22"/>
        </w:rPr>
        <w:t xml:space="preserve">ACAS (2022) </w:t>
      </w:r>
      <w:r w:rsidRPr="001D3C4F">
        <w:rPr>
          <w:rFonts w:ascii="Arial" w:hAnsi="Arial" w:cs="Arial"/>
          <w:i/>
          <w:iCs/>
          <w:color w:val="000000" w:themeColor="text1"/>
          <w:sz w:val="22"/>
          <w:szCs w:val="22"/>
        </w:rPr>
        <w:t>Collective conciliation.</w:t>
      </w:r>
      <w:r w:rsidRPr="001D3C4F">
        <w:rPr>
          <w:rFonts w:ascii="Arial" w:hAnsi="Arial" w:cs="Arial"/>
          <w:color w:val="000000" w:themeColor="text1"/>
          <w:sz w:val="22"/>
          <w:szCs w:val="22"/>
        </w:rPr>
        <w:t xml:space="preserve"> Available at: </w:t>
      </w:r>
      <w:hyperlink r:id="rId8" w:history="1">
        <w:r w:rsidRPr="001D3C4F">
          <w:rPr>
            <w:rStyle w:val="Hyperlink"/>
            <w:rFonts w:ascii="Arial" w:hAnsi="Arial" w:cs="Arial"/>
            <w:color w:val="000000" w:themeColor="text1"/>
            <w:sz w:val="22"/>
            <w:szCs w:val="22"/>
            <w:lang w:val="en-US"/>
          </w:rPr>
          <w:t>https://www.acas.org.uk/collective-conciliation</w:t>
        </w:r>
      </w:hyperlink>
      <w:r w:rsidRPr="001D3C4F">
        <w:rPr>
          <w:rStyle w:val="Hyperlink"/>
          <w:rFonts w:ascii="Arial" w:hAnsi="Arial" w:cs="Arial"/>
          <w:color w:val="000000" w:themeColor="text1"/>
          <w:sz w:val="22"/>
          <w:szCs w:val="22"/>
        </w:rPr>
        <w:t xml:space="preserve"> (Accessed: 1 August 2025).</w:t>
      </w:r>
    </w:p>
    <w:p w14:paraId="1278AB16" w14:textId="77777777" w:rsidR="00395D78" w:rsidRPr="001D3C4F" w:rsidRDefault="00395D78" w:rsidP="00395D78">
      <w:pPr>
        <w:rPr>
          <w:rFonts w:ascii="Arial" w:hAnsi="Arial" w:cs="Arial"/>
          <w:color w:val="000000" w:themeColor="text1"/>
          <w:sz w:val="22"/>
          <w:szCs w:val="22"/>
        </w:rPr>
      </w:pPr>
      <w:r w:rsidRPr="001D3C4F">
        <w:rPr>
          <w:rFonts w:ascii="Arial" w:hAnsi="Arial" w:cs="Arial"/>
          <w:color w:val="000000" w:themeColor="text1"/>
          <w:sz w:val="22"/>
          <w:szCs w:val="22"/>
        </w:rPr>
        <w:t xml:space="preserve">ACAS (2022) </w:t>
      </w:r>
      <w:r w:rsidRPr="001D3C4F">
        <w:rPr>
          <w:rFonts w:ascii="Arial" w:hAnsi="Arial" w:cs="Arial"/>
          <w:i/>
          <w:iCs/>
          <w:color w:val="000000" w:themeColor="text1"/>
          <w:sz w:val="22"/>
          <w:szCs w:val="22"/>
        </w:rPr>
        <w:t>Conduct and capability procedures when managing performance.</w:t>
      </w:r>
      <w:r w:rsidRPr="001D3C4F">
        <w:rPr>
          <w:rFonts w:ascii="Arial" w:hAnsi="Arial" w:cs="Arial"/>
          <w:color w:val="000000" w:themeColor="text1"/>
          <w:sz w:val="22"/>
          <w:szCs w:val="22"/>
        </w:rPr>
        <w:t xml:space="preserve"> Available at: </w:t>
      </w:r>
      <w:hyperlink r:id="rId9" w:history="1">
        <w:r w:rsidRPr="001D3C4F">
          <w:rPr>
            <w:rStyle w:val="Hyperlink"/>
            <w:rFonts w:ascii="Arial" w:hAnsi="Arial" w:cs="Arial"/>
            <w:color w:val="000000" w:themeColor="text1"/>
            <w:sz w:val="22"/>
            <w:szCs w:val="22"/>
          </w:rPr>
          <w:t>https://www.acas.org.uk/capability-procedures</w:t>
        </w:r>
      </w:hyperlink>
      <w:r w:rsidRPr="001D3C4F">
        <w:rPr>
          <w:rFonts w:ascii="Arial" w:hAnsi="Arial" w:cs="Arial"/>
          <w:color w:val="000000" w:themeColor="text1"/>
          <w:sz w:val="22"/>
          <w:szCs w:val="22"/>
        </w:rPr>
        <w:t xml:space="preserve"> (Accessed: 3 August 2025).</w:t>
      </w:r>
    </w:p>
    <w:p w14:paraId="3A481DDF" w14:textId="77777777" w:rsidR="00395D78" w:rsidRPr="001D3C4F" w:rsidRDefault="00395D78" w:rsidP="00395D78">
      <w:pPr>
        <w:rPr>
          <w:rFonts w:ascii="Arial" w:hAnsi="Arial" w:cs="Arial"/>
          <w:color w:val="000000" w:themeColor="text1"/>
          <w:sz w:val="22"/>
          <w:szCs w:val="22"/>
        </w:rPr>
      </w:pPr>
      <w:r w:rsidRPr="001D3C4F">
        <w:rPr>
          <w:rFonts w:ascii="Arial" w:hAnsi="Arial" w:cs="Arial"/>
          <w:color w:val="000000" w:themeColor="text1"/>
          <w:sz w:val="22"/>
          <w:szCs w:val="22"/>
        </w:rPr>
        <w:lastRenderedPageBreak/>
        <w:t>ACAS (2022</w:t>
      </w:r>
      <w:r>
        <w:rPr>
          <w:rFonts w:ascii="Arial" w:hAnsi="Arial" w:cs="Arial"/>
          <w:color w:val="000000" w:themeColor="text1"/>
          <w:sz w:val="22"/>
          <w:szCs w:val="22"/>
        </w:rPr>
        <w:t xml:space="preserve"> a</w:t>
      </w:r>
      <w:r w:rsidRPr="001D3C4F">
        <w:rPr>
          <w:rFonts w:ascii="Arial" w:hAnsi="Arial" w:cs="Arial"/>
          <w:color w:val="000000" w:themeColor="text1"/>
          <w:sz w:val="22"/>
          <w:szCs w:val="22"/>
        </w:rPr>
        <w:t xml:space="preserve">) </w:t>
      </w:r>
      <w:r w:rsidRPr="001D3C4F">
        <w:rPr>
          <w:rFonts w:ascii="Arial" w:hAnsi="Arial" w:cs="Arial"/>
          <w:i/>
          <w:iCs/>
          <w:color w:val="000000" w:themeColor="text1"/>
          <w:sz w:val="22"/>
          <w:szCs w:val="22"/>
        </w:rPr>
        <w:t>What mediation is and how it can help.</w:t>
      </w:r>
      <w:r w:rsidRPr="001D3C4F">
        <w:rPr>
          <w:rFonts w:ascii="Arial" w:hAnsi="Arial" w:cs="Arial"/>
          <w:color w:val="000000" w:themeColor="text1"/>
          <w:sz w:val="22"/>
          <w:szCs w:val="22"/>
        </w:rPr>
        <w:t xml:space="preserve"> Available at: </w:t>
      </w:r>
      <w:hyperlink r:id="rId10" w:history="1">
        <w:r w:rsidRPr="001D3C4F">
          <w:rPr>
            <w:rStyle w:val="Hyperlink"/>
            <w:rFonts w:ascii="Arial" w:hAnsi="Arial" w:cs="Arial"/>
            <w:color w:val="000000" w:themeColor="text1"/>
            <w:sz w:val="22"/>
            <w:szCs w:val="22"/>
          </w:rPr>
          <w:t>https://www.acas.org.uk/mediation</w:t>
        </w:r>
      </w:hyperlink>
      <w:r w:rsidRPr="001D3C4F">
        <w:rPr>
          <w:rStyle w:val="Hyperlink"/>
          <w:rFonts w:ascii="Arial" w:hAnsi="Arial" w:cs="Arial"/>
          <w:color w:val="000000" w:themeColor="text1"/>
          <w:sz w:val="22"/>
          <w:szCs w:val="22"/>
        </w:rPr>
        <w:t xml:space="preserve"> (Accessed: 30 July 2025).</w:t>
      </w:r>
    </w:p>
    <w:p w14:paraId="7BAEB44C" w14:textId="77777777" w:rsidR="00395D78" w:rsidRDefault="00395D78" w:rsidP="00395D78">
      <w:pPr>
        <w:rPr>
          <w:rFonts w:ascii="Arial" w:hAnsi="Arial" w:cs="Arial"/>
          <w:color w:val="000000" w:themeColor="text1"/>
          <w:sz w:val="22"/>
          <w:szCs w:val="22"/>
        </w:rPr>
      </w:pPr>
      <w:r w:rsidRPr="001D3C4F">
        <w:rPr>
          <w:rFonts w:ascii="Arial" w:hAnsi="Arial" w:cs="Arial"/>
          <w:color w:val="000000" w:themeColor="text1"/>
          <w:sz w:val="22"/>
          <w:szCs w:val="22"/>
        </w:rPr>
        <w:t>ACAS (2024</w:t>
      </w:r>
      <w:r>
        <w:rPr>
          <w:rFonts w:ascii="Arial" w:hAnsi="Arial" w:cs="Arial"/>
          <w:color w:val="000000" w:themeColor="text1"/>
          <w:sz w:val="22"/>
          <w:szCs w:val="22"/>
        </w:rPr>
        <w:t xml:space="preserve"> b</w:t>
      </w:r>
      <w:r w:rsidRPr="001D3C4F">
        <w:rPr>
          <w:rFonts w:ascii="Arial" w:hAnsi="Arial" w:cs="Arial"/>
          <w:color w:val="000000" w:themeColor="text1"/>
          <w:sz w:val="22"/>
          <w:szCs w:val="22"/>
        </w:rPr>
        <w:t xml:space="preserve">) </w:t>
      </w:r>
      <w:r w:rsidRPr="001D3C4F">
        <w:rPr>
          <w:rFonts w:ascii="Arial" w:hAnsi="Arial" w:cs="Arial"/>
          <w:i/>
          <w:iCs/>
          <w:color w:val="000000" w:themeColor="text1"/>
          <w:sz w:val="22"/>
          <w:szCs w:val="22"/>
        </w:rPr>
        <w:t>Unfair dismissal.</w:t>
      </w:r>
      <w:r w:rsidRPr="001D3C4F">
        <w:rPr>
          <w:rFonts w:ascii="Arial" w:hAnsi="Arial" w:cs="Arial"/>
          <w:color w:val="000000" w:themeColor="text1"/>
          <w:sz w:val="22"/>
          <w:szCs w:val="22"/>
        </w:rPr>
        <w:t xml:space="preserve"> Available at: </w:t>
      </w:r>
      <w:hyperlink r:id="rId11" w:anchor=":~:text=It's%20important%20to%20understand%20what,not%20follow%20a%20fair%20procedure" w:history="1">
        <w:r w:rsidRPr="001D3C4F">
          <w:rPr>
            <w:rStyle w:val="Hyperlink"/>
            <w:rFonts w:ascii="Arial" w:hAnsi="Arial" w:cs="Arial"/>
            <w:color w:val="000000" w:themeColor="text1"/>
            <w:sz w:val="22"/>
            <w:szCs w:val="22"/>
          </w:rPr>
          <w:t>https://www.acas.org.uk/dismissals/unfair-dismissal#:~:text=It's%20important%20to%20understand%20what,not%20follow%20a%20fair%20procedure</w:t>
        </w:r>
      </w:hyperlink>
      <w:r w:rsidRPr="001D3C4F">
        <w:rPr>
          <w:rFonts w:ascii="Arial" w:hAnsi="Arial" w:cs="Arial"/>
          <w:color w:val="000000" w:themeColor="text1"/>
          <w:sz w:val="22"/>
          <w:szCs w:val="22"/>
        </w:rPr>
        <w:t xml:space="preserve"> (Accessed: 3 August 2025).</w:t>
      </w:r>
    </w:p>
    <w:p w14:paraId="7847C1F7" w14:textId="77777777" w:rsidR="00395D78" w:rsidRPr="001D3C4F" w:rsidRDefault="00395D78" w:rsidP="00395D78">
      <w:pPr>
        <w:rPr>
          <w:rFonts w:ascii="Arial" w:hAnsi="Arial" w:cs="Arial"/>
          <w:color w:val="000000" w:themeColor="text1"/>
          <w:sz w:val="22"/>
          <w:szCs w:val="22"/>
        </w:rPr>
      </w:pPr>
      <w:r w:rsidRPr="001D3C4F">
        <w:rPr>
          <w:rFonts w:ascii="Arial" w:hAnsi="Arial" w:cs="Arial"/>
          <w:color w:val="000000" w:themeColor="text1"/>
          <w:sz w:val="22"/>
          <w:szCs w:val="22"/>
        </w:rPr>
        <w:br/>
        <w:t>ACAS (2024</w:t>
      </w:r>
      <w:r>
        <w:rPr>
          <w:rFonts w:ascii="Arial" w:hAnsi="Arial" w:cs="Arial"/>
          <w:color w:val="000000" w:themeColor="text1"/>
          <w:sz w:val="22"/>
          <w:szCs w:val="22"/>
        </w:rPr>
        <w:t xml:space="preserve"> a</w:t>
      </w:r>
      <w:r w:rsidRPr="001D3C4F">
        <w:rPr>
          <w:rFonts w:ascii="Arial" w:hAnsi="Arial" w:cs="Arial"/>
          <w:color w:val="000000" w:themeColor="text1"/>
          <w:sz w:val="22"/>
          <w:szCs w:val="22"/>
        </w:rPr>
        <w:t xml:space="preserve">) </w:t>
      </w:r>
      <w:r w:rsidRPr="00226A5A">
        <w:rPr>
          <w:rFonts w:ascii="Arial" w:hAnsi="Arial" w:cs="Arial"/>
          <w:i/>
          <w:iCs/>
          <w:color w:val="000000" w:themeColor="text1"/>
          <w:sz w:val="22"/>
          <w:szCs w:val="22"/>
        </w:rPr>
        <w:t>What counts as misconduct.</w:t>
      </w:r>
      <w:r w:rsidRPr="001D3C4F">
        <w:rPr>
          <w:rFonts w:ascii="Arial" w:hAnsi="Arial" w:cs="Arial"/>
          <w:color w:val="000000" w:themeColor="text1"/>
          <w:sz w:val="22"/>
          <w:szCs w:val="22"/>
        </w:rPr>
        <w:t xml:space="preserve"> Available at: </w:t>
      </w:r>
      <w:hyperlink r:id="rId12" w:anchor=":~:text=Some%20misconduct%20examples%20include%3A,example%2C%20refusing%20to%20do%20work" w:history="1">
        <w:r w:rsidRPr="001D3C4F">
          <w:rPr>
            <w:rStyle w:val="Hyperlink"/>
            <w:rFonts w:ascii="Arial" w:hAnsi="Arial" w:cs="Arial"/>
            <w:color w:val="000000" w:themeColor="text1"/>
            <w:sz w:val="22"/>
            <w:szCs w:val="22"/>
          </w:rPr>
          <w:t>https://www.acas.org.uk/disciplinary-procedure-step-by-step#:~:text=Some%20misconduct%20examples%20include%3A,example%2C%20refusing%20to%20do%20work</w:t>
        </w:r>
      </w:hyperlink>
      <w:r w:rsidRPr="001D3C4F">
        <w:rPr>
          <w:rFonts w:ascii="Arial" w:hAnsi="Arial" w:cs="Arial"/>
          <w:color w:val="000000" w:themeColor="text1"/>
          <w:sz w:val="22"/>
          <w:szCs w:val="22"/>
        </w:rPr>
        <w:t xml:space="preserve"> (Accessed: 1 August 2025).</w:t>
      </w:r>
    </w:p>
    <w:p w14:paraId="73E91265" w14:textId="77777777" w:rsidR="00395D78" w:rsidRPr="001D3C4F" w:rsidRDefault="00395D78" w:rsidP="00395D78">
      <w:pPr>
        <w:rPr>
          <w:rFonts w:ascii="Arial" w:eastAsia="Trebuchet MS" w:hAnsi="Arial" w:cs="Arial"/>
          <w:b/>
          <w:bCs/>
          <w:color w:val="000000" w:themeColor="text1"/>
          <w:sz w:val="22"/>
          <w:szCs w:val="22"/>
        </w:rPr>
      </w:pPr>
      <w:r w:rsidRPr="001D3C4F">
        <w:rPr>
          <w:rFonts w:ascii="Arial" w:eastAsia="Trebuchet MS" w:hAnsi="Arial" w:cs="Arial"/>
          <w:color w:val="000000" w:themeColor="text1"/>
          <w:sz w:val="22"/>
          <w:szCs w:val="22"/>
        </w:rPr>
        <w:t xml:space="preserve">CIPD (2020) </w:t>
      </w:r>
      <w:r w:rsidRPr="001D3C4F">
        <w:rPr>
          <w:rFonts w:ascii="Arial" w:eastAsia="Trebuchet MS" w:hAnsi="Arial" w:cs="Arial"/>
          <w:i/>
          <w:iCs/>
          <w:color w:val="000000" w:themeColor="text1"/>
          <w:sz w:val="22"/>
          <w:szCs w:val="22"/>
        </w:rPr>
        <w:t>Managing conflict in the modern workplace.</w:t>
      </w:r>
      <w:r w:rsidRPr="001D3C4F">
        <w:rPr>
          <w:rFonts w:ascii="Arial" w:eastAsia="Trebuchet MS" w:hAnsi="Arial" w:cs="Arial"/>
          <w:color w:val="000000" w:themeColor="text1"/>
          <w:sz w:val="22"/>
          <w:szCs w:val="22"/>
        </w:rPr>
        <w:t xml:space="preserve"> Available at: </w:t>
      </w:r>
      <w:hyperlink r:id="rId13" w:history="1">
        <w:r w:rsidRPr="001D3C4F">
          <w:rPr>
            <w:rStyle w:val="Hyperlink"/>
            <w:rFonts w:ascii="Arial" w:eastAsia="Trebuchet MS" w:hAnsi="Arial" w:cs="Arial"/>
            <w:color w:val="000000" w:themeColor="text1"/>
            <w:sz w:val="22"/>
            <w:szCs w:val="22"/>
          </w:rPr>
          <w:t>https://www.cipd.org/globalassets/media/knowledge/knowledge-hub/reports/managing-conflict-in-the-workplace-2_tcm18-70655.pdf</w:t>
        </w:r>
      </w:hyperlink>
      <w:r w:rsidRPr="001D3C4F">
        <w:rPr>
          <w:rFonts w:ascii="Arial" w:eastAsia="Trebuchet MS" w:hAnsi="Arial" w:cs="Arial"/>
          <w:color w:val="000000" w:themeColor="text1"/>
          <w:sz w:val="22"/>
          <w:szCs w:val="22"/>
        </w:rPr>
        <w:t xml:space="preserve"> (Accessed 26 July 2025</w:t>
      </w:r>
      <w:r>
        <w:rPr>
          <w:rFonts w:ascii="Arial" w:eastAsia="Trebuchet MS" w:hAnsi="Arial" w:cs="Arial"/>
          <w:color w:val="000000" w:themeColor="text1"/>
          <w:sz w:val="22"/>
          <w:szCs w:val="22"/>
        </w:rPr>
        <w:t xml:space="preserve">  &amp; 4 August 2025</w:t>
      </w:r>
      <w:r w:rsidRPr="001D3C4F">
        <w:rPr>
          <w:rFonts w:ascii="Arial" w:eastAsia="Trebuchet MS" w:hAnsi="Arial" w:cs="Arial"/>
          <w:color w:val="000000" w:themeColor="text1"/>
          <w:sz w:val="22"/>
          <w:szCs w:val="22"/>
        </w:rPr>
        <w:t>).</w:t>
      </w:r>
    </w:p>
    <w:p w14:paraId="4F739BA9" w14:textId="77777777" w:rsidR="00395D78" w:rsidRPr="00FE73A8" w:rsidRDefault="00395D78" w:rsidP="00395D78">
      <w:pPr>
        <w:pStyle w:val="Nornal"/>
        <w:spacing w:line="240" w:lineRule="auto"/>
        <w:rPr>
          <w:color w:val="000000" w:themeColor="text1"/>
        </w:rPr>
      </w:pPr>
      <w:r w:rsidRPr="00FE73A8">
        <w:rPr>
          <w:color w:val="000000" w:themeColor="text1"/>
        </w:rPr>
        <w:t xml:space="preserve">CIPD (2022) </w:t>
      </w:r>
      <w:r w:rsidRPr="00FE73A8">
        <w:rPr>
          <w:i/>
          <w:iCs/>
          <w:color w:val="000000" w:themeColor="text1"/>
        </w:rPr>
        <w:t>Maximising employee voice</w:t>
      </w:r>
      <w:r w:rsidRPr="00FE73A8">
        <w:rPr>
          <w:color w:val="000000" w:themeColor="text1"/>
        </w:rPr>
        <w:t xml:space="preserve">. Available at: </w:t>
      </w:r>
      <w:hyperlink r:id="rId14" w:history="1">
        <w:r w:rsidRPr="00FE73A8">
          <w:rPr>
            <w:rStyle w:val="Hyperlink"/>
            <w:color w:val="000000" w:themeColor="text1"/>
          </w:rPr>
          <w:t>https://www.cipd.org/uk/views-and-insights/thought-leadership/people-profession/employee-voice/</w:t>
        </w:r>
      </w:hyperlink>
      <w:r w:rsidRPr="00FE73A8">
        <w:rPr>
          <w:color w:val="000000" w:themeColor="text1"/>
        </w:rPr>
        <w:t xml:space="preserve">  (Accessed: 4 August 2025).</w:t>
      </w:r>
    </w:p>
    <w:p w14:paraId="21277CAF" w14:textId="77777777" w:rsidR="00395D78" w:rsidRPr="001D3C4F" w:rsidRDefault="00395D78" w:rsidP="00395D78">
      <w:pPr>
        <w:rPr>
          <w:rFonts w:ascii="Arial" w:hAnsi="Arial" w:cs="Arial"/>
          <w:color w:val="000000" w:themeColor="text1"/>
          <w:sz w:val="22"/>
          <w:szCs w:val="22"/>
        </w:rPr>
      </w:pPr>
      <w:r w:rsidRPr="001D3C4F">
        <w:rPr>
          <w:rFonts w:ascii="Arial" w:hAnsi="Arial" w:cs="Arial"/>
          <w:color w:val="000000" w:themeColor="text1"/>
          <w:sz w:val="22"/>
          <w:szCs w:val="22"/>
        </w:rPr>
        <w:t xml:space="preserve">CIPD (2023). </w:t>
      </w:r>
      <w:r w:rsidRPr="00226A5A">
        <w:rPr>
          <w:rFonts w:ascii="Arial" w:hAnsi="Arial" w:cs="Arial"/>
          <w:i/>
          <w:iCs/>
          <w:color w:val="000000" w:themeColor="text1"/>
          <w:sz w:val="22"/>
          <w:szCs w:val="22"/>
        </w:rPr>
        <w:t>Employee relations: an introduction</w:t>
      </w:r>
      <w:r w:rsidRPr="001D3C4F">
        <w:rPr>
          <w:rFonts w:ascii="Arial" w:hAnsi="Arial" w:cs="Arial"/>
          <w:color w:val="000000" w:themeColor="text1"/>
          <w:sz w:val="22"/>
          <w:szCs w:val="22"/>
        </w:rPr>
        <w:t xml:space="preserve">. Available at: </w:t>
      </w:r>
      <w:hyperlink r:id="rId15" w:history="1">
        <w:r w:rsidRPr="001D3C4F">
          <w:rPr>
            <w:rStyle w:val="Hyperlink"/>
            <w:rFonts w:ascii="Arial" w:hAnsi="Arial" w:cs="Arial"/>
            <w:color w:val="000000" w:themeColor="text1"/>
            <w:sz w:val="22"/>
            <w:szCs w:val="22"/>
          </w:rPr>
          <w:t>https://www.cipd.org/uk/knowledge/factsheets/relations-employees-factsheet/</w:t>
        </w:r>
      </w:hyperlink>
      <w:r w:rsidRPr="001D3C4F">
        <w:rPr>
          <w:rFonts w:ascii="Arial" w:hAnsi="Arial" w:cs="Arial"/>
          <w:color w:val="000000" w:themeColor="text1"/>
          <w:sz w:val="22"/>
          <w:szCs w:val="22"/>
        </w:rPr>
        <w:t xml:space="preserve"> (Accessed 15 July 2024)</w:t>
      </w:r>
    </w:p>
    <w:p w14:paraId="02E71AB2" w14:textId="77777777" w:rsidR="00395D78" w:rsidRPr="001D3C4F" w:rsidRDefault="00395D78" w:rsidP="00395D78">
      <w:pPr>
        <w:rPr>
          <w:rFonts w:ascii="Arial" w:hAnsi="Arial" w:cs="Arial"/>
          <w:color w:val="000000" w:themeColor="text1"/>
          <w:sz w:val="22"/>
          <w:szCs w:val="22"/>
        </w:rPr>
      </w:pPr>
      <w:r w:rsidRPr="001D3C4F">
        <w:rPr>
          <w:rFonts w:ascii="Arial" w:hAnsi="Arial" w:cs="Arial"/>
          <w:color w:val="000000" w:themeColor="text1"/>
          <w:sz w:val="22"/>
          <w:szCs w:val="22"/>
        </w:rPr>
        <w:t>CIPD (2024</w:t>
      </w:r>
      <w:r>
        <w:rPr>
          <w:rFonts w:ascii="Arial" w:hAnsi="Arial" w:cs="Arial"/>
          <w:color w:val="000000" w:themeColor="text1"/>
          <w:sz w:val="22"/>
          <w:szCs w:val="22"/>
        </w:rPr>
        <w:t xml:space="preserve"> c</w:t>
      </w:r>
      <w:r w:rsidRPr="001D3C4F">
        <w:rPr>
          <w:rFonts w:ascii="Arial" w:hAnsi="Arial" w:cs="Arial"/>
          <w:color w:val="000000" w:themeColor="text1"/>
          <w:sz w:val="22"/>
          <w:szCs w:val="22"/>
        </w:rPr>
        <w:t xml:space="preserve">) </w:t>
      </w:r>
      <w:r w:rsidRPr="001D3C4F">
        <w:rPr>
          <w:rFonts w:ascii="Arial" w:hAnsi="Arial" w:cs="Arial"/>
          <w:i/>
          <w:iCs/>
          <w:color w:val="000000" w:themeColor="text1"/>
          <w:sz w:val="22"/>
          <w:szCs w:val="22"/>
        </w:rPr>
        <w:t xml:space="preserve">CIPD Good Work Index 2024. </w:t>
      </w:r>
      <w:r w:rsidRPr="001D3C4F">
        <w:rPr>
          <w:rFonts w:ascii="Arial" w:hAnsi="Arial" w:cs="Arial"/>
          <w:color w:val="000000" w:themeColor="text1"/>
          <w:sz w:val="22"/>
          <w:szCs w:val="22"/>
        </w:rPr>
        <w:t xml:space="preserve">Available at: </w:t>
      </w:r>
      <w:hyperlink r:id="rId16" w:history="1">
        <w:r w:rsidRPr="001D3C4F">
          <w:rPr>
            <w:rStyle w:val="Hyperlink"/>
            <w:rFonts w:ascii="Arial" w:hAnsi="Arial" w:cs="Arial"/>
            <w:color w:val="000000" w:themeColor="text1"/>
            <w:sz w:val="22"/>
            <w:szCs w:val="22"/>
          </w:rPr>
          <w:t>https://www.cipd.org/globalassets/media/knowledge/knowledge-hub/reports/2024-pdfs/8625-good-work-index-2024-survey-report-1-web.pdf</w:t>
        </w:r>
      </w:hyperlink>
      <w:r w:rsidRPr="001D3C4F">
        <w:rPr>
          <w:rFonts w:ascii="Arial" w:hAnsi="Arial" w:cs="Arial"/>
          <w:color w:val="000000" w:themeColor="text1"/>
          <w:sz w:val="22"/>
          <w:szCs w:val="22"/>
        </w:rPr>
        <w:t xml:space="preserve"> (Accessed 16 July 2025).</w:t>
      </w:r>
    </w:p>
    <w:p w14:paraId="76F7DF53" w14:textId="77777777" w:rsidR="00395D78" w:rsidRPr="001D3C4F" w:rsidRDefault="00395D78" w:rsidP="00395D78">
      <w:pPr>
        <w:pStyle w:val="Nornal"/>
        <w:rPr>
          <w:rStyle w:val="Hyperlink"/>
          <w:color w:val="000000" w:themeColor="text1"/>
          <w:lang w:val="en-GB"/>
        </w:rPr>
      </w:pPr>
      <w:r w:rsidRPr="001D3C4F">
        <w:rPr>
          <w:color w:val="000000" w:themeColor="text1"/>
          <w:lang w:val="en-GB"/>
        </w:rPr>
        <w:t>CIPD (2024</w:t>
      </w:r>
      <w:r>
        <w:rPr>
          <w:color w:val="000000" w:themeColor="text1"/>
          <w:lang w:val="en-GB"/>
        </w:rPr>
        <w:t xml:space="preserve"> b</w:t>
      </w:r>
      <w:r w:rsidRPr="001D3C4F">
        <w:rPr>
          <w:color w:val="000000" w:themeColor="text1"/>
          <w:lang w:val="en-GB"/>
        </w:rPr>
        <w:t xml:space="preserve">) </w:t>
      </w:r>
      <w:r w:rsidRPr="001D3C4F">
        <w:rPr>
          <w:i/>
          <w:iCs/>
          <w:color w:val="000000" w:themeColor="text1"/>
        </w:rPr>
        <w:t xml:space="preserve">Discipline and grievance at work. </w:t>
      </w:r>
      <w:r w:rsidRPr="001D3C4F">
        <w:rPr>
          <w:color w:val="000000" w:themeColor="text1"/>
        </w:rPr>
        <w:t xml:space="preserve">Available at: </w:t>
      </w:r>
      <w:hyperlink r:id="rId17" w:history="1">
        <w:r w:rsidRPr="001D3C4F">
          <w:rPr>
            <w:rStyle w:val="Hyperlink"/>
            <w:color w:val="000000" w:themeColor="text1"/>
            <w:lang w:val="en-GB"/>
          </w:rPr>
          <w:t>https://www.cipd.org/uk/knowledge/factsheets/discipline-factsheet/</w:t>
        </w:r>
      </w:hyperlink>
      <w:r w:rsidRPr="001D3C4F">
        <w:rPr>
          <w:rStyle w:val="Hyperlink"/>
          <w:color w:val="000000" w:themeColor="text1"/>
          <w:lang w:val="en-GB"/>
        </w:rPr>
        <w:t xml:space="preserve"> (Accessed: 16 July 2025)</w:t>
      </w:r>
    </w:p>
    <w:p w14:paraId="1E3F69FE" w14:textId="77777777" w:rsidR="00395D78" w:rsidRDefault="00395D78" w:rsidP="00395D78">
      <w:pPr>
        <w:spacing w:after="0"/>
        <w:rPr>
          <w:rFonts w:ascii="Arial" w:hAnsi="Arial" w:cs="Arial"/>
          <w:color w:val="000000" w:themeColor="text1"/>
          <w:sz w:val="22"/>
          <w:szCs w:val="22"/>
        </w:rPr>
      </w:pPr>
      <w:r w:rsidRPr="001D3C4F">
        <w:rPr>
          <w:rFonts w:ascii="Arial" w:hAnsi="Arial" w:cs="Arial"/>
          <w:color w:val="000000" w:themeColor="text1"/>
          <w:sz w:val="22"/>
          <w:szCs w:val="22"/>
        </w:rPr>
        <w:t>CIPD (2024</w:t>
      </w:r>
      <w:r>
        <w:rPr>
          <w:rFonts w:ascii="Arial" w:hAnsi="Arial" w:cs="Arial"/>
          <w:color w:val="000000" w:themeColor="text1"/>
          <w:sz w:val="22"/>
          <w:szCs w:val="22"/>
        </w:rPr>
        <w:t xml:space="preserve"> a</w:t>
      </w:r>
      <w:r w:rsidRPr="001D3C4F">
        <w:rPr>
          <w:rFonts w:ascii="Arial" w:hAnsi="Arial" w:cs="Arial"/>
          <w:color w:val="000000" w:themeColor="text1"/>
          <w:sz w:val="22"/>
          <w:szCs w:val="22"/>
        </w:rPr>
        <w:t xml:space="preserve">) </w:t>
      </w:r>
      <w:r w:rsidRPr="00226A5A">
        <w:rPr>
          <w:rFonts w:ascii="Arial" w:hAnsi="Arial" w:cs="Arial"/>
          <w:i/>
          <w:iCs/>
          <w:color w:val="000000" w:themeColor="text1"/>
          <w:sz w:val="22"/>
          <w:szCs w:val="22"/>
        </w:rPr>
        <w:t>How employers are tackling bullying and harassment at work</w:t>
      </w:r>
      <w:r w:rsidRPr="001D3C4F">
        <w:rPr>
          <w:rFonts w:ascii="Arial" w:hAnsi="Arial" w:cs="Arial"/>
          <w:color w:val="000000" w:themeColor="text1"/>
          <w:sz w:val="22"/>
          <w:szCs w:val="22"/>
        </w:rPr>
        <w:t xml:space="preserve">. Available at: </w:t>
      </w:r>
      <w:hyperlink r:id="rId18" w:history="1">
        <w:r w:rsidRPr="001D3C4F">
          <w:rPr>
            <w:rStyle w:val="Hyperlink"/>
            <w:rFonts w:ascii="Arial" w:hAnsi="Arial" w:cs="Arial"/>
            <w:color w:val="000000" w:themeColor="text1"/>
            <w:sz w:val="22"/>
            <w:szCs w:val="22"/>
          </w:rPr>
          <w:t>https://www.cipd.org/uk/knowledge/reports/bullying-harassment/</w:t>
        </w:r>
      </w:hyperlink>
      <w:r w:rsidRPr="001D3C4F">
        <w:rPr>
          <w:rFonts w:ascii="Arial" w:hAnsi="Arial" w:cs="Arial"/>
          <w:color w:val="000000" w:themeColor="text1"/>
          <w:sz w:val="22"/>
          <w:szCs w:val="22"/>
        </w:rPr>
        <w:t xml:space="preserve"> (Accessed: 26 July 2025).</w:t>
      </w:r>
    </w:p>
    <w:p w14:paraId="01D202FA" w14:textId="77777777" w:rsidR="00395D78" w:rsidRDefault="00395D78" w:rsidP="00395D78">
      <w:pPr>
        <w:spacing w:after="0"/>
        <w:rPr>
          <w:rFonts w:ascii="Arial" w:hAnsi="Arial" w:cs="Arial"/>
          <w:color w:val="000000" w:themeColor="text1"/>
          <w:sz w:val="22"/>
          <w:szCs w:val="22"/>
        </w:rPr>
      </w:pPr>
    </w:p>
    <w:p w14:paraId="70C8F228" w14:textId="77777777" w:rsidR="00395D78" w:rsidRDefault="00395D78" w:rsidP="00395D78">
      <w:pPr>
        <w:pStyle w:val="Nornal"/>
        <w:spacing w:after="0" w:line="240" w:lineRule="auto"/>
        <w:rPr>
          <w:color w:val="000000" w:themeColor="text1"/>
        </w:rPr>
      </w:pPr>
      <w:r w:rsidRPr="00E3647A">
        <w:rPr>
          <w:color w:val="000000" w:themeColor="text1"/>
        </w:rPr>
        <w:t xml:space="preserve">CIPD (2025) </w:t>
      </w:r>
      <w:r w:rsidRPr="00E3647A">
        <w:rPr>
          <w:i/>
          <w:iCs/>
          <w:color w:val="000000" w:themeColor="text1"/>
        </w:rPr>
        <w:t>CIPD Good Work Index</w:t>
      </w:r>
      <w:r w:rsidRPr="00E3647A">
        <w:rPr>
          <w:color w:val="000000" w:themeColor="text1"/>
        </w:rPr>
        <w:t xml:space="preserve">. Available at: </w:t>
      </w:r>
      <w:hyperlink r:id="rId19" w:history="1">
        <w:r w:rsidRPr="00E3647A">
          <w:rPr>
            <w:rStyle w:val="Hyperlink"/>
            <w:color w:val="000000" w:themeColor="text1"/>
          </w:rPr>
          <w:t>https://www.cipd.org/uk/knowledge/reports/goodwork/</w:t>
        </w:r>
      </w:hyperlink>
      <w:r w:rsidRPr="00E3647A">
        <w:rPr>
          <w:color w:val="000000" w:themeColor="text1"/>
        </w:rPr>
        <w:t xml:space="preserve"> (Accessed: 3 August 2025).</w:t>
      </w:r>
    </w:p>
    <w:p w14:paraId="67FED15B" w14:textId="77777777" w:rsidR="00395D78" w:rsidRPr="00E3647A" w:rsidRDefault="00395D78" w:rsidP="00395D78">
      <w:pPr>
        <w:pStyle w:val="Nornal"/>
        <w:spacing w:after="0" w:line="240" w:lineRule="auto"/>
        <w:rPr>
          <w:color w:val="000000" w:themeColor="text1"/>
        </w:rPr>
      </w:pPr>
    </w:p>
    <w:p w14:paraId="35B28553" w14:textId="77777777" w:rsidR="00395D78" w:rsidRDefault="00395D78" w:rsidP="00395D78">
      <w:pPr>
        <w:pStyle w:val="Nornal"/>
        <w:spacing w:after="0"/>
        <w:rPr>
          <w:color w:val="000000" w:themeColor="text1"/>
        </w:rPr>
      </w:pPr>
      <w:r w:rsidRPr="00E3647A">
        <w:rPr>
          <w:color w:val="000000" w:themeColor="text1"/>
          <w:lang w:val="en-GB"/>
        </w:rPr>
        <w:t xml:space="preserve">CIPD (2025) </w:t>
      </w:r>
      <w:r w:rsidRPr="00890431">
        <w:rPr>
          <w:i/>
          <w:iCs/>
          <w:color w:val="000000" w:themeColor="text1"/>
          <w:lang w:val="en-GB"/>
        </w:rPr>
        <w:t>CIPD Viewpoints</w:t>
      </w:r>
      <w:r w:rsidRPr="00E3647A">
        <w:rPr>
          <w:color w:val="000000" w:themeColor="text1"/>
          <w:lang w:val="en-GB"/>
        </w:rPr>
        <w:t xml:space="preserve">. Available at: </w:t>
      </w:r>
      <w:hyperlink r:id="rId20" w:history="1">
        <w:r w:rsidRPr="00E3647A">
          <w:rPr>
            <w:rStyle w:val="Hyperlink"/>
            <w:color w:val="000000" w:themeColor="text1"/>
          </w:rPr>
          <w:t>https://www.cipd.org/uk/views-and-insights/cipd-viewpoint/</w:t>
        </w:r>
      </w:hyperlink>
      <w:r w:rsidRPr="00E3647A">
        <w:rPr>
          <w:color w:val="000000" w:themeColor="text1"/>
        </w:rPr>
        <w:t xml:space="preserve"> Accessed: 3 August 2025).</w:t>
      </w:r>
    </w:p>
    <w:p w14:paraId="1CB17EE5" w14:textId="77777777" w:rsidR="00395D78" w:rsidRPr="00E3647A" w:rsidRDefault="00395D78" w:rsidP="00395D78">
      <w:pPr>
        <w:pStyle w:val="Nornal"/>
        <w:spacing w:after="0"/>
        <w:rPr>
          <w:color w:val="000000" w:themeColor="text1"/>
          <w:lang w:val="en-GB"/>
        </w:rPr>
      </w:pPr>
    </w:p>
    <w:p w14:paraId="605DE471" w14:textId="77777777" w:rsidR="00395D78" w:rsidRDefault="00395D78" w:rsidP="00395D78">
      <w:pPr>
        <w:pStyle w:val="Nornal"/>
        <w:spacing w:after="0" w:line="240" w:lineRule="auto"/>
        <w:rPr>
          <w:color w:val="000000" w:themeColor="text1"/>
        </w:rPr>
      </w:pPr>
      <w:r w:rsidRPr="00FE73A8">
        <w:rPr>
          <w:color w:val="000000" w:themeColor="text1"/>
        </w:rPr>
        <w:t>CIPD (2025</w:t>
      </w:r>
      <w:r>
        <w:rPr>
          <w:color w:val="000000" w:themeColor="text1"/>
        </w:rPr>
        <w:t xml:space="preserve"> a</w:t>
      </w:r>
      <w:r w:rsidRPr="00FE73A8">
        <w:rPr>
          <w:color w:val="000000" w:themeColor="text1"/>
        </w:rPr>
        <w:t xml:space="preserve">) </w:t>
      </w:r>
      <w:r w:rsidRPr="00FE73A8">
        <w:rPr>
          <w:i/>
          <w:iCs/>
          <w:color w:val="000000" w:themeColor="text1"/>
        </w:rPr>
        <w:t>Employee engagement and motivation</w:t>
      </w:r>
      <w:r w:rsidRPr="00FE73A8">
        <w:rPr>
          <w:color w:val="000000" w:themeColor="text1"/>
        </w:rPr>
        <w:t xml:space="preserve">. Available at: </w:t>
      </w:r>
      <w:hyperlink r:id="rId21" w:history="1">
        <w:r w:rsidRPr="00FE73A8">
          <w:rPr>
            <w:rStyle w:val="Hyperlink"/>
            <w:color w:val="000000" w:themeColor="text1"/>
          </w:rPr>
          <w:t>https://www.cipd.org/uk/knowledge/factsheets/engagement-factsheet/</w:t>
        </w:r>
      </w:hyperlink>
      <w:r w:rsidRPr="00FE73A8">
        <w:rPr>
          <w:color w:val="000000" w:themeColor="text1"/>
        </w:rPr>
        <w:t xml:space="preserve"> (Accessed: 4 August 2025).</w:t>
      </w:r>
    </w:p>
    <w:p w14:paraId="0D11A74F" w14:textId="77777777" w:rsidR="00395D78" w:rsidRPr="00FE73A8" w:rsidRDefault="00395D78" w:rsidP="00395D78">
      <w:pPr>
        <w:pStyle w:val="Nornal"/>
        <w:spacing w:after="0" w:line="240" w:lineRule="auto"/>
        <w:rPr>
          <w:color w:val="000000" w:themeColor="text1"/>
        </w:rPr>
      </w:pPr>
    </w:p>
    <w:p w14:paraId="794C3685" w14:textId="77777777" w:rsidR="00395D78" w:rsidRPr="001D3C4F" w:rsidRDefault="00395D78" w:rsidP="00395D78">
      <w:pPr>
        <w:rPr>
          <w:rFonts w:ascii="Arial" w:eastAsia="Trebuchet MS" w:hAnsi="Arial" w:cs="Arial"/>
          <w:color w:val="000000" w:themeColor="text1"/>
          <w:sz w:val="22"/>
          <w:szCs w:val="22"/>
        </w:rPr>
      </w:pPr>
      <w:r w:rsidRPr="001D3C4F">
        <w:rPr>
          <w:rFonts w:ascii="Arial" w:eastAsia="Trebuchet MS" w:hAnsi="Arial" w:cs="Arial"/>
          <w:color w:val="000000" w:themeColor="text1"/>
          <w:sz w:val="22"/>
          <w:szCs w:val="22"/>
        </w:rPr>
        <w:t>CIPD (2025</w:t>
      </w:r>
      <w:r>
        <w:rPr>
          <w:rFonts w:ascii="Arial" w:eastAsia="Trebuchet MS" w:hAnsi="Arial" w:cs="Arial"/>
          <w:color w:val="000000" w:themeColor="text1"/>
          <w:sz w:val="22"/>
          <w:szCs w:val="22"/>
        </w:rPr>
        <w:t xml:space="preserve"> b</w:t>
      </w:r>
      <w:r w:rsidRPr="001D3C4F">
        <w:rPr>
          <w:rFonts w:ascii="Arial" w:eastAsia="Trebuchet MS" w:hAnsi="Arial" w:cs="Arial"/>
          <w:color w:val="000000" w:themeColor="text1"/>
          <w:sz w:val="22"/>
          <w:szCs w:val="22"/>
        </w:rPr>
        <w:t xml:space="preserve">) </w:t>
      </w:r>
      <w:r w:rsidRPr="001D3C4F">
        <w:rPr>
          <w:rFonts w:ascii="Arial" w:eastAsia="Trebuchet MS" w:hAnsi="Arial" w:cs="Arial"/>
          <w:i/>
          <w:iCs/>
          <w:color w:val="000000" w:themeColor="text1"/>
          <w:sz w:val="22"/>
          <w:szCs w:val="22"/>
        </w:rPr>
        <w:t>Employee relations: An introduction.</w:t>
      </w:r>
      <w:r w:rsidRPr="001D3C4F">
        <w:rPr>
          <w:rFonts w:ascii="Arial" w:eastAsia="Trebuchet MS" w:hAnsi="Arial" w:cs="Arial"/>
          <w:color w:val="000000" w:themeColor="text1"/>
          <w:sz w:val="22"/>
          <w:szCs w:val="22"/>
        </w:rPr>
        <w:t xml:space="preserve"> Available at: </w:t>
      </w:r>
      <w:hyperlink r:id="rId22" w:history="1">
        <w:r w:rsidRPr="001D3C4F">
          <w:rPr>
            <w:rStyle w:val="Hyperlink"/>
            <w:rFonts w:ascii="Arial" w:eastAsia="Trebuchet MS" w:hAnsi="Arial" w:cs="Arial"/>
            <w:color w:val="000000" w:themeColor="text1"/>
            <w:sz w:val="22"/>
            <w:szCs w:val="22"/>
          </w:rPr>
          <w:t>https://www.cipd.org/uk/knowledge/factsheets/relations-employees-factsheet/</w:t>
        </w:r>
      </w:hyperlink>
      <w:r w:rsidRPr="001D3C4F">
        <w:rPr>
          <w:rFonts w:ascii="Arial" w:eastAsia="Trebuchet MS" w:hAnsi="Arial" w:cs="Arial"/>
          <w:color w:val="000000" w:themeColor="text1"/>
          <w:sz w:val="22"/>
          <w:szCs w:val="22"/>
        </w:rPr>
        <w:t xml:space="preserve"> (Accessed: 26 July 2025).</w:t>
      </w:r>
    </w:p>
    <w:p w14:paraId="7BD48EB0" w14:textId="77777777" w:rsidR="00395D78" w:rsidRPr="001D3C4F" w:rsidRDefault="00395D78" w:rsidP="00395D78">
      <w:pPr>
        <w:rPr>
          <w:rFonts w:ascii="Arial" w:hAnsi="Arial" w:cs="Arial"/>
          <w:color w:val="000000" w:themeColor="text1"/>
          <w:sz w:val="22"/>
          <w:szCs w:val="22"/>
        </w:rPr>
      </w:pPr>
      <w:r w:rsidRPr="001D3C4F">
        <w:rPr>
          <w:rFonts w:ascii="Arial" w:hAnsi="Arial" w:cs="Arial"/>
          <w:color w:val="000000" w:themeColor="text1"/>
          <w:sz w:val="22"/>
          <w:szCs w:val="22"/>
        </w:rPr>
        <w:t xml:space="preserve">CIPD (2025) </w:t>
      </w:r>
      <w:r w:rsidRPr="00C523D2">
        <w:rPr>
          <w:rFonts w:ascii="Arial" w:hAnsi="Arial" w:cs="Arial"/>
          <w:i/>
          <w:iCs/>
          <w:color w:val="000000" w:themeColor="text1"/>
          <w:sz w:val="22"/>
          <w:szCs w:val="22"/>
        </w:rPr>
        <w:t>Employee voice</w:t>
      </w:r>
      <w:r w:rsidRPr="001D3C4F">
        <w:rPr>
          <w:rFonts w:ascii="Arial" w:hAnsi="Arial" w:cs="Arial"/>
          <w:i/>
          <w:iCs/>
          <w:color w:val="000000" w:themeColor="text1"/>
          <w:sz w:val="22"/>
          <w:szCs w:val="22"/>
        </w:rPr>
        <w:t xml:space="preserve">. </w:t>
      </w:r>
      <w:r w:rsidRPr="001D3C4F">
        <w:rPr>
          <w:rFonts w:ascii="Arial" w:hAnsi="Arial" w:cs="Arial"/>
          <w:color w:val="000000" w:themeColor="text1"/>
          <w:sz w:val="22"/>
          <w:szCs w:val="22"/>
        </w:rPr>
        <w:t xml:space="preserve">Available at: </w:t>
      </w:r>
      <w:hyperlink r:id="rId23" w:history="1">
        <w:r w:rsidRPr="001D3C4F">
          <w:rPr>
            <w:rStyle w:val="Hyperlink"/>
            <w:rFonts w:ascii="Arial" w:hAnsi="Arial" w:cs="Arial"/>
            <w:color w:val="000000" w:themeColor="text1"/>
            <w:sz w:val="22"/>
            <w:szCs w:val="22"/>
          </w:rPr>
          <w:t>https://www.cipd.org/uk/knowledge/factsheets/voice-factsheet/</w:t>
        </w:r>
      </w:hyperlink>
      <w:r w:rsidRPr="001D3C4F">
        <w:rPr>
          <w:rStyle w:val="Hyperlink"/>
          <w:rFonts w:ascii="Arial" w:hAnsi="Arial" w:cs="Arial"/>
          <w:color w:val="000000" w:themeColor="text1"/>
          <w:sz w:val="22"/>
          <w:szCs w:val="22"/>
        </w:rPr>
        <w:t xml:space="preserve"> (Accessed: 1 August 2025).</w:t>
      </w:r>
    </w:p>
    <w:p w14:paraId="2472F83D" w14:textId="77777777" w:rsidR="00395D78" w:rsidRDefault="00395D78" w:rsidP="00395D78">
      <w:pPr>
        <w:rPr>
          <w:rFonts w:ascii="Arial" w:hAnsi="Arial" w:cs="Arial"/>
          <w:sz w:val="22"/>
          <w:szCs w:val="22"/>
        </w:rPr>
      </w:pPr>
      <w:r w:rsidRPr="002A1524">
        <w:rPr>
          <w:rFonts w:ascii="Arial" w:hAnsi="Arial" w:cs="Arial"/>
          <w:sz w:val="22"/>
          <w:szCs w:val="22"/>
        </w:rPr>
        <w:lastRenderedPageBreak/>
        <w:t xml:space="preserve">CIPD (2025) </w:t>
      </w:r>
      <w:r w:rsidRPr="002A1524">
        <w:rPr>
          <w:rFonts w:ascii="Arial" w:eastAsia="Times New Roman" w:hAnsi="Arial" w:cs="Arial"/>
          <w:sz w:val="22"/>
          <w:szCs w:val="22"/>
        </w:rPr>
        <w:t>Trade unions: An introduction</w:t>
      </w:r>
      <w:r w:rsidRPr="002A1524">
        <w:rPr>
          <w:rFonts w:ascii="Arial" w:hAnsi="Arial" w:cs="Arial"/>
          <w:sz w:val="22"/>
          <w:szCs w:val="22"/>
        </w:rPr>
        <w:t xml:space="preserve">. Available at: </w:t>
      </w:r>
      <w:hyperlink r:id="rId24" w:history="1">
        <w:r w:rsidRPr="002A1524">
          <w:rPr>
            <w:rStyle w:val="Hyperlink"/>
            <w:rFonts w:ascii="Arial" w:hAnsi="Arial" w:cs="Arial"/>
            <w:sz w:val="22"/>
            <w:szCs w:val="22"/>
          </w:rPr>
          <w:t>https://www.cipd.org/uk/knowledge/factsheets/trade-unions-factsheet/</w:t>
        </w:r>
      </w:hyperlink>
      <w:r w:rsidRPr="002A1524">
        <w:rPr>
          <w:rFonts w:ascii="Arial" w:hAnsi="Arial" w:cs="Arial"/>
          <w:sz w:val="22"/>
          <w:szCs w:val="22"/>
        </w:rPr>
        <w:t xml:space="preserve"> (Accessed: 3 August 2025)</w:t>
      </w:r>
    </w:p>
    <w:p w14:paraId="69AA1134" w14:textId="77777777" w:rsidR="00395D78" w:rsidRPr="001D3C4F" w:rsidRDefault="00395D78" w:rsidP="00395D78">
      <w:pPr>
        <w:rPr>
          <w:rFonts w:ascii="Arial" w:hAnsi="Arial" w:cs="Arial"/>
          <w:color w:val="000000" w:themeColor="text1"/>
          <w:sz w:val="22"/>
          <w:szCs w:val="22"/>
        </w:rPr>
      </w:pPr>
      <w:r w:rsidRPr="001D3C4F">
        <w:rPr>
          <w:rFonts w:ascii="Arial" w:hAnsi="Arial" w:cs="Arial"/>
          <w:color w:val="000000" w:themeColor="text1"/>
          <w:sz w:val="22"/>
          <w:szCs w:val="22"/>
        </w:rPr>
        <w:t xml:space="preserve">Civil Mediation Council [CVC] (2021) </w:t>
      </w:r>
      <w:r w:rsidRPr="001D3C4F">
        <w:rPr>
          <w:rFonts w:ascii="Arial" w:hAnsi="Arial" w:cs="Arial"/>
          <w:i/>
          <w:iCs/>
          <w:color w:val="000000" w:themeColor="text1"/>
          <w:sz w:val="22"/>
          <w:szCs w:val="22"/>
        </w:rPr>
        <w:t xml:space="preserve">Workplace Mediation. </w:t>
      </w:r>
      <w:r w:rsidRPr="001D3C4F">
        <w:rPr>
          <w:rFonts w:ascii="Arial" w:hAnsi="Arial" w:cs="Arial"/>
          <w:color w:val="000000" w:themeColor="text1"/>
          <w:sz w:val="22"/>
          <w:szCs w:val="22"/>
        </w:rPr>
        <w:t xml:space="preserve">Available at: </w:t>
      </w:r>
      <w:hyperlink r:id="rId25" w:history="1">
        <w:r w:rsidRPr="001D3C4F">
          <w:rPr>
            <w:rStyle w:val="Hyperlink"/>
            <w:rFonts w:ascii="Arial" w:hAnsi="Arial" w:cs="Arial"/>
            <w:color w:val="000000" w:themeColor="text1"/>
            <w:sz w:val="22"/>
            <w:szCs w:val="22"/>
          </w:rPr>
          <w:t>https://civilmediation.org/workplace-mediation/</w:t>
        </w:r>
      </w:hyperlink>
      <w:r w:rsidRPr="001D3C4F">
        <w:rPr>
          <w:rStyle w:val="Hyperlink"/>
          <w:rFonts w:ascii="Arial" w:hAnsi="Arial" w:cs="Arial"/>
          <w:color w:val="000000" w:themeColor="text1"/>
          <w:sz w:val="22"/>
          <w:szCs w:val="22"/>
        </w:rPr>
        <w:t xml:space="preserve"> (Accessed: 30 July 2025).</w:t>
      </w:r>
    </w:p>
    <w:p w14:paraId="3C62D7F3" w14:textId="77777777" w:rsidR="00395D78" w:rsidRPr="001D3C4F" w:rsidRDefault="00395D78" w:rsidP="00395D78">
      <w:pPr>
        <w:rPr>
          <w:rFonts w:ascii="Arial" w:hAnsi="Arial" w:cs="Arial"/>
          <w:color w:val="000000" w:themeColor="text1"/>
          <w:sz w:val="22"/>
          <w:szCs w:val="22"/>
        </w:rPr>
      </w:pPr>
      <w:r w:rsidRPr="001D3C4F">
        <w:rPr>
          <w:rFonts w:ascii="Arial" w:hAnsi="Arial" w:cs="Arial"/>
          <w:color w:val="000000" w:themeColor="text1"/>
          <w:sz w:val="22"/>
          <w:szCs w:val="22"/>
          <w:lang w:val="en-US"/>
        </w:rPr>
        <w:t xml:space="preserve">CVC (2021) </w:t>
      </w:r>
      <w:r w:rsidRPr="001D3C4F">
        <w:rPr>
          <w:rFonts w:ascii="Arial" w:hAnsi="Arial" w:cs="Arial"/>
          <w:i/>
          <w:iCs/>
          <w:color w:val="000000" w:themeColor="text1"/>
          <w:sz w:val="22"/>
          <w:szCs w:val="22"/>
        </w:rPr>
        <w:t>Features of Mediation.</w:t>
      </w:r>
      <w:r w:rsidRPr="001D3C4F">
        <w:rPr>
          <w:rFonts w:ascii="Arial" w:hAnsi="Arial" w:cs="Arial"/>
          <w:color w:val="000000" w:themeColor="text1"/>
          <w:sz w:val="22"/>
          <w:szCs w:val="22"/>
        </w:rPr>
        <w:t xml:space="preserve"> Available at: </w:t>
      </w:r>
      <w:hyperlink r:id="rId26" w:history="1">
        <w:r w:rsidRPr="001D3C4F">
          <w:rPr>
            <w:rStyle w:val="Hyperlink"/>
            <w:rFonts w:ascii="Arial" w:hAnsi="Arial" w:cs="Arial"/>
            <w:color w:val="000000" w:themeColor="text1"/>
            <w:sz w:val="22"/>
            <w:szCs w:val="22"/>
            <w:lang w:val="en-US"/>
          </w:rPr>
          <w:t>https://civilmediation.org/features-of-mediation/</w:t>
        </w:r>
      </w:hyperlink>
      <w:r w:rsidRPr="001D3C4F">
        <w:rPr>
          <w:rStyle w:val="Hyperlink"/>
          <w:rFonts w:ascii="Arial" w:hAnsi="Arial" w:cs="Arial"/>
          <w:color w:val="000000" w:themeColor="text1"/>
          <w:sz w:val="22"/>
          <w:szCs w:val="22"/>
        </w:rPr>
        <w:t xml:space="preserve"> (Accessed: 30 July 2025).</w:t>
      </w:r>
    </w:p>
    <w:p w14:paraId="370359DF" w14:textId="77777777" w:rsidR="00395D78" w:rsidRPr="001D3C4F" w:rsidRDefault="00395D78" w:rsidP="00395D78">
      <w:pPr>
        <w:rPr>
          <w:rFonts w:ascii="Arial" w:hAnsi="Arial" w:cs="Arial"/>
          <w:color w:val="000000" w:themeColor="text1"/>
          <w:sz w:val="22"/>
          <w:szCs w:val="22"/>
        </w:rPr>
      </w:pPr>
      <w:r w:rsidRPr="001D3C4F">
        <w:rPr>
          <w:rFonts w:ascii="Arial" w:hAnsi="Arial" w:cs="Arial"/>
          <w:color w:val="000000" w:themeColor="text1"/>
          <w:sz w:val="22"/>
          <w:szCs w:val="22"/>
        </w:rPr>
        <w:t xml:space="preserve">GOV.UK (n.d.) </w:t>
      </w:r>
      <w:r w:rsidRPr="001D3C4F">
        <w:rPr>
          <w:rFonts w:ascii="Arial" w:hAnsi="Arial" w:cs="Arial"/>
          <w:i/>
          <w:iCs/>
          <w:color w:val="000000" w:themeColor="text1"/>
          <w:sz w:val="22"/>
          <w:szCs w:val="22"/>
        </w:rPr>
        <w:t>Dismissal: your rights</w:t>
      </w:r>
      <w:r w:rsidRPr="001D3C4F">
        <w:rPr>
          <w:rFonts w:ascii="Arial" w:hAnsi="Arial" w:cs="Arial"/>
          <w:color w:val="000000" w:themeColor="text1"/>
          <w:sz w:val="22"/>
          <w:szCs w:val="22"/>
        </w:rPr>
        <w:t xml:space="preserve">. Available at: </w:t>
      </w:r>
      <w:hyperlink r:id="rId27" w:anchor=":~:text=Illness,to%20recover%20from%20your%20illness" w:history="1">
        <w:r w:rsidRPr="001D3C4F">
          <w:rPr>
            <w:rStyle w:val="Hyperlink"/>
            <w:rFonts w:ascii="Arial" w:hAnsi="Arial" w:cs="Arial"/>
            <w:color w:val="000000" w:themeColor="text1"/>
            <w:sz w:val="22"/>
            <w:szCs w:val="22"/>
          </w:rPr>
          <w:t>https://www.gov.uk/dismissal/reasons-you-can-be-dismissed#:~:text=Illness,to%20recover%20from%20your%20illness</w:t>
        </w:r>
      </w:hyperlink>
      <w:r w:rsidRPr="001D3C4F">
        <w:rPr>
          <w:rFonts w:ascii="Arial" w:hAnsi="Arial" w:cs="Arial"/>
          <w:color w:val="000000" w:themeColor="text1"/>
          <w:sz w:val="22"/>
          <w:szCs w:val="22"/>
        </w:rPr>
        <w:t xml:space="preserve"> (Accessed: 3 August 2025).</w:t>
      </w:r>
    </w:p>
    <w:p w14:paraId="169B9CA0" w14:textId="77777777" w:rsidR="00395D78" w:rsidRPr="001D3C4F" w:rsidRDefault="00395D78" w:rsidP="00395D78">
      <w:pPr>
        <w:rPr>
          <w:rFonts w:ascii="Arial" w:hAnsi="Arial" w:cs="Arial"/>
          <w:color w:val="000000" w:themeColor="text1"/>
          <w:sz w:val="22"/>
          <w:szCs w:val="22"/>
        </w:rPr>
      </w:pPr>
      <w:r w:rsidRPr="001D3C4F">
        <w:rPr>
          <w:rFonts w:ascii="Arial" w:hAnsi="Arial" w:cs="Arial"/>
          <w:color w:val="000000" w:themeColor="text1"/>
          <w:sz w:val="22"/>
          <w:szCs w:val="22"/>
        </w:rPr>
        <w:t xml:space="preserve">GOV.UK (n.d.) </w:t>
      </w:r>
      <w:r w:rsidRPr="001D3C4F">
        <w:rPr>
          <w:rFonts w:ascii="Arial" w:hAnsi="Arial" w:cs="Arial"/>
          <w:i/>
          <w:iCs/>
          <w:color w:val="000000" w:themeColor="text1"/>
          <w:sz w:val="22"/>
          <w:szCs w:val="22"/>
        </w:rPr>
        <w:t>Solve a workplace dispute.</w:t>
      </w:r>
      <w:r w:rsidRPr="001D3C4F">
        <w:rPr>
          <w:rFonts w:ascii="Arial" w:hAnsi="Arial" w:cs="Arial"/>
          <w:color w:val="000000" w:themeColor="text1"/>
          <w:sz w:val="22"/>
          <w:szCs w:val="22"/>
        </w:rPr>
        <w:t xml:space="preserve"> Available at: </w:t>
      </w:r>
      <w:hyperlink r:id="rId28" w:history="1">
        <w:r w:rsidRPr="001D3C4F">
          <w:rPr>
            <w:rStyle w:val="Hyperlink"/>
            <w:rFonts w:ascii="Arial" w:hAnsi="Arial" w:cs="Arial"/>
            <w:color w:val="000000" w:themeColor="text1"/>
            <w:sz w:val="22"/>
            <w:szCs w:val="22"/>
            <w:lang w:val="en-US"/>
          </w:rPr>
          <w:t>https://www.gov.uk/solve-workplace-dispute/mediation- conciliation-and-arbitration</w:t>
        </w:r>
      </w:hyperlink>
      <w:r w:rsidRPr="001D3C4F">
        <w:rPr>
          <w:rFonts w:ascii="Arial" w:hAnsi="Arial" w:cs="Arial"/>
          <w:color w:val="000000" w:themeColor="text1"/>
          <w:sz w:val="22"/>
          <w:szCs w:val="22"/>
          <w:lang w:val="en-US"/>
        </w:rPr>
        <w:t xml:space="preserve"> (Accessed: 1 August 2025).</w:t>
      </w:r>
    </w:p>
    <w:p w14:paraId="6AD46D14" w14:textId="77777777" w:rsidR="00395D78" w:rsidRPr="001D3C4F" w:rsidRDefault="00395D78" w:rsidP="00395D78">
      <w:pPr>
        <w:shd w:val="clear" w:color="auto" w:fill="FFFFFF"/>
        <w:spacing w:before="100" w:beforeAutospacing="1" w:after="100" w:afterAutospacing="1" w:line="240" w:lineRule="auto"/>
        <w:outlineLvl w:val="0"/>
        <w:rPr>
          <w:rFonts w:ascii="Arial" w:hAnsi="Arial" w:cs="Arial"/>
          <w:color w:val="000000" w:themeColor="text1"/>
          <w:sz w:val="22"/>
          <w:szCs w:val="22"/>
        </w:rPr>
      </w:pPr>
      <w:r w:rsidRPr="001D3C4F">
        <w:rPr>
          <w:rFonts w:ascii="Arial" w:hAnsi="Arial" w:cs="Arial"/>
          <w:color w:val="000000" w:themeColor="text1"/>
          <w:sz w:val="22"/>
          <w:szCs w:val="22"/>
        </w:rPr>
        <w:t xml:space="preserve">Growth Institute. [Online] Available at: </w:t>
      </w:r>
      <w:hyperlink r:id="rId29" w:history="1">
        <w:r w:rsidRPr="001D3C4F">
          <w:rPr>
            <w:rStyle w:val="Hyperlink"/>
            <w:rFonts w:ascii="Arial" w:hAnsi="Arial" w:cs="Arial"/>
            <w:color w:val="000000" w:themeColor="text1"/>
            <w:sz w:val="22"/>
            <w:szCs w:val="22"/>
          </w:rPr>
          <w:t>https://blog.growthinstitute.com/great-game-business/employee-involvement-business-growth</w:t>
        </w:r>
      </w:hyperlink>
      <w:r w:rsidRPr="001D3C4F">
        <w:rPr>
          <w:rFonts w:ascii="Arial" w:hAnsi="Arial" w:cs="Arial"/>
          <w:color w:val="000000" w:themeColor="text1"/>
          <w:sz w:val="22"/>
          <w:szCs w:val="22"/>
        </w:rPr>
        <w:t xml:space="preserve"> (Accessed 15 July 2024)</w:t>
      </w:r>
    </w:p>
    <w:p w14:paraId="726998FD" w14:textId="77777777" w:rsidR="00395D78" w:rsidRPr="001D3C4F" w:rsidRDefault="00395D78" w:rsidP="00395D78">
      <w:pPr>
        <w:rPr>
          <w:rFonts w:ascii="Arial" w:hAnsi="Arial" w:cs="Arial"/>
          <w:i/>
          <w:iCs/>
          <w:color w:val="000000" w:themeColor="text1"/>
          <w:sz w:val="22"/>
          <w:szCs w:val="22"/>
        </w:rPr>
      </w:pPr>
      <w:r w:rsidRPr="001D3C4F">
        <w:rPr>
          <w:rFonts w:ascii="Arial" w:hAnsi="Arial" w:cs="Arial"/>
          <w:color w:val="000000" w:themeColor="text1"/>
          <w:sz w:val="22"/>
          <w:szCs w:val="22"/>
        </w:rPr>
        <w:t>House of Commons. (2024)</w:t>
      </w:r>
      <w:r w:rsidRPr="001D3C4F">
        <w:rPr>
          <w:rFonts w:ascii="Arial" w:hAnsi="Arial" w:cs="Arial"/>
          <w:b/>
          <w:bCs/>
          <w:color w:val="000000" w:themeColor="text1"/>
          <w:sz w:val="22"/>
          <w:szCs w:val="22"/>
        </w:rPr>
        <w:t xml:space="preserve"> </w:t>
      </w:r>
      <w:r w:rsidRPr="001D3C4F">
        <w:rPr>
          <w:rFonts w:ascii="Arial" w:hAnsi="Arial" w:cs="Arial"/>
          <w:i/>
          <w:iCs/>
          <w:color w:val="000000" w:themeColor="text1"/>
          <w:sz w:val="22"/>
          <w:szCs w:val="22"/>
        </w:rPr>
        <w:t>Written Ministerial Statement: [Repeal of the Strikes (Minimum Service Levels) Act 2023].</w:t>
      </w:r>
      <w:r w:rsidRPr="001D3C4F">
        <w:rPr>
          <w:rFonts w:ascii="Arial" w:hAnsi="Arial" w:cs="Arial"/>
          <w:color w:val="000000" w:themeColor="text1"/>
          <w:sz w:val="22"/>
          <w:szCs w:val="22"/>
        </w:rPr>
        <w:t xml:space="preserve"> </w:t>
      </w:r>
      <w:r w:rsidRPr="001D3C4F">
        <w:rPr>
          <w:rFonts w:ascii="Arial" w:hAnsi="Arial" w:cs="Arial"/>
          <w:i/>
          <w:iCs/>
          <w:color w:val="000000" w:themeColor="text1"/>
          <w:sz w:val="22"/>
          <w:szCs w:val="22"/>
        </w:rPr>
        <w:t>HC Deb</w:t>
      </w:r>
      <w:r w:rsidRPr="001D3C4F">
        <w:rPr>
          <w:rFonts w:ascii="Arial" w:hAnsi="Arial" w:cs="Arial"/>
          <w:color w:val="000000" w:themeColor="text1"/>
          <w:sz w:val="22"/>
          <w:szCs w:val="22"/>
        </w:rPr>
        <w:t xml:space="preserve"> 9 September 2024, c WS75. Available at: </w:t>
      </w:r>
      <w:hyperlink r:id="rId30" w:tgtFrame="_new" w:history="1">
        <w:r w:rsidRPr="001D3C4F">
          <w:rPr>
            <w:rStyle w:val="Hyperlink"/>
            <w:rFonts w:ascii="Arial" w:hAnsi="Arial" w:cs="Arial"/>
            <w:i/>
            <w:iCs/>
            <w:sz w:val="22"/>
            <w:szCs w:val="22"/>
          </w:rPr>
          <w:t>https://questions-statements.parliament.uk/written-statements/detail/2024-09-09/hcws75</w:t>
        </w:r>
      </w:hyperlink>
      <w:r w:rsidRPr="001D3C4F">
        <w:rPr>
          <w:rFonts w:ascii="Arial" w:hAnsi="Arial" w:cs="Arial"/>
          <w:color w:val="000000" w:themeColor="text1"/>
          <w:sz w:val="22"/>
          <w:szCs w:val="22"/>
        </w:rPr>
        <w:t xml:space="preserve"> (Accessed: 3 August 2025).</w:t>
      </w:r>
    </w:p>
    <w:p w14:paraId="581F2482" w14:textId="77777777" w:rsidR="00395D78" w:rsidRPr="001D3C4F" w:rsidRDefault="00395D78" w:rsidP="00395D78">
      <w:pPr>
        <w:pStyle w:val="Nornal"/>
        <w:rPr>
          <w:color w:val="000000" w:themeColor="text1"/>
          <w:lang w:val="en-GB"/>
        </w:rPr>
      </w:pPr>
      <w:r w:rsidRPr="001D3C4F">
        <w:rPr>
          <w:color w:val="000000" w:themeColor="text1"/>
          <w:lang w:val="en-GB"/>
        </w:rPr>
        <w:t xml:space="preserve">Institute of Directors [IOD] (2023) </w:t>
      </w:r>
      <w:r w:rsidRPr="001D3C4F">
        <w:rPr>
          <w:i/>
          <w:iCs/>
          <w:color w:val="000000" w:themeColor="text1"/>
          <w:lang w:val="en-GB"/>
        </w:rPr>
        <w:t xml:space="preserve">Conflict management. </w:t>
      </w:r>
      <w:r w:rsidRPr="001D3C4F">
        <w:rPr>
          <w:color w:val="000000" w:themeColor="text1"/>
          <w:lang w:val="en-GB"/>
        </w:rPr>
        <w:t xml:space="preserve">Available at: </w:t>
      </w:r>
      <w:hyperlink r:id="rId31" w:history="1">
        <w:r w:rsidRPr="001D3C4F">
          <w:rPr>
            <w:rStyle w:val="Hyperlink"/>
            <w:color w:val="000000" w:themeColor="text1"/>
            <w:lang w:val="en-GB"/>
          </w:rPr>
          <w:t>https://www.iod.com/resources/business-advice/conflict-management/</w:t>
        </w:r>
      </w:hyperlink>
      <w:r w:rsidRPr="001D3C4F">
        <w:rPr>
          <w:color w:val="000000" w:themeColor="text1"/>
          <w:lang w:val="en-GB"/>
        </w:rPr>
        <w:t xml:space="preserve"> (Accessed: 1 August 2025).</w:t>
      </w:r>
    </w:p>
    <w:p w14:paraId="3DC88025" w14:textId="77777777" w:rsidR="00395D78" w:rsidRDefault="00395D78" w:rsidP="00395D78">
      <w:pPr>
        <w:shd w:val="clear" w:color="auto" w:fill="FFFFFF"/>
        <w:spacing w:after="0" w:line="240" w:lineRule="auto"/>
        <w:textAlignment w:val="baseline"/>
        <w:outlineLvl w:val="0"/>
        <w:rPr>
          <w:rFonts w:ascii="Arial" w:hAnsi="Arial" w:cs="Arial"/>
          <w:color w:val="000000" w:themeColor="text1"/>
          <w:sz w:val="22"/>
          <w:szCs w:val="22"/>
        </w:rPr>
      </w:pPr>
      <w:r w:rsidRPr="00FE73A8">
        <w:rPr>
          <w:rFonts w:ascii="Arial" w:hAnsi="Arial" w:cs="Arial"/>
          <w:color w:val="000000" w:themeColor="text1"/>
          <w:sz w:val="22"/>
          <w:szCs w:val="22"/>
        </w:rPr>
        <w:t xml:space="preserve">IPA (2024a) </w:t>
      </w:r>
      <w:r w:rsidRPr="00FE73A8">
        <w:rPr>
          <w:rFonts w:ascii="Arial" w:hAnsi="Arial" w:cs="Arial"/>
          <w:i/>
          <w:iCs/>
          <w:color w:val="000000" w:themeColor="text1"/>
          <w:sz w:val="22"/>
          <w:szCs w:val="22"/>
        </w:rPr>
        <w:t>What is Employee Voice</w:t>
      </w:r>
      <w:r w:rsidRPr="00FE73A8">
        <w:rPr>
          <w:rFonts w:ascii="Arial" w:hAnsi="Arial" w:cs="Arial"/>
          <w:color w:val="000000" w:themeColor="text1"/>
          <w:sz w:val="22"/>
          <w:szCs w:val="22"/>
        </w:rPr>
        <w:t xml:space="preserve">? Available at: </w:t>
      </w:r>
      <w:hyperlink r:id="rId32" w:history="1">
        <w:r w:rsidRPr="00FE73A8">
          <w:rPr>
            <w:rStyle w:val="Hyperlink"/>
            <w:rFonts w:ascii="Arial" w:hAnsi="Arial" w:cs="Arial"/>
            <w:color w:val="000000" w:themeColor="text1"/>
            <w:sz w:val="22"/>
            <w:szCs w:val="22"/>
          </w:rPr>
          <w:t>https://www.ipa-involve.com/employee-voice</w:t>
        </w:r>
      </w:hyperlink>
      <w:r w:rsidRPr="00FE73A8">
        <w:rPr>
          <w:rFonts w:ascii="Arial" w:hAnsi="Arial" w:cs="Arial"/>
          <w:color w:val="000000" w:themeColor="text1"/>
          <w:sz w:val="22"/>
          <w:szCs w:val="22"/>
        </w:rPr>
        <w:t xml:space="preserve"> (Accessed 4 August 2025).</w:t>
      </w:r>
    </w:p>
    <w:p w14:paraId="4FE8DB04" w14:textId="77777777" w:rsidR="00395D78" w:rsidRDefault="00395D78" w:rsidP="00395D78">
      <w:pPr>
        <w:shd w:val="clear" w:color="auto" w:fill="FFFFFF"/>
        <w:spacing w:after="0" w:line="240" w:lineRule="auto"/>
        <w:textAlignment w:val="baseline"/>
        <w:outlineLvl w:val="0"/>
        <w:rPr>
          <w:rFonts w:ascii="Arial" w:hAnsi="Arial" w:cs="Arial"/>
          <w:color w:val="000000" w:themeColor="text1"/>
          <w:sz w:val="22"/>
          <w:szCs w:val="22"/>
        </w:rPr>
      </w:pPr>
      <w:r w:rsidRPr="00FE73A8">
        <w:rPr>
          <w:rFonts w:ascii="Arial" w:hAnsi="Arial" w:cs="Arial"/>
          <w:color w:val="000000" w:themeColor="text1"/>
          <w:sz w:val="22"/>
          <w:szCs w:val="22"/>
        </w:rPr>
        <w:t xml:space="preserve">IPA (2024b) </w:t>
      </w:r>
      <w:r w:rsidRPr="00FE73A8">
        <w:rPr>
          <w:rFonts w:ascii="Arial" w:hAnsi="Arial" w:cs="Arial"/>
          <w:i/>
          <w:iCs/>
          <w:color w:val="000000" w:themeColor="text1"/>
          <w:sz w:val="22"/>
          <w:szCs w:val="22"/>
        </w:rPr>
        <w:t>What is Engagement?</w:t>
      </w:r>
      <w:r w:rsidRPr="00FE73A8">
        <w:rPr>
          <w:rFonts w:ascii="Arial" w:hAnsi="Arial" w:cs="Arial"/>
          <w:color w:val="000000" w:themeColor="text1"/>
          <w:sz w:val="22"/>
          <w:szCs w:val="22"/>
        </w:rPr>
        <w:t xml:space="preserve"> Available at: </w:t>
      </w:r>
      <w:hyperlink r:id="rId33" w:history="1">
        <w:r w:rsidRPr="00FE73A8">
          <w:rPr>
            <w:rStyle w:val="Hyperlink"/>
            <w:rFonts w:ascii="Arial" w:hAnsi="Arial" w:cs="Arial"/>
            <w:color w:val="000000" w:themeColor="text1"/>
            <w:sz w:val="22"/>
            <w:szCs w:val="22"/>
          </w:rPr>
          <w:t>https://www.ipa-involve.com/engagement</w:t>
        </w:r>
      </w:hyperlink>
      <w:r w:rsidRPr="00FE73A8">
        <w:rPr>
          <w:rFonts w:ascii="Arial" w:hAnsi="Arial" w:cs="Arial"/>
          <w:color w:val="000000" w:themeColor="text1"/>
          <w:sz w:val="22"/>
          <w:szCs w:val="22"/>
        </w:rPr>
        <w:t xml:space="preserve"> (Accessed 4 August 2025).</w:t>
      </w:r>
    </w:p>
    <w:p w14:paraId="3326FE8C" w14:textId="77777777" w:rsidR="00395D78" w:rsidRDefault="00395D78" w:rsidP="00395D78">
      <w:pPr>
        <w:shd w:val="clear" w:color="auto" w:fill="FFFFFF"/>
        <w:spacing w:after="0" w:line="240" w:lineRule="auto"/>
        <w:textAlignment w:val="baseline"/>
        <w:outlineLvl w:val="0"/>
        <w:rPr>
          <w:rFonts w:ascii="Arial" w:hAnsi="Arial" w:cs="Arial"/>
          <w:color w:val="000000" w:themeColor="text1"/>
          <w:sz w:val="22"/>
          <w:szCs w:val="22"/>
        </w:rPr>
      </w:pPr>
    </w:p>
    <w:p w14:paraId="7A000F62" w14:textId="77777777" w:rsidR="00395D78" w:rsidRDefault="00395D78" w:rsidP="00395D78">
      <w:pPr>
        <w:rPr>
          <w:rFonts w:ascii="Arial" w:hAnsi="Arial" w:cs="Arial"/>
          <w:sz w:val="22"/>
          <w:szCs w:val="22"/>
        </w:rPr>
      </w:pPr>
      <w:r>
        <w:rPr>
          <w:rFonts w:ascii="Arial" w:hAnsi="Arial" w:cs="Arial"/>
          <w:sz w:val="22"/>
          <w:szCs w:val="22"/>
        </w:rPr>
        <w:t xml:space="preserve">Labour Relations Agency [LRA] (2023) </w:t>
      </w:r>
      <w:r w:rsidRPr="00226A5A">
        <w:rPr>
          <w:rFonts w:ascii="Arial" w:hAnsi="Arial" w:cs="Arial"/>
          <w:i/>
          <w:iCs/>
          <w:sz w:val="22"/>
          <w:szCs w:val="22"/>
        </w:rPr>
        <w:t>Advice on Non-union Representation in the Workplace.</w:t>
      </w:r>
      <w:r>
        <w:rPr>
          <w:rFonts w:ascii="Arial" w:hAnsi="Arial" w:cs="Arial"/>
          <w:sz w:val="22"/>
          <w:szCs w:val="22"/>
        </w:rPr>
        <w:t xml:space="preserve"> Available at: </w:t>
      </w:r>
      <w:hyperlink r:id="rId34" w:history="1">
        <w:r w:rsidRPr="00A06BA7">
          <w:rPr>
            <w:rStyle w:val="Hyperlink"/>
            <w:rFonts w:ascii="Arial" w:hAnsi="Arial" w:cs="Arial"/>
            <w:sz w:val="22"/>
            <w:szCs w:val="22"/>
          </w:rPr>
          <w:t>https://www.lra.org.uk/sites/default/files/2024-02/Advice%20on%20Non-union%20Representation%20in%20the%20Workplace.pdf</w:t>
        </w:r>
      </w:hyperlink>
      <w:r>
        <w:rPr>
          <w:rFonts w:ascii="Arial" w:hAnsi="Arial" w:cs="Arial"/>
          <w:sz w:val="22"/>
          <w:szCs w:val="22"/>
        </w:rPr>
        <w:t xml:space="preserve"> Accessed: 2 August 2025).</w:t>
      </w:r>
    </w:p>
    <w:p w14:paraId="6F5B0A3A" w14:textId="77777777" w:rsidR="00395D78" w:rsidRPr="001D3C4F" w:rsidRDefault="00395D78" w:rsidP="00395D78">
      <w:pPr>
        <w:rPr>
          <w:rFonts w:ascii="Arial" w:hAnsi="Arial" w:cs="Arial"/>
          <w:color w:val="000000" w:themeColor="text1"/>
          <w:sz w:val="22"/>
          <w:szCs w:val="22"/>
        </w:rPr>
      </w:pPr>
      <w:hyperlink r:id="rId35" w:tooltip="Home" w:history="1">
        <w:r w:rsidRPr="001D3C4F">
          <w:rPr>
            <w:rStyle w:val="Hyperlink"/>
            <w:rFonts w:ascii="Arial" w:hAnsi="Arial" w:cs="Arial"/>
            <w:color w:val="000000" w:themeColor="text1"/>
            <w:sz w:val="22"/>
            <w:szCs w:val="22"/>
          </w:rPr>
          <w:t>Labour Research Department</w:t>
        </w:r>
      </w:hyperlink>
      <w:r w:rsidRPr="001D3C4F">
        <w:rPr>
          <w:rFonts w:ascii="Arial" w:hAnsi="Arial" w:cs="Arial"/>
          <w:color w:val="000000" w:themeColor="text1"/>
          <w:sz w:val="22"/>
          <w:szCs w:val="22"/>
        </w:rPr>
        <w:t xml:space="preserve"> (2024) </w:t>
      </w:r>
      <w:r w:rsidRPr="001D3C4F">
        <w:rPr>
          <w:rFonts w:ascii="Arial" w:hAnsi="Arial" w:cs="Arial"/>
          <w:i/>
          <w:iCs/>
          <w:color w:val="000000" w:themeColor="text1"/>
          <w:sz w:val="22"/>
          <w:szCs w:val="22"/>
        </w:rPr>
        <w:t>What’s behind official strike statistics?</w:t>
      </w:r>
      <w:r w:rsidRPr="001D3C4F">
        <w:rPr>
          <w:rFonts w:ascii="Arial" w:hAnsi="Arial" w:cs="Arial"/>
          <w:color w:val="000000" w:themeColor="text1"/>
          <w:sz w:val="22"/>
          <w:szCs w:val="22"/>
        </w:rPr>
        <w:t xml:space="preserve"> Available at: </w:t>
      </w:r>
      <w:hyperlink r:id="rId36" w:history="1">
        <w:r w:rsidRPr="001D3C4F">
          <w:rPr>
            <w:rStyle w:val="Hyperlink"/>
            <w:rFonts w:ascii="Arial" w:hAnsi="Arial" w:cs="Arial"/>
            <w:color w:val="000000" w:themeColor="text1"/>
            <w:sz w:val="22"/>
            <w:szCs w:val="22"/>
          </w:rPr>
          <w:t>https://www.lrd.org.uk/free-read/whats-behind-official-strike-statistics</w:t>
        </w:r>
      </w:hyperlink>
      <w:r w:rsidRPr="001D3C4F">
        <w:rPr>
          <w:rStyle w:val="Hyperlink"/>
          <w:rFonts w:ascii="Arial" w:hAnsi="Arial" w:cs="Arial"/>
          <w:color w:val="000000" w:themeColor="text1"/>
          <w:sz w:val="22"/>
          <w:szCs w:val="22"/>
        </w:rPr>
        <w:t xml:space="preserve"> (Accessed: 2 August 2025).</w:t>
      </w:r>
    </w:p>
    <w:p w14:paraId="12A43501" w14:textId="77777777" w:rsidR="00395D78" w:rsidRPr="001D3C4F" w:rsidRDefault="00395D78" w:rsidP="00395D78">
      <w:pPr>
        <w:pStyle w:val="Nornal"/>
        <w:rPr>
          <w:b/>
          <w:bCs/>
          <w:color w:val="000000" w:themeColor="text1"/>
        </w:rPr>
      </w:pPr>
      <w:r w:rsidRPr="001D3C4F">
        <w:rPr>
          <w:color w:val="000000" w:themeColor="text1"/>
          <w:lang w:val="en-GB"/>
        </w:rPr>
        <w:t xml:space="preserve">MDU Journal (2023) </w:t>
      </w:r>
      <w:r w:rsidRPr="001D3C4F">
        <w:rPr>
          <w:i/>
          <w:iCs/>
          <w:color w:val="000000" w:themeColor="text1"/>
        </w:rPr>
        <w:t xml:space="preserve">Resolving workplace grievances effectively. </w:t>
      </w:r>
      <w:r w:rsidRPr="001D3C4F">
        <w:rPr>
          <w:color w:val="000000" w:themeColor="text1"/>
        </w:rPr>
        <w:t xml:space="preserve">Available at: </w:t>
      </w:r>
      <w:hyperlink r:id="rId37" w:history="1">
        <w:r w:rsidRPr="001D3C4F">
          <w:rPr>
            <w:rStyle w:val="Hyperlink"/>
            <w:color w:val="000000" w:themeColor="text1"/>
          </w:rPr>
          <w:t>https://mdujournal.themdu.com/issue-archive/autumn-2023/resolving-workplace-grievances-effectively</w:t>
        </w:r>
      </w:hyperlink>
      <w:r w:rsidRPr="001D3C4F">
        <w:rPr>
          <w:color w:val="000000" w:themeColor="text1"/>
        </w:rPr>
        <w:t xml:space="preserve"> (Accessed:16 July 2025).</w:t>
      </w:r>
    </w:p>
    <w:p w14:paraId="40922A6D" w14:textId="77777777" w:rsidR="00395D78" w:rsidRPr="001D3C4F" w:rsidRDefault="00395D78" w:rsidP="00395D78">
      <w:pPr>
        <w:rPr>
          <w:rFonts w:ascii="Arial" w:hAnsi="Arial" w:cs="Arial"/>
          <w:color w:val="000000" w:themeColor="text1"/>
          <w:sz w:val="22"/>
          <w:szCs w:val="22"/>
        </w:rPr>
      </w:pPr>
      <w:r w:rsidRPr="001D3C4F">
        <w:rPr>
          <w:rFonts w:ascii="Arial" w:hAnsi="Arial" w:cs="Arial"/>
          <w:color w:val="000000" w:themeColor="text1"/>
          <w:sz w:val="22"/>
          <w:szCs w:val="22"/>
        </w:rPr>
        <w:t xml:space="preserve">Notes from Below (2023) </w:t>
      </w:r>
      <w:r w:rsidRPr="001D3C4F">
        <w:rPr>
          <w:rFonts w:ascii="Arial" w:hAnsi="Arial" w:cs="Arial"/>
          <w:i/>
          <w:iCs/>
          <w:color w:val="000000" w:themeColor="text1"/>
          <w:sz w:val="22"/>
          <w:szCs w:val="22"/>
        </w:rPr>
        <w:t xml:space="preserve">Introduction to issue 17, In and Against the Union. </w:t>
      </w:r>
      <w:r w:rsidRPr="001D3C4F">
        <w:rPr>
          <w:rFonts w:ascii="Arial" w:hAnsi="Arial" w:cs="Arial"/>
          <w:color w:val="000000" w:themeColor="text1"/>
          <w:sz w:val="22"/>
          <w:szCs w:val="22"/>
        </w:rPr>
        <w:t>Available at:</w:t>
      </w:r>
      <w:r w:rsidRPr="001D3C4F">
        <w:rPr>
          <w:rFonts w:ascii="Arial" w:hAnsi="Arial" w:cs="Arial"/>
          <w:i/>
          <w:iCs/>
          <w:color w:val="000000" w:themeColor="text1"/>
          <w:sz w:val="22"/>
          <w:szCs w:val="22"/>
        </w:rPr>
        <w:t xml:space="preserve">  </w:t>
      </w:r>
      <w:hyperlink r:id="rId38" w:history="1">
        <w:r w:rsidRPr="001D3C4F">
          <w:rPr>
            <w:rStyle w:val="Hyperlink"/>
            <w:rFonts w:ascii="Arial" w:hAnsi="Arial" w:cs="Arial"/>
            <w:color w:val="000000" w:themeColor="text1"/>
            <w:sz w:val="22"/>
            <w:szCs w:val="22"/>
          </w:rPr>
          <w:t>https://notesfrombelow.org/article/welcome-future</w:t>
        </w:r>
      </w:hyperlink>
      <w:r w:rsidRPr="001D3C4F">
        <w:rPr>
          <w:rFonts w:ascii="Arial" w:hAnsi="Arial" w:cs="Arial"/>
          <w:color w:val="000000" w:themeColor="text1"/>
          <w:sz w:val="22"/>
          <w:szCs w:val="22"/>
        </w:rPr>
        <w:t xml:space="preserve"> (Accessed: 2 August 2025).</w:t>
      </w:r>
    </w:p>
    <w:p w14:paraId="427260E1" w14:textId="77777777" w:rsidR="00395D78" w:rsidRPr="001D3C4F" w:rsidRDefault="00395D78" w:rsidP="00395D78">
      <w:pPr>
        <w:rPr>
          <w:rStyle w:val="Hyperlink"/>
          <w:rFonts w:ascii="Arial" w:hAnsi="Arial" w:cs="Arial"/>
          <w:color w:val="000000" w:themeColor="text1"/>
          <w:sz w:val="22"/>
          <w:szCs w:val="22"/>
        </w:rPr>
      </w:pPr>
      <w:r w:rsidRPr="001D3C4F">
        <w:rPr>
          <w:rFonts w:ascii="Arial" w:hAnsi="Arial" w:cs="Arial"/>
          <w:color w:val="000000" w:themeColor="text1"/>
          <w:sz w:val="22"/>
          <w:szCs w:val="22"/>
        </w:rPr>
        <w:t xml:space="preserve">O'Melia, L. , Involvement &amp; Participation Association [IPA] (2025)  </w:t>
      </w:r>
      <w:r w:rsidRPr="001D3C4F">
        <w:rPr>
          <w:rFonts w:ascii="Arial" w:hAnsi="Arial" w:cs="Arial"/>
          <w:i/>
          <w:iCs/>
          <w:color w:val="000000" w:themeColor="text1"/>
          <w:sz w:val="22"/>
          <w:szCs w:val="22"/>
        </w:rPr>
        <w:t>Future Generations Report 2025: 10 years since the Act, what role can the workforce play in delivering Wellbeing for Wales?</w:t>
      </w:r>
      <w:r w:rsidRPr="001D3C4F">
        <w:rPr>
          <w:rFonts w:ascii="Arial" w:hAnsi="Arial" w:cs="Arial"/>
          <w:color w:val="000000" w:themeColor="text1"/>
          <w:sz w:val="22"/>
          <w:szCs w:val="22"/>
        </w:rPr>
        <w:t xml:space="preserve"> Available at: </w:t>
      </w:r>
      <w:hyperlink r:id="rId39" w:history="1">
        <w:r w:rsidRPr="001D3C4F">
          <w:rPr>
            <w:rStyle w:val="Hyperlink"/>
            <w:rFonts w:ascii="Arial" w:hAnsi="Arial" w:cs="Arial"/>
            <w:color w:val="000000" w:themeColor="text1"/>
            <w:sz w:val="22"/>
            <w:szCs w:val="22"/>
          </w:rPr>
          <w:t>https://www.ipa-involve.com/news/future-generations-report-2025-10-</w:t>
        </w:r>
        <w:r w:rsidRPr="001D3C4F">
          <w:rPr>
            <w:rStyle w:val="Hyperlink"/>
            <w:rFonts w:ascii="Arial" w:hAnsi="Arial" w:cs="Arial"/>
            <w:color w:val="000000" w:themeColor="text1"/>
            <w:sz w:val="22"/>
            <w:szCs w:val="22"/>
          </w:rPr>
          <w:lastRenderedPageBreak/>
          <w:t>years-since-the-act-what-role-can-the-workforce-play-in-delivering-wellbeing-for-wales</w:t>
        </w:r>
      </w:hyperlink>
      <w:r w:rsidRPr="001D3C4F">
        <w:rPr>
          <w:rStyle w:val="Hyperlink"/>
          <w:rFonts w:ascii="Arial" w:hAnsi="Arial" w:cs="Arial"/>
          <w:color w:val="000000" w:themeColor="text1"/>
          <w:sz w:val="22"/>
          <w:szCs w:val="22"/>
        </w:rPr>
        <w:t xml:space="preserve"> (Accessed: 1 August 2025).</w:t>
      </w:r>
    </w:p>
    <w:p w14:paraId="38FB63F1" w14:textId="77777777" w:rsidR="00395D78" w:rsidRPr="001D3C4F" w:rsidRDefault="00395D78" w:rsidP="00395D78">
      <w:pPr>
        <w:rPr>
          <w:rFonts w:ascii="Arial" w:hAnsi="Arial" w:cs="Arial"/>
          <w:color w:val="000000" w:themeColor="text1"/>
          <w:sz w:val="22"/>
          <w:szCs w:val="22"/>
        </w:rPr>
      </w:pPr>
      <w:r w:rsidRPr="001D3C4F">
        <w:rPr>
          <w:rFonts w:ascii="Arial" w:hAnsi="Arial" w:cs="Arial"/>
          <w:color w:val="000000" w:themeColor="text1"/>
          <w:sz w:val="22"/>
          <w:szCs w:val="22"/>
        </w:rPr>
        <w:t xml:space="preserve">Personnel Today (2023) Third of employers seeing more employee grievances. Available at: </w:t>
      </w:r>
      <w:hyperlink r:id="rId40" w:history="1">
        <w:r w:rsidRPr="001D3C4F">
          <w:rPr>
            <w:rStyle w:val="Hyperlink"/>
            <w:rFonts w:ascii="Arial" w:hAnsi="Arial" w:cs="Arial"/>
            <w:color w:val="000000" w:themeColor="text1"/>
            <w:sz w:val="22"/>
            <w:szCs w:val="22"/>
          </w:rPr>
          <w:t>https://www.personneltoday.com/hr/employee-grievances-rise-xperthr/</w:t>
        </w:r>
      </w:hyperlink>
      <w:r w:rsidRPr="001D3C4F">
        <w:rPr>
          <w:rFonts w:ascii="Arial" w:hAnsi="Arial" w:cs="Arial"/>
          <w:color w:val="000000" w:themeColor="text1"/>
          <w:sz w:val="22"/>
          <w:szCs w:val="22"/>
        </w:rPr>
        <w:t xml:space="preserve"> Accessed: 26 July 2025).</w:t>
      </w:r>
    </w:p>
    <w:p w14:paraId="1F35E3FA" w14:textId="77777777" w:rsidR="00395D78" w:rsidRPr="001D3C4F" w:rsidRDefault="00395D78" w:rsidP="00395D78">
      <w:pPr>
        <w:rPr>
          <w:rFonts w:ascii="Arial" w:hAnsi="Arial" w:cs="Arial"/>
          <w:color w:val="000000" w:themeColor="text1"/>
          <w:sz w:val="22"/>
          <w:szCs w:val="22"/>
        </w:rPr>
      </w:pPr>
      <w:r w:rsidRPr="001D3C4F">
        <w:rPr>
          <w:rFonts w:ascii="Arial" w:hAnsi="Arial" w:cs="Arial"/>
          <w:color w:val="000000" w:themeColor="text1"/>
          <w:sz w:val="22"/>
          <w:szCs w:val="22"/>
        </w:rPr>
        <w:t xml:space="preserve">Quain, S. (2018). The Difference Between Employee Participation &amp; Employee Involvement. Chron. [Online] Available at: </w:t>
      </w:r>
      <w:hyperlink r:id="rId41" w:history="1">
        <w:r w:rsidRPr="001D3C4F">
          <w:rPr>
            <w:rStyle w:val="Hyperlink"/>
            <w:rFonts w:ascii="Arial" w:hAnsi="Arial" w:cs="Arial"/>
            <w:color w:val="000000" w:themeColor="text1"/>
            <w:sz w:val="22"/>
            <w:szCs w:val="22"/>
          </w:rPr>
          <w:t>https://smallbusiness.chron.com/difference-between-employee-participation-employee-involvement-13013.html</w:t>
        </w:r>
      </w:hyperlink>
      <w:r w:rsidRPr="001D3C4F">
        <w:rPr>
          <w:rFonts w:ascii="Arial" w:hAnsi="Arial" w:cs="Arial"/>
          <w:color w:val="000000" w:themeColor="text1"/>
          <w:sz w:val="22"/>
          <w:szCs w:val="22"/>
        </w:rPr>
        <w:t xml:space="preserve"> (Accessed 15 July 2024)</w:t>
      </w:r>
    </w:p>
    <w:p w14:paraId="7177B5F9" w14:textId="77777777" w:rsidR="00395D78" w:rsidRPr="001D3C4F" w:rsidRDefault="00395D78" w:rsidP="00395D78">
      <w:pPr>
        <w:rPr>
          <w:rFonts w:ascii="Arial" w:hAnsi="Arial" w:cs="Arial"/>
          <w:color w:val="000000" w:themeColor="text1"/>
          <w:sz w:val="22"/>
          <w:szCs w:val="22"/>
        </w:rPr>
      </w:pPr>
      <w:r w:rsidRPr="001D3C4F">
        <w:rPr>
          <w:rFonts w:ascii="Arial" w:hAnsi="Arial" w:cs="Arial"/>
          <w:color w:val="000000" w:themeColor="text1"/>
          <w:sz w:val="22"/>
          <w:szCs w:val="22"/>
        </w:rPr>
        <w:t xml:space="preserve">Saundry, R., Saundry, F., Urwin, P., Bowyer, A., Mason, S., Kameshwara, K. &amp; Latreille, P., Independent research for ACAS (2024). </w:t>
      </w:r>
      <w:r w:rsidRPr="001D3C4F">
        <w:rPr>
          <w:rFonts w:ascii="Arial" w:eastAsia="Times New Roman" w:hAnsi="Arial" w:cs="Arial"/>
          <w:i/>
          <w:iCs/>
          <w:color w:val="000000" w:themeColor="text1"/>
          <w:sz w:val="22"/>
          <w:szCs w:val="22"/>
        </w:rPr>
        <w:t>Managing conflict at work – policy, procedure and informal resolution</w:t>
      </w:r>
      <w:r w:rsidRPr="001D3C4F">
        <w:rPr>
          <w:rFonts w:ascii="Arial" w:hAnsi="Arial" w:cs="Arial"/>
          <w:color w:val="000000" w:themeColor="text1"/>
          <w:sz w:val="22"/>
          <w:szCs w:val="22"/>
        </w:rPr>
        <w:t xml:space="preserve">. Centre for Employment Research, University of Westminster and University of Sheffield. Available at: </w:t>
      </w:r>
      <w:hyperlink r:id="rId42" w:history="1">
        <w:r w:rsidRPr="001D3C4F">
          <w:rPr>
            <w:rStyle w:val="Hyperlink"/>
            <w:rFonts w:ascii="Arial" w:hAnsi="Arial" w:cs="Arial"/>
            <w:color w:val="000000" w:themeColor="text1"/>
            <w:sz w:val="22"/>
            <w:szCs w:val="22"/>
          </w:rPr>
          <w:t>https://www.acas.org.uk/research-and-commentary/workplace-conflict/managing-conflict-at-work/report</w:t>
        </w:r>
      </w:hyperlink>
      <w:r w:rsidRPr="001D3C4F">
        <w:rPr>
          <w:rFonts w:ascii="Arial" w:hAnsi="Arial" w:cs="Arial"/>
          <w:color w:val="000000" w:themeColor="text1"/>
          <w:sz w:val="22"/>
          <w:szCs w:val="22"/>
        </w:rPr>
        <w:t xml:space="preserve"> (Accessed: 3 August 2025).</w:t>
      </w:r>
    </w:p>
    <w:p w14:paraId="74429FBF" w14:textId="188D0E97" w:rsidR="00395D78" w:rsidRPr="00395D78" w:rsidRDefault="00395D78" w:rsidP="00395D78">
      <w:pPr>
        <w:rPr>
          <w:b/>
          <w:bCs/>
          <w:u w:val="single"/>
        </w:rPr>
      </w:pPr>
      <w:r w:rsidRPr="001D3C4F">
        <w:rPr>
          <w:rFonts w:ascii="Arial" w:hAnsi="Arial" w:cs="Arial"/>
          <w:color w:val="000000" w:themeColor="text1"/>
          <w:sz w:val="22"/>
          <w:szCs w:val="22"/>
        </w:rPr>
        <w:t xml:space="preserve">Unison (2025) </w:t>
      </w:r>
      <w:r w:rsidRPr="001D3C4F">
        <w:rPr>
          <w:rFonts w:ascii="Arial" w:hAnsi="Arial" w:cs="Arial"/>
          <w:i/>
          <w:iCs/>
          <w:color w:val="000000" w:themeColor="text1"/>
          <w:sz w:val="22"/>
          <w:szCs w:val="22"/>
        </w:rPr>
        <w:t>Grievances.</w:t>
      </w:r>
      <w:r w:rsidRPr="001D3C4F">
        <w:rPr>
          <w:rFonts w:ascii="Arial" w:hAnsi="Arial" w:cs="Arial"/>
          <w:color w:val="000000" w:themeColor="text1"/>
          <w:sz w:val="22"/>
          <w:szCs w:val="22"/>
        </w:rPr>
        <w:t xml:space="preserve"> Available at:</w:t>
      </w:r>
      <w:r w:rsidRPr="001D3C4F">
        <w:rPr>
          <w:rFonts w:ascii="Arial" w:hAnsi="Arial" w:cs="Arial"/>
          <w:b/>
          <w:bCs/>
          <w:color w:val="000000" w:themeColor="text1"/>
          <w:sz w:val="22"/>
          <w:szCs w:val="22"/>
        </w:rPr>
        <w:t xml:space="preserve"> </w:t>
      </w:r>
      <w:hyperlink r:id="rId43" w:history="1">
        <w:r w:rsidRPr="001D3C4F">
          <w:rPr>
            <w:rStyle w:val="Hyperlink"/>
            <w:rFonts w:ascii="Arial" w:hAnsi="Arial" w:cs="Arial"/>
            <w:color w:val="000000" w:themeColor="text1"/>
            <w:sz w:val="22"/>
            <w:szCs w:val="22"/>
          </w:rPr>
          <w:t>https://www.unison.org.uk/get-help/knowledge/disputes-grievances/grievances/</w:t>
        </w:r>
      </w:hyperlink>
      <w:r w:rsidRPr="001D3C4F">
        <w:rPr>
          <w:rFonts w:ascii="Arial" w:hAnsi="Arial" w:cs="Arial"/>
          <w:color w:val="000000" w:themeColor="text1"/>
          <w:sz w:val="22"/>
          <w:szCs w:val="22"/>
        </w:rPr>
        <w:t xml:space="preserve"> (Accessed: 3 August 2025</w:t>
      </w:r>
    </w:p>
    <w:sectPr w:rsidR="00395D78" w:rsidRPr="00395D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rebuchet MS">
    <w:panose1 w:val="020B0603020202020204"/>
    <w:charset w:val="00"/>
    <w:family w:val="swiss"/>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546872"/>
    <w:multiLevelType w:val="hybridMultilevel"/>
    <w:tmpl w:val="5FC22FA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24075B"/>
    <w:multiLevelType w:val="hybridMultilevel"/>
    <w:tmpl w:val="97B8F99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3400182">
    <w:abstractNumId w:val="0"/>
  </w:num>
  <w:num w:numId="2" w16cid:durableId="479188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48C7"/>
    <w:rsid w:val="00097200"/>
    <w:rsid w:val="00140DB4"/>
    <w:rsid w:val="00202B40"/>
    <w:rsid w:val="0027402F"/>
    <w:rsid w:val="00345FC5"/>
    <w:rsid w:val="00390723"/>
    <w:rsid w:val="00395D78"/>
    <w:rsid w:val="00452D25"/>
    <w:rsid w:val="004B6668"/>
    <w:rsid w:val="006501CD"/>
    <w:rsid w:val="0065618F"/>
    <w:rsid w:val="006A4A01"/>
    <w:rsid w:val="006F4F1B"/>
    <w:rsid w:val="00775E7B"/>
    <w:rsid w:val="0099589E"/>
    <w:rsid w:val="00A53C62"/>
    <w:rsid w:val="00BA10E3"/>
    <w:rsid w:val="00C02180"/>
    <w:rsid w:val="00C848C7"/>
    <w:rsid w:val="00D561E7"/>
    <w:rsid w:val="00D56351"/>
    <w:rsid w:val="00DC1E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6AB6D"/>
  <w15:chartTrackingRefBased/>
  <w15:docId w15:val="{70D915AA-53C7-7643-9818-9280D36EE5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48C7"/>
  </w:style>
  <w:style w:type="paragraph" w:styleId="Heading1">
    <w:name w:val="heading 1"/>
    <w:basedOn w:val="Normal"/>
    <w:next w:val="Normal"/>
    <w:link w:val="Heading1Char"/>
    <w:uiPriority w:val="9"/>
    <w:qFormat/>
    <w:rsid w:val="00C848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848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48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48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48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48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48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48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48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48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848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48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48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48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48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48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48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48C7"/>
    <w:rPr>
      <w:rFonts w:eastAsiaTheme="majorEastAsia" w:cstheme="majorBidi"/>
      <w:color w:val="272727" w:themeColor="text1" w:themeTint="D8"/>
    </w:rPr>
  </w:style>
  <w:style w:type="paragraph" w:styleId="Title">
    <w:name w:val="Title"/>
    <w:basedOn w:val="Normal"/>
    <w:next w:val="Normal"/>
    <w:link w:val="TitleChar"/>
    <w:uiPriority w:val="10"/>
    <w:qFormat/>
    <w:rsid w:val="00C848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48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48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48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48C7"/>
    <w:pPr>
      <w:spacing w:before="160"/>
      <w:jc w:val="center"/>
    </w:pPr>
    <w:rPr>
      <w:i/>
      <w:iCs/>
      <w:color w:val="404040" w:themeColor="text1" w:themeTint="BF"/>
    </w:rPr>
  </w:style>
  <w:style w:type="character" w:customStyle="1" w:styleId="QuoteChar">
    <w:name w:val="Quote Char"/>
    <w:basedOn w:val="DefaultParagraphFont"/>
    <w:link w:val="Quote"/>
    <w:uiPriority w:val="29"/>
    <w:rsid w:val="00C848C7"/>
    <w:rPr>
      <w:i/>
      <w:iCs/>
      <w:color w:val="404040" w:themeColor="text1" w:themeTint="BF"/>
    </w:rPr>
  </w:style>
  <w:style w:type="paragraph" w:styleId="ListParagraph">
    <w:name w:val="List Paragraph"/>
    <w:basedOn w:val="Normal"/>
    <w:qFormat/>
    <w:rsid w:val="00C848C7"/>
    <w:pPr>
      <w:ind w:left="720"/>
      <w:contextualSpacing/>
    </w:pPr>
  </w:style>
  <w:style w:type="character" w:styleId="IntenseEmphasis">
    <w:name w:val="Intense Emphasis"/>
    <w:basedOn w:val="DefaultParagraphFont"/>
    <w:uiPriority w:val="21"/>
    <w:qFormat/>
    <w:rsid w:val="00C848C7"/>
    <w:rPr>
      <w:i/>
      <w:iCs/>
      <w:color w:val="0F4761" w:themeColor="accent1" w:themeShade="BF"/>
    </w:rPr>
  </w:style>
  <w:style w:type="paragraph" w:styleId="IntenseQuote">
    <w:name w:val="Intense Quote"/>
    <w:basedOn w:val="Normal"/>
    <w:next w:val="Normal"/>
    <w:link w:val="IntenseQuoteChar"/>
    <w:uiPriority w:val="30"/>
    <w:qFormat/>
    <w:rsid w:val="00C848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48C7"/>
    <w:rPr>
      <w:i/>
      <w:iCs/>
      <w:color w:val="0F4761" w:themeColor="accent1" w:themeShade="BF"/>
    </w:rPr>
  </w:style>
  <w:style w:type="character" w:styleId="IntenseReference">
    <w:name w:val="Intense Reference"/>
    <w:basedOn w:val="DefaultParagraphFont"/>
    <w:uiPriority w:val="32"/>
    <w:qFormat/>
    <w:rsid w:val="00C848C7"/>
    <w:rPr>
      <w:b/>
      <w:bCs/>
      <w:smallCaps/>
      <w:color w:val="0F4761" w:themeColor="accent1" w:themeShade="BF"/>
      <w:spacing w:val="5"/>
    </w:rPr>
  </w:style>
  <w:style w:type="paragraph" w:customStyle="1" w:styleId="Body">
    <w:name w:val="Body"/>
    <w:rsid w:val="00C848C7"/>
    <w:pPr>
      <w:pBdr>
        <w:top w:val="nil"/>
        <w:left w:val="nil"/>
        <w:bottom w:val="nil"/>
        <w:right w:val="nil"/>
        <w:between w:val="nil"/>
        <w:bar w:val="nil"/>
      </w:pBdr>
      <w:spacing w:after="0" w:line="259" w:lineRule="auto"/>
    </w:pPr>
    <w:rPr>
      <w:rFonts w:ascii="Arial" w:eastAsia="Arial" w:hAnsi="Arial" w:cs="Arial"/>
      <w:color w:val="000000"/>
      <w:kern w:val="0"/>
      <w:sz w:val="22"/>
      <w:szCs w:val="22"/>
      <w:u w:color="000000"/>
      <w:bdr w:val="nil"/>
      <w:lang w:eastAsia="en-GB"/>
      <w14:textOutline w14:w="0" w14:cap="flat" w14:cmpd="sng" w14:algn="ctr">
        <w14:noFill/>
        <w14:prstDash w14:val="solid"/>
        <w14:bevel/>
      </w14:textOutline>
      <w14:ligatures w14:val="none"/>
    </w:rPr>
  </w:style>
  <w:style w:type="character" w:styleId="Hyperlink">
    <w:name w:val="Hyperlink"/>
    <w:basedOn w:val="DefaultParagraphFont"/>
    <w:uiPriority w:val="99"/>
    <w:unhideWhenUsed/>
    <w:rsid w:val="00C848C7"/>
    <w:rPr>
      <w:color w:val="467886" w:themeColor="hyperlink"/>
      <w:u w:val="single"/>
    </w:rPr>
  </w:style>
  <w:style w:type="paragraph" w:customStyle="1" w:styleId="Nornal">
    <w:name w:val="Nornal"/>
    <w:link w:val="NornalChar"/>
    <w:qFormat/>
    <w:rsid w:val="00C848C7"/>
    <w:pPr>
      <w:pBdr>
        <w:top w:val="nil"/>
        <w:left w:val="nil"/>
        <w:bottom w:val="nil"/>
        <w:right w:val="nil"/>
        <w:between w:val="nil"/>
        <w:bar w:val="nil"/>
      </w:pBdr>
      <w:spacing w:line="264" w:lineRule="auto"/>
    </w:pPr>
    <w:rPr>
      <w:rFonts w:ascii="Arial" w:eastAsia="Arial" w:hAnsi="Arial" w:cs="Arial"/>
      <w:color w:val="000000"/>
      <w:kern w:val="0"/>
      <w:sz w:val="22"/>
      <w:szCs w:val="22"/>
      <w:u w:color="000000"/>
      <w:bdr w:val="nil"/>
      <w:lang w:val="en-US" w:eastAsia="en-GB"/>
      <w14:ligatures w14:val="none"/>
    </w:rPr>
  </w:style>
  <w:style w:type="character" w:customStyle="1" w:styleId="NornalChar">
    <w:name w:val="Nornal Char"/>
    <w:basedOn w:val="DefaultParagraphFont"/>
    <w:link w:val="Nornal"/>
    <w:rsid w:val="00C848C7"/>
    <w:rPr>
      <w:rFonts w:ascii="Arial" w:eastAsia="Arial" w:hAnsi="Arial" w:cs="Arial"/>
      <w:color w:val="000000"/>
      <w:kern w:val="0"/>
      <w:sz w:val="22"/>
      <w:szCs w:val="22"/>
      <w:u w:color="000000"/>
      <w:bdr w:val="nil"/>
      <w:lang w:val="en-US" w:eastAsia="en-GB"/>
      <w14:ligatures w14:val="none"/>
    </w:rPr>
  </w:style>
  <w:style w:type="table" w:styleId="TableGrid">
    <w:name w:val="Table Grid"/>
    <w:basedOn w:val="TableNormal"/>
    <w:uiPriority w:val="39"/>
    <w:rsid w:val="002740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27402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1105926">
      <w:bodyDiv w:val="1"/>
      <w:marLeft w:val="0"/>
      <w:marRight w:val="0"/>
      <w:marTop w:val="0"/>
      <w:marBottom w:val="0"/>
      <w:divBdr>
        <w:top w:val="none" w:sz="0" w:space="0" w:color="auto"/>
        <w:left w:val="none" w:sz="0" w:space="0" w:color="auto"/>
        <w:bottom w:val="none" w:sz="0" w:space="0" w:color="auto"/>
        <w:right w:val="none" w:sz="0" w:space="0" w:color="auto"/>
      </w:divBdr>
      <w:divsChild>
        <w:div w:id="917327674">
          <w:marLeft w:val="0"/>
          <w:marRight w:val="0"/>
          <w:marTop w:val="0"/>
          <w:marBottom w:val="0"/>
          <w:divBdr>
            <w:top w:val="none" w:sz="0" w:space="0" w:color="auto"/>
            <w:left w:val="none" w:sz="0" w:space="0" w:color="auto"/>
            <w:bottom w:val="none" w:sz="0" w:space="0" w:color="auto"/>
            <w:right w:val="none" w:sz="0" w:space="0" w:color="auto"/>
          </w:divBdr>
          <w:divsChild>
            <w:div w:id="1921715095">
              <w:marLeft w:val="0"/>
              <w:marRight w:val="0"/>
              <w:marTop w:val="0"/>
              <w:marBottom w:val="0"/>
              <w:divBdr>
                <w:top w:val="none" w:sz="0" w:space="0" w:color="auto"/>
                <w:left w:val="none" w:sz="0" w:space="0" w:color="auto"/>
                <w:bottom w:val="none" w:sz="0" w:space="0" w:color="auto"/>
                <w:right w:val="none" w:sz="0" w:space="0" w:color="auto"/>
              </w:divBdr>
              <w:divsChild>
                <w:div w:id="243343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3237936">
      <w:bodyDiv w:val="1"/>
      <w:marLeft w:val="0"/>
      <w:marRight w:val="0"/>
      <w:marTop w:val="0"/>
      <w:marBottom w:val="0"/>
      <w:divBdr>
        <w:top w:val="none" w:sz="0" w:space="0" w:color="auto"/>
        <w:left w:val="none" w:sz="0" w:space="0" w:color="auto"/>
        <w:bottom w:val="none" w:sz="0" w:space="0" w:color="auto"/>
        <w:right w:val="none" w:sz="0" w:space="0" w:color="auto"/>
      </w:divBdr>
      <w:divsChild>
        <w:div w:id="90247647">
          <w:marLeft w:val="0"/>
          <w:marRight w:val="0"/>
          <w:marTop w:val="0"/>
          <w:marBottom w:val="0"/>
          <w:divBdr>
            <w:top w:val="none" w:sz="0" w:space="0" w:color="auto"/>
            <w:left w:val="none" w:sz="0" w:space="0" w:color="auto"/>
            <w:bottom w:val="none" w:sz="0" w:space="0" w:color="auto"/>
            <w:right w:val="none" w:sz="0" w:space="0" w:color="auto"/>
          </w:divBdr>
          <w:divsChild>
            <w:div w:id="393624330">
              <w:marLeft w:val="0"/>
              <w:marRight w:val="0"/>
              <w:marTop w:val="0"/>
              <w:marBottom w:val="0"/>
              <w:divBdr>
                <w:top w:val="none" w:sz="0" w:space="0" w:color="auto"/>
                <w:left w:val="none" w:sz="0" w:space="0" w:color="auto"/>
                <w:bottom w:val="none" w:sz="0" w:space="0" w:color="auto"/>
                <w:right w:val="none" w:sz="0" w:space="0" w:color="auto"/>
              </w:divBdr>
              <w:divsChild>
                <w:div w:id="546836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458270">
      <w:bodyDiv w:val="1"/>
      <w:marLeft w:val="0"/>
      <w:marRight w:val="0"/>
      <w:marTop w:val="0"/>
      <w:marBottom w:val="0"/>
      <w:divBdr>
        <w:top w:val="none" w:sz="0" w:space="0" w:color="auto"/>
        <w:left w:val="none" w:sz="0" w:space="0" w:color="auto"/>
        <w:bottom w:val="none" w:sz="0" w:space="0" w:color="auto"/>
        <w:right w:val="none" w:sz="0" w:space="0" w:color="auto"/>
      </w:divBdr>
      <w:divsChild>
        <w:div w:id="1593011212">
          <w:marLeft w:val="0"/>
          <w:marRight w:val="0"/>
          <w:marTop w:val="0"/>
          <w:marBottom w:val="0"/>
          <w:divBdr>
            <w:top w:val="none" w:sz="0" w:space="0" w:color="auto"/>
            <w:left w:val="none" w:sz="0" w:space="0" w:color="auto"/>
            <w:bottom w:val="none" w:sz="0" w:space="0" w:color="auto"/>
            <w:right w:val="none" w:sz="0" w:space="0" w:color="auto"/>
          </w:divBdr>
          <w:divsChild>
            <w:div w:id="1357924910">
              <w:marLeft w:val="0"/>
              <w:marRight w:val="0"/>
              <w:marTop w:val="0"/>
              <w:marBottom w:val="0"/>
              <w:divBdr>
                <w:top w:val="none" w:sz="0" w:space="0" w:color="auto"/>
                <w:left w:val="none" w:sz="0" w:space="0" w:color="auto"/>
                <w:bottom w:val="none" w:sz="0" w:space="0" w:color="auto"/>
                <w:right w:val="none" w:sz="0" w:space="0" w:color="auto"/>
              </w:divBdr>
              <w:divsChild>
                <w:div w:id="1584954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7144683">
      <w:bodyDiv w:val="1"/>
      <w:marLeft w:val="0"/>
      <w:marRight w:val="0"/>
      <w:marTop w:val="0"/>
      <w:marBottom w:val="0"/>
      <w:divBdr>
        <w:top w:val="none" w:sz="0" w:space="0" w:color="auto"/>
        <w:left w:val="none" w:sz="0" w:space="0" w:color="auto"/>
        <w:bottom w:val="none" w:sz="0" w:space="0" w:color="auto"/>
        <w:right w:val="none" w:sz="0" w:space="0" w:color="auto"/>
      </w:divBdr>
      <w:divsChild>
        <w:div w:id="901133824">
          <w:marLeft w:val="0"/>
          <w:marRight w:val="0"/>
          <w:marTop w:val="0"/>
          <w:marBottom w:val="0"/>
          <w:divBdr>
            <w:top w:val="none" w:sz="0" w:space="0" w:color="auto"/>
            <w:left w:val="none" w:sz="0" w:space="0" w:color="auto"/>
            <w:bottom w:val="none" w:sz="0" w:space="0" w:color="auto"/>
            <w:right w:val="none" w:sz="0" w:space="0" w:color="auto"/>
          </w:divBdr>
          <w:divsChild>
            <w:div w:id="1796169936">
              <w:marLeft w:val="0"/>
              <w:marRight w:val="0"/>
              <w:marTop w:val="0"/>
              <w:marBottom w:val="0"/>
              <w:divBdr>
                <w:top w:val="none" w:sz="0" w:space="0" w:color="auto"/>
                <w:left w:val="none" w:sz="0" w:space="0" w:color="auto"/>
                <w:bottom w:val="none" w:sz="0" w:space="0" w:color="auto"/>
                <w:right w:val="none" w:sz="0" w:space="0" w:color="auto"/>
              </w:divBdr>
              <w:divsChild>
                <w:div w:id="1759519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globalassets/media/knowledge/knowledge-hub/reports/managing-conflict-in-the-workplace-2_tcm18-70655.pdf" TargetMode="External"/><Relationship Id="rId18" Type="http://schemas.openxmlformats.org/officeDocument/2006/relationships/hyperlink" Target="https://www.cipd.org/uk/knowledge/reports/bullying-harassment/" TargetMode="External"/><Relationship Id="rId26" Type="http://schemas.openxmlformats.org/officeDocument/2006/relationships/hyperlink" Target="https://civilmediation.org/features-of-mediation/" TargetMode="External"/><Relationship Id="rId39" Type="http://schemas.openxmlformats.org/officeDocument/2006/relationships/hyperlink" Target="https://www.ipa-involve.com/news/future-generations-report-2025-10-years-since-the-act-what-role-can-the-workforce-play-in-delivering-wellbeing-for-wales" TargetMode="External"/><Relationship Id="rId21" Type="http://schemas.openxmlformats.org/officeDocument/2006/relationships/hyperlink" Target="https://www.cipd.org/uk/knowledge/factsheets/engagement-factsheet/" TargetMode="External"/><Relationship Id="rId34" Type="http://schemas.openxmlformats.org/officeDocument/2006/relationships/hyperlink" Target="https://www.lra.org.uk/sites/default/files/2024-02/Advice%20on%20Non-union%20Representation%20in%20the%20Workplace.pdf" TargetMode="External"/><Relationship Id="rId42" Type="http://schemas.openxmlformats.org/officeDocument/2006/relationships/hyperlink" Target="https://www.acas.org.uk/research-and-commentary/workplace-conflict/managing-conflict-at-work/report" TargetMode="External"/><Relationship Id="rId7" Type="http://schemas.openxmlformats.org/officeDocument/2006/relationships/hyperlink" Target="https://www.acas.org.uk/arbitration" TargetMode="External"/><Relationship Id="rId2" Type="http://schemas.openxmlformats.org/officeDocument/2006/relationships/numbering" Target="numbering.xml"/><Relationship Id="rId16" Type="http://schemas.openxmlformats.org/officeDocument/2006/relationships/hyperlink" Target="https://www.cipd.org/globalassets/media/knowledge/knowledge-hub/reports/2024-pdfs/8625-good-work-index-2024-survey-report-1-web.pdf" TargetMode="External"/><Relationship Id="rId29" Type="http://schemas.openxmlformats.org/officeDocument/2006/relationships/hyperlink" Target="https://blog.growthinstitute.com/great-game-business/employee-involvement-business-growth" TargetMode="External"/><Relationship Id="rId1" Type="http://schemas.openxmlformats.org/officeDocument/2006/relationships/customXml" Target="../customXml/item1.xml"/><Relationship Id="rId6" Type="http://schemas.openxmlformats.org/officeDocument/2006/relationships/hyperlink" Target="https://onlinelibrary.wiley.com/doi/10.1111/1468-4446.13069" TargetMode="External"/><Relationship Id="rId11" Type="http://schemas.openxmlformats.org/officeDocument/2006/relationships/hyperlink" Target="https://www.acas.org.uk/dismissals/unfair-dismissal" TargetMode="External"/><Relationship Id="rId24" Type="http://schemas.openxmlformats.org/officeDocument/2006/relationships/hyperlink" Target="https://www.cipd.org/uk/knowledge/factsheets/trade-unions-factsheet/" TargetMode="External"/><Relationship Id="rId32" Type="http://schemas.openxmlformats.org/officeDocument/2006/relationships/hyperlink" Target="https://www.ipa-involve.com/employee-voice" TargetMode="External"/><Relationship Id="rId37" Type="http://schemas.openxmlformats.org/officeDocument/2006/relationships/hyperlink" Target="https://mdujournal.themdu.com/issue-archive/autumn-2023/resolving-workplace-grievances-effectively" TargetMode="External"/><Relationship Id="rId40" Type="http://schemas.openxmlformats.org/officeDocument/2006/relationships/hyperlink" Target="https://www.personneltoday.com/hr/employee-grievances-rise-xperthr/"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ipd.org/uk/knowledge/factsheets/relations-employees-factsheet/" TargetMode="External"/><Relationship Id="rId23" Type="http://schemas.openxmlformats.org/officeDocument/2006/relationships/hyperlink" Target="https://www.cipd.org/uk/knowledge/factsheets/voice-factsheet/" TargetMode="External"/><Relationship Id="rId28" Type="http://schemas.openxmlformats.org/officeDocument/2006/relationships/hyperlink" Target="https://www.gov.uk/solve-workplace-dispute/mediation-%20conciliation-and-arbitration" TargetMode="External"/><Relationship Id="rId36" Type="http://schemas.openxmlformats.org/officeDocument/2006/relationships/hyperlink" Target="https://www.lrd.org.uk/free-read/whats-behind-official-strike-statistics" TargetMode="External"/><Relationship Id="rId10" Type="http://schemas.openxmlformats.org/officeDocument/2006/relationships/hyperlink" Target="https://www.acas.org.uk/mediation" TargetMode="External"/><Relationship Id="rId19" Type="http://schemas.openxmlformats.org/officeDocument/2006/relationships/hyperlink" Target="https://www.cipd.org/uk/knowledge/reports/goodwork/" TargetMode="External"/><Relationship Id="rId31" Type="http://schemas.openxmlformats.org/officeDocument/2006/relationships/hyperlink" Target="https://www.iod.com/resources/business-advice/conflict-management/"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cas.org.uk/capability-procedures" TargetMode="External"/><Relationship Id="rId14" Type="http://schemas.openxmlformats.org/officeDocument/2006/relationships/hyperlink" Target="https://www.cipd.org/uk/views-and-insights/thought-leadership/people-profession/employee-voice/" TargetMode="External"/><Relationship Id="rId22" Type="http://schemas.openxmlformats.org/officeDocument/2006/relationships/hyperlink" Target="https://www.cipd.org/uk/knowledge/factsheets/relations-employees-factsheet/" TargetMode="External"/><Relationship Id="rId27" Type="http://schemas.openxmlformats.org/officeDocument/2006/relationships/hyperlink" Target="https://www.gov.uk/dismissal/reasons-you-can-be-dismissed" TargetMode="External"/><Relationship Id="rId30" Type="http://schemas.openxmlformats.org/officeDocument/2006/relationships/hyperlink" Target="https://questions-statements.parliament.uk/written-statements/detail/2024-09-09/hcws75" TargetMode="External"/><Relationship Id="rId35" Type="http://schemas.openxmlformats.org/officeDocument/2006/relationships/hyperlink" Target="https://www.lrd.org.uk/" TargetMode="External"/><Relationship Id="rId43" Type="http://schemas.openxmlformats.org/officeDocument/2006/relationships/hyperlink" Target="https://www.unison.org.uk/get-help/knowledge/disputes-grievances/grievances/" TargetMode="External"/><Relationship Id="rId8" Type="http://schemas.openxmlformats.org/officeDocument/2006/relationships/hyperlink" Target="https://www.acas.org.uk/collective-conciliation" TargetMode="External"/><Relationship Id="rId3" Type="http://schemas.openxmlformats.org/officeDocument/2006/relationships/styles" Target="styles.xml"/><Relationship Id="rId12" Type="http://schemas.openxmlformats.org/officeDocument/2006/relationships/hyperlink" Target="https://www.acas.org.uk/disciplinary-procedure-step-by-step" TargetMode="External"/><Relationship Id="rId17" Type="http://schemas.openxmlformats.org/officeDocument/2006/relationships/hyperlink" Target="https://www.cipd.org/uk/knowledge/factsheets/discipline-factsheet/" TargetMode="External"/><Relationship Id="rId25" Type="http://schemas.openxmlformats.org/officeDocument/2006/relationships/hyperlink" Target="https://civilmediation.org/workplace-mediation/" TargetMode="External"/><Relationship Id="rId33" Type="http://schemas.openxmlformats.org/officeDocument/2006/relationships/hyperlink" Target="https://www.ipa-involve.com/engagement" TargetMode="External"/><Relationship Id="rId38" Type="http://schemas.openxmlformats.org/officeDocument/2006/relationships/hyperlink" Target="https://notesfrombelow.org/article/welcome-future" TargetMode="External"/><Relationship Id="rId20" Type="http://schemas.openxmlformats.org/officeDocument/2006/relationships/hyperlink" Target="https://www.cipd.org/uk/views-and-insights/cipd-viewpoint/" TargetMode="External"/><Relationship Id="rId41" Type="http://schemas.openxmlformats.org/officeDocument/2006/relationships/hyperlink" Target="https://smallbusiness.chron.com/difference-between-employee-participation-employee-involvement-13013.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FAAA65-D95D-2A40-921A-BE379651B4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12</Pages>
  <Words>5030</Words>
  <Characters>29028</Characters>
  <Application>Microsoft Office Word</Application>
  <DocSecurity>0</DocSecurity>
  <Lines>708</Lines>
  <Paragraphs>181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Freeman (0901678)</dc:creator>
  <cp:keywords/>
  <dc:description/>
  <cp:lastModifiedBy>Alice Freeman (0901678)</cp:lastModifiedBy>
  <cp:revision>19</cp:revision>
  <dcterms:created xsi:type="dcterms:W3CDTF">2025-08-04T16:11:00Z</dcterms:created>
  <dcterms:modified xsi:type="dcterms:W3CDTF">2025-08-04T22:52:00Z</dcterms:modified>
</cp:coreProperties>
</file>