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AF79B3" w14:textId="0974BDC6" w:rsidR="00414931" w:rsidRDefault="00A04454" w:rsidP="00385BE1">
      <w:pPr>
        <w:spacing w:line="360" w:lineRule="auto"/>
        <w:jc w:val="center"/>
        <w:rPr>
          <w:rFonts w:ascii="Arial" w:hAnsi="Arial" w:cs="Arial"/>
          <w:b/>
          <w:bCs/>
        </w:rPr>
      </w:pPr>
      <w:r w:rsidRPr="002558C0">
        <w:rPr>
          <w:rFonts w:ascii="Arial" w:hAnsi="Arial" w:cs="Arial"/>
          <w:noProof/>
        </w:rPr>
        <w:drawing>
          <wp:inline distT="0" distB="0" distL="0" distR="0" wp14:anchorId="5EA10ED9" wp14:editId="63C38454">
            <wp:extent cx="3726180" cy="1409700"/>
            <wp:effectExtent l="0" t="0" r="7620" b="0"/>
            <wp:docPr id="7772488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26180" cy="1409700"/>
                    </a:xfrm>
                    <a:prstGeom prst="rect">
                      <a:avLst/>
                    </a:prstGeom>
                    <a:noFill/>
                    <a:ln>
                      <a:noFill/>
                    </a:ln>
                  </pic:spPr>
                </pic:pic>
              </a:graphicData>
            </a:graphic>
          </wp:inline>
        </w:drawing>
      </w:r>
    </w:p>
    <w:p w14:paraId="77233D55" w14:textId="77777777" w:rsidR="00414931" w:rsidRDefault="00414931" w:rsidP="00385BE1">
      <w:pPr>
        <w:spacing w:line="360" w:lineRule="auto"/>
        <w:jc w:val="center"/>
        <w:rPr>
          <w:rFonts w:ascii="Arial" w:hAnsi="Arial" w:cs="Arial"/>
          <w:b/>
          <w:bCs/>
        </w:rPr>
      </w:pPr>
    </w:p>
    <w:p w14:paraId="5197DB67" w14:textId="52DCAE9A" w:rsidR="00385BE1" w:rsidRPr="002558C0" w:rsidRDefault="00385BE1" w:rsidP="00385BE1">
      <w:pPr>
        <w:spacing w:line="360" w:lineRule="auto"/>
        <w:jc w:val="center"/>
        <w:rPr>
          <w:rFonts w:ascii="Arial" w:hAnsi="Arial" w:cs="Arial"/>
          <w:b/>
          <w:bCs/>
        </w:rPr>
      </w:pPr>
      <w:r w:rsidRPr="002558C0">
        <w:rPr>
          <w:rFonts w:ascii="Arial" w:hAnsi="Arial" w:cs="Arial"/>
          <w:b/>
          <w:bCs/>
        </w:rPr>
        <w:t>Programme Name: - Master of Business Administration</w:t>
      </w:r>
    </w:p>
    <w:p w14:paraId="49C8EFB6" w14:textId="77777777" w:rsidR="00385BE1" w:rsidRPr="002558C0" w:rsidRDefault="00385BE1" w:rsidP="00385BE1">
      <w:pPr>
        <w:spacing w:line="360" w:lineRule="auto"/>
        <w:jc w:val="center"/>
        <w:rPr>
          <w:rFonts w:ascii="Arial" w:hAnsi="Arial" w:cs="Arial"/>
          <w:b/>
          <w:bCs/>
        </w:rPr>
      </w:pPr>
      <w:r w:rsidRPr="002558C0">
        <w:rPr>
          <w:rFonts w:ascii="Arial" w:hAnsi="Arial" w:cs="Arial"/>
          <w:b/>
          <w:bCs/>
        </w:rPr>
        <w:t>Module Name: - International Business Concepts</w:t>
      </w:r>
    </w:p>
    <w:p w14:paraId="3CA0E52C" w14:textId="77777777" w:rsidR="00385BE1" w:rsidRPr="002558C0" w:rsidRDefault="00385BE1" w:rsidP="00385BE1">
      <w:pPr>
        <w:spacing w:line="360" w:lineRule="auto"/>
        <w:jc w:val="center"/>
        <w:rPr>
          <w:rFonts w:ascii="Arial" w:hAnsi="Arial" w:cs="Arial"/>
          <w:b/>
          <w:bCs/>
        </w:rPr>
      </w:pPr>
      <w:r w:rsidRPr="002558C0">
        <w:rPr>
          <w:rFonts w:ascii="Arial" w:hAnsi="Arial" w:cs="Arial"/>
          <w:b/>
          <w:bCs/>
        </w:rPr>
        <w:t>Module Code: - LCMB7034</w:t>
      </w:r>
    </w:p>
    <w:p w14:paraId="03848A7A" w14:textId="77777777" w:rsidR="00385BE1" w:rsidRPr="002558C0" w:rsidRDefault="00385BE1" w:rsidP="00385BE1">
      <w:pPr>
        <w:spacing w:line="360" w:lineRule="auto"/>
        <w:jc w:val="center"/>
        <w:rPr>
          <w:rFonts w:ascii="Arial" w:hAnsi="Arial" w:cs="Arial"/>
          <w:b/>
          <w:bCs/>
        </w:rPr>
      </w:pPr>
      <w:r w:rsidRPr="002558C0">
        <w:rPr>
          <w:rFonts w:ascii="Arial" w:hAnsi="Arial" w:cs="Arial"/>
          <w:b/>
          <w:bCs/>
        </w:rPr>
        <w:t>Assignment Title: Report</w:t>
      </w:r>
    </w:p>
    <w:p w14:paraId="0EC1145C" w14:textId="77777777" w:rsidR="00385BE1" w:rsidRPr="002558C0" w:rsidRDefault="00385BE1" w:rsidP="00385BE1">
      <w:pPr>
        <w:spacing w:line="360" w:lineRule="auto"/>
        <w:jc w:val="center"/>
        <w:rPr>
          <w:rFonts w:ascii="Arial" w:hAnsi="Arial" w:cs="Arial"/>
          <w:b/>
          <w:bCs/>
        </w:rPr>
      </w:pPr>
      <w:r w:rsidRPr="002558C0">
        <w:rPr>
          <w:rFonts w:ascii="Arial" w:hAnsi="Arial" w:cs="Arial"/>
          <w:b/>
          <w:bCs/>
        </w:rPr>
        <w:t>Lecturer’s Name: - Akshay Narayanan</w:t>
      </w:r>
    </w:p>
    <w:p w14:paraId="2036BD14" w14:textId="45459742" w:rsidR="00385BE1" w:rsidRPr="002558C0" w:rsidRDefault="00385BE1" w:rsidP="00385BE1">
      <w:pPr>
        <w:spacing w:line="360" w:lineRule="auto"/>
        <w:jc w:val="center"/>
        <w:rPr>
          <w:rFonts w:ascii="Arial" w:hAnsi="Arial" w:cs="Arial"/>
          <w:b/>
          <w:bCs/>
        </w:rPr>
      </w:pPr>
      <w:r w:rsidRPr="002558C0">
        <w:rPr>
          <w:rFonts w:ascii="Arial" w:hAnsi="Arial" w:cs="Arial"/>
          <w:b/>
          <w:bCs/>
        </w:rPr>
        <w:t xml:space="preserve">Student Name: - </w:t>
      </w:r>
      <w:r w:rsidR="006B22B7">
        <w:rPr>
          <w:rFonts w:ascii="Arial" w:hAnsi="Arial" w:cs="Arial"/>
          <w:b/>
          <w:bCs/>
        </w:rPr>
        <w:t xml:space="preserve">Krisha </w:t>
      </w:r>
      <w:r w:rsidR="00651801">
        <w:rPr>
          <w:rFonts w:ascii="Arial" w:hAnsi="Arial" w:cs="Arial"/>
          <w:b/>
          <w:bCs/>
        </w:rPr>
        <w:t>Rajeshbhai</w:t>
      </w:r>
      <w:r w:rsidR="00480E08">
        <w:rPr>
          <w:rFonts w:ascii="Arial" w:hAnsi="Arial" w:cs="Arial"/>
          <w:b/>
          <w:bCs/>
        </w:rPr>
        <w:t xml:space="preserve"> </w:t>
      </w:r>
      <w:proofErr w:type="spellStart"/>
      <w:r w:rsidR="00480E08">
        <w:rPr>
          <w:rFonts w:ascii="Arial" w:hAnsi="Arial" w:cs="Arial"/>
          <w:b/>
          <w:bCs/>
        </w:rPr>
        <w:t>Navapara</w:t>
      </w:r>
      <w:proofErr w:type="spellEnd"/>
    </w:p>
    <w:p w14:paraId="6F006FD2" w14:textId="789FC88F" w:rsidR="00385BE1" w:rsidRPr="002558C0" w:rsidRDefault="00385BE1" w:rsidP="00385BE1">
      <w:pPr>
        <w:spacing w:line="360" w:lineRule="auto"/>
        <w:jc w:val="center"/>
        <w:rPr>
          <w:rFonts w:ascii="Arial" w:hAnsi="Arial" w:cs="Arial"/>
          <w:b/>
          <w:bCs/>
        </w:rPr>
      </w:pPr>
      <w:r w:rsidRPr="002558C0">
        <w:rPr>
          <w:rFonts w:ascii="Arial" w:hAnsi="Arial" w:cs="Arial"/>
          <w:b/>
          <w:bCs/>
        </w:rPr>
        <w:t xml:space="preserve">Student Id: - </w:t>
      </w:r>
      <w:r w:rsidR="00480E08">
        <w:rPr>
          <w:rFonts w:ascii="Arial" w:hAnsi="Arial" w:cs="Arial"/>
          <w:b/>
          <w:bCs/>
        </w:rPr>
        <w:t>243</w:t>
      </w:r>
      <w:r w:rsidR="00B25C4A">
        <w:rPr>
          <w:rFonts w:ascii="Arial" w:hAnsi="Arial" w:cs="Arial"/>
          <w:b/>
          <w:bCs/>
        </w:rPr>
        <w:t>1955</w:t>
      </w:r>
    </w:p>
    <w:p w14:paraId="7ECEB708" w14:textId="08FF44FB" w:rsidR="00385BE1" w:rsidRPr="002558C0" w:rsidRDefault="00385BE1" w:rsidP="00385BE1">
      <w:pPr>
        <w:spacing w:line="360" w:lineRule="auto"/>
        <w:jc w:val="center"/>
        <w:rPr>
          <w:rFonts w:ascii="Arial" w:hAnsi="Arial" w:cs="Arial"/>
          <w:b/>
          <w:bCs/>
        </w:rPr>
      </w:pPr>
      <w:r w:rsidRPr="002558C0">
        <w:rPr>
          <w:rFonts w:ascii="Arial" w:hAnsi="Arial" w:cs="Arial"/>
          <w:b/>
          <w:bCs/>
        </w:rPr>
        <w:t>Word count: -</w:t>
      </w:r>
      <w:r>
        <w:rPr>
          <w:rFonts w:ascii="Arial" w:hAnsi="Arial" w:cs="Arial"/>
          <w:b/>
          <w:bCs/>
        </w:rPr>
        <w:t xml:space="preserve"> </w:t>
      </w:r>
      <w:r w:rsidRPr="00A104B0">
        <w:rPr>
          <w:rFonts w:ascii="Arial" w:hAnsi="Arial" w:cs="Arial"/>
          <w:b/>
          <w:bCs/>
        </w:rPr>
        <w:t>5,</w:t>
      </w:r>
      <w:r w:rsidR="00B76330">
        <w:rPr>
          <w:rFonts w:ascii="Arial" w:hAnsi="Arial" w:cs="Arial"/>
          <w:b/>
          <w:bCs/>
        </w:rPr>
        <w:t>1</w:t>
      </w:r>
      <w:r w:rsidR="00A20EE1">
        <w:rPr>
          <w:rFonts w:ascii="Arial" w:hAnsi="Arial" w:cs="Arial"/>
          <w:b/>
          <w:bCs/>
        </w:rPr>
        <w:t>91</w:t>
      </w:r>
    </w:p>
    <w:p w14:paraId="5B50B5E6" w14:textId="77777777" w:rsidR="00385BE1" w:rsidRDefault="00385BE1" w:rsidP="00385BE1">
      <w:pPr>
        <w:spacing w:line="360" w:lineRule="auto"/>
        <w:jc w:val="center"/>
        <w:rPr>
          <w:rFonts w:ascii="Arial" w:hAnsi="Arial" w:cs="Arial"/>
          <w:b/>
          <w:bCs/>
        </w:rPr>
      </w:pPr>
      <w:r w:rsidRPr="002558C0">
        <w:rPr>
          <w:rFonts w:ascii="Arial" w:hAnsi="Arial" w:cs="Arial"/>
          <w:b/>
          <w:bCs/>
        </w:rPr>
        <w:t>Submission Date: - Friday 20/03/2026 by 2pm</w:t>
      </w:r>
    </w:p>
    <w:p w14:paraId="425F2C78" w14:textId="77777777" w:rsidR="00385BE1" w:rsidRDefault="00385BE1" w:rsidP="00385BE1">
      <w:pPr>
        <w:spacing w:line="360" w:lineRule="auto"/>
        <w:jc w:val="center"/>
        <w:rPr>
          <w:rFonts w:ascii="Arial" w:hAnsi="Arial" w:cs="Arial"/>
          <w:b/>
          <w:bCs/>
        </w:rPr>
      </w:pPr>
    </w:p>
    <w:p w14:paraId="1B69FE00" w14:textId="77777777" w:rsidR="00AD27F0" w:rsidRDefault="00AD27F0" w:rsidP="00E24ACA">
      <w:pPr>
        <w:spacing w:line="360" w:lineRule="auto"/>
        <w:jc w:val="center"/>
        <w:rPr>
          <w:rFonts w:ascii="Arial" w:hAnsi="Arial" w:cs="Arial"/>
          <w:b/>
          <w:bCs/>
        </w:rPr>
      </w:pPr>
    </w:p>
    <w:p w14:paraId="1A124EBC" w14:textId="77777777" w:rsidR="00AD27F0" w:rsidRDefault="00AD27F0" w:rsidP="00E24ACA">
      <w:pPr>
        <w:spacing w:line="360" w:lineRule="auto"/>
        <w:jc w:val="center"/>
        <w:rPr>
          <w:rFonts w:ascii="Arial" w:hAnsi="Arial" w:cs="Arial"/>
          <w:b/>
          <w:bCs/>
        </w:rPr>
      </w:pPr>
    </w:p>
    <w:p w14:paraId="3C850B64" w14:textId="77777777" w:rsidR="00AD27F0" w:rsidRDefault="00AD27F0" w:rsidP="00E24ACA">
      <w:pPr>
        <w:spacing w:line="360" w:lineRule="auto"/>
        <w:jc w:val="center"/>
        <w:rPr>
          <w:rFonts w:ascii="Arial" w:hAnsi="Arial" w:cs="Arial"/>
          <w:b/>
          <w:bCs/>
        </w:rPr>
      </w:pPr>
    </w:p>
    <w:p w14:paraId="055E08C4" w14:textId="77777777" w:rsidR="00AD27F0" w:rsidRDefault="00AD27F0" w:rsidP="00E24ACA">
      <w:pPr>
        <w:spacing w:line="360" w:lineRule="auto"/>
        <w:jc w:val="center"/>
        <w:rPr>
          <w:rFonts w:ascii="Arial" w:hAnsi="Arial" w:cs="Arial"/>
          <w:b/>
          <w:bCs/>
        </w:rPr>
      </w:pPr>
    </w:p>
    <w:p w14:paraId="5475A442" w14:textId="77777777" w:rsidR="00AD27F0" w:rsidRDefault="00AD27F0" w:rsidP="00E24ACA">
      <w:pPr>
        <w:spacing w:line="360" w:lineRule="auto"/>
        <w:jc w:val="center"/>
        <w:rPr>
          <w:rFonts w:ascii="Arial" w:hAnsi="Arial" w:cs="Arial"/>
          <w:b/>
          <w:bCs/>
        </w:rPr>
      </w:pPr>
    </w:p>
    <w:p w14:paraId="5BEB2E32" w14:textId="77777777" w:rsidR="00AD27F0" w:rsidRDefault="00AD27F0" w:rsidP="00E24ACA">
      <w:pPr>
        <w:spacing w:line="360" w:lineRule="auto"/>
        <w:jc w:val="center"/>
        <w:rPr>
          <w:rFonts w:ascii="Arial" w:hAnsi="Arial" w:cs="Arial"/>
          <w:b/>
          <w:bCs/>
        </w:rPr>
      </w:pPr>
    </w:p>
    <w:p w14:paraId="620D5EDB" w14:textId="03830579" w:rsidR="00D4276A" w:rsidRPr="00913D2B" w:rsidRDefault="00D4276A" w:rsidP="00E24ACA">
      <w:pPr>
        <w:spacing w:line="360" w:lineRule="auto"/>
        <w:jc w:val="center"/>
        <w:rPr>
          <w:rFonts w:ascii="Arial" w:hAnsi="Arial" w:cs="Arial"/>
          <w:b/>
          <w:bCs/>
        </w:rPr>
      </w:pPr>
      <w:r w:rsidRPr="00913D2B">
        <w:rPr>
          <w:rFonts w:ascii="Arial" w:hAnsi="Arial" w:cs="Arial"/>
          <w:b/>
          <w:bCs/>
        </w:rPr>
        <w:t xml:space="preserve"> </w:t>
      </w:r>
    </w:p>
    <w:p w14:paraId="35FCDFB6" w14:textId="77777777" w:rsidR="00D4276A" w:rsidRPr="00913D2B" w:rsidRDefault="00D4276A" w:rsidP="00E24ACA">
      <w:pPr>
        <w:spacing w:line="360" w:lineRule="auto"/>
        <w:jc w:val="center"/>
        <w:rPr>
          <w:rFonts w:ascii="Arial" w:hAnsi="Arial" w:cs="Arial"/>
        </w:rPr>
      </w:pPr>
    </w:p>
    <w:sdt>
      <w:sdtPr>
        <w:rPr>
          <w:rFonts w:ascii="Arial" w:eastAsiaTheme="minorHAnsi" w:hAnsi="Arial" w:cs="Arial"/>
          <w:b/>
          <w:bCs/>
          <w:color w:val="000000" w:themeColor="text1"/>
          <w:kern w:val="2"/>
          <w:sz w:val="24"/>
          <w:szCs w:val="24"/>
          <w:lang w:val="en-GB" w:eastAsia="en-US"/>
          <w14:ligatures w14:val="standardContextual"/>
        </w:rPr>
        <w:id w:val="-1150277080"/>
        <w:docPartObj>
          <w:docPartGallery w:val="Table of Contents"/>
          <w:docPartUnique/>
        </w:docPartObj>
      </w:sdtPr>
      <w:sdtEndPr>
        <w:rPr>
          <w:rFonts w:asciiTheme="minorHAnsi" w:hAnsiTheme="minorHAnsi" w:cstheme="minorBidi"/>
          <w:color w:val="auto"/>
        </w:rPr>
      </w:sdtEndPr>
      <w:sdtContent>
        <w:p w14:paraId="4999E0C8" w14:textId="589EC357" w:rsidR="0017526D" w:rsidRDefault="0017526D" w:rsidP="0017526D">
          <w:pPr>
            <w:pStyle w:val="TOCHeading"/>
            <w:jc w:val="center"/>
            <w:rPr>
              <w:rFonts w:ascii="Arial" w:hAnsi="Arial" w:cs="Arial"/>
              <w:b/>
              <w:bCs/>
              <w:color w:val="000000" w:themeColor="text1"/>
              <w:sz w:val="24"/>
              <w:szCs w:val="24"/>
              <w:lang w:val="en-GB"/>
            </w:rPr>
          </w:pPr>
          <w:r w:rsidRPr="0017526D">
            <w:rPr>
              <w:rFonts w:ascii="Arial" w:hAnsi="Arial" w:cs="Arial"/>
              <w:b/>
              <w:bCs/>
              <w:color w:val="000000" w:themeColor="text1"/>
              <w:sz w:val="24"/>
              <w:szCs w:val="24"/>
              <w:lang w:val="en-GB"/>
            </w:rPr>
            <w:t>Table of Contents</w:t>
          </w:r>
        </w:p>
        <w:p w14:paraId="2DC0A418" w14:textId="77777777" w:rsidR="0017526D" w:rsidRPr="0017526D" w:rsidRDefault="0017526D" w:rsidP="0017526D">
          <w:pPr>
            <w:rPr>
              <w:lang w:val="en-GB" w:eastAsia="en-IN"/>
            </w:rPr>
          </w:pPr>
        </w:p>
        <w:p w14:paraId="65103BE9" w14:textId="103B2EC4" w:rsidR="004747FF" w:rsidRDefault="0017526D">
          <w:pPr>
            <w:pStyle w:val="TOC1"/>
            <w:tabs>
              <w:tab w:val="right" w:leader="dot" w:pos="9016"/>
            </w:tabs>
            <w:rPr>
              <w:rFonts w:eastAsiaTheme="minorEastAsia"/>
              <w:noProof/>
              <w:lang w:eastAsia="en-IN"/>
            </w:rPr>
          </w:pPr>
          <w:r>
            <w:fldChar w:fldCharType="begin"/>
          </w:r>
          <w:r>
            <w:instrText xml:space="preserve"> TOC \o "1-3" \h \z \u </w:instrText>
          </w:r>
          <w:r>
            <w:fldChar w:fldCharType="separate"/>
          </w:r>
          <w:hyperlink w:anchor="_Toc224570181" w:history="1">
            <w:r w:rsidR="004747FF" w:rsidRPr="00BB435F">
              <w:rPr>
                <w:rStyle w:val="Hyperlink"/>
                <w:rFonts w:ascii="Arial" w:hAnsi="Arial" w:cs="Arial"/>
                <w:b/>
                <w:bCs/>
                <w:noProof/>
              </w:rPr>
              <w:t>SECTION 1.1: Introduction</w:t>
            </w:r>
            <w:r w:rsidR="004747FF">
              <w:rPr>
                <w:noProof/>
                <w:webHidden/>
              </w:rPr>
              <w:tab/>
            </w:r>
            <w:r w:rsidR="004747FF">
              <w:rPr>
                <w:noProof/>
                <w:webHidden/>
              </w:rPr>
              <w:fldChar w:fldCharType="begin"/>
            </w:r>
            <w:r w:rsidR="004747FF">
              <w:rPr>
                <w:noProof/>
                <w:webHidden/>
              </w:rPr>
              <w:instrText xml:space="preserve"> PAGEREF _Toc224570181 \h </w:instrText>
            </w:r>
            <w:r w:rsidR="004747FF">
              <w:rPr>
                <w:noProof/>
                <w:webHidden/>
              </w:rPr>
            </w:r>
            <w:r w:rsidR="004747FF">
              <w:rPr>
                <w:noProof/>
                <w:webHidden/>
              </w:rPr>
              <w:fldChar w:fldCharType="separate"/>
            </w:r>
            <w:r w:rsidR="00B66D9D">
              <w:rPr>
                <w:noProof/>
                <w:webHidden/>
              </w:rPr>
              <w:t>3</w:t>
            </w:r>
            <w:r w:rsidR="004747FF">
              <w:rPr>
                <w:noProof/>
                <w:webHidden/>
              </w:rPr>
              <w:fldChar w:fldCharType="end"/>
            </w:r>
          </w:hyperlink>
        </w:p>
        <w:p w14:paraId="3AD74192" w14:textId="4FD98A22" w:rsidR="004747FF" w:rsidRDefault="004747FF">
          <w:pPr>
            <w:pStyle w:val="TOC2"/>
            <w:tabs>
              <w:tab w:val="right" w:leader="dot" w:pos="9016"/>
            </w:tabs>
            <w:rPr>
              <w:rFonts w:eastAsiaTheme="minorEastAsia"/>
              <w:noProof/>
              <w:lang w:eastAsia="en-IN"/>
            </w:rPr>
          </w:pPr>
          <w:hyperlink w:anchor="_Toc224570182" w:history="1">
            <w:r w:rsidRPr="00BB435F">
              <w:rPr>
                <w:rStyle w:val="Hyperlink"/>
                <w:rFonts w:ascii="Arial" w:hAnsi="Arial" w:cs="Arial"/>
                <w:b/>
                <w:bCs/>
                <w:noProof/>
              </w:rPr>
              <w:t>SECTION 1.2: Industry and Country Overview</w:t>
            </w:r>
            <w:r>
              <w:rPr>
                <w:noProof/>
                <w:webHidden/>
              </w:rPr>
              <w:tab/>
            </w:r>
            <w:r>
              <w:rPr>
                <w:noProof/>
                <w:webHidden/>
              </w:rPr>
              <w:fldChar w:fldCharType="begin"/>
            </w:r>
            <w:r>
              <w:rPr>
                <w:noProof/>
                <w:webHidden/>
              </w:rPr>
              <w:instrText xml:space="preserve"> PAGEREF _Toc224570182 \h </w:instrText>
            </w:r>
            <w:r>
              <w:rPr>
                <w:noProof/>
                <w:webHidden/>
              </w:rPr>
            </w:r>
            <w:r>
              <w:rPr>
                <w:noProof/>
                <w:webHidden/>
              </w:rPr>
              <w:fldChar w:fldCharType="separate"/>
            </w:r>
            <w:r w:rsidR="00B66D9D">
              <w:rPr>
                <w:noProof/>
                <w:webHidden/>
              </w:rPr>
              <w:t>3</w:t>
            </w:r>
            <w:r>
              <w:rPr>
                <w:noProof/>
                <w:webHidden/>
              </w:rPr>
              <w:fldChar w:fldCharType="end"/>
            </w:r>
          </w:hyperlink>
        </w:p>
        <w:p w14:paraId="6EFB5567" w14:textId="7D91ABD1" w:rsidR="004747FF" w:rsidRDefault="004747FF">
          <w:pPr>
            <w:pStyle w:val="TOC2"/>
            <w:tabs>
              <w:tab w:val="right" w:leader="dot" w:pos="9016"/>
            </w:tabs>
            <w:rPr>
              <w:rFonts w:eastAsiaTheme="minorEastAsia"/>
              <w:noProof/>
              <w:lang w:eastAsia="en-IN"/>
            </w:rPr>
          </w:pPr>
          <w:hyperlink w:anchor="_Toc224570183" w:history="1">
            <w:r w:rsidRPr="00BB435F">
              <w:rPr>
                <w:rStyle w:val="Hyperlink"/>
                <w:rFonts w:ascii="Arial" w:hAnsi="Arial" w:cs="Arial"/>
                <w:b/>
                <w:bCs/>
                <w:noProof/>
              </w:rPr>
              <w:t>Section 1.3: Porter’s Diamond Model</w:t>
            </w:r>
            <w:r>
              <w:rPr>
                <w:noProof/>
                <w:webHidden/>
              </w:rPr>
              <w:tab/>
            </w:r>
            <w:r>
              <w:rPr>
                <w:noProof/>
                <w:webHidden/>
              </w:rPr>
              <w:fldChar w:fldCharType="begin"/>
            </w:r>
            <w:r>
              <w:rPr>
                <w:noProof/>
                <w:webHidden/>
              </w:rPr>
              <w:instrText xml:space="preserve"> PAGEREF _Toc224570183 \h </w:instrText>
            </w:r>
            <w:r>
              <w:rPr>
                <w:noProof/>
                <w:webHidden/>
              </w:rPr>
            </w:r>
            <w:r>
              <w:rPr>
                <w:noProof/>
                <w:webHidden/>
              </w:rPr>
              <w:fldChar w:fldCharType="separate"/>
            </w:r>
            <w:r w:rsidR="00B66D9D">
              <w:rPr>
                <w:noProof/>
                <w:webHidden/>
              </w:rPr>
              <w:t>7</w:t>
            </w:r>
            <w:r>
              <w:rPr>
                <w:noProof/>
                <w:webHidden/>
              </w:rPr>
              <w:fldChar w:fldCharType="end"/>
            </w:r>
          </w:hyperlink>
        </w:p>
        <w:p w14:paraId="3B0848AE" w14:textId="0343F3E8" w:rsidR="004747FF" w:rsidRDefault="004747FF">
          <w:pPr>
            <w:pStyle w:val="TOC3"/>
            <w:tabs>
              <w:tab w:val="right" w:leader="dot" w:pos="9016"/>
            </w:tabs>
            <w:rPr>
              <w:rFonts w:eastAsiaTheme="minorEastAsia"/>
              <w:noProof/>
              <w:lang w:eastAsia="en-IN"/>
            </w:rPr>
          </w:pPr>
          <w:hyperlink w:anchor="_Toc224570184" w:history="1">
            <w:r w:rsidRPr="00BB435F">
              <w:rPr>
                <w:rStyle w:val="Hyperlink"/>
                <w:rFonts w:ascii="Arial" w:hAnsi="Arial" w:cs="Arial"/>
                <w:b/>
                <w:bCs/>
                <w:noProof/>
              </w:rPr>
              <w:t>1.3.1: Factor Conditions</w:t>
            </w:r>
            <w:r>
              <w:rPr>
                <w:noProof/>
                <w:webHidden/>
              </w:rPr>
              <w:tab/>
            </w:r>
            <w:r>
              <w:rPr>
                <w:noProof/>
                <w:webHidden/>
              </w:rPr>
              <w:fldChar w:fldCharType="begin"/>
            </w:r>
            <w:r>
              <w:rPr>
                <w:noProof/>
                <w:webHidden/>
              </w:rPr>
              <w:instrText xml:space="preserve"> PAGEREF _Toc224570184 \h </w:instrText>
            </w:r>
            <w:r>
              <w:rPr>
                <w:noProof/>
                <w:webHidden/>
              </w:rPr>
            </w:r>
            <w:r>
              <w:rPr>
                <w:noProof/>
                <w:webHidden/>
              </w:rPr>
              <w:fldChar w:fldCharType="separate"/>
            </w:r>
            <w:r w:rsidR="00B66D9D">
              <w:rPr>
                <w:noProof/>
                <w:webHidden/>
              </w:rPr>
              <w:t>7</w:t>
            </w:r>
            <w:r>
              <w:rPr>
                <w:noProof/>
                <w:webHidden/>
              </w:rPr>
              <w:fldChar w:fldCharType="end"/>
            </w:r>
          </w:hyperlink>
        </w:p>
        <w:p w14:paraId="47D90338" w14:textId="372A372E" w:rsidR="004747FF" w:rsidRDefault="004747FF">
          <w:pPr>
            <w:pStyle w:val="TOC3"/>
            <w:tabs>
              <w:tab w:val="right" w:leader="dot" w:pos="9016"/>
            </w:tabs>
            <w:rPr>
              <w:rFonts w:eastAsiaTheme="minorEastAsia"/>
              <w:noProof/>
              <w:lang w:eastAsia="en-IN"/>
            </w:rPr>
          </w:pPr>
          <w:hyperlink w:anchor="_Toc224570185" w:history="1">
            <w:r w:rsidRPr="00BB435F">
              <w:rPr>
                <w:rStyle w:val="Hyperlink"/>
                <w:rFonts w:ascii="Arial" w:hAnsi="Arial" w:cs="Arial"/>
                <w:b/>
                <w:bCs/>
                <w:noProof/>
              </w:rPr>
              <w:t>1.3.2: Demand Conditions</w:t>
            </w:r>
            <w:r>
              <w:rPr>
                <w:noProof/>
                <w:webHidden/>
              </w:rPr>
              <w:tab/>
            </w:r>
            <w:r>
              <w:rPr>
                <w:noProof/>
                <w:webHidden/>
              </w:rPr>
              <w:fldChar w:fldCharType="begin"/>
            </w:r>
            <w:r>
              <w:rPr>
                <w:noProof/>
                <w:webHidden/>
              </w:rPr>
              <w:instrText xml:space="preserve"> PAGEREF _Toc224570185 \h </w:instrText>
            </w:r>
            <w:r>
              <w:rPr>
                <w:noProof/>
                <w:webHidden/>
              </w:rPr>
            </w:r>
            <w:r>
              <w:rPr>
                <w:noProof/>
                <w:webHidden/>
              </w:rPr>
              <w:fldChar w:fldCharType="separate"/>
            </w:r>
            <w:r w:rsidR="00B66D9D">
              <w:rPr>
                <w:noProof/>
                <w:webHidden/>
              </w:rPr>
              <w:t>8</w:t>
            </w:r>
            <w:r>
              <w:rPr>
                <w:noProof/>
                <w:webHidden/>
              </w:rPr>
              <w:fldChar w:fldCharType="end"/>
            </w:r>
          </w:hyperlink>
        </w:p>
        <w:p w14:paraId="6B5D442C" w14:textId="5263F322" w:rsidR="004747FF" w:rsidRDefault="004747FF">
          <w:pPr>
            <w:pStyle w:val="TOC3"/>
            <w:tabs>
              <w:tab w:val="right" w:leader="dot" w:pos="9016"/>
            </w:tabs>
            <w:rPr>
              <w:rFonts w:eastAsiaTheme="minorEastAsia"/>
              <w:noProof/>
              <w:lang w:eastAsia="en-IN"/>
            </w:rPr>
          </w:pPr>
          <w:hyperlink w:anchor="_Toc224570186" w:history="1">
            <w:r w:rsidRPr="00BB435F">
              <w:rPr>
                <w:rStyle w:val="Hyperlink"/>
                <w:rFonts w:ascii="Arial" w:hAnsi="Arial" w:cs="Arial"/>
                <w:b/>
                <w:bCs/>
                <w:noProof/>
              </w:rPr>
              <w:t>1.3.3: Related and Supporting Industries</w:t>
            </w:r>
            <w:r>
              <w:rPr>
                <w:noProof/>
                <w:webHidden/>
              </w:rPr>
              <w:tab/>
            </w:r>
            <w:r>
              <w:rPr>
                <w:noProof/>
                <w:webHidden/>
              </w:rPr>
              <w:fldChar w:fldCharType="begin"/>
            </w:r>
            <w:r>
              <w:rPr>
                <w:noProof/>
                <w:webHidden/>
              </w:rPr>
              <w:instrText xml:space="preserve"> PAGEREF _Toc224570186 \h </w:instrText>
            </w:r>
            <w:r>
              <w:rPr>
                <w:noProof/>
                <w:webHidden/>
              </w:rPr>
            </w:r>
            <w:r>
              <w:rPr>
                <w:noProof/>
                <w:webHidden/>
              </w:rPr>
              <w:fldChar w:fldCharType="separate"/>
            </w:r>
            <w:r w:rsidR="00B66D9D">
              <w:rPr>
                <w:noProof/>
                <w:webHidden/>
              </w:rPr>
              <w:t>8</w:t>
            </w:r>
            <w:r>
              <w:rPr>
                <w:noProof/>
                <w:webHidden/>
              </w:rPr>
              <w:fldChar w:fldCharType="end"/>
            </w:r>
          </w:hyperlink>
        </w:p>
        <w:p w14:paraId="740D3B1A" w14:textId="7FEADF1F" w:rsidR="004747FF" w:rsidRDefault="004747FF">
          <w:pPr>
            <w:pStyle w:val="TOC3"/>
            <w:tabs>
              <w:tab w:val="right" w:leader="dot" w:pos="9016"/>
            </w:tabs>
            <w:rPr>
              <w:rFonts w:eastAsiaTheme="minorEastAsia"/>
              <w:noProof/>
              <w:lang w:eastAsia="en-IN"/>
            </w:rPr>
          </w:pPr>
          <w:hyperlink w:anchor="_Toc224570187" w:history="1">
            <w:r w:rsidRPr="00BB435F">
              <w:rPr>
                <w:rStyle w:val="Hyperlink"/>
                <w:rFonts w:ascii="Arial" w:hAnsi="Arial" w:cs="Arial"/>
                <w:b/>
                <w:bCs/>
                <w:noProof/>
              </w:rPr>
              <w:t>1.3.4: Firm Strategy, Structure, and Rivalry</w:t>
            </w:r>
            <w:r>
              <w:rPr>
                <w:noProof/>
                <w:webHidden/>
              </w:rPr>
              <w:tab/>
            </w:r>
            <w:r>
              <w:rPr>
                <w:noProof/>
                <w:webHidden/>
              </w:rPr>
              <w:fldChar w:fldCharType="begin"/>
            </w:r>
            <w:r>
              <w:rPr>
                <w:noProof/>
                <w:webHidden/>
              </w:rPr>
              <w:instrText xml:space="preserve"> PAGEREF _Toc224570187 \h </w:instrText>
            </w:r>
            <w:r>
              <w:rPr>
                <w:noProof/>
                <w:webHidden/>
              </w:rPr>
            </w:r>
            <w:r>
              <w:rPr>
                <w:noProof/>
                <w:webHidden/>
              </w:rPr>
              <w:fldChar w:fldCharType="separate"/>
            </w:r>
            <w:r w:rsidR="00B66D9D">
              <w:rPr>
                <w:noProof/>
                <w:webHidden/>
              </w:rPr>
              <w:t>9</w:t>
            </w:r>
            <w:r>
              <w:rPr>
                <w:noProof/>
                <w:webHidden/>
              </w:rPr>
              <w:fldChar w:fldCharType="end"/>
            </w:r>
          </w:hyperlink>
        </w:p>
        <w:p w14:paraId="3AA13CAC" w14:textId="18172C1D" w:rsidR="004747FF" w:rsidRDefault="004747FF">
          <w:pPr>
            <w:pStyle w:val="TOC3"/>
            <w:tabs>
              <w:tab w:val="right" w:leader="dot" w:pos="9016"/>
            </w:tabs>
            <w:rPr>
              <w:rFonts w:eastAsiaTheme="minorEastAsia"/>
              <w:noProof/>
              <w:lang w:eastAsia="en-IN"/>
            </w:rPr>
          </w:pPr>
          <w:hyperlink w:anchor="_Toc224570188" w:history="1">
            <w:r w:rsidRPr="00BB435F">
              <w:rPr>
                <w:rStyle w:val="Hyperlink"/>
                <w:rFonts w:ascii="Arial" w:hAnsi="Arial" w:cs="Arial"/>
                <w:b/>
                <w:bCs/>
                <w:noProof/>
              </w:rPr>
              <w:t>1.3.5: Government</w:t>
            </w:r>
            <w:r>
              <w:rPr>
                <w:noProof/>
                <w:webHidden/>
              </w:rPr>
              <w:tab/>
            </w:r>
            <w:r>
              <w:rPr>
                <w:noProof/>
                <w:webHidden/>
              </w:rPr>
              <w:fldChar w:fldCharType="begin"/>
            </w:r>
            <w:r>
              <w:rPr>
                <w:noProof/>
                <w:webHidden/>
              </w:rPr>
              <w:instrText xml:space="preserve"> PAGEREF _Toc224570188 \h </w:instrText>
            </w:r>
            <w:r>
              <w:rPr>
                <w:noProof/>
                <w:webHidden/>
              </w:rPr>
            </w:r>
            <w:r>
              <w:rPr>
                <w:noProof/>
                <w:webHidden/>
              </w:rPr>
              <w:fldChar w:fldCharType="separate"/>
            </w:r>
            <w:r w:rsidR="00B66D9D">
              <w:rPr>
                <w:noProof/>
                <w:webHidden/>
              </w:rPr>
              <w:t>9</w:t>
            </w:r>
            <w:r>
              <w:rPr>
                <w:noProof/>
                <w:webHidden/>
              </w:rPr>
              <w:fldChar w:fldCharType="end"/>
            </w:r>
          </w:hyperlink>
        </w:p>
        <w:p w14:paraId="56A15F6F" w14:textId="57F7DDAF" w:rsidR="004747FF" w:rsidRDefault="004747FF">
          <w:pPr>
            <w:pStyle w:val="TOC3"/>
            <w:tabs>
              <w:tab w:val="right" w:leader="dot" w:pos="9016"/>
            </w:tabs>
            <w:rPr>
              <w:rFonts w:eastAsiaTheme="minorEastAsia"/>
              <w:noProof/>
              <w:lang w:eastAsia="en-IN"/>
            </w:rPr>
          </w:pPr>
          <w:hyperlink w:anchor="_Toc224570189" w:history="1">
            <w:r w:rsidRPr="00BB435F">
              <w:rPr>
                <w:rStyle w:val="Hyperlink"/>
                <w:rFonts w:ascii="Arial" w:hAnsi="Arial" w:cs="Arial"/>
                <w:b/>
                <w:bCs/>
                <w:noProof/>
              </w:rPr>
              <w:t>1.3.6: Chance</w:t>
            </w:r>
            <w:r>
              <w:rPr>
                <w:noProof/>
                <w:webHidden/>
              </w:rPr>
              <w:tab/>
            </w:r>
            <w:r>
              <w:rPr>
                <w:noProof/>
                <w:webHidden/>
              </w:rPr>
              <w:fldChar w:fldCharType="begin"/>
            </w:r>
            <w:r>
              <w:rPr>
                <w:noProof/>
                <w:webHidden/>
              </w:rPr>
              <w:instrText xml:space="preserve"> PAGEREF _Toc224570189 \h </w:instrText>
            </w:r>
            <w:r>
              <w:rPr>
                <w:noProof/>
                <w:webHidden/>
              </w:rPr>
            </w:r>
            <w:r>
              <w:rPr>
                <w:noProof/>
                <w:webHidden/>
              </w:rPr>
              <w:fldChar w:fldCharType="separate"/>
            </w:r>
            <w:r w:rsidR="00B66D9D">
              <w:rPr>
                <w:noProof/>
                <w:webHidden/>
              </w:rPr>
              <w:t>10</w:t>
            </w:r>
            <w:r>
              <w:rPr>
                <w:noProof/>
                <w:webHidden/>
              </w:rPr>
              <w:fldChar w:fldCharType="end"/>
            </w:r>
          </w:hyperlink>
        </w:p>
        <w:p w14:paraId="07D71412" w14:textId="3FDA83E2" w:rsidR="004747FF" w:rsidRDefault="004747FF">
          <w:pPr>
            <w:pStyle w:val="TOC3"/>
            <w:tabs>
              <w:tab w:val="right" w:leader="dot" w:pos="9016"/>
            </w:tabs>
            <w:rPr>
              <w:rFonts w:eastAsiaTheme="minorEastAsia"/>
              <w:noProof/>
              <w:lang w:eastAsia="en-IN"/>
            </w:rPr>
          </w:pPr>
          <w:hyperlink w:anchor="_Toc224570190" w:history="1">
            <w:r w:rsidRPr="00BB435F">
              <w:rPr>
                <w:rStyle w:val="Hyperlink"/>
                <w:rFonts w:ascii="Arial" w:hAnsi="Arial" w:cs="Arial"/>
                <w:b/>
                <w:bCs/>
                <w:noProof/>
              </w:rPr>
              <w:t>1.3.7: Conclusion of the Diamond Analysis</w:t>
            </w:r>
            <w:r>
              <w:rPr>
                <w:noProof/>
                <w:webHidden/>
              </w:rPr>
              <w:tab/>
            </w:r>
            <w:r>
              <w:rPr>
                <w:noProof/>
                <w:webHidden/>
              </w:rPr>
              <w:fldChar w:fldCharType="begin"/>
            </w:r>
            <w:r>
              <w:rPr>
                <w:noProof/>
                <w:webHidden/>
              </w:rPr>
              <w:instrText xml:space="preserve"> PAGEREF _Toc224570190 \h </w:instrText>
            </w:r>
            <w:r>
              <w:rPr>
                <w:noProof/>
                <w:webHidden/>
              </w:rPr>
            </w:r>
            <w:r>
              <w:rPr>
                <w:noProof/>
                <w:webHidden/>
              </w:rPr>
              <w:fldChar w:fldCharType="separate"/>
            </w:r>
            <w:r w:rsidR="00B66D9D">
              <w:rPr>
                <w:noProof/>
                <w:webHidden/>
              </w:rPr>
              <w:t>10</w:t>
            </w:r>
            <w:r>
              <w:rPr>
                <w:noProof/>
                <w:webHidden/>
              </w:rPr>
              <w:fldChar w:fldCharType="end"/>
            </w:r>
          </w:hyperlink>
        </w:p>
        <w:p w14:paraId="6129BBD9" w14:textId="6CE5B1F4" w:rsidR="004747FF" w:rsidRDefault="004747FF">
          <w:pPr>
            <w:pStyle w:val="TOC2"/>
            <w:tabs>
              <w:tab w:val="right" w:leader="dot" w:pos="9016"/>
            </w:tabs>
            <w:rPr>
              <w:rFonts w:eastAsiaTheme="minorEastAsia"/>
              <w:noProof/>
              <w:lang w:eastAsia="en-IN"/>
            </w:rPr>
          </w:pPr>
          <w:hyperlink w:anchor="_Toc224570191" w:history="1">
            <w:r w:rsidRPr="00BB435F">
              <w:rPr>
                <w:rStyle w:val="Hyperlink"/>
                <w:rFonts w:ascii="Arial" w:hAnsi="Arial" w:cs="Arial"/>
                <w:b/>
                <w:bCs/>
                <w:noProof/>
              </w:rPr>
              <w:t>Section 1.4. MNC Analysis: Suzuki Motor Corporation in India</w:t>
            </w:r>
            <w:r>
              <w:rPr>
                <w:noProof/>
                <w:webHidden/>
              </w:rPr>
              <w:tab/>
            </w:r>
            <w:r>
              <w:rPr>
                <w:noProof/>
                <w:webHidden/>
              </w:rPr>
              <w:fldChar w:fldCharType="begin"/>
            </w:r>
            <w:r>
              <w:rPr>
                <w:noProof/>
                <w:webHidden/>
              </w:rPr>
              <w:instrText xml:space="preserve"> PAGEREF _Toc224570191 \h </w:instrText>
            </w:r>
            <w:r>
              <w:rPr>
                <w:noProof/>
                <w:webHidden/>
              </w:rPr>
            </w:r>
            <w:r>
              <w:rPr>
                <w:noProof/>
                <w:webHidden/>
              </w:rPr>
              <w:fldChar w:fldCharType="separate"/>
            </w:r>
            <w:r w:rsidR="00B66D9D">
              <w:rPr>
                <w:noProof/>
                <w:webHidden/>
              </w:rPr>
              <w:t>11</w:t>
            </w:r>
            <w:r>
              <w:rPr>
                <w:noProof/>
                <w:webHidden/>
              </w:rPr>
              <w:fldChar w:fldCharType="end"/>
            </w:r>
          </w:hyperlink>
        </w:p>
        <w:p w14:paraId="19184E59" w14:textId="585D98AE" w:rsidR="004747FF" w:rsidRDefault="004747FF">
          <w:pPr>
            <w:pStyle w:val="TOC3"/>
            <w:tabs>
              <w:tab w:val="right" w:leader="dot" w:pos="9016"/>
            </w:tabs>
            <w:rPr>
              <w:rFonts w:eastAsiaTheme="minorEastAsia"/>
              <w:noProof/>
              <w:lang w:eastAsia="en-IN"/>
            </w:rPr>
          </w:pPr>
          <w:hyperlink w:anchor="_Toc224570192" w:history="1">
            <w:r w:rsidRPr="00BB435F">
              <w:rPr>
                <w:rStyle w:val="Hyperlink"/>
                <w:rFonts w:ascii="Arial" w:hAnsi="Arial" w:cs="Arial"/>
                <w:b/>
                <w:bCs/>
                <w:noProof/>
              </w:rPr>
              <w:t>1.4.1 Introduction</w:t>
            </w:r>
            <w:r>
              <w:rPr>
                <w:noProof/>
                <w:webHidden/>
              </w:rPr>
              <w:tab/>
            </w:r>
            <w:r>
              <w:rPr>
                <w:noProof/>
                <w:webHidden/>
              </w:rPr>
              <w:fldChar w:fldCharType="begin"/>
            </w:r>
            <w:r>
              <w:rPr>
                <w:noProof/>
                <w:webHidden/>
              </w:rPr>
              <w:instrText xml:space="preserve"> PAGEREF _Toc224570192 \h </w:instrText>
            </w:r>
            <w:r>
              <w:rPr>
                <w:noProof/>
                <w:webHidden/>
              </w:rPr>
            </w:r>
            <w:r>
              <w:rPr>
                <w:noProof/>
                <w:webHidden/>
              </w:rPr>
              <w:fldChar w:fldCharType="separate"/>
            </w:r>
            <w:r w:rsidR="00B66D9D">
              <w:rPr>
                <w:noProof/>
                <w:webHidden/>
              </w:rPr>
              <w:t>11</w:t>
            </w:r>
            <w:r>
              <w:rPr>
                <w:noProof/>
                <w:webHidden/>
              </w:rPr>
              <w:fldChar w:fldCharType="end"/>
            </w:r>
          </w:hyperlink>
        </w:p>
        <w:p w14:paraId="54826FFE" w14:textId="43F8070C" w:rsidR="004747FF" w:rsidRDefault="004747FF">
          <w:pPr>
            <w:pStyle w:val="TOC3"/>
            <w:tabs>
              <w:tab w:val="right" w:leader="dot" w:pos="9016"/>
            </w:tabs>
            <w:rPr>
              <w:rFonts w:eastAsiaTheme="minorEastAsia"/>
              <w:noProof/>
              <w:lang w:eastAsia="en-IN"/>
            </w:rPr>
          </w:pPr>
          <w:hyperlink w:anchor="_Toc224570193" w:history="1">
            <w:r w:rsidRPr="00BB435F">
              <w:rPr>
                <w:rStyle w:val="Hyperlink"/>
                <w:rFonts w:ascii="Arial" w:hAnsi="Arial" w:cs="Arial"/>
                <w:b/>
                <w:bCs/>
                <w:noProof/>
              </w:rPr>
              <w:t>1.4.2 PESTEL Analysis</w:t>
            </w:r>
            <w:r>
              <w:rPr>
                <w:noProof/>
                <w:webHidden/>
              </w:rPr>
              <w:tab/>
            </w:r>
            <w:r>
              <w:rPr>
                <w:noProof/>
                <w:webHidden/>
              </w:rPr>
              <w:fldChar w:fldCharType="begin"/>
            </w:r>
            <w:r>
              <w:rPr>
                <w:noProof/>
                <w:webHidden/>
              </w:rPr>
              <w:instrText xml:space="preserve"> PAGEREF _Toc224570193 \h </w:instrText>
            </w:r>
            <w:r>
              <w:rPr>
                <w:noProof/>
                <w:webHidden/>
              </w:rPr>
            </w:r>
            <w:r>
              <w:rPr>
                <w:noProof/>
                <w:webHidden/>
              </w:rPr>
              <w:fldChar w:fldCharType="separate"/>
            </w:r>
            <w:r w:rsidR="00B66D9D">
              <w:rPr>
                <w:noProof/>
                <w:webHidden/>
              </w:rPr>
              <w:t>11</w:t>
            </w:r>
            <w:r>
              <w:rPr>
                <w:noProof/>
                <w:webHidden/>
              </w:rPr>
              <w:fldChar w:fldCharType="end"/>
            </w:r>
          </w:hyperlink>
        </w:p>
        <w:p w14:paraId="2B0F3DF0" w14:textId="3C781767" w:rsidR="004747FF" w:rsidRDefault="004747FF">
          <w:pPr>
            <w:pStyle w:val="TOC3"/>
            <w:tabs>
              <w:tab w:val="right" w:leader="dot" w:pos="9016"/>
            </w:tabs>
            <w:rPr>
              <w:rFonts w:eastAsiaTheme="minorEastAsia"/>
              <w:noProof/>
              <w:lang w:eastAsia="en-IN"/>
            </w:rPr>
          </w:pPr>
          <w:hyperlink w:anchor="_Toc224570194" w:history="1">
            <w:r w:rsidRPr="00BB435F">
              <w:rPr>
                <w:rStyle w:val="Hyperlink"/>
                <w:rFonts w:ascii="Arial" w:hAnsi="Arial" w:cs="Arial"/>
                <w:b/>
                <w:bCs/>
                <w:noProof/>
              </w:rPr>
              <w:t>1.4.3 CAGE Framework</w:t>
            </w:r>
            <w:r>
              <w:rPr>
                <w:noProof/>
                <w:webHidden/>
              </w:rPr>
              <w:tab/>
            </w:r>
            <w:r>
              <w:rPr>
                <w:noProof/>
                <w:webHidden/>
              </w:rPr>
              <w:fldChar w:fldCharType="begin"/>
            </w:r>
            <w:r>
              <w:rPr>
                <w:noProof/>
                <w:webHidden/>
              </w:rPr>
              <w:instrText xml:space="preserve"> PAGEREF _Toc224570194 \h </w:instrText>
            </w:r>
            <w:r>
              <w:rPr>
                <w:noProof/>
                <w:webHidden/>
              </w:rPr>
            </w:r>
            <w:r>
              <w:rPr>
                <w:noProof/>
                <w:webHidden/>
              </w:rPr>
              <w:fldChar w:fldCharType="separate"/>
            </w:r>
            <w:r w:rsidR="00B66D9D">
              <w:rPr>
                <w:noProof/>
                <w:webHidden/>
              </w:rPr>
              <w:t>15</w:t>
            </w:r>
            <w:r>
              <w:rPr>
                <w:noProof/>
                <w:webHidden/>
              </w:rPr>
              <w:fldChar w:fldCharType="end"/>
            </w:r>
          </w:hyperlink>
        </w:p>
        <w:p w14:paraId="02C7F1CA" w14:textId="69D23F49" w:rsidR="004747FF" w:rsidRDefault="004747FF">
          <w:pPr>
            <w:pStyle w:val="TOC3"/>
            <w:tabs>
              <w:tab w:val="right" w:leader="dot" w:pos="9016"/>
            </w:tabs>
            <w:rPr>
              <w:rFonts w:eastAsiaTheme="minorEastAsia"/>
              <w:noProof/>
              <w:lang w:eastAsia="en-IN"/>
            </w:rPr>
          </w:pPr>
          <w:hyperlink w:anchor="_Toc224570195" w:history="1">
            <w:r w:rsidRPr="00BB435F">
              <w:rPr>
                <w:rStyle w:val="Hyperlink"/>
                <w:rFonts w:ascii="Arial" w:hAnsi="Arial" w:cs="Arial"/>
                <w:b/>
                <w:bCs/>
                <w:noProof/>
              </w:rPr>
              <w:t>1.4.4 Institutional Theory</w:t>
            </w:r>
            <w:r>
              <w:rPr>
                <w:noProof/>
                <w:webHidden/>
              </w:rPr>
              <w:tab/>
            </w:r>
            <w:r>
              <w:rPr>
                <w:noProof/>
                <w:webHidden/>
              </w:rPr>
              <w:fldChar w:fldCharType="begin"/>
            </w:r>
            <w:r>
              <w:rPr>
                <w:noProof/>
                <w:webHidden/>
              </w:rPr>
              <w:instrText xml:space="preserve"> PAGEREF _Toc224570195 \h </w:instrText>
            </w:r>
            <w:r>
              <w:rPr>
                <w:noProof/>
                <w:webHidden/>
              </w:rPr>
            </w:r>
            <w:r>
              <w:rPr>
                <w:noProof/>
                <w:webHidden/>
              </w:rPr>
              <w:fldChar w:fldCharType="separate"/>
            </w:r>
            <w:r w:rsidR="00B66D9D">
              <w:rPr>
                <w:noProof/>
                <w:webHidden/>
              </w:rPr>
              <w:t>17</w:t>
            </w:r>
            <w:r>
              <w:rPr>
                <w:noProof/>
                <w:webHidden/>
              </w:rPr>
              <w:fldChar w:fldCharType="end"/>
            </w:r>
          </w:hyperlink>
        </w:p>
        <w:p w14:paraId="4B937E71" w14:textId="2F714A90" w:rsidR="004747FF" w:rsidRDefault="004747FF">
          <w:pPr>
            <w:pStyle w:val="TOC3"/>
            <w:tabs>
              <w:tab w:val="right" w:leader="dot" w:pos="9016"/>
            </w:tabs>
            <w:rPr>
              <w:rFonts w:eastAsiaTheme="minorEastAsia"/>
              <w:noProof/>
              <w:lang w:eastAsia="en-IN"/>
            </w:rPr>
          </w:pPr>
          <w:hyperlink w:anchor="_Toc224570196" w:history="1">
            <w:r w:rsidRPr="00BB435F">
              <w:rPr>
                <w:rStyle w:val="Hyperlink"/>
                <w:rFonts w:ascii="Arial" w:hAnsi="Arial" w:cs="Arial"/>
                <w:b/>
                <w:bCs/>
                <w:noProof/>
              </w:rPr>
              <w:t>1.4.5 Market Attractiveness</w:t>
            </w:r>
            <w:r>
              <w:rPr>
                <w:noProof/>
                <w:webHidden/>
              </w:rPr>
              <w:tab/>
            </w:r>
            <w:r>
              <w:rPr>
                <w:noProof/>
                <w:webHidden/>
              </w:rPr>
              <w:fldChar w:fldCharType="begin"/>
            </w:r>
            <w:r>
              <w:rPr>
                <w:noProof/>
                <w:webHidden/>
              </w:rPr>
              <w:instrText xml:space="preserve"> PAGEREF _Toc224570196 \h </w:instrText>
            </w:r>
            <w:r>
              <w:rPr>
                <w:noProof/>
                <w:webHidden/>
              </w:rPr>
            </w:r>
            <w:r>
              <w:rPr>
                <w:noProof/>
                <w:webHidden/>
              </w:rPr>
              <w:fldChar w:fldCharType="separate"/>
            </w:r>
            <w:r w:rsidR="00B66D9D">
              <w:rPr>
                <w:noProof/>
                <w:webHidden/>
              </w:rPr>
              <w:t>19</w:t>
            </w:r>
            <w:r>
              <w:rPr>
                <w:noProof/>
                <w:webHidden/>
              </w:rPr>
              <w:fldChar w:fldCharType="end"/>
            </w:r>
          </w:hyperlink>
        </w:p>
        <w:p w14:paraId="74668765" w14:textId="45645157" w:rsidR="004747FF" w:rsidRDefault="004747FF">
          <w:pPr>
            <w:pStyle w:val="TOC3"/>
            <w:tabs>
              <w:tab w:val="right" w:leader="dot" w:pos="9016"/>
            </w:tabs>
            <w:rPr>
              <w:rFonts w:eastAsiaTheme="minorEastAsia"/>
              <w:noProof/>
              <w:lang w:eastAsia="en-IN"/>
            </w:rPr>
          </w:pPr>
          <w:hyperlink w:anchor="_Toc224570197" w:history="1">
            <w:r w:rsidRPr="00BB435F">
              <w:rPr>
                <w:rStyle w:val="Hyperlink"/>
                <w:rFonts w:ascii="Arial" w:hAnsi="Arial" w:cs="Arial"/>
                <w:b/>
                <w:bCs/>
                <w:noProof/>
              </w:rPr>
              <w:t>1.4.6 Strategic Evaluation</w:t>
            </w:r>
            <w:r>
              <w:rPr>
                <w:noProof/>
                <w:webHidden/>
              </w:rPr>
              <w:tab/>
            </w:r>
            <w:r>
              <w:rPr>
                <w:noProof/>
                <w:webHidden/>
              </w:rPr>
              <w:fldChar w:fldCharType="begin"/>
            </w:r>
            <w:r>
              <w:rPr>
                <w:noProof/>
                <w:webHidden/>
              </w:rPr>
              <w:instrText xml:space="preserve"> PAGEREF _Toc224570197 \h </w:instrText>
            </w:r>
            <w:r>
              <w:rPr>
                <w:noProof/>
                <w:webHidden/>
              </w:rPr>
            </w:r>
            <w:r>
              <w:rPr>
                <w:noProof/>
                <w:webHidden/>
              </w:rPr>
              <w:fldChar w:fldCharType="separate"/>
            </w:r>
            <w:r w:rsidR="00B66D9D">
              <w:rPr>
                <w:noProof/>
                <w:webHidden/>
              </w:rPr>
              <w:t>21</w:t>
            </w:r>
            <w:r>
              <w:rPr>
                <w:noProof/>
                <w:webHidden/>
              </w:rPr>
              <w:fldChar w:fldCharType="end"/>
            </w:r>
          </w:hyperlink>
        </w:p>
        <w:p w14:paraId="1C653670" w14:textId="70DC04AE" w:rsidR="004747FF" w:rsidRDefault="004747FF">
          <w:pPr>
            <w:pStyle w:val="TOC3"/>
            <w:tabs>
              <w:tab w:val="right" w:leader="dot" w:pos="9016"/>
            </w:tabs>
            <w:rPr>
              <w:rFonts w:eastAsiaTheme="minorEastAsia"/>
              <w:noProof/>
              <w:lang w:eastAsia="en-IN"/>
            </w:rPr>
          </w:pPr>
          <w:hyperlink w:anchor="_Toc224570198" w:history="1">
            <w:r w:rsidRPr="00BB435F">
              <w:rPr>
                <w:rStyle w:val="Hyperlink"/>
                <w:rFonts w:ascii="Arial" w:hAnsi="Arial" w:cs="Arial"/>
                <w:b/>
                <w:bCs/>
                <w:noProof/>
              </w:rPr>
              <w:t>1.4.7 Recommendations</w:t>
            </w:r>
            <w:r>
              <w:rPr>
                <w:noProof/>
                <w:webHidden/>
              </w:rPr>
              <w:tab/>
            </w:r>
            <w:r>
              <w:rPr>
                <w:noProof/>
                <w:webHidden/>
              </w:rPr>
              <w:fldChar w:fldCharType="begin"/>
            </w:r>
            <w:r>
              <w:rPr>
                <w:noProof/>
                <w:webHidden/>
              </w:rPr>
              <w:instrText xml:space="preserve"> PAGEREF _Toc224570198 \h </w:instrText>
            </w:r>
            <w:r>
              <w:rPr>
                <w:noProof/>
                <w:webHidden/>
              </w:rPr>
            </w:r>
            <w:r>
              <w:rPr>
                <w:noProof/>
                <w:webHidden/>
              </w:rPr>
              <w:fldChar w:fldCharType="separate"/>
            </w:r>
            <w:r w:rsidR="00B66D9D">
              <w:rPr>
                <w:noProof/>
                <w:webHidden/>
              </w:rPr>
              <w:t>22</w:t>
            </w:r>
            <w:r>
              <w:rPr>
                <w:noProof/>
                <w:webHidden/>
              </w:rPr>
              <w:fldChar w:fldCharType="end"/>
            </w:r>
          </w:hyperlink>
        </w:p>
        <w:p w14:paraId="71E62D31" w14:textId="0F5D9C30" w:rsidR="004747FF" w:rsidRDefault="004747FF">
          <w:pPr>
            <w:pStyle w:val="TOC2"/>
            <w:tabs>
              <w:tab w:val="right" w:leader="dot" w:pos="9016"/>
            </w:tabs>
            <w:rPr>
              <w:rFonts w:eastAsiaTheme="minorEastAsia"/>
              <w:noProof/>
              <w:lang w:eastAsia="en-IN"/>
            </w:rPr>
          </w:pPr>
          <w:hyperlink w:anchor="_Toc224570199" w:history="1">
            <w:r w:rsidRPr="00BB435F">
              <w:rPr>
                <w:rStyle w:val="Hyperlink"/>
                <w:rFonts w:ascii="Arial" w:hAnsi="Arial" w:cs="Arial"/>
                <w:b/>
                <w:bCs/>
                <w:noProof/>
              </w:rPr>
              <w:t>SECTION 1.5: Conclusion</w:t>
            </w:r>
            <w:r>
              <w:rPr>
                <w:noProof/>
                <w:webHidden/>
              </w:rPr>
              <w:tab/>
            </w:r>
            <w:r>
              <w:rPr>
                <w:noProof/>
                <w:webHidden/>
              </w:rPr>
              <w:fldChar w:fldCharType="begin"/>
            </w:r>
            <w:r>
              <w:rPr>
                <w:noProof/>
                <w:webHidden/>
              </w:rPr>
              <w:instrText xml:space="preserve"> PAGEREF _Toc224570199 \h </w:instrText>
            </w:r>
            <w:r>
              <w:rPr>
                <w:noProof/>
                <w:webHidden/>
              </w:rPr>
            </w:r>
            <w:r>
              <w:rPr>
                <w:noProof/>
                <w:webHidden/>
              </w:rPr>
              <w:fldChar w:fldCharType="separate"/>
            </w:r>
            <w:r w:rsidR="00B66D9D">
              <w:rPr>
                <w:noProof/>
                <w:webHidden/>
              </w:rPr>
              <w:t>24</w:t>
            </w:r>
            <w:r>
              <w:rPr>
                <w:noProof/>
                <w:webHidden/>
              </w:rPr>
              <w:fldChar w:fldCharType="end"/>
            </w:r>
          </w:hyperlink>
        </w:p>
        <w:p w14:paraId="2660AE15" w14:textId="277326CB" w:rsidR="004747FF" w:rsidRDefault="004747FF">
          <w:pPr>
            <w:pStyle w:val="TOC1"/>
            <w:tabs>
              <w:tab w:val="right" w:leader="dot" w:pos="9016"/>
            </w:tabs>
            <w:rPr>
              <w:rFonts w:eastAsiaTheme="minorEastAsia"/>
              <w:noProof/>
              <w:lang w:eastAsia="en-IN"/>
            </w:rPr>
          </w:pPr>
          <w:hyperlink w:anchor="_Toc224570200" w:history="1">
            <w:r w:rsidRPr="00BB435F">
              <w:rPr>
                <w:rStyle w:val="Hyperlink"/>
                <w:rFonts w:ascii="Arial" w:hAnsi="Arial" w:cs="Arial"/>
                <w:b/>
                <w:bCs/>
                <w:noProof/>
              </w:rPr>
              <w:t>SECTION 2: Reflective Account</w:t>
            </w:r>
            <w:r>
              <w:rPr>
                <w:noProof/>
                <w:webHidden/>
              </w:rPr>
              <w:tab/>
            </w:r>
            <w:r>
              <w:rPr>
                <w:noProof/>
                <w:webHidden/>
              </w:rPr>
              <w:fldChar w:fldCharType="begin"/>
            </w:r>
            <w:r>
              <w:rPr>
                <w:noProof/>
                <w:webHidden/>
              </w:rPr>
              <w:instrText xml:space="preserve"> PAGEREF _Toc224570200 \h </w:instrText>
            </w:r>
            <w:r>
              <w:rPr>
                <w:noProof/>
                <w:webHidden/>
              </w:rPr>
            </w:r>
            <w:r>
              <w:rPr>
                <w:noProof/>
                <w:webHidden/>
              </w:rPr>
              <w:fldChar w:fldCharType="separate"/>
            </w:r>
            <w:r w:rsidR="00B66D9D">
              <w:rPr>
                <w:noProof/>
                <w:webHidden/>
              </w:rPr>
              <w:t>25</w:t>
            </w:r>
            <w:r>
              <w:rPr>
                <w:noProof/>
                <w:webHidden/>
              </w:rPr>
              <w:fldChar w:fldCharType="end"/>
            </w:r>
          </w:hyperlink>
        </w:p>
        <w:p w14:paraId="66032A14" w14:textId="4C1635F4" w:rsidR="004747FF" w:rsidRDefault="004747FF">
          <w:pPr>
            <w:pStyle w:val="TOC2"/>
            <w:tabs>
              <w:tab w:val="right" w:leader="dot" w:pos="9016"/>
            </w:tabs>
            <w:rPr>
              <w:rFonts w:eastAsiaTheme="minorEastAsia"/>
              <w:noProof/>
              <w:lang w:eastAsia="en-IN"/>
            </w:rPr>
          </w:pPr>
          <w:hyperlink w:anchor="_Toc224570201" w:history="1">
            <w:r w:rsidRPr="00BB435F">
              <w:rPr>
                <w:rStyle w:val="Hyperlink"/>
                <w:rFonts w:ascii="Arial" w:hAnsi="Arial" w:cs="Arial"/>
                <w:b/>
                <w:bCs/>
                <w:noProof/>
              </w:rPr>
              <w:t>1. Description</w:t>
            </w:r>
            <w:r>
              <w:rPr>
                <w:noProof/>
                <w:webHidden/>
              </w:rPr>
              <w:tab/>
            </w:r>
            <w:r>
              <w:rPr>
                <w:noProof/>
                <w:webHidden/>
              </w:rPr>
              <w:fldChar w:fldCharType="begin"/>
            </w:r>
            <w:r>
              <w:rPr>
                <w:noProof/>
                <w:webHidden/>
              </w:rPr>
              <w:instrText xml:space="preserve"> PAGEREF _Toc224570201 \h </w:instrText>
            </w:r>
            <w:r>
              <w:rPr>
                <w:noProof/>
                <w:webHidden/>
              </w:rPr>
            </w:r>
            <w:r>
              <w:rPr>
                <w:noProof/>
                <w:webHidden/>
              </w:rPr>
              <w:fldChar w:fldCharType="separate"/>
            </w:r>
            <w:r w:rsidR="00B66D9D">
              <w:rPr>
                <w:noProof/>
                <w:webHidden/>
              </w:rPr>
              <w:t>25</w:t>
            </w:r>
            <w:r>
              <w:rPr>
                <w:noProof/>
                <w:webHidden/>
              </w:rPr>
              <w:fldChar w:fldCharType="end"/>
            </w:r>
          </w:hyperlink>
        </w:p>
        <w:p w14:paraId="227221ED" w14:textId="701FF121" w:rsidR="004747FF" w:rsidRDefault="004747FF">
          <w:pPr>
            <w:pStyle w:val="TOC2"/>
            <w:tabs>
              <w:tab w:val="right" w:leader="dot" w:pos="9016"/>
            </w:tabs>
            <w:rPr>
              <w:rFonts w:eastAsiaTheme="minorEastAsia"/>
              <w:noProof/>
              <w:lang w:eastAsia="en-IN"/>
            </w:rPr>
          </w:pPr>
          <w:hyperlink w:anchor="_Toc224570202" w:history="1">
            <w:r w:rsidRPr="00BB435F">
              <w:rPr>
                <w:rStyle w:val="Hyperlink"/>
                <w:rFonts w:ascii="Arial" w:hAnsi="Arial" w:cs="Arial"/>
                <w:b/>
                <w:bCs/>
                <w:noProof/>
              </w:rPr>
              <w:t>2. Feelings</w:t>
            </w:r>
            <w:r>
              <w:rPr>
                <w:noProof/>
                <w:webHidden/>
              </w:rPr>
              <w:tab/>
            </w:r>
            <w:r>
              <w:rPr>
                <w:noProof/>
                <w:webHidden/>
              </w:rPr>
              <w:fldChar w:fldCharType="begin"/>
            </w:r>
            <w:r>
              <w:rPr>
                <w:noProof/>
                <w:webHidden/>
              </w:rPr>
              <w:instrText xml:space="preserve"> PAGEREF _Toc224570202 \h </w:instrText>
            </w:r>
            <w:r>
              <w:rPr>
                <w:noProof/>
                <w:webHidden/>
              </w:rPr>
            </w:r>
            <w:r>
              <w:rPr>
                <w:noProof/>
                <w:webHidden/>
              </w:rPr>
              <w:fldChar w:fldCharType="separate"/>
            </w:r>
            <w:r w:rsidR="00B66D9D">
              <w:rPr>
                <w:noProof/>
                <w:webHidden/>
              </w:rPr>
              <w:t>25</w:t>
            </w:r>
            <w:r>
              <w:rPr>
                <w:noProof/>
                <w:webHidden/>
              </w:rPr>
              <w:fldChar w:fldCharType="end"/>
            </w:r>
          </w:hyperlink>
        </w:p>
        <w:p w14:paraId="0F8C40B7" w14:textId="2CE38D54" w:rsidR="004747FF" w:rsidRDefault="004747FF">
          <w:pPr>
            <w:pStyle w:val="TOC2"/>
            <w:tabs>
              <w:tab w:val="right" w:leader="dot" w:pos="9016"/>
            </w:tabs>
            <w:rPr>
              <w:rFonts w:eastAsiaTheme="minorEastAsia"/>
              <w:noProof/>
              <w:lang w:eastAsia="en-IN"/>
            </w:rPr>
          </w:pPr>
          <w:hyperlink w:anchor="_Toc224570203" w:history="1">
            <w:r w:rsidRPr="00BB435F">
              <w:rPr>
                <w:rStyle w:val="Hyperlink"/>
                <w:rFonts w:ascii="Arial" w:hAnsi="Arial" w:cs="Arial"/>
                <w:b/>
                <w:bCs/>
                <w:noProof/>
              </w:rPr>
              <w:t>3. Evaluation</w:t>
            </w:r>
            <w:r>
              <w:rPr>
                <w:noProof/>
                <w:webHidden/>
              </w:rPr>
              <w:tab/>
            </w:r>
            <w:r>
              <w:rPr>
                <w:noProof/>
                <w:webHidden/>
              </w:rPr>
              <w:fldChar w:fldCharType="begin"/>
            </w:r>
            <w:r>
              <w:rPr>
                <w:noProof/>
                <w:webHidden/>
              </w:rPr>
              <w:instrText xml:space="preserve"> PAGEREF _Toc224570203 \h </w:instrText>
            </w:r>
            <w:r>
              <w:rPr>
                <w:noProof/>
                <w:webHidden/>
              </w:rPr>
            </w:r>
            <w:r>
              <w:rPr>
                <w:noProof/>
                <w:webHidden/>
              </w:rPr>
              <w:fldChar w:fldCharType="separate"/>
            </w:r>
            <w:r w:rsidR="00B66D9D">
              <w:rPr>
                <w:noProof/>
                <w:webHidden/>
              </w:rPr>
              <w:t>26</w:t>
            </w:r>
            <w:r>
              <w:rPr>
                <w:noProof/>
                <w:webHidden/>
              </w:rPr>
              <w:fldChar w:fldCharType="end"/>
            </w:r>
          </w:hyperlink>
        </w:p>
        <w:p w14:paraId="129B6820" w14:textId="14684D46" w:rsidR="004747FF" w:rsidRDefault="004747FF">
          <w:pPr>
            <w:pStyle w:val="TOC2"/>
            <w:tabs>
              <w:tab w:val="right" w:leader="dot" w:pos="9016"/>
            </w:tabs>
            <w:rPr>
              <w:rFonts w:eastAsiaTheme="minorEastAsia"/>
              <w:noProof/>
              <w:lang w:eastAsia="en-IN"/>
            </w:rPr>
          </w:pPr>
          <w:hyperlink w:anchor="_Toc224570204" w:history="1">
            <w:r w:rsidRPr="00BB435F">
              <w:rPr>
                <w:rStyle w:val="Hyperlink"/>
                <w:rFonts w:ascii="Arial" w:hAnsi="Arial" w:cs="Arial"/>
                <w:b/>
                <w:bCs/>
                <w:noProof/>
              </w:rPr>
              <w:t>4. Analysis</w:t>
            </w:r>
            <w:r>
              <w:rPr>
                <w:noProof/>
                <w:webHidden/>
              </w:rPr>
              <w:tab/>
            </w:r>
            <w:r>
              <w:rPr>
                <w:noProof/>
                <w:webHidden/>
              </w:rPr>
              <w:fldChar w:fldCharType="begin"/>
            </w:r>
            <w:r>
              <w:rPr>
                <w:noProof/>
                <w:webHidden/>
              </w:rPr>
              <w:instrText xml:space="preserve"> PAGEREF _Toc224570204 \h </w:instrText>
            </w:r>
            <w:r>
              <w:rPr>
                <w:noProof/>
                <w:webHidden/>
              </w:rPr>
            </w:r>
            <w:r>
              <w:rPr>
                <w:noProof/>
                <w:webHidden/>
              </w:rPr>
              <w:fldChar w:fldCharType="separate"/>
            </w:r>
            <w:r w:rsidR="00B66D9D">
              <w:rPr>
                <w:noProof/>
                <w:webHidden/>
              </w:rPr>
              <w:t>26</w:t>
            </w:r>
            <w:r>
              <w:rPr>
                <w:noProof/>
                <w:webHidden/>
              </w:rPr>
              <w:fldChar w:fldCharType="end"/>
            </w:r>
          </w:hyperlink>
        </w:p>
        <w:p w14:paraId="6EF65D94" w14:textId="44119854" w:rsidR="004747FF" w:rsidRDefault="004747FF">
          <w:pPr>
            <w:pStyle w:val="TOC2"/>
            <w:tabs>
              <w:tab w:val="right" w:leader="dot" w:pos="9016"/>
            </w:tabs>
            <w:rPr>
              <w:rFonts w:eastAsiaTheme="minorEastAsia"/>
              <w:noProof/>
              <w:lang w:eastAsia="en-IN"/>
            </w:rPr>
          </w:pPr>
          <w:hyperlink w:anchor="_Toc224570205" w:history="1">
            <w:r w:rsidRPr="00BB435F">
              <w:rPr>
                <w:rStyle w:val="Hyperlink"/>
                <w:rFonts w:ascii="Arial" w:hAnsi="Arial" w:cs="Arial"/>
                <w:b/>
                <w:bCs/>
                <w:noProof/>
              </w:rPr>
              <w:t>5. Conclusion</w:t>
            </w:r>
            <w:r>
              <w:rPr>
                <w:noProof/>
                <w:webHidden/>
              </w:rPr>
              <w:tab/>
            </w:r>
            <w:r>
              <w:rPr>
                <w:noProof/>
                <w:webHidden/>
              </w:rPr>
              <w:fldChar w:fldCharType="begin"/>
            </w:r>
            <w:r>
              <w:rPr>
                <w:noProof/>
                <w:webHidden/>
              </w:rPr>
              <w:instrText xml:space="preserve"> PAGEREF _Toc224570205 \h </w:instrText>
            </w:r>
            <w:r>
              <w:rPr>
                <w:noProof/>
                <w:webHidden/>
              </w:rPr>
            </w:r>
            <w:r>
              <w:rPr>
                <w:noProof/>
                <w:webHidden/>
              </w:rPr>
              <w:fldChar w:fldCharType="separate"/>
            </w:r>
            <w:r w:rsidR="00B66D9D">
              <w:rPr>
                <w:noProof/>
                <w:webHidden/>
              </w:rPr>
              <w:t>27</w:t>
            </w:r>
            <w:r>
              <w:rPr>
                <w:noProof/>
                <w:webHidden/>
              </w:rPr>
              <w:fldChar w:fldCharType="end"/>
            </w:r>
          </w:hyperlink>
        </w:p>
        <w:p w14:paraId="7C70DB51" w14:textId="37ABE429" w:rsidR="004747FF" w:rsidRDefault="004747FF">
          <w:pPr>
            <w:pStyle w:val="TOC2"/>
            <w:tabs>
              <w:tab w:val="right" w:leader="dot" w:pos="9016"/>
            </w:tabs>
            <w:rPr>
              <w:rFonts w:eastAsiaTheme="minorEastAsia"/>
              <w:noProof/>
              <w:lang w:eastAsia="en-IN"/>
            </w:rPr>
          </w:pPr>
          <w:hyperlink w:anchor="_Toc224570206" w:history="1">
            <w:r w:rsidRPr="00BB435F">
              <w:rPr>
                <w:rStyle w:val="Hyperlink"/>
                <w:rFonts w:ascii="Arial" w:hAnsi="Arial" w:cs="Arial"/>
                <w:b/>
                <w:bCs/>
                <w:noProof/>
              </w:rPr>
              <w:t>6. Action Plan</w:t>
            </w:r>
            <w:r>
              <w:rPr>
                <w:noProof/>
                <w:webHidden/>
              </w:rPr>
              <w:tab/>
            </w:r>
            <w:r>
              <w:rPr>
                <w:noProof/>
                <w:webHidden/>
              </w:rPr>
              <w:fldChar w:fldCharType="begin"/>
            </w:r>
            <w:r>
              <w:rPr>
                <w:noProof/>
                <w:webHidden/>
              </w:rPr>
              <w:instrText xml:space="preserve"> PAGEREF _Toc224570206 \h </w:instrText>
            </w:r>
            <w:r>
              <w:rPr>
                <w:noProof/>
                <w:webHidden/>
              </w:rPr>
            </w:r>
            <w:r>
              <w:rPr>
                <w:noProof/>
                <w:webHidden/>
              </w:rPr>
              <w:fldChar w:fldCharType="separate"/>
            </w:r>
            <w:r w:rsidR="00B66D9D">
              <w:rPr>
                <w:noProof/>
                <w:webHidden/>
              </w:rPr>
              <w:t>27</w:t>
            </w:r>
            <w:r>
              <w:rPr>
                <w:noProof/>
                <w:webHidden/>
              </w:rPr>
              <w:fldChar w:fldCharType="end"/>
            </w:r>
          </w:hyperlink>
        </w:p>
        <w:p w14:paraId="109AA9A4" w14:textId="16D4A92A" w:rsidR="004747FF" w:rsidRDefault="004747FF">
          <w:pPr>
            <w:pStyle w:val="TOC1"/>
            <w:tabs>
              <w:tab w:val="right" w:leader="dot" w:pos="9016"/>
            </w:tabs>
            <w:rPr>
              <w:rFonts w:eastAsiaTheme="minorEastAsia"/>
              <w:noProof/>
              <w:lang w:eastAsia="en-IN"/>
            </w:rPr>
          </w:pPr>
          <w:hyperlink w:anchor="_Toc224570207" w:history="1">
            <w:r w:rsidRPr="00BB435F">
              <w:rPr>
                <w:rStyle w:val="Hyperlink"/>
                <w:rFonts w:ascii="Arial" w:hAnsi="Arial" w:cs="Arial"/>
                <w:b/>
                <w:bCs/>
                <w:noProof/>
              </w:rPr>
              <w:t>Harvard Reference List</w:t>
            </w:r>
            <w:r>
              <w:rPr>
                <w:noProof/>
                <w:webHidden/>
              </w:rPr>
              <w:tab/>
            </w:r>
            <w:r>
              <w:rPr>
                <w:noProof/>
                <w:webHidden/>
              </w:rPr>
              <w:fldChar w:fldCharType="begin"/>
            </w:r>
            <w:r>
              <w:rPr>
                <w:noProof/>
                <w:webHidden/>
              </w:rPr>
              <w:instrText xml:space="preserve"> PAGEREF _Toc224570207 \h </w:instrText>
            </w:r>
            <w:r>
              <w:rPr>
                <w:noProof/>
                <w:webHidden/>
              </w:rPr>
            </w:r>
            <w:r>
              <w:rPr>
                <w:noProof/>
                <w:webHidden/>
              </w:rPr>
              <w:fldChar w:fldCharType="separate"/>
            </w:r>
            <w:r w:rsidR="00B66D9D">
              <w:rPr>
                <w:noProof/>
                <w:webHidden/>
              </w:rPr>
              <w:t>29</w:t>
            </w:r>
            <w:r>
              <w:rPr>
                <w:noProof/>
                <w:webHidden/>
              </w:rPr>
              <w:fldChar w:fldCharType="end"/>
            </w:r>
          </w:hyperlink>
        </w:p>
        <w:p w14:paraId="76646473" w14:textId="68581DE3" w:rsidR="00D8024F" w:rsidRPr="00AD27F0" w:rsidRDefault="0017526D" w:rsidP="00AD27F0">
          <w:r>
            <w:rPr>
              <w:b/>
              <w:bCs/>
              <w:lang w:val="en-GB"/>
            </w:rPr>
            <w:fldChar w:fldCharType="end"/>
          </w:r>
        </w:p>
      </w:sdtContent>
    </w:sdt>
    <w:p w14:paraId="2B5208BE" w14:textId="74C709D6" w:rsidR="00917494" w:rsidRPr="001D7131" w:rsidRDefault="00917494" w:rsidP="005922E2">
      <w:pPr>
        <w:pStyle w:val="Heading1"/>
        <w:jc w:val="both"/>
        <w:rPr>
          <w:rFonts w:ascii="Arial" w:hAnsi="Arial" w:cs="Arial"/>
          <w:b/>
          <w:bCs/>
          <w:color w:val="000000" w:themeColor="text1"/>
          <w:sz w:val="24"/>
          <w:szCs w:val="24"/>
        </w:rPr>
      </w:pPr>
      <w:bookmarkStart w:id="0" w:name="_Toc224570181"/>
      <w:r w:rsidRPr="001D7131">
        <w:rPr>
          <w:rFonts w:ascii="Arial" w:hAnsi="Arial" w:cs="Arial"/>
          <w:b/>
          <w:bCs/>
          <w:color w:val="000000" w:themeColor="text1"/>
          <w:sz w:val="24"/>
          <w:szCs w:val="24"/>
        </w:rPr>
        <w:lastRenderedPageBreak/>
        <w:t>SECTION 1</w:t>
      </w:r>
      <w:r w:rsidR="00C46E58">
        <w:rPr>
          <w:rFonts w:ascii="Arial" w:hAnsi="Arial" w:cs="Arial"/>
          <w:b/>
          <w:bCs/>
          <w:color w:val="000000" w:themeColor="text1"/>
          <w:sz w:val="24"/>
          <w:szCs w:val="24"/>
        </w:rPr>
        <w:t>.1</w:t>
      </w:r>
      <w:r w:rsidRPr="001D7131">
        <w:rPr>
          <w:rFonts w:ascii="Arial" w:hAnsi="Arial" w:cs="Arial"/>
          <w:b/>
          <w:bCs/>
          <w:color w:val="000000" w:themeColor="text1"/>
          <w:sz w:val="24"/>
          <w:szCs w:val="24"/>
        </w:rPr>
        <w:t>: Introduction</w:t>
      </w:r>
      <w:bookmarkEnd w:id="0"/>
    </w:p>
    <w:p w14:paraId="05262B6E" w14:textId="77777777" w:rsidR="00917494" w:rsidRPr="00913D2B" w:rsidRDefault="00917494" w:rsidP="00E24ACA">
      <w:pPr>
        <w:spacing w:line="360" w:lineRule="auto"/>
        <w:rPr>
          <w:rFonts w:ascii="Arial" w:hAnsi="Arial" w:cs="Arial"/>
        </w:rPr>
      </w:pPr>
    </w:p>
    <w:p w14:paraId="08B93393" w14:textId="1B05A897" w:rsidR="00E6128E" w:rsidRPr="00913D2B" w:rsidRDefault="00917494" w:rsidP="00AD27F0">
      <w:pPr>
        <w:spacing w:line="360" w:lineRule="auto"/>
        <w:jc w:val="both"/>
        <w:rPr>
          <w:rFonts w:ascii="Arial" w:hAnsi="Arial" w:cs="Arial"/>
        </w:rPr>
      </w:pPr>
      <w:r w:rsidRPr="00913D2B">
        <w:rPr>
          <w:rFonts w:ascii="Arial" w:hAnsi="Arial" w:cs="Arial"/>
        </w:rPr>
        <w:t>The purpose of this report is to critically analyse the strategic position of Suzuki Motor Corporation within the Indian automotive industry, one of the fastest</w:t>
      </w:r>
      <w:r w:rsidRPr="00913D2B">
        <w:rPr>
          <w:rFonts w:ascii="Cambria Math" w:hAnsi="Cambria Math" w:cs="Cambria Math"/>
        </w:rPr>
        <w:t>‑</w:t>
      </w:r>
      <w:r w:rsidRPr="00913D2B">
        <w:rPr>
          <w:rFonts w:ascii="Arial" w:hAnsi="Arial" w:cs="Arial"/>
        </w:rPr>
        <w:t>growing and most competitive markets globally</w:t>
      </w:r>
      <w:sdt>
        <w:sdtPr>
          <w:rPr>
            <w:rFonts w:ascii="Arial" w:hAnsi="Arial" w:cs="Arial"/>
          </w:rPr>
          <w:id w:val="-1708412254"/>
          <w:citation/>
        </w:sdtPr>
        <w:sdtEndPr/>
        <w:sdtContent>
          <w:r w:rsidR="001159AE">
            <w:rPr>
              <w:rFonts w:ascii="Arial" w:hAnsi="Arial" w:cs="Arial"/>
            </w:rPr>
            <w:fldChar w:fldCharType="begin"/>
          </w:r>
          <w:r w:rsidR="001159AE">
            <w:rPr>
              <w:rFonts w:ascii="Arial" w:hAnsi="Arial" w:cs="Arial"/>
            </w:rPr>
            <w:instrText xml:space="preserve"> CITATION IBE24 \l 16393 </w:instrText>
          </w:r>
          <w:r w:rsidR="001159AE">
            <w:rPr>
              <w:rFonts w:ascii="Arial" w:hAnsi="Arial" w:cs="Arial"/>
            </w:rPr>
            <w:fldChar w:fldCharType="separate"/>
          </w:r>
          <w:r w:rsidR="001159AE">
            <w:rPr>
              <w:rFonts w:ascii="Arial" w:hAnsi="Arial" w:cs="Arial"/>
              <w:noProof/>
            </w:rPr>
            <w:t xml:space="preserve"> </w:t>
          </w:r>
          <w:r w:rsidR="001159AE" w:rsidRPr="001159AE">
            <w:rPr>
              <w:rFonts w:ascii="Arial" w:hAnsi="Arial" w:cs="Arial"/>
              <w:noProof/>
            </w:rPr>
            <w:t>(IBEF, 2024)</w:t>
          </w:r>
          <w:r w:rsidR="001159AE">
            <w:rPr>
              <w:rFonts w:ascii="Arial" w:hAnsi="Arial" w:cs="Arial"/>
            </w:rPr>
            <w:fldChar w:fldCharType="end"/>
          </w:r>
        </w:sdtContent>
      </w:sdt>
      <w:r w:rsidRPr="00913D2B">
        <w:rPr>
          <w:rFonts w:ascii="Arial" w:hAnsi="Arial" w:cs="Arial"/>
        </w:rPr>
        <w:t>. As a multinational corporation operating in a complex emerging</w:t>
      </w:r>
      <w:r w:rsidRPr="00913D2B">
        <w:rPr>
          <w:rFonts w:ascii="Cambria Math" w:hAnsi="Cambria Math" w:cs="Cambria Math"/>
        </w:rPr>
        <w:t>‑</w:t>
      </w:r>
      <w:r w:rsidRPr="00913D2B">
        <w:rPr>
          <w:rFonts w:ascii="Arial" w:hAnsi="Arial" w:cs="Arial"/>
        </w:rPr>
        <w:t>market environment, Suzuki must navigate a wide range of external, institutional, and competitive pressures that influence its long</w:t>
      </w:r>
      <w:r w:rsidRPr="00913D2B">
        <w:rPr>
          <w:rFonts w:ascii="Cambria Math" w:hAnsi="Cambria Math" w:cs="Cambria Math"/>
        </w:rPr>
        <w:t>‑</w:t>
      </w:r>
      <w:r w:rsidRPr="00913D2B">
        <w:rPr>
          <w:rFonts w:ascii="Arial" w:hAnsi="Arial" w:cs="Arial"/>
        </w:rPr>
        <w:t>term performance</w:t>
      </w:r>
      <w:sdt>
        <w:sdtPr>
          <w:rPr>
            <w:rFonts w:ascii="Arial" w:hAnsi="Arial" w:cs="Arial"/>
          </w:rPr>
          <w:id w:val="985510376"/>
          <w:citation/>
        </w:sdtPr>
        <w:sdtEndPr/>
        <w:sdtContent>
          <w:r w:rsidR="001159AE">
            <w:rPr>
              <w:rFonts w:ascii="Arial" w:hAnsi="Arial" w:cs="Arial"/>
            </w:rPr>
            <w:fldChar w:fldCharType="begin"/>
          </w:r>
          <w:r w:rsidR="001159AE">
            <w:rPr>
              <w:rFonts w:ascii="Arial" w:hAnsi="Arial" w:cs="Arial"/>
            </w:rPr>
            <w:instrText xml:space="preserve"> CITATION HIL201 \l 16393 </w:instrText>
          </w:r>
          <w:r w:rsidR="001159AE">
            <w:rPr>
              <w:rFonts w:ascii="Arial" w:hAnsi="Arial" w:cs="Arial"/>
            </w:rPr>
            <w:fldChar w:fldCharType="separate"/>
          </w:r>
          <w:r w:rsidR="001159AE">
            <w:rPr>
              <w:rFonts w:ascii="Arial" w:hAnsi="Arial" w:cs="Arial"/>
              <w:noProof/>
            </w:rPr>
            <w:t xml:space="preserve"> </w:t>
          </w:r>
          <w:r w:rsidR="001159AE" w:rsidRPr="001159AE">
            <w:rPr>
              <w:rFonts w:ascii="Arial" w:hAnsi="Arial" w:cs="Arial"/>
              <w:noProof/>
            </w:rPr>
            <w:t>(HILL, 2020)</w:t>
          </w:r>
          <w:r w:rsidR="001159AE">
            <w:rPr>
              <w:rFonts w:ascii="Arial" w:hAnsi="Arial" w:cs="Arial"/>
            </w:rPr>
            <w:fldChar w:fldCharType="end"/>
          </w:r>
        </w:sdtContent>
      </w:sdt>
      <w:r w:rsidRPr="00913D2B">
        <w:rPr>
          <w:rFonts w:ascii="Arial" w:hAnsi="Arial" w:cs="Arial"/>
        </w:rPr>
        <w:t>. This report applies several international business frameworks—including PESTEL, Porter’s Diamond Model, the CAGE framework, and Institutional Theory—to evaluate the opportunities and challenges shaping Suzuki’s operations in India. It also assesses the attractiveness of the Indian automotive market and examines how industry dynamics, government policies, and evolving consumer preferences impact Suzuki’s strategic decisions. The analysis culminates in a set of evidence</w:t>
      </w:r>
      <w:r w:rsidRPr="00913D2B">
        <w:rPr>
          <w:rFonts w:ascii="Cambria Math" w:hAnsi="Cambria Math" w:cs="Cambria Math"/>
        </w:rPr>
        <w:t>‑</w:t>
      </w:r>
      <w:r w:rsidRPr="00913D2B">
        <w:rPr>
          <w:rFonts w:ascii="Arial" w:hAnsi="Arial" w:cs="Arial"/>
        </w:rPr>
        <w:t>based recommendations designed to strengthen Suzuki’s competitive advantage and support its future growth in an industry undergoing rapid technological and regulatory transformation.</w:t>
      </w:r>
    </w:p>
    <w:p w14:paraId="3AF65960" w14:textId="77777777" w:rsidR="001D7131" w:rsidRDefault="001D7131" w:rsidP="001D7131">
      <w:pPr>
        <w:pStyle w:val="Heading2"/>
        <w:jc w:val="center"/>
      </w:pPr>
    </w:p>
    <w:p w14:paraId="602365F0" w14:textId="6488AB52" w:rsidR="005922E2" w:rsidRDefault="00917494" w:rsidP="00D86525">
      <w:pPr>
        <w:pStyle w:val="Heading2"/>
        <w:rPr>
          <w:rFonts w:ascii="Arial" w:hAnsi="Arial" w:cs="Arial"/>
          <w:b/>
          <w:bCs/>
          <w:color w:val="000000" w:themeColor="text1"/>
          <w:sz w:val="24"/>
          <w:szCs w:val="24"/>
        </w:rPr>
      </w:pPr>
      <w:bookmarkStart w:id="1" w:name="_Toc224570182"/>
      <w:r w:rsidRPr="001D7131">
        <w:rPr>
          <w:rFonts w:ascii="Arial" w:hAnsi="Arial" w:cs="Arial"/>
          <w:b/>
          <w:bCs/>
          <w:color w:val="000000" w:themeColor="text1"/>
          <w:sz w:val="24"/>
          <w:szCs w:val="24"/>
        </w:rPr>
        <w:t>SECTION 1.2: Industry and Country Overview</w:t>
      </w:r>
      <w:bookmarkEnd w:id="1"/>
      <w:r w:rsidRPr="001D7131">
        <w:rPr>
          <w:rFonts w:ascii="Arial" w:hAnsi="Arial" w:cs="Arial"/>
          <w:b/>
          <w:bCs/>
          <w:color w:val="000000" w:themeColor="text1"/>
          <w:sz w:val="24"/>
          <w:szCs w:val="24"/>
        </w:rPr>
        <w:t xml:space="preserve"> </w:t>
      </w:r>
    </w:p>
    <w:p w14:paraId="444A33AC" w14:textId="77777777" w:rsidR="00D86525" w:rsidRPr="00D86525" w:rsidRDefault="00D86525" w:rsidP="00D86525"/>
    <w:p w14:paraId="0CC78236" w14:textId="0F213610" w:rsidR="00917494" w:rsidRDefault="005922E2" w:rsidP="005922E2">
      <w:r w:rsidRPr="005922E2">
        <w:rPr>
          <w:noProof/>
        </w:rPr>
        <w:drawing>
          <wp:inline distT="0" distB="0" distL="0" distR="0" wp14:anchorId="32EDF53E" wp14:editId="3373A390">
            <wp:extent cx="5731510" cy="3124200"/>
            <wp:effectExtent l="0" t="0" r="2540" b="0"/>
            <wp:docPr id="6185253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124200"/>
                    </a:xfrm>
                    <a:prstGeom prst="rect">
                      <a:avLst/>
                    </a:prstGeom>
                    <a:noFill/>
                    <a:ln>
                      <a:noFill/>
                    </a:ln>
                  </pic:spPr>
                </pic:pic>
              </a:graphicData>
            </a:graphic>
          </wp:inline>
        </w:drawing>
      </w:r>
    </w:p>
    <w:p w14:paraId="19F7614D" w14:textId="7C511399" w:rsidR="00D86525" w:rsidRPr="005922E2" w:rsidRDefault="00D86525" w:rsidP="00D86525">
      <w:pPr>
        <w:jc w:val="center"/>
      </w:pPr>
      <w:r>
        <w:t>Fig.</w:t>
      </w:r>
      <w:proofErr w:type="gramStart"/>
      <w:r>
        <w:t xml:space="preserve">01 </w:t>
      </w:r>
      <w:r w:rsidR="00D8337F">
        <w:t>:</w:t>
      </w:r>
      <w:proofErr w:type="gramEnd"/>
      <w:r w:rsidR="00017F3C">
        <w:t xml:space="preserve"> </w:t>
      </w:r>
      <w:r w:rsidR="00D8337F">
        <w:t xml:space="preserve">Growth of the Indian Automotive Market </w:t>
      </w:r>
    </w:p>
    <w:p w14:paraId="5CDB0B9C" w14:textId="54DFCDA8" w:rsidR="00917494" w:rsidRPr="00913D2B" w:rsidRDefault="00917494" w:rsidP="00AD27F0">
      <w:pPr>
        <w:pBdr>
          <w:bottom w:val="single" w:sz="6" w:space="1" w:color="auto"/>
        </w:pBdr>
        <w:spacing w:line="360" w:lineRule="auto"/>
        <w:jc w:val="both"/>
        <w:rPr>
          <w:rFonts w:ascii="Arial" w:hAnsi="Arial" w:cs="Arial"/>
        </w:rPr>
      </w:pPr>
      <w:r w:rsidRPr="00913D2B">
        <w:rPr>
          <w:rFonts w:ascii="Arial" w:hAnsi="Arial" w:cs="Arial"/>
        </w:rPr>
        <w:lastRenderedPageBreak/>
        <w:t>The Indian automotive industry is one of the most significant contributors to the country’s economic development</w:t>
      </w:r>
      <w:r w:rsidR="00AD27F0">
        <w:rPr>
          <w:rFonts w:ascii="Arial" w:hAnsi="Arial" w:cs="Arial"/>
        </w:rPr>
        <w:t xml:space="preserve"> and employment </w:t>
      </w:r>
      <w:sdt>
        <w:sdtPr>
          <w:rPr>
            <w:rFonts w:ascii="Arial" w:hAnsi="Arial" w:cs="Arial"/>
          </w:rPr>
          <w:id w:val="-1999340743"/>
          <w:citation/>
        </w:sdtPr>
        <w:sdtEndPr/>
        <w:sdtContent>
          <w:r w:rsidR="00AD27F0">
            <w:rPr>
              <w:rFonts w:ascii="Arial" w:hAnsi="Arial" w:cs="Arial"/>
            </w:rPr>
            <w:fldChar w:fldCharType="begin"/>
          </w:r>
          <w:r w:rsidR="00AD27F0">
            <w:rPr>
              <w:rFonts w:ascii="Arial" w:hAnsi="Arial" w:cs="Arial"/>
            </w:rPr>
            <w:instrText xml:space="preserve"> CITATION IBE24 \l 16393 </w:instrText>
          </w:r>
          <w:r w:rsidR="00AD27F0">
            <w:rPr>
              <w:rFonts w:ascii="Arial" w:hAnsi="Arial" w:cs="Arial"/>
            </w:rPr>
            <w:fldChar w:fldCharType="separate"/>
          </w:r>
          <w:r w:rsidR="00AD27F0" w:rsidRPr="00AD27F0">
            <w:rPr>
              <w:rFonts w:ascii="Arial" w:hAnsi="Arial" w:cs="Arial"/>
              <w:noProof/>
            </w:rPr>
            <w:t>(IBEF, 2024)</w:t>
          </w:r>
          <w:r w:rsidR="00AD27F0">
            <w:rPr>
              <w:rFonts w:ascii="Arial" w:hAnsi="Arial" w:cs="Arial"/>
            </w:rPr>
            <w:fldChar w:fldCharType="end"/>
          </w:r>
        </w:sdtContent>
      </w:sdt>
      <w:sdt>
        <w:sdtPr>
          <w:rPr>
            <w:rFonts w:ascii="Arial" w:hAnsi="Arial" w:cs="Arial"/>
          </w:rPr>
          <w:id w:val="637931846"/>
          <w:citation/>
        </w:sdtPr>
        <w:sdtEndPr/>
        <w:sdtContent>
          <w:r w:rsidR="001159AE">
            <w:rPr>
              <w:rFonts w:ascii="Arial" w:hAnsi="Arial" w:cs="Arial"/>
            </w:rPr>
            <w:fldChar w:fldCharType="begin"/>
          </w:r>
          <w:r w:rsidR="001159AE">
            <w:rPr>
              <w:rFonts w:ascii="Arial" w:hAnsi="Arial" w:cs="Arial"/>
            </w:rPr>
            <w:instrText xml:space="preserve"> CITATION Gov23 \l 16393 </w:instrText>
          </w:r>
          <w:r w:rsidR="001159AE">
            <w:rPr>
              <w:rFonts w:ascii="Arial" w:hAnsi="Arial" w:cs="Arial"/>
            </w:rPr>
            <w:fldChar w:fldCharType="separate"/>
          </w:r>
          <w:r w:rsidR="001159AE">
            <w:rPr>
              <w:rFonts w:ascii="Arial" w:hAnsi="Arial" w:cs="Arial"/>
              <w:noProof/>
            </w:rPr>
            <w:t xml:space="preserve"> </w:t>
          </w:r>
          <w:r w:rsidR="001159AE" w:rsidRPr="001159AE">
            <w:rPr>
              <w:rFonts w:ascii="Arial" w:hAnsi="Arial" w:cs="Arial"/>
              <w:noProof/>
            </w:rPr>
            <w:t>(Government of India, 2023)</w:t>
          </w:r>
          <w:r w:rsidR="001159AE">
            <w:rPr>
              <w:rFonts w:ascii="Arial" w:hAnsi="Arial" w:cs="Arial"/>
            </w:rPr>
            <w:fldChar w:fldCharType="end"/>
          </w:r>
        </w:sdtContent>
      </w:sdt>
      <w:r w:rsidRPr="00913D2B">
        <w:rPr>
          <w:rFonts w:ascii="Arial" w:hAnsi="Arial" w:cs="Arial"/>
        </w:rPr>
        <w:t>. As one of the world’s largest automotive markets, India plays a central role in global mobility trends, manufacturing networks</w:t>
      </w:r>
      <w:sdt>
        <w:sdtPr>
          <w:rPr>
            <w:rFonts w:ascii="Arial" w:hAnsi="Arial" w:cs="Arial"/>
          </w:rPr>
          <w:id w:val="1849062943"/>
          <w:citation/>
        </w:sdtPr>
        <w:sdtEndPr/>
        <w:sdtContent>
          <w:r w:rsidR="00AB334A">
            <w:rPr>
              <w:rFonts w:ascii="Arial" w:hAnsi="Arial" w:cs="Arial"/>
            </w:rPr>
            <w:fldChar w:fldCharType="begin"/>
          </w:r>
          <w:r w:rsidR="00AB334A">
            <w:rPr>
              <w:rFonts w:ascii="Arial" w:hAnsi="Arial" w:cs="Arial"/>
            </w:rPr>
            <w:instrText xml:space="preserve"> CITATION OEC22 \l 16393 </w:instrText>
          </w:r>
          <w:r w:rsidR="00AB334A">
            <w:rPr>
              <w:rFonts w:ascii="Arial" w:hAnsi="Arial" w:cs="Arial"/>
            </w:rPr>
            <w:fldChar w:fldCharType="separate"/>
          </w:r>
          <w:r w:rsidR="00AB334A">
            <w:rPr>
              <w:rFonts w:ascii="Arial" w:hAnsi="Arial" w:cs="Arial"/>
              <w:noProof/>
            </w:rPr>
            <w:t xml:space="preserve"> </w:t>
          </w:r>
          <w:r w:rsidR="00AB334A" w:rsidRPr="00AB334A">
            <w:rPr>
              <w:rFonts w:ascii="Arial" w:hAnsi="Arial" w:cs="Arial"/>
              <w:noProof/>
            </w:rPr>
            <w:t>(OECD, 2022)</w:t>
          </w:r>
          <w:r w:rsidR="00AB334A">
            <w:rPr>
              <w:rFonts w:ascii="Arial" w:hAnsi="Arial" w:cs="Arial"/>
            </w:rPr>
            <w:fldChar w:fldCharType="end"/>
          </w:r>
        </w:sdtContent>
      </w:sdt>
      <w:sdt>
        <w:sdtPr>
          <w:rPr>
            <w:rFonts w:ascii="Arial" w:hAnsi="Arial" w:cs="Arial"/>
          </w:rPr>
          <w:id w:val="37018010"/>
          <w:citation/>
        </w:sdtPr>
        <w:sdtEndPr/>
        <w:sdtContent>
          <w:r w:rsidR="00AB334A">
            <w:rPr>
              <w:rFonts w:ascii="Arial" w:hAnsi="Arial" w:cs="Arial"/>
            </w:rPr>
            <w:fldChar w:fldCharType="begin"/>
          </w:r>
          <w:r w:rsidR="00AB334A">
            <w:rPr>
              <w:rFonts w:ascii="Arial" w:hAnsi="Arial" w:cs="Arial"/>
            </w:rPr>
            <w:instrText xml:space="preserve"> CITATION McK23 \l 16393 </w:instrText>
          </w:r>
          <w:r w:rsidR="00AB334A">
            <w:rPr>
              <w:rFonts w:ascii="Arial" w:hAnsi="Arial" w:cs="Arial"/>
            </w:rPr>
            <w:fldChar w:fldCharType="separate"/>
          </w:r>
          <w:r w:rsidR="00AB334A">
            <w:rPr>
              <w:rFonts w:ascii="Arial" w:hAnsi="Arial" w:cs="Arial"/>
              <w:noProof/>
            </w:rPr>
            <w:t xml:space="preserve"> </w:t>
          </w:r>
          <w:r w:rsidR="00AB334A" w:rsidRPr="00AB334A">
            <w:rPr>
              <w:rFonts w:ascii="Arial" w:hAnsi="Arial" w:cs="Arial"/>
              <w:noProof/>
            </w:rPr>
            <w:t>(McKinsey and Company, 2023)</w:t>
          </w:r>
          <w:r w:rsidR="00AB334A">
            <w:rPr>
              <w:rFonts w:ascii="Arial" w:hAnsi="Arial" w:cs="Arial"/>
            </w:rPr>
            <w:fldChar w:fldCharType="end"/>
          </w:r>
        </w:sdtContent>
      </w:sdt>
      <w:r w:rsidRPr="00913D2B">
        <w:rPr>
          <w:rFonts w:ascii="Arial" w:hAnsi="Arial" w:cs="Arial"/>
        </w:rPr>
        <w:t>, and supply</w:t>
      </w:r>
      <w:r w:rsidRPr="00913D2B">
        <w:rPr>
          <w:rFonts w:ascii="Cambria Math" w:hAnsi="Cambria Math" w:cs="Cambria Math"/>
        </w:rPr>
        <w:t>‑</w:t>
      </w:r>
      <w:r w:rsidRPr="00913D2B">
        <w:rPr>
          <w:rFonts w:ascii="Arial" w:hAnsi="Arial" w:cs="Arial"/>
        </w:rPr>
        <w:t>chain integration. The sector contributes substantially to national GDP, supports millions of jobs, and drives innovation across engineering, digital technologies, and component manufacturing. Over the past two decades, India has transitioned from a protected, domestically focused market to a globally competitive automotive hub, attracting multinational corporations and fostering strong domestic players.</w:t>
      </w:r>
    </w:p>
    <w:p w14:paraId="5A595023" w14:textId="77777777" w:rsidR="00917494" w:rsidRPr="00913D2B" w:rsidRDefault="00917494" w:rsidP="00E24ACA">
      <w:pPr>
        <w:pBdr>
          <w:bottom w:val="single" w:sz="6" w:space="1" w:color="auto"/>
        </w:pBdr>
        <w:spacing w:line="360" w:lineRule="auto"/>
        <w:rPr>
          <w:rFonts w:ascii="Arial" w:hAnsi="Arial" w:cs="Arial"/>
        </w:rPr>
      </w:pPr>
    </w:p>
    <w:p w14:paraId="2F644135" w14:textId="18718EE5" w:rsidR="00917494" w:rsidRPr="00913D2B" w:rsidRDefault="00917494" w:rsidP="005D75A9">
      <w:pPr>
        <w:pBdr>
          <w:bottom w:val="single" w:sz="6" w:space="1" w:color="auto"/>
        </w:pBdr>
        <w:spacing w:line="360" w:lineRule="auto"/>
        <w:jc w:val="both"/>
        <w:rPr>
          <w:rFonts w:ascii="Arial" w:hAnsi="Arial" w:cs="Arial"/>
        </w:rPr>
      </w:pPr>
      <w:r w:rsidRPr="00913D2B">
        <w:rPr>
          <w:rFonts w:ascii="Arial" w:hAnsi="Arial" w:cs="Arial"/>
        </w:rPr>
        <w:t>A defining feature of the Indian automotive market is its demographic and economic structure. With a population exceeding 1.4 billion and a median age of around 28, India has one of the youngest consumer bases globally. This demographic advantage fuels long</w:t>
      </w:r>
      <w:r w:rsidRPr="00913D2B">
        <w:rPr>
          <w:rFonts w:ascii="Cambria Math" w:hAnsi="Cambria Math" w:cs="Cambria Math"/>
        </w:rPr>
        <w:t>‑</w:t>
      </w:r>
      <w:r w:rsidRPr="00913D2B">
        <w:rPr>
          <w:rFonts w:ascii="Arial" w:hAnsi="Arial" w:cs="Arial"/>
        </w:rPr>
        <w:t>term demand for personal mobility, particularly as rising incomes and urbanisation reshape lifestyle aspirations. Car ownership remains relatively low compared to other emerging economies, indicating significant room for future growth</w:t>
      </w:r>
      <w:sdt>
        <w:sdtPr>
          <w:rPr>
            <w:rFonts w:ascii="Arial" w:hAnsi="Arial" w:cs="Arial"/>
          </w:rPr>
          <w:id w:val="704439877"/>
          <w:citation/>
        </w:sdtPr>
        <w:sdtEndPr/>
        <w:sdtContent>
          <w:r w:rsidR="00AB334A">
            <w:rPr>
              <w:rFonts w:ascii="Arial" w:hAnsi="Arial" w:cs="Arial"/>
            </w:rPr>
            <w:fldChar w:fldCharType="begin"/>
          </w:r>
          <w:r w:rsidR="00AB334A">
            <w:rPr>
              <w:rFonts w:ascii="Arial" w:hAnsi="Arial" w:cs="Arial"/>
            </w:rPr>
            <w:instrText xml:space="preserve"> CITATION Wor24 \l 16393 </w:instrText>
          </w:r>
          <w:r w:rsidR="00AB334A">
            <w:rPr>
              <w:rFonts w:ascii="Arial" w:hAnsi="Arial" w:cs="Arial"/>
            </w:rPr>
            <w:fldChar w:fldCharType="separate"/>
          </w:r>
          <w:r w:rsidR="00AB334A">
            <w:rPr>
              <w:rFonts w:ascii="Arial" w:hAnsi="Arial" w:cs="Arial"/>
              <w:noProof/>
            </w:rPr>
            <w:t xml:space="preserve"> </w:t>
          </w:r>
          <w:r w:rsidR="00AB334A" w:rsidRPr="00AB334A">
            <w:rPr>
              <w:rFonts w:ascii="Arial" w:hAnsi="Arial" w:cs="Arial"/>
              <w:noProof/>
            </w:rPr>
            <w:t>(World Bank, 2024)</w:t>
          </w:r>
          <w:r w:rsidR="00AB334A">
            <w:rPr>
              <w:rFonts w:ascii="Arial" w:hAnsi="Arial" w:cs="Arial"/>
            </w:rPr>
            <w:fldChar w:fldCharType="end"/>
          </w:r>
        </w:sdtContent>
      </w:sdt>
      <w:r w:rsidRPr="00913D2B">
        <w:rPr>
          <w:rFonts w:ascii="Arial" w:hAnsi="Arial" w:cs="Arial"/>
        </w:rPr>
        <w:t>. The expanding middle class, increasing female workforce participation, and growing preference for personal transportation—especially after the COVID</w:t>
      </w:r>
      <w:r w:rsidRPr="00913D2B">
        <w:rPr>
          <w:rFonts w:ascii="Cambria Math" w:hAnsi="Cambria Math" w:cs="Cambria Math"/>
        </w:rPr>
        <w:t>‑</w:t>
      </w:r>
      <w:r w:rsidRPr="00913D2B">
        <w:rPr>
          <w:rFonts w:ascii="Arial" w:hAnsi="Arial" w:cs="Arial"/>
        </w:rPr>
        <w:t>19 pandemic—continue to drive vehicle demand across segments.</w:t>
      </w:r>
    </w:p>
    <w:p w14:paraId="342656B6" w14:textId="77777777" w:rsidR="00917494" w:rsidRPr="00913D2B" w:rsidRDefault="00917494" w:rsidP="00E24ACA">
      <w:pPr>
        <w:pBdr>
          <w:bottom w:val="single" w:sz="6" w:space="1" w:color="auto"/>
        </w:pBdr>
        <w:spacing w:line="360" w:lineRule="auto"/>
        <w:rPr>
          <w:rFonts w:ascii="Arial" w:hAnsi="Arial" w:cs="Arial"/>
        </w:rPr>
      </w:pPr>
    </w:p>
    <w:p w14:paraId="3DD95065" w14:textId="77777777" w:rsidR="00917494" w:rsidRPr="00913D2B" w:rsidRDefault="00917494" w:rsidP="005D75A9">
      <w:pPr>
        <w:pBdr>
          <w:bottom w:val="single" w:sz="6" w:space="1" w:color="auto"/>
        </w:pBdr>
        <w:spacing w:line="360" w:lineRule="auto"/>
        <w:jc w:val="both"/>
        <w:rPr>
          <w:rFonts w:ascii="Arial" w:hAnsi="Arial" w:cs="Arial"/>
        </w:rPr>
      </w:pPr>
      <w:r w:rsidRPr="00913D2B">
        <w:rPr>
          <w:rFonts w:ascii="Arial" w:hAnsi="Arial" w:cs="Arial"/>
        </w:rPr>
        <w:t>Consumer behaviour in India is shaped by a combination of affordability, practicality, and evolving expectations. Historically, the market has been dominated by compact cars and entry</w:t>
      </w:r>
      <w:r w:rsidRPr="00913D2B">
        <w:rPr>
          <w:rFonts w:ascii="Cambria Math" w:hAnsi="Cambria Math" w:cs="Cambria Math"/>
        </w:rPr>
        <w:t>‑</w:t>
      </w:r>
      <w:r w:rsidRPr="00913D2B">
        <w:rPr>
          <w:rFonts w:ascii="Arial" w:hAnsi="Arial" w:cs="Arial"/>
        </w:rPr>
        <w:t>level hatchbacks due to their low cost, fuel efficiency, and suitability for congested urban environments. However, recent years have seen a shift towards compact SUVs and feature</w:t>
      </w:r>
      <w:r w:rsidRPr="00913D2B">
        <w:rPr>
          <w:rFonts w:ascii="Cambria Math" w:hAnsi="Cambria Math" w:cs="Cambria Math"/>
        </w:rPr>
        <w:t>‑</w:t>
      </w:r>
      <w:r w:rsidRPr="00913D2B">
        <w:rPr>
          <w:rFonts w:ascii="Arial" w:hAnsi="Arial" w:cs="Arial"/>
        </w:rPr>
        <w:t>rich models, reflecting rising aspirations and greater emphasis on safety, comfort, and technology. Urban consumers increasingly expect advanced infotainment systems, connectivity features, and enhanced safety ratings, while rural buyers prioritise durability, low maintenance costs, and fuel economy. This diversity in consumer preferences requires manufacturers to adopt highly segmented product strategies.</w:t>
      </w:r>
    </w:p>
    <w:p w14:paraId="54EE0915" w14:textId="77777777" w:rsidR="00917494" w:rsidRPr="00913D2B" w:rsidRDefault="00917494" w:rsidP="005D75A9">
      <w:pPr>
        <w:pBdr>
          <w:bottom w:val="single" w:sz="6" w:space="1" w:color="auto"/>
        </w:pBdr>
        <w:spacing w:line="360" w:lineRule="auto"/>
        <w:jc w:val="both"/>
        <w:rPr>
          <w:rFonts w:ascii="Arial" w:hAnsi="Arial" w:cs="Arial"/>
        </w:rPr>
      </w:pPr>
    </w:p>
    <w:p w14:paraId="4ADF5507" w14:textId="77777777" w:rsidR="00917494" w:rsidRPr="00913D2B" w:rsidRDefault="00917494" w:rsidP="005D75A9">
      <w:pPr>
        <w:pBdr>
          <w:bottom w:val="single" w:sz="6" w:space="1" w:color="auto"/>
        </w:pBdr>
        <w:spacing w:line="360" w:lineRule="auto"/>
        <w:jc w:val="both"/>
        <w:rPr>
          <w:rFonts w:ascii="Arial" w:hAnsi="Arial" w:cs="Arial"/>
        </w:rPr>
      </w:pPr>
      <w:r w:rsidRPr="00913D2B">
        <w:rPr>
          <w:rFonts w:ascii="Arial" w:hAnsi="Arial" w:cs="Arial"/>
        </w:rPr>
        <w:lastRenderedPageBreak/>
        <w:t>India’s economic environment further reinforces the attractiveness of the automotive sector. Steady GDP growth, expanding credit access, and the proliferation of vehicle financing options have made car ownership more accessible. Financial institutions and digital lending platforms offer competitive interest rates and flexible repayment structures, supporting demand across income groups. However, economic volatility—including inflation, fluctuating fuel prices, and currency depreciation—can influence purchasing decisions, particularly in price</w:t>
      </w:r>
      <w:r w:rsidRPr="00913D2B">
        <w:rPr>
          <w:rFonts w:ascii="Cambria Math" w:hAnsi="Cambria Math" w:cs="Cambria Math"/>
        </w:rPr>
        <w:t>‑</w:t>
      </w:r>
      <w:r w:rsidRPr="00913D2B">
        <w:rPr>
          <w:rFonts w:ascii="Arial" w:hAnsi="Arial" w:cs="Arial"/>
        </w:rPr>
        <w:t>sensitive segments. Despite these fluctuations, the long</w:t>
      </w:r>
      <w:r w:rsidRPr="00913D2B">
        <w:rPr>
          <w:rFonts w:ascii="Cambria Math" w:hAnsi="Cambria Math" w:cs="Cambria Math"/>
        </w:rPr>
        <w:t>‑</w:t>
      </w:r>
      <w:r w:rsidRPr="00913D2B">
        <w:rPr>
          <w:rFonts w:ascii="Arial" w:hAnsi="Arial" w:cs="Arial"/>
        </w:rPr>
        <w:t>term economic outlook remains favourable, with strong potential for sustained growth in vehicle sales.</w:t>
      </w:r>
    </w:p>
    <w:p w14:paraId="74CDC4AF" w14:textId="77777777" w:rsidR="00917494" w:rsidRPr="00913D2B" w:rsidRDefault="00917494" w:rsidP="005D75A9">
      <w:pPr>
        <w:pBdr>
          <w:bottom w:val="single" w:sz="6" w:space="1" w:color="auto"/>
        </w:pBdr>
        <w:spacing w:line="360" w:lineRule="auto"/>
        <w:jc w:val="both"/>
        <w:rPr>
          <w:rFonts w:ascii="Arial" w:hAnsi="Arial" w:cs="Arial"/>
        </w:rPr>
      </w:pPr>
    </w:p>
    <w:p w14:paraId="14FF50EF" w14:textId="1832470C" w:rsidR="00917494" w:rsidRPr="00913D2B" w:rsidRDefault="00917494" w:rsidP="005D75A9">
      <w:pPr>
        <w:pBdr>
          <w:bottom w:val="single" w:sz="6" w:space="1" w:color="auto"/>
        </w:pBdr>
        <w:spacing w:line="360" w:lineRule="auto"/>
        <w:jc w:val="both"/>
        <w:rPr>
          <w:rFonts w:ascii="Arial" w:hAnsi="Arial" w:cs="Arial"/>
        </w:rPr>
      </w:pPr>
      <w:r w:rsidRPr="00913D2B">
        <w:rPr>
          <w:rFonts w:ascii="Arial" w:hAnsi="Arial" w:cs="Arial"/>
        </w:rPr>
        <w:t>Government policy plays a pivotal role in shaping the industry’s trajectory. Initiatives such as “Make in India” and the Automotive Mission Plan (AMP) 2016–26 aim to strengthen domestic manufacturing, enhance global competitiveness, and promote technological advancement. The Production Linked Incentive (PLI) scheme for advanced automotive technologies encourages investment in electric vehicles (EVs), hydrogen technologies, and high</w:t>
      </w:r>
      <w:r w:rsidRPr="00913D2B">
        <w:rPr>
          <w:rFonts w:ascii="Cambria Math" w:hAnsi="Cambria Math" w:cs="Cambria Math"/>
        </w:rPr>
        <w:t>‑</w:t>
      </w:r>
      <w:r w:rsidRPr="00913D2B">
        <w:rPr>
          <w:rFonts w:ascii="Arial" w:hAnsi="Arial" w:cs="Arial"/>
        </w:rPr>
        <w:t>value components. These policies support localisation, attract foreign investment, and incentivise innovation. The Faster Adoption and Manufacturing of Electric Vehicles (FAME) scheme further accelerates the transition towards cleaner mobility by offering subsidies for EVs and supporting the development of charging infrastructure</w:t>
      </w:r>
      <w:sdt>
        <w:sdtPr>
          <w:rPr>
            <w:rFonts w:ascii="Arial" w:hAnsi="Arial" w:cs="Arial"/>
          </w:rPr>
          <w:id w:val="-1441831783"/>
          <w:citation/>
        </w:sdtPr>
        <w:sdtEndPr/>
        <w:sdtContent>
          <w:r w:rsidR="00AB334A">
            <w:rPr>
              <w:rFonts w:ascii="Arial" w:hAnsi="Arial" w:cs="Arial"/>
            </w:rPr>
            <w:fldChar w:fldCharType="begin"/>
          </w:r>
          <w:r w:rsidR="00AB334A">
            <w:rPr>
              <w:rFonts w:ascii="Arial" w:hAnsi="Arial" w:cs="Arial"/>
            </w:rPr>
            <w:instrText xml:space="preserve"> CITATION NIT23 \l 16393 </w:instrText>
          </w:r>
          <w:r w:rsidR="00AB334A">
            <w:rPr>
              <w:rFonts w:ascii="Arial" w:hAnsi="Arial" w:cs="Arial"/>
            </w:rPr>
            <w:fldChar w:fldCharType="separate"/>
          </w:r>
          <w:r w:rsidR="00AB334A">
            <w:rPr>
              <w:rFonts w:ascii="Arial" w:hAnsi="Arial" w:cs="Arial"/>
              <w:noProof/>
            </w:rPr>
            <w:t xml:space="preserve"> </w:t>
          </w:r>
          <w:r w:rsidR="00AB334A" w:rsidRPr="00AB334A">
            <w:rPr>
              <w:rFonts w:ascii="Arial" w:hAnsi="Arial" w:cs="Arial"/>
              <w:noProof/>
            </w:rPr>
            <w:t>(NITI Aayog, 2023)</w:t>
          </w:r>
          <w:r w:rsidR="00AB334A">
            <w:rPr>
              <w:rFonts w:ascii="Arial" w:hAnsi="Arial" w:cs="Arial"/>
            </w:rPr>
            <w:fldChar w:fldCharType="end"/>
          </w:r>
        </w:sdtContent>
      </w:sdt>
      <w:sdt>
        <w:sdtPr>
          <w:rPr>
            <w:rFonts w:ascii="Arial" w:hAnsi="Arial" w:cs="Arial"/>
          </w:rPr>
          <w:id w:val="-2022924843"/>
          <w:citation/>
        </w:sdtPr>
        <w:sdtEndPr/>
        <w:sdtContent>
          <w:r w:rsidR="00AB334A">
            <w:rPr>
              <w:rFonts w:ascii="Arial" w:hAnsi="Arial" w:cs="Arial"/>
            </w:rPr>
            <w:fldChar w:fldCharType="begin"/>
          </w:r>
          <w:r w:rsidR="00AB334A">
            <w:rPr>
              <w:rFonts w:ascii="Arial" w:hAnsi="Arial" w:cs="Arial"/>
            </w:rPr>
            <w:instrText xml:space="preserve"> CITATION IEA24 \l 16393 </w:instrText>
          </w:r>
          <w:r w:rsidR="00AB334A">
            <w:rPr>
              <w:rFonts w:ascii="Arial" w:hAnsi="Arial" w:cs="Arial"/>
            </w:rPr>
            <w:fldChar w:fldCharType="separate"/>
          </w:r>
          <w:r w:rsidR="00AB334A">
            <w:rPr>
              <w:rFonts w:ascii="Arial" w:hAnsi="Arial" w:cs="Arial"/>
              <w:noProof/>
            </w:rPr>
            <w:t xml:space="preserve"> </w:t>
          </w:r>
          <w:r w:rsidR="00AB334A" w:rsidRPr="00AB334A">
            <w:rPr>
              <w:rFonts w:ascii="Arial" w:hAnsi="Arial" w:cs="Arial"/>
              <w:noProof/>
            </w:rPr>
            <w:t>(IEA, 2024)</w:t>
          </w:r>
          <w:r w:rsidR="00AB334A">
            <w:rPr>
              <w:rFonts w:ascii="Arial" w:hAnsi="Arial" w:cs="Arial"/>
            </w:rPr>
            <w:fldChar w:fldCharType="end"/>
          </w:r>
        </w:sdtContent>
      </w:sdt>
      <w:r w:rsidRPr="00913D2B">
        <w:rPr>
          <w:rFonts w:ascii="Arial" w:hAnsi="Arial" w:cs="Arial"/>
        </w:rPr>
        <w:t>. Regulatory reforms, including the introduction of BS</w:t>
      </w:r>
      <w:r w:rsidRPr="00913D2B">
        <w:rPr>
          <w:rFonts w:ascii="Cambria Math" w:hAnsi="Cambria Math" w:cs="Cambria Math"/>
        </w:rPr>
        <w:t>‑</w:t>
      </w:r>
      <w:r w:rsidRPr="00913D2B">
        <w:rPr>
          <w:rFonts w:ascii="Arial" w:hAnsi="Arial" w:cs="Arial"/>
        </w:rPr>
        <w:t>VI emission norms and mandatory safety features, have raised industry standards and pushed manufacturers to upgrade technology.</w:t>
      </w:r>
    </w:p>
    <w:p w14:paraId="21D08EE8" w14:textId="77777777" w:rsidR="00917494" w:rsidRPr="00913D2B" w:rsidRDefault="00917494" w:rsidP="005D75A9">
      <w:pPr>
        <w:pBdr>
          <w:bottom w:val="single" w:sz="6" w:space="1" w:color="auto"/>
        </w:pBdr>
        <w:spacing w:line="360" w:lineRule="auto"/>
        <w:jc w:val="both"/>
        <w:rPr>
          <w:rFonts w:ascii="Arial" w:hAnsi="Arial" w:cs="Arial"/>
        </w:rPr>
      </w:pPr>
    </w:p>
    <w:p w14:paraId="590728F4" w14:textId="38AD83D8" w:rsidR="00917494" w:rsidRPr="00913D2B" w:rsidRDefault="005D75A9" w:rsidP="005D75A9">
      <w:pPr>
        <w:pBdr>
          <w:bottom w:val="single" w:sz="6" w:space="1" w:color="auto"/>
        </w:pBdr>
        <w:spacing w:line="360" w:lineRule="auto"/>
        <w:jc w:val="both"/>
        <w:rPr>
          <w:rFonts w:ascii="Arial" w:hAnsi="Arial" w:cs="Arial"/>
        </w:rPr>
      </w:pPr>
      <w:r>
        <w:rPr>
          <w:rFonts w:ascii="Arial" w:hAnsi="Arial" w:cs="Arial"/>
        </w:rPr>
        <w:t xml:space="preserve">The strength of </w:t>
      </w:r>
      <w:r w:rsidR="00917494" w:rsidRPr="00913D2B">
        <w:rPr>
          <w:rFonts w:ascii="Arial" w:hAnsi="Arial" w:cs="Arial"/>
        </w:rPr>
        <w:t xml:space="preserve">India’s automotive ecosystem </w:t>
      </w:r>
      <w:r>
        <w:rPr>
          <w:rFonts w:ascii="Arial" w:hAnsi="Arial" w:cs="Arial"/>
        </w:rPr>
        <w:t>significantly enhance</w:t>
      </w:r>
      <w:r w:rsidR="00917494" w:rsidRPr="00913D2B">
        <w:rPr>
          <w:rFonts w:ascii="Arial" w:hAnsi="Arial" w:cs="Arial"/>
        </w:rPr>
        <w:t>s</w:t>
      </w:r>
      <w:r>
        <w:rPr>
          <w:rFonts w:ascii="Arial" w:hAnsi="Arial" w:cs="Arial"/>
        </w:rPr>
        <w:t xml:space="preserve"> industry competitiveness by reducing supply-chain costs and enabling rapid scaling of production</w:t>
      </w:r>
      <w:sdt>
        <w:sdtPr>
          <w:rPr>
            <w:rFonts w:ascii="Arial" w:hAnsi="Arial" w:cs="Arial"/>
          </w:rPr>
          <w:id w:val="-1370677672"/>
          <w:citation/>
        </w:sdtPr>
        <w:sdtEndPr/>
        <w:sdtContent>
          <w:r>
            <w:rPr>
              <w:rFonts w:ascii="Arial" w:hAnsi="Arial" w:cs="Arial"/>
            </w:rPr>
            <w:fldChar w:fldCharType="begin"/>
          </w:r>
          <w:r>
            <w:rPr>
              <w:rFonts w:ascii="Arial" w:hAnsi="Arial" w:cs="Arial"/>
            </w:rPr>
            <w:instrText xml:space="preserve"> CITATION Por90 \l 16393 </w:instrText>
          </w:r>
          <w:r>
            <w:rPr>
              <w:rFonts w:ascii="Arial" w:hAnsi="Arial" w:cs="Arial"/>
            </w:rPr>
            <w:fldChar w:fldCharType="separate"/>
          </w:r>
          <w:r>
            <w:rPr>
              <w:rFonts w:ascii="Arial" w:hAnsi="Arial" w:cs="Arial"/>
              <w:noProof/>
            </w:rPr>
            <w:t xml:space="preserve"> </w:t>
          </w:r>
          <w:r w:rsidRPr="005D75A9">
            <w:rPr>
              <w:rFonts w:ascii="Arial" w:hAnsi="Arial" w:cs="Arial"/>
              <w:noProof/>
            </w:rPr>
            <w:t>(Porter, 1990)</w:t>
          </w:r>
          <w:r>
            <w:rPr>
              <w:rFonts w:ascii="Arial" w:hAnsi="Arial" w:cs="Arial"/>
            </w:rPr>
            <w:fldChar w:fldCharType="end"/>
          </w:r>
        </w:sdtContent>
      </w:sdt>
      <w:sdt>
        <w:sdtPr>
          <w:rPr>
            <w:rFonts w:ascii="Arial" w:hAnsi="Arial" w:cs="Arial"/>
          </w:rPr>
          <w:id w:val="-119533065"/>
          <w:citation/>
        </w:sdtPr>
        <w:sdtEndPr/>
        <w:sdtContent>
          <w:r>
            <w:rPr>
              <w:rFonts w:ascii="Arial" w:hAnsi="Arial" w:cs="Arial"/>
            </w:rPr>
            <w:fldChar w:fldCharType="begin"/>
          </w:r>
          <w:r>
            <w:rPr>
              <w:rFonts w:ascii="Arial" w:hAnsi="Arial" w:cs="Arial"/>
            </w:rPr>
            <w:instrText xml:space="preserve"> CITATION ACM24 \l 16393 </w:instrText>
          </w:r>
          <w:r>
            <w:rPr>
              <w:rFonts w:ascii="Arial" w:hAnsi="Arial" w:cs="Arial"/>
            </w:rPr>
            <w:fldChar w:fldCharType="separate"/>
          </w:r>
          <w:r>
            <w:rPr>
              <w:rFonts w:ascii="Arial" w:hAnsi="Arial" w:cs="Arial"/>
              <w:noProof/>
            </w:rPr>
            <w:t xml:space="preserve"> </w:t>
          </w:r>
          <w:r w:rsidRPr="005D75A9">
            <w:rPr>
              <w:rFonts w:ascii="Arial" w:hAnsi="Arial" w:cs="Arial"/>
              <w:noProof/>
            </w:rPr>
            <w:t>(ACMA, 2024)</w:t>
          </w:r>
          <w:r>
            <w:rPr>
              <w:rFonts w:ascii="Arial" w:hAnsi="Arial" w:cs="Arial"/>
            </w:rPr>
            <w:fldChar w:fldCharType="end"/>
          </w:r>
        </w:sdtContent>
      </w:sdt>
      <w:r w:rsidR="00917494" w:rsidRPr="00913D2B">
        <w:rPr>
          <w:rFonts w:ascii="Arial" w:hAnsi="Arial" w:cs="Arial"/>
        </w:rPr>
        <w:t xml:space="preserve">. The country hosts one of the world’s largest automotive component sectors, supplying engines, electronics, chassis systems, and other critical parts to domestic and global manufacturers. Many suppliers meet international quality standards, enabling India to integrate into global value chains. The presence of strong IT and digital services industries further enhances innovation in connected mobility, telematics, and digital retailing. This ecosystem strengthens cost </w:t>
      </w:r>
      <w:r w:rsidR="00917494" w:rsidRPr="00913D2B">
        <w:rPr>
          <w:rFonts w:ascii="Arial" w:hAnsi="Arial" w:cs="Arial"/>
        </w:rPr>
        <w:lastRenderedPageBreak/>
        <w:t>efficiency, accelerates production cycles, and reinforces India’s position as a competitive manufacturing base.</w:t>
      </w:r>
    </w:p>
    <w:p w14:paraId="02BB0E35" w14:textId="77777777" w:rsidR="00917494" w:rsidRPr="00913D2B" w:rsidRDefault="00917494" w:rsidP="005D75A9">
      <w:pPr>
        <w:pBdr>
          <w:bottom w:val="single" w:sz="6" w:space="1" w:color="auto"/>
        </w:pBdr>
        <w:spacing w:line="360" w:lineRule="auto"/>
        <w:jc w:val="both"/>
        <w:rPr>
          <w:rFonts w:ascii="Arial" w:hAnsi="Arial" w:cs="Arial"/>
        </w:rPr>
      </w:pPr>
    </w:p>
    <w:p w14:paraId="0247BAD7" w14:textId="70C7151E" w:rsidR="00272A9F" w:rsidRDefault="00917494" w:rsidP="005D75A9">
      <w:pPr>
        <w:pBdr>
          <w:bottom w:val="single" w:sz="6" w:space="1" w:color="auto"/>
        </w:pBdr>
        <w:spacing w:line="360" w:lineRule="auto"/>
        <w:jc w:val="both"/>
        <w:rPr>
          <w:rFonts w:ascii="Arial" w:hAnsi="Arial" w:cs="Arial"/>
        </w:rPr>
      </w:pPr>
      <w:r w:rsidRPr="00913D2B">
        <w:rPr>
          <w:rFonts w:ascii="Arial" w:hAnsi="Arial" w:cs="Arial"/>
        </w:rPr>
        <w:t>The competitive landscape is intense, with domestic and multinational firms competing across segments. Key players include Maruti Suzuki, Hyundai, Tata Motors, Mahindra, Kia, Toyota, and Honda. Competition is particularly strong in the compact</w:t>
      </w:r>
      <w:r w:rsidRPr="00913D2B">
        <w:rPr>
          <w:rFonts w:ascii="Cambria Math" w:hAnsi="Cambria Math" w:cs="Cambria Math"/>
        </w:rPr>
        <w:t>‑</w:t>
      </w:r>
      <w:r w:rsidRPr="00913D2B">
        <w:rPr>
          <w:rFonts w:ascii="Arial" w:hAnsi="Arial" w:cs="Arial"/>
        </w:rPr>
        <w:t>car and small</w:t>
      </w:r>
      <w:r w:rsidRPr="00913D2B">
        <w:rPr>
          <w:rFonts w:ascii="Cambria Math" w:hAnsi="Cambria Math" w:cs="Cambria Math"/>
        </w:rPr>
        <w:t>‑</w:t>
      </w:r>
      <w:r w:rsidRPr="00913D2B">
        <w:rPr>
          <w:rFonts w:ascii="Arial" w:hAnsi="Arial" w:cs="Arial"/>
        </w:rPr>
        <w:t>SUV segments, which account for the majority of sales. Firms compete on price, technology, safety, design, and customer experience, driving continuous innovation. Domestic manufacturers such as Tata Motors have gained significant momentum through improved design, enhanced safety ratings, and strong EV offerings. This intensifying rivalry requires all firms to adapt rapidly to changing market conditions and consumer expectations.</w:t>
      </w:r>
    </w:p>
    <w:p w14:paraId="6112F21E" w14:textId="77777777" w:rsidR="00B93E15" w:rsidRPr="00913D2B" w:rsidRDefault="00B93E15" w:rsidP="005D75A9">
      <w:pPr>
        <w:pBdr>
          <w:bottom w:val="single" w:sz="6" w:space="1" w:color="auto"/>
        </w:pBdr>
        <w:spacing w:line="360" w:lineRule="auto"/>
        <w:jc w:val="both"/>
        <w:rPr>
          <w:rFonts w:ascii="Arial" w:hAnsi="Arial" w:cs="Arial"/>
        </w:rPr>
      </w:pPr>
    </w:p>
    <w:p w14:paraId="54F11207" w14:textId="77777777" w:rsidR="00917494" w:rsidRPr="00913D2B" w:rsidRDefault="00917494" w:rsidP="005D75A9">
      <w:pPr>
        <w:pBdr>
          <w:bottom w:val="single" w:sz="6" w:space="1" w:color="auto"/>
        </w:pBdr>
        <w:spacing w:line="360" w:lineRule="auto"/>
        <w:jc w:val="both"/>
        <w:rPr>
          <w:rFonts w:ascii="Arial" w:hAnsi="Arial" w:cs="Arial"/>
        </w:rPr>
      </w:pPr>
      <w:r w:rsidRPr="00913D2B">
        <w:rPr>
          <w:rFonts w:ascii="Arial" w:hAnsi="Arial" w:cs="Arial"/>
        </w:rPr>
        <w:t>Despite its strengths, the industry faces several challenges. Infrastructure gaps—including road quality, logistics inefficiencies, and limited EV charging networks—remain significant barriers. Regulatory complexity across states can create operational inefficiencies, while global supply</w:t>
      </w:r>
      <w:r w:rsidRPr="00913D2B">
        <w:rPr>
          <w:rFonts w:ascii="Cambria Math" w:hAnsi="Cambria Math" w:cs="Cambria Math"/>
        </w:rPr>
        <w:t>‑</w:t>
      </w:r>
      <w:r w:rsidRPr="00913D2B">
        <w:rPr>
          <w:rFonts w:ascii="Arial" w:hAnsi="Arial" w:cs="Arial"/>
        </w:rPr>
        <w:t>chain disruptions, such as semiconductor shortages, highlight vulnerabilities. Environmental concerns and the push towards electrification require substantial investment in new technologies, manufacturing capabilities, and supply</w:t>
      </w:r>
      <w:r w:rsidRPr="00913D2B">
        <w:rPr>
          <w:rFonts w:ascii="Cambria Math" w:hAnsi="Cambria Math" w:cs="Cambria Math"/>
        </w:rPr>
        <w:t>‑</w:t>
      </w:r>
      <w:r w:rsidRPr="00913D2B">
        <w:rPr>
          <w:rFonts w:ascii="Arial" w:hAnsi="Arial" w:cs="Arial"/>
        </w:rPr>
        <w:t>chain adaptation.</w:t>
      </w:r>
    </w:p>
    <w:p w14:paraId="3F4D80F1" w14:textId="77777777" w:rsidR="00917494" w:rsidRPr="00913D2B" w:rsidRDefault="00917494" w:rsidP="005D75A9">
      <w:pPr>
        <w:pBdr>
          <w:bottom w:val="single" w:sz="6" w:space="1" w:color="auto"/>
        </w:pBdr>
        <w:spacing w:line="360" w:lineRule="auto"/>
        <w:jc w:val="both"/>
        <w:rPr>
          <w:rFonts w:ascii="Arial" w:hAnsi="Arial" w:cs="Arial"/>
        </w:rPr>
      </w:pPr>
    </w:p>
    <w:p w14:paraId="21E0E6A7" w14:textId="5C63BF51" w:rsidR="004B6FAA" w:rsidRDefault="00917494" w:rsidP="005D75A9">
      <w:pPr>
        <w:pBdr>
          <w:bottom w:val="single" w:sz="6" w:space="1" w:color="auto"/>
        </w:pBdr>
        <w:spacing w:line="360" w:lineRule="auto"/>
        <w:jc w:val="both"/>
        <w:rPr>
          <w:rFonts w:ascii="Arial" w:hAnsi="Arial" w:cs="Arial"/>
        </w:rPr>
      </w:pPr>
      <w:r w:rsidRPr="00913D2B">
        <w:rPr>
          <w:rFonts w:ascii="Arial" w:hAnsi="Arial" w:cs="Arial"/>
        </w:rPr>
        <w:t>Overall, India’s automotive industry presents a compelling mix of opportunities and challenges. Its scale, demographic advantages, and supportive policy environment make it an attractive market for multinational corporations. However, success requires deep localisation, technological adaptation, and a nuanced understanding of consumer behaviour. For Suzuki Motor Corporation, these conditions create both a fertile environment for growth and a demanding landscape that requires continuous innovation and strategic agility.</w:t>
      </w:r>
    </w:p>
    <w:p w14:paraId="20756A45" w14:textId="77777777" w:rsidR="001D7131" w:rsidRDefault="001D7131" w:rsidP="005D75A9">
      <w:pPr>
        <w:pBdr>
          <w:bottom w:val="single" w:sz="6" w:space="1" w:color="auto"/>
        </w:pBdr>
        <w:spacing w:line="360" w:lineRule="auto"/>
        <w:jc w:val="both"/>
        <w:rPr>
          <w:rFonts w:ascii="Arial" w:hAnsi="Arial" w:cs="Arial"/>
        </w:rPr>
      </w:pPr>
    </w:p>
    <w:p w14:paraId="28791EB2" w14:textId="77777777" w:rsidR="004B6FAA" w:rsidRPr="00913D2B" w:rsidRDefault="004B6FAA" w:rsidP="005D75A9">
      <w:pPr>
        <w:spacing w:line="360" w:lineRule="auto"/>
        <w:jc w:val="both"/>
        <w:rPr>
          <w:rFonts w:ascii="Arial" w:hAnsi="Arial" w:cs="Arial"/>
        </w:rPr>
      </w:pPr>
    </w:p>
    <w:p w14:paraId="43D63951" w14:textId="50B499AE" w:rsidR="00316DDC" w:rsidRPr="00893C33" w:rsidRDefault="005F35A4" w:rsidP="005D75A9">
      <w:pPr>
        <w:pStyle w:val="Heading2"/>
        <w:jc w:val="both"/>
        <w:rPr>
          <w:rFonts w:ascii="Arial" w:hAnsi="Arial" w:cs="Arial"/>
          <w:b/>
          <w:bCs/>
          <w:color w:val="000000" w:themeColor="text1"/>
          <w:sz w:val="24"/>
          <w:szCs w:val="24"/>
        </w:rPr>
      </w:pPr>
      <w:bookmarkStart w:id="2" w:name="_Toc224570183"/>
      <w:r w:rsidRPr="00893C33">
        <w:rPr>
          <w:rFonts w:ascii="Arial" w:hAnsi="Arial" w:cs="Arial"/>
          <w:b/>
          <w:bCs/>
          <w:color w:val="000000" w:themeColor="text1"/>
          <w:sz w:val="24"/>
          <w:szCs w:val="24"/>
        </w:rPr>
        <w:lastRenderedPageBreak/>
        <w:t xml:space="preserve">Section </w:t>
      </w:r>
      <w:r w:rsidR="006F022E" w:rsidRPr="00893C33">
        <w:rPr>
          <w:rFonts w:ascii="Arial" w:hAnsi="Arial" w:cs="Arial"/>
          <w:b/>
          <w:bCs/>
          <w:color w:val="000000" w:themeColor="text1"/>
          <w:sz w:val="24"/>
          <w:szCs w:val="24"/>
        </w:rPr>
        <w:t>1.</w:t>
      </w:r>
      <w:r w:rsidR="00316DDC" w:rsidRPr="00893C33">
        <w:rPr>
          <w:rFonts w:ascii="Arial" w:hAnsi="Arial" w:cs="Arial"/>
          <w:b/>
          <w:bCs/>
          <w:color w:val="000000" w:themeColor="text1"/>
          <w:sz w:val="24"/>
          <w:szCs w:val="24"/>
        </w:rPr>
        <w:t>3: Porter’s Diamond Model</w:t>
      </w:r>
      <w:bookmarkEnd w:id="2"/>
    </w:p>
    <w:p w14:paraId="0C61BC29" w14:textId="77777777" w:rsidR="00316DDC" w:rsidRDefault="00316DDC" w:rsidP="005D75A9">
      <w:pPr>
        <w:spacing w:line="360" w:lineRule="auto"/>
        <w:jc w:val="both"/>
        <w:rPr>
          <w:rFonts w:ascii="Arial" w:hAnsi="Arial" w:cs="Arial"/>
        </w:rPr>
      </w:pPr>
    </w:p>
    <w:p w14:paraId="07645D3C" w14:textId="4883B4B8" w:rsidR="00C04D66" w:rsidRPr="00C04D66" w:rsidRDefault="00036C59" w:rsidP="00C04D66">
      <w:pPr>
        <w:spacing w:line="360" w:lineRule="auto"/>
        <w:jc w:val="both"/>
        <w:rPr>
          <w:rFonts w:ascii="Arial" w:hAnsi="Arial" w:cs="Arial"/>
        </w:rPr>
      </w:pPr>
      <w:r w:rsidRPr="00036C59">
        <w:rPr>
          <w:rFonts w:ascii="Arial" w:hAnsi="Arial" w:cs="Arial"/>
          <w:noProof/>
        </w:rPr>
        <w:drawing>
          <wp:inline distT="0" distB="0" distL="0" distR="0" wp14:anchorId="23DEA194" wp14:editId="2342F1F5">
            <wp:extent cx="5731510" cy="3943847"/>
            <wp:effectExtent l="0" t="0" r="2540" b="0"/>
            <wp:docPr id="13811757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40132" cy="3949780"/>
                    </a:xfrm>
                    <a:prstGeom prst="rect">
                      <a:avLst/>
                    </a:prstGeom>
                    <a:noFill/>
                    <a:ln>
                      <a:noFill/>
                    </a:ln>
                  </pic:spPr>
                </pic:pic>
              </a:graphicData>
            </a:graphic>
          </wp:inline>
        </w:drawing>
      </w:r>
    </w:p>
    <w:p w14:paraId="48ED5E04" w14:textId="7A0384A3" w:rsidR="00C04D66" w:rsidRPr="00913D2B" w:rsidRDefault="00D86525" w:rsidP="00D86525">
      <w:pPr>
        <w:spacing w:line="360" w:lineRule="auto"/>
        <w:jc w:val="center"/>
        <w:rPr>
          <w:rFonts w:ascii="Arial" w:hAnsi="Arial" w:cs="Arial"/>
        </w:rPr>
      </w:pPr>
      <w:r>
        <w:rPr>
          <w:rFonts w:ascii="Arial" w:hAnsi="Arial" w:cs="Arial"/>
        </w:rPr>
        <w:t>Fig.</w:t>
      </w:r>
      <w:proofErr w:type="gramStart"/>
      <w:r>
        <w:rPr>
          <w:rFonts w:ascii="Arial" w:hAnsi="Arial" w:cs="Arial"/>
        </w:rPr>
        <w:t>02</w:t>
      </w:r>
      <w:r w:rsidR="00017F3C">
        <w:rPr>
          <w:rFonts w:ascii="Arial" w:hAnsi="Arial" w:cs="Arial"/>
        </w:rPr>
        <w:t xml:space="preserve"> :</w:t>
      </w:r>
      <w:proofErr w:type="gramEnd"/>
      <w:r w:rsidR="00017F3C">
        <w:rPr>
          <w:rFonts w:ascii="Arial" w:hAnsi="Arial" w:cs="Arial"/>
        </w:rPr>
        <w:t xml:space="preserve"> Porter’s diamond model of national competitive advantage</w:t>
      </w:r>
    </w:p>
    <w:p w14:paraId="061846D8" w14:textId="728AF1F1" w:rsidR="00B23751" w:rsidRDefault="00316DDC" w:rsidP="005D75A9">
      <w:pPr>
        <w:spacing w:line="360" w:lineRule="auto"/>
        <w:jc w:val="both"/>
        <w:rPr>
          <w:rFonts w:ascii="Arial" w:hAnsi="Arial" w:cs="Arial"/>
        </w:rPr>
      </w:pPr>
      <w:r w:rsidRPr="00913D2B">
        <w:rPr>
          <w:rFonts w:ascii="Arial" w:hAnsi="Arial" w:cs="Arial"/>
        </w:rPr>
        <w:t>Porter’s Diamond Model provides a structured framework for analysing the global competitiveness</w:t>
      </w:r>
      <w:sdt>
        <w:sdtPr>
          <w:rPr>
            <w:rFonts w:ascii="Arial" w:hAnsi="Arial" w:cs="Arial"/>
          </w:rPr>
          <w:id w:val="3563371"/>
          <w:citation/>
        </w:sdtPr>
        <w:sdtEndPr/>
        <w:sdtContent>
          <w:r w:rsidR="00B66D9D">
            <w:rPr>
              <w:rFonts w:ascii="Arial" w:hAnsi="Arial" w:cs="Arial"/>
            </w:rPr>
            <w:fldChar w:fldCharType="begin"/>
          </w:r>
          <w:r w:rsidR="00B66D9D">
            <w:rPr>
              <w:rFonts w:ascii="Arial" w:hAnsi="Arial" w:cs="Arial"/>
            </w:rPr>
            <w:instrText xml:space="preserve"> CITATION Por90 \l 16393 </w:instrText>
          </w:r>
          <w:r w:rsidR="00B66D9D">
            <w:rPr>
              <w:rFonts w:ascii="Arial" w:hAnsi="Arial" w:cs="Arial"/>
            </w:rPr>
            <w:fldChar w:fldCharType="separate"/>
          </w:r>
          <w:r w:rsidR="00B66D9D">
            <w:rPr>
              <w:rFonts w:ascii="Arial" w:hAnsi="Arial" w:cs="Arial"/>
              <w:noProof/>
            </w:rPr>
            <w:t xml:space="preserve"> </w:t>
          </w:r>
          <w:r w:rsidR="00B66D9D" w:rsidRPr="00B66D9D">
            <w:rPr>
              <w:rFonts w:ascii="Arial" w:hAnsi="Arial" w:cs="Arial"/>
              <w:noProof/>
            </w:rPr>
            <w:t>(Porter, 1990)</w:t>
          </w:r>
          <w:r w:rsidR="00B66D9D">
            <w:rPr>
              <w:rFonts w:ascii="Arial" w:hAnsi="Arial" w:cs="Arial"/>
            </w:rPr>
            <w:fldChar w:fldCharType="end"/>
          </w:r>
        </w:sdtContent>
      </w:sdt>
      <w:r w:rsidRPr="00913D2B">
        <w:rPr>
          <w:rFonts w:ascii="Arial" w:hAnsi="Arial" w:cs="Arial"/>
        </w:rPr>
        <w:t xml:space="preserve"> of the Indian automotive industry by examining the interaction of factor conditions, demand conditions, related and supporting industries, firm strategy and rivalry, government, and chance. Applying this model helps explain why India has emerged as one of the world’s most dynamic automotive hubs and how these conditions shape the strategic environment for firms such as Suzuki Motor Corporation.</w:t>
      </w:r>
    </w:p>
    <w:p w14:paraId="5C5EE84C" w14:textId="77777777" w:rsidR="005922E2" w:rsidRPr="00913D2B" w:rsidRDefault="005922E2" w:rsidP="005D75A9">
      <w:pPr>
        <w:spacing w:line="360" w:lineRule="auto"/>
        <w:jc w:val="both"/>
        <w:rPr>
          <w:rFonts w:ascii="Arial" w:hAnsi="Arial" w:cs="Arial"/>
        </w:rPr>
      </w:pPr>
    </w:p>
    <w:p w14:paraId="38C031B2" w14:textId="12EB5680" w:rsidR="00316DDC" w:rsidRPr="00893C33" w:rsidRDefault="00C46E58" w:rsidP="005D75A9">
      <w:pPr>
        <w:pStyle w:val="Heading3"/>
        <w:jc w:val="both"/>
        <w:rPr>
          <w:rFonts w:ascii="Arial" w:hAnsi="Arial" w:cs="Arial"/>
          <w:b/>
          <w:bCs/>
          <w:color w:val="000000" w:themeColor="text1"/>
          <w:sz w:val="24"/>
          <w:szCs w:val="24"/>
        </w:rPr>
      </w:pPr>
      <w:bookmarkStart w:id="3" w:name="_Toc224570184"/>
      <w:r>
        <w:rPr>
          <w:rFonts w:ascii="Arial" w:hAnsi="Arial" w:cs="Arial"/>
          <w:b/>
          <w:bCs/>
          <w:color w:val="000000" w:themeColor="text1"/>
          <w:sz w:val="24"/>
          <w:szCs w:val="24"/>
        </w:rPr>
        <w:t>1.3.1</w:t>
      </w:r>
      <w:r w:rsidR="003F3B0F">
        <w:rPr>
          <w:rFonts w:ascii="Arial" w:hAnsi="Arial" w:cs="Arial"/>
          <w:b/>
          <w:bCs/>
          <w:color w:val="000000" w:themeColor="text1"/>
          <w:sz w:val="24"/>
          <w:szCs w:val="24"/>
        </w:rPr>
        <w:t xml:space="preserve">: </w:t>
      </w:r>
      <w:r w:rsidR="00316DDC" w:rsidRPr="00893C33">
        <w:rPr>
          <w:rFonts w:ascii="Arial" w:hAnsi="Arial" w:cs="Arial"/>
          <w:b/>
          <w:bCs/>
          <w:color w:val="000000" w:themeColor="text1"/>
          <w:sz w:val="24"/>
          <w:szCs w:val="24"/>
        </w:rPr>
        <w:t>Factor Conditions</w:t>
      </w:r>
      <w:bookmarkEnd w:id="3"/>
    </w:p>
    <w:p w14:paraId="403F40EC" w14:textId="77777777" w:rsidR="00316DDC" w:rsidRPr="00913D2B" w:rsidRDefault="00316DDC" w:rsidP="005D75A9">
      <w:pPr>
        <w:spacing w:line="360" w:lineRule="auto"/>
        <w:jc w:val="both"/>
        <w:rPr>
          <w:rFonts w:ascii="Arial" w:hAnsi="Arial" w:cs="Arial"/>
        </w:rPr>
      </w:pPr>
    </w:p>
    <w:p w14:paraId="55AA6D9B" w14:textId="21980FDC" w:rsidR="00316DDC" w:rsidRPr="00913D2B" w:rsidRDefault="00316DDC" w:rsidP="005D75A9">
      <w:pPr>
        <w:spacing w:line="360" w:lineRule="auto"/>
        <w:jc w:val="both"/>
        <w:rPr>
          <w:rFonts w:ascii="Arial" w:hAnsi="Arial" w:cs="Arial"/>
        </w:rPr>
      </w:pPr>
      <w:r w:rsidRPr="00913D2B">
        <w:rPr>
          <w:rFonts w:ascii="Arial" w:hAnsi="Arial" w:cs="Arial"/>
        </w:rPr>
        <w:t>India benefits from a combination of basic and advanced factor conditions that support automotive competitiveness</w:t>
      </w:r>
      <w:sdt>
        <w:sdtPr>
          <w:rPr>
            <w:rFonts w:ascii="Arial" w:hAnsi="Arial" w:cs="Arial"/>
          </w:rPr>
          <w:id w:val="1979949129"/>
          <w:citation/>
        </w:sdtPr>
        <w:sdtEndPr/>
        <w:sdtContent>
          <w:r w:rsidR="00B66D9D">
            <w:rPr>
              <w:rFonts w:ascii="Arial" w:hAnsi="Arial" w:cs="Arial"/>
            </w:rPr>
            <w:fldChar w:fldCharType="begin"/>
          </w:r>
          <w:r w:rsidR="00B66D9D">
            <w:rPr>
              <w:rFonts w:ascii="Arial" w:hAnsi="Arial" w:cs="Arial"/>
            </w:rPr>
            <w:instrText xml:space="preserve"> CITATION ARA24 \l 16393 </w:instrText>
          </w:r>
          <w:r w:rsidR="00B66D9D">
            <w:rPr>
              <w:rFonts w:ascii="Arial" w:hAnsi="Arial" w:cs="Arial"/>
            </w:rPr>
            <w:fldChar w:fldCharType="separate"/>
          </w:r>
          <w:r w:rsidR="00B66D9D">
            <w:rPr>
              <w:rFonts w:ascii="Arial" w:hAnsi="Arial" w:cs="Arial"/>
              <w:noProof/>
            </w:rPr>
            <w:t xml:space="preserve"> </w:t>
          </w:r>
          <w:r w:rsidR="00B66D9D" w:rsidRPr="00B66D9D">
            <w:rPr>
              <w:rFonts w:ascii="Arial" w:hAnsi="Arial" w:cs="Arial"/>
              <w:noProof/>
            </w:rPr>
            <w:t>(ARAI, 2024)</w:t>
          </w:r>
          <w:r w:rsidR="00B66D9D">
            <w:rPr>
              <w:rFonts w:ascii="Arial" w:hAnsi="Arial" w:cs="Arial"/>
            </w:rPr>
            <w:fldChar w:fldCharType="end"/>
          </w:r>
        </w:sdtContent>
      </w:sdt>
      <w:sdt>
        <w:sdtPr>
          <w:rPr>
            <w:rFonts w:ascii="Arial" w:hAnsi="Arial" w:cs="Arial"/>
          </w:rPr>
          <w:id w:val="-1370673508"/>
          <w:citation/>
        </w:sdtPr>
        <w:sdtEndPr/>
        <w:sdtContent>
          <w:r w:rsidR="00B66D9D">
            <w:rPr>
              <w:rFonts w:ascii="Arial" w:hAnsi="Arial" w:cs="Arial"/>
            </w:rPr>
            <w:fldChar w:fldCharType="begin"/>
          </w:r>
          <w:r w:rsidR="00B66D9D">
            <w:rPr>
              <w:rFonts w:ascii="Arial" w:hAnsi="Arial" w:cs="Arial"/>
            </w:rPr>
            <w:instrText xml:space="preserve"> CITATION ACM241 \l 16393 </w:instrText>
          </w:r>
          <w:r w:rsidR="00B66D9D">
            <w:rPr>
              <w:rFonts w:ascii="Arial" w:hAnsi="Arial" w:cs="Arial"/>
            </w:rPr>
            <w:fldChar w:fldCharType="separate"/>
          </w:r>
          <w:r w:rsidR="00B66D9D">
            <w:rPr>
              <w:rFonts w:ascii="Arial" w:hAnsi="Arial" w:cs="Arial"/>
              <w:noProof/>
            </w:rPr>
            <w:t xml:space="preserve"> </w:t>
          </w:r>
          <w:r w:rsidR="00B66D9D" w:rsidRPr="00B66D9D">
            <w:rPr>
              <w:rFonts w:ascii="Arial" w:hAnsi="Arial" w:cs="Arial"/>
              <w:noProof/>
            </w:rPr>
            <w:t>(ACMA, 2024)</w:t>
          </w:r>
          <w:r w:rsidR="00B66D9D">
            <w:rPr>
              <w:rFonts w:ascii="Arial" w:hAnsi="Arial" w:cs="Arial"/>
            </w:rPr>
            <w:fldChar w:fldCharType="end"/>
          </w:r>
        </w:sdtContent>
      </w:sdt>
      <w:r w:rsidRPr="00913D2B">
        <w:rPr>
          <w:rFonts w:ascii="Arial" w:hAnsi="Arial" w:cs="Arial"/>
        </w:rPr>
        <w:t>. The country has a large, youthful labour force, offering manufacturers access to cost</w:t>
      </w:r>
      <w:r w:rsidRPr="00913D2B">
        <w:rPr>
          <w:rFonts w:ascii="Cambria Math" w:hAnsi="Cambria Math" w:cs="Cambria Math"/>
        </w:rPr>
        <w:t>‑</w:t>
      </w:r>
      <w:r w:rsidRPr="00913D2B">
        <w:rPr>
          <w:rFonts w:ascii="Arial" w:hAnsi="Arial" w:cs="Arial"/>
        </w:rPr>
        <w:t xml:space="preserve">effective human capital </w:t>
      </w:r>
      <w:r w:rsidRPr="00913D2B">
        <w:rPr>
          <w:rFonts w:ascii="Arial" w:hAnsi="Arial" w:cs="Arial"/>
        </w:rPr>
        <w:lastRenderedPageBreak/>
        <w:t>across production, engineering, and service functions. Over the past two decades, India has also developed advanced capabilities in automotive engineering, design, and component manufacturing, supported by institutions such as the Automotive Research Association of India (ARAI). The presence of major automotive clusters—such as Gurgaon</w:t>
      </w:r>
      <w:r w:rsidRPr="00913D2B">
        <w:rPr>
          <w:rFonts w:ascii="Cambria Math" w:hAnsi="Cambria Math" w:cs="Cambria Math"/>
        </w:rPr>
        <w:t>‑</w:t>
      </w:r>
      <w:r w:rsidRPr="00913D2B">
        <w:rPr>
          <w:rFonts w:ascii="Arial" w:hAnsi="Arial" w:cs="Arial"/>
        </w:rPr>
        <w:t>Manesar, Chennai</w:t>
      </w:r>
      <w:r w:rsidRPr="00913D2B">
        <w:rPr>
          <w:rFonts w:ascii="Cambria Math" w:hAnsi="Cambria Math" w:cs="Cambria Math"/>
        </w:rPr>
        <w:t>‑</w:t>
      </w:r>
      <w:r w:rsidRPr="00913D2B">
        <w:rPr>
          <w:rFonts w:ascii="Arial" w:hAnsi="Arial" w:cs="Arial"/>
        </w:rPr>
        <w:t>Oragadam, and Pune</w:t>
      </w:r>
      <w:r w:rsidRPr="00913D2B">
        <w:rPr>
          <w:rFonts w:ascii="Cambria Math" w:hAnsi="Cambria Math" w:cs="Cambria Math"/>
        </w:rPr>
        <w:t>‑</w:t>
      </w:r>
      <w:r w:rsidRPr="00913D2B">
        <w:rPr>
          <w:rFonts w:ascii="Arial" w:hAnsi="Arial" w:cs="Arial"/>
        </w:rPr>
        <w:t>Chakan—provides firms with access to skilled labour, specialised suppliers, logistics infrastructure, and testing facilities. However, infrastructure gaps remain, particularly in road quality, port congestion, and energy reliability. Despite these challenges, India’s factor conditions continue to evolve, enabling firms to scale production efficiently while maintaining cost competitiveness in global markets.</w:t>
      </w:r>
    </w:p>
    <w:p w14:paraId="063BC547" w14:textId="77777777" w:rsidR="00316DDC" w:rsidRPr="00913D2B" w:rsidRDefault="00316DDC" w:rsidP="005D75A9">
      <w:pPr>
        <w:spacing w:line="360" w:lineRule="auto"/>
        <w:jc w:val="both"/>
        <w:rPr>
          <w:rFonts w:ascii="Arial" w:hAnsi="Arial" w:cs="Arial"/>
        </w:rPr>
      </w:pPr>
    </w:p>
    <w:p w14:paraId="3E0BF2D6" w14:textId="16E4E0A9" w:rsidR="00316DDC" w:rsidRPr="00893C33" w:rsidRDefault="003F3B0F" w:rsidP="005D75A9">
      <w:pPr>
        <w:pStyle w:val="Heading3"/>
        <w:jc w:val="both"/>
        <w:rPr>
          <w:rFonts w:ascii="Arial" w:hAnsi="Arial" w:cs="Arial"/>
          <w:b/>
          <w:bCs/>
          <w:color w:val="000000" w:themeColor="text1"/>
          <w:sz w:val="24"/>
          <w:szCs w:val="24"/>
        </w:rPr>
      </w:pPr>
      <w:bookmarkStart w:id="4" w:name="_Toc224570185"/>
      <w:r>
        <w:rPr>
          <w:rFonts w:ascii="Arial" w:hAnsi="Arial" w:cs="Arial"/>
          <w:b/>
          <w:bCs/>
          <w:color w:val="000000" w:themeColor="text1"/>
          <w:sz w:val="24"/>
          <w:szCs w:val="24"/>
        </w:rPr>
        <w:t xml:space="preserve">1.3.2: </w:t>
      </w:r>
      <w:r w:rsidR="00316DDC" w:rsidRPr="00893C33">
        <w:rPr>
          <w:rFonts w:ascii="Arial" w:hAnsi="Arial" w:cs="Arial"/>
          <w:b/>
          <w:bCs/>
          <w:color w:val="000000" w:themeColor="text1"/>
          <w:sz w:val="24"/>
          <w:szCs w:val="24"/>
        </w:rPr>
        <w:t>Demand Conditions</w:t>
      </w:r>
      <w:bookmarkEnd w:id="4"/>
    </w:p>
    <w:p w14:paraId="6B6FBE80" w14:textId="77777777" w:rsidR="00316DDC" w:rsidRPr="00913D2B" w:rsidRDefault="00316DDC" w:rsidP="005D75A9">
      <w:pPr>
        <w:spacing w:line="360" w:lineRule="auto"/>
        <w:jc w:val="both"/>
        <w:rPr>
          <w:rFonts w:ascii="Arial" w:hAnsi="Arial" w:cs="Arial"/>
        </w:rPr>
      </w:pPr>
    </w:p>
    <w:p w14:paraId="38EC2EA2" w14:textId="77777777" w:rsidR="00316DDC" w:rsidRPr="00913D2B" w:rsidRDefault="00316DDC" w:rsidP="005D75A9">
      <w:pPr>
        <w:spacing w:line="360" w:lineRule="auto"/>
        <w:jc w:val="both"/>
        <w:rPr>
          <w:rFonts w:ascii="Arial" w:hAnsi="Arial" w:cs="Arial"/>
        </w:rPr>
      </w:pPr>
      <w:r w:rsidRPr="00913D2B">
        <w:rPr>
          <w:rFonts w:ascii="Arial" w:hAnsi="Arial" w:cs="Arial"/>
        </w:rPr>
        <w:t>India’s domestic market is one of the strongest drivers of competitiveness. With a population exceeding 1.4 billion and a rapidly expanding middle class, demand for personal mobility has grown consistently. Indian consumers are highly price</w:t>
      </w:r>
      <w:r w:rsidRPr="00913D2B">
        <w:rPr>
          <w:rFonts w:ascii="Cambria Math" w:hAnsi="Cambria Math" w:cs="Cambria Math"/>
        </w:rPr>
        <w:t>‑</w:t>
      </w:r>
      <w:r w:rsidRPr="00913D2B">
        <w:rPr>
          <w:rFonts w:ascii="Arial" w:hAnsi="Arial" w:cs="Arial"/>
        </w:rPr>
        <w:t>sensitive, value</w:t>
      </w:r>
      <w:r w:rsidRPr="00913D2B">
        <w:rPr>
          <w:rFonts w:ascii="Cambria Math" w:hAnsi="Cambria Math" w:cs="Cambria Math"/>
        </w:rPr>
        <w:t>‑</w:t>
      </w:r>
      <w:r w:rsidRPr="00913D2B">
        <w:rPr>
          <w:rFonts w:ascii="Arial" w:hAnsi="Arial" w:cs="Arial"/>
        </w:rPr>
        <w:t>conscious, and increasingly attentive to fuel efficiency, safety, and technological features. This creates a demanding home market that pushes manufacturers to innovate and optimise costs. The rise of urbanisation has also shifted preferences towards compact cars and small SUVs, segments where India has developed world</w:t>
      </w:r>
      <w:r w:rsidRPr="00913D2B">
        <w:rPr>
          <w:rFonts w:ascii="Cambria Math" w:hAnsi="Cambria Math" w:cs="Cambria Math"/>
        </w:rPr>
        <w:t>‑</w:t>
      </w:r>
      <w:r w:rsidRPr="00913D2B">
        <w:rPr>
          <w:rFonts w:ascii="Arial" w:hAnsi="Arial" w:cs="Arial"/>
        </w:rPr>
        <w:t>leading expertise. Additionally, the growing interest in hybrid and electric vehicles—supported by government incentives—signals a shift towards cleaner mobility. These evolving consumer expectations encourage firms to continuously upgrade product quality, adopt new technologies, and compete on both price and performance.</w:t>
      </w:r>
    </w:p>
    <w:p w14:paraId="57C5D9B0" w14:textId="77777777" w:rsidR="00316DDC" w:rsidRPr="00913D2B" w:rsidRDefault="00316DDC" w:rsidP="005D75A9">
      <w:pPr>
        <w:spacing w:line="360" w:lineRule="auto"/>
        <w:jc w:val="both"/>
        <w:rPr>
          <w:rFonts w:ascii="Arial" w:hAnsi="Arial" w:cs="Arial"/>
        </w:rPr>
      </w:pPr>
    </w:p>
    <w:p w14:paraId="5C3D10CC" w14:textId="277E489D" w:rsidR="00316DDC" w:rsidRPr="00D3262F" w:rsidRDefault="003F3B0F" w:rsidP="005D75A9">
      <w:pPr>
        <w:pStyle w:val="Heading3"/>
        <w:jc w:val="both"/>
        <w:rPr>
          <w:rFonts w:ascii="Arial" w:hAnsi="Arial" w:cs="Arial"/>
          <w:b/>
          <w:bCs/>
          <w:color w:val="000000" w:themeColor="text1"/>
          <w:sz w:val="24"/>
          <w:szCs w:val="24"/>
        </w:rPr>
      </w:pPr>
      <w:bookmarkStart w:id="5" w:name="_Toc224570186"/>
      <w:r>
        <w:rPr>
          <w:rFonts w:ascii="Arial" w:hAnsi="Arial" w:cs="Arial"/>
          <w:b/>
          <w:bCs/>
          <w:color w:val="000000" w:themeColor="text1"/>
          <w:sz w:val="24"/>
          <w:szCs w:val="24"/>
        </w:rPr>
        <w:t xml:space="preserve">1.3.3: </w:t>
      </w:r>
      <w:r w:rsidR="00316DDC" w:rsidRPr="00D3262F">
        <w:rPr>
          <w:rFonts w:ascii="Arial" w:hAnsi="Arial" w:cs="Arial"/>
          <w:b/>
          <w:bCs/>
          <w:color w:val="000000" w:themeColor="text1"/>
          <w:sz w:val="24"/>
          <w:szCs w:val="24"/>
        </w:rPr>
        <w:t>Related and Supporting Industries</w:t>
      </w:r>
      <w:bookmarkEnd w:id="5"/>
    </w:p>
    <w:p w14:paraId="2DBA5679" w14:textId="77777777" w:rsidR="00316DDC" w:rsidRPr="00913D2B" w:rsidRDefault="00316DDC" w:rsidP="005D75A9">
      <w:pPr>
        <w:spacing w:line="360" w:lineRule="auto"/>
        <w:jc w:val="both"/>
        <w:rPr>
          <w:rFonts w:ascii="Arial" w:hAnsi="Arial" w:cs="Arial"/>
        </w:rPr>
      </w:pPr>
    </w:p>
    <w:p w14:paraId="60943D2B" w14:textId="77777777" w:rsidR="00316DDC" w:rsidRPr="00913D2B" w:rsidRDefault="00316DDC" w:rsidP="005D75A9">
      <w:pPr>
        <w:spacing w:line="360" w:lineRule="auto"/>
        <w:jc w:val="both"/>
        <w:rPr>
          <w:rFonts w:ascii="Arial" w:hAnsi="Arial" w:cs="Arial"/>
        </w:rPr>
      </w:pPr>
      <w:r w:rsidRPr="00913D2B">
        <w:rPr>
          <w:rFonts w:ascii="Arial" w:hAnsi="Arial" w:cs="Arial"/>
        </w:rPr>
        <w:t>India possesses one of the world’s most extensive automotive component industries, which significantly enhances the competitiveness of vehicle manufacturers. The auto</w:t>
      </w:r>
      <w:r w:rsidRPr="00913D2B">
        <w:rPr>
          <w:rFonts w:ascii="Cambria Math" w:hAnsi="Cambria Math" w:cs="Cambria Math"/>
        </w:rPr>
        <w:t>‑</w:t>
      </w:r>
      <w:r w:rsidRPr="00913D2B">
        <w:rPr>
          <w:rFonts w:ascii="Arial" w:hAnsi="Arial" w:cs="Arial"/>
        </w:rPr>
        <w:t xml:space="preserve">components sector includes thousands of suppliers producing engines, </w:t>
      </w:r>
      <w:r w:rsidRPr="00913D2B">
        <w:rPr>
          <w:rFonts w:ascii="Arial" w:hAnsi="Arial" w:cs="Arial"/>
        </w:rPr>
        <w:lastRenderedPageBreak/>
        <w:t>transmissions, electronics, tyres, and safety systems. Many of these suppliers meet global quality standards and export to international markets, strengthening India’s position in global value chains. The presence of strong IT and digital services industries also supports automotive innovation, particularly in connected</w:t>
      </w:r>
      <w:r w:rsidRPr="00913D2B">
        <w:rPr>
          <w:rFonts w:ascii="Cambria Math" w:hAnsi="Cambria Math" w:cs="Cambria Math"/>
        </w:rPr>
        <w:t>‑</w:t>
      </w:r>
      <w:r w:rsidRPr="00913D2B">
        <w:rPr>
          <w:rFonts w:ascii="Arial" w:hAnsi="Arial" w:cs="Arial"/>
        </w:rPr>
        <w:t>car technologies, telematics, and digital retailing. Logistics, steel, petrochemicals, and financial services further reinforce the ecosystem. This dense network of supporting industries reduces production costs, shortens lead times, and enables rapid scaling—key advantages for firms operating in India.</w:t>
      </w:r>
    </w:p>
    <w:p w14:paraId="31FB72F6" w14:textId="77777777" w:rsidR="00316DDC" w:rsidRPr="00913D2B" w:rsidRDefault="00316DDC" w:rsidP="005D75A9">
      <w:pPr>
        <w:spacing w:line="360" w:lineRule="auto"/>
        <w:jc w:val="both"/>
        <w:rPr>
          <w:rFonts w:ascii="Arial" w:hAnsi="Arial" w:cs="Arial"/>
        </w:rPr>
      </w:pPr>
    </w:p>
    <w:p w14:paraId="16762721" w14:textId="534093A0" w:rsidR="00316DDC" w:rsidRPr="00D3262F" w:rsidRDefault="003F3B0F" w:rsidP="005D75A9">
      <w:pPr>
        <w:pStyle w:val="Heading3"/>
        <w:jc w:val="both"/>
        <w:rPr>
          <w:rFonts w:ascii="Arial" w:hAnsi="Arial" w:cs="Arial"/>
          <w:b/>
          <w:bCs/>
          <w:color w:val="000000" w:themeColor="text1"/>
          <w:sz w:val="24"/>
          <w:szCs w:val="24"/>
        </w:rPr>
      </w:pPr>
      <w:bookmarkStart w:id="6" w:name="_Toc224570187"/>
      <w:r>
        <w:rPr>
          <w:rFonts w:ascii="Arial" w:hAnsi="Arial" w:cs="Arial"/>
          <w:b/>
          <w:bCs/>
          <w:color w:val="000000" w:themeColor="text1"/>
          <w:sz w:val="24"/>
          <w:szCs w:val="24"/>
        </w:rPr>
        <w:t xml:space="preserve">1.3.4: </w:t>
      </w:r>
      <w:r w:rsidR="00316DDC" w:rsidRPr="00D3262F">
        <w:rPr>
          <w:rFonts w:ascii="Arial" w:hAnsi="Arial" w:cs="Arial"/>
          <w:b/>
          <w:bCs/>
          <w:color w:val="000000" w:themeColor="text1"/>
          <w:sz w:val="24"/>
          <w:szCs w:val="24"/>
        </w:rPr>
        <w:t>Firm Strategy, Structure, and Rivalry</w:t>
      </w:r>
      <w:bookmarkEnd w:id="6"/>
    </w:p>
    <w:p w14:paraId="4DC7D5B5" w14:textId="77777777" w:rsidR="00316DDC" w:rsidRPr="00913D2B" w:rsidRDefault="00316DDC" w:rsidP="005D75A9">
      <w:pPr>
        <w:spacing w:line="360" w:lineRule="auto"/>
        <w:jc w:val="both"/>
        <w:rPr>
          <w:rFonts w:ascii="Arial" w:hAnsi="Arial" w:cs="Arial"/>
        </w:rPr>
      </w:pPr>
    </w:p>
    <w:p w14:paraId="4A96EA88" w14:textId="466D6CBB" w:rsidR="005922E2" w:rsidRDefault="00316DDC" w:rsidP="005D75A9">
      <w:pPr>
        <w:spacing w:line="360" w:lineRule="auto"/>
        <w:jc w:val="both"/>
        <w:rPr>
          <w:rFonts w:ascii="Arial" w:hAnsi="Arial" w:cs="Arial"/>
        </w:rPr>
      </w:pPr>
      <w:r w:rsidRPr="00913D2B">
        <w:rPr>
          <w:rFonts w:ascii="Arial" w:hAnsi="Arial" w:cs="Arial"/>
        </w:rPr>
        <w:t>The Indian automotive industry is characterised by intense competition among domestic and multinational firms</w:t>
      </w:r>
      <w:sdt>
        <w:sdtPr>
          <w:rPr>
            <w:rFonts w:ascii="Arial" w:hAnsi="Arial" w:cs="Arial"/>
          </w:rPr>
          <w:id w:val="1684389878"/>
          <w:citation/>
        </w:sdtPr>
        <w:sdtEndPr/>
        <w:sdtContent>
          <w:r w:rsidR="00B66D9D">
            <w:rPr>
              <w:rFonts w:ascii="Arial" w:hAnsi="Arial" w:cs="Arial"/>
            </w:rPr>
            <w:fldChar w:fldCharType="begin"/>
          </w:r>
          <w:r w:rsidR="00B66D9D">
            <w:rPr>
              <w:rFonts w:ascii="Arial" w:hAnsi="Arial" w:cs="Arial"/>
            </w:rPr>
            <w:instrText xml:space="preserve"> CITATION Gra19 \l 16393 </w:instrText>
          </w:r>
          <w:r w:rsidR="00B66D9D">
            <w:rPr>
              <w:rFonts w:ascii="Arial" w:hAnsi="Arial" w:cs="Arial"/>
            </w:rPr>
            <w:fldChar w:fldCharType="separate"/>
          </w:r>
          <w:r w:rsidR="00B66D9D">
            <w:rPr>
              <w:rFonts w:ascii="Arial" w:hAnsi="Arial" w:cs="Arial"/>
              <w:noProof/>
            </w:rPr>
            <w:t xml:space="preserve"> </w:t>
          </w:r>
          <w:r w:rsidR="00B66D9D" w:rsidRPr="00B66D9D">
            <w:rPr>
              <w:rFonts w:ascii="Arial" w:hAnsi="Arial" w:cs="Arial"/>
              <w:noProof/>
            </w:rPr>
            <w:t>(Grant, 2019)</w:t>
          </w:r>
          <w:r w:rsidR="00B66D9D">
            <w:rPr>
              <w:rFonts w:ascii="Arial" w:hAnsi="Arial" w:cs="Arial"/>
            </w:rPr>
            <w:fldChar w:fldCharType="end"/>
          </w:r>
        </w:sdtContent>
      </w:sdt>
      <w:r w:rsidRPr="00913D2B">
        <w:rPr>
          <w:rFonts w:ascii="Arial" w:hAnsi="Arial" w:cs="Arial"/>
        </w:rPr>
        <w:t>, including Maruti Suzuki, Hyundai, Tata Motors, Mahindra, Kia, Toyota, and Honda. This competitive environment drives continuous improvement in product quality, cost efficiency, and technological innovation. Firms compete aggressively in the compact and mid</w:t>
      </w:r>
      <w:r w:rsidRPr="00913D2B">
        <w:rPr>
          <w:rFonts w:ascii="Cambria Math" w:hAnsi="Cambria Math" w:cs="Cambria Math"/>
        </w:rPr>
        <w:t>‑</w:t>
      </w:r>
      <w:r w:rsidRPr="00913D2B">
        <w:rPr>
          <w:rFonts w:ascii="Arial" w:hAnsi="Arial" w:cs="Arial"/>
        </w:rPr>
        <w:t>range segments, which account for the majority of sales. Maruti Suzuki’s long</w:t>
      </w:r>
      <w:r w:rsidRPr="00913D2B">
        <w:rPr>
          <w:rFonts w:ascii="Cambria Math" w:hAnsi="Cambria Math" w:cs="Cambria Math"/>
        </w:rPr>
        <w:t>‑</w:t>
      </w:r>
      <w:r w:rsidRPr="00913D2B">
        <w:rPr>
          <w:rFonts w:ascii="Arial" w:hAnsi="Arial" w:cs="Arial"/>
        </w:rPr>
        <w:t>standing market leadership has been challenged in recent years by Hyundai and Tata Motors, prompting all firms to enhance safety features, introduce new powertrain technologies, and expand digital customer engagement. The competitive pressure encourages firms to innovate rapidly, optimise supply chains, and tailor products to Indian consumer preferences. This rivalry strengthens the overall competitiveness of the industry and enhances its global reputation.</w:t>
      </w:r>
    </w:p>
    <w:p w14:paraId="70D9F9A1" w14:textId="77777777" w:rsidR="00C04D66" w:rsidRPr="00913D2B" w:rsidRDefault="00C04D66" w:rsidP="005D75A9">
      <w:pPr>
        <w:spacing w:line="360" w:lineRule="auto"/>
        <w:jc w:val="both"/>
        <w:rPr>
          <w:rFonts w:ascii="Arial" w:hAnsi="Arial" w:cs="Arial"/>
        </w:rPr>
      </w:pPr>
    </w:p>
    <w:p w14:paraId="42E4341E" w14:textId="0F894784" w:rsidR="00316DDC" w:rsidRPr="006122AC" w:rsidRDefault="003F3B0F" w:rsidP="005D75A9">
      <w:pPr>
        <w:pStyle w:val="Heading3"/>
        <w:jc w:val="both"/>
        <w:rPr>
          <w:rFonts w:ascii="Arial" w:hAnsi="Arial" w:cs="Arial"/>
          <w:b/>
          <w:bCs/>
          <w:color w:val="000000" w:themeColor="text1"/>
          <w:sz w:val="24"/>
          <w:szCs w:val="24"/>
        </w:rPr>
      </w:pPr>
      <w:bookmarkStart w:id="7" w:name="_Toc224570188"/>
      <w:r>
        <w:rPr>
          <w:rFonts w:ascii="Arial" w:hAnsi="Arial" w:cs="Arial"/>
          <w:b/>
          <w:bCs/>
          <w:color w:val="000000" w:themeColor="text1"/>
          <w:sz w:val="24"/>
          <w:szCs w:val="24"/>
        </w:rPr>
        <w:t xml:space="preserve">1.3.5: </w:t>
      </w:r>
      <w:r w:rsidR="00316DDC" w:rsidRPr="006122AC">
        <w:rPr>
          <w:rFonts w:ascii="Arial" w:hAnsi="Arial" w:cs="Arial"/>
          <w:b/>
          <w:bCs/>
          <w:color w:val="000000" w:themeColor="text1"/>
          <w:sz w:val="24"/>
          <w:szCs w:val="24"/>
        </w:rPr>
        <w:t>Government</w:t>
      </w:r>
      <w:bookmarkEnd w:id="7"/>
    </w:p>
    <w:p w14:paraId="47B044D4" w14:textId="77777777" w:rsidR="00316DDC" w:rsidRPr="00913D2B" w:rsidRDefault="00316DDC" w:rsidP="005D75A9">
      <w:pPr>
        <w:spacing w:line="360" w:lineRule="auto"/>
        <w:jc w:val="both"/>
        <w:rPr>
          <w:rFonts w:ascii="Arial" w:hAnsi="Arial" w:cs="Arial"/>
        </w:rPr>
      </w:pPr>
    </w:p>
    <w:p w14:paraId="504D625D" w14:textId="77777777" w:rsidR="00316DDC" w:rsidRPr="00913D2B" w:rsidRDefault="00316DDC" w:rsidP="005D75A9">
      <w:pPr>
        <w:spacing w:line="360" w:lineRule="auto"/>
        <w:jc w:val="both"/>
        <w:rPr>
          <w:rFonts w:ascii="Arial" w:hAnsi="Arial" w:cs="Arial"/>
        </w:rPr>
      </w:pPr>
      <w:r w:rsidRPr="00913D2B">
        <w:rPr>
          <w:rFonts w:ascii="Arial" w:hAnsi="Arial" w:cs="Arial"/>
        </w:rPr>
        <w:t xml:space="preserve">Government policy plays a central role in shaping the competitiveness of India’s automotive sector. Initiatives such as “Make in India,” the Automotive Mission Plan (AMP) 2016–26, and the Production Linked Incentive (PLI) scheme provide incentives for localisation, advanced manufacturing, and technological innovation. The Faster Adoption and Manufacturing of Electric Vehicles (FAME) scheme supports the </w:t>
      </w:r>
      <w:r w:rsidRPr="00913D2B">
        <w:rPr>
          <w:rFonts w:ascii="Arial" w:hAnsi="Arial" w:cs="Arial"/>
        </w:rPr>
        <w:lastRenderedPageBreak/>
        <w:t>transition towards cleaner mobility through subsidies and infrastructure development. Regulatory reforms, including stricter emission norms (BS</w:t>
      </w:r>
      <w:r w:rsidRPr="00913D2B">
        <w:rPr>
          <w:rFonts w:ascii="Cambria Math" w:hAnsi="Cambria Math" w:cs="Cambria Math"/>
        </w:rPr>
        <w:t>‑</w:t>
      </w:r>
      <w:r w:rsidRPr="00913D2B">
        <w:rPr>
          <w:rFonts w:ascii="Arial" w:hAnsi="Arial" w:cs="Arial"/>
        </w:rPr>
        <w:t>VI) and enhanced safety standards, push firms to upgrade technology and improve product quality. While regulatory complexity and state</w:t>
      </w:r>
      <w:r w:rsidRPr="00913D2B">
        <w:rPr>
          <w:rFonts w:ascii="Cambria Math" w:hAnsi="Cambria Math" w:cs="Cambria Math"/>
        </w:rPr>
        <w:t>‑</w:t>
      </w:r>
      <w:r w:rsidRPr="00913D2B">
        <w:rPr>
          <w:rFonts w:ascii="Arial" w:hAnsi="Arial" w:cs="Arial"/>
        </w:rPr>
        <w:t>level variations can create challenges, overall government intervention has strengthened India’s position as a global automotive hub.</w:t>
      </w:r>
    </w:p>
    <w:p w14:paraId="43C37276" w14:textId="77777777" w:rsidR="00316DDC" w:rsidRPr="00913D2B" w:rsidRDefault="00316DDC" w:rsidP="005D75A9">
      <w:pPr>
        <w:spacing w:line="360" w:lineRule="auto"/>
        <w:jc w:val="both"/>
        <w:rPr>
          <w:rFonts w:ascii="Arial" w:hAnsi="Arial" w:cs="Arial"/>
        </w:rPr>
      </w:pPr>
    </w:p>
    <w:p w14:paraId="3C0AE931" w14:textId="4CF8A564" w:rsidR="00316DDC" w:rsidRPr="00913D2B" w:rsidRDefault="003F3B0F" w:rsidP="005D75A9">
      <w:pPr>
        <w:pStyle w:val="Heading3"/>
        <w:jc w:val="both"/>
      </w:pPr>
      <w:bookmarkStart w:id="8" w:name="_Toc224570189"/>
      <w:r>
        <w:rPr>
          <w:rFonts w:ascii="Arial" w:hAnsi="Arial" w:cs="Arial"/>
          <w:b/>
          <w:bCs/>
          <w:color w:val="000000" w:themeColor="text1"/>
          <w:sz w:val="24"/>
          <w:szCs w:val="24"/>
        </w:rPr>
        <w:t xml:space="preserve">1.3.6: </w:t>
      </w:r>
      <w:r w:rsidR="00316DDC" w:rsidRPr="006122AC">
        <w:rPr>
          <w:rFonts w:ascii="Arial" w:hAnsi="Arial" w:cs="Arial"/>
          <w:b/>
          <w:bCs/>
          <w:color w:val="000000" w:themeColor="text1"/>
          <w:sz w:val="24"/>
          <w:szCs w:val="24"/>
        </w:rPr>
        <w:t>Chance</w:t>
      </w:r>
      <w:bookmarkEnd w:id="8"/>
    </w:p>
    <w:p w14:paraId="09A0CBDB" w14:textId="77777777" w:rsidR="00316DDC" w:rsidRPr="00913D2B" w:rsidRDefault="00316DDC" w:rsidP="005D75A9">
      <w:pPr>
        <w:spacing w:line="360" w:lineRule="auto"/>
        <w:jc w:val="both"/>
        <w:rPr>
          <w:rFonts w:ascii="Arial" w:hAnsi="Arial" w:cs="Arial"/>
        </w:rPr>
      </w:pPr>
    </w:p>
    <w:p w14:paraId="78B935DF" w14:textId="77777777" w:rsidR="00316DDC" w:rsidRPr="00913D2B" w:rsidRDefault="00316DDC" w:rsidP="005D75A9">
      <w:pPr>
        <w:spacing w:line="360" w:lineRule="auto"/>
        <w:jc w:val="both"/>
        <w:rPr>
          <w:rFonts w:ascii="Arial" w:hAnsi="Arial" w:cs="Arial"/>
        </w:rPr>
      </w:pPr>
      <w:r w:rsidRPr="00913D2B">
        <w:rPr>
          <w:rFonts w:ascii="Arial" w:hAnsi="Arial" w:cs="Arial"/>
        </w:rPr>
        <w:t>External events and unforeseen developments also influence industry competitiveness. The COVID</w:t>
      </w:r>
      <w:r w:rsidRPr="00913D2B">
        <w:rPr>
          <w:rFonts w:ascii="Cambria Math" w:hAnsi="Cambria Math" w:cs="Cambria Math"/>
        </w:rPr>
        <w:t>‑</w:t>
      </w:r>
      <w:r w:rsidRPr="00913D2B">
        <w:rPr>
          <w:rFonts w:ascii="Arial" w:hAnsi="Arial" w:cs="Arial"/>
        </w:rPr>
        <w:t>19 pandemic disrupted supply chains and temporarily reduced demand, but it also accelerated digital transformation and increased consumer interest in personal mobility. Global semiconductor shortages highlighted vulnerabilities in supply chains, prompting firms to diversify sourcing and invest in localisation. Additionally, geopolitical shifts and global interest in “China</w:t>
      </w:r>
      <w:r w:rsidRPr="00913D2B">
        <w:rPr>
          <w:rFonts w:ascii="Cambria Math" w:hAnsi="Cambria Math" w:cs="Cambria Math"/>
        </w:rPr>
        <w:t>‑</w:t>
      </w:r>
      <w:r w:rsidRPr="00913D2B">
        <w:rPr>
          <w:rFonts w:ascii="Arial" w:hAnsi="Arial" w:cs="Arial"/>
        </w:rPr>
        <w:t>plus</w:t>
      </w:r>
      <w:r w:rsidRPr="00913D2B">
        <w:rPr>
          <w:rFonts w:ascii="Cambria Math" w:hAnsi="Cambria Math" w:cs="Cambria Math"/>
        </w:rPr>
        <w:t>‑</w:t>
      </w:r>
      <w:r w:rsidRPr="00913D2B">
        <w:rPr>
          <w:rFonts w:ascii="Arial" w:hAnsi="Arial" w:cs="Arial"/>
        </w:rPr>
        <w:t>one” strategies have increased India’s attractiveness as an alternative manufacturing base. These chance events have reshaped strategic priorities and encouraged firms to build more resilient and flexible operations.</w:t>
      </w:r>
    </w:p>
    <w:p w14:paraId="74549762" w14:textId="77777777" w:rsidR="00316DDC" w:rsidRPr="00913D2B" w:rsidRDefault="00316DDC" w:rsidP="005D75A9">
      <w:pPr>
        <w:spacing w:line="360" w:lineRule="auto"/>
        <w:jc w:val="both"/>
        <w:rPr>
          <w:rFonts w:ascii="Arial" w:hAnsi="Arial" w:cs="Arial"/>
        </w:rPr>
      </w:pPr>
    </w:p>
    <w:p w14:paraId="6C406FAD" w14:textId="1C1CDEDA" w:rsidR="00316DDC" w:rsidRPr="006122AC" w:rsidRDefault="003F3B0F" w:rsidP="005D75A9">
      <w:pPr>
        <w:pStyle w:val="Heading3"/>
        <w:jc w:val="both"/>
        <w:rPr>
          <w:rFonts w:ascii="Arial" w:hAnsi="Arial" w:cs="Arial"/>
          <w:b/>
          <w:bCs/>
          <w:color w:val="000000" w:themeColor="text1"/>
          <w:sz w:val="24"/>
          <w:szCs w:val="24"/>
        </w:rPr>
      </w:pPr>
      <w:bookmarkStart w:id="9" w:name="_Toc224570190"/>
      <w:r>
        <w:rPr>
          <w:rFonts w:ascii="Arial" w:hAnsi="Arial" w:cs="Arial"/>
          <w:b/>
          <w:bCs/>
          <w:color w:val="000000" w:themeColor="text1"/>
          <w:sz w:val="24"/>
          <w:szCs w:val="24"/>
        </w:rPr>
        <w:t xml:space="preserve">1.3.7: </w:t>
      </w:r>
      <w:r w:rsidR="00316DDC" w:rsidRPr="006122AC">
        <w:rPr>
          <w:rFonts w:ascii="Arial" w:hAnsi="Arial" w:cs="Arial"/>
          <w:b/>
          <w:bCs/>
          <w:color w:val="000000" w:themeColor="text1"/>
          <w:sz w:val="24"/>
          <w:szCs w:val="24"/>
        </w:rPr>
        <w:t>Conclusion of the Diamond Analysis</w:t>
      </w:r>
      <w:bookmarkEnd w:id="9"/>
    </w:p>
    <w:p w14:paraId="7F094165" w14:textId="77777777" w:rsidR="00316DDC" w:rsidRPr="00913D2B" w:rsidRDefault="00316DDC" w:rsidP="005D75A9">
      <w:pPr>
        <w:spacing w:line="360" w:lineRule="auto"/>
        <w:jc w:val="both"/>
        <w:rPr>
          <w:rFonts w:ascii="Arial" w:hAnsi="Arial" w:cs="Arial"/>
        </w:rPr>
      </w:pPr>
    </w:p>
    <w:p w14:paraId="635AABE7" w14:textId="53040805" w:rsidR="00C04D66" w:rsidRDefault="00B23751" w:rsidP="005D75A9">
      <w:pPr>
        <w:spacing w:line="360" w:lineRule="auto"/>
        <w:jc w:val="both"/>
        <w:rPr>
          <w:rFonts w:ascii="Arial" w:hAnsi="Arial" w:cs="Arial"/>
        </w:rPr>
      </w:pPr>
      <w:r>
        <w:rPr>
          <w:rFonts w:ascii="Arial" w:hAnsi="Arial" w:cs="Arial"/>
        </w:rPr>
        <w:t xml:space="preserve">The interaction between strong domestic </w:t>
      </w:r>
      <w:proofErr w:type="gramStart"/>
      <w:r>
        <w:rPr>
          <w:rFonts w:ascii="Arial" w:hAnsi="Arial" w:cs="Arial"/>
        </w:rPr>
        <w:t>demand</w:t>
      </w:r>
      <w:r w:rsidR="00D979AA">
        <w:rPr>
          <w:rFonts w:ascii="Arial" w:hAnsi="Arial" w:cs="Arial"/>
        </w:rPr>
        <w:t xml:space="preserve"> </w:t>
      </w:r>
      <w:r>
        <w:rPr>
          <w:rFonts w:ascii="Arial" w:hAnsi="Arial" w:cs="Arial"/>
        </w:rPr>
        <w:t>,competitive</w:t>
      </w:r>
      <w:proofErr w:type="gramEnd"/>
      <w:r>
        <w:rPr>
          <w:rFonts w:ascii="Arial" w:hAnsi="Arial" w:cs="Arial"/>
        </w:rPr>
        <w:t xml:space="preserve"> rivalry and an ex</w:t>
      </w:r>
      <w:r w:rsidR="00D979AA">
        <w:rPr>
          <w:rFonts w:ascii="Arial" w:hAnsi="Arial" w:cs="Arial"/>
        </w:rPr>
        <w:t>tensive</w:t>
      </w:r>
      <w:r>
        <w:rPr>
          <w:rFonts w:ascii="Arial" w:hAnsi="Arial" w:cs="Arial"/>
        </w:rPr>
        <w:t xml:space="preserve"> supplier network creates a self</w:t>
      </w:r>
      <w:r w:rsidR="00D979AA">
        <w:rPr>
          <w:rFonts w:ascii="Arial" w:hAnsi="Arial" w:cs="Arial"/>
        </w:rPr>
        <w:t>-</w:t>
      </w:r>
      <w:r>
        <w:rPr>
          <w:rFonts w:ascii="Arial" w:hAnsi="Arial" w:cs="Arial"/>
        </w:rPr>
        <w:t>reinforcement competitive environment that enhance the global competitiveness of the Indian automobile industry</w:t>
      </w:r>
      <w:r w:rsidR="00D979AA">
        <w:rPr>
          <w:rFonts w:ascii="Arial" w:hAnsi="Arial" w:cs="Arial"/>
        </w:rPr>
        <w:t>.</w:t>
      </w:r>
    </w:p>
    <w:p w14:paraId="15268CF6" w14:textId="77777777" w:rsidR="00B66D9D" w:rsidRDefault="00B66D9D" w:rsidP="005D75A9">
      <w:pPr>
        <w:spacing w:line="360" w:lineRule="auto"/>
        <w:jc w:val="both"/>
        <w:rPr>
          <w:rFonts w:ascii="Arial" w:hAnsi="Arial" w:cs="Arial"/>
        </w:rPr>
      </w:pPr>
    </w:p>
    <w:p w14:paraId="27C52D7A" w14:textId="0F362DC4" w:rsidR="000862D7" w:rsidRPr="00C66FE0" w:rsidRDefault="001F01BF" w:rsidP="005D75A9">
      <w:pPr>
        <w:pStyle w:val="Heading2"/>
        <w:jc w:val="both"/>
        <w:rPr>
          <w:rFonts w:ascii="Arial" w:hAnsi="Arial" w:cs="Arial"/>
          <w:b/>
          <w:bCs/>
          <w:color w:val="000000" w:themeColor="text1"/>
          <w:sz w:val="24"/>
          <w:szCs w:val="24"/>
        </w:rPr>
      </w:pPr>
      <w:bookmarkStart w:id="10" w:name="_Toc224570191"/>
      <w:r w:rsidRPr="00C66FE0">
        <w:rPr>
          <w:rFonts w:ascii="Arial" w:hAnsi="Arial" w:cs="Arial"/>
          <w:b/>
          <w:bCs/>
          <w:color w:val="000000" w:themeColor="text1"/>
          <w:sz w:val="24"/>
          <w:szCs w:val="24"/>
        </w:rPr>
        <w:t xml:space="preserve">Section </w:t>
      </w:r>
      <w:r w:rsidR="006F022E" w:rsidRPr="00C66FE0">
        <w:rPr>
          <w:rFonts w:ascii="Arial" w:hAnsi="Arial" w:cs="Arial"/>
          <w:b/>
          <w:bCs/>
          <w:color w:val="000000" w:themeColor="text1"/>
          <w:sz w:val="24"/>
          <w:szCs w:val="24"/>
        </w:rPr>
        <w:t>1.</w:t>
      </w:r>
      <w:r w:rsidR="000862D7" w:rsidRPr="00C66FE0">
        <w:rPr>
          <w:rFonts w:ascii="Arial" w:hAnsi="Arial" w:cs="Arial"/>
          <w:b/>
          <w:bCs/>
          <w:color w:val="000000" w:themeColor="text1"/>
          <w:sz w:val="24"/>
          <w:szCs w:val="24"/>
        </w:rPr>
        <w:t>4. MNC Analysis: Suzuki Motor Corporation in India</w:t>
      </w:r>
      <w:bookmarkEnd w:id="10"/>
    </w:p>
    <w:p w14:paraId="526E5A6A" w14:textId="77777777" w:rsidR="000862D7" w:rsidRPr="00913D2B" w:rsidRDefault="000862D7" w:rsidP="005D75A9">
      <w:pPr>
        <w:spacing w:line="360" w:lineRule="auto"/>
        <w:jc w:val="both"/>
        <w:rPr>
          <w:rFonts w:ascii="Arial" w:hAnsi="Arial" w:cs="Arial"/>
        </w:rPr>
      </w:pPr>
    </w:p>
    <w:p w14:paraId="6E8F7E14" w14:textId="0D3343E4" w:rsidR="000862D7" w:rsidRPr="001F01BF" w:rsidRDefault="006F022E" w:rsidP="005D75A9">
      <w:pPr>
        <w:pStyle w:val="Heading3"/>
        <w:jc w:val="both"/>
        <w:rPr>
          <w:rFonts w:ascii="Arial" w:hAnsi="Arial" w:cs="Arial"/>
          <w:b/>
          <w:bCs/>
          <w:color w:val="000000" w:themeColor="text1"/>
          <w:sz w:val="24"/>
          <w:szCs w:val="24"/>
        </w:rPr>
      </w:pPr>
      <w:bookmarkStart w:id="11" w:name="_Toc224570192"/>
      <w:r w:rsidRPr="001F01BF">
        <w:rPr>
          <w:rFonts w:ascii="Arial" w:hAnsi="Arial" w:cs="Arial"/>
          <w:b/>
          <w:bCs/>
          <w:color w:val="000000" w:themeColor="text1"/>
          <w:sz w:val="24"/>
          <w:szCs w:val="24"/>
        </w:rPr>
        <w:t>1.</w:t>
      </w:r>
      <w:r w:rsidR="000862D7" w:rsidRPr="001F01BF">
        <w:rPr>
          <w:rFonts w:ascii="Arial" w:hAnsi="Arial" w:cs="Arial"/>
          <w:b/>
          <w:bCs/>
          <w:color w:val="000000" w:themeColor="text1"/>
          <w:sz w:val="24"/>
          <w:szCs w:val="24"/>
        </w:rPr>
        <w:t>4.1 Introduction</w:t>
      </w:r>
      <w:bookmarkEnd w:id="11"/>
    </w:p>
    <w:p w14:paraId="11E4C2D9" w14:textId="77777777" w:rsidR="000862D7" w:rsidRPr="00913D2B" w:rsidRDefault="000862D7" w:rsidP="005D75A9">
      <w:pPr>
        <w:spacing w:line="360" w:lineRule="auto"/>
        <w:jc w:val="both"/>
        <w:rPr>
          <w:rFonts w:ascii="Arial" w:hAnsi="Arial" w:cs="Arial"/>
        </w:rPr>
      </w:pPr>
    </w:p>
    <w:p w14:paraId="1013C2CC" w14:textId="77777777" w:rsidR="000862D7" w:rsidRPr="00913D2B" w:rsidRDefault="000862D7" w:rsidP="005D75A9">
      <w:pPr>
        <w:spacing w:line="360" w:lineRule="auto"/>
        <w:jc w:val="both"/>
        <w:rPr>
          <w:rFonts w:ascii="Arial" w:hAnsi="Arial" w:cs="Arial"/>
        </w:rPr>
      </w:pPr>
      <w:r w:rsidRPr="00913D2B">
        <w:rPr>
          <w:rFonts w:ascii="Arial" w:hAnsi="Arial" w:cs="Arial"/>
        </w:rPr>
        <w:t xml:space="preserve">This section critically evaluates the external and institutional factors influencing Suzuki Motor Corporation’s operations in India. Using PESTEL, the CAGE framework, </w:t>
      </w:r>
      <w:r w:rsidRPr="00913D2B">
        <w:rPr>
          <w:rFonts w:ascii="Arial" w:hAnsi="Arial" w:cs="Arial"/>
        </w:rPr>
        <w:lastRenderedPageBreak/>
        <w:t>Institutional Theory, and market attractiveness analysis, it examines how political, economic, social, technological, environmental, and legal conditions shape Suzuki’s strategic decisions. The analysis highlights the opportunities and constraints within India’s automotive ecosystem and assesses Suzuki’s long</w:t>
      </w:r>
      <w:r w:rsidRPr="00913D2B">
        <w:rPr>
          <w:rFonts w:ascii="Cambria Math" w:hAnsi="Cambria Math" w:cs="Cambria Math"/>
        </w:rPr>
        <w:t>‑</w:t>
      </w:r>
      <w:r w:rsidRPr="00913D2B">
        <w:rPr>
          <w:rFonts w:ascii="Arial" w:hAnsi="Arial" w:cs="Arial"/>
        </w:rPr>
        <w:t>term competitiveness in this rapidly evolving market.</w:t>
      </w:r>
    </w:p>
    <w:p w14:paraId="0A8F5BC1" w14:textId="7663191B" w:rsidR="000862D7" w:rsidRPr="00913D2B" w:rsidRDefault="000862D7" w:rsidP="005D75A9">
      <w:pPr>
        <w:spacing w:line="360" w:lineRule="auto"/>
        <w:jc w:val="both"/>
        <w:rPr>
          <w:rFonts w:ascii="Arial" w:hAnsi="Arial" w:cs="Arial"/>
        </w:rPr>
      </w:pPr>
    </w:p>
    <w:p w14:paraId="38BFBF60" w14:textId="3DCAC3F9" w:rsidR="000862D7" w:rsidRDefault="006F022E" w:rsidP="005D75A9">
      <w:pPr>
        <w:pStyle w:val="Heading3"/>
        <w:jc w:val="both"/>
        <w:rPr>
          <w:rFonts w:ascii="Arial" w:hAnsi="Arial" w:cs="Arial"/>
          <w:b/>
          <w:bCs/>
          <w:color w:val="000000" w:themeColor="text1"/>
          <w:sz w:val="24"/>
          <w:szCs w:val="24"/>
        </w:rPr>
      </w:pPr>
      <w:bookmarkStart w:id="12" w:name="_Toc224570193"/>
      <w:r w:rsidRPr="00470530">
        <w:rPr>
          <w:rFonts w:ascii="Arial" w:hAnsi="Arial" w:cs="Arial"/>
          <w:b/>
          <w:bCs/>
          <w:color w:val="000000" w:themeColor="text1"/>
          <w:sz w:val="24"/>
          <w:szCs w:val="24"/>
        </w:rPr>
        <w:t>1.</w:t>
      </w:r>
      <w:r w:rsidR="000862D7" w:rsidRPr="00470530">
        <w:rPr>
          <w:rFonts w:ascii="Arial" w:hAnsi="Arial" w:cs="Arial"/>
          <w:b/>
          <w:bCs/>
          <w:color w:val="000000" w:themeColor="text1"/>
          <w:sz w:val="24"/>
          <w:szCs w:val="24"/>
        </w:rPr>
        <w:t>4.2 PESTEL Analysis</w:t>
      </w:r>
      <w:bookmarkEnd w:id="12"/>
    </w:p>
    <w:p w14:paraId="437D2CDB" w14:textId="77777777" w:rsidR="00C04D66" w:rsidRPr="00C04D66" w:rsidRDefault="00C04D66" w:rsidP="00C04D66"/>
    <w:p w14:paraId="1501DCE6" w14:textId="28281349" w:rsidR="00C04D66" w:rsidRPr="00C04D66" w:rsidRDefault="00C04D66" w:rsidP="00C04D66">
      <w:pPr>
        <w:spacing w:line="360" w:lineRule="auto"/>
        <w:jc w:val="both"/>
        <w:rPr>
          <w:rFonts w:ascii="Arial" w:hAnsi="Arial" w:cs="Arial"/>
        </w:rPr>
      </w:pPr>
      <w:r w:rsidRPr="00C04D66">
        <w:rPr>
          <w:rFonts w:ascii="Arial" w:hAnsi="Arial" w:cs="Arial"/>
          <w:noProof/>
        </w:rPr>
        <w:drawing>
          <wp:inline distT="0" distB="0" distL="0" distR="0" wp14:anchorId="580A0F82" wp14:editId="6061CEAF">
            <wp:extent cx="5731510" cy="4343400"/>
            <wp:effectExtent l="0" t="0" r="2540" b="0"/>
            <wp:docPr id="154167979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4343400"/>
                    </a:xfrm>
                    <a:prstGeom prst="rect">
                      <a:avLst/>
                    </a:prstGeom>
                    <a:noFill/>
                    <a:ln>
                      <a:noFill/>
                    </a:ln>
                  </pic:spPr>
                </pic:pic>
              </a:graphicData>
            </a:graphic>
          </wp:inline>
        </w:drawing>
      </w:r>
    </w:p>
    <w:p w14:paraId="2F1D8B8F" w14:textId="50CB8F4E" w:rsidR="000862D7" w:rsidRPr="00913D2B" w:rsidRDefault="00D86525" w:rsidP="00D86525">
      <w:pPr>
        <w:spacing w:line="360" w:lineRule="auto"/>
        <w:jc w:val="center"/>
        <w:rPr>
          <w:rFonts w:ascii="Arial" w:hAnsi="Arial" w:cs="Arial"/>
        </w:rPr>
      </w:pPr>
      <w:r>
        <w:rPr>
          <w:rFonts w:ascii="Arial" w:hAnsi="Arial" w:cs="Arial"/>
        </w:rPr>
        <w:t>Fig.</w:t>
      </w:r>
      <w:proofErr w:type="gramStart"/>
      <w:r>
        <w:rPr>
          <w:rFonts w:ascii="Arial" w:hAnsi="Arial" w:cs="Arial"/>
        </w:rPr>
        <w:t>03</w:t>
      </w:r>
      <w:r w:rsidR="006673FD">
        <w:rPr>
          <w:rFonts w:ascii="Arial" w:hAnsi="Arial" w:cs="Arial"/>
        </w:rPr>
        <w:t xml:space="preserve"> :</w:t>
      </w:r>
      <w:proofErr w:type="gramEnd"/>
      <w:r w:rsidR="006673FD">
        <w:rPr>
          <w:rFonts w:ascii="Arial" w:hAnsi="Arial" w:cs="Arial"/>
        </w:rPr>
        <w:t xml:space="preserve"> PASTEL framework for external environment analysis</w:t>
      </w:r>
    </w:p>
    <w:p w14:paraId="1B7FC3F2" w14:textId="18F304A0" w:rsidR="000862D7" w:rsidRPr="00797E69" w:rsidRDefault="000862D7" w:rsidP="005D75A9">
      <w:pPr>
        <w:spacing w:line="360" w:lineRule="auto"/>
        <w:jc w:val="both"/>
        <w:rPr>
          <w:rFonts w:ascii="Arial" w:hAnsi="Arial" w:cs="Arial"/>
          <w:b/>
          <w:bCs/>
        </w:rPr>
      </w:pPr>
      <w:r w:rsidRPr="00797E69">
        <w:rPr>
          <w:rFonts w:ascii="Arial" w:hAnsi="Arial" w:cs="Arial"/>
          <w:b/>
          <w:bCs/>
        </w:rPr>
        <w:t>Political Factors</w:t>
      </w:r>
    </w:p>
    <w:p w14:paraId="0F8CC9F9" w14:textId="77777777" w:rsidR="000862D7" w:rsidRPr="00913D2B" w:rsidRDefault="000862D7" w:rsidP="005D75A9">
      <w:pPr>
        <w:spacing w:line="360" w:lineRule="auto"/>
        <w:jc w:val="both"/>
        <w:rPr>
          <w:rFonts w:ascii="Arial" w:hAnsi="Arial" w:cs="Arial"/>
        </w:rPr>
      </w:pPr>
    </w:p>
    <w:p w14:paraId="272D0BA2" w14:textId="03815933" w:rsidR="000862D7" w:rsidRPr="00913D2B" w:rsidRDefault="000862D7" w:rsidP="005D75A9">
      <w:pPr>
        <w:spacing w:line="360" w:lineRule="auto"/>
        <w:jc w:val="both"/>
        <w:rPr>
          <w:rFonts w:ascii="Arial" w:hAnsi="Arial" w:cs="Arial"/>
        </w:rPr>
      </w:pPr>
      <w:r w:rsidRPr="00913D2B">
        <w:rPr>
          <w:rFonts w:ascii="Arial" w:hAnsi="Arial" w:cs="Arial"/>
        </w:rPr>
        <w:t xml:space="preserve">India’s political environment provides a relatively stable foundation for foreign investment, particularly in manufacturing sectors such as automotive. The government’s “Make in India” initiative has positioned the country as a global </w:t>
      </w:r>
      <w:r w:rsidRPr="00913D2B">
        <w:rPr>
          <w:rFonts w:ascii="Arial" w:hAnsi="Arial" w:cs="Arial"/>
        </w:rPr>
        <w:lastRenderedPageBreak/>
        <w:t>production hub, offering incentives for localisation, technology transfer, and export</w:t>
      </w:r>
      <w:r w:rsidRPr="00913D2B">
        <w:rPr>
          <w:rFonts w:ascii="Cambria Math" w:hAnsi="Cambria Math" w:cs="Cambria Math"/>
        </w:rPr>
        <w:t>‑</w:t>
      </w:r>
      <w:r w:rsidRPr="00913D2B">
        <w:rPr>
          <w:rFonts w:ascii="Arial" w:hAnsi="Arial" w:cs="Arial"/>
        </w:rPr>
        <w:t>oriented manufacturing</w:t>
      </w:r>
      <w:sdt>
        <w:sdtPr>
          <w:rPr>
            <w:rFonts w:ascii="Arial" w:hAnsi="Arial" w:cs="Arial"/>
          </w:rPr>
          <w:id w:val="-76751288"/>
          <w:citation/>
        </w:sdtPr>
        <w:sdtEndPr/>
        <w:sdtContent>
          <w:r w:rsidR="00B66D9D">
            <w:rPr>
              <w:rFonts w:ascii="Arial" w:hAnsi="Arial" w:cs="Arial"/>
            </w:rPr>
            <w:fldChar w:fldCharType="begin"/>
          </w:r>
          <w:r w:rsidR="00B66D9D">
            <w:rPr>
              <w:rFonts w:ascii="Arial" w:hAnsi="Arial" w:cs="Arial"/>
            </w:rPr>
            <w:instrText xml:space="preserve"> CITATION Gov23 \l 16393 </w:instrText>
          </w:r>
          <w:r w:rsidR="00B66D9D">
            <w:rPr>
              <w:rFonts w:ascii="Arial" w:hAnsi="Arial" w:cs="Arial"/>
            </w:rPr>
            <w:fldChar w:fldCharType="separate"/>
          </w:r>
          <w:r w:rsidR="00B66D9D">
            <w:rPr>
              <w:rFonts w:ascii="Arial" w:hAnsi="Arial" w:cs="Arial"/>
              <w:noProof/>
            </w:rPr>
            <w:t xml:space="preserve"> </w:t>
          </w:r>
          <w:r w:rsidR="00B66D9D" w:rsidRPr="00B66D9D">
            <w:rPr>
              <w:rFonts w:ascii="Arial" w:hAnsi="Arial" w:cs="Arial"/>
              <w:noProof/>
            </w:rPr>
            <w:t>(Government of India, 2023)</w:t>
          </w:r>
          <w:r w:rsidR="00B66D9D">
            <w:rPr>
              <w:rFonts w:ascii="Arial" w:hAnsi="Arial" w:cs="Arial"/>
            </w:rPr>
            <w:fldChar w:fldCharType="end"/>
          </w:r>
        </w:sdtContent>
      </w:sdt>
      <w:r w:rsidRPr="00913D2B">
        <w:rPr>
          <w:rFonts w:ascii="Arial" w:hAnsi="Arial" w:cs="Arial"/>
        </w:rPr>
        <w:t>. Policies such as the Production Linked Incentive (PLI) scheme for advanced automotive technologies encourage firms like Suzuki to invest in hybrid and electric vehicle development. Additionally, state</w:t>
      </w:r>
      <w:r w:rsidRPr="00913D2B">
        <w:rPr>
          <w:rFonts w:ascii="Cambria Math" w:hAnsi="Cambria Math" w:cs="Cambria Math"/>
        </w:rPr>
        <w:t>‑</w:t>
      </w:r>
      <w:r w:rsidRPr="00913D2B">
        <w:rPr>
          <w:rFonts w:ascii="Arial" w:hAnsi="Arial" w:cs="Arial"/>
        </w:rPr>
        <w:t>level industrial policies—covering land acquisition, labour regulations, and tax incentives—shape Suzuki’s regional manufacturing strategy. However, regulatory fragmentation across states can create operational complexity, requiring Suzuki to maintain flexible supply chains and region</w:t>
      </w:r>
      <w:r w:rsidRPr="00913D2B">
        <w:rPr>
          <w:rFonts w:ascii="Cambria Math" w:hAnsi="Cambria Math" w:cs="Cambria Math"/>
        </w:rPr>
        <w:t>‑</w:t>
      </w:r>
      <w:r w:rsidRPr="00913D2B">
        <w:rPr>
          <w:rFonts w:ascii="Arial" w:hAnsi="Arial" w:cs="Arial"/>
        </w:rPr>
        <w:t>specific compliance systems. Political stability overall supports long</w:t>
      </w:r>
      <w:r w:rsidRPr="00913D2B">
        <w:rPr>
          <w:rFonts w:ascii="Cambria Math" w:hAnsi="Cambria Math" w:cs="Cambria Math"/>
        </w:rPr>
        <w:t>‑</w:t>
      </w:r>
      <w:r w:rsidRPr="00913D2B">
        <w:rPr>
          <w:rFonts w:ascii="Arial" w:hAnsi="Arial" w:cs="Arial"/>
        </w:rPr>
        <w:t>term investment, but policy shifts in emission norms and safety regulations require continuous adaptation.</w:t>
      </w:r>
    </w:p>
    <w:p w14:paraId="062405D8" w14:textId="77777777" w:rsidR="000862D7" w:rsidRPr="00913D2B" w:rsidRDefault="000862D7" w:rsidP="005D75A9">
      <w:pPr>
        <w:spacing w:line="360" w:lineRule="auto"/>
        <w:jc w:val="both"/>
        <w:rPr>
          <w:rFonts w:ascii="Arial" w:hAnsi="Arial" w:cs="Arial"/>
        </w:rPr>
      </w:pPr>
    </w:p>
    <w:p w14:paraId="2F00E797" w14:textId="77777777" w:rsidR="000862D7" w:rsidRPr="00797E69" w:rsidRDefault="000862D7" w:rsidP="005D75A9">
      <w:pPr>
        <w:spacing w:line="360" w:lineRule="auto"/>
        <w:jc w:val="both"/>
        <w:rPr>
          <w:rFonts w:ascii="Arial" w:hAnsi="Arial" w:cs="Arial"/>
          <w:b/>
          <w:bCs/>
        </w:rPr>
      </w:pPr>
      <w:r w:rsidRPr="00797E69">
        <w:rPr>
          <w:rFonts w:ascii="Arial" w:hAnsi="Arial" w:cs="Arial"/>
          <w:b/>
          <w:bCs/>
        </w:rPr>
        <w:t>Economic Factors</w:t>
      </w:r>
    </w:p>
    <w:p w14:paraId="50C16791" w14:textId="77777777" w:rsidR="000862D7" w:rsidRPr="00913D2B" w:rsidRDefault="000862D7" w:rsidP="005D75A9">
      <w:pPr>
        <w:spacing w:line="360" w:lineRule="auto"/>
        <w:jc w:val="both"/>
        <w:rPr>
          <w:rFonts w:ascii="Arial" w:hAnsi="Arial" w:cs="Arial"/>
        </w:rPr>
      </w:pPr>
    </w:p>
    <w:p w14:paraId="247026E6" w14:textId="685341CD" w:rsidR="000862D7" w:rsidRPr="00913D2B" w:rsidRDefault="000862D7" w:rsidP="005D75A9">
      <w:pPr>
        <w:spacing w:line="360" w:lineRule="auto"/>
        <w:jc w:val="both"/>
        <w:rPr>
          <w:rFonts w:ascii="Arial" w:hAnsi="Arial" w:cs="Arial"/>
        </w:rPr>
      </w:pPr>
      <w:r w:rsidRPr="00913D2B">
        <w:rPr>
          <w:rFonts w:ascii="Arial" w:hAnsi="Arial" w:cs="Arial"/>
        </w:rPr>
        <w:t>India is one of the world’s fastest</w:t>
      </w:r>
      <w:r w:rsidRPr="00913D2B">
        <w:rPr>
          <w:rFonts w:ascii="Cambria Math" w:hAnsi="Cambria Math" w:cs="Cambria Math"/>
        </w:rPr>
        <w:t>‑</w:t>
      </w:r>
      <w:r w:rsidRPr="00913D2B">
        <w:rPr>
          <w:rFonts w:ascii="Arial" w:hAnsi="Arial" w:cs="Arial"/>
        </w:rPr>
        <w:t>growing automotive markets, driven by rising incomes, urbanisation, and expanding middle</w:t>
      </w:r>
      <w:r w:rsidRPr="00913D2B">
        <w:rPr>
          <w:rFonts w:ascii="Cambria Math" w:hAnsi="Cambria Math" w:cs="Cambria Math"/>
        </w:rPr>
        <w:t>‑</w:t>
      </w:r>
      <w:r w:rsidRPr="00913D2B">
        <w:rPr>
          <w:rFonts w:ascii="Arial" w:hAnsi="Arial" w:cs="Arial"/>
        </w:rPr>
        <w:t>class aspirations. The country’s GDP growth, combined with favourable demographics, supports sustained demand for compact and mid</w:t>
      </w:r>
      <w:r w:rsidRPr="00913D2B">
        <w:rPr>
          <w:rFonts w:ascii="Cambria Math" w:hAnsi="Cambria Math" w:cs="Cambria Math"/>
        </w:rPr>
        <w:t>‑</w:t>
      </w:r>
      <w:r w:rsidRPr="00913D2B">
        <w:rPr>
          <w:rFonts w:ascii="Arial" w:hAnsi="Arial" w:cs="Arial"/>
        </w:rPr>
        <w:t>range vehicles—segments where Suzuki dominates. However, economic volatility, inflation, and fluctuating fuel prices influence consumer purchasing power</w:t>
      </w:r>
      <w:sdt>
        <w:sdtPr>
          <w:rPr>
            <w:rFonts w:ascii="Arial" w:hAnsi="Arial" w:cs="Arial"/>
          </w:rPr>
          <w:id w:val="-1229834255"/>
          <w:citation/>
        </w:sdtPr>
        <w:sdtEndPr/>
        <w:sdtContent>
          <w:r w:rsidR="00B66D9D">
            <w:rPr>
              <w:rFonts w:ascii="Arial" w:hAnsi="Arial" w:cs="Arial"/>
            </w:rPr>
            <w:fldChar w:fldCharType="begin"/>
          </w:r>
          <w:r w:rsidR="00B66D9D">
            <w:rPr>
              <w:rFonts w:ascii="Arial" w:hAnsi="Arial" w:cs="Arial"/>
            </w:rPr>
            <w:instrText xml:space="preserve"> CITATION IMF24 \l 16393 </w:instrText>
          </w:r>
          <w:r w:rsidR="00B66D9D">
            <w:rPr>
              <w:rFonts w:ascii="Arial" w:hAnsi="Arial" w:cs="Arial"/>
            </w:rPr>
            <w:fldChar w:fldCharType="separate"/>
          </w:r>
          <w:r w:rsidR="00B66D9D">
            <w:rPr>
              <w:rFonts w:ascii="Arial" w:hAnsi="Arial" w:cs="Arial"/>
              <w:noProof/>
            </w:rPr>
            <w:t xml:space="preserve"> </w:t>
          </w:r>
          <w:r w:rsidR="00B66D9D" w:rsidRPr="00B66D9D">
            <w:rPr>
              <w:rFonts w:ascii="Arial" w:hAnsi="Arial" w:cs="Arial"/>
              <w:noProof/>
            </w:rPr>
            <w:t>(IMF, 2024)</w:t>
          </w:r>
          <w:r w:rsidR="00B66D9D">
            <w:rPr>
              <w:rFonts w:ascii="Arial" w:hAnsi="Arial" w:cs="Arial"/>
            </w:rPr>
            <w:fldChar w:fldCharType="end"/>
          </w:r>
        </w:sdtContent>
      </w:sdt>
      <w:sdt>
        <w:sdtPr>
          <w:rPr>
            <w:rFonts w:ascii="Arial" w:hAnsi="Arial" w:cs="Arial"/>
          </w:rPr>
          <w:id w:val="-416862982"/>
          <w:citation/>
        </w:sdtPr>
        <w:sdtEndPr/>
        <w:sdtContent>
          <w:r w:rsidR="00B66D9D">
            <w:rPr>
              <w:rFonts w:ascii="Arial" w:hAnsi="Arial" w:cs="Arial"/>
            </w:rPr>
            <w:fldChar w:fldCharType="begin"/>
          </w:r>
          <w:r w:rsidR="00B66D9D">
            <w:rPr>
              <w:rFonts w:ascii="Arial" w:hAnsi="Arial" w:cs="Arial"/>
            </w:rPr>
            <w:instrText xml:space="preserve"> CITATION RBI23 \l 16393 </w:instrText>
          </w:r>
          <w:r w:rsidR="00B66D9D">
            <w:rPr>
              <w:rFonts w:ascii="Arial" w:hAnsi="Arial" w:cs="Arial"/>
            </w:rPr>
            <w:fldChar w:fldCharType="separate"/>
          </w:r>
          <w:r w:rsidR="00B66D9D">
            <w:rPr>
              <w:rFonts w:ascii="Arial" w:hAnsi="Arial" w:cs="Arial"/>
              <w:noProof/>
            </w:rPr>
            <w:t xml:space="preserve"> </w:t>
          </w:r>
          <w:r w:rsidR="00B66D9D" w:rsidRPr="00B66D9D">
            <w:rPr>
              <w:rFonts w:ascii="Arial" w:hAnsi="Arial" w:cs="Arial"/>
              <w:noProof/>
            </w:rPr>
            <w:t>(RBI, 2023)</w:t>
          </w:r>
          <w:r w:rsidR="00B66D9D">
            <w:rPr>
              <w:rFonts w:ascii="Arial" w:hAnsi="Arial" w:cs="Arial"/>
            </w:rPr>
            <w:fldChar w:fldCharType="end"/>
          </w:r>
        </w:sdtContent>
      </w:sdt>
      <w:r w:rsidRPr="00913D2B">
        <w:rPr>
          <w:rFonts w:ascii="Arial" w:hAnsi="Arial" w:cs="Arial"/>
        </w:rPr>
        <w:t>. Currency depreciation can increase the cost of imported components, although Suzuki’s high localisation levels mitigate this risk. The growth of financing options, including digital lending and competitive interest rates, has improved vehicle affordability. Economic disparities between urban and rural markets also shape product strategy: rural consumers prioritise durability and fuel efficiency, while urban buyers demand technology and safety features. Overall, India’s economic trajectory remains favourable for Suzuki, but cost pressures and macroeconomic fluctuations require careful strategic planning.</w:t>
      </w:r>
    </w:p>
    <w:p w14:paraId="7D911D24" w14:textId="77777777" w:rsidR="000862D7" w:rsidRPr="00797E69" w:rsidRDefault="000862D7" w:rsidP="005D75A9">
      <w:pPr>
        <w:spacing w:line="360" w:lineRule="auto"/>
        <w:jc w:val="both"/>
        <w:rPr>
          <w:rFonts w:ascii="Arial" w:hAnsi="Arial" w:cs="Arial"/>
          <w:b/>
          <w:bCs/>
        </w:rPr>
      </w:pPr>
      <w:r w:rsidRPr="00797E69">
        <w:rPr>
          <w:rFonts w:ascii="Arial" w:hAnsi="Arial" w:cs="Arial"/>
          <w:b/>
          <w:bCs/>
        </w:rPr>
        <w:t>Social Factors</w:t>
      </w:r>
    </w:p>
    <w:p w14:paraId="4317FB3E" w14:textId="77777777" w:rsidR="000862D7" w:rsidRPr="00913D2B" w:rsidRDefault="000862D7" w:rsidP="005D75A9">
      <w:pPr>
        <w:spacing w:line="360" w:lineRule="auto"/>
        <w:jc w:val="both"/>
        <w:rPr>
          <w:rFonts w:ascii="Arial" w:hAnsi="Arial" w:cs="Arial"/>
        </w:rPr>
      </w:pPr>
    </w:p>
    <w:p w14:paraId="0A0E5B75" w14:textId="77777777" w:rsidR="000862D7" w:rsidRPr="00913D2B" w:rsidRDefault="000862D7" w:rsidP="005D75A9">
      <w:pPr>
        <w:spacing w:line="360" w:lineRule="auto"/>
        <w:jc w:val="both"/>
        <w:rPr>
          <w:rFonts w:ascii="Arial" w:hAnsi="Arial" w:cs="Arial"/>
        </w:rPr>
      </w:pPr>
      <w:r w:rsidRPr="00913D2B">
        <w:rPr>
          <w:rFonts w:ascii="Arial" w:hAnsi="Arial" w:cs="Arial"/>
        </w:rPr>
        <w:t xml:space="preserve">India’s social landscape strongly influences automotive demand. A young population, increasing female workforce participation, and rising aspirations for personal mobility contribute to sustained market growth. Consumer preferences have shifted from basic </w:t>
      </w:r>
      <w:r w:rsidRPr="00913D2B">
        <w:rPr>
          <w:rFonts w:ascii="Arial" w:hAnsi="Arial" w:cs="Arial"/>
        </w:rPr>
        <w:lastRenderedPageBreak/>
        <w:t>hatchbacks to feature</w:t>
      </w:r>
      <w:r w:rsidRPr="00913D2B">
        <w:rPr>
          <w:rFonts w:ascii="Cambria Math" w:hAnsi="Cambria Math" w:cs="Cambria Math"/>
        </w:rPr>
        <w:t>‑</w:t>
      </w:r>
      <w:r w:rsidRPr="00913D2B">
        <w:rPr>
          <w:rFonts w:ascii="Arial" w:hAnsi="Arial" w:cs="Arial"/>
        </w:rPr>
        <w:t>rich compact SUVs, reflecting lifestyle changes and safety awareness. The growing emphasis on digital experiences—such as online vehicle research, virtual showrooms, and app</w:t>
      </w:r>
      <w:r w:rsidRPr="00913D2B">
        <w:rPr>
          <w:rFonts w:ascii="Cambria Math" w:hAnsi="Cambria Math" w:cs="Cambria Math"/>
        </w:rPr>
        <w:t>‑</w:t>
      </w:r>
      <w:r w:rsidRPr="00913D2B">
        <w:rPr>
          <w:rFonts w:ascii="Arial" w:hAnsi="Arial" w:cs="Arial"/>
        </w:rPr>
        <w:t>based service bookings—requires Suzuki to strengthen its digital ecosystem. Additionally, environmental consciousness is rising, particularly among urban consumers, increasing interest in hybrid and electric vehicles. Social diversity across regions also affects product positioning; for example, rural markets value affordability and low maintenance costs, while metropolitan consumers prioritise connectivity and comfort. These evolving social dynamics require Suzuki to continuously adapt its product portfolio and marketing strategies.</w:t>
      </w:r>
    </w:p>
    <w:p w14:paraId="63D75A7D" w14:textId="77777777" w:rsidR="000862D7" w:rsidRPr="00913D2B" w:rsidRDefault="000862D7" w:rsidP="005D75A9">
      <w:pPr>
        <w:spacing w:line="360" w:lineRule="auto"/>
        <w:jc w:val="both"/>
        <w:rPr>
          <w:rFonts w:ascii="Arial" w:hAnsi="Arial" w:cs="Arial"/>
        </w:rPr>
      </w:pPr>
    </w:p>
    <w:p w14:paraId="57B75615" w14:textId="77777777" w:rsidR="000862D7" w:rsidRPr="00797E69" w:rsidRDefault="000862D7" w:rsidP="005D75A9">
      <w:pPr>
        <w:spacing w:line="360" w:lineRule="auto"/>
        <w:jc w:val="both"/>
        <w:rPr>
          <w:rFonts w:ascii="Arial" w:hAnsi="Arial" w:cs="Arial"/>
          <w:b/>
          <w:bCs/>
        </w:rPr>
      </w:pPr>
      <w:r w:rsidRPr="00797E69">
        <w:rPr>
          <w:rFonts w:ascii="Arial" w:hAnsi="Arial" w:cs="Arial"/>
          <w:b/>
          <w:bCs/>
        </w:rPr>
        <w:t>Technological Factors</w:t>
      </w:r>
    </w:p>
    <w:p w14:paraId="2F6E5A51" w14:textId="77777777" w:rsidR="000862D7" w:rsidRPr="00913D2B" w:rsidRDefault="000862D7" w:rsidP="005D75A9">
      <w:pPr>
        <w:spacing w:line="360" w:lineRule="auto"/>
        <w:jc w:val="both"/>
        <w:rPr>
          <w:rFonts w:ascii="Arial" w:hAnsi="Arial" w:cs="Arial"/>
        </w:rPr>
      </w:pPr>
    </w:p>
    <w:p w14:paraId="0331A800" w14:textId="7C4BEC0F" w:rsidR="000862D7" w:rsidRDefault="000862D7" w:rsidP="005D75A9">
      <w:pPr>
        <w:spacing w:line="360" w:lineRule="auto"/>
        <w:jc w:val="both"/>
        <w:rPr>
          <w:rFonts w:ascii="Arial" w:hAnsi="Arial" w:cs="Arial"/>
        </w:rPr>
      </w:pPr>
      <w:r w:rsidRPr="00913D2B">
        <w:rPr>
          <w:rFonts w:ascii="Arial" w:hAnsi="Arial" w:cs="Arial"/>
        </w:rPr>
        <w:t>Technological transformation is reshaping India’s automotive sector. The shift towards electrification, connected mobility, and advanced safety systems presents both opportunities and challenges for Suzuki. While the company has historically focused on internal combustion engines and mild hybrids, the rapid growth of EV infrastructure and government incentives necessitate accelerated investment in electric powertrains. Collaboration with Toyota provides access to hybrid and EV technologies, but Suzuki must expand local R&amp;D capabilities to develop cost</w:t>
      </w:r>
      <w:r w:rsidRPr="00913D2B">
        <w:rPr>
          <w:rFonts w:ascii="Cambria Math" w:hAnsi="Cambria Math" w:cs="Cambria Math"/>
        </w:rPr>
        <w:t>‑</w:t>
      </w:r>
      <w:r w:rsidRPr="00913D2B">
        <w:rPr>
          <w:rFonts w:ascii="Arial" w:hAnsi="Arial" w:cs="Arial"/>
        </w:rPr>
        <w:t>effective solutions tailored to India’s price</w:t>
      </w:r>
      <w:r w:rsidRPr="00913D2B">
        <w:rPr>
          <w:rFonts w:ascii="Cambria Math" w:hAnsi="Cambria Math" w:cs="Cambria Math"/>
        </w:rPr>
        <w:t>‑</w:t>
      </w:r>
      <w:r w:rsidRPr="00913D2B">
        <w:rPr>
          <w:rFonts w:ascii="Arial" w:hAnsi="Arial" w:cs="Arial"/>
        </w:rPr>
        <w:t>sensitive market. Digitalisation is another critical area: consumers increasingly expect connected</w:t>
      </w:r>
      <w:r w:rsidRPr="00913D2B">
        <w:rPr>
          <w:rFonts w:ascii="Cambria Math" w:hAnsi="Cambria Math" w:cs="Cambria Math"/>
        </w:rPr>
        <w:t>‑</w:t>
      </w:r>
      <w:r w:rsidRPr="00913D2B">
        <w:rPr>
          <w:rFonts w:ascii="Arial" w:hAnsi="Arial" w:cs="Arial"/>
        </w:rPr>
        <w:t>car features, telematics, and seamless digital service experiences. Strengthening software capabilities, data analytics, and digital retail platforms will be essential for maintaining competitiveness.</w:t>
      </w:r>
    </w:p>
    <w:p w14:paraId="6D54D6A8" w14:textId="77777777" w:rsidR="00C04D66" w:rsidRDefault="00C04D66" w:rsidP="005D75A9">
      <w:pPr>
        <w:spacing w:line="360" w:lineRule="auto"/>
        <w:jc w:val="both"/>
        <w:rPr>
          <w:rFonts w:ascii="Arial" w:hAnsi="Arial" w:cs="Arial"/>
        </w:rPr>
      </w:pPr>
    </w:p>
    <w:p w14:paraId="413D082B" w14:textId="77777777" w:rsidR="00C04D66" w:rsidRPr="00913D2B" w:rsidRDefault="00C04D66" w:rsidP="005D75A9">
      <w:pPr>
        <w:spacing w:line="360" w:lineRule="auto"/>
        <w:jc w:val="both"/>
        <w:rPr>
          <w:rFonts w:ascii="Arial" w:hAnsi="Arial" w:cs="Arial"/>
        </w:rPr>
      </w:pPr>
    </w:p>
    <w:p w14:paraId="2306CD03" w14:textId="77777777" w:rsidR="000862D7" w:rsidRPr="00797E69" w:rsidRDefault="000862D7" w:rsidP="005D75A9">
      <w:pPr>
        <w:spacing w:line="360" w:lineRule="auto"/>
        <w:jc w:val="both"/>
        <w:rPr>
          <w:rFonts w:ascii="Arial" w:hAnsi="Arial" w:cs="Arial"/>
          <w:b/>
          <w:bCs/>
        </w:rPr>
      </w:pPr>
      <w:r w:rsidRPr="00797E69">
        <w:rPr>
          <w:rFonts w:ascii="Arial" w:hAnsi="Arial" w:cs="Arial"/>
          <w:b/>
          <w:bCs/>
        </w:rPr>
        <w:t>Environmental Factors</w:t>
      </w:r>
    </w:p>
    <w:p w14:paraId="56F3AABB" w14:textId="77777777" w:rsidR="000862D7" w:rsidRPr="00913D2B" w:rsidRDefault="000862D7" w:rsidP="005D75A9">
      <w:pPr>
        <w:spacing w:line="360" w:lineRule="auto"/>
        <w:jc w:val="both"/>
        <w:rPr>
          <w:rFonts w:ascii="Arial" w:hAnsi="Arial" w:cs="Arial"/>
        </w:rPr>
      </w:pPr>
    </w:p>
    <w:p w14:paraId="5CE9B314" w14:textId="77777777" w:rsidR="000862D7" w:rsidRPr="00913D2B" w:rsidRDefault="000862D7" w:rsidP="005D75A9">
      <w:pPr>
        <w:spacing w:line="360" w:lineRule="auto"/>
        <w:jc w:val="both"/>
        <w:rPr>
          <w:rFonts w:ascii="Arial" w:hAnsi="Arial" w:cs="Arial"/>
        </w:rPr>
      </w:pPr>
      <w:r w:rsidRPr="00913D2B">
        <w:rPr>
          <w:rFonts w:ascii="Arial" w:hAnsi="Arial" w:cs="Arial"/>
        </w:rPr>
        <w:t>Environmental pressures are intensifying due to rising pollution levels, climate commitments, and public demand for cleaner mobility. India’s transition to BS</w:t>
      </w:r>
      <w:r w:rsidRPr="00913D2B">
        <w:rPr>
          <w:rFonts w:ascii="Cambria Math" w:hAnsi="Cambria Math" w:cs="Cambria Math"/>
        </w:rPr>
        <w:t>‑</w:t>
      </w:r>
      <w:r w:rsidRPr="00913D2B">
        <w:rPr>
          <w:rFonts w:ascii="Arial" w:hAnsi="Arial" w:cs="Arial"/>
        </w:rPr>
        <w:t xml:space="preserve">VI emission norms required significant technological upgrades, and future regulations </w:t>
      </w:r>
      <w:r w:rsidRPr="00913D2B">
        <w:rPr>
          <w:rFonts w:ascii="Arial" w:hAnsi="Arial" w:cs="Arial"/>
        </w:rPr>
        <w:lastRenderedPageBreak/>
        <w:t>may mandate stricter fuel efficiency and electrification targets. Suzuki faces pressure to reduce its carbon footprint across manufacturing, supply chains, and product lines. The company’s focus on lightweight vehicles and fuel</w:t>
      </w:r>
      <w:r w:rsidRPr="00913D2B">
        <w:rPr>
          <w:rFonts w:ascii="Cambria Math" w:hAnsi="Cambria Math" w:cs="Cambria Math"/>
        </w:rPr>
        <w:t>‑</w:t>
      </w:r>
      <w:r w:rsidRPr="00913D2B">
        <w:rPr>
          <w:rFonts w:ascii="Arial" w:hAnsi="Arial" w:cs="Arial"/>
        </w:rPr>
        <w:t>efficient engines aligns with environmental expectations, but limited progress in full EV development poses a long</w:t>
      </w:r>
      <w:r w:rsidRPr="00913D2B">
        <w:rPr>
          <w:rFonts w:ascii="Cambria Math" w:hAnsi="Cambria Math" w:cs="Cambria Math"/>
        </w:rPr>
        <w:t>‑</w:t>
      </w:r>
      <w:r w:rsidRPr="00913D2B">
        <w:rPr>
          <w:rFonts w:ascii="Arial" w:hAnsi="Arial" w:cs="Arial"/>
        </w:rPr>
        <w:t>term risk. Expanding hybrid offerings and investing in sustainable manufacturing practices will be crucial for regulatory compliance and brand reputation.</w:t>
      </w:r>
    </w:p>
    <w:p w14:paraId="0C87FCBB" w14:textId="77777777" w:rsidR="000862D7" w:rsidRPr="00913D2B" w:rsidRDefault="000862D7" w:rsidP="005D75A9">
      <w:pPr>
        <w:spacing w:line="360" w:lineRule="auto"/>
        <w:jc w:val="both"/>
        <w:rPr>
          <w:rFonts w:ascii="Arial" w:hAnsi="Arial" w:cs="Arial"/>
        </w:rPr>
      </w:pPr>
    </w:p>
    <w:p w14:paraId="57F74C14" w14:textId="77777777" w:rsidR="000862D7" w:rsidRPr="00797E69" w:rsidRDefault="000862D7" w:rsidP="005D75A9">
      <w:pPr>
        <w:spacing w:line="360" w:lineRule="auto"/>
        <w:jc w:val="both"/>
        <w:rPr>
          <w:rFonts w:ascii="Arial" w:hAnsi="Arial" w:cs="Arial"/>
          <w:b/>
          <w:bCs/>
        </w:rPr>
      </w:pPr>
      <w:r w:rsidRPr="00797E69">
        <w:rPr>
          <w:rFonts w:ascii="Arial" w:hAnsi="Arial" w:cs="Arial"/>
          <w:b/>
          <w:bCs/>
        </w:rPr>
        <w:t>Legal Factors</w:t>
      </w:r>
    </w:p>
    <w:p w14:paraId="452E734E" w14:textId="77777777" w:rsidR="000862D7" w:rsidRPr="00913D2B" w:rsidRDefault="000862D7" w:rsidP="005D75A9">
      <w:pPr>
        <w:spacing w:line="360" w:lineRule="auto"/>
        <w:jc w:val="both"/>
        <w:rPr>
          <w:rFonts w:ascii="Arial" w:hAnsi="Arial" w:cs="Arial"/>
        </w:rPr>
      </w:pPr>
    </w:p>
    <w:p w14:paraId="220A6196" w14:textId="77777777" w:rsidR="000862D7" w:rsidRPr="00913D2B" w:rsidRDefault="000862D7" w:rsidP="005D75A9">
      <w:pPr>
        <w:spacing w:line="360" w:lineRule="auto"/>
        <w:jc w:val="both"/>
        <w:rPr>
          <w:rFonts w:ascii="Arial" w:hAnsi="Arial" w:cs="Arial"/>
        </w:rPr>
      </w:pPr>
      <w:r w:rsidRPr="00913D2B">
        <w:rPr>
          <w:rFonts w:ascii="Arial" w:hAnsi="Arial" w:cs="Arial"/>
        </w:rPr>
        <w:t>India’s legal environment is evolving rapidly, particularly in areas such as safety standards, emissions regulations, and consumer protection. Mandatory features such as airbags, ABS, and crash</w:t>
      </w:r>
      <w:r w:rsidRPr="00913D2B">
        <w:rPr>
          <w:rFonts w:ascii="Cambria Math" w:hAnsi="Cambria Math" w:cs="Cambria Math"/>
        </w:rPr>
        <w:t>‑</w:t>
      </w:r>
      <w:r w:rsidRPr="00913D2B">
        <w:rPr>
          <w:rFonts w:ascii="Arial" w:hAnsi="Arial" w:cs="Arial"/>
        </w:rPr>
        <w:t>test compliance have increased production costs but improved industry quality. Intellectual property laws, labour regulations, and taxation policies also influence Suzuki’s operations. Compliance with the Goods and Services Tax (GST) framework has simplified taxation but requires robust internal systems. Legal disputes related to competition, dealership agreements, and environmental compliance require careful management. Overall, the legal landscape demands continuous monitoring and proactive adaptation.</w:t>
      </w:r>
    </w:p>
    <w:p w14:paraId="599D06EB" w14:textId="77777777" w:rsidR="00C04D66" w:rsidRPr="00913D2B" w:rsidRDefault="00C04D66" w:rsidP="005D75A9">
      <w:pPr>
        <w:spacing w:line="360" w:lineRule="auto"/>
        <w:jc w:val="both"/>
        <w:rPr>
          <w:rFonts w:ascii="Arial" w:hAnsi="Arial" w:cs="Arial"/>
        </w:rPr>
      </w:pPr>
    </w:p>
    <w:p w14:paraId="0EF91D53" w14:textId="76BA511C" w:rsidR="00C04D66" w:rsidRDefault="006F022E" w:rsidP="007678D7">
      <w:pPr>
        <w:pStyle w:val="Heading3"/>
        <w:jc w:val="both"/>
        <w:rPr>
          <w:rFonts w:ascii="Arial" w:hAnsi="Arial" w:cs="Arial"/>
          <w:b/>
          <w:bCs/>
          <w:color w:val="000000" w:themeColor="text1"/>
          <w:sz w:val="24"/>
          <w:szCs w:val="24"/>
        </w:rPr>
      </w:pPr>
      <w:bookmarkStart w:id="13" w:name="_Toc224570194"/>
      <w:r w:rsidRPr="00797E69">
        <w:rPr>
          <w:rFonts w:ascii="Arial" w:hAnsi="Arial" w:cs="Arial"/>
          <w:b/>
          <w:bCs/>
          <w:color w:val="000000" w:themeColor="text1"/>
          <w:sz w:val="24"/>
          <w:szCs w:val="24"/>
        </w:rPr>
        <w:t>1.</w:t>
      </w:r>
      <w:r w:rsidR="00DA0EC0" w:rsidRPr="00797E69">
        <w:rPr>
          <w:rFonts w:ascii="Arial" w:hAnsi="Arial" w:cs="Arial"/>
          <w:b/>
          <w:bCs/>
          <w:color w:val="000000" w:themeColor="text1"/>
          <w:sz w:val="24"/>
          <w:szCs w:val="24"/>
        </w:rPr>
        <w:t>4.3 CAGE Framework</w:t>
      </w:r>
      <w:bookmarkEnd w:id="13"/>
    </w:p>
    <w:p w14:paraId="302DF675" w14:textId="77777777" w:rsidR="007678D7" w:rsidRPr="007678D7" w:rsidRDefault="007678D7" w:rsidP="007678D7"/>
    <w:p w14:paraId="31B5D2D1" w14:textId="77777777" w:rsidR="00DA0EC0" w:rsidRPr="00913D2B" w:rsidRDefault="00DA0EC0" w:rsidP="005D75A9">
      <w:pPr>
        <w:spacing w:line="360" w:lineRule="auto"/>
        <w:jc w:val="both"/>
        <w:rPr>
          <w:rFonts w:ascii="Arial" w:hAnsi="Arial" w:cs="Arial"/>
        </w:rPr>
      </w:pPr>
    </w:p>
    <w:p w14:paraId="27656C07" w14:textId="0944F8CD" w:rsidR="00DA0EC0" w:rsidRPr="00913D2B" w:rsidRDefault="00DA0EC0" w:rsidP="005D75A9">
      <w:pPr>
        <w:spacing w:line="360" w:lineRule="auto"/>
        <w:jc w:val="both"/>
        <w:rPr>
          <w:rFonts w:ascii="Arial" w:hAnsi="Arial" w:cs="Arial"/>
        </w:rPr>
      </w:pPr>
      <w:r w:rsidRPr="00913D2B">
        <w:rPr>
          <w:rFonts w:ascii="Arial" w:hAnsi="Arial" w:cs="Arial"/>
        </w:rPr>
        <w:t>The CAGE framework helps assess the cultural, administrative, geographic, and economic distance between Japan (Suzuki’s home country) and India (its host country). Understanding these distances is essential for evaluating Suzuki’s strategic decisions, localisation efforts, and long</w:t>
      </w:r>
      <w:r w:rsidRPr="00913D2B">
        <w:rPr>
          <w:rFonts w:ascii="Cambria Math" w:hAnsi="Cambria Math" w:cs="Cambria Math"/>
        </w:rPr>
        <w:t>‑</w:t>
      </w:r>
      <w:r w:rsidRPr="00913D2B">
        <w:rPr>
          <w:rFonts w:ascii="Arial" w:hAnsi="Arial" w:cs="Arial"/>
        </w:rPr>
        <w:t xml:space="preserve">term competitiveness in the Indian automotive </w:t>
      </w:r>
      <w:r w:rsidRPr="00913D2B">
        <w:rPr>
          <w:rFonts w:ascii="Arial" w:hAnsi="Arial" w:cs="Arial"/>
        </w:rPr>
        <w:lastRenderedPageBreak/>
        <w:t>market.</w:t>
      </w:r>
      <w:r w:rsidR="007678D7" w:rsidRPr="007678D7">
        <w:rPr>
          <w:noProof/>
        </w:rPr>
        <w:t xml:space="preserve"> </w:t>
      </w:r>
      <w:r w:rsidR="007678D7" w:rsidRPr="00353057">
        <w:rPr>
          <w:noProof/>
        </w:rPr>
        <w:drawing>
          <wp:inline distT="0" distB="0" distL="0" distR="0" wp14:anchorId="0AFB1BF8" wp14:editId="7B78B26C">
            <wp:extent cx="5730677" cy="5406887"/>
            <wp:effectExtent l="0" t="0" r="3810" b="3810"/>
            <wp:docPr id="133205608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62421" cy="5436838"/>
                    </a:xfrm>
                    <a:prstGeom prst="rect">
                      <a:avLst/>
                    </a:prstGeom>
                    <a:noFill/>
                    <a:ln>
                      <a:noFill/>
                    </a:ln>
                  </pic:spPr>
                </pic:pic>
              </a:graphicData>
            </a:graphic>
          </wp:inline>
        </w:drawing>
      </w:r>
    </w:p>
    <w:p w14:paraId="78EE02AF" w14:textId="6E54B361" w:rsidR="00DA0EC0" w:rsidRPr="00913D2B" w:rsidRDefault="007678D7" w:rsidP="007678D7">
      <w:pPr>
        <w:spacing w:line="360" w:lineRule="auto"/>
        <w:jc w:val="center"/>
        <w:rPr>
          <w:rFonts w:ascii="Arial" w:hAnsi="Arial" w:cs="Arial"/>
        </w:rPr>
      </w:pPr>
      <w:r>
        <w:t>Fig.</w:t>
      </w:r>
      <w:proofErr w:type="gramStart"/>
      <w:r>
        <w:t>04 :</w:t>
      </w:r>
      <w:proofErr w:type="gramEnd"/>
      <w:r>
        <w:t xml:space="preserve"> CAGE distance framework</w:t>
      </w:r>
    </w:p>
    <w:p w14:paraId="5DE9F1FA" w14:textId="77777777" w:rsidR="00DA0EC0" w:rsidRPr="00797E69" w:rsidRDefault="00DA0EC0" w:rsidP="005D75A9">
      <w:pPr>
        <w:spacing w:line="360" w:lineRule="auto"/>
        <w:jc w:val="both"/>
        <w:rPr>
          <w:rFonts w:ascii="Arial" w:hAnsi="Arial" w:cs="Arial"/>
          <w:b/>
          <w:bCs/>
        </w:rPr>
      </w:pPr>
      <w:r w:rsidRPr="00797E69">
        <w:rPr>
          <w:rFonts w:ascii="Arial" w:hAnsi="Arial" w:cs="Arial"/>
          <w:b/>
          <w:bCs/>
        </w:rPr>
        <w:t>Cultural Distance</w:t>
      </w:r>
    </w:p>
    <w:p w14:paraId="72F4EE24" w14:textId="77777777" w:rsidR="00DA0EC0" w:rsidRPr="00913D2B" w:rsidRDefault="00DA0EC0" w:rsidP="005D75A9">
      <w:pPr>
        <w:spacing w:line="360" w:lineRule="auto"/>
        <w:jc w:val="both"/>
        <w:rPr>
          <w:rFonts w:ascii="Arial" w:hAnsi="Arial" w:cs="Arial"/>
        </w:rPr>
      </w:pPr>
    </w:p>
    <w:p w14:paraId="3960D19E" w14:textId="77777777" w:rsidR="00DA0EC0" w:rsidRPr="00913D2B" w:rsidRDefault="00DA0EC0" w:rsidP="005D75A9">
      <w:pPr>
        <w:spacing w:line="360" w:lineRule="auto"/>
        <w:jc w:val="both"/>
        <w:rPr>
          <w:rFonts w:ascii="Arial" w:hAnsi="Arial" w:cs="Arial"/>
        </w:rPr>
      </w:pPr>
      <w:r w:rsidRPr="00913D2B">
        <w:rPr>
          <w:rFonts w:ascii="Arial" w:hAnsi="Arial" w:cs="Arial"/>
        </w:rPr>
        <w:t>Japan and India differ significantly in cultural norms, consumer behaviour, and expectations around mobility. Japanese consumers typically prioritise advanced technology, compact design, and high safety standards, whereas Indian consumers place greater emphasis on affordability, fuel efficiency, and durability. These differences have shaped Suzuki’s product strategy: in India, the company focuses on small, fuel</w:t>
      </w:r>
      <w:r w:rsidRPr="00913D2B">
        <w:rPr>
          <w:rFonts w:ascii="Cambria Math" w:hAnsi="Cambria Math" w:cs="Cambria Math"/>
        </w:rPr>
        <w:t>‑</w:t>
      </w:r>
      <w:r w:rsidRPr="00913D2B">
        <w:rPr>
          <w:rFonts w:ascii="Arial" w:hAnsi="Arial" w:cs="Arial"/>
        </w:rPr>
        <w:t xml:space="preserve">efficient vehicles with low maintenance costs, aligning with local preferences. Additionally, India’s diverse linguistic and regional cultures require </w:t>
      </w:r>
      <w:r w:rsidRPr="00913D2B">
        <w:rPr>
          <w:rFonts w:ascii="Arial" w:hAnsi="Arial" w:cs="Arial"/>
        </w:rPr>
        <w:lastRenderedPageBreak/>
        <w:t>tailored marketing strategies and dealership engagement. Suzuki’s long</w:t>
      </w:r>
      <w:r w:rsidRPr="00913D2B">
        <w:rPr>
          <w:rFonts w:ascii="Cambria Math" w:hAnsi="Cambria Math" w:cs="Cambria Math"/>
        </w:rPr>
        <w:t>‑</w:t>
      </w:r>
      <w:r w:rsidRPr="00913D2B">
        <w:rPr>
          <w:rFonts w:ascii="Arial" w:hAnsi="Arial" w:cs="Arial"/>
        </w:rPr>
        <w:t>standing presence in India, through Maruti Suzuki, has enabled it to develop deep cultural understanding, reducing the liability of foreignness and strengthening brand loyalty.</w:t>
      </w:r>
    </w:p>
    <w:p w14:paraId="52565BA9" w14:textId="77777777" w:rsidR="00DA0EC0" w:rsidRPr="00913D2B" w:rsidRDefault="00DA0EC0" w:rsidP="005D75A9">
      <w:pPr>
        <w:spacing w:line="360" w:lineRule="auto"/>
        <w:jc w:val="both"/>
        <w:rPr>
          <w:rFonts w:ascii="Arial" w:hAnsi="Arial" w:cs="Arial"/>
        </w:rPr>
      </w:pPr>
    </w:p>
    <w:p w14:paraId="56074440" w14:textId="77777777" w:rsidR="00DA0EC0" w:rsidRPr="00913D2B" w:rsidRDefault="00DA0EC0" w:rsidP="005D75A9">
      <w:pPr>
        <w:spacing w:line="360" w:lineRule="auto"/>
        <w:jc w:val="both"/>
        <w:rPr>
          <w:rFonts w:ascii="Arial" w:hAnsi="Arial" w:cs="Arial"/>
        </w:rPr>
      </w:pPr>
      <w:r w:rsidRPr="00797E69">
        <w:rPr>
          <w:rFonts w:ascii="Arial" w:hAnsi="Arial" w:cs="Arial"/>
          <w:b/>
          <w:bCs/>
        </w:rPr>
        <w:t>Administrative</w:t>
      </w:r>
      <w:r w:rsidRPr="00913D2B">
        <w:rPr>
          <w:rFonts w:ascii="Arial" w:hAnsi="Arial" w:cs="Arial"/>
        </w:rPr>
        <w:t xml:space="preserve"> </w:t>
      </w:r>
      <w:r w:rsidRPr="00797E69">
        <w:rPr>
          <w:rFonts w:ascii="Arial" w:hAnsi="Arial" w:cs="Arial"/>
          <w:b/>
          <w:bCs/>
        </w:rPr>
        <w:t>Distance</w:t>
      </w:r>
    </w:p>
    <w:p w14:paraId="6FD22DA1" w14:textId="77777777" w:rsidR="00DA0EC0" w:rsidRPr="00913D2B" w:rsidRDefault="00DA0EC0" w:rsidP="005D75A9">
      <w:pPr>
        <w:spacing w:line="360" w:lineRule="auto"/>
        <w:jc w:val="both"/>
        <w:rPr>
          <w:rFonts w:ascii="Arial" w:hAnsi="Arial" w:cs="Arial"/>
        </w:rPr>
      </w:pPr>
    </w:p>
    <w:p w14:paraId="6EE75A46" w14:textId="42727804" w:rsidR="006E70B0" w:rsidRDefault="00DA0EC0" w:rsidP="005D75A9">
      <w:pPr>
        <w:spacing w:line="360" w:lineRule="auto"/>
        <w:jc w:val="both"/>
        <w:rPr>
          <w:rFonts w:ascii="Arial" w:hAnsi="Arial" w:cs="Arial"/>
        </w:rPr>
      </w:pPr>
      <w:r w:rsidRPr="00913D2B">
        <w:rPr>
          <w:rFonts w:ascii="Arial" w:hAnsi="Arial" w:cs="Arial"/>
        </w:rPr>
        <w:t>Administrative distance between Japan and India is moderate. While both countries maintain strong diplomatic relations and trade ties, differences in regulatory frameworks, taxation systems, and bureaucratic processes create operational challenges. India’s regulatory environment is complex, with frequent policy changes in emissions, safety standards, and localisation requirements. Suzuki has navigated these challenges through close collaboration with government bodies and by maintaining a high level of compliance. The joint venture structure of Maruti Suzuki has also helped bridge administrative gaps, enabling smoother interactions with regulators and policymakers. However, administrative fragmentation across Indian states continues to require adaptive strategies for manufacturing, distribution, and compliance.</w:t>
      </w:r>
    </w:p>
    <w:p w14:paraId="22126A1D" w14:textId="77777777" w:rsidR="007678D7" w:rsidRPr="00913D2B" w:rsidRDefault="007678D7" w:rsidP="005D75A9">
      <w:pPr>
        <w:spacing w:line="360" w:lineRule="auto"/>
        <w:jc w:val="both"/>
        <w:rPr>
          <w:rFonts w:ascii="Arial" w:hAnsi="Arial" w:cs="Arial"/>
        </w:rPr>
      </w:pPr>
    </w:p>
    <w:p w14:paraId="4B40251A" w14:textId="3C7F1C87" w:rsidR="006E70B0" w:rsidRDefault="00DA0EC0" w:rsidP="005D75A9">
      <w:pPr>
        <w:spacing w:line="360" w:lineRule="auto"/>
        <w:jc w:val="both"/>
        <w:rPr>
          <w:rFonts w:ascii="Arial" w:hAnsi="Arial" w:cs="Arial"/>
          <w:b/>
          <w:bCs/>
        </w:rPr>
      </w:pPr>
      <w:r w:rsidRPr="00797E69">
        <w:rPr>
          <w:rFonts w:ascii="Arial" w:hAnsi="Arial" w:cs="Arial"/>
          <w:b/>
          <w:bCs/>
        </w:rPr>
        <w:t>Geographic Distance</w:t>
      </w:r>
    </w:p>
    <w:p w14:paraId="179612F4" w14:textId="77777777" w:rsidR="006E70B0" w:rsidRPr="006E70B0" w:rsidRDefault="006E70B0" w:rsidP="005D75A9">
      <w:pPr>
        <w:spacing w:line="360" w:lineRule="auto"/>
        <w:jc w:val="both"/>
        <w:rPr>
          <w:rFonts w:ascii="Arial" w:hAnsi="Arial" w:cs="Arial"/>
          <w:b/>
          <w:bCs/>
        </w:rPr>
      </w:pPr>
    </w:p>
    <w:p w14:paraId="446AB199" w14:textId="377D9D99" w:rsidR="00DA0EC0" w:rsidRPr="00913D2B" w:rsidRDefault="00DA0EC0" w:rsidP="005D75A9">
      <w:pPr>
        <w:spacing w:line="360" w:lineRule="auto"/>
        <w:jc w:val="both"/>
        <w:rPr>
          <w:rFonts w:ascii="Arial" w:hAnsi="Arial" w:cs="Arial"/>
        </w:rPr>
      </w:pPr>
      <w:r w:rsidRPr="00913D2B">
        <w:rPr>
          <w:rFonts w:ascii="Arial" w:hAnsi="Arial" w:cs="Arial"/>
        </w:rPr>
        <w:t>Geographically, Japan and India are separated by considerable physical distance, which historically increased transportation costs and supply</w:t>
      </w:r>
      <w:r w:rsidRPr="00913D2B">
        <w:rPr>
          <w:rFonts w:ascii="Cambria Math" w:hAnsi="Cambria Math" w:cs="Cambria Math"/>
        </w:rPr>
        <w:t>‑</w:t>
      </w:r>
      <w:r w:rsidRPr="00913D2B">
        <w:rPr>
          <w:rFonts w:ascii="Arial" w:hAnsi="Arial" w:cs="Arial"/>
        </w:rPr>
        <w:t>chain complexity. However, Suzuki has mitigated these challenges through extensive localisation. With manufacturing plants in Haryana and Gujarat, and a vast supplier network across India, Suzuki has reduced reliance on imports and shortened lead times. India’s improving logistics infrastructure—such as dedicated freight corridors and port modernisation—further supports efficient operations. Despite this progress, geographic challenges remain, including uneven infrastructure quality and regional disparities in connectivity. Nonetheless, Suzuki’s localisation strategy significantly reduces the impact of geographic distance on its competitiveness.</w:t>
      </w:r>
    </w:p>
    <w:p w14:paraId="4C2C2667" w14:textId="77777777" w:rsidR="00DA0EC0" w:rsidRPr="00913D2B" w:rsidRDefault="00DA0EC0" w:rsidP="005D75A9">
      <w:pPr>
        <w:spacing w:line="360" w:lineRule="auto"/>
        <w:jc w:val="both"/>
        <w:rPr>
          <w:rFonts w:ascii="Arial" w:hAnsi="Arial" w:cs="Arial"/>
        </w:rPr>
      </w:pPr>
      <w:r w:rsidRPr="00797E69">
        <w:rPr>
          <w:rFonts w:ascii="Arial" w:hAnsi="Arial" w:cs="Arial"/>
          <w:b/>
          <w:bCs/>
        </w:rPr>
        <w:lastRenderedPageBreak/>
        <w:t>Economic</w:t>
      </w:r>
      <w:r w:rsidRPr="00913D2B">
        <w:rPr>
          <w:rFonts w:ascii="Arial" w:hAnsi="Arial" w:cs="Arial"/>
        </w:rPr>
        <w:t xml:space="preserve"> </w:t>
      </w:r>
      <w:r w:rsidRPr="00797E69">
        <w:rPr>
          <w:rFonts w:ascii="Arial" w:hAnsi="Arial" w:cs="Arial"/>
          <w:b/>
          <w:bCs/>
        </w:rPr>
        <w:t>Distance</w:t>
      </w:r>
    </w:p>
    <w:p w14:paraId="54CA25DE" w14:textId="77777777" w:rsidR="00DA0EC0" w:rsidRPr="00913D2B" w:rsidRDefault="00DA0EC0" w:rsidP="005D75A9">
      <w:pPr>
        <w:spacing w:line="360" w:lineRule="auto"/>
        <w:jc w:val="both"/>
        <w:rPr>
          <w:rFonts w:ascii="Arial" w:hAnsi="Arial" w:cs="Arial"/>
        </w:rPr>
      </w:pPr>
    </w:p>
    <w:p w14:paraId="26D2576E" w14:textId="0E8021C2" w:rsidR="00DA0EC0" w:rsidRPr="00913D2B" w:rsidRDefault="00DA0EC0" w:rsidP="005D75A9">
      <w:pPr>
        <w:spacing w:line="360" w:lineRule="auto"/>
        <w:jc w:val="both"/>
        <w:rPr>
          <w:rFonts w:ascii="Arial" w:hAnsi="Arial" w:cs="Arial"/>
        </w:rPr>
      </w:pPr>
      <w:r w:rsidRPr="00913D2B">
        <w:rPr>
          <w:rFonts w:ascii="Arial" w:hAnsi="Arial" w:cs="Arial"/>
        </w:rPr>
        <w:t>Economic distance between Japan and India is substantial, particularly in income levels, purchasing power, and market maturity. Japan is a high</w:t>
      </w:r>
      <w:r w:rsidRPr="00913D2B">
        <w:rPr>
          <w:rFonts w:ascii="Cambria Math" w:hAnsi="Cambria Math" w:cs="Cambria Math"/>
        </w:rPr>
        <w:t>‑</w:t>
      </w:r>
      <w:r w:rsidRPr="00913D2B">
        <w:rPr>
          <w:rFonts w:ascii="Arial" w:hAnsi="Arial" w:cs="Arial"/>
        </w:rPr>
        <w:t>income, technologically advanced economy, while India is a lower</w:t>
      </w:r>
      <w:r w:rsidRPr="00913D2B">
        <w:rPr>
          <w:rFonts w:ascii="Cambria Math" w:hAnsi="Cambria Math" w:cs="Cambria Math"/>
        </w:rPr>
        <w:t>‑</w:t>
      </w:r>
      <w:r w:rsidRPr="00913D2B">
        <w:rPr>
          <w:rFonts w:ascii="Arial" w:hAnsi="Arial" w:cs="Arial"/>
        </w:rPr>
        <w:t>middle</w:t>
      </w:r>
      <w:r w:rsidRPr="00913D2B">
        <w:rPr>
          <w:rFonts w:ascii="Cambria Math" w:hAnsi="Cambria Math" w:cs="Cambria Math"/>
        </w:rPr>
        <w:t>‑</w:t>
      </w:r>
      <w:r w:rsidRPr="00913D2B">
        <w:rPr>
          <w:rFonts w:ascii="Arial" w:hAnsi="Arial" w:cs="Arial"/>
        </w:rPr>
        <w:t>income country with a highly price</w:t>
      </w:r>
      <w:r w:rsidRPr="00913D2B">
        <w:rPr>
          <w:rFonts w:ascii="Cambria Math" w:hAnsi="Cambria Math" w:cs="Cambria Math"/>
        </w:rPr>
        <w:t>‑</w:t>
      </w:r>
      <w:r w:rsidRPr="00913D2B">
        <w:rPr>
          <w:rFonts w:ascii="Arial" w:hAnsi="Arial" w:cs="Arial"/>
        </w:rPr>
        <w:t>sensitive consumer base. This economic gap has shaped Suzuki’s strategic focus on affordable, compact vehicles in India. The company’s ability to design cost</w:t>
      </w:r>
      <w:r w:rsidRPr="00913D2B">
        <w:rPr>
          <w:rFonts w:ascii="Cambria Math" w:hAnsi="Cambria Math" w:cs="Cambria Math"/>
        </w:rPr>
        <w:t>‑</w:t>
      </w:r>
      <w:r w:rsidRPr="00913D2B">
        <w:rPr>
          <w:rFonts w:ascii="Arial" w:hAnsi="Arial" w:cs="Arial"/>
        </w:rPr>
        <w:t>efficient models tailored to Indian conditions—such as the Alto, Swift, and Baleno—has been central to its market leadership. Economic distance also influences supply</w:t>
      </w:r>
      <w:r w:rsidRPr="00913D2B">
        <w:rPr>
          <w:rFonts w:ascii="Cambria Math" w:hAnsi="Cambria Math" w:cs="Cambria Math"/>
        </w:rPr>
        <w:t>‑</w:t>
      </w:r>
      <w:r w:rsidRPr="00913D2B">
        <w:rPr>
          <w:rFonts w:ascii="Arial" w:hAnsi="Arial" w:cs="Arial"/>
        </w:rPr>
        <w:t>chain decisions: Suzuki’s high localisation levels help maintain competitive pricing and reduce exposure to currency fluctuations. Overall, economic distance has created both challenges and opportunities, pushing Suzuki to innovate in cost</w:t>
      </w:r>
      <w:r w:rsidRPr="00913D2B">
        <w:rPr>
          <w:rFonts w:ascii="Cambria Math" w:hAnsi="Cambria Math" w:cs="Cambria Math"/>
        </w:rPr>
        <w:t>‑</w:t>
      </w:r>
      <w:r w:rsidRPr="00913D2B">
        <w:rPr>
          <w:rFonts w:ascii="Arial" w:hAnsi="Arial" w:cs="Arial"/>
        </w:rPr>
        <w:t>efficient engineering and market</w:t>
      </w:r>
      <w:r w:rsidRPr="00913D2B">
        <w:rPr>
          <w:rFonts w:ascii="Cambria Math" w:hAnsi="Cambria Math" w:cs="Cambria Math"/>
        </w:rPr>
        <w:t>‑</w:t>
      </w:r>
      <w:r w:rsidRPr="00913D2B">
        <w:rPr>
          <w:rFonts w:ascii="Arial" w:hAnsi="Arial" w:cs="Arial"/>
        </w:rPr>
        <w:t>specific product development.</w:t>
      </w:r>
    </w:p>
    <w:p w14:paraId="6E70E688" w14:textId="77777777" w:rsidR="00DA0EC0" w:rsidRPr="00913D2B" w:rsidRDefault="00DA0EC0" w:rsidP="005D75A9">
      <w:pPr>
        <w:spacing w:line="360" w:lineRule="auto"/>
        <w:jc w:val="both"/>
        <w:rPr>
          <w:rFonts w:ascii="Arial" w:hAnsi="Arial" w:cs="Arial"/>
        </w:rPr>
      </w:pPr>
    </w:p>
    <w:p w14:paraId="7C48EBDC" w14:textId="5DD7A0E3" w:rsidR="00DA0EC0" w:rsidRPr="00797E69" w:rsidRDefault="006F022E" w:rsidP="005D75A9">
      <w:pPr>
        <w:pStyle w:val="Heading3"/>
        <w:jc w:val="both"/>
        <w:rPr>
          <w:rFonts w:ascii="Arial" w:hAnsi="Arial" w:cs="Arial"/>
          <w:b/>
          <w:bCs/>
          <w:color w:val="000000" w:themeColor="text1"/>
          <w:sz w:val="24"/>
          <w:szCs w:val="24"/>
        </w:rPr>
      </w:pPr>
      <w:bookmarkStart w:id="14" w:name="_Toc224570195"/>
      <w:r w:rsidRPr="00797E69">
        <w:rPr>
          <w:rFonts w:ascii="Arial" w:hAnsi="Arial" w:cs="Arial"/>
          <w:b/>
          <w:bCs/>
          <w:color w:val="000000" w:themeColor="text1"/>
          <w:sz w:val="24"/>
          <w:szCs w:val="24"/>
        </w:rPr>
        <w:t>1.</w:t>
      </w:r>
      <w:r w:rsidR="00DA0EC0" w:rsidRPr="00797E69">
        <w:rPr>
          <w:rFonts w:ascii="Arial" w:hAnsi="Arial" w:cs="Arial"/>
          <w:b/>
          <w:bCs/>
          <w:color w:val="000000" w:themeColor="text1"/>
          <w:sz w:val="24"/>
          <w:szCs w:val="24"/>
        </w:rPr>
        <w:t>4.4 Institutional Theory</w:t>
      </w:r>
      <w:bookmarkEnd w:id="14"/>
    </w:p>
    <w:p w14:paraId="148D4BE3" w14:textId="77777777" w:rsidR="00DA0EC0" w:rsidRPr="00913D2B" w:rsidRDefault="00DA0EC0" w:rsidP="005D75A9">
      <w:pPr>
        <w:spacing w:line="360" w:lineRule="auto"/>
        <w:jc w:val="both"/>
        <w:rPr>
          <w:rFonts w:ascii="Arial" w:hAnsi="Arial" w:cs="Arial"/>
        </w:rPr>
      </w:pPr>
    </w:p>
    <w:p w14:paraId="0BA50BC6" w14:textId="77777777" w:rsidR="00DA0EC0" w:rsidRPr="00913D2B" w:rsidRDefault="00DA0EC0" w:rsidP="005D75A9">
      <w:pPr>
        <w:spacing w:line="360" w:lineRule="auto"/>
        <w:jc w:val="both"/>
        <w:rPr>
          <w:rFonts w:ascii="Arial" w:hAnsi="Arial" w:cs="Arial"/>
        </w:rPr>
      </w:pPr>
      <w:r w:rsidRPr="00913D2B">
        <w:rPr>
          <w:rFonts w:ascii="Arial" w:hAnsi="Arial" w:cs="Arial"/>
        </w:rPr>
        <w:t>Institutional Theory provides a lens for understanding how regulative, normative, and cognitive pressures shape Suzuki’s operations in India. These institutional forces influence strategic decisions, organisational behaviour, and long</w:t>
      </w:r>
      <w:r w:rsidRPr="00913D2B">
        <w:rPr>
          <w:rFonts w:ascii="Cambria Math" w:hAnsi="Cambria Math" w:cs="Cambria Math"/>
        </w:rPr>
        <w:t>‑</w:t>
      </w:r>
      <w:r w:rsidRPr="00913D2B">
        <w:rPr>
          <w:rFonts w:ascii="Arial" w:hAnsi="Arial" w:cs="Arial"/>
        </w:rPr>
        <w:t>term adaptation.</w:t>
      </w:r>
    </w:p>
    <w:p w14:paraId="55C16945" w14:textId="77777777" w:rsidR="00DA0EC0" w:rsidRPr="00913D2B" w:rsidRDefault="00DA0EC0" w:rsidP="005D75A9">
      <w:pPr>
        <w:spacing w:line="360" w:lineRule="auto"/>
        <w:jc w:val="both"/>
        <w:rPr>
          <w:rFonts w:ascii="Arial" w:hAnsi="Arial" w:cs="Arial"/>
        </w:rPr>
      </w:pPr>
    </w:p>
    <w:p w14:paraId="77F05AB3" w14:textId="77777777" w:rsidR="00DA0EC0" w:rsidRPr="00797E69" w:rsidRDefault="00DA0EC0" w:rsidP="005D75A9">
      <w:pPr>
        <w:spacing w:line="360" w:lineRule="auto"/>
        <w:jc w:val="both"/>
        <w:rPr>
          <w:rFonts w:ascii="Arial" w:hAnsi="Arial" w:cs="Arial"/>
          <w:b/>
          <w:bCs/>
        </w:rPr>
      </w:pPr>
      <w:r w:rsidRPr="00797E69">
        <w:rPr>
          <w:rFonts w:ascii="Arial" w:hAnsi="Arial" w:cs="Arial"/>
          <w:b/>
          <w:bCs/>
        </w:rPr>
        <w:t>Regulative Pressures</w:t>
      </w:r>
    </w:p>
    <w:p w14:paraId="5AD46EAD" w14:textId="77777777" w:rsidR="00DA0EC0" w:rsidRPr="00913D2B" w:rsidRDefault="00DA0EC0" w:rsidP="005D75A9">
      <w:pPr>
        <w:spacing w:line="360" w:lineRule="auto"/>
        <w:jc w:val="both"/>
        <w:rPr>
          <w:rFonts w:ascii="Arial" w:hAnsi="Arial" w:cs="Arial"/>
        </w:rPr>
      </w:pPr>
    </w:p>
    <w:p w14:paraId="22A6C12F" w14:textId="77777777" w:rsidR="00DA0EC0" w:rsidRPr="00913D2B" w:rsidRDefault="00DA0EC0" w:rsidP="005D75A9">
      <w:pPr>
        <w:spacing w:line="360" w:lineRule="auto"/>
        <w:jc w:val="both"/>
        <w:rPr>
          <w:rFonts w:ascii="Arial" w:hAnsi="Arial" w:cs="Arial"/>
        </w:rPr>
      </w:pPr>
      <w:r w:rsidRPr="00913D2B">
        <w:rPr>
          <w:rFonts w:ascii="Arial" w:hAnsi="Arial" w:cs="Arial"/>
        </w:rPr>
        <w:t>Regulative pressures in India stem from government policies, legal requirements, and industry regulations. The introduction of BS</w:t>
      </w:r>
      <w:r w:rsidRPr="00913D2B">
        <w:rPr>
          <w:rFonts w:ascii="Cambria Math" w:hAnsi="Cambria Math" w:cs="Cambria Math"/>
        </w:rPr>
        <w:t>‑</w:t>
      </w:r>
      <w:r w:rsidRPr="00913D2B">
        <w:rPr>
          <w:rFonts w:ascii="Arial" w:hAnsi="Arial" w:cs="Arial"/>
        </w:rPr>
        <w:t xml:space="preserve">VI emission norms, mandatory safety features, and evolving EV policies require continuous technological upgrades. Suzuki has responded by investing in cleaner powertrains, enhancing safety standards, and aligning with national initiatives such as “Make in India.” The company’s joint venture structure with Maruti has historically helped it navigate regulatory complexities and maintain compliance. However, future regulative pressures—particularly around electrification—will require accelerated innovation and investment. Failure to adapt </w:t>
      </w:r>
      <w:r w:rsidRPr="00913D2B">
        <w:rPr>
          <w:rFonts w:ascii="Arial" w:hAnsi="Arial" w:cs="Arial"/>
        </w:rPr>
        <w:lastRenderedPageBreak/>
        <w:t>could weaken Suzuki’s competitive position as India transitions towards greener mobility.</w:t>
      </w:r>
    </w:p>
    <w:p w14:paraId="724DF5D9" w14:textId="77777777" w:rsidR="00DA0EC0" w:rsidRPr="00913D2B" w:rsidRDefault="00DA0EC0" w:rsidP="005D75A9">
      <w:pPr>
        <w:spacing w:line="360" w:lineRule="auto"/>
        <w:jc w:val="both"/>
        <w:rPr>
          <w:rFonts w:ascii="Arial" w:hAnsi="Arial" w:cs="Arial"/>
        </w:rPr>
      </w:pPr>
    </w:p>
    <w:p w14:paraId="33DD7481" w14:textId="77777777" w:rsidR="00DA0EC0" w:rsidRPr="00913D2B" w:rsidRDefault="00DA0EC0" w:rsidP="005D75A9">
      <w:pPr>
        <w:spacing w:line="360" w:lineRule="auto"/>
        <w:jc w:val="both"/>
        <w:rPr>
          <w:rFonts w:ascii="Arial" w:hAnsi="Arial" w:cs="Arial"/>
        </w:rPr>
      </w:pPr>
      <w:r w:rsidRPr="00797E69">
        <w:rPr>
          <w:rFonts w:ascii="Arial" w:hAnsi="Arial" w:cs="Arial"/>
          <w:b/>
          <w:bCs/>
        </w:rPr>
        <w:t>Normative</w:t>
      </w:r>
      <w:r w:rsidRPr="00913D2B">
        <w:rPr>
          <w:rFonts w:ascii="Arial" w:hAnsi="Arial" w:cs="Arial"/>
        </w:rPr>
        <w:t xml:space="preserve"> </w:t>
      </w:r>
      <w:r w:rsidRPr="00797E69">
        <w:rPr>
          <w:rFonts w:ascii="Arial" w:hAnsi="Arial" w:cs="Arial"/>
          <w:b/>
          <w:bCs/>
        </w:rPr>
        <w:t>Pressures</w:t>
      </w:r>
    </w:p>
    <w:p w14:paraId="51CB3747" w14:textId="77777777" w:rsidR="00DA0EC0" w:rsidRPr="00913D2B" w:rsidRDefault="00DA0EC0" w:rsidP="005D75A9">
      <w:pPr>
        <w:spacing w:line="360" w:lineRule="auto"/>
        <w:jc w:val="both"/>
        <w:rPr>
          <w:rFonts w:ascii="Arial" w:hAnsi="Arial" w:cs="Arial"/>
        </w:rPr>
      </w:pPr>
    </w:p>
    <w:p w14:paraId="7C148464" w14:textId="77777777" w:rsidR="00DA0EC0" w:rsidRPr="00913D2B" w:rsidRDefault="00DA0EC0" w:rsidP="005D75A9">
      <w:pPr>
        <w:spacing w:line="360" w:lineRule="auto"/>
        <w:jc w:val="both"/>
        <w:rPr>
          <w:rFonts w:ascii="Arial" w:hAnsi="Arial" w:cs="Arial"/>
        </w:rPr>
      </w:pPr>
      <w:r w:rsidRPr="00913D2B">
        <w:rPr>
          <w:rFonts w:ascii="Arial" w:hAnsi="Arial" w:cs="Arial"/>
        </w:rPr>
        <w:t>Normative pressures arise from societal expectations, industry standards, and professional norms. Indian consumers increasingly expect vehicles that offer safety, connectivity, and environmental responsibility. This shift has pushed Suzuki to enhance its product offerings, including improved crash</w:t>
      </w:r>
      <w:r w:rsidRPr="00913D2B">
        <w:rPr>
          <w:rFonts w:ascii="Cambria Math" w:hAnsi="Cambria Math" w:cs="Cambria Math"/>
        </w:rPr>
        <w:t>‑</w:t>
      </w:r>
      <w:r w:rsidRPr="00913D2B">
        <w:rPr>
          <w:rFonts w:ascii="Arial" w:hAnsi="Arial" w:cs="Arial"/>
        </w:rPr>
        <w:t>test performance, digital features, and hybrid technologies. Industry norms around localisation, supplier development, and after</w:t>
      </w:r>
      <w:r w:rsidRPr="00913D2B">
        <w:rPr>
          <w:rFonts w:ascii="Cambria Math" w:hAnsi="Cambria Math" w:cs="Cambria Math"/>
        </w:rPr>
        <w:t>‑</w:t>
      </w:r>
      <w:r w:rsidRPr="00913D2B">
        <w:rPr>
          <w:rFonts w:ascii="Arial" w:hAnsi="Arial" w:cs="Arial"/>
        </w:rPr>
        <w:t>sales service quality also influence Suzuki’s operations. The company’s extensive dealer network and strong service ecosystem reflect its alignment with normative expectations. Additionally, rising environmental awareness is creating pressure for more sustainable manufacturing practices and cleaner mobility solutions.</w:t>
      </w:r>
    </w:p>
    <w:p w14:paraId="3A27FC38" w14:textId="77777777" w:rsidR="00DA0EC0" w:rsidRPr="00913D2B" w:rsidRDefault="00DA0EC0" w:rsidP="005D75A9">
      <w:pPr>
        <w:spacing w:line="360" w:lineRule="auto"/>
        <w:jc w:val="both"/>
        <w:rPr>
          <w:rFonts w:ascii="Arial" w:hAnsi="Arial" w:cs="Arial"/>
        </w:rPr>
      </w:pPr>
    </w:p>
    <w:p w14:paraId="2B03CEFB" w14:textId="77777777" w:rsidR="00DA0EC0" w:rsidRPr="00913D2B" w:rsidRDefault="00DA0EC0" w:rsidP="005D75A9">
      <w:pPr>
        <w:spacing w:line="360" w:lineRule="auto"/>
        <w:jc w:val="both"/>
        <w:rPr>
          <w:rFonts w:ascii="Arial" w:hAnsi="Arial" w:cs="Arial"/>
        </w:rPr>
      </w:pPr>
      <w:r w:rsidRPr="00797E69">
        <w:rPr>
          <w:rFonts w:ascii="Arial" w:hAnsi="Arial" w:cs="Arial"/>
          <w:b/>
          <w:bCs/>
        </w:rPr>
        <w:t>Cognitive</w:t>
      </w:r>
      <w:r w:rsidRPr="00913D2B">
        <w:rPr>
          <w:rFonts w:ascii="Arial" w:hAnsi="Arial" w:cs="Arial"/>
        </w:rPr>
        <w:t xml:space="preserve"> </w:t>
      </w:r>
      <w:r w:rsidRPr="00797E69">
        <w:rPr>
          <w:rFonts w:ascii="Arial" w:hAnsi="Arial" w:cs="Arial"/>
          <w:b/>
          <w:bCs/>
        </w:rPr>
        <w:t>Pressures</w:t>
      </w:r>
    </w:p>
    <w:p w14:paraId="4C283678" w14:textId="77777777" w:rsidR="00DA0EC0" w:rsidRPr="00913D2B" w:rsidRDefault="00DA0EC0" w:rsidP="005D75A9">
      <w:pPr>
        <w:spacing w:line="360" w:lineRule="auto"/>
        <w:jc w:val="both"/>
        <w:rPr>
          <w:rFonts w:ascii="Arial" w:hAnsi="Arial" w:cs="Arial"/>
        </w:rPr>
      </w:pPr>
    </w:p>
    <w:p w14:paraId="641332CD" w14:textId="3DBE77C7" w:rsidR="00DA0EC0" w:rsidRPr="00913D2B" w:rsidRDefault="00DA0EC0" w:rsidP="005D75A9">
      <w:pPr>
        <w:spacing w:line="360" w:lineRule="auto"/>
        <w:jc w:val="both"/>
        <w:rPr>
          <w:rFonts w:ascii="Arial" w:hAnsi="Arial" w:cs="Arial"/>
        </w:rPr>
      </w:pPr>
      <w:r w:rsidRPr="00913D2B">
        <w:rPr>
          <w:rFonts w:ascii="Arial" w:hAnsi="Arial" w:cs="Arial"/>
        </w:rPr>
        <w:t>Cognitive pressures relate to shared beliefs, cultural expectations, and taken</w:t>
      </w:r>
      <w:r w:rsidRPr="00913D2B">
        <w:rPr>
          <w:rFonts w:ascii="Cambria Math" w:hAnsi="Cambria Math" w:cs="Cambria Math"/>
        </w:rPr>
        <w:t>‑</w:t>
      </w:r>
      <w:r w:rsidRPr="00913D2B">
        <w:rPr>
          <w:rFonts w:ascii="Arial" w:hAnsi="Arial" w:cs="Arial"/>
        </w:rPr>
        <w:t>for</w:t>
      </w:r>
      <w:r w:rsidRPr="00913D2B">
        <w:rPr>
          <w:rFonts w:ascii="Cambria Math" w:hAnsi="Cambria Math" w:cs="Cambria Math"/>
        </w:rPr>
        <w:t>‑</w:t>
      </w:r>
      <w:r w:rsidRPr="00913D2B">
        <w:rPr>
          <w:rFonts w:ascii="Arial" w:hAnsi="Arial" w:cs="Arial"/>
        </w:rPr>
        <w:t>granted assumptions within the market. In India, small, fuel</w:t>
      </w:r>
      <w:r w:rsidRPr="00913D2B">
        <w:rPr>
          <w:rFonts w:ascii="Cambria Math" w:hAnsi="Cambria Math" w:cs="Cambria Math"/>
        </w:rPr>
        <w:t>‑</w:t>
      </w:r>
      <w:r w:rsidRPr="00913D2B">
        <w:rPr>
          <w:rFonts w:ascii="Arial" w:hAnsi="Arial" w:cs="Arial"/>
        </w:rPr>
        <w:t>efficient cars are widely perceived as practical and economical, shaping consumer expectations and industry behaviour. Suzuki has successfully aligned with these cognitive norms by offering reliable, affordable vehicles that meet everyday mobility needs. The brand’s long</w:t>
      </w:r>
      <w:r w:rsidRPr="00913D2B">
        <w:rPr>
          <w:rFonts w:ascii="Cambria Math" w:hAnsi="Cambria Math" w:cs="Cambria Math"/>
        </w:rPr>
        <w:t>‑</w:t>
      </w:r>
      <w:r w:rsidRPr="00913D2B">
        <w:rPr>
          <w:rFonts w:ascii="Arial" w:hAnsi="Arial" w:cs="Arial"/>
        </w:rPr>
        <w:t>standing presence has embedded it deeply within India’s automotive culture, making Maruti Suzuki synonymous with value and trust. However, cognitive expectations are evolving as consumers increasingly associate modernity with technology, safety, and environmental responsibility. Suzuki must adapt to these shifting perceptions to maintain relevance.</w:t>
      </w:r>
    </w:p>
    <w:p w14:paraId="0F4F757F" w14:textId="77777777" w:rsidR="004B7246" w:rsidRPr="00913D2B" w:rsidRDefault="004B7246" w:rsidP="005D75A9">
      <w:pPr>
        <w:spacing w:line="360" w:lineRule="auto"/>
        <w:jc w:val="both"/>
        <w:rPr>
          <w:rFonts w:ascii="Arial" w:hAnsi="Arial" w:cs="Arial"/>
        </w:rPr>
      </w:pPr>
    </w:p>
    <w:p w14:paraId="765B448D" w14:textId="3414933E" w:rsidR="004B7246" w:rsidRPr="00797E69" w:rsidRDefault="006F022E" w:rsidP="005D75A9">
      <w:pPr>
        <w:pStyle w:val="Heading3"/>
        <w:jc w:val="both"/>
        <w:rPr>
          <w:rFonts w:ascii="Arial" w:hAnsi="Arial" w:cs="Arial"/>
          <w:b/>
          <w:bCs/>
          <w:color w:val="000000" w:themeColor="text1"/>
          <w:sz w:val="24"/>
          <w:szCs w:val="24"/>
        </w:rPr>
      </w:pPr>
      <w:bookmarkStart w:id="15" w:name="_Toc224570196"/>
      <w:r w:rsidRPr="00797E69">
        <w:rPr>
          <w:rFonts w:ascii="Arial" w:hAnsi="Arial" w:cs="Arial"/>
          <w:b/>
          <w:bCs/>
          <w:color w:val="000000" w:themeColor="text1"/>
          <w:sz w:val="24"/>
          <w:szCs w:val="24"/>
        </w:rPr>
        <w:lastRenderedPageBreak/>
        <w:t>1.</w:t>
      </w:r>
      <w:r w:rsidR="004B7246" w:rsidRPr="00797E69">
        <w:rPr>
          <w:rFonts w:ascii="Arial" w:hAnsi="Arial" w:cs="Arial"/>
          <w:b/>
          <w:bCs/>
          <w:color w:val="000000" w:themeColor="text1"/>
          <w:sz w:val="24"/>
          <w:szCs w:val="24"/>
        </w:rPr>
        <w:t>4.5 Market Attractiveness</w:t>
      </w:r>
      <w:bookmarkEnd w:id="15"/>
    </w:p>
    <w:p w14:paraId="2661D700" w14:textId="77777777" w:rsidR="004B7246" w:rsidRPr="00913D2B" w:rsidRDefault="004B7246" w:rsidP="005D75A9">
      <w:pPr>
        <w:spacing w:line="360" w:lineRule="auto"/>
        <w:jc w:val="both"/>
        <w:rPr>
          <w:rFonts w:ascii="Arial" w:hAnsi="Arial" w:cs="Arial"/>
        </w:rPr>
      </w:pPr>
    </w:p>
    <w:p w14:paraId="1281E58F" w14:textId="77777777" w:rsidR="004B7246" w:rsidRDefault="004B7246" w:rsidP="005D75A9">
      <w:pPr>
        <w:spacing w:line="360" w:lineRule="auto"/>
        <w:jc w:val="both"/>
        <w:rPr>
          <w:rFonts w:ascii="Arial" w:hAnsi="Arial" w:cs="Arial"/>
        </w:rPr>
      </w:pPr>
      <w:r w:rsidRPr="00913D2B">
        <w:rPr>
          <w:rFonts w:ascii="Arial" w:hAnsi="Arial" w:cs="Arial"/>
        </w:rPr>
        <w:t>India represents one of the most attractive automotive markets globally due to its scale, growth potential, and evolving consumer preferences. With a population exceeding 1.4 billion and relatively low car</w:t>
      </w:r>
      <w:r w:rsidRPr="00913D2B">
        <w:rPr>
          <w:rFonts w:ascii="Cambria Math" w:hAnsi="Cambria Math" w:cs="Cambria Math"/>
        </w:rPr>
        <w:t>‑</w:t>
      </w:r>
      <w:r w:rsidRPr="00913D2B">
        <w:rPr>
          <w:rFonts w:ascii="Arial" w:hAnsi="Arial" w:cs="Arial"/>
        </w:rPr>
        <w:t>ownership rates compared to other emerging economies, the long</w:t>
      </w:r>
      <w:r w:rsidRPr="00913D2B">
        <w:rPr>
          <w:rFonts w:ascii="Cambria Math" w:hAnsi="Cambria Math" w:cs="Cambria Math"/>
        </w:rPr>
        <w:t>‑</w:t>
      </w:r>
      <w:r w:rsidRPr="00913D2B">
        <w:rPr>
          <w:rFonts w:ascii="Arial" w:hAnsi="Arial" w:cs="Arial"/>
        </w:rPr>
        <w:t>term demand outlook remains strong. Rising disposable incomes, expanding urbanisation, and the emergence of aspirational middle</w:t>
      </w:r>
      <w:r w:rsidRPr="00913D2B">
        <w:rPr>
          <w:rFonts w:ascii="Cambria Math" w:hAnsi="Cambria Math" w:cs="Cambria Math"/>
        </w:rPr>
        <w:t>‑</w:t>
      </w:r>
      <w:r w:rsidRPr="00913D2B">
        <w:rPr>
          <w:rFonts w:ascii="Arial" w:hAnsi="Arial" w:cs="Arial"/>
        </w:rPr>
        <w:t>class consumers continue to drive vehicle purchases, particularly in the compact and small</w:t>
      </w:r>
      <w:r w:rsidRPr="00913D2B">
        <w:rPr>
          <w:rFonts w:ascii="Cambria Math" w:hAnsi="Cambria Math" w:cs="Cambria Math"/>
        </w:rPr>
        <w:t>‑</w:t>
      </w:r>
      <w:r w:rsidRPr="00913D2B">
        <w:rPr>
          <w:rFonts w:ascii="Arial" w:hAnsi="Arial" w:cs="Arial"/>
        </w:rPr>
        <w:t>SUV segments. These segments align closely with Suzuki’s core strengths, reinforcing the company’s competitive position.</w:t>
      </w:r>
    </w:p>
    <w:p w14:paraId="3E2EFA39" w14:textId="77777777" w:rsidR="00B93E15" w:rsidRDefault="00B93E15" w:rsidP="00B93E15">
      <w:pPr>
        <w:pBdr>
          <w:bottom w:val="single" w:sz="6" w:space="1" w:color="auto"/>
        </w:pBdr>
        <w:spacing w:line="360" w:lineRule="auto"/>
        <w:jc w:val="both"/>
        <w:rPr>
          <w:rFonts w:ascii="Arial" w:hAnsi="Arial" w:cs="Arial"/>
        </w:rPr>
      </w:pPr>
    </w:p>
    <w:p w14:paraId="47CF99F2" w14:textId="2A0B39B5" w:rsidR="00D86525" w:rsidRDefault="00B93E15" w:rsidP="00D86525">
      <w:pPr>
        <w:pBdr>
          <w:bottom w:val="single" w:sz="6" w:space="1" w:color="auto"/>
        </w:pBdr>
        <w:spacing w:line="360" w:lineRule="auto"/>
        <w:jc w:val="both"/>
        <w:rPr>
          <w:rFonts w:ascii="Arial" w:hAnsi="Arial" w:cs="Arial"/>
        </w:rPr>
      </w:pPr>
      <w:r>
        <w:rPr>
          <w:rFonts w:ascii="Arial" w:hAnsi="Arial" w:cs="Arial"/>
          <w:noProof/>
        </w:rPr>
        <w:drawing>
          <wp:inline distT="0" distB="0" distL="0" distR="0" wp14:anchorId="25B4F039" wp14:editId="71E5D159">
            <wp:extent cx="5486400" cy="3543300"/>
            <wp:effectExtent l="0" t="0" r="0" b="0"/>
            <wp:docPr id="86442514"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0A007B7" w14:textId="23D9A49B" w:rsidR="00D86525" w:rsidRDefault="00D86525" w:rsidP="00D86525">
      <w:pPr>
        <w:pBdr>
          <w:bottom w:val="single" w:sz="6" w:space="1" w:color="auto"/>
        </w:pBdr>
        <w:spacing w:line="360" w:lineRule="auto"/>
        <w:jc w:val="center"/>
        <w:rPr>
          <w:rFonts w:ascii="Arial" w:hAnsi="Arial" w:cs="Arial"/>
        </w:rPr>
      </w:pPr>
      <w:r>
        <w:rPr>
          <w:rFonts w:ascii="Arial" w:hAnsi="Arial" w:cs="Arial"/>
        </w:rPr>
        <w:t>Fig.</w:t>
      </w:r>
      <w:proofErr w:type="gramStart"/>
      <w:r>
        <w:rPr>
          <w:rFonts w:ascii="Arial" w:hAnsi="Arial" w:cs="Arial"/>
        </w:rPr>
        <w:t>05</w:t>
      </w:r>
      <w:r w:rsidR="006673FD">
        <w:rPr>
          <w:rFonts w:ascii="Arial" w:hAnsi="Arial" w:cs="Arial"/>
        </w:rPr>
        <w:t xml:space="preserve"> :</w:t>
      </w:r>
      <w:proofErr w:type="gramEnd"/>
      <w:r w:rsidR="006673FD">
        <w:rPr>
          <w:rFonts w:ascii="Arial" w:hAnsi="Arial" w:cs="Arial"/>
        </w:rPr>
        <w:t xml:space="preserve"> Passenger vehicle market share in India</w:t>
      </w:r>
    </w:p>
    <w:p w14:paraId="1C50482A" w14:textId="4C83EC87" w:rsidR="004B7246" w:rsidRDefault="00B93E15" w:rsidP="005D75A9">
      <w:pPr>
        <w:spacing w:line="360" w:lineRule="auto"/>
        <w:jc w:val="both"/>
        <w:rPr>
          <w:rFonts w:ascii="Arial" w:hAnsi="Arial" w:cs="Arial"/>
        </w:rPr>
      </w:pPr>
      <w:r w:rsidRPr="00B93E15">
        <w:rPr>
          <w:rFonts w:ascii="Arial" w:hAnsi="Arial" w:cs="Arial"/>
        </w:rPr>
        <w:t>The above figure Illustrates the dominance of Maruti Suzuki with 42% market share followed by Hyundai and Tata Motors this highlights the highly competitive nature of the Indian automotive industry.</w:t>
      </w:r>
    </w:p>
    <w:p w14:paraId="6C968FCA" w14:textId="77777777" w:rsidR="00D86525" w:rsidRPr="00913D2B" w:rsidRDefault="00D86525" w:rsidP="005D75A9">
      <w:pPr>
        <w:spacing w:line="360" w:lineRule="auto"/>
        <w:jc w:val="both"/>
        <w:rPr>
          <w:rFonts w:ascii="Arial" w:hAnsi="Arial" w:cs="Arial"/>
        </w:rPr>
      </w:pPr>
    </w:p>
    <w:p w14:paraId="4EED22FD" w14:textId="5C58D06C" w:rsidR="004B7246" w:rsidRPr="00913D2B" w:rsidRDefault="004B7246" w:rsidP="005D75A9">
      <w:pPr>
        <w:spacing w:line="360" w:lineRule="auto"/>
        <w:jc w:val="both"/>
        <w:rPr>
          <w:rFonts w:ascii="Arial" w:hAnsi="Arial" w:cs="Arial"/>
        </w:rPr>
      </w:pPr>
      <w:r w:rsidRPr="00913D2B">
        <w:rPr>
          <w:rFonts w:ascii="Arial" w:hAnsi="Arial" w:cs="Arial"/>
        </w:rPr>
        <w:lastRenderedPageBreak/>
        <w:t>The regulatory environment further enhances market attractiveness. Government initiatives such as “Make in India,” the Automotive Mission Plan (AMP) 2016–26, and the Production Linked Incentive (PLI) scheme encourage localisation, advanced manufacturing, and technological innovation</w:t>
      </w:r>
      <w:sdt>
        <w:sdtPr>
          <w:rPr>
            <w:rFonts w:ascii="Arial" w:hAnsi="Arial" w:cs="Arial"/>
          </w:rPr>
          <w:id w:val="-731468303"/>
          <w:citation/>
        </w:sdtPr>
        <w:sdtEndPr/>
        <w:sdtContent>
          <w:r w:rsidR="00AB334A">
            <w:rPr>
              <w:rFonts w:ascii="Arial" w:hAnsi="Arial" w:cs="Arial"/>
            </w:rPr>
            <w:fldChar w:fldCharType="begin"/>
          </w:r>
          <w:r w:rsidR="00AB334A">
            <w:rPr>
              <w:rFonts w:ascii="Arial" w:hAnsi="Arial" w:cs="Arial"/>
            </w:rPr>
            <w:instrText xml:space="preserve"> CITATION Min23 \l 16393 </w:instrText>
          </w:r>
          <w:r w:rsidR="00AB334A">
            <w:rPr>
              <w:rFonts w:ascii="Arial" w:hAnsi="Arial" w:cs="Arial"/>
            </w:rPr>
            <w:fldChar w:fldCharType="separate"/>
          </w:r>
          <w:r w:rsidR="00AB334A">
            <w:rPr>
              <w:rFonts w:ascii="Arial" w:hAnsi="Arial" w:cs="Arial"/>
              <w:noProof/>
            </w:rPr>
            <w:t xml:space="preserve"> </w:t>
          </w:r>
          <w:r w:rsidR="00AB334A" w:rsidRPr="00AB334A">
            <w:rPr>
              <w:rFonts w:ascii="Arial" w:hAnsi="Arial" w:cs="Arial"/>
              <w:noProof/>
            </w:rPr>
            <w:t>(Ministry of heavy industries , 2023)</w:t>
          </w:r>
          <w:r w:rsidR="00AB334A">
            <w:rPr>
              <w:rFonts w:ascii="Arial" w:hAnsi="Arial" w:cs="Arial"/>
            </w:rPr>
            <w:fldChar w:fldCharType="end"/>
          </w:r>
        </w:sdtContent>
      </w:sdt>
      <w:r w:rsidRPr="00913D2B">
        <w:rPr>
          <w:rFonts w:ascii="Arial" w:hAnsi="Arial" w:cs="Arial"/>
        </w:rPr>
        <w:t>. These policies reduce entry barriers for established players like Suzuki and support long</w:t>
      </w:r>
      <w:r w:rsidRPr="00913D2B">
        <w:rPr>
          <w:rFonts w:ascii="Cambria Math" w:hAnsi="Cambria Math" w:cs="Cambria Math"/>
        </w:rPr>
        <w:t>‑</w:t>
      </w:r>
      <w:r w:rsidRPr="00913D2B">
        <w:rPr>
          <w:rFonts w:ascii="Arial" w:hAnsi="Arial" w:cs="Arial"/>
        </w:rPr>
        <w:t>term investment. Additionally, the FAME II scheme promotes the adoption of electric and hybrid vehicles, signalling a shift towards cleaner mobility. Although the EV market is still nascent, its rapid growth presents future opportunities for firms capable of offering affordable electrified models.</w:t>
      </w:r>
    </w:p>
    <w:p w14:paraId="7A64126F" w14:textId="77777777" w:rsidR="004B7246" w:rsidRPr="00913D2B" w:rsidRDefault="004B7246" w:rsidP="005D75A9">
      <w:pPr>
        <w:spacing w:line="360" w:lineRule="auto"/>
        <w:jc w:val="both"/>
        <w:rPr>
          <w:rFonts w:ascii="Arial" w:hAnsi="Arial" w:cs="Arial"/>
        </w:rPr>
      </w:pPr>
    </w:p>
    <w:p w14:paraId="6C2413F3" w14:textId="77777777" w:rsidR="004B7246" w:rsidRPr="00913D2B" w:rsidRDefault="004B7246" w:rsidP="005D75A9">
      <w:pPr>
        <w:spacing w:line="360" w:lineRule="auto"/>
        <w:jc w:val="both"/>
        <w:rPr>
          <w:rFonts w:ascii="Arial" w:hAnsi="Arial" w:cs="Arial"/>
        </w:rPr>
      </w:pPr>
      <w:r w:rsidRPr="00913D2B">
        <w:rPr>
          <w:rFonts w:ascii="Arial" w:hAnsi="Arial" w:cs="Arial"/>
        </w:rPr>
        <w:t>India’s supplier ecosystem also contributes to market attractiveness. The country hosts one of the world’s largest automotive component industries, with suppliers capable of meeting global quality standards. This ecosystem enables cost</w:t>
      </w:r>
      <w:r w:rsidRPr="00913D2B">
        <w:rPr>
          <w:rFonts w:ascii="Cambria Math" w:hAnsi="Cambria Math" w:cs="Cambria Math"/>
        </w:rPr>
        <w:t>‑</w:t>
      </w:r>
      <w:r w:rsidRPr="00913D2B">
        <w:rPr>
          <w:rFonts w:ascii="Arial" w:hAnsi="Arial" w:cs="Arial"/>
        </w:rPr>
        <w:t>efficient production, shortens lead times, and supports large</w:t>
      </w:r>
      <w:r w:rsidRPr="00913D2B">
        <w:rPr>
          <w:rFonts w:ascii="Cambria Math" w:hAnsi="Cambria Math" w:cs="Cambria Math"/>
        </w:rPr>
        <w:t>‑</w:t>
      </w:r>
      <w:r w:rsidRPr="00913D2B">
        <w:rPr>
          <w:rFonts w:ascii="Arial" w:hAnsi="Arial" w:cs="Arial"/>
        </w:rPr>
        <w:t>scale manufacturing. Furthermore, India’s strategic location allows firms to export to Africa, the Middle East, and Southeast Asia, enhancing the country’s role as a global automotive hub.</w:t>
      </w:r>
    </w:p>
    <w:p w14:paraId="3F1E3336" w14:textId="77777777" w:rsidR="004B7246" w:rsidRPr="00913D2B" w:rsidRDefault="004B7246" w:rsidP="005D75A9">
      <w:pPr>
        <w:spacing w:line="360" w:lineRule="auto"/>
        <w:jc w:val="both"/>
        <w:rPr>
          <w:rFonts w:ascii="Arial" w:hAnsi="Arial" w:cs="Arial"/>
        </w:rPr>
      </w:pPr>
    </w:p>
    <w:p w14:paraId="48976B8E" w14:textId="7361D635" w:rsidR="00D86525" w:rsidRDefault="004B7246" w:rsidP="005D75A9">
      <w:pPr>
        <w:spacing w:line="360" w:lineRule="auto"/>
        <w:jc w:val="both"/>
        <w:rPr>
          <w:rFonts w:ascii="Arial" w:hAnsi="Arial" w:cs="Arial"/>
        </w:rPr>
      </w:pPr>
      <w:r w:rsidRPr="00913D2B">
        <w:rPr>
          <w:rFonts w:ascii="Arial" w:hAnsi="Arial" w:cs="Arial"/>
        </w:rPr>
        <w:t>However, challenges remain. Infrastructure gaps, regulatory complexity, and rising competition from Hyundai, Tata Motors, and Kia create pressure on margins and innovation. Additionally, the shift towards electrification requires significant investment in technology, charging infrastructure, and supply</w:t>
      </w:r>
      <w:r w:rsidRPr="00913D2B">
        <w:rPr>
          <w:rFonts w:ascii="Cambria Math" w:hAnsi="Cambria Math" w:cs="Cambria Math"/>
        </w:rPr>
        <w:t>‑</w:t>
      </w:r>
      <w:r w:rsidRPr="00913D2B">
        <w:rPr>
          <w:rFonts w:ascii="Arial" w:hAnsi="Arial" w:cs="Arial"/>
        </w:rPr>
        <w:t>chain adaptation. Despite these challenges, India’s long</w:t>
      </w:r>
      <w:r w:rsidRPr="00913D2B">
        <w:rPr>
          <w:rFonts w:ascii="Cambria Math" w:hAnsi="Cambria Math" w:cs="Cambria Math"/>
        </w:rPr>
        <w:t>‑</w:t>
      </w:r>
      <w:r w:rsidRPr="00913D2B">
        <w:rPr>
          <w:rFonts w:ascii="Arial" w:hAnsi="Arial" w:cs="Arial"/>
        </w:rPr>
        <w:t>term market attractiveness remains high due to its scale, growth trajectory, and supportive policy environment.</w:t>
      </w:r>
    </w:p>
    <w:p w14:paraId="06E234C6" w14:textId="77777777" w:rsidR="006E70B0" w:rsidRPr="00913D2B" w:rsidRDefault="006E70B0" w:rsidP="005D75A9">
      <w:pPr>
        <w:spacing w:line="360" w:lineRule="auto"/>
        <w:jc w:val="both"/>
        <w:rPr>
          <w:rFonts w:ascii="Arial" w:hAnsi="Arial" w:cs="Arial"/>
        </w:rPr>
      </w:pPr>
    </w:p>
    <w:p w14:paraId="721FD8E9" w14:textId="7E17F5D9" w:rsidR="004B7246" w:rsidRPr="003B179F" w:rsidRDefault="006F022E" w:rsidP="005D75A9">
      <w:pPr>
        <w:pStyle w:val="Heading3"/>
        <w:jc w:val="both"/>
        <w:rPr>
          <w:rFonts w:ascii="Arial" w:hAnsi="Arial" w:cs="Arial"/>
          <w:b/>
          <w:bCs/>
          <w:color w:val="000000" w:themeColor="text1"/>
          <w:sz w:val="24"/>
          <w:szCs w:val="24"/>
        </w:rPr>
      </w:pPr>
      <w:bookmarkStart w:id="16" w:name="_Toc224570197"/>
      <w:r w:rsidRPr="003B179F">
        <w:rPr>
          <w:rFonts w:ascii="Arial" w:hAnsi="Arial" w:cs="Arial"/>
          <w:b/>
          <w:bCs/>
          <w:color w:val="000000" w:themeColor="text1"/>
          <w:sz w:val="24"/>
          <w:szCs w:val="24"/>
        </w:rPr>
        <w:t>1.</w:t>
      </w:r>
      <w:r w:rsidR="004B7246" w:rsidRPr="003B179F">
        <w:rPr>
          <w:rFonts w:ascii="Arial" w:hAnsi="Arial" w:cs="Arial"/>
          <w:b/>
          <w:bCs/>
          <w:color w:val="000000" w:themeColor="text1"/>
          <w:sz w:val="24"/>
          <w:szCs w:val="24"/>
        </w:rPr>
        <w:t>4.6 Strategic Evaluation</w:t>
      </w:r>
      <w:bookmarkEnd w:id="16"/>
    </w:p>
    <w:p w14:paraId="4AD15BA7" w14:textId="77777777" w:rsidR="004B7246" w:rsidRPr="00913D2B" w:rsidRDefault="004B7246" w:rsidP="005D75A9">
      <w:pPr>
        <w:spacing w:line="360" w:lineRule="auto"/>
        <w:jc w:val="both"/>
        <w:rPr>
          <w:rFonts w:ascii="Arial" w:hAnsi="Arial" w:cs="Arial"/>
        </w:rPr>
      </w:pPr>
    </w:p>
    <w:p w14:paraId="5CB5FCFE" w14:textId="77777777" w:rsidR="004B7246" w:rsidRPr="00913D2B" w:rsidRDefault="004B7246" w:rsidP="005D75A9">
      <w:pPr>
        <w:spacing w:line="360" w:lineRule="auto"/>
        <w:jc w:val="both"/>
        <w:rPr>
          <w:rFonts w:ascii="Arial" w:hAnsi="Arial" w:cs="Arial"/>
        </w:rPr>
      </w:pPr>
      <w:r w:rsidRPr="00913D2B">
        <w:rPr>
          <w:rFonts w:ascii="Arial" w:hAnsi="Arial" w:cs="Arial"/>
        </w:rPr>
        <w:t>Suzuki’s long</w:t>
      </w:r>
      <w:r w:rsidRPr="00913D2B">
        <w:rPr>
          <w:rFonts w:ascii="Cambria Math" w:hAnsi="Cambria Math" w:cs="Cambria Math"/>
        </w:rPr>
        <w:t>‑</w:t>
      </w:r>
      <w:r w:rsidRPr="00913D2B">
        <w:rPr>
          <w:rFonts w:ascii="Arial" w:hAnsi="Arial" w:cs="Arial"/>
        </w:rPr>
        <w:t xml:space="preserve">term success in India is shaped by its ability to align strategic capabilities with external opportunities and constraints. The company’s competitive advantage is rooted in its deep localisation, extensive dealer network, and strong brand equity. Suzuki’s early entry into India allowed it to build a dominant market position, </w:t>
      </w:r>
      <w:r w:rsidRPr="00913D2B">
        <w:rPr>
          <w:rFonts w:ascii="Arial" w:hAnsi="Arial" w:cs="Arial"/>
        </w:rPr>
        <w:lastRenderedPageBreak/>
        <w:t>particularly in the compact</w:t>
      </w:r>
      <w:r w:rsidRPr="00913D2B">
        <w:rPr>
          <w:rFonts w:ascii="Cambria Math" w:hAnsi="Cambria Math" w:cs="Cambria Math"/>
        </w:rPr>
        <w:t>‑</w:t>
      </w:r>
      <w:r w:rsidRPr="00913D2B">
        <w:rPr>
          <w:rFonts w:ascii="Arial" w:hAnsi="Arial" w:cs="Arial"/>
        </w:rPr>
        <w:t>car segment, where it continues to lead through cost</w:t>
      </w:r>
      <w:r w:rsidRPr="00913D2B">
        <w:rPr>
          <w:rFonts w:ascii="Cambria Math" w:hAnsi="Cambria Math" w:cs="Cambria Math"/>
        </w:rPr>
        <w:t>‑</w:t>
      </w:r>
      <w:r w:rsidRPr="00913D2B">
        <w:rPr>
          <w:rFonts w:ascii="Arial" w:hAnsi="Arial" w:cs="Arial"/>
        </w:rPr>
        <w:t>efficient engineering and reliable performance.</w:t>
      </w:r>
    </w:p>
    <w:p w14:paraId="4CB7889F" w14:textId="77777777" w:rsidR="004B7246" w:rsidRPr="00913D2B" w:rsidRDefault="004B7246" w:rsidP="005D75A9">
      <w:pPr>
        <w:spacing w:line="360" w:lineRule="auto"/>
        <w:jc w:val="both"/>
        <w:rPr>
          <w:rFonts w:ascii="Arial" w:hAnsi="Arial" w:cs="Arial"/>
        </w:rPr>
      </w:pPr>
    </w:p>
    <w:p w14:paraId="38010844" w14:textId="77777777" w:rsidR="004B7246" w:rsidRPr="00913D2B" w:rsidRDefault="004B7246" w:rsidP="005D75A9">
      <w:pPr>
        <w:spacing w:line="360" w:lineRule="auto"/>
        <w:jc w:val="both"/>
        <w:rPr>
          <w:rFonts w:ascii="Arial" w:hAnsi="Arial" w:cs="Arial"/>
        </w:rPr>
      </w:pPr>
      <w:r w:rsidRPr="00913D2B">
        <w:rPr>
          <w:rFonts w:ascii="Arial" w:hAnsi="Arial" w:cs="Arial"/>
        </w:rPr>
        <w:t>However, the competitive landscape is evolving rapidly. Domestic firms such as Tata Motors and Mahindra have strengthened their product portfolios with technologically advanced, safety</w:t>
      </w:r>
      <w:r w:rsidRPr="00913D2B">
        <w:rPr>
          <w:rFonts w:ascii="Cambria Math" w:hAnsi="Cambria Math" w:cs="Cambria Math"/>
        </w:rPr>
        <w:t>‑</w:t>
      </w:r>
      <w:r w:rsidRPr="00913D2B">
        <w:rPr>
          <w:rFonts w:ascii="Arial" w:hAnsi="Arial" w:cs="Arial"/>
        </w:rPr>
        <w:t>focused, and design</w:t>
      </w:r>
      <w:r w:rsidRPr="00913D2B">
        <w:rPr>
          <w:rFonts w:ascii="Cambria Math" w:hAnsi="Cambria Math" w:cs="Cambria Math"/>
        </w:rPr>
        <w:t>‑</w:t>
      </w:r>
      <w:r w:rsidRPr="00913D2B">
        <w:rPr>
          <w:rFonts w:ascii="Arial" w:hAnsi="Arial" w:cs="Arial"/>
        </w:rPr>
        <w:t>driven models. Hyundai and Kia have also gained significant market share through feature</w:t>
      </w:r>
      <w:r w:rsidRPr="00913D2B">
        <w:rPr>
          <w:rFonts w:ascii="Cambria Math" w:hAnsi="Cambria Math" w:cs="Cambria Math"/>
        </w:rPr>
        <w:t>‑</w:t>
      </w:r>
      <w:r w:rsidRPr="00913D2B">
        <w:rPr>
          <w:rFonts w:ascii="Arial" w:hAnsi="Arial" w:cs="Arial"/>
        </w:rPr>
        <w:t>rich vehicles and aggressive marketing. This intensifying rivalry requires Suzuki to innovate beyond its traditional strengths.</w:t>
      </w:r>
    </w:p>
    <w:p w14:paraId="1AA6DDA4" w14:textId="77777777" w:rsidR="004B7246" w:rsidRPr="00913D2B" w:rsidRDefault="004B7246" w:rsidP="005D75A9">
      <w:pPr>
        <w:spacing w:line="360" w:lineRule="auto"/>
        <w:jc w:val="both"/>
        <w:rPr>
          <w:rFonts w:ascii="Arial" w:hAnsi="Arial" w:cs="Arial"/>
        </w:rPr>
      </w:pPr>
    </w:p>
    <w:p w14:paraId="0E919441" w14:textId="77777777" w:rsidR="004B7246" w:rsidRPr="00913D2B" w:rsidRDefault="004B7246" w:rsidP="005D75A9">
      <w:pPr>
        <w:spacing w:line="360" w:lineRule="auto"/>
        <w:jc w:val="both"/>
        <w:rPr>
          <w:rFonts w:ascii="Arial" w:hAnsi="Arial" w:cs="Arial"/>
        </w:rPr>
      </w:pPr>
      <w:r w:rsidRPr="00913D2B">
        <w:rPr>
          <w:rFonts w:ascii="Arial" w:hAnsi="Arial" w:cs="Arial"/>
        </w:rPr>
        <w:t>Technological transformation represents the most significant strategic challenge. While Suzuki has excelled in internal combustion and hybrid technologies, it lags behind competitors in full electric vehicle development. India’s accelerating EV transition—driven by government incentives and environmental concerns—poses a long</w:t>
      </w:r>
      <w:r w:rsidRPr="00913D2B">
        <w:rPr>
          <w:rFonts w:ascii="Cambria Math" w:hAnsi="Cambria Math" w:cs="Cambria Math"/>
        </w:rPr>
        <w:t>‑</w:t>
      </w:r>
      <w:r w:rsidRPr="00913D2B">
        <w:rPr>
          <w:rFonts w:ascii="Arial" w:hAnsi="Arial" w:cs="Arial"/>
        </w:rPr>
        <w:t>term risk if Suzuki does not adapt quickly. Collaboration with Toyota provides access to hybrid and EV platforms, but Suzuki must invest in local R&amp;D to develop affordable electrified models tailored to Indian consumers.</w:t>
      </w:r>
    </w:p>
    <w:p w14:paraId="01F13385" w14:textId="77777777" w:rsidR="004B7246" w:rsidRPr="00913D2B" w:rsidRDefault="004B7246" w:rsidP="005D75A9">
      <w:pPr>
        <w:spacing w:line="360" w:lineRule="auto"/>
        <w:jc w:val="both"/>
        <w:rPr>
          <w:rFonts w:ascii="Arial" w:hAnsi="Arial" w:cs="Arial"/>
        </w:rPr>
      </w:pPr>
    </w:p>
    <w:p w14:paraId="1D5227BF" w14:textId="77777777" w:rsidR="004B7246" w:rsidRPr="00913D2B" w:rsidRDefault="004B7246" w:rsidP="005D75A9">
      <w:pPr>
        <w:spacing w:line="360" w:lineRule="auto"/>
        <w:jc w:val="both"/>
        <w:rPr>
          <w:rFonts w:ascii="Arial" w:hAnsi="Arial" w:cs="Arial"/>
        </w:rPr>
      </w:pPr>
      <w:r w:rsidRPr="00913D2B">
        <w:rPr>
          <w:rFonts w:ascii="Arial" w:hAnsi="Arial" w:cs="Arial"/>
        </w:rPr>
        <w:t>Digital transformation is another critical area. Consumers increasingly expect connected</w:t>
      </w:r>
      <w:r w:rsidRPr="00913D2B">
        <w:rPr>
          <w:rFonts w:ascii="Cambria Math" w:hAnsi="Cambria Math" w:cs="Cambria Math"/>
        </w:rPr>
        <w:t>‑</w:t>
      </w:r>
      <w:r w:rsidRPr="00913D2B">
        <w:rPr>
          <w:rFonts w:ascii="Arial" w:hAnsi="Arial" w:cs="Arial"/>
        </w:rPr>
        <w:t>car features, online purchasing options, and data</w:t>
      </w:r>
      <w:r w:rsidRPr="00913D2B">
        <w:rPr>
          <w:rFonts w:ascii="Cambria Math" w:hAnsi="Cambria Math" w:cs="Cambria Math"/>
        </w:rPr>
        <w:t>‑</w:t>
      </w:r>
      <w:r w:rsidRPr="00913D2B">
        <w:rPr>
          <w:rFonts w:ascii="Arial" w:hAnsi="Arial" w:cs="Arial"/>
        </w:rPr>
        <w:t>driven after</w:t>
      </w:r>
      <w:r w:rsidRPr="00913D2B">
        <w:rPr>
          <w:rFonts w:ascii="Cambria Math" w:hAnsi="Cambria Math" w:cs="Cambria Math"/>
        </w:rPr>
        <w:t>‑</w:t>
      </w:r>
      <w:r w:rsidRPr="00913D2B">
        <w:rPr>
          <w:rFonts w:ascii="Arial" w:hAnsi="Arial" w:cs="Arial"/>
        </w:rPr>
        <w:t>sales services. Suzuki’s digital ecosystem remains less advanced than those of Hyundai and Tata Motors, requiring strategic investment in software capabilities, telematics, and customer</w:t>
      </w:r>
      <w:r w:rsidRPr="00913D2B">
        <w:rPr>
          <w:rFonts w:ascii="Cambria Math" w:hAnsi="Cambria Math" w:cs="Cambria Math"/>
        </w:rPr>
        <w:t>‑</w:t>
      </w:r>
      <w:r w:rsidRPr="00913D2B">
        <w:rPr>
          <w:rFonts w:ascii="Arial" w:hAnsi="Arial" w:cs="Arial"/>
        </w:rPr>
        <w:t>experience platforms.</w:t>
      </w:r>
    </w:p>
    <w:p w14:paraId="73CB873A" w14:textId="77777777" w:rsidR="004B7246" w:rsidRPr="00913D2B" w:rsidRDefault="004B7246" w:rsidP="005D75A9">
      <w:pPr>
        <w:spacing w:line="360" w:lineRule="auto"/>
        <w:jc w:val="both"/>
        <w:rPr>
          <w:rFonts w:ascii="Arial" w:hAnsi="Arial" w:cs="Arial"/>
        </w:rPr>
      </w:pPr>
    </w:p>
    <w:p w14:paraId="620FBFCB" w14:textId="77777777" w:rsidR="004B7246" w:rsidRPr="00913D2B" w:rsidRDefault="004B7246" w:rsidP="005D75A9">
      <w:pPr>
        <w:spacing w:line="360" w:lineRule="auto"/>
        <w:jc w:val="both"/>
        <w:rPr>
          <w:rFonts w:ascii="Arial" w:hAnsi="Arial" w:cs="Arial"/>
        </w:rPr>
      </w:pPr>
      <w:r w:rsidRPr="00913D2B">
        <w:rPr>
          <w:rFonts w:ascii="Arial" w:hAnsi="Arial" w:cs="Arial"/>
        </w:rPr>
        <w:t>Despite these challenges, Suzuki retains strong strategic advantages. Its extensive dealer network, high localisation levels, and deep understanding of Indian consumer preferences provide a solid foundation for future growth. To sustain its leadership, Suzuki must accelerate technological innovation, enhance product safety and quality, and strengthen digital capabilities.</w:t>
      </w:r>
    </w:p>
    <w:p w14:paraId="78D42647" w14:textId="77777777" w:rsidR="004B7246" w:rsidRPr="00913D2B" w:rsidRDefault="004B7246" w:rsidP="005D75A9">
      <w:pPr>
        <w:spacing w:line="360" w:lineRule="auto"/>
        <w:jc w:val="both"/>
        <w:rPr>
          <w:rFonts w:ascii="Arial" w:hAnsi="Arial" w:cs="Arial"/>
        </w:rPr>
      </w:pPr>
    </w:p>
    <w:p w14:paraId="7DCD5897" w14:textId="390E4D1E" w:rsidR="004B7246" w:rsidRPr="003B179F" w:rsidRDefault="006F022E" w:rsidP="005D75A9">
      <w:pPr>
        <w:pStyle w:val="Heading3"/>
        <w:jc w:val="both"/>
        <w:rPr>
          <w:rFonts w:ascii="Arial" w:hAnsi="Arial" w:cs="Arial"/>
          <w:b/>
          <w:bCs/>
          <w:color w:val="000000" w:themeColor="text1"/>
          <w:sz w:val="24"/>
          <w:szCs w:val="24"/>
        </w:rPr>
      </w:pPr>
      <w:bookmarkStart w:id="17" w:name="_Toc224570198"/>
      <w:r w:rsidRPr="003B179F">
        <w:rPr>
          <w:rFonts w:ascii="Arial" w:hAnsi="Arial" w:cs="Arial"/>
          <w:b/>
          <w:bCs/>
          <w:color w:val="000000" w:themeColor="text1"/>
          <w:sz w:val="24"/>
          <w:szCs w:val="24"/>
        </w:rPr>
        <w:lastRenderedPageBreak/>
        <w:t>1.</w:t>
      </w:r>
      <w:r w:rsidR="004B7246" w:rsidRPr="003B179F">
        <w:rPr>
          <w:rFonts w:ascii="Arial" w:hAnsi="Arial" w:cs="Arial"/>
          <w:b/>
          <w:bCs/>
          <w:color w:val="000000" w:themeColor="text1"/>
          <w:sz w:val="24"/>
          <w:szCs w:val="24"/>
        </w:rPr>
        <w:t>4.7 Recommendations</w:t>
      </w:r>
      <w:bookmarkEnd w:id="17"/>
    </w:p>
    <w:p w14:paraId="49CCA126" w14:textId="77777777" w:rsidR="004B7246" w:rsidRPr="00913D2B" w:rsidRDefault="004B7246" w:rsidP="005D75A9">
      <w:pPr>
        <w:spacing w:line="360" w:lineRule="auto"/>
        <w:jc w:val="both"/>
        <w:rPr>
          <w:rFonts w:ascii="Arial" w:hAnsi="Arial" w:cs="Arial"/>
        </w:rPr>
      </w:pPr>
    </w:p>
    <w:p w14:paraId="4A4F183A" w14:textId="77777777" w:rsidR="004B7246" w:rsidRPr="00913D2B" w:rsidRDefault="004B7246" w:rsidP="005D75A9">
      <w:pPr>
        <w:spacing w:line="360" w:lineRule="auto"/>
        <w:jc w:val="both"/>
        <w:rPr>
          <w:rFonts w:ascii="Arial" w:hAnsi="Arial" w:cs="Arial"/>
        </w:rPr>
      </w:pPr>
      <w:r w:rsidRPr="00913D2B">
        <w:rPr>
          <w:rFonts w:ascii="Arial" w:hAnsi="Arial" w:cs="Arial"/>
        </w:rPr>
        <w:t>Based on the analysis, several strategic recommendations emerge for Suzuki Motor Corporation to strengthen its long</w:t>
      </w:r>
      <w:r w:rsidRPr="00913D2B">
        <w:rPr>
          <w:rFonts w:ascii="Cambria Math" w:hAnsi="Cambria Math" w:cs="Cambria Math"/>
        </w:rPr>
        <w:t>‑</w:t>
      </w:r>
      <w:r w:rsidRPr="00913D2B">
        <w:rPr>
          <w:rFonts w:ascii="Arial" w:hAnsi="Arial" w:cs="Arial"/>
        </w:rPr>
        <w:t>term competitiveness in India.</w:t>
      </w:r>
    </w:p>
    <w:p w14:paraId="576158B6" w14:textId="77777777" w:rsidR="004B7246" w:rsidRPr="00913D2B" w:rsidRDefault="004B7246" w:rsidP="005D75A9">
      <w:pPr>
        <w:spacing w:line="360" w:lineRule="auto"/>
        <w:jc w:val="both"/>
        <w:rPr>
          <w:rFonts w:ascii="Arial" w:hAnsi="Arial" w:cs="Arial"/>
        </w:rPr>
      </w:pPr>
    </w:p>
    <w:p w14:paraId="4C9530AF" w14:textId="77777777" w:rsidR="004B7246" w:rsidRPr="00913D2B" w:rsidRDefault="004B7246" w:rsidP="005D75A9">
      <w:pPr>
        <w:spacing w:line="360" w:lineRule="auto"/>
        <w:jc w:val="both"/>
        <w:rPr>
          <w:rFonts w:ascii="Arial" w:hAnsi="Arial" w:cs="Arial"/>
        </w:rPr>
      </w:pPr>
      <w:r w:rsidRPr="00913D2B">
        <w:rPr>
          <w:rFonts w:ascii="Arial" w:hAnsi="Arial" w:cs="Arial"/>
        </w:rPr>
        <w:t>1. Accelerate investment in hybrid and electric technologies.</w:t>
      </w:r>
    </w:p>
    <w:p w14:paraId="12797900" w14:textId="77777777" w:rsidR="004B7246" w:rsidRPr="00913D2B" w:rsidRDefault="004B7246" w:rsidP="005D75A9">
      <w:pPr>
        <w:spacing w:line="360" w:lineRule="auto"/>
        <w:jc w:val="both"/>
        <w:rPr>
          <w:rFonts w:ascii="Arial" w:hAnsi="Arial" w:cs="Arial"/>
        </w:rPr>
      </w:pPr>
      <w:r w:rsidRPr="00913D2B">
        <w:rPr>
          <w:rFonts w:ascii="Arial" w:hAnsi="Arial" w:cs="Arial"/>
        </w:rPr>
        <w:t>Suzuki must prioritise the development of affordable EVs and strong</w:t>
      </w:r>
      <w:r w:rsidRPr="00913D2B">
        <w:rPr>
          <w:rFonts w:ascii="Cambria Math" w:hAnsi="Cambria Math" w:cs="Cambria Math"/>
        </w:rPr>
        <w:t>‑</w:t>
      </w:r>
      <w:r w:rsidRPr="00913D2B">
        <w:rPr>
          <w:rFonts w:ascii="Arial" w:hAnsi="Arial" w:cs="Arial"/>
        </w:rPr>
        <w:t>hybrid models to align with India’s evolving regulatory and environmental landscape. Leveraging Toyota’s technological expertise while expanding local R&amp;D capabilities will be essential.</w:t>
      </w:r>
    </w:p>
    <w:p w14:paraId="5923BD28" w14:textId="77777777" w:rsidR="004B7246" w:rsidRPr="00913D2B" w:rsidRDefault="004B7246" w:rsidP="005D75A9">
      <w:pPr>
        <w:spacing w:line="360" w:lineRule="auto"/>
        <w:jc w:val="both"/>
        <w:rPr>
          <w:rFonts w:ascii="Arial" w:hAnsi="Arial" w:cs="Arial"/>
        </w:rPr>
      </w:pPr>
    </w:p>
    <w:p w14:paraId="4B1C7E4C" w14:textId="77777777" w:rsidR="004B7246" w:rsidRPr="00913D2B" w:rsidRDefault="004B7246" w:rsidP="005D75A9">
      <w:pPr>
        <w:spacing w:line="360" w:lineRule="auto"/>
        <w:jc w:val="both"/>
        <w:rPr>
          <w:rFonts w:ascii="Arial" w:hAnsi="Arial" w:cs="Arial"/>
        </w:rPr>
      </w:pPr>
      <w:r w:rsidRPr="00913D2B">
        <w:rPr>
          <w:rFonts w:ascii="Arial" w:hAnsi="Arial" w:cs="Arial"/>
        </w:rPr>
        <w:t>2. Strengthen digital transformation across the value chain.</w:t>
      </w:r>
    </w:p>
    <w:p w14:paraId="1F26107D" w14:textId="77777777" w:rsidR="004B7246" w:rsidRPr="00913D2B" w:rsidRDefault="004B7246" w:rsidP="005D75A9">
      <w:pPr>
        <w:spacing w:line="360" w:lineRule="auto"/>
        <w:jc w:val="both"/>
        <w:rPr>
          <w:rFonts w:ascii="Arial" w:hAnsi="Arial" w:cs="Arial"/>
        </w:rPr>
      </w:pPr>
      <w:r w:rsidRPr="00913D2B">
        <w:rPr>
          <w:rFonts w:ascii="Arial" w:hAnsi="Arial" w:cs="Arial"/>
        </w:rPr>
        <w:t>Enhancing online sales platforms, connected</w:t>
      </w:r>
      <w:r w:rsidRPr="00913D2B">
        <w:rPr>
          <w:rFonts w:ascii="Cambria Math" w:hAnsi="Cambria Math" w:cs="Cambria Math"/>
        </w:rPr>
        <w:t>‑</w:t>
      </w:r>
      <w:r w:rsidRPr="00913D2B">
        <w:rPr>
          <w:rFonts w:ascii="Arial" w:hAnsi="Arial" w:cs="Arial"/>
        </w:rPr>
        <w:t>car features, telematics, and data</w:t>
      </w:r>
      <w:r w:rsidRPr="00913D2B">
        <w:rPr>
          <w:rFonts w:ascii="Cambria Math" w:hAnsi="Cambria Math" w:cs="Cambria Math"/>
        </w:rPr>
        <w:t>‑</w:t>
      </w:r>
      <w:r w:rsidRPr="00913D2B">
        <w:rPr>
          <w:rFonts w:ascii="Arial" w:hAnsi="Arial" w:cs="Arial"/>
        </w:rPr>
        <w:t>driven service models will help Suzuki meet the expectations of digitally engaged consumers and improve customer retention.</w:t>
      </w:r>
    </w:p>
    <w:p w14:paraId="12534DF3" w14:textId="77777777" w:rsidR="004B7246" w:rsidRPr="00913D2B" w:rsidRDefault="004B7246" w:rsidP="005D75A9">
      <w:pPr>
        <w:spacing w:line="360" w:lineRule="auto"/>
        <w:jc w:val="both"/>
        <w:rPr>
          <w:rFonts w:ascii="Arial" w:hAnsi="Arial" w:cs="Arial"/>
        </w:rPr>
      </w:pPr>
    </w:p>
    <w:p w14:paraId="20E22225" w14:textId="77777777" w:rsidR="004B7246" w:rsidRPr="00913D2B" w:rsidRDefault="004B7246" w:rsidP="005D75A9">
      <w:pPr>
        <w:spacing w:line="360" w:lineRule="auto"/>
        <w:jc w:val="both"/>
        <w:rPr>
          <w:rFonts w:ascii="Arial" w:hAnsi="Arial" w:cs="Arial"/>
        </w:rPr>
      </w:pPr>
      <w:r w:rsidRPr="00913D2B">
        <w:rPr>
          <w:rFonts w:ascii="Arial" w:hAnsi="Arial" w:cs="Arial"/>
        </w:rPr>
        <w:t>3. Deepen localisation and supplier development.</w:t>
      </w:r>
    </w:p>
    <w:p w14:paraId="1E44A821" w14:textId="77777777" w:rsidR="004B7246" w:rsidRPr="00913D2B" w:rsidRDefault="004B7246" w:rsidP="005D75A9">
      <w:pPr>
        <w:spacing w:line="360" w:lineRule="auto"/>
        <w:jc w:val="both"/>
        <w:rPr>
          <w:rFonts w:ascii="Arial" w:hAnsi="Arial" w:cs="Arial"/>
        </w:rPr>
      </w:pPr>
      <w:r w:rsidRPr="00913D2B">
        <w:rPr>
          <w:rFonts w:ascii="Arial" w:hAnsi="Arial" w:cs="Arial"/>
        </w:rPr>
        <w:t>Increasing domestic sourcing of components—especially EV batteries, electronics, and powertrain systems—will reduce costs, mitigate currency risks, and support national industrial policies.</w:t>
      </w:r>
    </w:p>
    <w:p w14:paraId="4AF2C6CA" w14:textId="77777777" w:rsidR="004B7246" w:rsidRDefault="004B7246" w:rsidP="005D75A9">
      <w:pPr>
        <w:spacing w:line="360" w:lineRule="auto"/>
        <w:jc w:val="both"/>
        <w:rPr>
          <w:rFonts w:ascii="Arial" w:hAnsi="Arial" w:cs="Arial"/>
        </w:rPr>
      </w:pPr>
    </w:p>
    <w:p w14:paraId="1697D5A9" w14:textId="77777777" w:rsidR="00D86525" w:rsidRPr="00913D2B" w:rsidRDefault="00D86525" w:rsidP="005D75A9">
      <w:pPr>
        <w:spacing w:line="360" w:lineRule="auto"/>
        <w:jc w:val="both"/>
        <w:rPr>
          <w:rFonts w:ascii="Arial" w:hAnsi="Arial" w:cs="Arial"/>
        </w:rPr>
      </w:pPr>
    </w:p>
    <w:p w14:paraId="5EC11430" w14:textId="77777777" w:rsidR="004B7246" w:rsidRPr="00913D2B" w:rsidRDefault="004B7246" w:rsidP="005D75A9">
      <w:pPr>
        <w:spacing w:line="360" w:lineRule="auto"/>
        <w:jc w:val="both"/>
        <w:rPr>
          <w:rFonts w:ascii="Arial" w:hAnsi="Arial" w:cs="Arial"/>
        </w:rPr>
      </w:pPr>
      <w:r w:rsidRPr="00913D2B">
        <w:rPr>
          <w:rFonts w:ascii="Arial" w:hAnsi="Arial" w:cs="Arial"/>
        </w:rPr>
        <w:t>4. Enhance product safety and quality.</w:t>
      </w:r>
    </w:p>
    <w:p w14:paraId="3030695A" w14:textId="77777777" w:rsidR="004B7246" w:rsidRPr="00913D2B" w:rsidRDefault="004B7246" w:rsidP="005D75A9">
      <w:pPr>
        <w:spacing w:line="360" w:lineRule="auto"/>
        <w:jc w:val="both"/>
        <w:rPr>
          <w:rFonts w:ascii="Arial" w:hAnsi="Arial" w:cs="Arial"/>
        </w:rPr>
      </w:pPr>
      <w:r w:rsidRPr="00913D2B">
        <w:rPr>
          <w:rFonts w:ascii="Arial" w:hAnsi="Arial" w:cs="Arial"/>
        </w:rPr>
        <w:t>As Indian consumers become more safety</w:t>
      </w:r>
      <w:r w:rsidRPr="00913D2B">
        <w:rPr>
          <w:rFonts w:ascii="Cambria Math" w:hAnsi="Cambria Math" w:cs="Cambria Math"/>
        </w:rPr>
        <w:t>‑</w:t>
      </w:r>
      <w:r w:rsidRPr="00913D2B">
        <w:rPr>
          <w:rFonts w:ascii="Arial" w:hAnsi="Arial" w:cs="Arial"/>
        </w:rPr>
        <w:t>conscious, Suzuki must invest in structural improvements, advanced driver</w:t>
      </w:r>
      <w:r w:rsidRPr="00913D2B">
        <w:rPr>
          <w:rFonts w:ascii="Cambria Math" w:hAnsi="Cambria Math" w:cs="Cambria Math"/>
        </w:rPr>
        <w:t>‑</w:t>
      </w:r>
      <w:r w:rsidRPr="00913D2B">
        <w:rPr>
          <w:rFonts w:ascii="Arial" w:hAnsi="Arial" w:cs="Arial"/>
        </w:rPr>
        <w:t>assistance systems (ADAS), and higher crash</w:t>
      </w:r>
      <w:r w:rsidRPr="00913D2B">
        <w:rPr>
          <w:rFonts w:ascii="Cambria Math" w:hAnsi="Cambria Math" w:cs="Cambria Math"/>
        </w:rPr>
        <w:t>‑</w:t>
      </w:r>
      <w:r w:rsidRPr="00913D2B">
        <w:rPr>
          <w:rFonts w:ascii="Arial" w:hAnsi="Arial" w:cs="Arial"/>
        </w:rPr>
        <w:t>test ratings to remain competitive.</w:t>
      </w:r>
    </w:p>
    <w:p w14:paraId="4C467B75" w14:textId="77777777" w:rsidR="004B7246" w:rsidRPr="00913D2B" w:rsidRDefault="004B7246" w:rsidP="005D75A9">
      <w:pPr>
        <w:spacing w:line="360" w:lineRule="auto"/>
        <w:jc w:val="both"/>
        <w:rPr>
          <w:rFonts w:ascii="Arial" w:hAnsi="Arial" w:cs="Arial"/>
        </w:rPr>
      </w:pPr>
    </w:p>
    <w:p w14:paraId="46FB2892" w14:textId="77777777" w:rsidR="004B7246" w:rsidRPr="00913D2B" w:rsidRDefault="004B7246" w:rsidP="005D75A9">
      <w:pPr>
        <w:spacing w:line="360" w:lineRule="auto"/>
        <w:jc w:val="both"/>
        <w:rPr>
          <w:rFonts w:ascii="Arial" w:hAnsi="Arial" w:cs="Arial"/>
        </w:rPr>
      </w:pPr>
      <w:r w:rsidRPr="00913D2B">
        <w:rPr>
          <w:rFonts w:ascii="Arial" w:hAnsi="Arial" w:cs="Arial"/>
        </w:rPr>
        <w:lastRenderedPageBreak/>
        <w:t>5. Expand the product portfolio in high</w:t>
      </w:r>
      <w:r w:rsidRPr="00913D2B">
        <w:rPr>
          <w:rFonts w:ascii="Cambria Math" w:hAnsi="Cambria Math" w:cs="Cambria Math"/>
        </w:rPr>
        <w:t>‑</w:t>
      </w:r>
      <w:r w:rsidRPr="00913D2B">
        <w:rPr>
          <w:rFonts w:ascii="Arial" w:hAnsi="Arial" w:cs="Arial"/>
        </w:rPr>
        <w:t>growth segments.</w:t>
      </w:r>
    </w:p>
    <w:p w14:paraId="2C50468D" w14:textId="77777777" w:rsidR="004B7246" w:rsidRPr="00913D2B" w:rsidRDefault="004B7246" w:rsidP="005D75A9">
      <w:pPr>
        <w:spacing w:line="360" w:lineRule="auto"/>
        <w:jc w:val="both"/>
        <w:rPr>
          <w:rFonts w:ascii="Arial" w:hAnsi="Arial" w:cs="Arial"/>
        </w:rPr>
      </w:pPr>
      <w:r w:rsidRPr="00913D2B">
        <w:rPr>
          <w:rFonts w:ascii="Arial" w:hAnsi="Arial" w:cs="Arial"/>
        </w:rPr>
        <w:t>The compact</w:t>
      </w:r>
      <w:r w:rsidRPr="00913D2B">
        <w:rPr>
          <w:rFonts w:ascii="Cambria Math" w:hAnsi="Cambria Math" w:cs="Cambria Math"/>
        </w:rPr>
        <w:t>‑</w:t>
      </w:r>
      <w:r w:rsidRPr="00913D2B">
        <w:rPr>
          <w:rFonts w:ascii="Arial" w:hAnsi="Arial" w:cs="Arial"/>
        </w:rPr>
        <w:t>SUV and mid</w:t>
      </w:r>
      <w:r w:rsidRPr="00913D2B">
        <w:rPr>
          <w:rFonts w:ascii="Cambria Math" w:hAnsi="Cambria Math" w:cs="Cambria Math"/>
        </w:rPr>
        <w:t>‑</w:t>
      </w:r>
      <w:r w:rsidRPr="00913D2B">
        <w:rPr>
          <w:rFonts w:ascii="Arial" w:hAnsi="Arial" w:cs="Arial"/>
        </w:rPr>
        <w:t>range segments are growing rapidly. Suzuki should introduce feature</w:t>
      </w:r>
      <w:r w:rsidRPr="00913D2B">
        <w:rPr>
          <w:rFonts w:ascii="Cambria Math" w:hAnsi="Cambria Math" w:cs="Cambria Math"/>
        </w:rPr>
        <w:t>‑</w:t>
      </w:r>
      <w:r w:rsidRPr="00913D2B">
        <w:rPr>
          <w:rFonts w:ascii="Arial" w:hAnsi="Arial" w:cs="Arial"/>
        </w:rPr>
        <w:t>rich models that combine affordability with modern design, safety, and connectivity.</w:t>
      </w:r>
    </w:p>
    <w:p w14:paraId="1EAF5D13" w14:textId="77777777" w:rsidR="004B7246" w:rsidRPr="00913D2B" w:rsidRDefault="004B7246" w:rsidP="005D75A9">
      <w:pPr>
        <w:spacing w:line="360" w:lineRule="auto"/>
        <w:jc w:val="both"/>
        <w:rPr>
          <w:rFonts w:ascii="Arial" w:hAnsi="Arial" w:cs="Arial"/>
        </w:rPr>
      </w:pPr>
    </w:p>
    <w:p w14:paraId="4892712D" w14:textId="77777777" w:rsidR="004B7246" w:rsidRPr="00913D2B" w:rsidRDefault="004B7246" w:rsidP="005D75A9">
      <w:pPr>
        <w:spacing w:line="360" w:lineRule="auto"/>
        <w:jc w:val="both"/>
        <w:rPr>
          <w:rFonts w:ascii="Arial" w:hAnsi="Arial" w:cs="Arial"/>
        </w:rPr>
      </w:pPr>
      <w:r w:rsidRPr="00913D2B">
        <w:rPr>
          <w:rFonts w:ascii="Arial" w:hAnsi="Arial" w:cs="Arial"/>
        </w:rPr>
        <w:t>6. Strengthen sustainability and environmental initiatives.</w:t>
      </w:r>
    </w:p>
    <w:p w14:paraId="350CABEE" w14:textId="77777777" w:rsidR="004B7246" w:rsidRPr="00913D2B" w:rsidRDefault="004B7246" w:rsidP="005D75A9">
      <w:pPr>
        <w:spacing w:line="360" w:lineRule="auto"/>
        <w:jc w:val="both"/>
        <w:rPr>
          <w:rFonts w:ascii="Arial" w:hAnsi="Arial" w:cs="Arial"/>
        </w:rPr>
      </w:pPr>
      <w:r w:rsidRPr="00913D2B">
        <w:rPr>
          <w:rFonts w:ascii="Arial" w:hAnsi="Arial" w:cs="Arial"/>
        </w:rPr>
        <w:t>Investing in greener manufacturing processes, renewable energy use, and recycling systems will support regulatory compliance and enhance brand reputation.</w:t>
      </w:r>
    </w:p>
    <w:p w14:paraId="422CA878" w14:textId="77777777" w:rsidR="004B7246" w:rsidRPr="00913D2B" w:rsidRDefault="004B7246" w:rsidP="005D75A9">
      <w:pPr>
        <w:spacing w:line="360" w:lineRule="auto"/>
        <w:jc w:val="both"/>
        <w:rPr>
          <w:rFonts w:ascii="Arial" w:hAnsi="Arial" w:cs="Arial"/>
        </w:rPr>
      </w:pPr>
    </w:p>
    <w:p w14:paraId="5FA0A032" w14:textId="4647E9B9" w:rsidR="00D4276A" w:rsidRPr="00913D2B" w:rsidRDefault="004B7246" w:rsidP="005D75A9">
      <w:pPr>
        <w:spacing w:line="360" w:lineRule="auto"/>
        <w:jc w:val="both"/>
        <w:rPr>
          <w:rFonts w:ascii="Arial" w:hAnsi="Arial" w:cs="Arial"/>
        </w:rPr>
      </w:pPr>
      <w:r w:rsidRPr="00913D2B">
        <w:rPr>
          <w:rFonts w:ascii="Arial" w:hAnsi="Arial" w:cs="Arial"/>
        </w:rPr>
        <w:t>Collectively, these recommendations will help Suzuki maintain its leadership in India while preparing for the industry’s transition towards electrification, digitalisation, and sustainability.</w:t>
      </w:r>
    </w:p>
    <w:p w14:paraId="1EA847FD" w14:textId="77777777" w:rsidR="00A91877" w:rsidRPr="00913D2B" w:rsidRDefault="00A91877" w:rsidP="005D75A9">
      <w:pPr>
        <w:spacing w:line="360" w:lineRule="auto"/>
        <w:jc w:val="both"/>
        <w:rPr>
          <w:rFonts w:ascii="Arial" w:hAnsi="Arial" w:cs="Arial"/>
        </w:rPr>
      </w:pPr>
    </w:p>
    <w:p w14:paraId="5AF8E7BE" w14:textId="1424EA94" w:rsidR="00A91877" w:rsidRPr="00105C27" w:rsidRDefault="00A91877" w:rsidP="005D75A9">
      <w:pPr>
        <w:pStyle w:val="Heading2"/>
        <w:jc w:val="both"/>
        <w:rPr>
          <w:rFonts w:ascii="Arial" w:hAnsi="Arial" w:cs="Arial"/>
          <w:b/>
          <w:bCs/>
          <w:color w:val="000000" w:themeColor="text1"/>
          <w:sz w:val="24"/>
          <w:szCs w:val="24"/>
        </w:rPr>
      </w:pPr>
      <w:bookmarkStart w:id="18" w:name="_Toc224570199"/>
      <w:r w:rsidRPr="00105C27">
        <w:rPr>
          <w:rFonts w:ascii="Arial" w:hAnsi="Arial" w:cs="Arial"/>
          <w:b/>
          <w:bCs/>
          <w:color w:val="000000" w:themeColor="text1"/>
          <w:sz w:val="24"/>
          <w:szCs w:val="24"/>
        </w:rPr>
        <w:t xml:space="preserve">SECTION </w:t>
      </w:r>
      <w:r w:rsidR="006F022E" w:rsidRPr="00105C27">
        <w:rPr>
          <w:rFonts w:ascii="Arial" w:hAnsi="Arial" w:cs="Arial"/>
          <w:b/>
          <w:bCs/>
          <w:color w:val="000000" w:themeColor="text1"/>
          <w:sz w:val="24"/>
          <w:szCs w:val="24"/>
        </w:rPr>
        <w:t>1.</w:t>
      </w:r>
      <w:r w:rsidRPr="00105C27">
        <w:rPr>
          <w:rFonts w:ascii="Arial" w:hAnsi="Arial" w:cs="Arial"/>
          <w:b/>
          <w:bCs/>
          <w:color w:val="000000" w:themeColor="text1"/>
          <w:sz w:val="24"/>
          <w:szCs w:val="24"/>
        </w:rPr>
        <w:t>5: Conclusion</w:t>
      </w:r>
      <w:bookmarkEnd w:id="18"/>
    </w:p>
    <w:p w14:paraId="19DF3912" w14:textId="77777777" w:rsidR="00A91877" w:rsidRPr="00913D2B" w:rsidRDefault="00A91877" w:rsidP="005D75A9">
      <w:pPr>
        <w:spacing w:line="360" w:lineRule="auto"/>
        <w:jc w:val="both"/>
        <w:rPr>
          <w:rFonts w:ascii="Arial" w:hAnsi="Arial" w:cs="Arial"/>
        </w:rPr>
      </w:pPr>
    </w:p>
    <w:p w14:paraId="5E10CF64" w14:textId="1FCEE9B1" w:rsidR="00A91877" w:rsidRDefault="00A91877" w:rsidP="005D75A9">
      <w:pPr>
        <w:spacing w:line="360" w:lineRule="auto"/>
        <w:jc w:val="both"/>
        <w:rPr>
          <w:rFonts w:ascii="Arial" w:hAnsi="Arial" w:cs="Arial"/>
        </w:rPr>
      </w:pPr>
      <w:r w:rsidRPr="00913D2B">
        <w:rPr>
          <w:rFonts w:ascii="Arial" w:hAnsi="Arial" w:cs="Arial"/>
        </w:rPr>
        <w:t>The analysis of the Indian automotive industry and Suzuki Motor Corporation’s position within it demonstrates the complex interplay of economic, political, technological, and institutional factors shaping multinational operations in emerging markets. India’s large population, rising incomes, and evolving consumer preferences create a highly attractive environment for automotive manufacturers, particularly in the compact and mid</w:t>
      </w:r>
      <w:r w:rsidRPr="00913D2B">
        <w:rPr>
          <w:rFonts w:ascii="Cambria Math" w:hAnsi="Cambria Math" w:cs="Cambria Math"/>
        </w:rPr>
        <w:t>‑</w:t>
      </w:r>
      <w:r w:rsidRPr="00913D2B">
        <w:rPr>
          <w:rFonts w:ascii="Arial" w:hAnsi="Arial" w:cs="Arial"/>
        </w:rPr>
        <w:t>range segments where Suzuki has historically excelled. The application of Porter’s Diamond Model highlights the strength of India’s factor conditions, competitive rivalry, and supporting industries, all of which contribute to the country’s global competitiveness in automotive manufacturing.</w:t>
      </w:r>
    </w:p>
    <w:p w14:paraId="784356D2" w14:textId="77777777" w:rsidR="006E70B0" w:rsidRPr="00913D2B" w:rsidRDefault="006E70B0" w:rsidP="005D75A9">
      <w:pPr>
        <w:spacing w:line="360" w:lineRule="auto"/>
        <w:jc w:val="both"/>
        <w:rPr>
          <w:rFonts w:ascii="Arial" w:hAnsi="Arial" w:cs="Arial"/>
        </w:rPr>
      </w:pPr>
    </w:p>
    <w:p w14:paraId="45F10BF1" w14:textId="77777777" w:rsidR="00A91877" w:rsidRPr="00913D2B" w:rsidRDefault="00A91877" w:rsidP="005D75A9">
      <w:pPr>
        <w:spacing w:line="360" w:lineRule="auto"/>
        <w:jc w:val="both"/>
        <w:rPr>
          <w:rFonts w:ascii="Arial" w:hAnsi="Arial" w:cs="Arial"/>
        </w:rPr>
      </w:pPr>
      <w:r w:rsidRPr="00913D2B">
        <w:rPr>
          <w:rFonts w:ascii="Arial" w:hAnsi="Arial" w:cs="Arial"/>
        </w:rPr>
        <w:t xml:space="preserve">The PESTEL and CAGE analyses reveal that while India offers substantial opportunities, Suzuki must navigate significant challenges, including regulatory changes, technological transitions, and cultural and economic differences between Japan and India. Institutional Theory further emphasises the importance of aligning </w:t>
      </w:r>
      <w:r w:rsidRPr="00913D2B">
        <w:rPr>
          <w:rFonts w:ascii="Arial" w:hAnsi="Arial" w:cs="Arial"/>
        </w:rPr>
        <w:lastRenderedPageBreak/>
        <w:t>with regulative, normative, and cognitive expectations, particularly as consumer preferences shift towards safety, digital connectivity, and environmentally responsible mobility.</w:t>
      </w:r>
    </w:p>
    <w:p w14:paraId="4B63E382" w14:textId="77777777" w:rsidR="00A91877" w:rsidRPr="00913D2B" w:rsidRDefault="00A91877" w:rsidP="005D75A9">
      <w:pPr>
        <w:spacing w:line="360" w:lineRule="auto"/>
        <w:jc w:val="both"/>
        <w:rPr>
          <w:rFonts w:ascii="Arial" w:hAnsi="Arial" w:cs="Arial"/>
        </w:rPr>
      </w:pPr>
    </w:p>
    <w:p w14:paraId="2DADF338" w14:textId="6B424F06" w:rsidR="009F2424" w:rsidRDefault="00A91877" w:rsidP="005D75A9">
      <w:pPr>
        <w:pBdr>
          <w:bottom w:val="single" w:sz="6" w:space="1" w:color="auto"/>
        </w:pBdr>
        <w:spacing w:line="360" w:lineRule="auto"/>
        <w:jc w:val="both"/>
        <w:rPr>
          <w:rFonts w:ascii="Arial" w:hAnsi="Arial" w:cs="Arial"/>
        </w:rPr>
      </w:pPr>
      <w:r w:rsidRPr="00913D2B">
        <w:rPr>
          <w:rFonts w:ascii="Arial" w:hAnsi="Arial" w:cs="Arial"/>
        </w:rPr>
        <w:t>Overall, Suzuki’s long</w:t>
      </w:r>
      <w:r w:rsidRPr="00913D2B">
        <w:rPr>
          <w:rFonts w:ascii="Cambria Math" w:hAnsi="Cambria Math" w:cs="Cambria Math"/>
        </w:rPr>
        <w:t>‑</w:t>
      </w:r>
      <w:r w:rsidRPr="00913D2B">
        <w:rPr>
          <w:rFonts w:ascii="Arial" w:hAnsi="Arial" w:cs="Arial"/>
        </w:rPr>
        <w:t>standing localisation strategy, extensive dealer network, and deep understanding of Indian consumer behaviour have enabled it to maintain market leadership. However, the industry’s rapid transformation—driven by electrification, digitalisation, and sustainability pressures—requires strategic adaptation. To sustain its competitive advantage, Suzuki must accelerate investment in hybrid and electric technologies, strengthen digital capabilities, and enhance product safety and quality. The findings of this report underscore that Suzuki’s future success in India will depend on its ability to innovate, respond to institutional pressures, and align its strategic priorities with the evolving dynamics of the Indian automotive landscape.</w:t>
      </w:r>
    </w:p>
    <w:p w14:paraId="1184BDAE" w14:textId="77777777" w:rsidR="00454C1A" w:rsidRDefault="00454C1A" w:rsidP="005D75A9">
      <w:pPr>
        <w:pBdr>
          <w:bottom w:val="single" w:sz="6" w:space="1" w:color="auto"/>
        </w:pBdr>
        <w:spacing w:line="360" w:lineRule="auto"/>
        <w:jc w:val="both"/>
        <w:rPr>
          <w:rFonts w:ascii="Arial" w:hAnsi="Arial" w:cs="Arial"/>
        </w:rPr>
      </w:pPr>
    </w:p>
    <w:p w14:paraId="055878E6" w14:textId="77777777" w:rsidR="009F2424" w:rsidRPr="00913D2B" w:rsidRDefault="009F2424" w:rsidP="005D75A9">
      <w:pPr>
        <w:spacing w:line="360" w:lineRule="auto"/>
        <w:jc w:val="both"/>
        <w:rPr>
          <w:rFonts w:ascii="Arial" w:hAnsi="Arial" w:cs="Arial"/>
        </w:rPr>
      </w:pPr>
    </w:p>
    <w:p w14:paraId="2E22C2F5" w14:textId="77777777" w:rsidR="009F2424" w:rsidRPr="00454C1A" w:rsidRDefault="009F2424" w:rsidP="005D75A9">
      <w:pPr>
        <w:pStyle w:val="Heading1"/>
        <w:jc w:val="both"/>
        <w:rPr>
          <w:rFonts w:ascii="Arial" w:hAnsi="Arial" w:cs="Arial"/>
          <w:b/>
          <w:bCs/>
          <w:color w:val="000000" w:themeColor="text1"/>
          <w:sz w:val="24"/>
          <w:szCs w:val="24"/>
        </w:rPr>
      </w:pPr>
      <w:bookmarkStart w:id="19" w:name="_Toc224570200"/>
      <w:r w:rsidRPr="00454C1A">
        <w:rPr>
          <w:rFonts w:ascii="Arial" w:hAnsi="Arial" w:cs="Arial"/>
          <w:b/>
          <w:bCs/>
          <w:color w:val="000000" w:themeColor="text1"/>
          <w:sz w:val="24"/>
          <w:szCs w:val="24"/>
        </w:rPr>
        <w:t>SECTION 2: Reflective Account</w:t>
      </w:r>
      <w:bookmarkEnd w:id="19"/>
    </w:p>
    <w:p w14:paraId="069DFBB6" w14:textId="77777777" w:rsidR="009F2424" w:rsidRPr="00913D2B" w:rsidRDefault="009F2424" w:rsidP="005D75A9">
      <w:pPr>
        <w:spacing w:line="360" w:lineRule="auto"/>
        <w:jc w:val="both"/>
        <w:rPr>
          <w:rFonts w:ascii="Arial" w:hAnsi="Arial" w:cs="Arial"/>
        </w:rPr>
      </w:pPr>
    </w:p>
    <w:p w14:paraId="75CE2C43" w14:textId="77777777" w:rsidR="009F2424" w:rsidRPr="00913D2B" w:rsidRDefault="009F2424" w:rsidP="005D75A9">
      <w:pPr>
        <w:spacing w:line="360" w:lineRule="auto"/>
        <w:jc w:val="both"/>
        <w:rPr>
          <w:rFonts w:ascii="Arial" w:hAnsi="Arial" w:cs="Arial"/>
        </w:rPr>
      </w:pPr>
      <w:r w:rsidRPr="00913D2B">
        <w:rPr>
          <w:rFonts w:ascii="Arial" w:hAnsi="Arial" w:cs="Arial"/>
        </w:rPr>
        <w:t>Using Gibbs’ Reflective Cycle (1988)</w:t>
      </w:r>
    </w:p>
    <w:p w14:paraId="0184FA8F" w14:textId="77777777" w:rsidR="009F2424" w:rsidRPr="00913D2B" w:rsidRDefault="009F2424" w:rsidP="005D75A9">
      <w:pPr>
        <w:spacing w:line="360" w:lineRule="auto"/>
        <w:jc w:val="both"/>
        <w:rPr>
          <w:rFonts w:ascii="Arial" w:hAnsi="Arial" w:cs="Arial"/>
        </w:rPr>
      </w:pPr>
    </w:p>
    <w:p w14:paraId="658CE8EF" w14:textId="77777777" w:rsidR="009F2424" w:rsidRPr="004116E7" w:rsidRDefault="009F2424" w:rsidP="005D75A9">
      <w:pPr>
        <w:pStyle w:val="Heading2"/>
        <w:jc w:val="both"/>
        <w:rPr>
          <w:rFonts w:ascii="Arial" w:hAnsi="Arial" w:cs="Arial"/>
          <w:b/>
          <w:bCs/>
          <w:color w:val="000000" w:themeColor="text1"/>
          <w:sz w:val="24"/>
          <w:szCs w:val="24"/>
        </w:rPr>
      </w:pPr>
      <w:bookmarkStart w:id="20" w:name="_Toc224570201"/>
      <w:r w:rsidRPr="004116E7">
        <w:rPr>
          <w:rFonts w:ascii="Arial" w:hAnsi="Arial" w:cs="Arial"/>
          <w:b/>
          <w:bCs/>
          <w:color w:val="000000" w:themeColor="text1"/>
          <w:sz w:val="24"/>
          <w:szCs w:val="24"/>
        </w:rPr>
        <w:t>1. Description</w:t>
      </w:r>
      <w:bookmarkEnd w:id="20"/>
    </w:p>
    <w:p w14:paraId="69D10060" w14:textId="77777777" w:rsidR="009F2424" w:rsidRPr="00913D2B" w:rsidRDefault="009F2424" w:rsidP="005D75A9">
      <w:pPr>
        <w:spacing w:line="360" w:lineRule="auto"/>
        <w:jc w:val="both"/>
        <w:rPr>
          <w:rFonts w:ascii="Arial" w:hAnsi="Arial" w:cs="Arial"/>
        </w:rPr>
      </w:pPr>
    </w:p>
    <w:p w14:paraId="1208493B" w14:textId="77777777" w:rsidR="009F2424" w:rsidRPr="00913D2B" w:rsidRDefault="009F2424" w:rsidP="005D75A9">
      <w:pPr>
        <w:spacing w:line="360" w:lineRule="auto"/>
        <w:jc w:val="both"/>
        <w:rPr>
          <w:rFonts w:ascii="Arial" w:hAnsi="Arial" w:cs="Arial"/>
        </w:rPr>
      </w:pPr>
      <w:r w:rsidRPr="00913D2B">
        <w:rPr>
          <w:rFonts w:ascii="Arial" w:hAnsi="Arial" w:cs="Arial"/>
        </w:rPr>
        <w:t xml:space="preserve">This assessment required me to research and analyse the Indian automotive industry and evaluate the strategic position of Suzuki Motor Corporation within this context. The task involved applying multiple international business frameworks, including PESTEL, Porter’s Diamond, the CAGE framework, Institutional Theory, and market attractiveness analysis. I also had to synthesise data from government reports, industry publications, academic literature, and company documents. The process demanded not only analytical skills but also the ability to structure a long, academically rigorous report. Completing Section 1 helped me understand how multinational </w:t>
      </w:r>
      <w:r w:rsidRPr="00913D2B">
        <w:rPr>
          <w:rFonts w:ascii="Arial" w:hAnsi="Arial" w:cs="Arial"/>
        </w:rPr>
        <w:lastRenderedPageBreak/>
        <w:t>corporations navigate complex external environments, while Section 2 required me to reflect critically on my research approach, decision</w:t>
      </w:r>
      <w:r w:rsidRPr="00913D2B">
        <w:rPr>
          <w:rFonts w:ascii="Cambria Math" w:hAnsi="Cambria Math" w:cs="Cambria Math"/>
        </w:rPr>
        <w:t>‑</w:t>
      </w:r>
      <w:r w:rsidRPr="00913D2B">
        <w:rPr>
          <w:rFonts w:ascii="Arial" w:hAnsi="Arial" w:cs="Arial"/>
        </w:rPr>
        <w:t>making, and learning process.</w:t>
      </w:r>
    </w:p>
    <w:p w14:paraId="62EE148E" w14:textId="77777777" w:rsidR="009F2424" w:rsidRPr="00913D2B" w:rsidRDefault="009F2424" w:rsidP="005D75A9">
      <w:pPr>
        <w:spacing w:line="360" w:lineRule="auto"/>
        <w:jc w:val="both"/>
        <w:rPr>
          <w:rFonts w:ascii="Arial" w:hAnsi="Arial" w:cs="Arial"/>
        </w:rPr>
      </w:pPr>
    </w:p>
    <w:p w14:paraId="6297674C" w14:textId="77777777" w:rsidR="009F2424" w:rsidRPr="004116E7" w:rsidRDefault="009F2424" w:rsidP="005D75A9">
      <w:pPr>
        <w:pStyle w:val="Heading2"/>
        <w:jc w:val="both"/>
        <w:rPr>
          <w:rFonts w:ascii="Arial" w:hAnsi="Arial" w:cs="Arial"/>
          <w:b/>
          <w:bCs/>
          <w:color w:val="000000" w:themeColor="text1"/>
          <w:sz w:val="24"/>
          <w:szCs w:val="24"/>
        </w:rPr>
      </w:pPr>
      <w:bookmarkStart w:id="21" w:name="_Toc224570202"/>
      <w:r w:rsidRPr="004116E7">
        <w:rPr>
          <w:rFonts w:ascii="Arial" w:hAnsi="Arial" w:cs="Arial"/>
          <w:b/>
          <w:bCs/>
          <w:color w:val="000000" w:themeColor="text1"/>
          <w:sz w:val="24"/>
          <w:szCs w:val="24"/>
        </w:rPr>
        <w:t>2. Feelings</w:t>
      </w:r>
      <w:bookmarkEnd w:id="21"/>
    </w:p>
    <w:p w14:paraId="6562B509" w14:textId="77777777" w:rsidR="009F2424" w:rsidRPr="00913D2B" w:rsidRDefault="009F2424" w:rsidP="005D75A9">
      <w:pPr>
        <w:spacing w:line="360" w:lineRule="auto"/>
        <w:jc w:val="both"/>
        <w:rPr>
          <w:rFonts w:ascii="Arial" w:hAnsi="Arial" w:cs="Arial"/>
        </w:rPr>
      </w:pPr>
    </w:p>
    <w:p w14:paraId="16C7FFBA" w14:textId="77777777" w:rsidR="009F2424" w:rsidRPr="00913D2B" w:rsidRDefault="009F2424" w:rsidP="005D75A9">
      <w:pPr>
        <w:spacing w:line="360" w:lineRule="auto"/>
        <w:jc w:val="both"/>
        <w:rPr>
          <w:rFonts w:ascii="Arial" w:hAnsi="Arial" w:cs="Arial"/>
        </w:rPr>
      </w:pPr>
      <w:r w:rsidRPr="00913D2B">
        <w:rPr>
          <w:rFonts w:ascii="Arial" w:hAnsi="Arial" w:cs="Arial"/>
        </w:rPr>
        <w:t>At the beginning, I felt slightly overwhelmed by the scale of the task, especially the 4,000</w:t>
      </w:r>
      <w:r w:rsidRPr="00913D2B">
        <w:rPr>
          <w:rFonts w:ascii="Cambria Math" w:hAnsi="Cambria Math" w:cs="Cambria Math"/>
        </w:rPr>
        <w:t>‑</w:t>
      </w:r>
      <w:r w:rsidRPr="00913D2B">
        <w:rPr>
          <w:rFonts w:ascii="Arial" w:hAnsi="Arial" w:cs="Arial"/>
        </w:rPr>
        <w:t>word requirement and the need to integrate several frameworks coherently. I was also unsure about how to balance descriptive content with critical analysis. As I progressed, I became more confident, particularly when I realised that each framework provided a different lens through which to understand Suzuki’s operations. I felt motivated when I found credible sources that strengthened my arguments, such as government policy documents and industry statistics. However, I also experienced frustration when certain data were inconsistent across sources or when I struggled to condense complex information into concise academic writing. By the end, I felt a sense of achievement because the report came together cohesively and demonstrated my ability to apply theory to a real</w:t>
      </w:r>
      <w:r w:rsidRPr="00913D2B">
        <w:rPr>
          <w:rFonts w:ascii="Cambria Math" w:hAnsi="Cambria Math" w:cs="Cambria Math"/>
        </w:rPr>
        <w:t>‑</w:t>
      </w:r>
      <w:r w:rsidRPr="00913D2B">
        <w:rPr>
          <w:rFonts w:ascii="Arial" w:hAnsi="Arial" w:cs="Arial"/>
        </w:rPr>
        <w:t>world context.</w:t>
      </w:r>
    </w:p>
    <w:p w14:paraId="11AA33CD" w14:textId="77777777" w:rsidR="009F2424" w:rsidRPr="00913D2B" w:rsidRDefault="009F2424" w:rsidP="005D75A9">
      <w:pPr>
        <w:spacing w:line="360" w:lineRule="auto"/>
        <w:jc w:val="both"/>
        <w:rPr>
          <w:rFonts w:ascii="Arial" w:hAnsi="Arial" w:cs="Arial"/>
        </w:rPr>
      </w:pPr>
    </w:p>
    <w:p w14:paraId="4991FFE9" w14:textId="77777777" w:rsidR="009F2424" w:rsidRPr="00C36EC1" w:rsidRDefault="009F2424" w:rsidP="005D75A9">
      <w:pPr>
        <w:pStyle w:val="Heading2"/>
        <w:jc w:val="both"/>
        <w:rPr>
          <w:rFonts w:ascii="Arial" w:hAnsi="Arial" w:cs="Arial"/>
          <w:b/>
          <w:bCs/>
          <w:color w:val="000000" w:themeColor="text1"/>
          <w:sz w:val="24"/>
          <w:szCs w:val="24"/>
        </w:rPr>
      </w:pPr>
      <w:bookmarkStart w:id="22" w:name="_Toc224570203"/>
      <w:r w:rsidRPr="00C36EC1">
        <w:rPr>
          <w:rFonts w:ascii="Arial" w:hAnsi="Arial" w:cs="Arial"/>
          <w:b/>
          <w:bCs/>
          <w:color w:val="000000" w:themeColor="text1"/>
          <w:sz w:val="24"/>
          <w:szCs w:val="24"/>
        </w:rPr>
        <w:t>3. Evaluation</w:t>
      </w:r>
      <w:bookmarkEnd w:id="22"/>
    </w:p>
    <w:p w14:paraId="01136F94" w14:textId="77777777" w:rsidR="009F2424" w:rsidRPr="00913D2B" w:rsidRDefault="009F2424" w:rsidP="005D75A9">
      <w:pPr>
        <w:spacing w:line="360" w:lineRule="auto"/>
        <w:jc w:val="both"/>
        <w:rPr>
          <w:rFonts w:ascii="Arial" w:hAnsi="Arial" w:cs="Arial"/>
        </w:rPr>
      </w:pPr>
    </w:p>
    <w:p w14:paraId="61AC43C0" w14:textId="77777777" w:rsidR="009F2424" w:rsidRPr="00913D2B" w:rsidRDefault="009F2424" w:rsidP="005D75A9">
      <w:pPr>
        <w:spacing w:line="360" w:lineRule="auto"/>
        <w:jc w:val="both"/>
        <w:rPr>
          <w:rFonts w:ascii="Arial" w:hAnsi="Arial" w:cs="Arial"/>
        </w:rPr>
      </w:pPr>
      <w:r w:rsidRPr="00913D2B">
        <w:rPr>
          <w:rFonts w:ascii="Arial" w:hAnsi="Arial" w:cs="Arial"/>
        </w:rPr>
        <w:t>Several aspects of my approach worked well. I was effective in identifying high</w:t>
      </w:r>
      <w:r w:rsidRPr="00913D2B">
        <w:rPr>
          <w:rFonts w:ascii="Cambria Math" w:hAnsi="Cambria Math" w:cs="Cambria Math"/>
        </w:rPr>
        <w:t>‑</w:t>
      </w:r>
      <w:r w:rsidRPr="00913D2B">
        <w:rPr>
          <w:rFonts w:ascii="Arial" w:hAnsi="Arial" w:cs="Arial"/>
        </w:rPr>
        <w:t>quality, credible sources, which strengthened the reliability of my analysis. Using structured frameworks helped me avoid superficial description and encouraged deeper critical thinking. I also managed my time effectively by breaking the report into smaller sections and completing them sequentially. However, there were areas that could have been improved. Initially, I spent too much time gathering sources rather than analysing them, which slowed my progress. I also realised that I could have engaged more critically with some frameworks, particularly Institutional Theory, where I tended to summarise rather than critique. Additionally, I found it challenging to maintain consistent depth across all sections, and some parts required later expansion to meet the word count and analytical expectations.</w:t>
      </w:r>
    </w:p>
    <w:p w14:paraId="28B0056E" w14:textId="77777777" w:rsidR="009F2424" w:rsidRPr="00913D2B" w:rsidRDefault="009F2424" w:rsidP="005D75A9">
      <w:pPr>
        <w:spacing w:line="360" w:lineRule="auto"/>
        <w:jc w:val="both"/>
        <w:rPr>
          <w:rFonts w:ascii="Arial" w:hAnsi="Arial" w:cs="Arial"/>
        </w:rPr>
      </w:pPr>
    </w:p>
    <w:p w14:paraId="03CD0264" w14:textId="77777777" w:rsidR="009F2424" w:rsidRPr="00C36EC1" w:rsidRDefault="009F2424" w:rsidP="005D75A9">
      <w:pPr>
        <w:pStyle w:val="Heading2"/>
        <w:jc w:val="both"/>
        <w:rPr>
          <w:rFonts w:ascii="Arial" w:hAnsi="Arial" w:cs="Arial"/>
          <w:b/>
          <w:bCs/>
          <w:color w:val="000000" w:themeColor="text1"/>
          <w:sz w:val="24"/>
          <w:szCs w:val="24"/>
        </w:rPr>
      </w:pPr>
      <w:bookmarkStart w:id="23" w:name="_Toc224570204"/>
      <w:r w:rsidRPr="00C36EC1">
        <w:rPr>
          <w:rFonts w:ascii="Arial" w:hAnsi="Arial" w:cs="Arial"/>
          <w:b/>
          <w:bCs/>
          <w:color w:val="000000" w:themeColor="text1"/>
          <w:sz w:val="24"/>
          <w:szCs w:val="24"/>
        </w:rPr>
        <w:lastRenderedPageBreak/>
        <w:t>4. Analysis</w:t>
      </w:r>
      <w:bookmarkEnd w:id="23"/>
    </w:p>
    <w:p w14:paraId="6AE156FF" w14:textId="77777777" w:rsidR="009F2424" w:rsidRPr="00913D2B" w:rsidRDefault="009F2424" w:rsidP="005D75A9">
      <w:pPr>
        <w:spacing w:line="360" w:lineRule="auto"/>
        <w:jc w:val="both"/>
        <w:rPr>
          <w:rFonts w:ascii="Arial" w:hAnsi="Arial" w:cs="Arial"/>
        </w:rPr>
      </w:pPr>
    </w:p>
    <w:p w14:paraId="61D355F8" w14:textId="77777777" w:rsidR="009F2424" w:rsidRPr="00913D2B" w:rsidRDefault="009F2424" w:rsidP="005D75A9">
      <w:pPr>
        <w:spacing w:line="360" w:lineRule="auto"/>
        <w:jc w:val="both"/>
        <w:rPr>
          <w:rFonts w:ascii="Arial" w:hAnsi="Arial" w:cs="Arial"/>
        </w:rPr>
      </w:pPr>
      <w:r w:rsidRPr="00913D2B">
        <w:rPr>
          <w:rFonts w:ascii="Arial" w:hAnsi="Arial" w:cs="Arial"/>
        </w:rPr>
        <w:t>Reflecting on my process, I recognise that my initial difficulty stemmed from not fully planning how the frameworks would connect to each other. Once I mapped out the relationships between PESTEL, CAGE, and Institutional Theory, the analysis became more coherent. For example, understanding how regulative pressures in Institutional Theory aligned with political and legal factors in PESTEL helped me avoid repetition and strengthened my argument. I also learned the importance of triangulating data. When industry statistics varied between sources, I compared multiple reports to identify the most reliable figures. This improved the accuracy of my analysis and enhanced my confidence in the final output.</w:t>
      </w:r>
    </w:p>
    <w:p w14:paraId="0395E323" w14:textId="77777777" w:rsidR="009F2424" w:rsidRPr="00913D2B" w:rsidRDefault="009F2424" w:rsidP="005D75A9">
      <w:pPr>
        <w:spacing w:line="360" w:lineRule="auto"/>
        <w:jc w:val="both"/>
        <w:rPr>
          <w:rFonts w:ascii="Arial" w:hAnsi="Arial" w:cs="Arial"/>
        </w:rPr>
      </w:pPr>
    </w:p>
    <w:p w14:paraId="2837799A" w14:textId="77777777" w:rsidR="009F2424" w:rsidRPr="00913D2B" w:rsidRDefault="009F2424" w:rsidP="005D75A9">
      <w:pPr>
        <w:spacing w:line="360" w:lineRule="auto"/>
        <w:jc w:val="both"/>
        <w:rPr>
          <w:rFonts w:ascii="Arial" w:hAnsi="Arial" w:cs="Arial"/>
        </w:rPr>
      </w:pPr>
      <w:r w:rsidRPr="00913D2B">
        <w:rPr>
          <w:rFonts w:ascii="Arial" w:hAnsi="Arial" w:cs="Arial"/>
        </w:rPr>
        <w:t>Another key learning point was the value of critical reflection during the writing process. When I noticed that some sections were too descriptive, I revisited the frameworks and asked myself how each factor specifically affected Suzuki’s strategic decisions. This shift from description to evaluation significantly improved the quality of my work. I also realised that academic writing requires a balance between clarity and depth. By revising my drafts, I was able to refine my arguments and ensure that each paragraph contributed meaningfully to the overall analysis.</w:t>
      </w:r>
    </w:p>
    <w:p w14:paraId="7340D226" w14:textId="77777777" w:rsidR="009F2424" w:rsidRPr="00913D2B" w:rsidRDefault="009F2424" w:rsidP="005D75A9">
      <w:pPr>
        <w:spacing w:line="360" w:lineRule="auto"/>
        <w:jc w:val="both"/>
        <w:rPr>
          <w:rFonts w:ascii="Arial" w:hAnsi="Arial" w:cs="Arial"/>
        </w:rPr>
      </w:pPr>
    </w:p>
    <w:p w14:paraId="18CAE768" w14:textId="77777777" w:rsidR="009F2424" w:rsidRPr="001F69CF" w:rsidRDefault="009F2424" w:rsidP="005D75A9">
      <w:pPr>
        <w:pStyle w:val="Heading2"/>
        <w:jc w:val="both"/>
        <w:rPr>
          <w:rFonts w:ascii="Arial" w:hAnsi="Arial" w:cs="Arial"/>
          <w:b/>
          <w:bCs/>
          <w:color w:val="000000" w:themeColor="text1"/>
          <w:sz w:val="24"/>
          <w:szCs w:val="24"/>
        </w:rPr>
      </w:pPr>
      <w:bookmarkStart w:id="24" w:name="_Toc224570205"/>
      <w:r w:rsidRPr="001F69CF">
        <w:rPr>
          <w:rFonts w:ascii="Arial" w:hAnsi="Arial" w:cs="Arial"/>
          <w:b/>
          <w:bCs/>
          <w:color w:val="000000" w:themeColor="text1"/>
          <w:sz w:val="24"/>
          <w:szCs w:val="24"/>
        </w:rPr>
        <w:t>5. Conclusion</w:t>
      </w:r>
      <w:bookmarkEnd w:id="24"/>
    </w:p>
    <w:p w14:paraId="3B1C2DF7" w14:textId="77777777" w:rsidR="009F2424" w:rsidRPr="00913D2B" w:rsidRDefault="009F2424" w:rsidP="005D75A9">
      <w:pPr>
        <w:spacing w:line="360" w:lineRule="auto"/>
        <w:jc w:val="both"/>
        <w:rPr>
          <w:rFonts w:ascii="Arial" w:hAnsi="Arial" w:cs="Arial"/>
        </w:rPr>
      </w:pPr>
    </w:p>
    <w:p w14:paraId="431C2483" w14:textId="77777777" w:rsidR="009F2424" w:rsidRPr="00913D2B" w:rsidRDefault="009F2424" w:rsidP="005D75A9">
      <w:pPr>
        <w:spacing w:line="360" w:lineRule="auto"/>
        <w:jc w:val="both"/>
        <w:rPr>
          <w:rFonts w:ascii="Arial" w:hAnsi="Arial" w:cs="Arial"/>
        </w:rPr>
      </w:pPr>
      <w:r w:rsidRPr="00913D2B">
        <w:rPr>
          <w:rFonts w:ascii="Arial" w:hAnsi="Arial" w:cs="Arial"/>
        </w:rPr>
        <w:t>Overall, this assignment enhanced my ability to conduct structured, evidence</w:t>
      </w:r>
      <w:r w:rsidRPr="00913D2B">
        <w:rPr>
          <w:rFonts w:ascii="Cambria Math" w:hAnsi="Cambria Math" w:cs="Cambria Math"/>
        </w:rPr>
        <w:t>‑</w:t>
      </w:r>
      <w:r w:rsidRPr="00913D2B">
        <w:rPr>
          <w:rFonts w:ascii="Arial" w:hAnsi="Arial" w:cs="Arial"/>
        </w:rPr>
        <w:t>based analysis in an international business context. I learned how to apply multiple theoretical frameworks to a real</w:t>
      </w:r>
      <w:r w:rsidRPr="00913D2B">
        <w:rPr>
          <w:rFonts w:ascii="Cambria Math" w:hAnsi="Cambria Math" w:cs="Cambria Math"/>
        </w:rPr>
        <w:t>‑</w:t>
      </w:r>
      <w:r w:rsidRPr="00913D2B">
        <w:rPr>
          <w:rFonts w:ascii="Arial" w:hAnsi="Arial" w:cs="Arial"/>
        </w:rPr>
        <w:t>world industry and how to synthesise diverse sources into a coherent argument. I also developed greater confidence in my academic writing, particularly in managing long</w:t>
      </w:r>
      <w:r w:rsidRPr="00913D2B">
        <w:rPr>
          <w:rFonts w:ascii="Cambria Math" w:hAnsi="Cambria Math" w:cs="Cambria Math"/>
        </w:rPr>
        <w:t>‑</w:t>
      </w:r>
      <w:r w:rsidRPr="00913D2B">
        <w:rPr>
          <w:rFonts w:ascii="Arial" w:hAnsi="Arial" w:cs="Arial"/>
        </w:rPr>
        <w:t xml:space="preserve">form assignments and maintaining analytical depth. The challenges I faced—such as information overload, inconsistent data, and balancing description with critique—were valuable learning experiences that improved my research and writing skills. If I were to complete a similar task again, I would begin </w:t>
      </w:r>
      <w:r w:rsidRPr="00913D2B">
        <w:rPr>
          <w:rFonts w:ascii="Arial" w:hAnsi="Arial" w:cs="Arial"/>
        </w:rPr>
        <w:lastRenderedPageBreak/>
        <w:t>with a more detailed plan outlining how each framework connects to the others. This would help streamline the writing process and reduce the need for later restructuring.</w:t>
      </w:r>
    </w:p>
    <w:p w14:paraId="29B18FE1" w14:textId="77777777" w:rsidR="009F2424" w:rsidRPr="00913D2B" w:rsidRDefault="009F2424" w:rsidP="005D75A9">
      <w:pPr>
        <w:spacing w:line="360" w:lineRule="auto"/>
        <w:jc w:val="both"/>
        <w:rPr>
          <w:rFonts w:ascii="Arial" w:hAnsi="Arial" w:cs="Arial"/>
        </w:rPr>
      </w:pPr>
    </w:p>
    <w:p w14:paraId="1BE97FDC" w14:textId="77777777" w:rsidR="009F2424" w:rsidRPr="001F69CF" w:rsidRDefault="009F2424" w:rsidP="005D75A9">
      <w:pPr>
        <w:pStyle w:val="Heading2"/>
        <w:jc w:val="both"/>
        <w:rPr>
          <w:rFonts w:ascii="Arial" w:hAnsi="Arial" w:cs="Arial"/>
          <w:b/>
          <w:bCs/>
          <w:color w:val="000000" w:themeColor="text1"/>
          <w:sz w:val="24"/>
          <w:szCs w:val="24"/>
        </w:rPr>
      </w:pPr>
      <w:bookmarkStart w:id="25" w:name="_Toc224570206"/>
      <w:r w:rsidRPr="001F69CF">
        <w:rPr>
          <w:rFonts w:ascii="Arial" w:hAnsi="Arial" w:cs="Arial"/>
          <w:b/>
          <w:bCs/>
          <w:color w:val="000000" w:themeColor="text1"/>
          <w:sz w:val="24"/>
          <w:szCs w:val="24"/>
        </w:rPr>
        <w:t>6. Action Plan</w:t>
      </w:r>
      <w:bookmarkEnd w:id="25"/>
    </w:p>
    <w:p w14:paraId="67DADB95" w14:textId="77777777" w:rsidR="009F2424" w:rsidRPr="00913D2B" w:rsidRDefault="009F2424" w:rsidP="005D75A9">
      <w:pPr>
        <w:spacing w:line="360" w:lineRule="auto"/>
        <w:jc w:val="both"/>
        <w:rPr>
          <w:rFonts w:ascii="Arial" w:hAnsi="Arial" w:cs="Arial"/>
        </w:rPr>
      </w:pPr>
    </w:p>
    <w:p w14:paraId="5226D9F7" w14:textId="77777777" w:rsidR="009F2424" w:rsidRPr="00913D2B" w:rsidRDefault="009F2424" w:rsidP="005D75A9">
      <w:pPr>
        <w:pBdr>
          <w:bottom w:val="single" w:sz="6" w:space="1" w:color="auto"/>
        </w:pBdr>
        <w:spacing w:line="360" w:lineRule="auto"/>
        <w:jc w:val="both"/>
        <w:rPr>
          <w:rFonts w:ascii="Arial" w:hAnsi="Arial" w:cs="Arial"/>
        </w:rPr>
      </w:pPr>
      <w:r w:rsidRPr="00913D2B">
        <w:rPr>
          <w:rFonts w:ascii="Arial" w:hAnsi="Arial" w:cs="Arial"/>
        </w:rPr>
        <w:t>To improve future assignments, I will adopt several strategies. First, I will create a detailed research map at the beginning of the project, identifying key themes, sources, and theoretical links. This will help me stay focused and avoid collecting unnecessary information. Second, I will allocate specific time blocks for reading, note</w:t>
      </w:r>
      <w:r w:rsidRPr="00913D2B">
        <w:rPr>
          <w:rFonts w:ascii="Cambria Math" w:hAnsi="Cambria Math" w:cs="Cambria Math"/>
        </w:rPr>
        <w:t>‑</w:t>
      </w:r>
      <w:r w:rsidRPr="00913D2B">
        <w:rPr>
          <w:rFonts w:ascii="Arial" w:hAnsi="Arial" w:cs="Arial"/>
        </w:rPr>
        <w:t>taking, and writing to ensure a balanced workflow. Third, I will practise writing more critically by asking reflective questions such as “Why does this matter?” and “How does this influence strategic decision</w:t>
      </w:r>
      <w:r w:rsidRPr="00913D2B">
        <w:rPr>
          <w:rFonts w:ascii="Cambria Math" w:hAnsi="Cambria Math" w:cs="Cambria Math"/>
        </w:rPr>
        <w:t>‑</w:t>
      </w:r>
      <w:r w:rsidRPr="00913D2B">
        <w:rPr>
          <w:rFonts w:ascii="Arial" w:hAnsi="Arial" w:cs="Arial"/>
        </w:rPr>
        <w:t>making?” Finally, I will continue developing my academic writing skills by reviewing high</w:t>
      </w:r>
      <w:r w:rsidRPr="00913D2B">
        <w:rPr>
          <w:rFonts w:ascii="Cambria Math" w:hAnsi="Cambria Math" w:cs="Cambria Math"/>
        </w:rPr>
        <w:t>‑</w:t>
      </w:r>
      <w:r w:rsidRPr="00913D2B">
        <w:rPr>
          <w:rFonts w:ascii="Arial" w:hAnsi="Arial" w:cs="Arial"/>
        </w:rPr>
        <w:t>quality journal articles and practising concise, analytical paragraph structures. Implementing these strategies will help me produce more efficient, coherent, and critically engaged work in future modules and professional contexts.</w:t>
      </w:r>
    </w:p>
    <w:p w14:paraId="3784B5B8" w14:textId="77777777" w:rsidR="009F2424" w:rsidRPr="00913D2B" w:rsidRDefault="009F2424" w:rsidP="009F2424">
      <w:pPr>
        <w:pBdr>
          <w:bottom w:val="single" w:sz="6" w:space="1" w:color="auto"/>
        </w:pBdr>
        <w:spacing w:line="360" w:lineRule="auto"/>
        <w:rPr>
          <w:rFonts w:ascii="Arial" w:hAnsi="Arial" w:cs="Arial"/>
        </w:rPr>
      </w:pPr>
    </w:p>
    <w:p w14:paraId="1DB57BD4" w14:textId="77777777" w:rsidR="00196DDA" w:rsidRPr="00913D2B" w:rsidRDefault="00196DDA" w:rsidP="00E24ACA">
      <w:pPr>
        <w:pBdr>
          <w:bottom w:val="single" w:sz="6" w:space="1" w:color="auto"/>
        </w:pBdr>
        <w:spacing w:line="360" w:lineRule="auto"/>
        <w:rPr>
          <w:rFonts w:ascii="Arial" w:hAnsi="Arial" w:cs="Arial"/>
        </w:rPr>
      </w:pPr>
    </w:p>
    <w:p w14:paraId="0B3AD2D8" w14:textId="77777777" w:rsidR="00196DDA" w:rsidRDefault="00196DDA" w:rsidP="00E24ACA">
      <w:pPr>
        <w:spacing w:line="360" w:lineRule="auto"/>
        <w:rPr>
          <w:rFonts w:ascii="Arial" w:hAnsi="Arial" w:cs="Arial"/>
          <w:b/>
          <w:bCs/>
        </w:rPr>
      </w:pPr>
    </w:p>
    <w:p w14:paraId="4DAA27AC" w14:textId="77777777" w:rsidR="00D86525" w:rsidRDefault="00D86525" w:rsidP="00E24ACA">
      <w:pPr>
        <w:spacing w:line="360" w:lineRule="auto"/>
        <w:rPr>
          <w:rFonts w:ascii="Arial" w:hAnsi="Arial" w:cs="Arial"/>
          <w:b/>
          <w:bCs/>
        </w:rPr>
      </w:pPr>
    </w:p>
    <w:p w14:paraId="642E58E0" w14:textId="77777777" w:rsidR="00D86525" w:rsidRDefault="00D86525" w:rsidP="00E24ACA">
      <w:pPr>
        <w:spacing w:line="360" w:lineRule="auto"/>
        <w:rPr>
          <w:rFonts w:ascii="Arial" w:hAnsi="Arial" w:cs="Arial"/>
          <w:b/>
          <w:bCs/>
        </w:rPr>
      </w:pPr>
    </w:p>
    <w:p w14:paraId="7ABA2B24" w14:textId="77777777" w:rsidR="00D86525" w:rsidRDefault="00D86525" w:rsidP="00E24ACA">
      <w:pPr>
        <w:spacing w:line="360" w:lineRule="auto"/>
        <w:rPr>
          <w:rFonts w:ascii="Arial" w:hAnsi="Arial" w:cs="Arial"/>
          <w:b/>
          <w:bCs/>
        </w:rPr>
      </w:pPr>
    </w:p>
    <w:p w14:paraId="37FA9EA2" w14:textId="77777777" w:rsidR="00D86525" w:rsidRDefault="00D86525" w:rsidP="00E24ACA">
      <w:pPr>
        <w:spacing w:line="360" w:lineRule="auto"/>
        <w:rPr>
          <w:rFonts w:ascii="Arial" w:hAnsi="Arial" w:cs="Arial"/>
          <w:b/>
          <w:bCs/>
        </w:rPr>
      </w:pPr>
    </w:p>
    <w:p w14:paraId="5689EFD7" w14:textId="77777777" w:rsidR="00D86525" w:rsidRDefault="00D86525" w:rsidP="00E24ACA">
      <w:pPr>
        <w:spacing w:line="360" w:lineRule="auto"/>
        <w:rPr>
          <w:rFonts w:ascii="Arial" w:hAnsi="Arial" w:cs="Arial"/>
          <w:b/>
          <w:bCs/>
        </w:rPr>
      </w:pPr>
    </w:p>
    <w:p w14:paraId="17BAFE61" w14:textId="77777777" w:rsidR="006E70B0" w:rsidRDefault="006E70B0" w:rsidP="00E24ACA">
      <w:pPr>
        <w:spacing w:line="360" w:lineRule="auto"/>
        <w:rPr>
          <w:rFonts w:ascii="Arial" w:hAnsi="Arial" w:cs="Arial"/>
          <w:b/>
          <w:bCs/>
        </w:rPr>
      </w:pPr>
    </w:p>
    <w:p w14:paraId="3326974E" w14:textId="77777777" w:rsidR="006E70B0" w:rsidRDefault="006E70B0" w:rsidP="00E24ACA">
      <w:pPr>
        <w:spacing w:line="360" w:lineRule="auto"/>
        <w:rPr>
          <w:rFonts w:ascii="Arial" w:hAnsi="Arial" w:cs="Arial"/>
          <w:b/>
          <w:bCs/>
        </w:rPr>
      </w:pPr>
    </w:p>
    <w:p w14:paraId="35B44D7D" w14:textId="77777777" w:rsidR="007678D7" w:rsidRDefault="007678D7" w:rsidP="0096711B">
      <w:pPr>
        <w:pStyle w:val="Heading1"/>
        <w:rPr>
          <w:rFonts w:ascii="Arial" w:hAnsi="Arial" w:cs="Arial"/>
          <w:b/>
          <w:bCs/>
          <w:color w:val="000000" w:themeColor="text1"/>
          <w:sz w:val="24"/>
          <w:szCs w:val="24"/>
        </w:rPr>
      </w:pPr>
      <w:bookmarkStart w:id="26" w:name="_Toc224408398"/>
      <w:bookmarkStart w:id="27" w:name="_Toc224570207"/>
    </w:p>
    <w:p w14:paraId="706C613A" w14:textId="6913BFDC" w:rsidR="00365A86" w:rsidRPr="003F3B0F" w:rsidRDefault="00365A86" w:rsidP="0096711B">
      <w:pPr>
        <w:pStyle w:val="Heading1"/>
        <w:rPr>
          <w:rFonts w:ascii="Arial" w:hAnsi="Arial" w:cs="Arial"/>
          <w:b/>
          <w:bCs/>
          <w:color w:val="000000" w:themeColor="text1"/>
          <w:sz w:val="24"/>
          <w:szCs w:val="24"/>
        </w:rPr>
      </w:pPr>
      <w:r w:rsidRPr="003F3B0F">
        <w:rPr>
          <w:rFonts w:ascii="Arial" w:hAnsi="Arial" w:cs="Arial"/>
          <w:b/>
          <w:bCs/>
          <w:color w:val="000000" w:themeColor="text1"/>
          <w:sz w:val="24"/>
          <w:szCs w:val="24"/>
        </w:rPr>
        <w:t>Harvard Reference List</w:t>
      </w:r>
      <w:bookmarkEnd w:id="26"/>
      <w:bookmarkEnd w:id="27"/>
    </w:p>
    <w:p w14:paraId="1F6B9AC8" w14:textId="3D03D32D" w:rsidR="004A3DAA" w:rsidRPr="00892FA4" w:rsidRDefault="004A3DAA" w:rsidP="00892FA4">
      <w:pPr>
        <w:spacing w:line="360" w:lineRule="auto"/>
        <w:rPr>
          <w:rFonts w:ascii="Arial" w:hAnsi="Arial" w:cs="Arial"/>
        </w:rPr>
      </w:pPr>
    </w:p>
    <w:p w14:paraId="7002FE2A" w14:textId="77777777" w:rsidR="00A13587" w:rsidRPr="00A13587" w:rsidRDefault="00A13587" w:rsidP="00A13587">
      <w:pPr>
        <w:numPr>
          <w:ilvl w:val="0"/>
          <w:numId w:val="5"/>
        </w:numPr>
        <w:spacing w:line="360" w:lineRule="auto"/>
        <w:rPr>
          <w:rFonts w:ascii="Arial" w:hAnsi="Arial" w:cs="Arial"/>
        </w:rPr>
      </w:pPr>
      <w:r w:rsidRPr="00A13587">
        <w:rPr>
          <w:rFonts w:ascii="Arial" w:hAnsi="Arial" w:cs="Arial"/>
        </w:rPr>
        <w:t xml:space="preserve">ACMA (2024) </w:t>
      </w:r>
      <w:r w:rsidRPr="00A13587">
        <w:rPr>
          <w:rFonts w:ascii="Arial" w:hAnsi="Arial" w:cs="Arial"/>
          <w:i/>
          <w:iCs/>
        </w:rPr>
        <w:t>Automotive Component Industry Overview</w:t>
      </w:r>
      <w:r w:rsidRPr="00A13587">
        <w:rPr>
          <w:rFonts w:ascii="Arial" w:hAnsi="Arial" w:cs="Arial"/>
        </w:rPr>
        <w:t xml:space="preserve">. Available at: </w:t>
      </w:r>
      <w:hyperlink r:id="rId14" w:tgtFrame="_blank" w:history="1">
        <w:r w:rsidRPr="00A13587">
          <w:rPr>
            <w:rStyle w:val="Hyperlink"/>
            <w:rFonts w:ascii="Arial" w:hAnsi="Arial" w:cs="Arial"/>
          </w:rPr>
          <w:t>https://www.acma.in</w:t>
        </w:r>
      </w:hyperlink>
      <w:r w:rsidRPr="00A13587">
        <w:rPr>
          <w:rFonts w:ascii="Arial" w:hAnsi="Arial" w:cs="Arial"/>
        </w:rPr>
        <w:t xml:space="preserve"> (Accessed: 10 March 2026).</w:t>
      </w:r>
    </w:p>
    <w:p w14:paraId="3DDD7D15" w14:textId="77777777" w:rsidR="00A13587" w:rsidRPr="00A13587" w:rsidRDefault="00A13587" w:rsidP="00A13587">
      <w:pPr>
        <w:numPr>
          <w:ilvl w:val="0"/>
          <w:numId w:val="5"/>
        </w:numPr>
        <w:spacing w:line="360" w:lineRule="auto"/>
        <w:rPr>
          <w:rFonts w:ascii="Arial" w:hAnsi="Arial" w:cs="Arial"/>
        </w:rPr>
      </w:pPr>
      <w:r w:rsidRPr="00A13587">
        <w:rPr>
          <w:rFonts w:ascii="Arial" w:hAnsi="Arial" w:cs="Arial"/>
        </w:rPr>
        <w:t xml:space="preserve">Automotive Component Manufacturers Association of India (ACMA) (2025) </w:t>
      </w:r>
      <w:r w:rsidRPr="00A13587">
        <w:rPr>
          <w:rFonts w:ascii="Arial" w:hAnsi="Arial" w:cs="Arial"/>
          <w:i/>
          <w:iCs/>
        </w:rPr>
        <w:t>India Auto Components Outlook 2025</w:t>
      </w:r>
      <w:r w:rsidRPr="00A13587">
        <w:rPr>
          <w:rFonts w:ascii="Arial" w:hAnsi="Arial" w:cs="Arial"/>
        </w:rPr>
        <w:t>. New Delhi: ACMA.</w:t>
      </w:r>
    </w:p>
    <w:p w14:paraId="751450CA" w14:textId="77777777" w:rsidR="00A13587" w:rsidRPr="00A13587" w:rsidRDefault="00A13587" w:rsidP="00A13587">
      <w:pPr>
        <w:numPr>
          <w:ilvl w:val="0"/>
          <w:numId w:val="5"/>
        </w:numPr>
        <w:spacing w:line="360" w:lineRule="auto"/>
        <w:rPr>
          <w:rFonts w:ascii="Arial" w:hAnsi="Arial" w:cs="Arial"/>
        </w:rPr>
      </w:pPr>
      <w:r w:rsidRPr="00A13587">
        <w:rPr>
          <w:rFonts w:ascii="Arial" w:hAnsi="Arial" w:cs="Arial"/>
        </w:rPr>
        <w:t xml:space="preserve">Bloomberg (2025) ‘Maruti Suzuki sees new EV lifting green-car share of India sales to 45%’, 16 December. Available at: </w:t>
      </w:r>
      <w:hyperlink r:id="rId15" w:tgtFrame="_blank" w:history="1">
        <w:r w:rsidRPr="00A13587">
          <w:rPr>
            <w:rStyle w:val="Hyperlink"/>
            <w:rFonts w:ascii="Arial" w:hAnsi="Arial" w:cs="Arial"/>
          </w:rPr>
          <w:t>https://www.bloomberg.com/news/articles/2025-12-16/maruti-sees-45-of-its-sales-next-year-from-alternate-fuel-cars-after-ev-debut</w:t>
        </w:r>
      </w:hyperlink>
      <w:r w:rsidRPr="00A13587">
        <w:rPr>
          <w:rFonts w:ascii="Arial" w:hAnsi="Arial" w:cs="Arial"/>
        </w:rPr>
        <w:t xml:space="preserve"> (Accessed: 15 March 2026).</w:t>
      </w:r>
    </w:p>
    <w:p w14:paraId="276C3E22" w14:textId="77777777" w:rsidR="00A13587" w:rsidRPr="00A13587" w:rsidRDefault="00A13587" w:rsidP="00A13587">
      <w:pPr>
        <w:numPr>
          <w:ilvl w:val="0"/>
          <w:numId w:val="5"/>
        </w:numPr>
        <w:spacing w:line="360" w:lineRule="auto"/>
        <w:rPr>
          <w:rFonts w:ascii="Arial" w:hAnsi="Arial" w:cs="Arial"/>
        </w:rPr>
      </w:pPr>
      <w:r w:rsidRPr="00A13587">
        <w:rPr>
          <w:rFonts w:ascii="Arial" w:hAnsi="Arial" w:cs="Arial"/>
        </w:rPr>
        <w:t xml:space="preserve">Deloitte (2024) </w:t>
      </w:r>
      <w:r w:rsidRPr="00A13587">
        <w:rPr>
          <w:rFonts w:ascii="Arial" w:hAnsi="Arial" w:cs="Arial"/>
          <w:i/>
          <w:iCs/>
        </w:rPr>
        <w:t>2024 Global Automotive Consumer Study: India Edition</w:t>
      </w:r>
      <w:r w:rsidRPr="00A13587">
        <w:rPr>
          <w:rFonts w:ascii="Arial" w:hAnsi="Arial" w:cs="Arial"/>
        </w:rPr>
        <w:t xml:space="preserve">. Available at: </w:t>
      </w:r>
      <w:hyperlink r:id="rId16" w:tgtFrame="_blank" w:history="1">
        <w:r w:rsidRPr="00A13587">
          <w:rPr>
            <w:rStyle w:val="Hyperlink"/>
            <w:rFonts w:ascii="Arial" w:hAnsi="Arial" w:cs="Arial"/>
          </w:rPr>
          <w:t>https://www2.deloitte.com</w:t>
        </w:r>
      </w:hyperlink>
      <w:r w:rsidRPr="00A13587">
        <w:rPr>
          <w:rFonts w:ascii="Arial" w:hAnsi="Arial" w:cs="Arial"/>
        </w:rPr>
        <w:t xml:space="preserve"> (Accessed: 10 March 2026).</w:t>
      </w:r>
    </w:p>
    <w:p w14:paraId="7E9875CA" w14:textId="77777777" w:rsidR="00A13587" w:rsidRPr="00A13587" w:rsidRDefault="00A13587" w:rsidP="00A13587">
      <w:pPr>
        <w:numPr>
          <w:ilvl w:val="0"/>
          <w:numId w:val="5"/>
        </w:numPr>
        <w:spacing w:line="360" w:lineRule="auto"/>
        <w:rPr>
          <w:rFonts w:ascii="Arial" w:hAnsi="Arial" w:cs="Arial"/>
        </w:rPr>
      </w:pPr>
      <w:r w:rsidRPr="00A13587">
        <w:rPr>
          <w:rFonts w:ascii="Arial" w:hAnsi="Arial" w:cs="Arial"/>
        </w:rPr>
        <w:t xml:space="preserve">EY (2024) </w:t>
      </w:r>
      <w:r w:rsidRPr="00A13587">
        <w:rPr>
          <w:rFonts w:ascii="Arial" w:hAnsi="Arial" w:cs="Arial"/>
          <w:i/>
          <w:iCs/>
        </w:rPr>
        <w:t>India Mobility Outlook 2024</w:t>
      </w:r>
      <w:r w:rsidRPr="00A13587">
        <w:rPr>
          <w:rFonts w:ascii="Arial" w:hAnsi="Arial" w:cs="Arial"/>
        </w:rPr>
        <w:t xml:space="preserve">. Available at: </w:t>
      </w:r>
      <w:hyperlink r:id="rId17" w:tgtFrame="_blank" w:history="1">
        <w:r w:rsidRPr="00A13587">
          <w:rPr>
            <w:rStyle w:val="Hyperlink"/>
            <w:rFonts w:ascii="Arial" w:hAnsi="Arial" w:cs="Arial"/>
          </w:rPr>
          <w:t>https://www.ey.com/en_in</w:t>
        </w:r>
      </w:hyperlink>
      <w:r w:rsidRPr="00A13587">
        <w:rPr>
          <w:rFonts w:ascii="Arial" w:hAnsi="Arial" w:cs="Arial"/>
        </w:rPr>
        <w:t xml:space="preserve"> (Accessed: 10 March 2026).</w:t>
      </w:r>
    </w:p>
    <w:p w14:paraId="39EBC59D" w14:textId="77777777" w:rsidR="00A13587" w:rsidRPr="00A13587" w:rsidRDefault="00A13587" w:rsidP="00A13587">
      <w:pPr>
        <w:numPr>
          <w:ilvl w:val="0"/>
          <w:numId w:val="5"/>
        </w:numPr>
        <w:spacing w:line="360" w:lineRule="auto"/>
        <w:rPr>
          <w:rFonts w:ascii="Arial" w:hAnsi="Arial" w:cs="Arial"/>
        </w:rPr>
      </w:pPr>
      <w:r w:rsidRPr="00A13587">
        <w:rPr>
          <w:rFonts w:ascii="Arial" w:hAnsi="Arial" w:cs="Arial"/>
        </w:rPr>
        <w:t xml:space="preserve">Frost &amp; Sullivan (2025) </w:t>
      </w:r>
      <w:r w:rsidRPr="00A13587">
        <w:rPr>
          <w:rFonts w:ascii="Arial" w:hAnsi="Arial" w:cs="Arial"/>
          <w:i/>
          <w:iCs/>
        </w:rPr>
        <w:t>India Electric Vehicle Market Forecast 2025–2030</w:t>
      </w:r>
      <w:r w:rsidRPr="00A13587">
        <w:rPr>
          <w:rFonts w:ascii="Arial" w:hAnsi="Arial" w:cs="Arial"/>
        </w:rPr>
        <w:t>. Available at: frost.com (Accessed: 12 March 2026).</w:t>
      </w:r>
    </w:p>
    <w:p w14:paraId="2508DBFF" w14:textId="77777777" w:rsidR="00A13587" w:rsidRPr="00A13587" w:rsidRDefault="00A13587" w:rsidP="00A13587">
      <w:pPr>
        <w:numPr>
          <w:ilvl w:val="0"/>
          <w:numId w:val="5"/>
        </w:numPr>
        <w:spacing w:line="360" w:lineRule="auto"/>
        <w:rPr>
          <w:rFonts w:ascii="Arial" w:hAnsi="Arial" w:cs="Arial"/>
        </w:rPr>
      </w:pPr>
      <w:r w:rsidRPr="00A13587">
        <w:rPr>
          <w:rFonts w:ascii="Arial" w:hAnsi="Arial" w:cs="Arial"/>
        </w:rPr>
        <w:t xml:space="preserve">Ghemawat, P. (2001) ‘Distance still matters: The hard reality of global expansion’, </w:t>
      </w:r>
      <w:r w:rsidRPr="00A13587">
        <w:rPr>
          <w:rFonts w:ascii="Arial" w:hAnsi="Arial" w:cs="Arial"/>
          <w:i/>
          <w:iCs/>
        </w:rPr>
        <w:t>Harvard Business Review</w:t>
      </w:r>
      <w:r w:rsidRPr="00A13587">
        <w:rPr>
          <w:rFonts w:ascii="Arial" w:hAnsi="Arial" w:cs="Arial"/>
        </w:rPr>
        <w:t>, 79(8), pp. 137–147.</w:t>
      </w:r>
    </w:p>
    <w:p w14:paraId="5FEC95CF" w14:textId="77777777" w:rsidR="00A13587" w:rsidRPr="00A13587" w:rsidRDefault="00A13587" w:rsidP="00A13587">
      <w:pPr>
        <w:numPr>
          <w:ilvl w:val="0"/>
          <w:numId w:val="5"/>
        </w:numPr>
        <w:spacing w:line="360" w:lineRule="auto"/>
        <w:rPr>
          <w:rFonts w:ascii="Arial" w:hAnsi="Arial" w:cs="Arial"/>
        </w:rPr>
      </w:pPr>
      <w:r w:rsidRPr="00A13587">
        <w:rPr>
          <w:rFonts w:ascii="Arial" w:hAnsi="Arial" w:cs="Arial"/>
        </w:rPr>
        <w:t xml:space="preserve">India Brand Equity Foundation (IBEF) (2024) </w:t>
      </w:r>
      <w:r w:rsidRPr="00A13587">
        <w:rPr>
          <w:rFonts w:ascii="Arial" w:hAnsi="Arial" w:cs="Arial"/>
          <w:i/>
          <w:iCs/>
        </w:rPr>
        <w:t>Automobile Industry in India</w:t>
      </w:r>
      <w:r w:rsidRPr="00A13587">
        <w:rPr>
          <w:rFonts w:ascii="Arial" w:hAnsi="Arial" w:cs="Arial"/>
        </w:rPr>
        <w:t xml:space="preserve">. Available at: </w:t>
      </w:r>
      <w:hyperlink r:id="rId18" w:tgtFrame="_blank" w:history="1">
        <w:r w:rsidRPr="00A13587">
          <w:rPr>
            <w:rStyle w:val="Hyperlink"/>
            <w:rFonts w:ascii="Arial" w:hAnsi="Arial" w:cs="Arial"/>
          </w:rPr>
          <w:t>https://www.ibef.org/industry/automobiles</w:t>
        </w:r>
      </w:hyperlink>
      <w:r w:rsidRPr="00A13587">
        <w:rPr>
          <w:rFonts w:ascii="Arial" w:hAnsi="Arial" w:cs="Arial"/>
        </w:rPr>
        <w:t xml:space="preserve"> (Accessed: 10 March 2026).</w:t>
      </w:r>
    </w:p>
    <w:p w14:paraId="123C0DAE" w14:textId="77777777" w:rsidR="00A13587" w:rsidRPr="00A13587" w:rsidRDefault="00A13587" w:rsidP="00A13587">
      <w:pPr>
        <w:numPr>
          <w:ilvl w:val="0"/>
          <w:numId w:val="5"/>
        </w:numPr>
        <w:spacing w:line="360" w:lineRule="auto"/>
        <w:rPr>
          <w:rFonts w:ascii="Arial" w:hAnsi="Arial" w:cs="Arial"/>
        </w:rPr>
      </w:pPr>
      <w:r w:rsidRPr="00A13587">
        <w:rPr>
          <w:rFonts w:ascii="Arial" w:hAnsi="Arial" w:cs="Arial"/>
        </w:rPr>
        <w:t xml:space="preserve">India Brand Equity Foundation (IBEF) (2025) </w:t>
      </w:r>
      <w:r w:rsidRPr="00A13587">
        <w:rPr>
          <w:rFonts w:ascii="Arial" w:hAnsi="Arial" w:cs="Arial"/>
          <w:i/>
          <w:iCs/>
        </w:rPr>
        <w:t>India's Automobile Industry: Growth &amp; Trends 2025</w:t>
      </w:r>
      <w:r w:rsidRPr="00A13587">
        <w:rPr>
          <w:rFonts w:ascii="Arial" w:hAnsi="Arial" w:cs="Arial"/>
        </w:rPr>
        <w:t xml:space="preserve">. Available at: </w:t>
      </w:r>
      <w:hyperlink r:id="rId19" w:tgtFrame="_blank" w:history="1">
        <w:r w:rsidRPr="00A13587">
          <w:rPr>
            <w:rStyle w:val="Hyperlink"/>
            <w:rFonts w:ascii="Arial" w:hAnsi="Arial" w:cs="Arial"/>
          </w:rPr>
          <w:t>https://www.ibef.org/industry/india-automobiles</w:t>
        </w:r>
      </w:hyperlink>
      <w:r w:rsidRPr="00A13587">
        <w:rPr>
          <w:rFonts w:ascii="Arial" w:hAnsi="Arial" w:cs="Arial"/>
        </w:rPr>
        <w:t xml:space="preserve"> (Accessed: 15 March 2026).</w:t>
      </w:r>
    </w:p>
    <w:p w14:paraId="24E579C5" w14:textId="77777777" w:rsidR="00A13587" w:rsidRPr="00A13587" w:rsidRDefault="00A13587" w:rsidP="00A13587">
      <w:pPr>
        <w:numPr>
          <w:ilvl w:val="0"/>
          <w:numId w:val="5"/>
        </w:numPr>
        <w:spacing w:line="360" w:lineRule="auto"/>
        <w:rPr>
          <w:rFonts w:ascii="Arial" w:hAnsi="Arial" w:cs="Arial"/>
        </w:rPr>
      </w:pPr>
      <w:r w:rsidRPr="00A13587">
        <w:rPr>
          <w:rFonts w:ascii="Arial" w:hAnsi="Arial" w:cs="Arial"/>
        </w:rPr>
        <w:t xml:space="preserve">International Energy Agency (IEA) (2024) </w:t>
      </w:r>
      <w:r w:rsidRPr="00A13587">
        <w:rPr>
          <w:rFonts w:ascii="Arial" w:hAnsi="Arial" w:cs="Arial"/>
          <w:i/>
          <w:iCs/>
        </w:rPr>
        <w:t>Global EV Outlook 2024</w:t>
      </w:r>
      <w:r w:rsidRPr="00A13587">
        <w:rPr>
          <w:rFonts w:ascii="Arial" w:hAnsi="Arial" w:cs="Arial"/>
        </w:rPr>
        <w:t xml:space="preserve">. Available at: </w:t>
      </w:r>
      <w:hyperlink r:id="rId20" w:tgtFrame="_blank" w:history="1">
        <w:r w:rsidRPr="00A13587">
          <w:rPr>
            <w:rStyle w:val="Hyperlink"/>
            <w:rFonts w:ascii="Arial" w:hAnsi="Arial" w:cs="Arial"/>
          </w:rPr>
          <w:t>https://www.iea.org/reports/global-ev-outlook-2024</w:t>
        </w:r>
      </w:hyperlink>
      <w:r w:rsidRPr="00A13587">
        <w:rPr>
          <w:rFonts w:ascii="Arial" w:hAnsi="Arial" w:cs="Arial"/>
        </w:rPr>
        <w:t xml:space="preserve"> (Accessed: 10 March 2026).</w:t>
      </w:r>
    </w:p>
    <w:p w14:paraId="127D3ED4" w14:textId="77777777" w:rsidR="00A13587" w:rsidRPr="00A13587" w:rsidRDefault="00A13587" w:rsidP="00A13587">
      <w:pPr>
        <w:numPr>
          <w:ilvl w:val="0"/>
          <w:numId w:val="5"/>
        </w:numPr>
        <w:spacing w:line="360" w:lineRule="auto"/>
        <w:rPr>
          <w:rFonts w:ascii="Arial" w:hAnsi="Arial" w:cs="Arial"/>
        </w:rPr>
      </w:pPr>
      <w:r w:rsidRPr="00A13587">
        <w:rPr>
          <w:rFonts w:ascii="Arial" w:hAnsi="Arial" w:cs="Arial"/>
        </w:rPr>
        <w:lastRenderedPageBreak/>
        <w:t xml:space="preserve">KPMG (2024) </w:t>
      </w:r>
      <w:r w:rsidRPr="00A13587">
        <w:rPr>
          <w:rFonts w:ascii="Arial" w:hAnsi="Arial" w:cs="Arial"/>
          <w:i/>
          <w:iCs/>
        </w:rPr>
        <w:t>India Automotive Study 2024</w:t>
      </w:r>
      <w:r w:rsidRPr="00A13587">
        <w:rPr>
          <w:rFonts w:ascii="Arial" w:hAnsi="Arial" w:cs="Arial"/>
        </w:rPr>
        <w:t xml:space="preserve">. Available at: </w:t>
      </w:r>
      <w:hyperlink r:id="rId21" w:tgtFrame="_blank" w:history="1">
        <w:r w:rsidRPr="00A13587">
          <w:rPr>
            <w:rStyle w:val="Hyperlink"/>
            <w:rFonts w:ascii="Arial" w:hAnsi="Arial" w:cs="Arial"/>
          </w:rPr>
          <w:t>https://kpmg.com/in/en/home.html</w:t>
        </w:r>
      </w:hyperlink>
      <w:r w:rsidRPr="00A13587">
        <w:rPr>
          <w:rFonts w:ascii="Arial" w:hAnsi="Arial" w:cs="Arial"/>
        </w:rPr>
        <w:t xml:space="preserve"> (Accessed: 10 March 2026).</w:t>
      </w:r>
    </w:p>
    <w:p w14:paraId="69E010B2" w14:textId="77777777" w:rsidR="00A13587" w:rsidRPr="00A13587" w:rsidRDefault="00A13587" w:rsidP="00A13587">
      <w:pPr>
        <w:numPr>
          <w:ilvl w:val="0"/>
          <w:numId w:val="5"/>
        </w:numPr>
        <w:spacing w:line="360" w:lineRule="auto"/>
        <w:rPr>
          <w:rFonts w:ascii="Arial" w:hAnsi="Arial" w:cs="Arial"/>
        </w:rPr>
      </w:pPr>
      <w:r w:rsidRPr="00A13587">
        <w:rPr>
          <w:rFonts w:ascii="Arial" w:hAnsi="Arial" w:cs="Arial"/>
        </w:rPr>
        <w:t xml:space="preserve">Maruti Suzuki India Limited (2024) </w:t>
      </w:r>
      <w:r w:rsidRPr="00A13587">
        <w:rPr>
          <w:rFonts w:ascii="Arial" w:hAnsi="Arial" w:cs="Arial"/>
          <w:i/>
          <w:iCs/>
        </w:rPr>
        <w:t>Annual Report 2023–24</w:t>
      </w:r>
      <w:r w:rsidRPr="00A13587">
        <w:rPr>
          <w:rFonts w:ascii="Arial" w:hAnsi="Arial" w:cs="Arial"/>
        </w:rPr>
        <w:t xml:space="preserve">. Available at: </w:t>
      </w:r>
      <w:hyperlink r:id="rId22" w:tgtFrame="_blank" w:history="1">
        <w:r w:rsidRPr="00A13587">
          <w:rPr>
            <w:rStyle w:val="Hyperlink"/>
            <w:rFonts w:ascii="Arial" w:hAnsi="Arial" w:cs="Arial"/>
          </w:rPr>
          <w:t>https://www.marutisuzuki.com/corporate/investors/annual-reports</w:t>
        </w:r>
      </w:hyperlink>
      <w:r w:rsidRPr="00A13587">
        <w:rPr>
          <w:rFonts w:ascii="Arial" w:hAnsi="Arial" w:cs="Arial"/>
        </w:rPr>
        <w:t xml:space="preserve"> (Accessed: 10 March 2026).</w:t>
      </w:r>
    </w:p>
    <w:p w14:paraId="53ED7A05" w14:textId="77777777" w:rsidR="00A13587" w:rsidRPr="00A13587" w:rsidRDefault="00A13587" w:rsidP="00A13587">
      <w:pPr>
        <w:numPr>
          <w:ilvl w:val="0"/>
          <w:numId w:val="5"/>
        </w:numPr>
        <w:spacing w:line="360" w:lineRule="auto"/>
        <w:rPr>
          <w:rFonts w:ascii="Arial" w:hAnsi="Arial" w:cs="Arial"/>
        </w:rPr>
      </w:pPr>
      <w:r w:rsidRPr="00A13587">
        <w:rPr>
          <w:rFonts w:ascii="Arial" w:hAnsi="Arial" w:cs="Arial"/>
        </w:rPr>
        <w:t xml:space="preserve">Maruti Suzuki India Limited (2025) </w:t>
      </w:r>
      <w:r w:rsidRPr="00A13587">
        <w:rPr>
          <w:rFonts w:ascii="Arial" w:hAnsi="Arial" w:cs="Arial"/>
          <w:i/>
          <w:iCs/>
        </w:rPr>
        <w:t>Annual Report 2024–25</w:t>
      </w:r>
      <w:r w:rsidRPr="00A13587">
        <w:rPr>
          <w:rFonts w:ascii="Arial" w:hAnsi="Arial" w:cs="Arial"/>
        </w:rPr>
        <w:t>. New Delhi: Maruti Suzuki.</w:t>
      </w:r>
    </w:p>
    <w:p w14:paraId="586EE73C" w14:textId="77777777" w:rsidR="00A13587" w:rsidRPr="00A13587" w:rsidRDefault="00A13587" w:rsidP="00A13587">
      <w:pPr>
        <w:numPr>
          <w:ilvl w:val="0"/>
          <w:numId w:val="5"/>
        </w:numPr>
        <w:spacing w:line="360" w:lineRule="auto"/>
        <w:rPr>
          <w:rFonts w:ascii="Arial" w:hAnsi="Arial" w:cs="Arial"/>
        </w:rPr>
      </w:pPr>
      <w:r w:rsidRPr="00A13587">
        <w:rPr>
          <w:rFonts w:ascii="Arial" w:hAnsi="Arial" w:cs="Arial"/>
        </w:rPr>
        <w:t xml:space="preserve">Ministry of Heavy Industries, Government of India (2023) </w:t>
      </w:r>
      <w:r w:rsidRPr="00A13587">
        <w:rPr>
          <w:rFonts w:ascii="Arial" w:hAnsi="Arial" w:cs="Arial"/>
          <w:i/>
          <w:iCs/>
        </w:rPr>
        <w:t>FAME India Scheme – Phase II</w:t>
      </w:r>
      <w:r w:rsidRPr="00A13587">
        <w:rPr>
          <w:rFonts w:ascii="Arial" w:hAnsi="Arial" w:cs="Arial"/>
        </w:rPr>
        <w:t xml:space="preserve">. Available at: </w:t>
      </w:r>
      <w:hyperlink r:id="rId23" w:tgtFrame="_blank" w:history="1">
        <w:r w:rsidRPr="00A13587">
          <w:rPr>
            <w:rStyle w:val="Hyperlink"/>
            <w:rFonts w:ascii="Arial" w:hAnsi="Arial" w:cs="Arial"/>
          </w:rPr>
          <w:t>https://heavyindustries.gov.in/en/fame-india-scheme</w:t>
        </w:r>
      </w:hyperlink>
      <w:r w:rsidRPr="00A13587">
        <w:rPr>
          <w:rFonts w:ascii="Arial" w:hAnsi="Arial" w:cs="Arial"/>
        </w:rPr>
        <w:t xml:space="preserve"> (Accessed: 10 March 2026).</w:t>
      </w:r>
    </w:p>
    <w:p w14:paraId="31A9C556" w14:textId="77777777" w:rsidR="00A13587" w:rsidRPr="00A13587" w:rsidRDefault="00A13587" w:rsidP="00A13587">
      <w:pPr>
        <w:numPr>
          <w:ilvl w:val="0"/>
          <w:numId w:val="5"/>
        </w:numPr>
        <w:spacing w:line="360" w:lineRule="auto"/>
        <w:rPr>
          <w:rFonts w:ascii="Arial" w:hAnsi="Arial" w:cs="Arial"/>
        </w:rPr>
      </w:pPr>
      <w:r w:rsidRPr="00A13587">
        <w:rPr>
          <w:rFonts w:ascii="Arial" w:hAnsi="Arial" w:cs="Arial"/>
        </w:rPr>
        <w:t xml:space="preserve">Ministry of Heavy Industries, Government of India (2024) </w:t>
      </w:r>
      <w:r w:rsidRPr="00A13587">
        <w:rPr>
          <w:rFonts w:ascii="Arial" w:hAnsi="Arial" w:cs="Arial"/>
          <w:i/>
          <w:iCs/>
        </w:rPr>
        <w:t>PM E-DRIVE Scheme Guidelines</w:t>
      </w:r>
      <w:r w:rsidRPr="00A13587">
        <w:rPr>
          <w:rFonts w:ascii="Arial" w:hAnsi="Arial" w:cs="Arial"/>
        </w:rPr>
        <w:t>. New Delhi: Government of India.</w:t>
      </w:r>
    </w:p>
    <w:p w14:paraId="5904343B" w14:textId="77777777" w:rsidR="00A13587" w:rsidRPr="00A13587" w:rsidRDefault="00A13587" w:rsidP="00A13587">
      <w:pPr>
        <w:numPr>
          <w:ilvl w:val="0"/>
          <w:numId w:val="5"/>
        </w:numPr>
        <w:spacing w:line="360" w:lineRule="auto"/>
        <w:rPr>
          <w:rFonts w:ascii="Arial" w:hAnsi="Arial" w:cs="Arial"/>
        </w:rPr>
      </w:pPr>
      <w:r w:rsidRPr="00A13587">
        <w:rPr>
          <w:rFonts w:ascii="Arial" w:hAnsi="Arial" w:cs="Arial"/>
        </w:rPr>
        <w:t xml:space="preserve">Ministry of Road Transport and Highways (2024) </w:t>
      </w:r>
      <w:r w:rsidRPr="00A13587">
        <w:rPr>
          <w:rFonts w:ascii="Arial" w:hAnsi="Arial" w:cs="Arial"/>
          <w:i/>
          <w:iCs/>
        </w:rPr>
        <w:t>Vehicle Registration Data 2024</w:t>
      </w:r>
      <w:r w:rsidRPr="00A13587">
        <w:rPr>
          <w:rFonts w:ascii="Arial" w:hAnsi="Arial" w:cs="Arial"/>
        </w:rPr>
        <w:t xml:space="preserve">. Available at: </w:t>
      </w:r>
      <w:hyperlink r:id="rId24" w:tgtFrame="_blank" w:history="1">
        <w:r w:rsidRPr="00A13587">
          <w:rPr>
            <w:rStyle w:val="Hyperlink"/>
            <w:rFonts w:ascii="Arial" w:hAnsi="Arial" w:cs="Arial"/>
          </w:rPr>
          <w:t>https://morth.nic.in</w:t>
        </w:r>
      </w:hyperlink>
      <w:r w:rsidRPr="00A13587">
        <w:rPr>
          <w:rFonts w:ascii="Arial" w:hAnsi="Arial" w:cs="Arial"/>
        </w:rPr>
        <w:t xml:space="preserve"> (Accessed: 10 March 2026).</w:t>
      </w:r>
    </w:p>
    <w:p w14:paraId="115499EC" w14:textId="77777777" w:rsidR="00A13587" w:rsidRPr="00A13587" w:rsidRDefault="00A13587" w:rsidP="00A13587">
      <w:pPr>
        <w:numPr>
          <w:ilvl w:val="0"/>
          <w:numId w:val="5"/>
        </w:numPr>
        <w:spacing w:line="360" w:lineRule="auto"/>
        <w:rPr>
          <w:rFonts w:ascii="Arial" w:hAnsi="Arial" w:cs="Arial"/>
        </w:rPr>
      </w:pPr>
      <w:r w:rsidRPr="00A13587">
        <w:rPr>
          <w:rFonts w:ascii="Arial" w:hAnsi="Arial" w:cs="Arial"/>
        </w:rPr>
        <w:t xml:space="preserve">North, D.C. (1990) </w:t>
      </w:r>
      <w:r w:rsidRPr="00A13587">
        <w:rPr>
          <w:rFonts w:ascii="Arial" w:hAnsi="Arial" w:cs="Arial"/>
          <w:i/>
          <w:iCs/>
        </w:rPr>
        <w:t>Institutions, Institutional Change and Economic Performance</w:t>
      </w:r>
      <w:r w:rsidRPr="00A13587">
        <w:rPr>
          <w:rFonts w:ascii="Arial" w:hAnsi="Arial" w:cs="Arial"/>
        </w:rPr>
        <w:t>. Cambridge: Cambridge University Press.</w:t>
      </w:r>
    </w:p>
    <w:p w14:paraId="75A1A815" w14:textId="77777777" w:rsidR="00A13587" w:rsidRPr="00A13587" w:rsidRDefault="00A13587" w:rsidP="00A13587">
      <w:pPr>
        <w:numPr>
          <w:ilvl w:val="0"/>
          <w:numId w:val="5"/>
        </w:numPr>
        <w:spacing w:line="360" w:lineRule="auto"/>
        <w:rPr>
          <w:rFonts w:ascii="Arial" w:hAnsi="Arial" w:cs="Arial"/>
        </w:rPr>
      </w:pPr>
      <w:r w:rsidRPr="00A13587">
        <w:rPr>
          <w:rFonts w:ascii="Arial" w:hAnsi="Arial" w:cs="Arial"/>
        </w:rPr>
        <w:t xml:space="preserve">Porter, M.E. (1990) </w:t>
      </w:r>
      <w:r w:rsidRPr="00A13587">
        <w:rPr>
          <w:rFonts w:ascii="Arial" w:hAnsi="Arial" w:cs="Arial"/>
          <w:i/>
          <w:iCs/>
        </w:rPr>
        <w:t>The Competitive Advantage of Nations</w:t>
      </w:r>
      <w:r w:rsidRPr="00A13587">
        <w:rPr>
          <w:rFonts w:ascii="Arial" w:hAnsi="Arial" w:cs="Arial"/>
        </w:rPr>
        <w:t>. New York: Free Press.</w:t>
      </w:r>
    </w:p>
    <w:p w14:paraId="55BA140E" w14:textId="77777777" w:rsidR="00A13587" w:rsidRPr="00A13587" w:rsidRDefault="00A13587" w:rsidP="00A13587">
      <w:pPr>
        <w:numPr>
          <w:ilvl w:val="0"/>
          <w:numId w:val="5"/>
        </w:numPr>
        <w:spacing w:line="360" w:lineRule="auto"/>
        <w:rPr>
          <w:rFonts w:ascii="Arial" w:hAnsi="Arial" w:cs="Arial"/>
        </w:rPr>
      </w:pPr>
      <w:r w:rsidRPr="00A13587">
        <w:rPr>
          <w:rFonts w:ascii="Arial" w:hAnsi="Arial" w:cs="Arial"/>
        </w:rPr>
        <w:t xml:space="preserve">PwC (2024) </w:t>
      </w:r>
      <w:r w:rsidRPr="00A13587">
        <w:rPr>
          <w:rFonts w:ascii="Arial" w:hAnsi="Arial" w:cs="Arial"/>
          <w:i/>
          <w:iCs/>
        </w:rPr>
        <w:t>Future of Mobility in India 2024</w:t>
      </w:r>
      <w:r w:rsidRPr="00A13587">
        <w:rPr>
          <w:rFonts w:ascii="Arial" w:hAnsi="Arial" w:cs="Arial"/>
        </w:rPr>
        <w:t xml:space="preserve">. Available at: </w:t>
      </w:r>
      <w:hyperlink r:id="rId25" w:tgtFrame="_blank" w:history="1">
        <w:r w:rsidRPr="00A13587">
          <w:rPr>
            <w:rStyle w:val="Hyperlink"/>
            <w:rFonts w:ascii="Arial" w:hAnsi="Arial" w:cs="Arial"/>
          </w:rPr>
          <w:t>https://www.pwc.in</w:t>
        </w:r>
      </w:hyperlink>
      <w:r w:rsidRPr="00A13587">
        <w:rPr>
          <w:rFonts w:ascii="Arial" w:hAnsi="Arial" w:cs="Arial"/>
        </w:rPr>
        <w:t xml:space="preserve"> (Accessed: 10 March 2026).</w:t>
      </w:r>
    </w:p>
    <w:p w14:paraId="5EA0429D" w14:textId="77777777" w:rsidR="00A13587" w:rsidRPr="00A13587" w:rsidRDefault="00A13587" w:rsidP="00A13587">
      <w:pPr>
        <w:numPr>
          <w:ilvl w:val="0"/>
          <w:numId w:val="5"/>
        </w:numPr>
        <w:spacing w:line="360" w:lineRule="auto"/>
        <w:rPr>
          <w:rFonts w:ascii="Arial" w:hAnsi="Arial" w:cs="Arial"/>
        </w:rPr>
      </w:pPr>
      <w:r w:rsidRPr="00A13587">
        <w:rPr>
          <w:rFonts w:ascii="Arial" w:hAnsi="Arial" w:cs="Arial"/>
        </w:rPr>
        <w:t xml:space="preserve">Reuters (2024) ‘Maruti Suzuki’s market strategy and EV plans’, 15 October. Available at: </w:t>
      </w:r>
      <w:hyperlink r:id="rId26" w:tgtFrame="_blank" w:history="1">
        <w:r w:rsidRPr="00A13587">
          <w:rPr>
            <w:rStyle w:val="Hyperlink"/>
            <w:rFonts w:ascii="Arial" w:hAnsi="Arial" w:cs="Arial"/>
          </w:rPr>
          <w:t>https://www.reuters.com</w:t>
        </w:r>
      </w:hyperlink>
      <w:r w:rsidRPr="00A13587">
        <w:rPr>
          <w:rFonts w:ascii="Arial" w:hAnsi="Arial" w:cs="Arial"/>
        </w:rPr>
        <w:t xml:space="preserve"> (Accessed: 10 March 2026).</w:t>
      </w:r>
    </w:p>
    <w:p w14:paraId="45285F98" w14:textId="77777777" w:rsidR="00A13587" w:rsidRPr="00A13587" w:rsidRDefault="00A13587" w:rsidP="00A13587">
      <w:pPr>
        <w:numPr>
          <w:ilvl w:val="0"/>
          <w:numId w:val="5"/>
        </w:numPr>
        <w:spacing w:line="360" w:lineRule="auto"/>
        <w:rPr>
          <w:rFonts w:ascii="Arial" w:hAnsi="Arial" w:cs="Arial"/>
        </w:rPr>
      </w:pPr>
      <w:r w:rsidRPr="00A13587">
        <w:rPr>
          <w:rFonts w:ascii="Arial" w:hAnsi="Arial" w:cs="Arial"/>
        </w:rPr>
        <w:t xml:space="preserve">SIAM (2024) </w:t>
      </w:r>
      <w:r w:rsidRPr="00A13587">
        <w:rPr>
          <w:rFonts w:ascii="Arial" w:hAnsi="Arial" w:cs="Arial"/>
          <w:i/>
          <w:iCs/>
        </w:rPr>
        <w:t>Industry Statistics 2024</w:t>
      </w:r>
      <w:r w:rsidRPr="00A13587">
        <w:rPr>
          <w:rFonts w:ascii="Arial" w:hAnsi="Arial" w:cs="Arial"/>
        </w:rPr>
        <w:t xml:space="preserve">. Available at: </w:t>
      </w:r>
      <w:hyperlink r:id="rId27" w:tgtFrame="_blank" w:history="1">
        <w:r w:rsidRPr="00A13587">
          <w:rPr>
            <w:rStyle w:val="Hyperlink"/>
            <w:rFonts w:ascii="Arial" w:hAnsi="Arial" w:cs="Arial"/>
          </w:rPr>
          <w:t>https://www.siam.in/statistics.aspx</w:t>
        </w:r>
      </w:hyperlink>
      <w:r w:rsidRPr="00A13587">
        <w:rPr>
          <w:rFonts w:ascii="Arial" w:hAnsi="Arial" w:cs="Arial"/>
        </w:rPr>
        <w:t xml:space="preserve"> (Accessed: 10 March 2026).</w:t>
      </w:r>
    </w:p>
    <w:p w14:paraId="38E82CE6" w14:textId="77777777" w:rsidR="00A13587" w:rsidRPr="00A13587" w:rsidRDefault="00A13587" w:rsidP="00A13587">
      <w:pPr>
        <w:numPr>
          <w:ilvl w:val="0"/>
          <w:numId w:val="5"/>
        </w:numPr>
        <w:spacing w:line="360" w:lineRule="auto"/>
        <w:rPr>
          <w:rFonts w:ascii="Arial" w:hAnsi="Arial" w:cs="Arial"/>
        </w:rPr>
      </w:pPr>
      <w:r w:rsidRPr="00A13587">
        <w:rPr>
          <w:rFonts w:ascii="Arial" w:hAnsi="Arial" w:cs="Arial"/>
        </w:rPr>
        <w:t xml:space="preserve">SIAM (2025) </w:t>
      </w:r>
      <w:r w:rsidRPr="00A13587">
        <w:rPr>
          <w:rFonts w:ascii="Arial" w:hAnsi="Arial" w:cs="Arial"/>
          <w:i/>
          <w:iCs/>
        </w:rPr>
        <w:t>SIAM Annual Report 2024–25</w:t>
      </w:r>
      <w:r w:rsidRPr="00A13587">
        <w:rPr>
          <w:rFonts w:ascii="Arial" w:hAnsi="Arial" w:cs="Arial"/>
        </w:rPr>
        <w:t>. New Delhi: Society of Indian Automobile Manufacturers.</w:t>
      </w:r>
    </w:p>
    <w:p w14:paraId="3E0F55DC" w14:textId="77777777" w:rsidR="00A13587" w:rsidRPr="00A13587" w:rsidRDefault="00A13587" w:rsidP="00A13587">
      <w:pPr>
        <w:numPr>
          <w:ilvl w:val="0"/>
          <w:numId w:val="5"/>
        </w:numPr>
        <w:spacing w:line="360" w:lineRule="auto"/>
        <w:rPr>
          <w:rFonts w:ascii="Arial" w:hAnsi="Arial" w:cs="Arial"/>
        </w:rPr>
      </w:pPr>
      <w:r w:rsidRPr="00A13587">
        <w:rPr>
          <w:rFonts w:ascii="Arial" w:hAnsi="Arial" w:cs="Arial"/>
        </w:rPr>
        <w:t xml:space="preserve">S&amp;P Global Mobility (2025) ‘India’s EV market: Trends and future prospects’, 5 March. Available at: </w:t>
      </w:r>
      <w:hyperlink r:id="rId28" w:tgtFrame="_blank" w:history="1">
        <w:r w:rsidRPr="00A13587">
          <w:rPr>
            <w:rStyle w:val="Hyperlink"/>
            <w:rFonts w:ascii="Arial" w:hAnsi="Arial" w:cs="Arial"/>
          </w:rPr>
          <w:t>https://www.spglobal.com/automotive-</w:t>
        </w:r>
        <w:r w:rsidRPr="00A13587">
          <w:rPr>
            <w:rStyle w:val="Hyperlink"/>
            <w:rFonts w:ascii="Arial" w:hAnsi="Arial" w:cs="Arial"/>
          </w:rPr>
          <w:lastRenderedPageBreak/>
          <w:t>insights/en/blogs/2025/03/india-ev-market-trends-future</w:t>
        </w:r>
      </w:hyperlink>
      <w:r w:rsidRPr="00A13587">
        <w:rPr>
          <w:rFonts w:ascii="Arial" w:hAnsi="Arial" w:cs="Arial"/>
        </w:rPr>
        <w:t xml:space="preserve"> (Accessed: 12 March 2026).</w:t>
      </w:r>
    </w:p>
    <w:p w14:paraId="6D5DBEBF" w14:textId="77777777" w:rsidR="00A13587" w:rsidRPr="00A13587" w:rsidRDefault="00A13587" w:rsidP="00A13587">
      <w:pPr>
        <w:numPr>
          <w:ilvl w:val="0"/>
          <w:numId w:val="5"/>
        </w:numPr>
        <w:spacing w:line="360" w:lineRule="auto"/>
        <w:rPr>
          <w:rFonts w:ascii="Arial" w:hAnsi="Arial" w:cs="Arial"/>
        </w:rPr>
      </w:pPr>
      <w:r w:rsidRPr="00A13587">
        <w:rPr>
          <w:rFonts w:ascii="Arial" w:hAnsi="Arial" w:cs="Arial"/>
        </w:rPr>
        <w:t xml:space="preserve">Suzuki Motor Corporation (2024) </w:t>
      </w:r>
      <w:r w:rsidRPr="00A13587">
        <w:rPr>
          <w:rFonts w:ascii="Arial" w:hAnsi="Arial" w:cs="Arial"/>
          <w:i/>
          <w:iCs/>
        </w:rPr>
        <w:t>Annual Report 2024</w:t>
      </w:r>
      <w:r w:rsidRPr="00A13587">
        <w:rPr>
          <w:rFonts w:ascii="Arial" w:hAnsi="Arial" w:cs="Arial"/>
        </w:rPr>
        <w:t xml:space="preserve">. Available at: </w:t>
      </w:r>
      <w:hyperlink r:id="rId29" w:tgtFrame="_blank" w:history="1">
        <w:r w:rsidRPr="00A13587">
          <w:rPr>
            <w:rStyle w:val="Hyperlink"/>
            <w:rFonts w:ascii="Arial" w:hAnsi="Arial" w:cs="Arial"/>
          </w:rPr>
          <w:t>https://www.globalsuzuki.com/corporate/finance/annualreport</w:t>
        </w:r>
      </w:hyperlink>
      <w:r w:rsidRPr="00A13587">
        <w:rPr>
          <w:rFonts w:ascii="Arial" w:hAnsi="Arial" w:cs="Arial"/>
        </w:rPr>
        <w:t xml:space="preserve"> (Accessed: 10 March 2026).</w:t>
      </w:r>
    </w:p>
    <w:p w14:paraId="406B9FD2" w14:textId="77777777" w:rsidR="00A13587" w:rsidRPr="00A13587" w:rsidRDefault="00A13587" w:rsidP="00A13587">
      <w:pPr>
        <w:numPr>
          <w:ilvl w:val="0"/>
          <w:numId w:val="5"/>
        </w:numPr>
        <w:spacing w:line="360" w:lineRule="auto"/>
        <w:rPr>
          <w:rFonts w:ascii="Arial" w:hAnsi="Arial" w:cs="Arial"/>
        </w:rPr>
      </w:pPr>
      <w:r w:rsidRPr="00A13587">
        <w:rPr>
          <w:rFonts w:ascii="Arial" w:hAnsi="Arial" w:cs="Arial"/>
        </w:rPr>
        <w:t xml:space="preserve">Tata Motors (2024) </w:t>
      </w:r>
      <w:r w:rsidRPr="00A13587">
        <w:rPr>
          <w:rFonts w:ascii="Arial" w:hAnsi="Arial" w:cs="Arial"/>
          <w:i/>
          <w:iCs/>
        </w:rPr>
        <w:t>Annual Report 2023–24</w:t>
      </w:r>
      <w:r w:rsidRPr="00A13587">
        <w:rPr>
          <w:rFonts w:ascii="Arial" w:hAnsi="Arial" w:cs="Arial"/>
        </w:rPr>
        <w:t xml:space="preserve">. Available at: </w:t>
      </w:r>
      <w:hyperlink r:id="rId30" w:tgtFrame="_blank" w:history="1">
        <w:r w:rsidRPr="00A13587">
          <w:rPr>
            <w:rStyle w:val="Hyperlink"/>
            <w:rFonts w:ascii="Arial" w:hAnsi="Arial" w:cs="Arial"/>
          </w:rPr>
          <w:t>https://www.tatamotors.com</w:t>
        </w:r>
      </w:hyperlink>
      <w:r w:rsidRPr="00A13587">
        <w:rPr>
          <w:rFonts w:ascii="Arial" w:hAnsi="Arial" w:cs="Arial"/>
        </w:rPr>
        <w:t xml:space="preserve"> (Accessed: 10 March 2026).</w:t>
      </w:r>
    </w:p>
    <w:p w14:paraId="7BDF0DA2" w14:textId="77777777" w:rsidR="00A13587" w:rsidRPr="00A13587" w:rsidRDefault="00A13587" w:rsidP="00A13587">
      <w:pPr>
        <w:numPr>
          <w:ilvl w:val="0"/>
          <w:numId w:val="5"/>
        </w:numPr>
        <w:spacing w:line="360" w:lineRule="auto"/>
        <w:rPr>
          <w:rFonts w:ascii="Arial" w:hAnsi="Arial" w:cs="Arial"/>
        </w:rPr>
      </w:pPr>
      <w:r w:rsidRPr="00A13587">
        <w:rPr>
          <w:rFonts w:ascii="Arial" w:hAnsi="Arial" w:cs="Arial"/>
        </w:rPr>
        <w:t xml:space="preserve">Toyota Motor Corporation (2024) </w:t>
      </w:r>
      <w:r w:rsidRPr="00A13587">
        <w:rPr>
          <w:rFonts w:ascii="Arial" w:hAnsi="Arial" w:cs="Arial"/>
          <w:i/>
          <w:iCs/>
        </w:rPr>
        <w:t>Toyota–Suzuki Collaboration Overview</w:t>
      </w:r>
      <w:r w:rsidRPr="00A13587">
        <w:rPr>
          <w:rFonts w:ascii="Arial" w:hAnsi="Arial" w:cs="Arial"/>
        </w:rPr>
        <w:t xml:space="preserve">. Available at: </w:t>
      </w:r>
      <w:hyperlink r:id="rId31" w:tgtFrame="_blank" w:history="1">
        <w:r w:rsidRPr="00A13587">
          <w:rPr>
            <w:rStyle w:val="Hyperlink"/>
            <w:rFonts w:ascii="Arial" w:hAnsi="Arial" w:cs="Arial"/>
          </w:rPr>
          <w:t>https://global.toyota/en/newsroom</w:t>
        </w:r>
      </w:hyperlink>
      <w:r w:rsidRPr="00A13587">
        <w:rPr>
          <w:rFonts w:ascii="Arial" w:hAnsi="Arial" w:cs="Arial"/>
        </w:rPr>
        <w:t xml:space="preserve"> (Accessed: 10 March 2026).</w:t>
      </w:r>
    </w:p>
    <w:p w14:paraId="371AF198" w14:textId="77777777" w:rsidR="00A13587" w:rsidRPr="00A13587" w:rsidRDefault="00A13587" w:rsidP="00A13587">
      <w:pPr>
        <w:numPr>
          <w:ilvl w:val="0"/>
          <w:numId w:val="5"/>
        </w:numPr>
        <w:spacing w:line="360" w:lineRule="auto"/>
        <w:rPr>
          <w:rFonts w:ascii="Arial" w:hAnsi="Arial" w:cs="Arial"/>
        </w:rPr>
      </w:pPr>
      <w:r w:rsidRPr="00A13587">
        <w:rPr>
          <w:rFonts w:ascii="Arial" w:hAnsi="Arial" w:cs="Arial"/>
        </w:rPr>
        <w:t xml:space="preserve">World Bank (2024) </w:t>
      </w:r>
      <w:r w:rsidRPr="00A13587">
        <w:rPr>
          <w:rFonts w:ascii="Arial" w:hAnsi="Arial" w:cs="Arial"/>
          <w:i/>
          <w:iCs/>
        </w:rPr>
        <w:t>India Development Update 2024</w:t>
      </w:r>
      <w:r w:rsidRPr="00A13587">
        <w:rPr>
          <w:rFonts w:ascii="Arial" w:hAnsi="Arial" w:cs="Arial"/>
        </w:rPr>
        <w:t xml:space="preserve">. Available at: </w:t>
      </w:r>
      <w:hyperlink r:id="rId32" w:tgtFrame="_blank" w:history="1">
        <w:r w:rsidRPr="00A13587">
          <w:rPr>
            <w:rStyle w:val="Hyperlink"/>
            <w:rFonts w:ascii="Arial" w:hAnsi="Arial" w:cs="Arial"/>
          </w:rPr>
          <w:t>https://www.worldbank.org/en/country/india</w:t>
        </w:r>
      </w:hyperlink>
      <w:r w:rsidRPr="00A13587">
        <w:rPr>
          <w:rFonts w:ascii="Arial" w:hAnsi="Arial" w:cs="Arial"/>
        </w:rPr>
        <w:t xml:space="preserve"> (Accessed: 10 March 2026).</w:t>
      </w:r>
    </w:p>
    <w:p w14:paraId="42D2535F" w14:textId="77777777" w:rsidR="00A13587" w:rsidRDefault="00A13587" w:rsidP="00A13587">
      <w:pPr>
        <w:numPr>
          <w:ilvl w:val="0"/>
          <w:numId w:val="5"/>
        </w:numPr>
        <w:spacing w:line="360" w:lineRule="auto"/>
        <w:rPr>
          <w:rFonts w:ascii="Arial" w:hAnsi="Arial" w:cs="Arial"/>
        </w:rPr>
      </w:pPr>
      <w:r w:rsidRPr="00A13587">
        <w:rPr>
          <w:rFonts w:ascii="Arial" w:hAnsi="Arial" w:cs="Arial"/>
        </w:rPr>
        <w:t>Additional recent sources for EV transition:</w:t>
      </w:r>
    </w:p>
    <w:p w14:paraId="23FE7E9D" w14:textId="77777777" w:rsidR="00A13587" w:rsidRDefault="00A13587" w:rsidP="00A13587">
      <w:pPr>
        <w:numPr>
          <w:ilvl w:val="0"/>
          <w:numId w:val="5"/>
        </w:numPr>
        <w:spacing w:line="360" w:lineRule="auto"/>
        <w:rPr>
          <w:rFonts w:ascii="Arial" w:hAnsi="Arial" w:cs="Arial"/>
        </w:rPr>
      </w:pPr>
      <w:r w:rsidRPr="00A13587">
        <w:rPr>
          <w:rFonts w:ascii="Arial" w:hAnsi="Arial" w:cs="Arial"/>
        </w:rPr>
        <w:t xml:space="preserve">Economic Times Energy (2025) ‘India’s EV market set for 40% surge by 2025’, 28 June. Available at: </w:t>
      </w:r>
      <w:hyperlink r:id="rId33" w:tgtFrame="_blank" w:history="1">
        <w:r w:rsidRPr="00A13587">
          <w:rPr>
            <w:rStyle w:val="Hyperlink"/>
            <w:rFonts w:ascii="Arial" w:hAnsi="Arial" w:cs="Arial"/>
          </w:rPr>
          <w:t>https://energy.economictimes.indiatimes.com</w:t>
        </w:r>
      </w:hyperlink>
      <w:r w:rsidRPr="00A13587">
        <w:rPr>
          <w:rFonts w:ascii="Arial" w:hAnsi="Arial" w:cs="Arial"/>
        </w:rPr>
        <w:t xml:space="preserve"> (Accessed: 15 March 2026).</w:t>
      </w:r>
    </w:p>
    <w:p w14:paraId="154D8886" w14:textId="19D53928" w:rsidR="00A13587" w:rsidRPr="00A13587" w:rsidRDefault="00A13587" w:rsidP="00A13587">
      <w:pPr>
        <w:numPr>
          <w:ilvl w:val="0"/>
          <w:numId w:val="5"/>
        </w:numPr>
        <w:spacing w:line="360" w:lineRule="auto"/>
        <w:rPr>
          <w:rFonts w:ascii="Arial" w:hAnsi="Arial" w:cs="Arial"/>
        </w:rPr>
      </w:pPr>
      <w:r w:rsidRPr="00A13587">
        <w:rPr>
          <w:rFonts w:ascii="Arial" w:hAnsi="Arial" w:cs="Arial"/>
        </w:rPr>
        <w:t xml:space="preserve">Forbes India (2025) ‘EV market is where auto industry was 4 decades ago: Maruti Suzuki’, 15 December. Available at: </w:t>
      </w:r>
      <w:hyperlink r:id="rId34" w:tgtFrame="_blank" w:history="1">
        <w:r w:rsidRPr="00A13587">
          <w:rPr>
            <w:rStyle w:val="Hyperlink"/>
            <w:rFonts w:ascii="Arial" w:hAnsi="Arial" w:cs="Arial"/>
          </w:rPr>
          <w:t>https://www.forbesindia.com</w:t>
        </w:r>
      </w:hyperlink>
      <w:r w:rsidRPr="00A13587">
        <w:rPr>
          <w:rFonts w:ascii="Arial" w:hAnsi="Arial" w:cs="Arial"/>
        </w:rPr>
        <w:t xml:space="preserve"> (Accessed: 15 March 2026).</w:t>
      </w:r>
    </w:p>
    <w:p w14:paraId="203BF52D" w14:textId="389B4CAD" w:rsidR="00DA0EC0" w:rsidRPr="00913D2B" w:rsidRDefault="00DA0EC0" w:rsidP="00892FA4">
      <w:pPr>
        <w:spacing w:line="360" w:lineRule="auto"/>
        <w:rPr>
          <w:rFonts w:ascii="Arial" w:hAnsi="Arial" w:cs="Arial"/>
        </w:rPr>
      </w:pPr>
    </w:p>
    <w:sectPr w:rsidR="00DA0EC0" w:rsidRPr="00913D2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772FB9" w14:textId="77777777" w:rsidR="00193A57" w:rsidRDefault="00193A57" w:rsidP="00D86525">
      <w:pPr>
        <w:spacing w:after="0" w:line="240" w:lineRule="auto"/>
      </w:pPr>
      <w:r>
        <w:separator/>
      </w:r>
    </w:p>
  </w:endnote>
  <w:endnote w:type="continuationSeparator" w:id="0">
    <w:p w14:paraId="70558984" w14:textId="77777777" w:rsidR="00193A57" w:rsidRDefault="00193A57" w:rsidP="00D865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CEB26E" w14:textId="77777777" w:rsidR="00193A57" w:rsidRDefault="00193A57" w:rsidP="00D86525">
      <w:pPr>
        <w:spacing w:after="0" w:line="240" w:lineRule="auto"/>
      </w:pPr>
      <w:r>
        <w:separator/>
      </w:r>
    </w:p>
  </w:footnote>
  <w:footnote w:type="continuationSeparator" w:id="0">
    <w:p w14:paraId="61A5ADD9" w14:textId="77777777" w:rsidR="00193A57" w:rsidRDefault="00193A57" w:rsidP="00D865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8412EE"/>
    <w:multiLevelType w:val="hybridMultilevel"/>
    <w:tmpl w:val="DDB4E1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368143D"/>
    <w:multiLevelType w:val="multilevel"/>
    <w:tmpl w:val="4BCE9B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9D37316"/>
    <w:multiLevelType w:val="hybridMultilevel"/>
    <w:tmpl w:val="A3B255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5317C4C"/>
    <w:multiLevelType w:val="hybridMultilevel"/>
    <w:tmpl w:val="BE2AFA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D40418F"/>
    <w:multiLevelType w:val="hybridMultilevel"/>
    <w:tmpl w:val="9B0A430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134904816">
    <w:abstractNumId w:val="3"/>
  </w:num>
  <w:num w:numId="2" w16cid:durableId="2100440061">
    <w:abstractNumId w:val="2"/>
  </w:num>
  <w:num w:numId="3" w16cid:durableId="1423140460">
    <w:abstractNumId w:val="0"/>
  </w:num>
  <w:num w:numId="4" w16cid:durableId="1737238680">
    <w:abstractNumId w:val="4"/>
  </w:num>
  <w:num w:numId="5" w16cid:durableId="19449170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D27"/>
    <w:rsid w:val="00017F3C"/>
    <w:rsid w:val="00036C59"/>
    <w:rsid w:val="00070B30"/>
    <w:rsid w:val="000862D7"/>
    <w:rsid w:val="000A106E"/>
    <w:rsid w:val="00105C27"/>
    <w:rsid w:val="001159AE"/>
    <w:rsid w:val="00116A15"/>
    <w:rsid w:val="00120769"/>
    <w:rsid w:val="00133454"/>
    <w:rsid w:val="00146427"/>
    <w:rsid w:val="001705F1"/>
    <w:rsid w:val="0017191B"/>
    <w:rsid w:val="0017526D"/>
    <w:rsid w:val="00176BE3"/>
    <w:rsid w:val="00193A57"/>
    <w:rsid w:val="00196DDA"/>
    <w:rsid w:val="001A0115"/>
    <w:rsid w:val="001A2C92"/>
    <w:rsid w:val="001D7131"/>
    <w:rsid w:val="001E2E59"/>
    <w:rsid w:val="001E3B9B"/>
    <w:rsid w:val="001F01BF"/>
    <w:rsid w:val="001F69CF"/>
    <w:rsid w:val="0020447F"/>
    <w:rsid w:val="00217C8C"/>
    <w:rsid w:val="00223C23"/>
    <w:rsid w:val="00243A11"/>
    <w:rsid w:val="00272A9F"/>
    <w:rsid w:val="0029753B"/>
    <w:rsid w:val="002A613D"/>
    <w:rsid w:val="002E3693"/>
    <w:rsid w:val="0031025B"/>
    <w:rsid w:val="00316DDC"/>
    <w:rsid w:val="00317CD1"/>
    <w:rsid w:val="00323FF6"/>
    <w:rsid w:val="0035263F"/>
    <w:rsid w:val="00353057"/>
    <w:rsid w:val="00356664"/>
    <w:rsid w:val="00365A86"/>
    <w:rsid w:val="00385BE1"/>
    <w:rsid w:val="0038674F"/>
    <w:rsid w:val="003B179F"/>
    <w:rsid w:val="003D4D27"/>
    <w:rsid w:val="003F3B0F"/>
    <w:rsid w:val="003F76F0"/>
    <w:rsid w:val="004116E7"/>
    <w:rsid w:val="00414931"/>
    <w:rsid w:val="00426F70"/>
    <w:rsid w:val="00454C1A"/>
    <w:rsid w:val="00457CE3"/>
    <w:rsid w:val="00470530"/>
    <w:rsid w:val="004747FF"/>
    <w:rsid w:val="00480E08"/>
    <w:rsid w:val="00495D35"/>
    <w:rsid w:val="004A1242"/>
    <w:rsid w:val="004A3DAA"/>
    <w:rsid w:val="004B6FAA"/>
    <w:rsid w:val="004B7246"/>
    <w:rsid w:val="004C3D33"/>
    <w:rsid w:val="0051278D"/>
    <w:rsid w:val="00514D0C"/>
    <w:rsid w:val="00523DD1"/>
    <w:rsid w:val="005654C9"/>
    <w:rsid w:val="005730B6"/>
    <w:rsid w:val="005922E2"/>
    <w:rsid w:val="005A4383"/>
    <w:rsid w:val="005D75A9"/>
    <w:rsid w:val="005F35A4"/>
    <w:rsid w:val="006122AC"/>
    <w:rsid w:val="0062238C"/>
    <w:rsid w:val="0062252B"/>
    <w:rsid w:val="006419BC"/>
    <w:rsid w:val="00651801"/>
    <w:rsid w:val="006673FD"/>
    <w:rsid w:val="00667C17"/>
    <w:rsid w:val="006814D1"/>
    <w:rsid w:val="006B22B7"/>
    <w:rsid w:val="006E70B0"/>
    <w:rsid w:val="006F022E"/>
    <w:rsid w:val="007104E8"/>
    <w:rsid w:val="00745CE4"/>
    <w:rsid w:val="00751929"/>
    <w:rsid w:val="007678D7"/>
    <w:rsid w:val="00791DA8"/>
    <w:rsid w:val="00797E69"/>
    <w:rsid w:val="007D5491"/>
    <w:rsid w:val="007E626F"/>
    <w:rsid w:val="00807B7C"/>
    <w:rsid w:val="00856C4C"/>
    <w:rsid w:val="00887A89"/>
    <w:rsid w:val="00892FA4"/>
    <w:rsid w:val="00893C33"/>
    <w:rsid w:val="008D7EA8"/>
    <w:rsid w:val="00913D2B"/>
    <w:rsid w:val="00917494"/>
    <w:rsid w:val="009244CA"/>
    <w:rsid w:val="009316CC"/>
    <w:rsid w:val="0096711B"/>
    <w:rsid w:val="0097356E"/>
    <w:rsid w:val="009F0D2B"/>
    <w:rsid w:val="009F2424"/>
    <w:rsid w:val="00A04454"/>
    <w:rsid w:val="00A13587"/>
    <w:rsid w:val="00A20EE1"/>
    <w:rsid w:val="00A26DBE"/>
    <w:rsid w:val="00A527AD"/>
    <w:rsid w:val="00A81C44"/>
    <w:rsid w:val="00A91877"/>
    <w:rsid w:val="00A956BA"/>
    <w:rsid w:val="00AB334A"/>
    <w:rsid w:val="00AC52A2"/>
    <w:rsid w:val="00AD27F0"/>
    <w:rsid w:val="00B23751"/>
    <w:rsid w:val="00B25C4A"/>
    <w:rsid w:val="00B356A0"/>
    <w:rsid w:val="00B50D5D"/>
    <w:rsid w:val="00B55D9C"/>
    <w:rsid w:val="00B66D9D"/>
    <w:rsid w:val="00B74FEE"/>
    <w:rsid w:val="00B76330"/>
    <w:rsid w:val="00B93E15"/>
    <w:rsid w:val="00B9630A"/>
    <w:rsid w:val="00BB7DDF"/>
    <w:rsid w:val="00BE2BDA"/>
    <w:rsid w:val="00C036E0"/>
    <w:rsid w:val="00C04D66"/>
    <w:rsid w:val="00C2549E"/>
    <w:rsid w:val="00C36EC1"/>
    <w:rsid w:val="00C46E58"/>
    <w:rsid w:val="00C5126F"/>
    <w:rsid w:val="00C608ED"/>
    <w:rsid w:val="00C66FE0"/>
    <w:rsid w:val="00C74ADE"/>
    <w:rsid w:val="00D22DE3"/>
    <w:rsid w:val="00D3262F"/>
    <w:rsid w:val="00D3626C"/>
    <w:rsid w:val="00D4237C"/>
    <w:rsid w:val="00D4276A"/>
    <w:rsid w:val="00D8024F"/>
    <w:rsid w:val="00D8337F"/>
    <w:rsid w:val="00D86525"/>
    <w:rsid w:val="00D93166"/>
    <w:rsid w:val="00D979AA"/>
    <w:rsid w:val="00DA0EC0"/>
    <w:rsid w:val="00DA7BB6"/>
    <w:rsid w:val="00DE2B63"/>
    <w:rsid w:val="00E24ACA"/>
    <w:rsid w:val="00E503C3"/>
    <w:rsid w:val="00E6128E"/>
    <w:rsid w:val="00E845DF"/>
    <w:rsid w:val="00EF5DC6"/>
    <w:rsid w:val="00F30EA9"/>
    <w:rsid w:val="00F3697B"/>
    <w:rsid w:val="00F523FC"/>
    <w:rsid w:val="00F656B3"/>
    <w:rsid w:val="00FA5520"/>
    <w:rsid w:val="00FA5FF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E3601"/>
  <w15:chartTrackingRefBased/>
  <w15:docId w15:val="{F32B42B8-D634-45DD-8B52-7B168043B6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4D2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D4D2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3D4D2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D4D2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D4D2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D4D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4D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4D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4D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4D2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3D4D2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3D4D2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D4D2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D4D2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D4D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4D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4D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4D27"/>
    <w:rPr>
      <w:rFonts w:eastAsiaTheme="majorEastAsia" w:cstheme="majorBidi"/>
      <w:color w:val="272727" w:themeColor="text1" w:themeTint="D8"/>
    </w:rPr>
  </w:style>
  <w:style w:type="paragraph" w:styleId="Title">
    <w:name w:val="Title"/>
    <w:basedOn w:val="Normal"/>
    <w:next w:val="Normal"/>
    <w:link w:val="TitleChar"/>
    <w:uiPriority w:val="10"/>
    <w:qFormat/>
    <w:rsid w:val="003D4D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4D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4D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4D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4D27"/>
    <w:pPr>
      <w:spacing w:before="160"/>
      <w:jc w:val="center"/>
    </w:pPr>
    <w:rPr>
      <w:i/>
      <w:iCs/>
      <w:color w:val="404040" w:themeColor="text1" w:themeTint="BF"/>
    </w:rPr>
  </w:style>
  <w:style w:type="character" w:customStyle="1" w:styleId="QuoteChar">
    <w:name w:val="Quote Char"/>
    <w:basedOn w:val="DefaultParagraphFont"/>
    <w:link w:val="Quote"/>
    <w:uiPriority w:val="29"/>
    <w:rsid w:val="003D4D27"/>
    <w:rPr>
      <w:i/>
      <w:iCs/>
      <w:color w:val="404040" w:themeColor="text1" w:themeTint="BF"/>
    </w:rPr>
  </w:style>
  <w:style w:type="paragraph" w:styleId="ListParagraph">
    <w:name w:val="List Paragraph"/>
    <w:basedOn w:val="Normal"/>
    <w:uiPriority w:val="34"/>
    <w:qFormat/>
    <w:rsid w:val="003D4D27"/>
    <w:pPr>
      <w:ind w:left="720"/>
      <w:contextualSpacing/>
    </w:pPr>
  </w:style>
  <w:style w:type="character" w:styleId="IntenseEmphasis">
    <w:name w:val="Intense Emphasis"/>
    <w:basedOn w:val="DefaultParagraphFont"/>
    <w:uiPriority w:val="21"/>
    <w:qFormat/>
    <w:rsid w:val="003D4D27"/>
    <w:rPr>
      <w:i/>
      <w:iCs/>
      <w:color w:val="2F5496" w:themeColor="accent1" w:themeShade="BF"/>
    </w:rPr>
  </w:style>
  <w:style w:type="paragraph" w:styleId="IntenseQuote">
    <w:name w:val="Intense Quote"/>
    <w:basedOn w:val="Normal"/>
    <w:next w:val="Normal"/>
    <w:link w:val="IntenseQuoteChar"/>
    <w:uiPriority w:val="30"/>
    <w:qFormat/>
    <w:rsid w:val="003D4D2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D4D27"/>
    <w:rPr>
      <w:i/>
      <w:iCs/>
      <w:color w:val="2F5496" w:themeColor="accent1" w:themeShade="BF"/>
    </w:rPr>
  </w:style>
  <w:style w:type="character" w:styleId="IntenseReference">
    <w:name w:val="Intense Reference"/>
    <w:basedOn w:val="DefaultParagraphFont"/>
    <w:uiPriority w:val="32"/>
    <w:qFormat/>
    <w:rsid w:val="003D4D27"/>
    <w:rPr>
      <w:b/>
      <w:bCs/>
      <w:smallCaps/>
      <w:color w:val="2F5496" w:themeColor="accent1" w:themeShade="BF"/>
      <w:spacing w:val="5"/>
    </w:rPr>
  </w:style>
  <w:style w:type="paragraph" w:styleId="TOC1">
    <w:name w:val="toc 1"/>
    <w:basedOn w:val="Normal"/>
    <w:next w:val="Normal"/>
    <w:autoRedefine/>
    <w:uiPriority w:val="39"/>
    <w:unhideWhenUsed/>
    <w:rsid w:val="0096711B"/>
    <w:pPr>
      <w:spacing w:after="100"/>
    </w:pPr>
  </w:style>
  <w:style w:type="character" w:styleId="Hyperlink">
    <w:name w:val="Hyperlink"/>
    <w:basedOn w:val="DefaultParagraphFont"/>
    <w:uiPriority w:val="99"/>
    <w:unhideWhenUsed/>
    <w:rsid w:val="0096711B"/>
    <w:rPr>
      <w:color w:val="0563C1" w:themeColor="hyperlink"/>
      <w:u w:val="single"/>
    </w:rPr>
  </w:style>
  <w:style w:type="paragraph" w:styleId="TOCHeading">
    <w:name w:val="TOC Heading"/>
    <w:basedOn w:val="Heading1"/>
    <w:next w:val="Normal"/>
    <w:uiPriority w:val="39"/>
    <w:unhideWhenUsed/>
    <w:qFormat/>
    <w:rsid w:val="0017526D"/>
    <w:pPr>
      <w:spacing w:before="240" w:after="0" w:line="259" w:lineRule="auto"/>
      <w:outlineLvl w:val="9"/>
    </w:pPr>
    <w:rPr>
      <w:kern w:val="0"/>
      <w:sz w:val="32"/>
      <w:szCs w:val="32"/>
      <w:lang w:eastAsia="en-IN"/>
      <w14:ligatures w14:val="none"/>
    </w:rPr>
  </w:style>
  <w:style w:type="paragraph" w:styleId="TOC2">
    <w:name w:val="toc 2"/>
    <w:basedOn w:val="Normal"/>
    <w:next w:val="Normal"/>
    <w:autoRedefine/>
    <w:uiPriority w:val="39"/>
    <w:unhideWhenUsed/>
    <w:rsid w:val="0017526D"/>
    <w:pPr>
      <w:spacing w:after="100"/>
      <w:ind w:left="240"/>
    </w:pPr>
  </w:style>
  <w:style w:type="paragraph" w:styleId="TOC3">
    <w:name w:val="toc 3"/>
    <w:basedOn w:val="Normal"/>
    <w:next w:val="Normal"/>
    <w:autoRedefine/>
    <w:uiPriority w:val="39"/>
    <w:unhideWhenUsed/>
    <w:rsid w:val="0017526D"/>
    <w:pPr>
      <w:spacing w:after="100"/>
      <w:ind w:left="480"/>
    </w:pPr>
  </w:style>
  <w:style w:type="character" w:styleId="UnresolvedMention">
    <w:name w:val="Unresolved Mention"/>
    <w:basedOn w:val="DefaultParagraphFont"/>
    <w:uiPriority w:val="99"/>
    <w:semiHidden/>
    <w:unhideWhenUsed/>
    <w:rsid w:val="002E3693"/>
    <w:rPr>
      <w:color w:val="605E5C"/>
      <w:shd w:val="clear" w:color="auto" w:fill="E1DFDD"/>
    </w:rPr>
  </w:style>
  <w:style w:type="character" w:styleId="FollowedHyperlink">
    <w:name w:val="FollowedHyperlink"/>
    <w:basedOn w:val="DefaultParagraphFont"/>
    <w:uiPriority w:val="99"/>
    <w:semiHidden/>
    <w:unhideWhenUsed/>
    <w:rsid w:val="002E3693"/>
    <w:rPr>
      <w:color w:val="954F72" w:themeColor="followedHyperlink"/>
      <w:u w:val="single"/>
    </w:rPr>
  </w:style>
  <w:style w:type="paragraph" w:styleId="Header">
    <w:name w:val="header"/>
    <w:basedOn w:val="Normal"/>
    <w:link w:val="HeaderChar"/>
    <w:uiPriority w:val="99"/>
    <w:unhideWhenUsed/>
    <w:rsid w:val="00D865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6525"/>
  </w:style>
  <w:style w:type="paragraph" w:styleId="Footer">
    <w:name w:val="footer"/>
    <w:basedOn w:val="Normal"/>
    <w:link w:val="FooterChar"/>
    <w:uiPriority w:val="99"/>
    <w:unhideWhenUsed/>
    <w:rsid w:val="00D865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65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285595">
      <w:bodyDiv w:val="1"/>
      <w:marLeft w:val="0"/>
      <w:marRight w:val="0"/>
      <w:marTop w:val="0"/>
      <w:marBottom w:val="0"/>
      <w:divBdr>
        <w:top w:val="none" w:sz="0" w:space="0" w:color="auto"/>
        <w:left w:val="none" w:sz="0" w:space="0" w:color="auto"/>
        <w:bottom w:val="none" w:sz="0" w:space="0" w:color="auto"/>
        <w:right w:val="none" w:sz="0" w:space="0" w:color="auto"/>
      </w:divBdr>
    </w:div>
    <w:div w:id="136532121">
      <w:bodyDiv w:val="1"/>
      <w:marLeft w:val="0"/>
      <w:marRight w:val="0"/>
      <w:marTop w:val="0"/>
      <w:marBottom w:val="0"/>
      <w:divBdr>
        <w:top w:val="none" w:sz="0" w:space="0" w:color="auto"/>
        <w:left w:val="none" w:sz="0" w:space="0" w:color="auto"/>
        <w:bottom w:val="none" w:sz="0" w:space="0" w:color="auto"/>
        <w:right w:val="none" w:sz="0" w:space="0" w:color="auto"/>
      </w:divBdr>
    </w:div>
    <w:div w:id="229461353">
      <w:bodyDiv w:val="1"/>
      <w:marLeft w:val="0"/>
      <w:marRight w:val="0"/>
      <w:marTop w:val="0"/>
      <w:marBottom w:val="0"/>
      <w:divBdr>
        <w:top w:val="none" w:sz="0" w:space="0" w:color="auto"/>
        <w:left w:val="none" w:sz="0" w:space="0" w:color="auto"/>
        <w:bottom w:val="none" w:sz="0" w:space="0" w:color="auto"/>
        <w:right w:val="none" w:sz="0" w:space="0" w:color="auto"/>
      </w:divBdr>
    </w:div>
    <w:div w:id="277446135">
      <w:bodyDiv w:val="1"/>
      <w:marLeft w:val="0"/>
      <w:marRight w:val="0"/>
      <w:marTop w:val="0"/>
      <w:marBottom w:val="0"/>
      <w:divBdr>
        <w:top w:val="none" w:sz="0" w:space="0" w:color="auto"/>
        <w:left w:val="none" w:sz="0" w:space="0" w:color="auto"/>
        <w:bottom w:val="none" w:sz="0" w:space="0" w:color="auto"/>
        <w:right w:val="none" w:sz="0" w:space="0" w:color="auto"/>
      </w:divBdr>
    </w:div>
    <w:div w:id="360016867">
      <w:bodyDiv w:val="1"/>
      <w:marLeft w:val="0"/>
      <w:marRight w:val="0"/>
      <w:marTop w:val="0"/>
      <w:marBottom w:val="0"/>
      <w:divBdr>
        <w:top w:val="none" w:sz="0" w:space="0" w:color="auto"/>
        <w:left w:val="none" w:sz="0" w:space="0" w:color="auto"/>
        <w:bottom w:val="none" w:sz="0" w:space="0" w:color="auto"/>
        <w:right w:val="none" w:sz="0" w:space="0" w:color="auto"/>
      </w:divBdr>
    </w:div>
    <w:div w:id="441413178">
      <w:bodyDiv w:val="1"/>
      <w:marLeft w:val="0"/>
      <w:marRight w:val="0"/>
      <w:marTop w:val="0"/>
      <w:marBottom w:val="0"/>
      <w:divBdr>
        <w:top w:val="none" w:sz="0" w:space="0" w:color="auto"/>
        <w:left w:val="none" w:sz="0" w:space="0" w:color="auto"/>
        <w:bottom w:val="none" w:sz="0" w:space="0" w:color="auto"/>
        <w:right w:val="none" w:sz="0" w:space="0" w:color="auto"/>
      </w:divBdr>
    </w:div>
    <w:div w:id="516576715">
      <w:bodyDiv w:val="1"/>
      <w:marLeft w:val="0"/>
      <w:marRight w:val="0"/>
      <w:marTop w:val="0"/>
      <w:marBottom w:val="0"/>
      <w:divBdr>
        <w:top w:val="none" w:sz="0" w:space="0" w:color="auto"/>
        <w:left w:val="none" w:sz="0" w:space="0" w:color="auto"/>
        <w:bottom w:val="none" w:sz="0" w:space="0" w:color="auto"/>
        <w:right w:val="none" w:sz="0" w:space="0" w:color="auto"/>
      </w:divBdr>
    </w:div>
    <w:div w:id="527840812">
      <w:bodyDiv w:val="1"/>
      <w:marLeft w:val="0"/>
      <w:marRight w:val="0"/>
      <w:marTop w:val="0"/>
      <w:marBottom w:val="0"/>
      <w:divBdr>
        <w:top w:val="none" w:sz="0" w:space="0" w:color="auto"/>
        <w:left w:val="none" w:sz="0" w:space="0" w:color="auto"/>
        <w:bottom w:val="none" w:sz="0" w:space="0" w:color="auto"/>
        <w:right w:val="none" w:sz="0" w:space="0" w:color="auto"/>
      </w:divBdr>
    </w:div>
    <w:div w:id="550262552">
      <w:bodyDiv w:val="1"/>
      <w:marLeft w:val="0"/>
      <w:marRight w:val="0"/>
      <w:marTop w:val="0"/>
      <w:marBottom w:val="0"/>
      <w:divBdr>
        <w:top w:val="none" w:sz="0" w:space="0" w:color="auto"/>
        <w:left w:val="none" w:sz="0" w:space="0" w:color="auto"/>
        <w:bottom w:val="none" w:sz="0" w:space="0" w:color="auto"/>
        <w:right w:val="none" w:sz="0" w:space="0" w:color="auto"/>
      </w:divBdr>
    </w:div>
    <w:div w:id="588730299">
      <w:bodyDiv w:val="1"/>
      <w:marLeft w:val="0"/>
      <w:marRight w:val="0"/>
      <w:marTop w:val="0"/>
      <w:marBottom w:val="0"/>
      <w:divBdr>
        <w:top w:val="none" w:sz="0" w:space="0" w:color="auto"/>
        <w:left w:val="none" w:sz="0" w:space="0" w:color="auto"/>
        <w:bottom w:val="none" w:sz="0" w:space="0" w:color="auto"/>
        <w:right w:val="none" w:sz="0" w:space="0" w:color="auto"/>
      </w:divBdr>
    </w:div>
    <w:div w:id="950472355">
      <w:bodyDiv w:val="1"/>
      <w:marLeft w:val="0"/>
      <w:marRight w:val="0"/>
      <w:marTop w:val="0"/>
      <w:marBottom w:val="0"/>
      <w:divBdr>
        <w:top w:val="none" w:sz="0" w:space="0" w:color="auto"/>
        <w:left w:val="none" w:sz="0" w:space="0" w:color="auto"/>
        <w:bottom w:val="none" w:sz="0" w:space="0" w:color="auto"/>
        <w:right w:val="none" w:sz="0" w:space="0" w:color="auto"/>
      </w:divBdr>
    </w:div>
    <w:div w:id="1028795965">
      <w:bodyDiv w:val="1"/>
      <w:marLeft w:val="0"/>
      <w:marRight w:val="0"/>
      <w:marTop w:val="0"/>
      <w:marBottom w:val="0"/>
      <w:divBdr>
        <w:top w:val="none" w:sz="0" w:space="0" w:color="auto"/>
        <w:left w:val="none" w:sz="0" w:space="0" w:color="auto"/>
        <w:bottom w:val="none" w:sz="0" w:space="0" w:color="auto"/>
        <w:right w:val="none" w:sz="0" w:space="0" w:color="auto"/>
      </w:divBdr>
    </w:div>
    <w:div w:id="1208444932">
      <w:bodyDiv w:val="1"/>
      <w:marLeft w:val="0"/>
      <w:marRight w:val="0"/>
      <w:marTop w:val="0"/>
      <w:marBottom w:val="0"/>
      <w:divBdr>
        <w:top w:val="none" w:sz="0" w:space="0" w:color="auto"/>
        <w:left w:val="none" w:sz="0" w:space="0" w:color="auto"/>
        <w:bottom w:val="none" w:sz="0" w:space="0" w:color="auto"/>
        <w:right w:val="none" w:sz="0" w:space="0" w:color="auto"/>
      </w:divBdr>
    </w:div>
    <w:div w:id="1256864417">
      <w:bodyDiv w:val="1"/>
      <w:marLeft w:val="0"/>
      <w:marRight w:val="0"/>
      <w:marTop w:val="0"/>
      <w:marBottom w:val="0"/>
      <w:divBdr>
        <w:top w:val="none" w:sz="0" w:space="0" w:color="auto"/>
        <w:left w:val="none" w:sz="0" w:space="0" w:color="auto"/>
        <w:bottom w:val="none" w:sz="0" w:space="0" w:color="auto"/>
        <w:right w:val="none" w:sz="0" w:space="0" w:color="auto"/>
      </w:divBdr>
    </w:div>
    <w:div w:id="1365445038">
      <w:bodyDiv w:val="1"/>
      <w:marLeft w:val="0"/>
      <w:marRight w:val="0"/>
      <w:marTop w:val="0"/>
      <w:marBottom w:val="0"/>
      <w:divBdr>
        <w:top w:val="none" w:sz="0" w:space="0" w:color="auto"/>
        <w:left w:val="none" w:sz="0" w:space="0" w:color="auto"/>
        <w:bottom w:val="none" w:sz="0" w:space="0" w:color="auto"/>
        <w:right w:val="none" w:sz="0" w:space="0" w:color="auto"/>
      </w:divBdr>
    </w:div>
    <w:div w:id="1496217422">
      <w:bodyDiv w:val="1"/>
      <w:marLeft w:val="0"/>
      <w:marRight w:val="0"/>
      <w:marTop w:val="0"/>
      <w:marBottom w:val="0"/>
      <w:divBdr>
        <w:top w:val="none" w:sz="0" w:space="0" w:color="auto"/>
        <w:left w:val="none" w:sz="0" w:space="0" w:color="auto"/>
        <w:bottom w:val="none" w:sz="0" w:space="0" w:color="auto"/>
        <w:right w:val="none" w:sz="0" w:space="0" w:color="auto"/>
      </w:divBdr>
    </w:div>
    <w:div w:id="1527210105">
      <w:bodyDiv w:val="1"/>
      <w:marLeft w:val="0"/>
      <w:marRight w:val="0"/>
      <w:marTop w:val="0"/>
      <w:marBottom w:val="0"/>
      <w:divBdr>
        <w:top w:val="none" w:sz="0" w:space="0" w:color="auto"/>
        <w:left w:val="none" w:sz="0" w:space="0" w:color="auto"/>
        <w:bottom w:val="none" w:sz="0" w:space="0" w:color="auto"/>
        <w:right w:val="none" w:sz="0" w:space="0" w:color="auto"/>
      </w:divBdr>
    </w:div>
    <w:div w:id="1629968229">
      <w:bodyDiv w:val="1"/>
      <w:marLeft w:val="0"/>
      <w:marRight w:val="0"/>
      <w:marTop w:val="0"/>
      <w:marBottom w:val="0"/>
      <w:divBdr>
        <w:top w:val="none" w:sz="0" w:space="0" w:color="auto"/>
        <w:left w:val="none" w:sz="0" w:space="0" w:color="auto"/>
        <w:bottom w:val="none" w:sz="0" w:space="0" w:color="auto"/>
        <w:right w:val="none" w:sz="0" w:space="0" w:color="auto"/>
      </w:divBdr>
    </w:div>
    <w:div w:id="1645550693">
      <w:bodyDiv w:val="1"/>
      <w:marLeft w:val="0"/>
      <w:marRight w:val="0"/>
      <w:marTop w:val="0"/>
      <w:marBottom w:val="0"/>
      <w:divBdr>
        <w:top w:val="none" w:sz="0" w:space="0" w:color="auto"/>
        <w:left w:val="none" w:sz="0" w:space="0" w:color="auto"/>
        <w:bottom w:val="none" w:sz="0" w:space="0" w:color="auto"/>
        <w:right w:val="none" w:sz="0" w:space="0" w:color="auto"/>
      </w:divBdr>
    </w:div>
    <w:div w:id="1731461995">
      <w:bodyDiv w:val="1"/>
      <w:marLeft w:val="0"/>
      <w:marRight w:val="0"/>
      <w:marTop w:val="0"/>
      <w:marBottom w:val="0"/>
      <w:divBdr>
        <w:top w:val="none" w:sz="0" w:space="0" w:color="auto"/>
        <w:left w:val="none" w:sz="0" w:space="0" w:color="auto"/>
        <w:bottom w:val="none" w:sz="0" w:space="0" w:color="auto"/>
        <w:right w:val="none" w:sz="0" w:space="0" w:color="auto"/>
      </w:divBdr>
    </w:div>
    <w:div w:id="1838228144">
      <w:bodyDiv w:val="1"/>
      <w:marLeft w:val="0"/>
      <w:marRight w:val="0"/>
      <w:marTop w:val="0"/>
      <w:marBottom w:val="0"/>
      <w:divBdr>
        <w:top w:val="none" w:sz="0" w:space="0" w:color="auto"/>
        <w:left w:val="none" w:sz="0" w:space="0" w:color="auto"/>
        <w:bottom w:val="none" w:sz="0" w:space="0" w:color="auto"/>
        <w:right w:val="none" w:sz="0" w:space="0" w:color="auto"/>
      </w:divBdr>
    </w:div>
    <w:div w:id="1840075085">
      <w:bodyDiv w:val="1"/>
      <w:marLeft w:val="0"/>
      <w:marRight w:val="0"/>
      <w:marTop w:val="0"/>
      <w:marBottom w:val="0"/>
      <w:divBdr>
        <w:top w:val="none" w:sz="0" w:space="0" w:color="auto"/>
        <w:left w:val="none" w:sz="0" w:space="0" w:color="auto"/>
        <w:bottom w:val="none" w:sz="0" w:space="0" w:color="auto"/>
        <w:right w:val="none" w:sz="0" w:space="0" w:color="auto"/>
      </w:divBdr>
    </w:div>
    <w:div w:id="1950358877">
      <w:bodyDiv w:val="1"/>
      <w:marLeft w:val="0"/>
      <w:marRight w:val="0"/>
      <w:marTop w:val="0"/>
      <w:marBottom w:val="0"/>
      <w:divBdr>
        <w:top w:val="none" w:sz="0" w:space="0" w:color="auto"/>
        <w:left w:val="none" w:sz="0" w:space="0" w:color="auto"/>
        <w:bottom w:val="none" w:sz="0" w:space="0" w:color="auto"/>
        <w:right w:val="none" w:sz="0" w:space="0" w:color="auto"/>
      </w:divBdr>
    </w:div>
    <w:div w:id="1997294254">
      <w:bodyDiv w:val="1"/>
      <w:marLeft w:val="0"/>
      <w:marRight w:val="0"/>
      <w:marTop w:val="0"/>
      <w:marBottom w:val="0"/>
      <w:divBdr>
        <w:top w:val="none" w:sz="0" w:space="0" w:color="auto"/>
        <w:left w:val="none" w:sz="0" w:space="0" w:color="auto"/>
        <w:bottom w:val="none" w:sz="0" w:space="0" w:color="auto"/>
        <w:right w:val="none" w:sz="0" w:space="0" w:color="auto"/>
      </w:divBdr>
    </w:div>
    <w:div w:id="2088184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1.xml"/><Relationship Id="rId18" Type="http://schemas.openxmlformats.org/officeDocument/2006/relationships/hyperlink" Target="https://www.ibef.org/industry/automobiles" TargetMode="External"/><Relationship Id="rId26" Type="http://schemas.openxmlformats.org/officeDocument/2006/relationships/hyperlink" Target="https://www.reuters.com" TargetMode="External"/><Relationship Id="rId3" Type="http://schemas.openxmlformats.org/officeDocument/2006/relationships/styles" Target="styles.xml"/><Relationship Id="rId21" Type="http://schemas.openxmlformats.org/officeDocument/2006/relationships/hyperlink" Target="https://kpmg.com/in/en/home.html" TargetMode="External"/><Relationship Id="rId34" Type="http://schemas.openxmlformats.org/officeDocument/2006/relationships/hyperlink" Target="https://www.forbesindia.com"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ey.com/en_in" TargetMode="External"/><Relationship Id="rId25" Type="http://schemas.openxmlformats.org/officeDocument/2006/relationships/hyperlink" Target="https://www.pwc.in" TargetMode="External"/><Relationship Id="rId33" Type="http://schemas.openxmlformats.org/officeDocument/2006/relationships/hyperlink" Target="https://energy.economictimes.indiatimes.com" TargetMode="External"/><Relationship Id="rId2" Type="http://schemas.openxmlformats.org/officeDocument/2006/relationships/numbering" Target="numbering.xml"/><Relationship Id="rId16" Type="http://schemas.openxmlformats.org/officeDocument/2006/relationships/hyperlink" Target="https://www2.deloitte.com" TargetMode="External"/><Relationship Id="rId20" Type="http://schemas.openxmlformats.org/officeDocument/2006/relationships/hyperlink" Target="https://www.iea.org/reports/global-ev-outlook-2024" TargetMode="External"/><Relationship Id="rId29" Type="http://schemas.openxmlformats.org/officeDocument/2006/relationships/hyperlink" Target="https://www.globalsuzuki.com/corporate/finance/annualrepor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morth.nic.in" TargetMode="External"/><Relationship Id="rId32" Type="http://schemas.openxmlformats.org/officeDocument/2006/relationships/hyperlink" Target="https://www.worldbank.org/en/country/india" TargetMode="External"/><Relationship Id="rId5" Type="http://schemas.openxmlformats.org/officeDocument/2006/relationships/webSettings" Target="webSettings.xml"/><Relationship Id="rId15" Type="http://schemas.openxmlformats.org/officeDocument/2006/relationships/hyperlink" Target="https://www.bloomberg.com/news/articles/2025-12-16/maruti-sees-45-of-its-sales-next-year-from-alternate-fuel-cars-after-ev-debut" TargetMode="External"/><Relationship Id="rId23" Type="http://schemas.openxmlformats.org/officeDocument/2006/relationships/hyperlink" Target="https://heavyindustries.gov.in/en/fame-india-scheme" TargetMode="External"/><Relationship Id="rId28" Type="http://schemas.openxmlformats.org/officeDocument/2006/relationships/hyperlink" Target="https://www.spglobal.com/automotive-insights/en/blogs/2025/03/india-ev-market-trends-future" TargetMode="External"/><Relationship Id="rId36"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www.ibef.org/industry/india-automobiles" TargetMode="External"/><Relationship Id="rId31" Type="http://schemas.openxmlformats.org/officeDocument/2006/relationships/hyperlink" Target="https://global.toyota/en/newsroo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acma.in" TargetMode="External"/><Relationship Id="rId22" Type="http://schemas.openxmlformats.org/officeDocument/2006/relationships/hyperlink" Target="https://www.marutisuzuki.com/corporate/investors/annual-reports" TargetMode="External"/><Relationship Id="rId27" Type="http://schemas.openxmlformats.org/officeDocument/2006/relationships/hyperlink" Target="https://www.siam.in/statistics.aspx" TargetMode="External"/><Relationship Id="rId30" Type="http://schemas.openxmlformats.org/officeDocument/2006/relationships/hyperlink" Target="https://www.tatamotors.com" TargetMode="External"/><Relationship Id="rId35" Type="http://schemas.openxmlformats.org/officeDocument/2006/relationships/fontTable" Target="fontTable.xml"/><Relationship Id="rId8" Type="http://schemas.openxmlformats.org/officeDocument/2006/relationships/image" Target="media/image1.jpe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MARKET</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Sheet1!$A$2:$A$6</c:f>
              <c:strCache>
                <c:ptCount val="5"/>
                <c:pt idx="0">
                  <c:v>MARUTI SUZUKI</c:v>
                </c:pt>
                <c:pt idx="1">
                  <c:v>HYUNDAI</c:v>
                </c:pt>
                <c:pt idx="2">
                  <c:v>TATA MOTORS</c:v>
                </c:pt>
                <c:pt idx="3">
                  <c:v>MAHINDRA</c:v>
                </c:pt>
                <c:pt idx="4">
                  <c:v>KIA</c:v>
                </c:pt>
              </c:strCache>
            </c:strRef>
          </c:cat>
          <c:val>
            <c:numRef>
              <c:f>Sheet1!$B$2:$B$6</c:f>
              <c:numCache>
                <c:formatCode>0%</c:formatCode>
                <c:ptCount val="5"/>
                <c:pt idx="0">
                  <c:v>0.42</c:v>
                </c:pt>
                <c:pt idx="1">
                  <c:v>0.14000000000000001</c:v>
                </c:pt>
                <c:pt idx="2">
                  <c:v>0.13</c:v>
                </c:pt>
                <c:pt idx="3">
                  <c:v>0.1</c:v>
                </c:pt>
                <c:pt idx="4">
                  <c:v>7.0000000000000007E-2</c:v>
                </c:pt>
              </c:numCache>
            </c:numRef>
          </c:val>
          <c:extLst>
            <c:ext xmlns:c16="http://schemas.microsoft.com/office/drawing/2014/chart" uri="{C3380CC4-5D6E-409C-BE32-E72D297353CC}">
              <c16:uniqueId val="{00000000-F00B-4DE8-B940-1F6C0A55429B}"/>
            </c:ext>
          </c:extLst>
        </c:ser>
        <c:dLbls>
          <c:dLblPos val="inEnd"/>
          <c:showLegendKey val="0"/>
          <c:showVal val="1"/>
          <c:showCatName val="0"/>
          <c:showSerName val="0"/>
          <c:showPercent val="0"/>
          <c:showBubbleSize val="0"/>
        </c:dLbls>
        <c:gapWidth val="100"/>
        <c:overlap val="-24"/>
        <c:axId val="206528192"/>
        <c:axId val="206549792"/>
      </c:barChart>
      <c:catAx>
        <c:axId val="206528192"/>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206549792"/>
        <c:crosses val="autoZero"/>
        <c:auto val="1"/>
        <c:lblAlgn val="ctr"/>
        <c:lblOffset val="100"/>
        <c:noMultiLvlLbl val="0"/>
      </c:catAx>
      <c:valAx>
        <c:axId val="206549792"/>
        <c:scaling>
          <c:orientation val="minMax"/>
        </c:scaling>
        <c:delete val="0"/>
        <c:axPos val="l"/>
        <c:majorGridlines>
          <c:spPr>
            <a:ln w="9525" cap="flat" cmpd="sng" algn="ctr">
              <a:solidFill>
                <a:schemeClr val="tx2">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2065281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8">
  <a:schemeClr val="accent5"/>
</cs:colorStyle>
</file>

<file path=word/charts/style1.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IBE24</b:Tag>
    <b:SourceType>Report</b:SourceType>
    <b:Guid>{A29B4F43-20B4-4B14-9C7F-FC4E3DD18688}</b:Guid>
    <b:Year>2024</b:Year>
    <b:Publisher>Indian Brand Equity Fondation</b:Publisher>
    <b:Author>
      <b:Author>
        <b:NameList>
          <b:Person>
            <b:Last>IBEF</b:Last>
          </b:Person>
        </b:NameList>
      </b:Author>
    </b:Author>
    <b:RefOrder>1</b:RefOrder>
  </b:Source>
  <b:Source xmlns:b="http://schemas.openxmlformats.org/officeDocument/2006/bibliography">
    <b:Tag>Por90</b:Tag>
    <b:SourceType>Report</b:SourceType>
    <b:Guid>{06A41EE7-7A87-4335-972F-FCA2C22996C8}</b:Guid>
    <b:Author>
      <b:Author>
        <b:NameList>
          <b:Person>
            <b:Last>Porter</b:Last>
          </b:Person>
        </b:NameList>
      </b:Author>
    </b:Author>
    <b:Year>1990</b:Year>
    <b:RefOrder>9</b:RefOrder>
  </b:Source>
  <b:Source>
    <b:Tag>ACM24</b:Tag>
    <b:SourceType>Report</b:SourceType>
    <b:Guid>{4C5460B5-CF94-4DAE-8F78-89EC06BD73D0}</b:Guid>
    <b:Author>
      <b:Author>
        <b:NameList>
          <b:Person>
            <b:Last>ACMA</b:Last>
          </b:Person>
        </b:NameList>
      </b:Author>
    </b:Author>
    <b:Year>2024</b:Year>
    <b:RefOrder>10</b:RefOrder>
  </b:Source>
  <b:Source>
    <b:Tag>HIL20</b:Tag>
    <b:SourceType>Report</b:SourceType>
    <b:Guid>{FF0F530C-F0BD-4C54-9A0D-847C6C4F2679}</b:Guid>
    <b:Author>
      <b:Author>
        <b:NameList>
          <b:Person>
            <b:Last>HILL</b:Last>
          </b:Person>
        </b:NameList>
      </b:Author>
    </b:Author>
    <b:Year>2020</b:Year>
    <b:RefOrder>17</b:RefOrder>
  </b:Source>
  <b:Source>
    <b:Tag>HIL201</b:Tag>
    <b:SourceType>Report</b:SourceType>
    <b:Guid>{A88D3F54-DE18-496B-A72A-D3482965CA74}</b:Guid>
    <b:Author>
      <b:Author>
        <b:NameList>
          <b:Person>
            <b:Last>HILL</b:Last>
          </b:Person>
        </b:NameList>
      </b:Author>
    </b:Author>
    <b:Year>2020</b:Year>
    <b:RefOrder>2</b:RefOrder>
  </b:Source>
  <b:Source>
    <b:Tag>Gov23</b:Tag>
    <b:SourceType>Report</b:SourceType>
    <b:Guid>{DBDB0D36-1712-48EA-AD15-0C3D8494ED9E}</b:Guid>
    <b:Title>Government of India</b:Title>
    <b:Year>2023</b:Year>
    <b:RefOrder>3</b:RefOrder>
  </b:Source>
  <b:Source>
    <b:Tag>OEC22</b:Tag>
    <b:SourceType>Report</b:SourceType>
    <b:Guid>{8E2A995D-6C28-4D67-8C6D-E61405AF52E7}</b:Guid>
    <b:Title>OECD</b:Title>
    <b:Year>2022</b:Year>
    <b:RefOrder>4</b:RefOrder>
  </b:Source>
  <b:Source>
    <b:Tag>McK23</b:Tag>
    <b:SourceType>Report</b:SourceType>
    <b:Guid>{5CEBF34A-71C0-4A94-85EE-D64B3D773AC3}</b:Guid>
    <b:Title>McKinsey and Company</b:Title>
    <b:Year>2023</b:Year>
    <b:RefOrder>5</b:RefOrder>
  </b:Source>
  <b:Source>
    <b:Tag>Wor24</b:Tag>
    <b:SourceType>Report</b:SourceType>
    <b:Guid>{B4B29BE1-6FB8-4287-8569-F954367BAF1E}</b:Guid>
    <b:Title>World Bank</b:Title>
    <b:Year>2024</b:Year>
    <b:RefOrder>6</b:RefOrder>
  </b:Source>
  <b:Source>
    <b:Tag>Min23</b:Tag>
    <b:SourceType>Report</b:SourceType>
    <b:Guid>{C2E49D7C-77D7-47CC-BF91-B45238E10392}</b:Guid>
    <b:Title>Ministry of heavy industries </b:Title>
    <b:Year>2023</b:Year>
    <b:RefOrder>16</b:RefOrder>
  </b:Source>
  <b:Source>
    <b:Tag>NIT23</b:Tag>
    <b:SourceType>Report</b:SourceType>
    <b:Guid>{B92528F8-ED04-4373-8818-4001E1886D42}</b:Guid>
    <b:Title>NITI Aayog</b:Title>
    <b:Year>2023</b:Year>
    <b:RefOrder>7</b:RefOrder>
  </b:Source>
  <b:Source>
    <b:Tag>IEA24</b:Tag>
    <b:SourceType>Report</b:SourceType>
    <b:Guid>{C11BE07B-F1D0-471F-944E-27A179869515}</b:Guid>
    <b:Title>IEA</b:Title>
    <b:Year>2024</b:Year>
    <b:RefOrder>8</b:RefOrder>
  </b:Source>
  <b:Source>
    <b:Tag>ARA24</b:Tag>
    <b:SourceType>Report</b:SourceType>
    <b:Guid>{75263546-2F1A-48DA-9D6D-400BC8DC123D}</b:Guid>
    <b:Title>ARAI</b:Title>
    <b:Year>2024</b:Year>
    <b:RefOrder>11</b:RefOrder>
  </b:Source>
  <b:Source>
    <b:Tag>ACM241</b:Tag>
    <b:SourceType>Report</b:SourceType>
    <b:Guid>{6801A9A5-DEE5-45E1-BDFD-BAF44C7E2B09}</b:Guid>
    <b:Title>ACMA</b:Title>
    <b:Year>2024</b:Year>
    <b:RefOrder>12</b:RefOrder>
  </b:Source>
  <b:Source>
    <b:Tag>Gra19</b:Tag>
    <b:SourceType>Report</b:SourceType>
    <b:Guid>{6401CA20-4A01-4DEC-AC27-57BDA19F0CFE}</b:Guid>
    <b:Title>Grant</b:Title>
    <b:Year>2019</b:Year>
    <b:RefOrder>13</b:RefOrder>
  </b:Source>
  <b:Source>
    <b:Tag>IMF24</b:Tag>
    <b:SourceType>Report</b:SourceType>
    <b:Guid>{3D2523FA-58DB-4A61-B0B1-415C4542EB4B}</b:Guid>
    <b:Title>IMF</b:Title>
    <b:Year>2024</b:Year>
    <b:RefOrder>14</b:RefOrder>
  </b:Source>
  <b:Source>
    <b:Tag>RBI23</b:Tag>
    <b:SourceType>Report</b:SourceType>
    <b:Guid>{771AA31C-4C06-40A2-8718-C7ECA8F52836}</b:Guid>
    <b:Title>RBI</b:Title>
    <b:Year>2023</b:Year>
    <b:RefOrder>15</b:RefOrder>
  </b:Source>
</b:Sources>
</file>

<file path=customXml/itemProps1.xml><?xml version="1.0" encoding="utf-8"?>
<ds:datastoreItem xmlns:ds="http://schemas.openxmlformats.org/officeDocument/2006/customXml" ds:itemID="{26AB2D4B-AE05-434C-B795-667664AE4B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30</Pages>
  <Words>7478</Words>
  <Characters>42625</Characters>
  <Application>Microsoft Office Word</Application>
  <DocSecurity>0</DocSecurity>
  <Lines>355</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Bhargav Khunt</dc:creator>
  <cp:keywords/>
  <dc:description/>
  <cp:lastModifiedBy>Abhi Shah</cp:lastModifiedBy>
  <cp:revision>8</cp:revision>
  <dcterms:created xsi:type="dcterms:W3CDTF">2026-03-17T14:24:00Z</dcterms:created>
  <dcterms:modified xsi:type="dcterms:W3CDTF">2026-03-19T23:15:00Z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e7007ebd-6af0-4fdc-a494-7d54870be65f</vt:lpwstr>
  </property>
</Properties>
</file>