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883B87" w14:textId="255DBA9C" w:rsidR="006545C7" w:rsidRPr="0042004C" w:rsidRDefault="006545C7" w:rsidP="00EB19BC">
      <w:pPr>
        <w:spacing w:line="480" w:lineRule="auto"/>
        <w:rPr>
          <w:rFonts w:ascii="Times New Roman" w:hAnsi="Times New Roman" w:cs="Times New Roman"/>
          <w:sz w:val="24"/>
          <w:szCs w:val="24"/>
        </w:rPr>
      </w:pPr>
    </w:p>
    <w:p w14:paraId="70FD510B" w14:textId="77777777" w:rsidR="008C71EC" w:rsidRPr="008C71EC" w:rsidRDefault="008C71EC" w:rsidP="008C71EC">
      <w:pPr>
        <w:spacing w:line="256" w:lineRule="auto"/>
        <w:rPr>
          <w:rFonts w:ascii="Calibri" w:eastAsia="Calibri" w:hAnsi="Calibri" w:cs="Arial"/>
          <w:szCs w:val="24"/>
        </w:rPr>
      </w:pPr>
      <w:r w:rsidRPr="008C71EC">
        <w:rPr>
          <w:rFonts w:ascii="Calibri Light" w:eastAsia="Times New Roman" w:hAnsi="Calibri Light" w:cs="Times New Roman"/>
          <w:b/>
          <w:noProof/>
          <w:spacing w:val="-10"/>
          <w:kern w:val="28"/>
          <w:sz w:val="56"/>
          <w:szCs w:val="56"/>
        </w:rPr>
        <w:drawing>
          <wp:inline distT="0" distB="0" distL="0" distR="0" wp14:anchorId="25A693B9" wp14:editId="027DF9FA">
            <wp:extent cx="3714750" cy="12287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750" cy="1228725"/>
                    </a:xfrm>
                    <a:prstGeom prst="rect">
                      <a:avLst/>
                    </a:prstGeom>
                    <a:noFill/>
                    <a:ln>
                      <a:noFill/>
                    </a:ln>
                  </pic:spPr>
                </pic:pic>
              </a:graphicData>
            </a:graphic>
          </wp:inline>
        </w:drawing>
      </w:r>
    </w:p>
    <w:p w14:paraId="411AF5AD" w14:textId="77777777" w:rsidR="008C71EC" w:rsidRPr="008C71EC" w:rsidRDefault="008C71EC" w:rsidP="008C71EC">
      <w:pPr>
        <w:spacing w:line="256" w:lineRule="auto"/>
        <w:rPr>
          <w:rFonts w:ascii="Calibri" w:eastAsia="Calibri" w:hAnsi="Calibri" w:cs="Arial"/>
          <w:szCs w:val="24"/>
        </w:rPr>
      </w:pPr>
    </w:p>
    <w:p w14:paraId="424FD03B" w14:textId="77777777" w:rsidR="008C71EC" w:rsidRPr="008C71EC" w:rsidRDefault="008C71EC" w:rsidP="008C71EC">
      <w:pPr>
        <w:spacing w:line="256" w:lineRule="auto"/>
        <w:rPr>
          <w:rFonts w:ascii="Calibri" w:eastAsia="Calibri" w:hAnsi="Calibri" w:cs="Arial"/>
          <w:szCs w:val="24"/>
        </w:rPr>
      </w:pPr>
    </w:p>
    <w:p w14:paraId="0AF42DDF" w14:textId="77777777" w:rsidR="008C71EC" w:rsidRPr="008C71EC" w:rsidRDefault="008C71EC" w:rsidP="008C71EC">
      <w:pPr>
        <w:spacing w:line="256" w:lineRule="auto"/>
        <w:rPr>
          <w:rFonts w:ascii="Calibri" w:eastAsia="Calibri" w:hAnsi="Calibri" w:cs="Arial"/>
          <w:szCs w:val="24"/>
        </w:rPr>
      </w:pPr>
    </w:p>
    <w:p w14:paraId="54906D99" w14:textId="77777777" w:rsidR="008C71EC" w:rsidRPr="008C71EC" w:rsidRDefault="008C71EC" w:rsidP="008C71EC">
      <w:pPr>
        <w:spacing w:line="360" w:lineRule="auto"/>
        <w:jc w:val="center"/>
        <w:rPr>
          <w:rFonts w:ascii="Arial" w:eastAsia="Calibri" w:hAnsi="Arial" w:cs="Arial"/>
          <w:b/>
          <w:sz w:val="48"/>
          <w:szCs w:val="48"/>
          <w:lang w:val="en-US"/>
        </w:rPr>
      </w:pPr>
    </w:p>
    <w:p w14:paraId="43C95927" w14:textId="77777777" w:rsidR="008C71EC" w:rsidRPr="008C71EC" w:rsidRDefault="008C71EC" w:rsidP="008C71EC">
      <w:pPr>
        <w:spacing w:line="360" w:lineRule="auto"/>
        <w:jc w:val="center"/>
        <w:rPr>
          <w:rFonts w:ascii="Arial" w:eastAsia="Calibri" w:hAnsi="Arial" w:cs="Arial"/>
          <w:b/>
          <w:sz w:val="48"/>
          <w:szCs w:val="48"/>
          <w:lang w:val="en-US"/>
        </w:rPr>
      </w:pPr>
    </w:p>
    <w:p w14:paraId="1E6E0D74" w14:textId="4B2BB2F3" w:rsidR="008C71EC" w:rsidRPr="008C71EC" w:rsidRDefault="008C71EC" w:rsidP="008C71EC">
      <w:pPr>
        <w:spacing w:line="360" w:lineRule="auto"/>
        <w:jc w:val="center"/>
        <w:rPr>
          <w:rFonts w:ascii="Arial" w:eastAsia="Calibri" w:hAnsi="Arial" w:cs="Arial"/>
          <w:b/>
          <w:sz w:val="48"/>
          <w:szCs w:val="48"/>
          <w:lang w:val="en-US"/>
        </w:rPr>
      </w:pPr>
      <w:r w:rsidRPr="008C71EC">
        <w:rPr>
          <w:rFonts w:ascii="Arial" w:eastAsia="Calibri" w:hAnsi="Arial" w:cs="Arial"/>
          <w:b/>
          <w:sz w:val="48"/>
          <w:szCs w:val="48"/>
          <w:lang w:val="en-US"/>
        </w:rPr>
        <w:t xml:space="preserve">ASSIGNMENT </w:t>
      </w:r>
      <w:r>
        <w:rPr>
          <w:rFonts w:ascii="Arial" w:eastAsia="Calibri" w:hAnsi="Arial" w:cs="Arial"/>
          <w:b/>
          <w:sz w:val="48"/>
          <w:szCs w:val="48"/>
          <w:lang w:val="en-US"/>
        </w:rPr>
        <w:t>2</w:t>
      </w:r>
    </w:p>
    <w:p w14:paraId="7F06DE46" w14:textId="77777777" w:rsidR="008C71EC" w:rsidRPr="008C71EC" w:rsidRDefault="008C71EC" w:rsidP="008C71EC">
      <w:pPr>
        <w:spacing w:line="360" w:lineRule="auto"/>
        <w:rPr>
          <w:rFonts w:ascii="Calibri" w:eastAsia="Calibri" w:hAnsi="Calibri" w:cs="Times New Roman"/>
          <w:sz w:val="28"/>
          <w:szCs w:val="28"/>
          <w:lang w:val="en-US"/>
        </w:rPr>
      </w:pPr>
    </w:p>
    <w:p w14:paraId="458A1A0B" w14:textId="77777777" w:rsidR="008C71EC" w:rsidRPr="008C71EC" w:rsidRDefault="008C71EC" w:rsidP="008C71EC">
      <w:pPr>
        <w:spacing w:line="360" w:lineRule="auto"/>
        <w:rPr>
          <w:rFonts w:ascii="Calibri" w:eastAsia="Calibri" w:hAnsi="Calibri" w:cs="Times New Roman"/>
          <w:sz w:val="28"/>
          <w:szCs w:val="28"/>
          <w:lang w:val="en-US"/>
        </w:rPr>
      </w:pPr>
    </w:p>
    <w:p w14:paraId="5E15E027" w14:textId="77777777" w:rsidR="008C71EC" w:rsidRPr="008C71EC" w:rsidRDefault="008C71EC" w:rsidP="008C71EC">
      <w:pPr>
        <w:spacing w:line="360" w:lineRule="auto"/>
        <w:rPr>
          <w:rFonts w:ascii="Calibri" w:eastAsia="Calibri" w:hAnsi="Calibri" w:cs="Times New Roman"/>
          <w:sz w:val="28"/>
          <w:szCs w:val="28"/>
          <w:lang w:val="en-US"/>
        </w:rPr>
      </w:pPr>
    </w:p>
    <w:p w14:paraId="08450EF0" w14:textId="77777777" w:rsidR="008C71EC" w:rsidRPr="008C71EC" w:rsidRDefault="008C71EC" w:rsidP="008C71EC">
      <w:pPr>
        <w:spacing w:line="360" w:lineRule="auto"/>
        <w:rPr>
          <w:rFonts w:ascii="Calibri" w:eastAsia="Calibri" w:hAnsi="Calibri" w:cs="Times New Roman"/>
          <w:sz w:val="28"/>
          <w:szCs w:val="28"/>
          <w:lang w:val="en-US"/>
        </w:rPr>
      </w:pPr>
    </w:p>
    <w:p w14:paraId="5C5ACDB3" w14:textId="77777777" w:rsidR="008C71EC" w:rsidRPr="008C71EC" w:rsidRDefault="008C71EC" w:rsidP="008C71EC">
      <w:pPr>
        <w:spacing w:line="360" w:lineRule="auto"/>
        <w:rPr>
          <w:rFonts w:ascii="Arial" w:eastAsia="Calibri" w:hAnsi="Arial" w:cs="Arial"/>
          <w:sz w:val="28"/>
          <w:szCs w:val="28"/>
          <w:lang w:val="en-US"/>
        </w:rPr>
      </w:pPr>
    </w:p>
    <w:p w14:paraId="229234EE" w14:textId="77777777" w:rsidR="008C71EC" w:rsidRPr="008C71EC" w:rsidRDefault="008C71EC" w:rsidP="008C71EC">
      <w:pPr>
        <w:spacing w:line="360" w:lineRule="auto"/>
        <w:rPr>
          <w:rFonts w:ascii="Arial" w:eastAsia="Calibri" w:hAnsi="Arial" w:cs="Arial"/>
          <w:sz w:val="28"/>
          <w:szCs w:val="28"/>
          <w:lang w:val="en-US"/>
        </w:rPr>
      </w:pPr>
      <w:r w:rsidRPr="008C71EC">
        <w:rPr>
          <w:rFonts w:ascii="Arial" w:eastAsia="Calibri" w:hAnsi="Arial" w:cs="Arial"/>
          <w:sz w:val="28"/>
          <w:szCs w:val="28"/>
          <w:lang w:val="en-US"/>
        </w:rPr>
        <w:t>NAME: YOANNA MIHAYLOVA</w:t>
      </w:r>
    </w:p>
    <w:p w14:paraId="5E054D53" w14:textId="77777777" w:rsidR="008C71EC" w:rsidRPr="008C71EC" w:rsidRDefault="008C71EC" w:rsidP="008C71EC">
      <w:pPr>
        <w:spacing w:line="360" w:lineRule="auto"/>
        <w:rPr>
          <w:rFonts w:ascii="Arial" w:eastAsia="Calibri" w:hAnsi="Arial" w:cs="Arial"/>
          <w:sz w:val="28"/>
          <w:szCs w:val="28"/>
          <w:lang w:val="en-US"/>
        </w:rPr>
      </w:pPr>
      <w:r w:rsidRPr="008C71EC">
        <w:rPr>
          <w:rFonts w:ascii="Arial" w:eastAsia="Calibri" w:hAnsi="Arial" w:cs="Arial"/>
          <w:sz w:val="28"/>
          <w:szCs w:val="28"/>
          <w:lang w:val="en-US"/>
        </w:rPr>
        <w:t>NUMBER: 1818183</w:t>
      </w:r>
    </w:p>
    <w:p w14:paraId="0C745235" w14:textId="66D3508E" w:rsidR="008C71EC" w:rsidRPr="008C71EC" w:rsidRDefault="008C71EC" w:rsidP="008C71EC">
      <w:pPr>
        <w:spacing w:line="360" w:lineRule="auto"/>
        <w:rPr>
          <w:rFonts w:ascii="Arial" w:eastAsia="Calibri" w:hAnsi="Arial" w:cs="Arial"/>
          <w:sz w:val="28"/>
          <w:szCs w:val="28"/>
          <w:lang w:val="en-US"/>
        </w:rPr>
      </w:pPr>
      <w:r w:rsidRPr="008C71EC">
        <w:rPr>
          <w:rFonts w:ascii="Arial" w:eastAsia="Calibri" w:hAnsi="Arial" w:cs="Arial"/>
          <w:sz w:val="28"/>
          <w:szCs w:val="28"/>
          <w:lang w:val="en-US"/>
        </w:rPr>
        <w:t xml:space="preserve">SUBJECT: </w:t>
      </w:r>
      <w:r>
        <w:rPr>
          <w:rFonts w:ascii="Arial" w:eastAsia="Calibri" w:hAnsi="Arial" w:cs="Arial"/>
          <w:sz w:val="28"/>
          <w:szCs w:val="28"/>
          <w:lang w:val="en-US"/>
        </w:rPr>
        <w:t>MANAGING PEOPLE</w:t>
      </w:r>
      <w:r w:rsidRPr="008C71EC">
        <w:rPr>
          <w:rFonts w:ascii="Arial" w:eastAsia="Calibri" w:hAnsi="Arial" w:cs="Arial"/>
          <w:sz w:val="28"/>
          <w:szCs w:val="28"/>
          <w:lang w:val="en-US"/>
        </w:rPr>
        <w:t xml:space="preserve"> (</w:t>
      </w:r>
      <w:r w:rsidRPr="008C71EC">
        <w:rPr>
          <w:rFonts w:ascii="Arial" w:eastAsia="Calibri"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LCBB500</w:t>
      </w:r>
      <w:r>
        <w:rPr>
          <w:rFonts w:ascii="Arial" w:eastAsia="Calibri"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4</w:t>
      </w:r>
      <w:r w:rsidRPr="008C71EC">
        <w:rPr>
          <w:rFonts w:ascii="Arial" w:eastAsia="Calibri" w:hAnsi="Arial" w:cs="Arial"/>
          <w:color w:val="000000"/>
          <w:sz w:val="28"/>
          <w:szCs w:val="28"/>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w:t>
      </w:r>
    </w:p>
    <w:p w14:paraId="658261B1" w14:textId="64B1C734" w:rsidR="008C71EC" w:rsidRPr="008C71EC" w:rsidRDefault="008C71EC" w:rsidP="008C71EC">
      <w:pPr>
        <w:spacing w:line="360" w:lineRule="auto"/>
        <w:rPr>
          <w:rFonts w:ascii="Arial" w:eastAsia="Calibri" w:hAnsi="Arial" w:cs="Arial"/>
          <w:sz w:val="28"/>
          <w:szCs w:val="28"/>
          <w:lang w:val="en-US"/>
        </w:rPr>
      </w:pPr>
      <w:r w:rsidRPr="008C71EC">
        <w:rPr>
          <w:rFonts w:ascii="Arial" w:eastAsia="Calibri" w:hAnsi="Arial" w:cs="Arial"/>
          <w:sz w:val="28"/>
          <w:szCs w:val="28"/>
          <w:lang w:val="en-US"/>
        </w:rPr>
        <w:t xml:space="preserve">TOPIC: </w:t>
      </w:r>
      <w:r>
        <w:rPr>
          <w:rFonts w:ascii="Arial" w:eastAsia="Calibri" w:hAnsi="Arial" w:cs="Arial"/>
          <w:sz w:val="28"/>
          <w:szCs w:val="28"/>
          <w:lang w:val="en-US"/>
        </w:rPr>
        <w:t>REPORT</w:t>
      </w:r>
    </w:p>
    <w:p w14:paraId="55EAA41B" w14:textId="64B85378" w:rsidR="008C71EC" w:rsidRPr="008C71EC" w:rsidRDefault="008C71EC" w:rsidP="008C71EC">
      <w:pPr>
        <w:spacing w:line="360" w:lineRule="auto"/>
        <w:rPr>
          <w:rFonts w:ascii="Arial" w:eastAsia="Calibri" w:hAnsi="Arial" w:cs="Arial"/>
          <w:sz w:val="28"/>
          <w:szCs w:val="28"/>
          <w:lang w:val="en-US"/>
        </w:rPr>
      </w:pPr>
      <w:r w:rsidRPr="008C71EC">
        <w:rPr>
          <w:rFonts w:ascii="Arial" w:eastAsia="Calibri" w:hAnsi="Arial" w:cs="Arial"/>
          <w:sz w:val="28"/>
          <w:szCs w:val="28"/>
          <w:lang w:val="en-US"/>
        </w:rPr>
        <w:t xml:space="preserve">LECTURER: </w:t>
      </w:r>
      <w:r>
        <w:rPr>
          <w:rFonts w:ascii="Arial" w:eastAsia="Calibri" w:hAnsi="Arial" w:cs="Arial"/>
          <w:sz w:val="28"/>
          <w:szCs w:val="28"/>
          <w:lang w:val="en-US"/>
        </w:rPr>
        <w:t>ZE ZOOK</w:t>
      </w:r>
    </w:p>
    <w:p w14:paraId="17CCA9E6" w14:textId="219E8B03" w:rsidR="003F1AFB" w:rsidRPr="0042004C" w:rsidRDefault="003F1AFB" w:rsidP="00EB19BC">
      <w:pPr>
        <w:spacing w:line="480" w:lineRule="auto"/>
        <w:rPr>
          <w:rFonts w:ascii="Times New Roman" w:hAnsi="Times New Roman" w:cs="Times New Roman"/>
          <w:sz w:val="24"/>
          <w:szCs w:val="24"/>
        </w:rPr>
      </w:pPr>
    </w:p>
    <w:p w14:paraId="5A47BD3E" w14:textId="77777777" w:rsidR="003F1AFB" w:rsidRPr="0042004C" w:rsidRDefault="003F1AFB" w:rsidP="00EB19BC">
      <w:pPr>
        <w:spacing w:line="480" w:lineRule="auto"/>
        <w:rPr>
          <w:rFonts w:ascii="Times New Roman" w:hAnsi="Times New Roman" w:cs="Times New Roman"/>
          <w:sz w:val="24"/>
          <w:szCs w:val="24"/>
        </w:rPr>
      </w:pPr>
    </w:p>
    <w:p w14:paraId="6A65F227" w14:textId="77777777" w:rsidR="003F5501" w:rsidRPr="0042004C" w:rsidRDefault="003F5501" w:rsidP="00EB19BC">
      <w:pPr>
        <w:spacing w:line="480" w:lineRule="auto"/>
        <w:rPr>
          <w:rFonts w:ascii="Times New Roman" w:hAnsi="Times New Roman" w:cs="Times New Roman"/>
          <w:sz w:val="24"/>
          <w:szCs w:val="24"/>
        </w:rPr>
      </w:pPr>
      <w:r w:rsidRPr="0042004C">
        <w:rPr>
          <w:rFonts w:ascii="Times New Roman" w:hAnsi="Times New Roman" w:cs="Times New Roman"/>
          <w:sz w:val="24"/>
          <w:szCs w:val="24"/>
        </w:rPr>
        <w:br w:type="page"/>
      </w:r>
    </w:p>
    <w:sdt>
      <w:sdtPr>
        <w:rPr>
          <w:rFonts w:ascii="Arial" w:eastAsiaTheme="minorHAnsi" w:hAnsi="Arial" w:cs="Arial"/>
          <w:color w:val="auto"/>
          <w:sz w:val="24"/>
          <w:szCs w:val="24"/>
          <w:lang w:val="en-GB"/>
        </w:rPr>
        <w:id w:val="1359937544"/>
        <w:docPartObj>
          <w:docPartGallery w:val="Table of Contents"/>
          <w:docPartUnique/>
        </w:docPartObj>
      </w:sdtPr>
      <w:sdtEndPr>
        <w:rPr>
          <w:b/>
          <w:bCs/>
          <w:noProof/>
        </w:rPr>
      </w:sdtEndPr>
      <w:sdtContent>
        <w:p w14:paraId="5F1A482A" w14:textId="77777777" w:rsidR="008C71EC" w:rsidRPr="008C71EC" w:rsidRDefault="008C71EC" w:rsidP="008C71EC">
          <w:pPr>
            <w:pStyle w:val="TOCHeading"/>
            <w:spacing w:line="360" w:lineRule="auto"/>
            <w:jc w:val="both"/>
            <w:rPr>
              <w:rFonts w:ascii="Arial" w:eastAsiaTheme="minorHAnsi" w:hAnsi="Arial" w:cs="Arial"/>
              <w:color w:val="auto"/>
              <w:sz w:val="24"/>
              <w:szCs w:val="24"/>
              <w:lang w:val="en-GB"/>
            </w:rPr>
          </w:pPr>
        </w:p>
        <w:p w14:paraId="41022F80" w14:textId="770D9501" w:rsidR="00862890" w:rsidRPr="008C71EC" w:rsidRDefault="00862890" w:rsidP="008C71EC">
          <w:pPr>
            <w:pStyle w:val="TOCHeading"/>
            <w:spacing w:line="360" w:lineRule="auto"/>
            <w:jc w:val="center"/>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71EC">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p w14:paraId="73CF837F" w14:textId="3594E7A7" w:rsidR="00862890" w:rsidRPr="008C71EC" w:rsidRDefault="00862890" w:rsidP="008C71EC">
          <w:pPr>
            <w:pStyle w:val="TOC1"/>
            <w:numPr>
              <w:ilvl w:val="0"/>
              <w:numId w:val="1"/>
            </w:numPr>
            <w:tabs>
              <w:tab w:val="right" w:leader="dot" w:pos="9016"/>
            </w:tabs>
            <w:spacing w:line="360" w:lineRule="auto"/>
            <w:jc w:val="both"/>
            <w:rPr>
              <w:rFonts w:ascii="Arial" w:hAnsi="Arial" w:cs="Arial"/>
              <w:noProof/>
              <w:sz w:val="24"/>
              <w:szCs w:val="24"/>
            </w:rPr>
          </w:pPr>
          <w:r w:rsidRPr="008C71EC">
            <w:rPr>
              <w:rFonts w:ascii="Arial" w:hAnsi="Arial" w:cs="Arial"/>
              <w:sz w:val="24"/>
              <w:szCs w:val="24"/>
            </w:rPr>
            <w:fldChar w:fldCharType="begin"/>
          </w:r>
          <w:r w:rsidRPr="008C71EC">
            <w:rPr>
              <w:rFonts w:ascii="Arial" w:hAnsi="Arial" w:cs="Arial"/>
              <w:sz w:val="24"/>
              <w:szCs w:val="24"/>
            </w:rPr>
            <w:instrText xml:space="preserve"> TOC \o "1-3" \h \z \u </w:instrText>
          </w:r>
          <w:r w:rsidRPr="008C71EC">
            <w:rPr>
              <w:rFonts w:ascii="Arial" w:hAnsi="Arial" w:cs="Arial"/>
              <w:sz w:val="24"/>
              <w:szCs w:val="24"/>
            </w:rPr>
            <w:fldChar w:fldCharType="separate"/>
          </w:r>
          <w:hyperlink w:anchor="_Toc56026287" w:history="1">
            <w:r w:rsidRPr="008C71EC">
              <w:rPr>
                <w:rStyle w:val="Hyperlink"/>
                <w:rFonts w:ascii="Arial" w:hAnsi="Arial" w:cs="Arial"/>
                <w:noProof/>
                <w:sz w:val="24"/>
                <w:szCs w:val="24"/>
              </w:rPr>
              <w:t>Introduction</w:t>
            </w:r>
            <w:r w:rsidRPr="008C71EC">
              <w:rPr>
                <w:rFonts w:ascii="Arial" w:hAnsi="Arial" w:cs="Arial"/>
                <w:noProof/>
                <w:webHidden/>
                <w:sz w:val="24"/>
                <w:szCs w:val="24"/>
              </w:rPr>
              <w:tab/>
            </w:r>
            <w:r w:rsidR="008C71EC">
              <w:rPr>
                <w:rFonts w:ascii="Arial" w:hAnsi="Arial" w:cs="Arial"/>
                <w:noProof/>
                <w:webHidden/>
                <w:sz w:val="24"/>
                <w:szCs w:val="24"/>
              </w:rPr>
              <w:t>4</w:t>
            </w:r>
          </w:hyperlink>
        </w:p>
        <w:p w14:paraId="7AF49A8A" w14:textId="6D2D3336" w:rsidR="00862890" w:rsidRPr="008C71EC" w:rsidRDefault="008C71EC" w:rsidP="008C71EC">
          <w:pPr>
            <w:pStyle w:val="TOC1"/>
            <w:tabs>
              <w:tab w:val="right" w:leader="dot" w:pos="9016"/>
            </w:tabs>
            <w:spacing w:line="360" w:lineRule="auto"/>
            <w:jc w:val="both"/>
            <w:rPr>
              <w:rFonts w:ascii="Arial" w:hAnsi="Arial" w:cs="Arial"/>
              <w:noProof/>
              <w:sz w:val="24"/>
              <w:szCs w:val="24"/>
            </w:rPr>
          </w:pPr>
          <w:r>
            <w:rPr>
              <w:rFonts w:ascii="Arial" w:hAnsi="Arial" w:cs="Arial"/>
              <w:sz w:val="24"/>
              <w:szCs w:val="24"/>
            </w:rPr>
            <w:t xml:space="preserve">2. </w:t>
          </w:r>
          <w:hyperlink w:anchor="_Toc56026288" w:history="1">
            <w:r w:rsidR="00862890" w:rsidRPr="008C71EC">
              <w:rPr>
                <w:rStyle w:val="Hyperlink"/>
                <w:rFonts w:ascii="Arial" w:hAnsi="Arial" w:cs="Arial"/>
                <w:noProof/>
                <w:sz w:val="24"/>
                <w:szCs w:val="24"/>
              </w:rPr>
              <w:t>Concept and Drivers of Employee Engagement.</w:t>
            </w:r>
            <w:r w:rsidR="00862890" w:rsidRPr="008C71EC">
              <w:rPr>
                <w:rFonts w:ascii="Arial" w:hAnsi="Arial" w:cs="Arial"/>
                <w:noProof/>
                <w:webHidden/>
                <w:sz w:val="24"/>
                <w:szCs w:val="24"/>
              </w:rPr>
              <w:tab/>
            </w:r>
            <w:r>
              <w:rPr>
                <w:rFonts w:ascii="Arial" w:hAnsi="Arial" w:cs="Arial"/>
                <w:noProof/>
                <w:webHidden/>
                <w:sz w:val="24"/>
                <w:szCs w:val="24"/>
              </w:rPr>
              <w:t>4</w:t>
            </w:r>
          </w:hyperlink>
        </w:p>
        <w:p w14:paraId="14D9A6A2" w14:textId="35588793" w:rsidR="00862890" w:rsidRPr="008C71EC" w:rsidRDefault="008C71EC" w:rsidP="008C71EC">
          <w:pPr>
            <w:pStyle w:val="TOC1"/>
            <w:tabs>
              <w:tab w:val="right" w:leader="dot" w:pos="9016"/>
            </w:tabs>
            <w:spacing w:line="360" w:lineRule="auto"/>
            <w:jc w:val="both"/>
            <w:rPr>
              <w:rFonts w:ascii="Arial" w:hAnsi="Arial" w:cs="Arial"/>
              <w:noProof/>
              <w:sz w:val="24"/>
              <w:szCs w:val="24"/>
            </w:rPr>
          </w:pPr>
          <w:r>
            <w:rPr>
              <w:rFonts w:ascii="Arial" w:hAnsi="Arial" w:cs="Arial"/>
              <w:sz w:val="24"/>
              <w:szCs w:val="24"/>
            </w:rPr>
            <w:t xml:space="preserve">3. </w:t>
          </w:r>
          <w:hyperlink w:anchor="_Toc56026289" w:history="1">
            <w:r w:rsidR="00862890" w:rsidRPr="008C71EC">
              <w:rPr>
                <w:rStyle w:val="Hyperlink"/>
                <w:rFonts w:ascii="Arial" w:hAnsi="Arial" w:cs="Arial"/>
                <w:noProof/>
                <w:sz w:val="24"/>
                <w:szCs w:val="24"/>
              </w:rPr>
              <w:t>Diagnostic Tools to Measure Engagement</w:t>
            </w:r>
            <w:r w:rsidR="00862890" w:rsidRPr="008C71EC">
              <w:rPr>
                <w:rFonts w:ascii="Arial" w:hAnsi="Arial" w:cs="Arial"/>
                <w:noProof/>
                <w:webHidden/>
                <w:sz w:val="24"/>
                <w:szCs w:val="24"/>
              </w:rPr>
              <w:tab/>
            </w:r>
            <w:r>
              <w:rPr>
                <w:rFonts w:ascii="Arial" w:hAnsi="Arial" w:cs="Arial"/>
                <w:noProof/>
                <w:webHidden/>
                <w:sz w:val="24"/>
                <w:szCs w:val="24"/>
              </w:rPr>
              <w:t>6</w:t>
            </w:r>
          </w:hyperlink>
        </w:p>
        <w:p w14:paraId="7CDA4A1F" w14:textId="19BCAA90" w:rsidR="00862890" w:rsidRPr="008C71EC" w:rsidRDefault="008C71EC" w:rsidP="008C71EC">
          <w:pPr>
            <w:pStyle w:val="TOC1"/>
            <w:tabs>
              <w:tab w:val="right" w:leader="dot" w:pos="9016"/>
            </w:tabs>
            <w:spacing w:line="360" w:lineRule="auto"/>
            <w:jc w:val="both"/>
            <w:rPr>
              <w:rFonts w:ascii="Arial" w:hAnsi="Arial" w:cs="Arial"/>
              <w:noProof/>
              <w:sz w:val="24"/>
              <w:szCs w:val="24"/>
            </w:rPr>
          </w:pPr>
          <w:r>
            <w:rPr>
              <w:rFonts w:ascii="Arial" w:hAnsi="Arial" w:cs="Arial"/>
              <w:sz w:val="24"/>
              <w:szCs w:val="24"/>
            </w:rPr>
            <w:t xml:space="preserve">4. </w:t>
          </w:r>
          <w:hyperlink w:anchor="_Toc56026290" w:history="1">
            <w:r w:rsidR="00862890" w:rsidRPr="008C71EC">
              <w:rPr>
                <w:rStyle w:val="Hyperlink"/>
                <w:rFonts w:ascii="Arial" w:hAnsi="Arial" w:cs="Arial"/>
                <w:noProof/>
                <w:sz w:val="24"/>
                <w:szCs w:val="24"/>
              </w:rPr>
              <w:t>Employee Value Proposition</w:t>
            </w:r>
            <w:r w:rsidR="00862890" w:rsidRPr="008C71EC">
              <w:rPr>
                <w:rFonts w:ascii="Arial" w:hAnsi="Arial" w:cs="Arial"/>
                <w:noProof/>
                <w:webHidden/>
                <w:sz w:val="24"/>
                <w:szCs w:val="24"/>
              </w:rPr>
              <w:tab/>
            </w:r>
            <w:r>
              <w:rPr>
                <w:rFonts w:ascii="Arial" w:hAnsi="Arial" w:cs="Arial"/>
                <w:noProof/>
                <w:webHidden/>
                <w:sz w:val="24"/>
                <w:szCs w:val="24"/>
              </w:rPr>
              <w:t>8</w:t>
            </w:r>
          </w:hyperlink>
        </w:p>
        <w:p w14:paraId="5D5A8D15" w14:textId="6330CC04" w:rsidR="00862890" w:rsidRPr="008C71EC" w:rsidRDefault="008C71EC" w:rsidP="008C71EC">
          <w:pPr>
            <w:pStyle w:val="TOC1"/>
            <w:tabs>
              <w:tab w:val="right" w:leader="dot" w:pos="9016"/>
            </w:tabs>
            <w:spacing w:line="360" w:lineRule="auto"/>
            <w:jc w:val="both"/>
            <w:rPr>
              <w:rFonts w:ascii="Arial" w:hAnsi="Arial" w:cs="Arial"/>
              <w:noProof/>
              <w:sz w:val="24"/>
              <w:szCs w:val="24"/>
            </w:rPr>
          </w:pPr>
          <w:r>
            <w:rPr>
              <w:rFonts w:ascii="Arial" w:hAnsi="Arial" w:cs="Arial"/>
              <w:sz w:val="24"/>
              <w:szCs w:val="24"/>
            </w:rPr>
            <w:t xml:space="preserve">5. </w:t>
          </w:r>
          <w:hyperlink w:anchor="_Toc56026291" w:history="1">
            <w:r w:rsidR="00862890" w:rsidRPr="008C71EC">
              <w:rPr>
                <w:rStyle w:val="Hyperlink"/>
                <w:rFonts w:ascii="Arial" w:hAnsi="Arial" w:cs="Arial"/>
                <w:noProof/>
                <w:sz w:val="24"/>
                <w:szCs w:val="24"/>
              </w:rPr>
              <w:t>Conclusion</w:t>
            </w:r>
            <w:r w:rsidR="00862890" w:rsidRPr="008C71EC">
              <w:rPr>
                <w:rFonts w:ascii="Arial" w:hAnsi="Arial" w:cs="Arial"/>
                <w:noProof/>
                <w:webHidden/>
                <w:sz w:val="24"/>
                <w:szCs w:val="24"/>
              </w:rPr>
              <w:tab/>
            </w:r>
            <w:r>
              <w:rPr>
                <w:rFonts w:ascii="Arial" w:hAnsi="Arial" w:cs="Arial"/>
                <w:noProof/>
                <w:webHidden/>
                <w:sz w:val="24"/>
                <w:szCs w:val="24"/>
              </w:rPr>
              <w:t>9</w:t>
            </w:r>
          </w:hyperlink>
        </w:p>
        <w:p w14:paraId="75E3485A" w14:textId="5F69B826" w:rsidR="00862890" w:rsidRPr="008C71EC" w:rsidRDefault="00496B57" w:rsidP="008C71EC">
          <w:pPr>
            <w:pStyle w:val="TOC1"/>
            <w:tabs>
              <w:tab w:val="right" w:leader="dot" w:pos="9016"/>
            </w:tabs>
            <w:spacing w:line="360" w:lineRule="auto"/>
            <w:jc w:val="both"/>
            <w:rPr>
              <w:rFonts w:ascii="Arial" w:hAnsi="Arial" w:cs="Arial"/>
              <w:noProof/>
              <w:sz w:val="24"/>
              <w:szCs w:val="24"/>
            </w:rPr>
          </w:pPr>
          <w:hyperlink w:anchor="_Toc56026292" w:history="1">
            <w:r w:rsidR="00862890" w:rsidRPr="008C71EC">
              <w:rPr>
                <w:rStyle w:val="Hyperlink"/>
                <w:rFonts w:ascii="Arial" w:hAnsi="Arial" w:cs="Arial"/>
                <w:noProof/>
                <w:sz w:val="24"/>
                <w:szCs w:val="24"/>
              </w:rPr>
              <w:t>References</w:t>
            </w:r>
            <w:r w:rsidR="00862890" w:rsidRPr="008C71EC">
              <w:rPr>
                <w:rFonts w:ascii="Arial" w:hAnsi="Arial" w:cs="Arial"/>
                <w:noProof/>
                <w:webHidden/>
                <w:sz w:val="24"/>
                <w:szCs w:val="24"/>
              </w:rPr>
              <w:tab/>
            </w:r>
            <w:r w:rsidR="008C71EC">
              <w:rPr>
                <w:rFonts w:ascii="Arial" w:hAnsi="Arial" w:cs="Arial"/>
                <w:noProof/>
                <w:webHidden/>
                <w:sz w:val="24"/>
                <w:szCs w:val="24"/>
              </w:rPr>
              <w:t>10</w:t>
            </w:r>
          </w:hyperlink>
        </w:p>
        <w:p w14:paraId="0BE511C0" w14:textId="58F7AE7C" w:rsidR="00862890" w:rsidRPr="008C71EC" w:rsidRDefault="00862890" w:rsidP="008C71EC">
          <w:pPr>
            <w:spacing w:line="360" w:lineRule="auto"/>
            <w:jc w:val="both"/>
            <w:rPr>
              <w:rFonts w:ascii="Arial" w:hAnsi="Arial" w:cs="Arial"/>
              <w:sz w:val="24"/>
              <w:szCs w:val="24"/>
            </w:rPr>
          </w:pPr>
          <w:r w:rsidRPr="008C71EC">
            <w:rPr>
              <w:rFonts w:ascii="Arial" w:hAnsi="Arial" w:cs="Arial"/>
              <w:b/>
              <w:bCs/>
              <w:noProof/>
              <w:sz w:val="24"/>
              <w:szCs w:val="24"/>
            </w:rPr>
            <w:fldChar w:fldCharType="end"/>
          </w:r>
        </w:p>
      </w:sdtContent>
    </w:sdt>
    <w:p w14:paraId="6B8381AA" w14:textId="77777777" w:rsidR="006545C7" w:rsidRPr="008C71EC" w:rsidRDefault="006545C7" w:rsidP="008C71EC">
      <w:pPr>
        <w:spacing w:line="360" w:lineRule="auto"/>
        <w:jc w:val="both"/>
        <w:rPr>
          <w:rFonts w:ascii="Arial" w:hAnsi="Arial" w:cs="Arial"/>
          <w:sz w:val="24"/>
          <w:szCs w:val="24"/>
        </w:rPr>
      </w:pPr>
    </w:p>
    <w:p w14:paraId="30EB7B64" w14:textId="24E0C942" w:rsidR="003F5501" w:rsidRPr="008C71EC" w:rsidRDefault="006545C7" w:rsidP="008C71EC">
      <w:pPr>
        <w:spacing w:line="360" w:lineRule="auto"/>
        <w:jc w:val="both"/>
        <w:rPr>
          <w:rFonts w:ascii="Arial" w:hAnsi="Arial" w:cs="Arial"/>
          <w:sz w:val="24"/>
          <w:szCs w:val="24"/>
        </w:rPr>
        <w:sectPr w:rsidR="003F5501" w:rsidRPr="008C71EC" w:rsidSect="003F5501">
          <w:footerReference w:type="default" r:id="rId9"/>
          <w:headerReference w:type="first" r:id="rId10"/>
          <w:pgSz w:w="11906" w:h="16838"/>
          <w:pgMar w:top="1440" w:right="1440" w:bottom="1440" w:left="1440" w:header="720" w:footer="720" w:gutter="0"/>
          <w:pgNumType w:fmt="lowerRoman"/>
          <w:cols w:space="720"/>
          <w:titlePg/>
          <w:docGrid w:linePitch="360"/>
        </w:sectPr>
      </w:pPr>
      <w:r w:rsidRPr="008C71EC">
        <w:rPr>
          <w:rFonts w:ascii="Arial" w:hAnsi="Arial" w:cs="Arial"/>
          <w:sz w:val="24"/>
          <w:szCs w:val="24"/>
        </w:rPr>
        <w:br w:type="page"/>
      </w:r>
    </w:p>
    <w:p w14:paraId="615F656B" w14:textId="6883618B" w:rsidR="00E104B7" w:rsidRPr="008C71EC" w:rsidRDefault="00E104B7" w:rsidP="008C71EC">
      <w:pPr>
        <w:pStyle w:val="Heading1"/>
        <w:numPr>
          <w:ilvl w:val="0"/>
          <w:numId w:val="2"/>
        </w:numPr>
        <w:spacing w:line="360" w:lineRule="auto"/>
        <w:jc w:val="both"/>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56026287"/>
      <w:r w:rsidRPr="008C71EC">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Introduction</w:t>
      </w:r>
      <w:bookmarkEnd w:id="0"/>
    </w:p>
    <w:p w14:paraId="23C2B462" w14:textId="4C12CD52" w:rsidR="00E104B7" w:rsidRPr="008C71EC" w:rsidRDefault="008C71EC" w:rsidP="008C71EC">
      <w:pPr>
        <w:spacing w:line="360" w:lineRule="auto"/>
        <w:jc w:val="both"/>
        <w:rPr>
          <w:rFonts w:ascii="Arial" w:hAnsi="Arial" w:cs="Arial"/>
          <w:sz w:val="24"/>
          <w:szCs w:val="24"/>
        </w:rPr>
      </w:pPr>
      <w:r>
        <w:rPr>
          <w:rFonts w:ascii="Arial" w:hAnsi="Arial" w:cs="Arial"/>
          <w:sz w:val="24"/>
          <w:szCs w:val="24"/>
        </w:rPr>
        <w:t xml:space="preserve">  </w:t>
      </w:r>
      <w:r w:rsidR="00E104B7" w:rsidRPr="008C71EC">
        <w:rPr>
          <w:rFonts w:ascii="Arial" w:hAnsi="Arial" w:cs="Arial"/>
          <w:sz w:val="24"/>
          <w:szCs w:val="24"/>
        </w:rPr>
        <w:t>The modern era is characterized by substantial global competition in the business world. Therefore, organizations are forced to devise new mechanisms that can help them keep up with the pace of the ever-changing competition in the modern world. One best method that has been developed is employee engagement. Employee engagement involves ways and means that organizations employ to get the best output out of their employees while considering the employees' satisfaction and work-life balance. To make the topic of employee engagement be understood better, this report reviews the concept and drivers of employee engagement, evaluates diagnostic tools used to measure engagement, and constructs employee value proposition.</w:t>
      </w:r>
    </w:p>
    <w:p w14:paraId="7F8EC666" w14:textId="5D56534D" w:rsidR="00E104B7" w:rsidRPr="008C71EC" w:rsidRDefault="00E104B7" w:rsidP="008C71EC">
      <w:pPr>
        <w:pStyle w:val="Heading1"/>
        <w:numPr>
          <w:ilvl w:val="0"/>
          <w:numId w:val="2"/>
        </w:num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56026288"/>
      <w:r w:rsidRPr="008C71E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Concept and Drivers of Employee Engagement.</w:t>
      </w:r>
      <w:bookmarkEnd w:id="1"/>
    </w:p>
    <w:p w14:paraId="235E3D1A" w14:textId="1B3056B1" w:rsidR="00E104B7" w:rsidRPr="008C71EC" w:rsidRDefault="008C71EC" w:rsidP="008C71EC">
      <w:pPr>
        <w:spacing w:line="360" w:lineRule="auto"/>
        <w:jc w:val="both"/>
        <w:rPr>
          <w:rFonts w:ascii="Arial" w:hAnsi="Arial" w:cs="Arial"/>
          <w:sz w:val="24"/>
          <w:szCs w:val="24"/>
        </w:rPr>
      </w:pPr>
      <w:r>
        <w:rPr>
          <w:rFonts w:ascii="Arial" w:hAnsi="Arial" w:cs="Arial"/>
          <w:sz w:val="24"/>
          <w:szCs w:val="24"/>
        </w:rPr>
        <w:t xml:space="preserve">   </w:t>
      </w:r>
      <w:r w:rsidR="00DC30A9" w:rsidRPr="008C71EC">
        <w:rPr>
          <w:rFonts w:ascii="Arial" w:hAnsi="Arial" w:cs="Arial"/>
          <w:sz w:val="24"/>
          <w:szCs w:val="24"/>
        </w:rPr>
        <w:t>Employee engagement has been a strategic issue for Human Resource managers recently</w:t>
      </w:r>
      <w:r w:rsidR="00E104B7" w:rsidRPr="008C71EC">
        <w:rPr>
          <w:rFonts w:ascii="Arial" w:hAnsi="Arial" w:cs="Arial"/>
          <w:sz w:val="24"/>
          <w:szCs w:val="24"/>
        </w:rPr>
        <w:t xml:space="preserve">. This is because employee engagement has evolved to become a tool for a strategic business partner. Also, employees' mental and well-being have grown to become very important in ensuring the success of any business enterprise. Employees whose interest and mental well-being are well-taken care of tend to overperform set standards and set new ones. With stiff competition that is a characteristic of the current business world, HR managers continuously seek to get the best out of their employees. Thus, they employ the concept and drivers of employee engagement in their quest to </w:t>
      </w:r>
      <w:r w:rsidR="00DC30A9" w:rsidRPr="008C71EC">
        <w:rPr>
          <w:rFonts w:ascii="Arial" w:hAnsi="Arial" w:cs="Arial"/>
          <w:sz w:val="24"/>
          <w:szCs w:val="24"/>
        </w:rPr>
        <w:t>progress</w:t>
      </w:r>
      <w:r w:rsidR="00E104B7" w:rsidRPr="008C71EC">
        <w:rPr>
          <w:rFonts w:ascii="Arial" w:hAnsi="Arial" w:cs="Arial"/>
          <w:sz w:val="24"/>
          <w:szCs w:val="24"/>
        </w:rPr>
        <w:t xml:space="preserve"> employee performance (Gupta and Sharma, 2016).</w:t>
      </w:r>
    </w:p>
    <w:p w14:paraId="715AE6A2" w14:textId="53281504" w:rsidR="00E104B7" w:rsidRPr="008C71EC" w:rsidRDefault="00AE0575" w:rsidP="008C71EC">
      <w:pPr>
        <w:spacing w:line="360" w:lineRule="auto"/>
        <w:jc w:val="both"/>
        <w:rPr>
          <w:rFonts w:ascii="Arial" w:hAnsi="Arial" w:cs="Arial"/>
          <w:sz w:val="24"/>
          <w:szCs w:val="24"/>
        </w:rPr>
      </w:pPr>
      <w:r>
        <w:rPr>
          <w:rFonts w:ascii="Arial" w:hAnsi="Arial" w:cs="Arial"/>
          <w:sz w:val="24"/>
          <w:szCs w:val="24"/>
        </w:rPr>
        <w:t xml:space="preserve">   </w:t>
      </w:r>
      <w:r w:rsidR="00E104B7" w:rsidRPr="008C71EC">
        <w:rPr>
          <w:rFonts w:ascii="Arial" w:hAnsi="Arial" w:cs="Arial"/>
          <w:sz w:val="24"/>
          <w:szCs w:val="24"/>
        </w:rPr>
        <w:t xml:space="preserve">Employee engagement nowadays is one of the most </w:t>
      </w:r>
      <w:r w:rsidR="00DC30A9" w:rsidRPr="008C71EC">
        <w:rPr>
          <w:rFonts w:ascii="Arial" w:hAnsi="Arial" w:cs="Arial"/>
          <w:sz w:val="24"/>
          <w:szCs w:val="24"/>
        </w:rPr>
        <w:t>vital</w:t>
      </w:r>
      <w:r w:rsidR="00E104B7" w:rsidRPr="008C71EC">
        <w:rPr>
          <w:rFonts w:ascii="Arial" w:hAnsi="Arial" w:cs="Arial"/>
          <w:sz w:val="24"/>
          <w:szCs w:val="24"/>
        </w:rPr>
        <w:t xml:space="preserve"> drivers of a business. This is because it affects employee morale either positively or negatively. Thus, in the long run, it impacts the performance and productivity of the enterprise. In the workplace, research on employee engagement by </w:t>
      </w:r>
      <w:proofErr w:type="spellStart"/>
      <w:r w:rsidR="00E104B7" w:rsidRPr="008C71EC">
        <w:rPr>
          <w:rFonts w:ascii="Arial" w:hAnsi="Arial" w:cs="Arial"/>
          <w:sz w:val="24"/>
          <w:szCs w:val="24"/>
        </w:rPr>
        <w:t>Radda</w:t>
      </w:r>
      <w:proofErr w:type="spellEnd"/>
      <w:r w:rsidR="00E104B7" w:rsidRPr="008C71EC">
        <w:rPr>
          <w:rFonts w:ascii="Arial" w:hAnsi="Arial" w:cs="Arial"/>
          <w:sz w:val="24"/>
          <w:szCs w:val="24"/>
        </w:rPr>
        <w:t xml:space="preserve"> (2017) observes that engaging employees by giving them the opportunity makes them outperform the set standards and set new ones. This is because they have the freedom to be creative and innovative. Thus, they can always devise new methods and means of getting perfect results quickly and efficiently. Consequently, when employees are psychologically healthy, they tend to have higher concentrations and pay full attention to the tasks they are undertaking. Therefore, saying that employee engagement in this digital era whereby any organization with money can get access to production material is the backbone of most enterprises' success.</w:t>
      </w:r>
    </w:p>
    <w:p w14:paraId="474ECD09" w14:textId="3E124A66" w:rsidR="00E104B7" w:rsidRPr="008C71EC" w:rsidRDefault="00AE0575" w:rsidP="008C71EC">
      <w:pPr>
        <w:spacing w:line="360" w:lineRule="auto"/>
        <w:jc w:val="both"/>
        <w:rPr>
          <w:rFonts w:ascii="Arial" w:hAnsi="Arial" w:cs="Arial"/>
          <w:sz w:val="24"/>
          <w:szCs w:val="24"/>
        </w:rPr>
      </w:pPr>
      <w:r>
        <w:rPr>
          <w:rFonts w:ascii="Arial" w:hAnsi="Arial" w:cs="Arial"/>
          <w:sz w:val="24"/>
          <w:szCs w:val="24"/>
        </w:rPr>
        <w:lastRenderedPageBreak/>
        <w:t xml:space="preserve">   </w:t>
      </w:r>
      <w:r w:rsidR="00E104B7" w:rsidRPr="008C71EC">
        <w:rPr>
          <w:rFonts w:ascii="Arial" w:hAnsi="Arial" w:cs="Arial"/>
          <w:sz w:val="24"/>
          <w:szCs w:val="24"/>
        </w:rPr>
        <w:t xml:space="preserve">Past studies argue that leadership is </w:t>
      </w:r>
      <w:r w:rsidR="00DC30A9" w:rsidRPr="008C71EC">
        <w:rPr>
          <w:rFonts w:ascii="Arial" w:hAnsi="Arial" w:cs="Arial"/>
          <w:sz w:val="24"/>
          <w:szCs w:val="24"/>
        </w:rPr>
        <w:t>an</w:t>
      </w:r>
      <w:r w:rsidR="00E104B7" w:rsidRPr="008C71EC">
        <w:rPr>
          <w:rFonts w:ascii="Arial" w:hAnsi="Arial" w:cs="Arial"/>
          <w:sz w:val="24"/>
          <w:szCs w:val="24"/>
        </w:rPr>
        <w:t xml:space="preserve"> </w:t>
      </w:r>
      <w:r w:rsidR="00283B15" w:rsidRPr="008C71EC">
        <w:rPr>
          <w:rFonts w:ascii="Arial" w:hAnsi="Arial" w:cs="Arial"/>
          <w:sz w:val="24"/>
          <w:szCs w:val="24"/>
        </w:rPr>
        <w:t>essential driver</w:t>
      </w:r>
      <w:r w:rsidR="00E104B7" w:rsidRPr="008C71EC">
        <w:rPr>
          <w:rFonts w:ascii="Arial" w:hAnsi="Arial" w:cs="Arial"/>
          <w:sz w:val="24"/>
          <w:szCs w:val="24"/>
        </w:rPr>
        <w:t xml:space="preserve"> in employee engagement. Barik and </w:t>
      </w:r>
      <w:proofErr w:type="spellStart"/>
      <w:r w:rsidR="00E104B7" w:rsidRPr="008C71EC">
        <w:rPr>
          <w:rFonts w:ascii="Arial" w:hAnsi="Arial" w:cs="Arial"/>
          <w:sz w:val="24"/>
          <w:szCs w:val="24"/>
        </w:rPr>
        <w:t>Kochar</w:t>
      </w:r>
      <w:proofErr w:type="spellEnd"/>
      <w:r w:rsidR="00E104B7" w:rsidRPr="008C71EC">
        <w:rPr>
          <w:rFonts w:ascii="Arial" w:hAnsi="Arial" w:cs="Arial"/>
          <w:sz w:val="24"/>
          <w:szCs w:val="24"/>
        </w:rPr>
        <w:t xml:space="preserve"> (2017) research on employee engagement provides evidence that certain employee </w:t>
      </w:r>
      <w:r w:rsidR="00283B15" w:rsidRPr="008C71EC">
        <w:rPr>
          <w:rFonts w:ascii="Arial" w:hAnsi="Arial" w:cs="Arial"/>
          <w:sz w:val="24"/>
          <w:szCs w:val="24"/>
        </w:rPr>
        <w:t>behaviours</w:t>
      </w:r>
      <w:r w:rsidR="00E104B7" w:rsidRPr="008C71EC">
        <w:rPr>
          <w:rFonts w:ascii="Arial" w:hAnsi="Arial" w:cs="Arial"/>
          <w:sz w:val="24"/>
          <w:szCs w:val="24"/>
        </w:rPr>
        <w:t xml:space="preserve"> directly impact employees' motivation, proactiveness, commitment, and behaviour. Gupta and Sharma (2016) state that when a leader's </w:t>
      </w:r>
      <w:r w:rsidR="00283B15" w:rsidRPr="008C71EC">
        <w:rPr>
          <w:rFonts w:ascii="Arial" w:hAnsi="Arial" w:cs="Arial"/>
          <w:sz w:val="24"/>
          <w:szCs w:val="24"/>
        </w:rPr>
        <w:t>behaviour</w:t>
      </w:r>
      <w:r w:rsidR="00E104B7" w:rsidRPr="008C71EC">
        <w:rPr>
          <w:rFonts w:ascii="Arial" w:hAnsi="Arial" w:cs="Arial"/>
          <w:sz w:val="24"/>
          <w:szCs w:val="24"/>
        </w:rPr>
        <w:t xml:space="preserve"> is friendly, performance-oriented, and accommodative, employees have the freedom to explore different options to achieve the best result for the organization. In contrast, dictatorship leaderships make employees work towards attaining the minimum set standards for them. Gupta and Sharma (2016) global review on-A way to better business performance shows that considerate leadership is crucial in imparting confidence to employees, motivating employees, and making employees have the same goals, mission, and vision the same to that of the organization. Additionally, considerate leadership seeks to engage employees in all the organization's processes, which, according to Barik and </w:t>
      </w:r>
      <w:proofErr w:type="spellStart"/>
      <w:r w:rsidR="00E104B7" w:rsidRPr="008C71EC">
        <w:rPr>
          <w:rFonts w:ascii="Arial" w:hAnsi="Arial" w:cs="Arial"/>
          <w:sz w:val="24"/>
          <w:szCs w:val="24"/>
        </w:rPr>
        <w:t>Kochar</w:t>
      </w:r>
      <w:proofErr w:type="spellEnd"/>
      <w:r w:rsidR="00E104B7" w:rsidRPr="008C71EC">
        <w:rPr>
          <w:rFonts w:ascii="Arial" w:hAnsi="Arial" w:cs="Arial"/>
          <w:sz w:val="24"/>
          <w:szCs w:val="24"/>
        </w:rPr>
        <w:t xml:space="preserve"> (2017), are vital in any organization's success.</w:t>
      </w:r>
    </w:p>
    <w:p w14:paraId="351CB999" w14:textId="6EF298A2" w:rsidR="00E104B7" w:rsidRPr="008C71EC" w:rsidRDefault="00AE0575" w:rsidP="008C71EC">
      <w:pPr>
        <w:spacing w:line="360" w:lineRule="auto"/>
        <w:jc w:val="both"/>
        <w:rPr>
          <w:rFonts w:ascii="Arial" w:hAnsi="Arial" w:cs="Arial"/>
          <w:sz w:val="24"/>
          <w:szCs w:val="24"/>
        </w:rPr>
      </w:pPr>
      <w:r>
        <w:rPr>
          <w:rFonts w:ascii="Arial" w:hAnsi="Arial" w:cs="Arial"/>
          <w:sz w:val="24"/>
          <w:szCs w:val="24"/>
        </w:rPr>
        <w:t xml:space="preserve">   </w:t>
      </w:r>
      <w:r w:rsidR="00E104B7" w:rsidRPr="008C71EC">
        <w:rPr>
          <w:rFonts w:ascii="Arial" w:hAnsi="Arial" w:cs="Arial"/>
          <w:sz w:val="24"/>
          <w:szCs w:val="24"/>
        </w:rPr>
        <w:t xml:space="preserve">In another study by </w:t>
      </w:r>
      <w:proofErr w:type="spellStart"/>
      <w:r w:rsidR="00E104B7" w:rsidRPr="008C71EC">
        <w:rPr>
          <w:rFonts w:ascii="Arial" w:hAnsi="Arial" w:cs="Arial"/>
          <w:sz w:val="24"/>
          <w:szCs w:val="24"/>
        </w:rPr>
        <w:t>Radda</w:t>
      </w:r>
      <w:proofErr w:type="spellEnd"/>
      <w:r w:rsidR="00E104B7" w:rsidRPr="008C71EC">
        <w:rPr>
          <w:rFonts w:ascii="Arial" w:hAnsi="Arial" w:cs="Arial"/>
          <w:sz w:val="24"/>
          <w:szCs w:val="24"/>
        </w:rPr>
        <w:t xml:space="preserve"> et al., (2017), work-life balance is considered a crucial driver of employee engagement. Work-life is defined as a good division between work duties and other personal duties, such as family time and leisure activities. According to </w:t>
      </w:r>
      <w:proofErr w:type="spellStart"/>
      <w:r w:rsidR="00E104B7" w:rsidRPr="008C71EC">
        <w:rPr>
          <w:rFonts w:ascii="Arial" w:hAnsi="Arial" w:cs="Arial"/>
          <w:sz w:val="24"/>
          <w:szCs w:val="24"/>
        </w:rPr>
        <w:t>Radda</w:t>
      </w:r>
      <w:proofErr w:type="spellEnd"/>
      <w:r w:rsidR="00E104B7" w:rsidRPr="008C71EC">
        <w:rPr>
          <w:rFonts w:ascii="Arial" w:hAnsi="Arial" w:cs="Arial"/>
          <w:sz w:val="24"/>
          <w:szCs w:val="24"/>
        </w:rPr>
        <w:t xml:space="preserve"> (2017), work-life balance is crucial in determining employees' output and the organization's general success. </w:t>
      </w:r>
      <w:proofErr w:type="spellStart"/>
      <w:r w:rsidR="00E104B7" w:rsidRPr="008C71EC">
        <w:rPr>
          <w:rFonts w:ascii="Arial" w:hAnsi="Arial" w:cs="Arial"/>
          <w:sz w:val="24"/>
          <w:szCs w:val="24"/>
        </w:rPr>
        <w:t>Radda</w:t>
      </w:r>
      <w:proofErr w:type="spellEnd"/>
      <w:r w:rsidR="00E104B7" w:rsidRPr="008C71EC">
        <w:rPr>
          <w:rFonts w:ascii="Arial" w:hAnsi="Arial" w:cs="Arial"/>
          <w:sz w:val="24"/>
          <w:szCs w:val="24"/>
        </w:rPr>
        <w:t xml:space="preserve"> (2017) found out that engaging employees so much without considering their other personal issues like leave, flexible work options, and organizational support for dependent care makes employees emotionally exhausted. Thus, they don't perform to their optimum levels. Moreover, with the ongoing Coronavirus pandemic, allowing employees to work from home and giving flexible working options make employees perform well compared to them being forced to report to work with the ongoing virus.</w:t>
      </w:r>
    </w:p>
    <w:p w14:paraId="2A08E891" w14:textId="76BA8678" w:rsidR="00E104B7" w:rsidRPr="008C71EC" w:rsidRDefault="00AE0575" w:rsidP="008C71EC">
      <w:pPr>
        <w:spacing w:line="360" w:lineRule="auto"/>
        <w:jc w:val="both"/>
        <w:rPr>
          <w:rFonts w:ascii="Arial" w:hAnsi="Arial" w:cs="Arial"/>
          <w:sz w:val="24"/>
          <w:szCs w:val="24"/>
        </w:rPr>
      </w:pPr>
      <w:r>
        <w:rPr>
          <w:rFonts w:ascii="Arial" w:hAnsi="Arial" w:cs="Arial"/>
          <w:sz w:val="24"/>
          <w:szCs w:val="24"/>
        </w:rPr>
        <w:t xml:space="preserve">   </w:t>
      </w:r>
      <w:r w:rsidR="00E104B7" w:rsidRPr="008C71EC">
        <w:rPr>
          <w:rFonts w:ascii="Arial" w:hAnsi="Arial" w:cs="Arial"/>
          <w:sz w:val="24"/>
          <w:szCs w:val="24"/>
        </w:rPr>
        <w:t xml:space="preserve">Significant research says that communication is an essential driver in employee engagement. </w:t>
      </w:r>
      <w:proofErr w:type="spellStart"/>
      <w:r w:rsidR="00E104B7" w:rsidRPr="008C71EC">
        <w:rPr>
          <w:rFonts w:ascii="Arial" w:hAnsi="Arial" w:cs="Arial"/>
          <w:sz w:val="24"/>
          <w:szCs w:val="24"/>
        </w:rPr>
        <w:t>Bhuvanaiah</w:t>
      </w:r>
      <w:proofErr w:type="spellEnd"/>
      <w:r w:rsidR="00E104B7" w:rsidRPr="008C71EC">
        <w:rPr>
          <w:rFonts w:ascii="Arial" w:hAnsi="Arial" w:cs="Arial"/>
          <w:sz w:val="24"/>
          <w:szCs w:val="24"/>
        </w:rPr>
        <w:t xml:space="preserve"> and Raya (2015) assert that communication can impact day-to-day organizational activities positively or negatively. They argue that communication can become a barrier to corporate success when it is insufficient. However, when information is conveyed clearly and precisely, it can lead an organization to success. Employee engagement, which is crucial in improving employee performance, is brought about by internal communication. Internal communication is the information that is passed between organization leaders and </w:t>
      </w:r>
      <w:r w:rsidR="00E104B7" w:rsidRPr="008C71EC">
        <w:rPr>
          <w:rFonts w:ascii="Arial" w:hAnsi="Arial" w:cs="Arial"/>
          <w:sz w:val="24"/>
          <w:szCs w:val="24"/>
        </w:rPr>
        <w:lastRenderedPageBreak/>
        <w:t>their employees to communicate organizational goals and objectives. Besides, internal communication seeks to win employees' trust and support in chasing its mission and vision.</w:t>
      </w:r>
    </w:p>
    <w:p w14:paraId="32CECF2E" w14:textId="02084DA9" w:rsidR="00E104B7" w:rsidRPr="008C71EC" w:rsidRDefault="00AE0575" w:rsidP="008C71EC">
      <w:pPr>
        <w:spacing w:line="360" w:lineRule="auto"/>
        <w:jc w:val="both"/>
        <w:rPr>
          <w:rFonts w:ascii="Arial" w:hAnsi="Arial" w:cs="Arial"/>
          <w:sz w:val="24"/>
          <w:szCs w:val="24"/>
        </w:rPr>
      </w:pPr>
      <w:r>
        <w:rPr>
          <w:rFonts w:ascii="Arial" w:hAnsi="Arial" w:cs="Arial"/>
          <w:sz w:val="24"/>
          <w:szCs w:val="24"/>
        </w:rPr>
        <w:t xml:space="preserve">   </w:t>
      </w:r>
      <w:r w:rsidR="00E104B7" w:rsidRPr="008C71EC">
        <w:rPr>
          <w:rFonts w:ascii="Arial" w:hAnsi="Arial" w:cs="Arial"/>
          <w:sz w:val="24"/>
          <w:szCs w:val="24"/>
        </w:rPr>
        <w:t xml:space="preserve">Employee engagement should not be a one-time occurrence for organizations that seek to achieve tremendous success. It should be an exercise that is carried frequently. This is because the business world is evolving, and employees are becoming pivotal for any organization's success.  Enterprises should engage their employees in decisions that affect their engagement. Consequently, employees should be given the freedom to work when they are most active </w:t>
      </w:r>
      <w:proofErr w:type="gramStart"/>
      <w:r w:rsidR="00E104B7" w:rsidRPr="008C71EC">
        <w:rPr>
          <w:rFonts w:ascii="Arial" w:hAnsi="Arial" w:cs="Arial"/>
          <w:sz w:val="24"/>
          <w:szCs w:val="24"/>
        </w:rPr>
        <w:t>as long as</w:t>
      </w:r>
      <w:proofErr w:type="gramEnd"/>
      <w:r w:rsidR="00E104B7" w:rsidRPr="008C71EC">
        <w:rPr>
          <w:rFonts w:ascii="Arial" w:hAnsi="Arial" w:cs="Arial"/>
          <w:sz w:val="24"/>
          <w:szCs w:val="24"/>
        </w:rPr>
        <w:t xml:space="preserve"> they meet the minimum working hours. Besides, with the Coronavirus pandemic, working from home should be mandatory for all companies. They will protect the health of their employees and emotionally out their employees to deliver the best results.</w:t>
      </w:r>
    </w:p>
    <w:p w14:paraId="42EEDCA5" w14:textId="7D8B02FD" w:rsidR="00E104B7" w:rsidRPr="00AE0575" w:rsidRDefault="00E104B7" w:rsidP="00AE0575">
      <w:pPr>
        <w:pStyle w:val="Heading1"/>
        <w:numPr>
          <w:ilvl w:val="0"/>
          <w:numId w:val="2"/>
        </w:num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56026289"/>
      <w:r w:rsidRPr="00AE057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Diagnostic Tools to Measure Engagement</w:t>
      </w:r>
      <w:bookmarkEnd w:id="2"/>
    </w:p>
    <w:p w14:paraId="609383FA" w14:textId="7C53EAAC" w:rsidR="00E104B7" w:rsidRPr="008C71EC" w:rsidRDefault="00AE0575" w:rsidP="008C71EC">
      <w:pPr>
        <w:spacing w:line="360" w:lineRule="auto"/>
        <w:jc w:val="both"/>
        <w:rPr>
          <w:rFonts w:ascii="Arial" w:hAnsi="Arial" w:cs="Arial"/>
          <w:sz w:val="24"/>
          <w:szCs w:val="24"/>
        </w:rPr>
      </w:pPr>
      <w:r>
        <w:rPr>
          <w:rFonts w:ascii="Arial" w:hAnsi="Arial" w:cs="Arial"/>
          <w:sz w:val="24"/>
          <w:szCs w:val="24"/>
        </w:rPr>
        <w:t xml:space="preserve">   </w:t>
      </w:r>
      <w:r w:rsidR="00E104B7" w:rsidRPr="008C71EC">
        <w:rPr>
          <w:rFonts w:ascii="Arial" w:hAnsi="Arial" w:cs="Arial"/>
          <w:sz w:val="24"/>
          <w:szCs w:val="24"/>
        </w:rPr>
        <w:t>Employee engagement has become an essential tool that determines how a business enterprise competes and performs in the modern competitive environment. With its increasing importance in the business world, HR managers seek to measure how far they are with the process. From the results, organizations devise ways to improve what they are doing wrong concerning employee engagement. There are various tools that HR managers use to measure employee engagement. They include employee surveys, HR software, social media, exit interviews, and observing the life cycle of employees.</w:t>
      </w:r>
    </w:p>
    <w:p w14:paraId="163AE617" w14:textId="24EC6CAC" w:rsidR="00E104B7" w:rsidRPr="008C71EC" w:rsidRDefault="00AE0575" w:rsidP="008C71EC">
      <w:pPr>
        <w:spacing w:line="360" w:lineRule="auto"/>
        <w:jc w:val="both"/>
        <w:rPr>
          <w:rFonts w:ascii="Arial" w:hAnsi="Arial" w:cs="Arial"/>
          <w:sz w:val="24"/>
          <w:szCs w:val="24"/>
        </w:rPr>
      </w:pPr>
      <w:r>
        <w:rPr>
          <w:rFonts w:ascii="Arial" w:hAnsi="Arial" w:cs="Arial"/>
          <w:sz w:val="24"/>
          <w:szCs w:val="24"/>
        </w:rPr>
        <w:t xml:space="preserve">   </w:t>
      </w:r>
      <w:r w:rsidR="00E104B7" w:rsidRPr="008C71EC">
        <w:rPr>
          <w:rFonts w:ascii="Arial" w:hAnsi="Arial" w:cs="Arial"/>
          <w:sz w:val="24"/>
          <w:szCs w:val="24"/>
        </w:rPr>
        <w:t xml:space="preserve">One of the very best methods of getting employee feedback is through surveys. Through surveys, an organization can learn employees' feelings and attitudes, which play a vital role in determining the employees' emotional status. Morgan (2017) observes that anonymous and third-party administrator surveys are the best in getting employees views. This because the identity of employees is hidden, and thus, the fear of retaliation is minimized. Besides, anonymous surveys make employees give their opinions freely. Therefore, the real picture of the organization and the survey objectives are likely to be achieved. Employee surveys are critical in understanding employees' passions, motivation, job satisfaction levels, and quality of work relationships. By using employee surveys, organizations determine the areas that </w:t>
      </w:r>
      <w:r w:rsidR="00E104B7" w:rsidRPr="008C71EC">
        <w:rPr>
          <w:rFonts w:ascii="Arial" w:hAnsi="Arial" w:cs="Arial"/>
          <w:sz w:val="24"/>
          <w:szCs w:val="24"/>
        </w:rPr>
        <w:lastRenderedPageBreak/>
        <w:t>need improvement, and they concentrate on improving the sectors to achieve organizational goals and objectives.</w:t>
      </w:r>
    </w:p>
    <w:p w14:paraId="6C99B2C8" w14:textId="3416C0C3" w:rsidR="00E104B7" w:rsidRPr="008C71EC" w:rsidRDefault="00AE0575" w:rsidP="008C71EC">
      <w:pPr>
        <w:spacing w:line="360" w:lineRule="auto"/>
        <w:jc w:val="both"/>
        <w:rPr>
          <w:rFonts w:ascii="Arial" w:hAnsi="Arial" w:cs="Arial"/>
          <w:sz w:val="24"/>
          <w:szCs w:val="24"/>
        </w:rPr>
      </w:pPr>
      <w:r>
        <w:rPr>
          <w:rFonts w:ascii="Arial" w:hAnsi="Arial" w:cs="Arial"/>
          <w:sz w:val="24"/>
          <w:szCs w:val="24"/>
        </w:rPr>
        <w:t xml:space="preserve">   </w:t>
      </w:r>
      <w:r w:rsidR="00E104B7" w:rsidRPr="008C71EC">
        <w:rPr>
          <w:rFonts w:ascii="Arial" w:hAnsi="Arial" w:cs="Arial"/>
          <w:sz w:val="24"/>
          <w:szCs w:val="24"/>
        </w:rPr>
        <w:t>Social media is another important diagnostic tool for measuring employee engagement. According to Bhattacharyya and Cummings (2015), social media provides a platform whereby employees can freely air out their views about a particular company. Besides, the company's' internal communication platforms like WhatsApp groups can also be integral in measuring employee engagement. This is because the internal platforms allow employees to post ideas and engage in conversations openly. By reading employees' reviews, discussions, and opinions, a company's management can determine whether their employees are satisfied with their operations or a gap that needs to be filled.</w:t>
      </w:r>
    </w:p>
    <w:p w14:paraId="5F6C85DC" w14:textId="1A86FF07" w:rsidR="00E104B7" w:rsidRPr="008C71EC" w:rsidRDefault="00AE0575" w:rsidP="008C71EC">
      <w:pPr>
        <w:spacing w:line="360" w:lineRule="auto"/>
        <w:jc w:val="both"/>
        <w:rPr>
          <w:rFonts w:ascii="Arial" w:hAnsi="Arial" w:cs="Arial"/>
          <w:sz w:val="24"/>
          <w:szCs w:val="24"/>
        </w:rPr>
      </w:pPr>
      <w:r>
        <w:rPr>
          <w:rFonts w:ascii="Arial" w:hAnsi="Arial" w:cs="Arial"/>
          <w:sz w:val="24"/>
          <w:szCs w:val="24"/>
        </w:rPr>
        <w:t xml:space="preserve">   </w:t>
      </w:r>
      <w:r w:rsidR="00E104B7" w:rsidRPr="008C71EC">
        <w:rPr>
          <w:rFonts w:ascii="Arial" w:hAnsi="Arial" w:cs="Arial"/>
          <w:sz w:val="24"/>
          <w:szCs w:val="24"/>
        </w:rPr>
        <w:t>Surveying current employees about the organization's performance is essential. However, asking the right questions to key performers who have chosen to depart the organization is equally important (Bhattacharyya and Cummings</w:t>
      </w:r>
      <w:r w:rsidR="00DA0892" w:rsidRPr="008C71EC">
        <w:rPr>
          <w:rFonts w:ascii="Arial" w:hAnsi="Arial" w:cs="Arial"/>
          <w:sz w:val="24"/>
          <w:szCs w:val="24"/>
        </w:rPr>
        <w:t>,</w:t>
      </w:r>
      <w:r w:rsidR="00E104B7" w:rsidRPr="008C71EC">
        <w:rPr>
          <w:rFonts w:ascii="Arial" w:hAnsi="Arial" w:cs="Arial"/>
          <w:sz w:val="24"/>
          <w:szCs w:val="24"/>
        </w:rPr>
        <w:t xml:space="preserve"> 2015). Exit interviews can be done through a questionnaire, direct meeting, or a phone call with the exiting employees. If the right answers are provided to the right questions, an organization identifies areas of improvement that can help them retain their best or top talents. Consequently, Morgan (2017) observes that exit interviews help organizations get valuable feedback and insights on what works and what doesn't work. For instance, through an exit interview, an organization that gives monetary incentives to its employees can learn that incentives alone are not enough.  In addition to financial incentives, employee engagement should be all-around to include personal incentives like likes and work-life balance.</w:t>
      </w:r>
    </w:p>
    <w:p w14:paraId="615835A4" w14:textId="31B0D780" w:rsidR="00E104B7" w:rsidRPr="008C71EC" w:rsidRDefault="00AE0575" w:rsidP="008C71EC">
      <w:pPr>
        <w:spacing w:line="360" w:lineRule="auto"/>
        <w:jc w:val="both"/>
        <w:rPr>
          <w:rFonts w:ascii="Arial" w:hAnsi="Arial" w:cs="Arial"/>
          <w:sz w:val="24"/>
          <w:szCs w:val="24"/>
        </w:rPr>
      </w:pPr>
      <w:r>
        <w:rPr>
          <w:rFonts w:ascii="Arial" w:hAnsi="Arial" w:cs="Arial"/>
          <w:sz w:val="24"/>
          <w:szCs w:val="24"/>
        </w:rPr>
        <w:t xml:space="preserve">   </w:t>
      </w:r>
      <w:r w:rsidR="00E104B7" w:rsidRPr="008C71EC">
        <w:rPr>
          <w:rFonts w:ascii="Arial" w:hAnsi="Arial" w:cs="Arial"/>
          <w:sz w:val="24"/>
          <w:szCs w:val="24"/>
        </w:rPr>
        <w:t xml:space="preserve">In as much as an employee survey is essential; sometimes, it does not give holistic feedback (Calder et al., 2016). HR software seeks to feel the gap by gathering and tracking employee engagement statistics all year round. As Calder (2016) observes, HR software comprises tools that facilitate collecting employee's information like their conversation's reviews and data. Besides, the HR software help managers store the collected data in one place. Thus, </w:t>
      </w:r>
      <w:r w:rsidR="00283B15" w:rsidRPr="008C71EC">
        <w:rPr>
          <w:rFonts w:ascii="Arial" w:hAnsi="Arial" w:cs="Arial"/>
          <w:sz w:val="24"/>
          <w:szCs w:val="24"/>
        </w:rPr>
        <w:t>analysing</w:t>
      </w:r>
      <w:r w:rsidR="00E104B7" w:rsidRPr="008C71EC">
        <w:rPr>
          <w:rFonts w:ascii="Arial" w:hAnsi="Arial" w:cs="Arial"/>
          <w:sz w:val="24"/>
          <w:szCs w:val="24"/>
        </w:rPr>
        <w:t xml:space="preserve"> the data becomes easy. HR software is crucial in helping the management make employees perform to their full potential. Consequently, from the employee's exemplary performance in undertaking their duties, HR software helps the organization boost its productivity.</w:t>
      </w:r>
    </w:p>
    <w:p w14:paraId="100EC3ED" w14:textId="56ED578F" w:rsidR="00E104B7" w:rsidRPr="008C71EC" w:rsidRDefault="00AE0575" w:rsidP="008C71EC">
      <w:pPr>
        <w:spacing w:line="360" w:lineRule="auto"/>
        <w:jc w:val="both"/>
        <w:rPr>
          <w:rFonts w:ascii="Arial" w:hAnsi="Arial" w:cs="Arial"/>
          <w:sz w:val="24"/>
          <w:szCs w:val="24"/>
        </w:rPr>
      </w:pPr>
      <w:r>
        <w:rPr>
          <w:rFonts w:ascii="Arial" w:hAnsi="Arial" w:cs="Arial"/>
          <w:sz w:val="24"/>
          <w:szCs w:val="24"/>
        </w:rPr>
        <w:lastRenderedPageBreak/>
        <w:t xml:space="preserve">   </w:t>
      </w:r>
      <w:r w:rsidR="00E104B7" w:rsidRPr="008C71EC">
        <w:rPr>
          <w:rFonts w:ascii="Arial" w:hAnsi="Arial" w:cs="Arial"/>
          <w:sz w:val="24"/>
          <w:szCs w:val="24"/>
        </w:rPr>
        <w:t xml:space="preserve">Employees' life cycle, which refers to the employees' journey from the time he/she joined the company to the time that the employee exists from the organization, is equally an important tool of studying employee engagement. By observing, researching, and </w:t>
      </w:r>
      <w:r w:rsidR="00283B15" w:rsidRPr="008C71EC">
        <w:rPr>
          <w:rFonts w:ascii="Arial" w:hAnsi="Arial" w:cs="Arial"/>
          <w:sz w:val="24"/>
          <w:szCs w:val="24"/>
        </w:rPr>
        <w:t>analysing</w:t>
      </w:r>
      <w:r w:rsidR="00E104B7" w:rsidRPr="008C71EC">
        <w:rPr>
          <w:rFonts w:ascii="Arial" w:hAnsi="Arial" w:cs="Arial"/>
          <w:sz w:val="24"/>
          <w:szCs w:val="24"/>
        </w:rPr>
        <w:t xml:space="preserve"> different employee experiences during his/her stay in the organization, new ideas for improving employee engagement are learnt. The employees' life cycle can have both positive and negative consequences. An or</w:t>
      </w:r>
      <w:r w:rsidR="00283B15" w:rsidRPr="008C71EC">
        <w:rPr>
          <w:rFonts w:ascii="Arial" w:hAnsi="Arial" w:cs="Arial"/>
          <w:sz w:val="24"/>
          <w:szCs w:val="24"/>
        </w:rPr>
        <w:t>ganiza</w:t>
      </w:r>
      <w:r w:rsidR="00E104B7" w:rsidRPr="008C71EC">
        <w:rPr>
          <w:rFonts w:ascii="Arial" w:hAnsi="Arial" w:cs="Arial"/>
          <w:sz w:val="24"/>
          <w:szCs w:val="24"/>
        </w:rPr>
        <w:t>tion will retain the positives and improve on the negatives from the employee's life cycle feedback.</w:t>
      </w:r>
    </w:p>
    <w:p w14:paraId="217F0B6E" w14:textId="7E593420" w:rsidR="00E104B7" w:rsidRPr="00AE0575" w:rsidRDefault="00E104B7" w:rsidP="00AE0575">
      <w:pPr>
        <w:pStyle w:val="Heading1"/>
        <w:numPr>
          <w:ilvl w:val="0"/>
          <w:numId w:val="2"/>
        </w:num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56026290"/>
      <w:r w:rsidRPr="00AE057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 Value Proposition</w:t>
      </w:r>
      <w:bookmarkEnd w:id="3"/>
    </w:p>
    <w:p w14:paraId="21E63482" w14:textId="15DB997C" w:rsidR="00E104B7" w:rsidRPr="008C71EC" w:rsidRDefault="00AE0575" w:rsidP="008C71EC">
      <w:pPr>
        <w:spacing w:line="360" w:lineRule="auto"/>
        <w:jc w:val="both"/>
        <w:rPr>
          <w:rFonts w:ascii="Arial" w:hAnsi="Arial" w:cs="Arial"/>
          <w:sz w:val="24"/>
          <w:szCs w:val="24"/>
        </w:rPr>
      </w:pPr>
      <w:r>
        <w:rPr>
          <w:rFonts w:ascii="Arial" w:hAnsi="Arial" w:cs="Arial"/>
          <w:sz w:val="24"/>
          <w:szCs w:val="24"/>
        </w:rPr>
        <w:t xml:space="preserve">   </w:t>
      </w:r>
      <w:r w:rsidR="00E104B7" w:rsidRPr="008C71EC">
        <w:rPr>
          <w:rFonts w:ascii="Arial" w:hAnsi="Arial" w:cs="Arial"/>
          <w:sz w:val="24"/>
          <w:szCs w:val="24"/>
        </w:rPr>
        <w:t>Employee value proposition (EVP) is described by Goswami (2015) as a collection of benefits and offerings that employees obtain from an organization in exchange for their skills, abilities, and experience they bring to the organization. Goswami (2015) argues that strong EVP benefits both the organization and the employees. Employees benefit from the incentives they receive for good performance, whereas the organization benefits from increased revenue. Besides, a strong EVP help organization to keep their best employees while at the same time attracting top talent from the external business environment. Here are some strategies organizations can use to increase their level of employee engagement and have strong EVP.</w:t>
      </w:r>
    </w:p>
    <w:p w14:paraId="177925E3" w14:textId="07EDA0F6" w:rsidR="00E104B7" w:rsidRPr="008C71EC" w:rsidRDefault="00AE0575" w:rsidP="008C71EC">
      <w:pPr>
        <w:spacing w:line="360" w:lineRule="auto"/>
        <w:jc w:val="both"/>
        <w:rPr>
          <w:rFonts w:ascii="Arial" w:hAnsi="Arial" w:cs="Arial"/>
          <w:sz w:val="24"/>
          <w:szCs w:val="24"/>
        </w:rPr>
      </w:pPr>
      <w:r>
        <w:rPr>
          <w:rFonts w:ascii="Arial" w:hAnsi="Arial" w:cs="Arial"/>
          <w:sz w:val="24"/>
          <w:szCs w:val="24"/>
        </w:rPr>
        <w:t xml:space="preserve">   </w:t>
      </w:r>
      <w:r w:rsidR="00E104B7" w:rsidRPr="008C71EC">
        <w:rPr>
          <w:rFonts w:ascii="Arial" w:hAnsi="Arial" w:cs="Arial"/>
          <w:sz w:val="24"/>
          <w:szCs w:val="24"/>
        </w:rPr>
        <w:t>Nike is a fitness company that is well known all over the world (Jha, 2015). They support sport culture and appeal to people who are so much into their health and fitness. Their employee value proposition could include: When you join Nike, you won't regret working with us since we care for your health. Consequently, we offer work-life incentives since we understand that you have a life to leave outside the workplace. Besides, we listen to employee complaints and react to them instantly to encourage seamless workflow. At Nike, we help you realize your full potential through timely and necessary promotions. We want you to join our team so that you openly inspire greatness inside and outside of work.</w:t>
      </w:r>
    </w:p>
    <w:p w14:paraId="1DAF33F5" w14:textId="72A7A0CB" w:rsidR="00E104B7" w:rsidRPr="008C71EC" w:rsidRDefault="00AE0575" w:rsidP="008C71EC">
      <w:pPr>
        <w:spacing w:line="360" w:lineRule="auto"/>
        <w:jc w:val="both"/>
        <w:rPr>
          <w:rFonts w:ascii="Arial" w:hAnsi="Arial" w:cs="Arial"/>
          <w:sz w:val="24"/>
          <w:szCs w:val="24"/>
        </w:rPr>
      </w:pPr>
      <w:r>
        <w:rPr>
          <w:rFonts w:ascii="Arial" w:hAnsi="Arial" w:cs="Arial"/>
          <w:sz w:val="24"/>
          <w:szCs w:val="24"/>
        </w:rPr>
        <w:t xml:space="preserve">   </w:t>
      </w:r>
      <w:r w:rsidR="00E104B7" w:rsidRPr="008C71EC">
        <w:rPr>
          <w:rFonts w:ascii="Arial" w:hAnsi="Arial" w:cs="Arial"/>
          <w:sz w:val="24"/>
          <w:szCs w:val="24"/>
        </w:rPr>
        <w:t xml:space="preserve">Communicating deliberately and regularly is one strategy that organizations can use to increase their levels of employee engagement. Usually, the bond between employees and the organization weakens in the process of carrying out day-to-day activities. The good blood can loosen due to disagreements between employees on the best method to accomplish a task. Besides, withholding information between and </w:t>
      </w:r>
      <w:r w:rsidR="00E104B7" w:rsidRPr="008C71EC">
        <w:rPr>
          <w:rFonts w:ascii="Arial" w:hAnsi="Arial" w:cs="Arial"/>
          <w:sz w:val="24"/>
          <w:szCs w:val="24"/>
        </w:rPr>
        <w:lastRenderedPageBreak/>
        <w:t xml:space="preserve">among departments can also impact employee relations. Therefore, organizations should have a dedicated communications team that will ensure that good relations </w:t>
      </w:r>
      <w:proofErr w:type="gramStart"/>
      <w:r w:rsidR="00E104B7" w:rsidRPr="008C71EC">
        <w:rPr>
          <w:rFonts w:ascii="Arial" w:hAnsi="Arial" w:cs="Arial"/>
          <w:sz w:val="24"/>
          <w:szCs w:val="24"/>
        </w:rPr>
        <w:t>are maintained at all times</w:t>
      </w:r>
      <w:proofErr w:type="gramEnd"/>
      <w:r w:rsidR="00E104B7" w:rsidRPr="008C71EC">
        <w:rPr>
          <w:rFonts w:ascii="Arial" w:hAnsi="Arial" w:cs="Arial"/>
          <w:sz w:val="24"/>
          <w:szCs w:val="24"/>
        </w:rPr>
        <w:t>. Additionally, organizations should devise means of frequently communicating with its employees on the decisions of the company. They can use internal communication through social media or use posters in shared spaces to share information (Bakker, 2017).</w:t>
      </w:r>
    </w:p>
    <w:p w14:paraId="65690436" w14:textId="5A726420" w:rsidR="00E104B7" w:rsidRPr="008C71EC" w:rsidRDefault="00AE0575" w:rsidP="008C71EC">
      <w:pPr>
        <w:spacing w:line="360" w:lineRule="auto"/>
        <w:jc w:val="both"/>
        <w:rPr>
          <w:rFonts w:ascii="Arial" w:hAnsi="Arial" w:cs="Arial"/>
          <w:sz w:val="24"/>
          <w:szCs w:val="24"/>
        </w:rPr>
      </w:pPr>
      <w:r>
        <w:rPr>
          <w:rFonts w:ascii="Arial" w:hAnsi="Arial" w:cs="Arial"/>
          <w:sz w:val="24"/>
          <w:szCs w:val="24"/>
        </w:rPr>
        <w:t xml:space="preserve">   </w:t>
      </w:r>
      <w:r w:rsidR="00E104B7" w:rsidRPr="008C71EC">
        <w:rPr>
          <w:rFonts w:ascii="Arial" w:hAnsi="Arial" w:cs="Arial"/>
          <w:sz w:val="24"/>
          <w:szCs w:val="24"/>
        </w:rPr>
        <w:t xml:space="preserve">Organizations should seek employees' views through surveys, and they should not take the study </w:t>
      </w:r>
      <w:proofErr w:type="gramStart"/>
      <w:r w:rsidR="00E104B7" w:rsidRPr="008C71EC">
        <w:rPr>
          <w:rFonts w:ascii="Arial" w:hAnsi="Arial" w:cs="Arial"/>
          <w:sz w:val="24"/>
          <w:szCs w:val="24"/>
        </w:rPr>
        <w:t>in itself to</w:t>
      </w:r>
      <w:proofErr w:type="gramEnd"/>
      <w:r w:rsidR="00E104B7" w:rsidRPr="008C71EC">
        <w:rPr>
          <w:rFonts w:ascii="Arial" w:hAnsi="Arial" w:cs="Arial"/>
          <w:sz w:val="24"/>
          <w:szCs w:val="24"/>
        </w:rPr>
        <w:t xml:space="preserve"> be enough. They should appropriately react to employees' feedback. Research by Bakker (2017) shows that when employees feedback is reacted upon, they feel motivated and thus work hard to help the organization achieve its objectives. Consequently, organizations should encourage their employees always to raise their voices on matters affecting them. This way, organizations will not only come up with employee engagement measures, but they will also do it appropriately to the correct issues. For instance, an organization can formulate an employee satisfaction questionnaire that will help them gather opinions they can use to build a positive environment.</w:t>
      </w:r>
    </w:p>
    <w:p w14:paraId="08D36D07" w14:textId="7013EBD9" w:rsidR="00E104B7" w:rsidRPr="00AE0575" w:rsidRDefault="00E104B7" w:rsidP="00AE0575">
      <w:pPr>
        <w:pStyle w:val="Heading1"/>
        <w:numPr>
          <w:ilvl w:val="0"/>
          <w:numId w:val="2"/>
        </w:num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56026291"/>
      <w:r w:rsidRPr="00AE057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4"/>
    </w:p>
    <w:p w14:paraId="320A5E1D" w14:textId="1216DBAF" w:rsidR="00E104B7" w:rsidRPr="008C71EC" w:rsidRDefault="00AE0575" w:rsidP="008C71EC">
      <w:pPr>
        <w:spacing w:line="360" w:lineRule="auto"/>
        <w:jc w:val="both"/>
        <w:rPr>
          <w:rFonts w:ascii="Arial" w:hAnsi="Arial" w:cs="Arial"/>
          <w:sz w:val="24"/>
          <w:szCs w:val="24"/>
        </w:rPr>
      </w:pPr>
      <w:r>
        <w:rPr>
          <w:rFonts w:ascii="Arial" w:hAnsi="Arial" w:cs="Arial"/>
          <w:sz w:val="24"/>
          <w:szCs w:val="24"/>
        </w:rPr>
        <w:t xml:space="preserve">   </w:t>
      </w:r>
      <w:r w:rsidR="00E104B7" w:rsidRPr="008C71EC">
        <w:rPr>
          <w:rFonts w:ascii="Arial" w:hAnsi="Arial" w:cs="Arial"/>
          <w:sz w:val="24"/>
          <w:szCs w:val="24"/>
        </w:rPr>
        <w:t>In this modern era, employees are key assets in any organization. The performance and output of employees determine how successful an organization becomes. Good employee relations jerk up the excellent performance of employees. Thus, the modern world requires organizations to put more emphasis on improving employee engagement. Employing the correct drivers like considerate leadership and work-life balance can improve employee engagement. Consequently, devising a strong employee relationship position can help employees increase their employee retention. Therefore, suffice to say that an organization cannot compete meaningfully in the modern business environment if it does not prioritize its employee's well-being and satisfaction.</w:t>
      </w:r>
    </w:p>
    <w:p w14:paraId="70E167C4" w14:textId="1256ABD6" w:rsidR="00A16998" w:rsidRPr="008C71EC" w:rsidRDefault="00A16998" w:rsidP="008C71EC">
      <w:pPr>
        <w:spacing w:line="360" w:lineRule="auto"/>
        <w:jc w:val="both"/>
        <w:rPr>
          <w:rFonts w:ascii="Arial" w:hAnsi="Arial" w:cs="Arial"/>
          <w:sz w:val="24"/>
          <w:szCs w:val="24"/>
        </w:rPr>
      </w:pPr>
    </w:p>
    <w:p w14:paraId="220AFE4C" w14:textId="1ACA5D03" w:rsidR="00A16998" w:rsidRPr="008C71EC" w:rsidRDefault="00A16998" w:rsidP="008C71EC">
      <w:pPr>
        <w:spacing w:line="360" w:lineRule="auto"/>
        <w:jc w:val="both"/>
        <w:rPr>
          <w:rFonts w:ascii="Arial" w:hAnsi="Arial" w:cs="Arial"/>
          <w:sz w:val="24"/>
          <w:szCs w:val="24"/>
        </w:rPr>
      </w:pPr>
    </w:p>
    <w:p w14:paraId="605F06CB" w14:textId="38947742" w:rsidR="00A16998" w:rsidRPr="008C71EC" w:rsidRDefault="00A16998" w:rsidP="008C71EC">
      <w:pPr>
        <w:spacing w:line="360" w:lineRule="auto"/>
        <w:jc w:val="both"/>
        <w:rPr>
          <w:rFonts w:ascii="Arial" w:hAnsi="Arial" w:cs="Arial"/>
          <w:sz w:val="24"/>
          <w:szCs w:val="24"/>
        </w:rPr>
      </w:pPr>
    </w:p>
    <w:p w14:paraId="555F4461" w14:textId="77777777" w:rsidR="00F0173E" w:rsidRPr="008C71EC" w:rsidRDefault="00F0173E" w:rsidP="008C71EC">
      <w:pPr>
        <w:spacing w:line="360" w:lineRule="auto"/>
        <w:jc w:val="both"/>
        <w:rPr>
          <w:rFonts w:ascii="Arial" w:hAnsi="Arial" w:cs="Arial"/>
          <w:sz w:val="24"/>
          <w:szCs w:val="24"/>
        </w:rPr>
      </w:pPr>
    </w:p>
    <w:p w14:paraId="52C95DB1" w14:textId="77777777" w:rsidR="00E104B7" w:rsidRPr="00AE0575" w:rsidRDefault="00E104B7" w:rsidP="008C71EC">
      <w:pPr>
        <w:pStyle w:val="Heading1"/>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56026292"/>
      <w:r w:rsidRPr="00AE057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References</w:t>
      </w:r>
      <w:bookmarkEnd w:id="5"/>
    </w:p>
    <w:p w14:paraId="121C435E" w14:textId="1CB25298" w:rsidR="00E104B7" w:rsidRPr="00AE0575" w:rsidRDefault="00E104B7" w:rsidP="00AE0575">
      <w:pPr>
        <w:pStyle w:val="ListParagraph"/>
        <w:numPr>
          <w:ilvl w:val="0"/>
          <w:numId w:val="3"/>
        </w:numPr>
        <w:spacing w:line="360" w:lineRule="auto"/>
        <w:jc w:val="both"/>
        <w:rPr>
          <w:rFonts w:ascii="Arial" w:hAnsi="Arial" w:cs="Arial"/>
          <w:sz w:val="24"/>
          <w:szCs w:val="24"/>
        </w:rPr>
      </w:pPr>
      <w:r w:rsidRPr="00AE0575">
        <w:rPr>
          <w:rFonts w:ascii="Arial" w:hAnsi="Arial" w:cs="Arial"/>
          <w:sz w:val="24"/>
          <w:szCs w:val="24"/>
        </w:rPr>
        <w:t xml:space="preserve">Bakker, AB </w:t>
      </w:r>
      <w:r w:rsidR="00CF5E6F" w:rsidRPr="00AE0575">
        <w:rPr>
          <w:rFonts w:ascii="Arial" w:hAnsi="Arial" w:cs="Arial"/>
          <w:sz w:val="24"/>
          <w:szCs w:val="24"/>
        </w:rPr>
        <w:t>(</w:t>
      </w:r>
      <w:r w:rsidRPr="00AE0575">
        <w:rPr>
          <w:rFonts w:ascii="Arial" w:hAnsi="Arial" w:cs="Arial"/>
          <w:sz w:val="24"/>
          <w:szCs w:val="24"/>
        </w:rPr>
        <w:t>2017</w:t>
      </w:r>
      <w:r w:rsidR="00CF5E6F" w:rsidRPr="00AE0575">
        <w:rPr>
          <w:rFonts w:ascii="Arial" w:hAnsi="Arial" w:cs="Arial"/>
          <w:sz w:val="24"/>
          <w:szCs w:val="24"/>
        </w:rPr>
        <w:t>)</w:t>
      </w:r>
      <w:r w:rsidRPr="00AE0575">
        <w:rPr>
          <w:rFonts w:ascii="Arial" w:hAnsi="Arial" w:cs="Arial"/>
          <w:sz w:val="24"/>
          <w:szCs w:val="24"/>
        </w:rPr>
        <w:t>. Strategic and proactive approaches to work engagement. Organizational Dynamics, 46(2), pp.67-75.</w:t>
      </w:r>
    </w:p>
    <w:p w14:paraId="61512E7C" w14:textId="23038C39" w:rsidR="00E104B7" w:rsidRPr="00AE0575" w:rsidRDefault="00E104B7" w:rsidP="00AE0575">
      <w:pPr>
        <w:pStyle w:val="ListParagraph"/>
        <w:numPr>
          <w:ilvl w:val="0"/>
          <w:numId w:val="3"/>
        </w:numPr>
        <w:spacing w:line="360" w:lineRule="auto"/>
        <w:jc w:val="both"/>
        <w:rPr>
          <w:rFonts w:ascii="Arial" w:hAnsi="Arial" w:cs="Arial"/>
          <w:sz w:val="24"/>
          <w:szCs w:val="24"/>
        </w:rPr>
      </w:pPr>
      <w:r w:rsidRPr="00AE0575">
        <w:rPr>
          <w:rFonts w:ascii="Arial" w:hAnsi="Arial" w:cs="Arial"/>
          <w:sz w:val="24"/>
          <w:szCs w:val="24"/>
        </w:rPr>
        <w:t xml:space="preserve">Barik, S., and </w:t>
      </w:r>
      <w:proofErr w:type="spellStart"/>
      <w:r w:rsidRPr="00AE0575">
        <w:rPr>
          <w:rFonts w:ascii="Arial" w:hAnsi="Arial" w:cs="Arial"/>
          <w:sz w:val="24"/>
          <w:szCs w:val="24"/>
        </w:rPr>
        <w:t>Kochar</w:t>
      </w:r>
      <w:proofErr w:type="spellEnd"/>
      <w:r w:rsidRPr="00AE0575">
        <w:rPr>
          <w:rFonts w:ascii="Arial" w:hAnsi="Arial" w:cs="Arial"/>
          <w:sz w:val="24"/>
          <w:szCs w:val="24"/>
        </w:rPr>
        <w:t xml:space="preserve">, A. </w:t>
      </w:r>
      <w:r w:rsidR="00CF5E6F" w:rsidRPr="00AE0575">
        <w:rPr>
          <w:rFonts w:ascii="Arial" w:hAnsi="Arial" w:cs="Arial"/>
          <w:sz w:val="24"/>
          <w:szCs w:val="24"/>
        </w:rPr>
        <w:t>(</w:t>
      </w:r>
      <w:r w:rsidRPr="00AE0575">
        <w:rPr>
          <w:rFonts w:ascii="Arial" w:hAnsi="Arial" w:cs="Arial"/>
          <w:sz w:val="24"/>
          <w:szCs w:val="24"/>
        </w:rPr>
        <w:t>2017</w:t>
      </w:r>
      <w:r w:rsidR="00CF5E6F" w:rsidRPr="00AE0575">
        <w:rPr>
          <w:rFonts w:ascii="Arial" w:hAnsi="Arial" w:cs="Arial"/>
          <w:sz w:val="24"/>
          <w:szCs w:val="24"/>
        </w:rPr>
        <w:t>)</w:t>
      </w:r>
      <w:r w:rsidRPr="00AE0575">
        <w:rPr>
          <w:rFonts w:ascii="Arial" w:hAnsi="Arial" w:cs="Arial"/>
          <w:sz w:val="24"/>
          <w:szCs w:val="24"/>
        </w:rPr>
        <w:t>. Antecedents and consequences of employee engagement: A literature review. International Journal of Latest Technology in Engineering, Management &amp; Applied Science, 6(4), pp.33-38.</w:t>
      </w:r>
    </w:p>
    <w:p w14:paraId="027133E0" w14:textId="12D28C6D" w:rsidR="00E104B7" w:rsidRPr="00AE0575" w:rsidRDefault="00E104B7" w:rsidP="00AE0575">
      <w:pPr>
        <w:pStyle w:val="ListParagraph"/>
        <w:numPr>
          <w:ilvl w:val="0"/>
          <w:numId w:val="3"/>
        </w:numPr>
        <w:spacing w:line="360" w:lineRule="auto"/>
        <w:jc w:val="both"/>
        <w:rPr>
          <w:rFonts w:ascii="Arial" w:hAnsi="Arial" w:cs="Arial"/>
          <w:sz w:val="24"/>
          <w:szCs w:val="24"/>
        </w:rPr>
      </w:pPr>
      <w:r w:rsidRPr="00AE0575">
        <w:rPr>
          <w:rFonts w:ascii="Arial" w:hAnsi="Arial" w:cs="Arial"/>
          <w:sz w:val="24"/>
          <w:szCs w:val="24"/>
        </w:rPr>
        <w:t xml:space="preserve">Bhattacharyya, A., and Cummings, L. </w:t>
      </w:r>
      <w:r w:rsidR="00CF5E6F" w:rsidRPr="00AE0575">
        <w:rPr>
          <w:rFonts w:ascii="Arial" w:hAnsi="Arial" w:cs="Arial"/>
          <w:sz w:val="24"/>
          <w:szCs w:val="24"/>
        </w:rPr>
        <w:t>(</w:t>
      </w:r>
      <w:r w:rsidRPr="00AE0575">
        <w:rPr>
          <w:rFonts w:ascii="Arial" w:hAnsi="Arial" w:cs="Arial"/>
          <w:sz w:val="24"/>
          <w:szCs w:val="24"/>
        </w:rPr>
        <w:t>2015</w:t>
      </w:r>
      <w:r w:rsidR="00CF5E6F" w:rsidRPr="00AE0575">
        <w:rPr>
          <w:rFonts w:ascii="Arial" w:hAnsi="Arial" w:cs="Arial"/>
          <w:sz w:val="24"/>
          <w:szCs w:val="24"/>
        </w:rPr>
        <w:t>)</w:t>
      </w:r>
      <w:r w:rsidRPr="00AE0575">
        <w:rPr>
          <w:rFonts w:ascii="Arial" w:hAnsi="Arial" w:cs="Arial"/>
          <w:sz w:val="24"/>
          <w:szCs w:val="24"/>
        </w:rPr>
        <w:t>. Measuring corporate environmental performance–stakeholder engagement evaluation. Business Strategy and the Environment, 24(5), pp.309-325.</w:t>
      </w:r>
    </w:p>
    <w:p w14:paraId="4BDFD045" w14:textId="3BB19449" w:rsidR="00E104B7" w:rsidRPr="00AE0575" w:rsidRDefault="00E104B7" w:rsidP="00AE0575">
      <w:pPr>
        <w:pStyle w:val="ListParagraph"/>
        <w:numPr>
          <w:ilvl w:val="0"/>
          <w:numId w:val="3"/>
        </w:numPr>
        <w:spacing w:line="360" w:lineRule="auto"/>
        <w:jc w:val="both"/>
        <w:rPr>
          <w:rFonts w:ascii="Arial" w:hAnsi="Arial" w:cs="Arial"/>
          <w:sz w:val="24"/>
          <w:szCs w:val="24"/>
        </w:rPr>
      </w:pPr>
      <w:proofErr w:type="spellStart"/>
      <w:r w:rsidRPr="00AE0575">
        <w:rPr>
          <w:rFonts w:ascii="Arial" w:hAnsi="Arial" w:cs="Arial"/>
          <w:sz w:val="24"/>
          <w:szCs w:val="24"/>
        </w:rPr>
        <w:t>Bhuvanaiah</w:t>
      </w:r>
      <w:proofErr w:type="spellEnd"/>
      <w:r w:rsidRPr="00AE0575">
        <w:rPr>
          <w:rFonts w:ascii="Arial" w:hAnsi="Arial" w:cs="Arial"/>
          <w:sz w:val="24"/>
          <w:szCs w:val="24"/>
        </w:rPr>
        <w:t xml:space="preserve">, T., and Raya, R.P. </w:t>
      </w:r>
      <w:r w:rsidR="00CF5E6F" w:rsidRPr="00AE0575">
        <w:rPr>
          <w:rFonts w:ascii="Arial" w:hAnsi="Arial" w:cs="Arial"/>
          <w:sz w:val="24"/>
          <w:szCs w:val="24"/>
        </w:rPr>
        <w:t>(</w:t>
      </w:r>
      <w:r w:rsidRPr="00AE0575">
        <w:rPr>
          <w:rFonts w:ascii="Arial" w:hAnsi="Arial" w:cs="Arial"/>
          <w:sz w:val="24"/>
          <w:szCs w:val="24"/>
        </w:rPr>
        <w:t>2015</w:t>
      </w:r>
      <w:r w:rsidR="00CF5E6F" w:rsidRPr="00AE0575">
        <w:rPr>
          <w:rFonts w:ascii="Arial" w:hAnsi="Arial" w:cs="Arial"/>
          <w:sz w:val="24"/>
          <w:szCs w:val="24"/>
        </w:rPr>
        <w:t>)</w:t>
      </w:r>
      <w:r w:rsidRPr="00AE0575">
        <w:rPr>
          <w:rFonts w:ascii="Arial" w:hAnsi="Arial" w:cs="Arial"/>
          <w:sz w:val="24"/>
          <w:szCs w:val="24"/>
        </w:rPr>
        <w:t>. Mechanism of improved performance: Intrinsic motivation and employee engagement. SCMS Journal of Indian Management, 12(4), pp.92-97.</w:t>
      </w:r>
    </w:p>
    <w:p w14:paraId="6445D43D" w14:textId="056E607E" w:rsidR="00E104B7" w:rsidRPr="00AE0575" w:rsidRDefault="00E104B7" w:rsidP="00AE0575">
      <w:pPr>
        <w:pStyle w:val="ListParagraph"/>
        <w:numPr>
          <w:ilvl w:val="0"/>
          <w:numId w:val="3"/>
        </w:numPr>
        <w:spacing w:line="360" w:lineRule="auto"/>
        <w:jc w:val="both"/>
        <w:rPr>
          <w:rFonts w:ascii="Arial" w:hAnsi="Arial" w:cs="Arial"/>
          <w:sz w:val="24"/>
          <w:szCs w:val="24"/>
        </w:rPr>
      </w:pPr>
      <w:r w:rsidRPr="00AE0575">
        <w:rPr>
          <w:rFonts w:ascii="Arial" w:hAnsi="Arial" w:cs="Arial"/>
          <w:sz w:val="24"/>
          <w:szCs w:val="24"/>
        </w:rPr>
        <w:t xml:space="preserve">Calder, B.J., Isaac, M.S., and Malthouse, EC </w:t>
      </w:r>
      <w:r w:rsidR="00CF5E6F" w:rsidRPr="00AE0575">
        <w:rPr>
          <w:rFonts w:ascii="Arial" w:hAnsi="Arial" w:cs="Arial"/>
          <w:sz w:val="24"/>
          <w:szCs w:val="24"/>
        </w:rPr>
        <w:t>(</w:t>
      </w:r>
      <w:r w:rsidRPr="00AE0575">
        <w:rPr>
          <w:rFonts w:ascii="Arial" w:hAnsi="Arial" w:cs="Arial"/>
          <w:sz w:val="24"/>
          <w:szCs w:val="24"/>
        </w:rPr>
        <w:t>2016</w:t>
      </w:r>
      <w:r w:rsidR="00CF5E6F" w:rsidRPr="00AE0575">
        <w:rPr>
          <w:rFonts w:ascii="Arial" w:hAnsi="Arial" w:cs="Arial"/>
          <w:sz w:val="24"/>
          <w:szCs w:val="24"/>
        </w:rPr>
        <w:t>)</w:t>
      </w:r>
      <w:r w:rsidRPr="00AE0575">
        <w:rPr>
          <w:rFonts w:ascii="Arial" w:hAnsi="Arial" w:cs="Arial"/>
          <w:sz w:val="24"/>
          <w:szCs w:val="24"/>
        </w:rPr>
        <w:t>. How to capture consumer experiences: A context-specific approach to measuring engagement: Predicting consumer behaviour across qualitatively different experiences. Journal of Advertising Research, 56(1), pp.39-52.</w:t>
      </w:r>
    </w:p>
    <w:p w14:paraId="65EC0B97" w14:textId="1985AA51" w:rsidR="00E104B7" w:rsidRPr="00AE0575" w:rsidRDefault="00E104B7" w:rsidP="00AE0575">
      <w:pPr>
        <w:pStyle w:val="ListParagraph"/>
        <w:numPr>
          <w:ilvl w:val="0"/>
          <w:numId w:val="3"/>
        </w:numPr>
        <w:spacing w:line="360" w:lineRule="auto"/>
        <w:jc w:val="both"/>
        <w:rPr>
          <w:rFonts w:ascii="Arial" w:hAnsi="Arial" w:cs="Arial"/>
          <w:sz w:val="24"/>
          <w:szCs w:val="24"/>
        </w:rPr>
      </w:pPr>
      <w:r w:rsidRPr="00AE0575">
        <w:rPr>
          <w:rFonts w:ascii="Arial" w:hAnsi="Arial" w:cs="Arial"/>
          <w:sz w:val="24"/>
          <w:szCs w:val="24"/>
        </w:rPr>
        <w:t xml:space="preserve">Goswami, P. </w:t>
      </w:r>
      <w:r w:rsidR="00CF5E6F" w:rsidRPr="00AE0575">
        <w:rPr>
          <w:rFonts w:ascii="Arial" w:hAnsi="Arial" w:cs="Arial"/>
          <w:sz w:val="24"/>
          <w:szCs w:val="24"/>
        </w:rPr>
        <w:t>(</w:t>
      </w:r>
      <w:r w:rsidRPr="00AE0575">
        <w:rPr>
          <w:rFonts w:ascii="Arial" w:hAnsi="Arial" w:cs="Arial"/>
          <w:sz w:val="24"/>
          <w:szCs w:val="24"/>
        </w:rPr>
        <w:t>2015</w:t>
      </w:r>
      <w:r w:rsidR="00CF5E6F" w:rsidRPr="00AE0575">
        <w:rPr>
          <w:rFonts w:ascii="Arial" w:hAnsi="Arial" w:cs="Arial"/>
          <w:sz w:val="24"/>
          <w:szCs w:val="24"/>
        </w:rPr>
        <w:t>)</w:t>
      </w:r>
      <w:r w:rsidRPr="00AE0575">
        <w:rPr>
          <w:rFonts w:ascii="Arial" w:hAnsi="Arial" w:cs="Arial"/>
          <w:sz w:val="24"/>
          <w:szCs w:val="24"/>
        </w:rPr>
        <w:t>. Employee value proposition: a tool for employment branding. International Journal of Scientific and Research Publications, 5(12), pp.263-264.</w:t>
      </w:r>
    </w:p>
    <w:p w14:paraId="2B857B1F" w14:textId="4F289F81" w:rsidR="00E104B7" w:rsidRPr="00AE0575" w:rsidRDefault="00E104B7" w:rsidP="00AE0575">
      <w:pPr>
        <w:pStyle w:val="ListParagraph"/>
        <w:numPr>
          <w:ilvl w:val="0"/>
          <w:numId w:val="3"/>
        </w:numPr>
        <w:spacing w:line="360" w:lineRule="auto"/>
        <w:jc w:val="both"/>
        <w:rPr>
          <w:rFonts w:ascii="Arial" w:hAnsi="Arial" w:cs="Arial"/>
          <w:sz w:val="24"/>
          <w:szCs w:val="24"/>
        </w:rPr>
      </w:pPr>
      <w:r w:rsidRPr="00AE0575">
        <w:rPr>
          <w:rFonts w:ascii="Arial" w:hAnsi="Arial" w:cs="Arial"/>
          <w:sz w:val="24"/>
          <w:szCs w:val="24"/>
        </w:rPr>
        <w:t xml:space="preserve">Gupta, N., and Sharma, V. </w:t>
      </w:r>
      <w:r w:rsidR="00CF5E6F" w:rsidRPr="00AE0575">
        <w:rPr>
          <w:rFonts w:ascii="Arial" w:hAnsi="Arial" w:cs="Arial"/>
          <w:sz w:val="24"/>
          <w:szCs w:val="24"/>
        </w:rPr>
        <w:t>(</w:t>
      </w:r>
      <w:r w:rsidRPr="00AE0575">
        <w:rPr>
          <w:rFonts w:ascii="Arial" w:hAnsi="Arial" w:cs="Arial"/>
          <w:sz w:val="24"/>
          <w:szCs w:val="24"/>
        </w:rPr>
        <w:t>2016</w:t>
      </w:r>
      <w:r w:rsidR="00CF5E6F" w:rsidRPr="00AE0575">
        <w:rPr>
          <w:rFonts w:ascii="Arial" w:hAnsi="Arial" w:cs="Arial"/>
          <w:sz w:val="24"/>
          <w:szCs w:val="24"/>
        </w:rPr>
        <w:t>)</w:t>
      </w:r>
      <w:r w:rsidRPr="00AE0575">
        <w:rPr>
          <w:rFonts w:ascii="Arial" w:hAnsi="Arial" w:cs="Arial"/>
          <w:sz w:val="24"/>
          <w:szCs w:val="24"/>
        </w:rPr>
        <w:t>. Exploring employee engagement—A way to better business performance. Global Business Review, 17(3_suppl), pp.45S-63S.</w:t>
      </w:r>
    </w:p>
    <w:p w14:paraId="3AD110E1" w14:textId="308B170A" w:rsidR="00E104B7" w:rsidRPr="00AE0575" w:rsidRDefault="00E104B7" w:rsidP="00AE0575">
      <w:pPr>
        <w:pStyle w:val="ListParagraph"/>
        <w:numPr>
          <w:ilvl w:val="0"/>
          <w:numId w:val="3"/>
        </w:numPr>
        <w:spacing w:line="360" w:lineRule="auto"/>
        <w:jc w:val="both"/>
        <w:rPr>
          <w:rFonts w:ascii="Arial" w:hAnsi="Arial" w:cs="Arial"/>
          <w:sz w:val="24"/>
          <w:szCs w:val="24"/>
        </w:rPr>
      </w:pPr>
      <w:r w:rsidRPr="00AE0575">
        <w:rPr>
          <w:rFonts w:ascii="Arial" w:hAnsi="Arial" w:cs="Arial"/>
          <w:sz w:val="24"/>
          <w:szCs w:val="24"/>
        </w:rPr>
        <w:t xml:space="preserve">Gupta, N., and Sharma, V. </w:t>
      </w:r>
      <w:r w:rsidR="00CF5E6F" w:rsidRPr="00AE0575">
        <w:rPr>
          <w:rFonts w:ascii="Arial" w:hAnsi="Arial" w:cs="Arial"/>
          <w:sz w:val="24"/>
          <w:szCs w:val="24"/>
        </w:rPr>
        <w:t>(</w:t>
      </w:r>
      <w:r w:rsidRPr="00AE0575">
        <w:rPr>
          <w:rFonts w:ascii="Arial" w:hAnsi="Arial" w:cs="Arial"/>
          <w:sz w:val="24"/>
          <w:szCs w:val="24"/>
        </w:rPr>
        <w:t>2016</w:t>
      </w:r>
      <w:r w:rsidR="00CF5E6F" w:rsidRPr="00AE0575">
        <w:rPr>
          <w:rFonts w:ascii="Arial" w:hAnsi="Arial" w:cs="Arial"/>
          <w:sz w:val="24"/>
          <w:szCs w:val="24"/>
        </w:rPr>
        <w:t>)</w:t>
      </w:r>
      <w:r w:rsidRPr="00AE0575">
        <w:rPr>
          <w:rFonts w:ascii="Arial" w:hAnsi="Arial" w:cs="Arial"/>
          <w:sz w:val="24"/>
          <w:szCs w:val="24"/>
        </w:rPr>
        <w:t xml:space="preserve">. The relationship between corporate social responsibility and employee engagement and its linkage to organizational performance: A conceptual model. IUP Journal of Organizational </w:t>
      </w:r>
      <w:r w:rsidR="00283B15" w:rsidRPr="00AE0575">
        <w:rPr>
          <w:rFonts w:ascii="Arial" w:hAnsi="Arial" w:cs="Arial"/>
          <w:sz w:val="24"/>
          <w:szCs w:val="24"/>
        </w:rPr>
        <w:t>Behaviour</w:t>
      </w:r>
      <w:r w:rsidRPr="00AE0575">
        <w:rPr>
          <w:rFonts w:ascii="Arial" w:hAnsi="Arial" w:cs="Arial"/>
          <w:sz w:val="24"/>
          <w:szCs w:val="24"/>
        </w:rPr>
        <w:t>, 15(3), p.59.</w:t>
      </w:r>
    </w:p>
    <w:p w14:paraId="01815F8F" w14:textId="7F1AED0A" w:rsidR="00E104B7" w:rsidRPr="00AE0575" w:rsidRDefault="00E104B7" w:rsidP="00AE0575">
      <w:pPr>
        <w:pStyle w:val="ListParagraph"/>
        <w:numPr>
          <w:ilvl w:val="0"/>
          <w:numId w:val="3"/>
        </w:numPr>
        <w:spacing w:line="360" w:lineRule="auto"/>
        <w:jc w:val="both"/>
        <w:rPr>
          <w:rFonts w:ascii="Arial" w:hAnsi="Arial" w:cs="Arial"/>
          <w:sz w:val="24"/>
          <w:szCs w:val="24"/>
        </w:rPr>
      </w:pPr>
      <w:r w:rsidRPr="00AE0575">
        <w:rPr>
          <w:rFonts w:ascii="Arial" w:hAnsi="Arial" w:cs="Arial"/>
          <w:sz w:val="24"/>
          <w:szCs w:val="24"/>
        </w:rPr>
        <w:t xml:space="preserve">Jha, S., and Jha, S. </w:t>
      </w:r>
      <w:r w:rsidR="00CF5E6F" w:rsidRPr="00AE0575">
        <w:rPr>
          <w:rFonts w:ascii="Arial" w:hAnsi="Arial" w:cs="Arial"/>
          <w:sz w:val="24"/>
          <w:szCs w:val="24"/>
        </w:rPr>
        <w:t>(</w:t>
      </w:r>
      <w:r w:rsidRPr="00AE0575">
        <w:rPr>
          <w:rFonts w:ascii="Arial" w:hAnsi="Arial" w:cs="Arial"/>
          <w:sz w:val="24"/>
          <w:szCs w:val="24"/>
        </w:rPr>
        <w:t>2015</w:t>
      </w:r>
      <w:r w:rsidR="00CF5E6F" w:rsidRPr="00AE0575">
        <w:rPr>
          <w:rFonts w:ascii="Arial" w:hAnsi="Arial" w:cs="Arial"/>
          <w:sz w:val="24"/>
          <w:szCs w:val="24"/>
        </w:rPr>
        <w:t>)</w:t>
      </w:r>
      <w:r w:rsidRPr="00AE0575">
        <w:rPr>
          <w:rFonts w:ascii="Arial" w:hAnsi="Arial" w:cs="Arial"/>
          <w:sz w:val="24"/>
          <w:szCs w:val="24"/>
        </w:rPr>
        <w:t>. Leveraging employee value proposition for organizational effectiveness. Available at SSRN 2586380.</w:t>
      </w:r>
    </w:p>
    <w:p w14:paraId="5B3B9FEE" w14:textId="715FDCF9" w:rsidR="00E104B7" w:rsidRPr="00AE0575" w:rsidRDefault="00E104B7" w:rsidP="00AE0575">
      <w:pPr>
        <w:pStyle w:val="ListParagraph"/>
        <w:numPr>
          <w:ilvl w:val="0"/>
          <w:numId w:val="3"/>
        </w:numPr>
        <w:spacing w:line="360" w:lineRule="auto"/>
        <w:jc w:val="both"/>
        <w:rPr>
          <w:rFonts w:ascii="Arial" w:hAnsi="Arial" w:cs="Arial"/>
          <w:sz w:val="24"/>
          <w:szCs w:val="24"/>
        </w:rPr>
      </w:pPr>
      <w:r w:rsidRPr="00AE0575">
        <w:rPr>
          <w:rFonts w:ascii="Arial" w:hAnsi="Arial" w:cs="Arial"/>
          <w:sz w:val="24"/>
          <w:szCs w:val="24"/>
        </w:rPr>
        <w:t xml:space="preserve">Morgan, J. </w:t>
      </w:r>
      <w:r w:rsidR="00CF5E6F" w:rsidRPr="00AE0575">
        <w:rPr>
          <w:rFonts w:ascii="Arial" w:hAnsi="Arial" w:cs="Arial"/>
          <w:sz w:val="24"/>
          <w:szCs w:val="24"/>
        </w:rPr>
        <w:t>(</w:t>
      </w:r>
      <w:r w:rsidRPr="00AE0575">
        <w:rPr>
          <w:rFonts w:ascii="Arial" w:hAnsi="Arial" w:cs="Arial"/>
          <w:sz w:val="24"/>
          <w:szCs w:val="24"/>
        </w:rPr>
        <w:t>2017</w:t>
      </w:r>
      <w:r w:rsidR="00CF5E6F" w:rsidRPr="00AE0575">
        <w:rPr>
          <w:rFonts w:ascii="Arial" w:hAnsi="Arial" w:cs="Arial"/>
          <w:sz w:val="24"/>
          <w:szCs w:val="24"/>
        </w:rPr>
        <w:t>)</w:t>
      </w:r>
      <w:r w:rsidRPr="00AE0575">
        <w:rPr>
          <w:rFonts w:ascii="Arial" w:hAnsi="Arial" w:cs="Arial"/>
          <w:sz w:val="24"/>
          <w:szCs w:val="24"/>
        </w:rPr>
        <w:t>. The employee experience advantage: How to win the war for talent by giving employees the workspaces they want, the tools they need, and a culture they can celebrate. John Wiley &amp; Sons.</w:t>
      </w:r>
    </w:p>
    <w:p w14:paraId="71B035E4" w14:textId="010ADC0C" w:rsidR="00E104B7" w:rsidRPr="00AE0575" w:rsidRDefault="00E104B7" w:rsidP="00AE0575">
      <w:pPr>
        <w:pStyle w:val="ListParagraph"/>
        <w:numPr>
          <w:ilvl w:val="0"/>
          <w:numId w:val="3"/>
        </w:numPr>
        <w:spacing w:line="360" w:lineRule="auto"/>
        <w:jc w:val="both"/>
        <w:rPr>
          <w:rFonts w:ascii="Times New Roman" w:hAnsi="Times New Roman" w:cs="Times New Roman"/>
          <w:sz w:val="24"/>
          <w:szCs w:val="24"/>
        </w:rPr>
      </w:pPr>
      <w:r w:rsidRPr="00AE0575">
        <w:rPr>
          <w:rFonts w:ascii="Arial" w:hAnsi="Arial" w:cs="Arial"/>
          <w:sz w:val="24"/>
          <w:szCs w:val="24"/>
        </w:rPr>
        <w:lastRenderedPageBreak/>
        <w:t xml:space="preserve">Radda, A.A., </w:t>
      </w:r>
      <w:proofErr w:type="spellStart"/>
      <w:r w:rsidRPr="00AE0575">
        <w:rPr>
          <w:rFonts w:ascii="Arial" w:hAnsi="Arial" w:cs="Arial"/>
          <w:sz w:val="24"/>
          <w:szCs w:val="24"/>
        </w:rPr>
        <w:t>Majidadi</w:t>
      </w:r>
      <w:proofErr w:type="spellEnd"/>
      <w:r w:rsidRPr="00AE0575">
        <w:rPr>
          <w:rFonts w:ascii="Arial" w:hAnsi="Arial" w:cs="Arial"/>
          <w:sz w:val="24"/>
          <w:szCs w:val="24"/>
        </w:rPr>
        <w:t xml:space="preserve">, M.A., and </w:t>
      </w:r>
      <w:proofErr w:type="spellStart"/>
      <w:r w:rsidRPr="00AE0575">
        <w:rPr>
          <w:rFonts w:ascii="Arial" w:hAnsi="Arial" w:cs="Arial"/>
          <w:sz w:val="24"/>
          <w:szCs w:val="24"/>
        </w:rPr>
        <w:t>Akanno</w:t>
      </w:r>
      <w:proofErr w:type="spellEnd"/>
      <w:r w:rsidRPr="00AE0575">
        <w:rPr>
          <w:rFonts w:ascii="Arial" w:hAnsi="Arial" w:cs="Arial"/>
          <w:sz w:val="24"/>
          <w:szCs w:val="24"/>
        </w:rPr>
        <w:t xml:space="preserve">, S.N. </w:t>
      </w:r>
      <w:r w:rsidR="00CF5E6F" w:rsidRPr="00AE0575">
        <w:rPr>
          <w:rFonts w:ascii="Arial" w:hAnsi="Arial" w:cs="Arial"/>
          <w:sz w:val="24"/>
          <w:szCs w:val="24"/>
        </w:rPr>
        <w:t>(</w:t>
      </w:r>
      <w:r w:rsidRPr="00AE0575">
        <w:rPr>
          <w:rFonts w:ascii="Arial" w:hAnsi="Arial" w:cs="Arial"/>
          <w:sz w:val="24"/>
          <w:szCs w:val="24"/>
        </w:rPr>
        <w:t>2015</w:t>
      </w:r>
      <w:r w:rsidR="00CF5E6F" w:rsidRPr="00AE0575">
        <w:rPr>
          <w:rFonts w:ascii="Arial" w:hAnsi="Arial" w:cs="Arial"/>
          <w:sz w:val="24"/>
          <w:szCs w:val="24"/>
        </w:rPr>
        <w:t>)</w:t>
      </w:r>
      <w:r w:rsidRPr="00AE0575">
        <w:rPr>
          <w:rFonts w:ascii="Arial" w:hAnsi="Arial" w:cs="Arial"/>
          <w:sz w:val="24"/>
          <w:szCs w:val="24"/>
        </w:rPr>
        <w:t>. Employee engagement: The new model of leadership. Indian Journal of Management Science, 5(2), p.17</w:t>
      </w:r>
      <w:r w:rsidRPr="00AE0575">
        <w:rPr>
          <w:rFonts w:ascii="Times New Roman" w:hAnsi="Times New Roman" w:cs="Times New Roman"/>
          <w:sz w:val="24"/>
          <w:szCs w:val="24"/>
        </w:rPr>
        <w:t>.</w:t>
      </w:r>
    </w:p>
    <w:sectPr w:rsidR="00E104B7" w:rsidRPr="00AE0575" w:rsidSect="003F5501">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CEE8C6" w14:textId="77777777" w:rsidR="00496B57" w:rsidRDefault="00496B57" w:rsidP="00A16998">
      <w:pPr>
        <w:spacing w:after="0" w:line="240" w:lineRule="auto"/>
      </w:pPr>
      <w:r>
        <w:separator/>
      </w:r>
    </w:p>
  </w:endnote>
  <w:endnote w:type="continuationSeparator" w:id="0">
    <w:p w14:paraId="71144763" w14:textId="77777777" w:rsidR="00496B57" w:rsidRDefault="00496B57" w:rsidP="00A169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51022340"/>
      <w:docPartObj>
        <w:docPartGallery w:val="Page Numbers (Bottom of Page)"/>
        <w:docPartUnique/>
      </w:docPartObj>
    </w:sdtPr>
    <w:sdtEndPr>
      <w:rPr>
        <w:noProof/>
      </w:rPr>
    </w:sdtEndPr>
    <w:sdtContent>
      <w:p w14:paraId="3DE813C7" w14:textId="6CEDF5CE" w:rsidR="003F5501" w:rsidRDefault="003F5501">
        <w:pPr>
          <w:pStyle w:val="Footer"/>
          <w:jc w:val="right"/>
        </w:pPr>
        <w:r>
          <w:fldChar w:fldCharType="begin"/>
        </w:r>
        <w:r>
          <w:instrText xml:space="preserve"> PAGE   \* MERGEFORMAT </w:instrText>
        </w:r>
        <w:r>
          <w:fldChar w:fldCharType="separate"/>
        </w:r>
        <w:r w:rsidR="0042004C">
          <w:rPr>
            <w:noProof/>
          </w:rPr>
          <w:t>10</w:t>
        </w:r>
        <w:r>
          <w:rPr>
            <w:noProof/>
          </w:rPr>
          <w:fldChar w:fldCharType="end"/>
        </w:r>
      </w:p>
    </w:sdtContent>
  </w:sdt>
  <w:p w14:paraId="311B4F22" w14:textId="77777777" w:rsidR="00A16998" w:rsidRDefault="00A169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90F27B" w14:textId="77777777" w:rsidR="00496B57" w:rsidRDefault="00496B57" w:rsidP="00A16998">
      <w:pPr>
        <w:spacing w:after="0" w:line="240" w:lineRule="auto"/>
      </w:pPr>
      <w:r>
        <w:separator/>
      </w:r>
    </w:p>
  </w:footnote>
  <w:footnote w:type="continuationSeparator" w:id="0">
    <w:p w14:paraId="01B18FD7" w14:textId="77777777" w:rsidR="00496B57" w:rsidRDefault="00496B57" w:rsidP="00A169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E4537D" w14:textId="601C9076" w:rsidR="00A16998" w:rsidRPr="00570D80" w:rsidRDefault="00570D80" w:rsidP="00570D80">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71790"/>
    <w:multiLevelType w:val="hybridMultilevel"/>
    <w:tmpl w:val="C37012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4168B2"/>
    <w:multiLevelType w:val="hybridMultilevel"/>
    <w:tmpl w:val="A70883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8277E80"/>
    <w:multiLevelType w:val="hybridMultilevel"/>
    <w:tmpl w:val="B8C4BB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QzNTc1NTA0NDY3sDRV0lEKTi0uzszPAykwrAUA/EwPOSwAAAA="/>
  </w:docVars>
  <w:rsids>
    <w:rsidRoot w:val="00B60DFB"/>
    <w:rsid w:val="00064C57"/>
    <w:rsid w:val="000724BE"/>
    <w:rsid w:val="00092445"/>
    <w:rsid w:val="000933EB"/>
    <w:rsid w:val="000B7777"/>
    <w:rsid w:val="000C12FC"/>
    <w:rsid w:val="00113088"/>
    <w:rsid w:val="001273EF"/>
    <w:rsid w:val="00144D34"/>
    <w:rsid w:val="0014618E"/>
    <w:rsid w:val="00166ADB"/>
    <w:rsid w:val="001B038B"/>
    <w:rsid w:val="001B6DC1"/>
    <w:rsid w:val="001D3A28"/>
    <w:rsid w:val="0020162B"/>
    <w:rsid w:val="002025C1"/>
    <w:rsid w:val="00272683"/>
    <w:rsid w:val="00276127"/>
    <w:rsid w:val="00283B15"/>
    <w:rsid w:val="002906F1"/>
    <w:rsid w:val="002B0113"/>
    <w:rsid w:val="002D26BA"/>
    <w:rsid w:val="0031488A"/>
    <w:rsid w:val="003222A2"/>
    <w:rsid w:val="003703B8"/>
    <w:rsid w:val="00376F99"/>
    <w:rsid w:val="003853D1"/>
    <w:rsid w:val="00395282"/>
    <w:rsid w:val="003B1171"/>
    <w:rsid w:val="003C3227"/>
    <w:rsid w:val="003E56C4"/>
    <w:rsid w:val="003F1AFB"/>
    <w:rsid w:val="003F5501"/>
    <w:rsid w:val="00401B31"/>
    <w:rsid w:val="004064DE"/>
    <w:rsid w:val="004067ED"/>
    <w:rsid w:val="0042004C"/>
    <w:rsid w:val="00496B57"/>
    <w:rsid w:val="004A126B"/>
    <w:rsid w:val="004D6DCB"/>
    <w:rsid w:val="00500946"/>
    <w:rsid w:val="005103C4"/>
    <w:rsid w:val="00523CA6"/>
    <w:rsid w:val="00560583"/>
    <w:rsid w:val="00563A52"/>
    <w:rsid w:val="00566B72"/>
    <w:rsid w:val="00570D80"/>
    <w:rsid w:val="00584820"/>
    <w:rsid w:val="005A7D58"/>
    <w:rsid w:val="005F035D"/>
    <w:rsid w:val="00612B43"/>
    <w:rsid w:val="0063157C"/>
    <w:rsid w:val="006545C7"/>
    <w:rsid w:val="006602A5"/>
    <w:rsid w:val="00685814"/>
    <w:rsid w:val="006B0BA5"/>
    <w:rsid w:val="006F65E5"/>
    <w:rsid w:val="00725C82"/>
    <w:rsid w:val="00784E44"/>
    <w:rsid w:val="007941A8"/>
    <w:rsid w:val="007B060C"/>
    <w:rsid w:val="007C1B3B"/>
    <w:rsid w:val="007C65CB"/>
    <w:rsid w:val="00804969"/>
    <w:rsid w:val="00806AB7"/>
    <w:rsid w:val="00823337"/>
    <w:rsid w:val="0083335A"/>
    <w:rsid w:val="00846628"/>
    <w:rsid w:val="00862890"/>
    <w:rsid w:val="00865867"/>
    <w:rsid w:val="008A165A"/>
    <w:rsid w:val="008C3560"/>
    <w:rsid w:val="008C71EC"/>
    <w:rsid w:val="008D70B4"/>
    <w:rsid w:val="00953CF4"/>
    <w:rsid w:val="009C6C5B"/>
    <w:rsid w:val="009F2E23"/>
    <w:rsid w:val="00A074F3"/>
    <w:rsid w:val="00A16998"/>
    <w:rsid w:val="00A22BFD"/>
    <w:rsid w:val="00A357B6"/>
    <w:rsid w:val="00A628D4"/>
    <w:rsid w:val="00A64C14"/>
    <w:rsid w:val="00A80777"/>
    <w:rsid w:val="00A81828"/>
    <w:rsid w:val="00AA4ED1"/>
    <w:rsid w:val="00AE0575"/>
    <w:rsid w:val="00AE75ED"/>
    <w:rsid w:val="00AF442B"/>
    <w:rsid w:val="00AF7460"/>
    <w:rsid w:val="00B044AE"/>
    <w:rsid w:val="00B21B70"/>
    <w:rsid w:val="00B4114C"/>
    <w:rsid w:val="00B45304"/>
    <w:rsid w:val="00B463D5"/>
    <w:rsid w:val="00B53BDF"/>
    <w:rsid w:val="00B60DFB"/>
    <w:rsid w:val="00B87152"/>
    <w:rsid w:val="00B935DF"/>
    <w:rsid w:val="00BA1017"/>
    <w:rsid w:val="00BD5789"/>
    <w:rsid w:val="00BE3F9F"/>
    <w:rsid w:val="00BF3402"/>
    <w:rsid w:val="00C17FBC"/>
    <w:rsid w:val="00C7167C"/>
    <w:rsid w:val="00C8092A"/>
    <w:rsid w:val="00C910C5"/>
    <w:rsid w:val="00CA4476"/>
    <w:rsid w:val="00CF5E6F"/>
    <w:rsid w:val="00D2780B"/>
    <w:rsid w:val="00D3331C"/>
    <w:rsid w:val="00D400C9"/>
    <w:rsid w:val="00D60837"/>
    <w:rsid w:val="00D6433E"/>
    <w:rsid w:val="00D93888"/>
    <w:rsid w:val="00D94D5A"/>
    <w:rsid w:val="00DA0892"/>
    <w:rsid w:val="00DA6EA5"/>
    <w:rsid w:val="00DB1191"/>
    <w:rsid w:val="00DB35B1"/>
    <w:rsid w:val="00DB381D"/>
    <w:rsid w:val="00DC30A9"/>
    <w:rsid w:val="00DD7DDC"/>
    <w:rsid w:val="00DE637E"/>
    <w:rsid w:val="00E104B7"/>
    <w:rsid w:val="00E21A53"/>
    <w:rsid w:val="00E245B7"/>
    <w:rsid w:val="00E55D0B"/>
    <w:rsid w:val="00E5622A"/>
    <w:rsid w:val="00E67A7A"/>
    <w:rsid w:val="00E7323D"/>
    <w:rsid w:val="00E842DE"/>
    <w:rsid w:val="00E9632B"/>
    <w:rsid w:val="00EB19BC"/>
    <w:rsid w:val="00ED50F5"/>
    <w:rsid w:val="00EF0ABE"/>
    <w:rsid w:val="00F0173E"/>
    <w:rsid w:val="00F023A7"/>
    <w:rsid w:val="00F132F1"/>
    <w:rsid w:val="00F21BBA"/>
    <w:rsid w:val="00F23562"/>
    <w:rsid w:val="00F532A5"/>
    <w:rsid w:val="00F75640"/>
    <w:rsid w:val="00FA69E2"/>
    <w:rsid w:val="00FB154C"/>
    <w:rsid w:val="00FC7959"/>
    <w:rsid w:val="00FD32B9"/>
    <w:rsid w:val="00FF740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9D96F"/>
  <w15:chartTrackingRefBased/>
  <w15:docId w15:val="{A1AA3101-BE6F-4318-877C-83AE14385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69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d-word">
    <w:name w:val="nd-word"/>
    <w:basedOn w:val="DefaultParagraphFont"/>
    <w:rsid w:val="00395282"/>
  </w:style>
  <w:style w:type="character" w:customStyle="1" w:styleId="Heading1Char">
    <w:name w:val="Heading 1 Char"/>
    <w:basedOn w:val="DefaultParagraphFont"/>
    <w:link w:val="Heading1"/>
    <w:uiPriority w:val="9"/>
    <w:rsid w:val="00A16998"/>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A169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6998"/>
  </w:style>
  <w:style w:type="paragraph" w:styleId="Footer">
    <w:name w:val="footer"/>
    <w:basedOn w:val="Normal"/>
    <w:link w:val="FooterChar"/>
    <w:uiPriority w:val="99"/>
    <w:unhideWhenUsed/>
    <w:rsid w:val="00A169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6998"/>
  </w:style>
  <w:style w:type="paragraph" w:styleId="TOCHeading">
    <w:name w:val="TOC Heading"/>
    <w:basedOn w:val="Heading1"/>
    <w:next w:val="Normal"/>
    <w:uiPriority w:val="39"/>
    <w:unhideWhenUsed/>
    <w:qFormat/>
    <w:rsid w:val="00862890"/>
    <w:pPr>
      <w:outlineLvl w:val="9"/>
    </w:pPr>
    <w:rPr>
      <w:lang w:val="en-US"/>
    </w:rPr>
  </w:style>
  <w:style w:type="paragraph" w:styleId="TOC1">
    <w:name w:val="toc 1"/>
    <w:basedOn w:val="Normal"/>
    <w:next w:val="Normal"/>
    <w:autoRedefine/>
    <w:uiPriority w:val="39"/>
    <w:unhideWhenUsed/>
    <w:rsid w:val="00862890"/>
    <w:pPr>
      <w:spacing w:after="100"/>
    </w:pPr>
  </w:style>
  <w:style w:type="character" w:styleId="Hyperlink">
    <w:name w:val="Hyperlink"/>
    <w:basedOn w:val="DefaultParagraphFont"/>
    <w:uiPriority w:val="99"/>
    <w:unhideWhenUsed/>
    <w:rsid w:val="00862890"/>
    <w:rPr>
      <w:color w:val="0563C1" w:themeColor="hyperlink"/>
      <w:u w:val="single"/>
    </w:rPr>
  </w:style>
  <w:style w:type="character" w:styleId="CommentReference">
    <w:name w:val="annotation reference"/>
    <w:basedOn w:val="DefaultParagraphFont"/>
    <w:uiPriority w:val="99"/>
    <w:semiHidden/>
    <w:unhideWhenUsed/>
    <w:rsid w:val="00725C82"/>
    <w:rPr>
      <w:sz w:val="16"/>
      <w:szCs w:val="16"/>
    </w:rPr>
  </w:style>
  <w:style w:type="paragraph" w:styleId="CommentText">
    <w:name w:val="annotation text"/>
    <w:basedOn w:val="Normal"/>
    <w:link w:val="CommentTextChar"/>
    <w:uiPriority w:val="99"/>
    <w:semiHidden/>
    <w:unhideWhenUsed/>
    <w:rsid w:val="00725C82"/>
    <w:pPr>
      <w:spacing w:line="240" w:lineRule="auto"/>
    </w:pPr>
    <w:rPr>
      <w:sz w:val="20"/>
      <w:szCs w:val="20"/>
    </w:rPr>
  </w:style>
  <w:style w:type="character" w:customStyle="1" w:styleId="CommentTextChar">
    <w:name w:val="Comment Text Char"/>
    <w:basedOn w:val="DefaultParagraphFont"/>
    <w:link w:val="CommentText"/>
    <w:uiPriority w:val="99"/>
    <w:semiHidden/>
    <w:rsid w:val="00725C82"/>
    <w:rPr>
      <w:sz w:val="20"/>
      <w:szCs w:val="20"/>
    </w:rPr>
  </w:style>
  <w:style w:type="paragraph" w:styleId="CommentSubject">
    <w:name w:val="annotation subject"/>
    <w:basedOn w:val="CommentText"/>
    <w:next w:val="CommentText"/>
    <w:link w:val="CommentSubjectChar"/>
    <w:uiPriority w:val="99"/>
    <w:semiHidden/>
    <w:unhideWhenUsed/>
    <w:rsid w:val="00725C82"/>
    <w:rPr>
      <w:b/>
      <w:bCs/>
    </w:rPr>
  </w:style>
  <w:style w:type="character" w:customStyle="1" w:styleId="CommentSubjectChar">
    <w:name w:val="Comment Subject Char"/>
    <w:basedOn w:val="CommentTextChar"/>
    <w:link w:val="CommentSubject"/>
    <w:uiPriority w:val="99"/>
    <w:semiHidden/>
    <w:rsid w:val="00725C82"/>
    <w:rPr>
      <w:b/>
      <w:bCs/>
      <w:sz w:val="20"/>
      <w:szCs w:val="20"/>
    </w:rPr>
  </w:style>
  <w:style w:type="paragraph" w:styleId="Revision">
    <w:name w:val="Revision"/>
    <w:hidden/>
    <w:uiPriority w:val="99"/>
    <w:semiHidden/>
    <w:rsid w:val="00725C82"/>
    <w:pPr>
      <w:spacing w:after="0" w:line="240" w:lineRule="auto"/>
    </w:pPr>
  </w:style>
  <w:style w:type="paragraph" w:styleId="BalloonText">
    <w:name w:val="Balloon Text"/>
    <w:basedOn w:val="Normal"/>
    <w:link w:val="BalloonTextChar"/>
    <w:uiPriority w:val="99"/>
    <w:semiHidden/>
    <w:unhideWhenUsed/>
    <w:rsid w:val="00725C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5C82"/>
    <w:rPr>
      <w:rFonts w:ascii="Segoe UI" w:hAnsi="Segoe UI" w:cs="Segoe UI"/>
      <w:sz w:val="18"/>
      <w:szCs w:val="18"/>
    </w:rPr>
  </w:style>
  <w:style w:type="paragraph" w:styleId="ListParagraph">
    <w:name w:val="List Paragraph"/>
    <w:basedOn w:val="Normal"/>
    <w:uiPriority w:val="34"/>
    <w:qFormat/>
    <w:rsid w:val="00AE05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1267709">
      <w:bodyDiv w:val="1"/>
      <w:marLeft w:val="0"/>
      <w:marRight w:val="0"/>
      <w:marTop w:val="0"/>
      <w:marBottom w:val="0"/>
      <w:divBdr>
        <w:top w:val="none" w:sz="0" w:space="0" w:color="auto"/>
        <w:left w:val="none" w:sz="0" w:space="0" w:color="auto"/>
        <w:bottom w:val="none" w:sz="0" w:space="0" w:color="auto"/>
        <w:right w:val="none" w:sz="0" w:space="0" w:color="auto"/>
      </w:divBdr>
      <w:divsChild>
        <w:div w:id="968167999">
          <w:marLeft w:val="0"/>
          <w:marRight w:val="0"/>
          <w:marTop w:val="0"/>
          <w:marBottom w:val="0"/>
          <w:divBdr>
            <w:top w:val="none" w:sz="0" w:space="0" w:color="auto"/>
            <w:left w:val="none" w:sz="0" w:space="0" w:color="auto"/>
            <w:bottom w:val="none" w:sz="0" w:space="0" w:color="auto"/>
            <w:right w:val="none" w:sz="0" w:space="0" w:color="auto"/>
          </w:divBdr>
        </w:div>
        <w:div w:id="74980064">
          <w:marLeft w:val="0"/>
          <w:marRight w:val="0"/>
          <w:marTop w:val="0"/>
          <w:marBottom w:val="0"/>
          <w:divBdr>
            <w:top w:val="none" w:sz="0" w:space="0" w:color="auto"/>
            <w:left w:val="none" w:sz="0" w:space="0" w:color="auto"/>
            <w:bottom w:val="none" w:sz="0" w:space="0" w:color="auto"/>
            <w:right w:val="none" w:sz="0" w:space="0" w:color="auto"/>
          </w:divBdr>
        </w:div>
      </w:divsChild>
    </w:div>
    <w:div w:id="1471943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FC252E-C4DF-4AC7-AB73-8ADCA0B74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2507</Words>
  <Characters>14292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Sirkal</dc:creator>
  <cp:keywords/>
  <dc:description/>
  <cp:lastModifiedBy>Yoanna Mihaylova</cp:lastModifiedBy>
  <cp:revision>2</cp:revision>
  <dcterms:created xsi:type="dcterms:W3CDTF">2020-12-13T19:58:00Z</dcterms:created>
  <dcterms:modified xsi:type="dcterms:W3CDTF">2020-12-13T19:58:00Z</dcterms:modified>
</cp:coreProperties>
</file>