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958E1" w14:textId="77777777" w:rsidR="00D14ED0" w:rsidRDefault="00000000">
      <w:pPr>
        <w:pStyle w:val="Heading1"/>
      </w:pPr>
      <w:r>
        <w:t>Shift in Hotel Strategies Post-COVID with Reduced Business Commuting: A Case Study of Hilton Hotels &amp; Resorts</w:t>
      </w:r>
    </w:p>
    <w:p w14:paraId="35837473" w14:textId="65543D8B" w:rsidR="00D14ED0" w:rsidRDefault="00000000">
      <w:r>
        <w:t xml:space="preserve">Student Name: </w:t>
      </w:r>
      <w:r w:rsidR="00C17903">
        <w:t xml:space="preserve">Austin Agnelo Fernandes </w:t>
      </w:r>
    </w:p>
    <w:p w14:paraId="0F1728E9" w14:textId="350AA8AE" w:rsidR="00D14ED0" w:rsidRDefault="00000000">
      <w:r>
        <w:t xml:space="preserve">Student ID: </w:t>
      </w:r>
      <w:r w:rsidR="00C17903">
        <w:t>2228678</w:t>
      </w:r>
    </w:p>
    <w:p w14:paraId="068930EA" w14:textId="77777777" w:rsidR="00D14ED0" w:rsidRDefault="00000000">
      <w:r>
        <w:t>Programme: BA (Hons) International Hotel Management</w:t>
      </w:r>
    </w:p>
    <w:p w14:paraId="5826324F" w14:textId="77777777" w:rsidR="00D14ED0" w:rsidRDefault="00000000">
      <w:r>
        <w:t>Module: Contemporary Themes in the Hotel and Hospitality Sector (BMIH6001)</w:t>
      </w:r>
    </w:p>
    <w:p w14:paraId="4C64EE78" w14:textId="61C0C405" w:rsidR="00D14ED0" w:rsidRPr="00C17903" w:rsidRDefault="00000000">
      <w:pPr>
        <w:rPr>
          <w:lang w:val="fr-FR"/>
        </w:rPr>
      </w:pPr>
      <w:r w:rsidRPr="00C17903">
        <w:rPr>
          <w:lang w:val="fr-FR"/>
        </w:rPr>
        <w:t xml:space="preserve">Lecturer: </w:t>
      </w:r>
      <w:r w:rsidR="00C17903" w:rsidRPr="00C17903">
        <w:rPr>
          <w:lang w:val="fr-FR"/>
        </w:rPr>
        <w:t>Lola</w:t>
      </w:r>
      <w:r w:rsidR="00C17903" w:rsidRPr="00C17903">
        <w:rPr>
          <w:lang w:val="fr-FR"/>
        </w:rPr>
        <w:t xml:space="preserve"> Vil</w:t>
      </w:r>
      <w:r w:rsidR="00C17903">
        <w:rPr>
          <w:lang w:val="fr-FR"/>
        </w:rPr>
        <w:t>lard-Coles</w:t>
      </w:r>
    </w:p>
    <w:p w14:paraId="571D4F67" w14:textId="438698EC" w:rsidR="00D14ED0" w:rsidRDefault="00000000">
      <w:pPr>
        <w:rPr>
          <w:lang w:val="fr-FR"/>
        </w:rPr>
      </w:pPr>
      <w:r w:rsidRPr="00C17903">
        <w:rPr>
          <w:lang w:val="fr-FR"/>
        </w:rPr>
        <w:t xml:space="preserve">Submission Date: </w:t>
      </w:r>
      <w:r w:rsidR="00C17903">
        <w:rPr>
          <w:lang w:val="fr-FR"/>
        </w:rPr>
        <w:t>6</w:t>
      </w:r>
      <w:r w:rsidRPr="00C17903">
        <w:rPr>
          <w:lang w:val="fr-FR"/>
        </w:rPr>
        <w:t xml:space="preserve"> November 2025</w:t>
      </w:r>
    </w:p>
    <w:p w14:paraId="622E9A83" w14:textId="77777777" w:rsidR="00C17903" w:rsidRDefault="00C17903">
      <w:pPr>
        <w:rPr>
          <w:lang w:val="fr-FR"/>
        </w:rPr>
      </w:pPr>
    </w:p>
    <w:p w14:paraId="2F54C587" w14:textId="77777777" w:rsidR="00C17903" w:rsidRDefault="00C17903">
      <w:pPr>
        <w:rPr>
          <w:lang w:val="fr-FR"/>
        </w:rPr>
      </w:pPr>
    </w:p>
    <w:p w14:paraId="7936CDFF" w14:textId="63C10FC7" w:rsidR="00C17903" w:rsidRPr="00C17903" w:rsidRDefault="00C17903" w:rsidP="00C17903">
      <w:pPr>
        <w:rPr>
          <w:lang w:val="en-GB"/>
        </w:rPr>
      </w:pPr>
      <w:r>
        <w:rPr>
          <w:lang w:val="en-GB"/>
        </w:rPr>
        <w:t>U</w:t>
      </w:r>
      <w:r w:rsidRPr="00C17903">
        <w:rPr>
          <w:lang w:val="en-GB"/>
        </w:rPr>
        <w:t xml:space="preserve">se of AI </w:t>
      </w:r>
    </w:p>
    <w:p w14:paraId="163982A9" w14:textId="4689A353" w:rsidR="00C17903" w:rsidRPr="00C17903" w:rsidRDefault="00C17903" w:rsidP="00C17903">
      <w:pPr>
        <w:rPr>
          <w:lang w:val="en-GB"/>
        </w:rPr>
      </w:pPr>
      <w:r w:rsidRPr="00C17903">
        <w:rPr>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A7C0C25" w14:textId="77777777" w:rsidR="00D14ED0" w:rsidRDefault="00000000">
      <w:pPr>
        <w:pStyle w:val="Heading2"/>
      </w:pPr>
      <w:r>
        <w:t>Abstract</w:t>
      </w:r>
    </w:p>
    <w:p w14:paraId="23EAA63C" w14:textId="77777777" w:rsidR="00D14ED0" w:rsidRDefault="00000000">
      <w:r>
        <w:br/>
        <w:t xml:space="preserve">The COVID-19 pandemic profoundly reshaped the global hospitality industry, disrupting traditional business travel and forcing hotels to re-evaluate their strategic priorities. This paper investigates how Hilton Hotels &amp; Resorts adapted its operations and business model in response to the lasting decline in business commuting. The research explores Hilton’s post-pandemic strategic shift towards leisure, domestic, and “bleisure” markets, emphasising digital transformation, sustainability, and experiential hospitality. Through secondary data analysis and literature review, the study applies a PESTEL framework to assess external influences and the long-term impact of evolving consumer behaviour on Hilton’s recovery strategy. Findings indicate that Hilton has repositioned itself by integrating flexible workspace concepts, sustainability initiatives, and hybrid meeting technology to attract a more diverse clientele. The analysis highlights the importance of agility, brand consistency, and customer-centric innovation in sustaining competitiveness. The paper concludes with recommendations for Hilton and the wider </w:t>
      </w:r>
      <w:r>
        <w:lastRenderedPageBreak/>
        <w:t>industry to consolidate post-pandemic gains through targeted investment in technology, wellness, and sustainability while maintaining brand authenticity in the evolving travel landscape.</w:t>
      </w:r>
      <w:r>
        <w:br/>
      </w:r>
    </w:p>
    <w:p w14:paraId="7BF80783" w14:textId="77777777" w:rsidR="00D14ED0" w:rsidRDefault="00000000">
      <w:pPr>
        <w:pStyle w:val="Heading2"/>
      </w:pPr>
      <w:r>
        <w:t>1. Introduction</w:t>
      </w:r>
    </w:p>
    <w:p w14:paraId="754523DF" w14:textId="77777777" w:rsidR="00D14ED0" w:rsidRDefault="00000000">
      <w:r>
        <w:t>The COVID-19 pandemic created one of the most significant disruptions in modern hospitality history, fundamentally altering global travel behaviour and the dynamics of hotel operations. Business travel, which accounted for over one-fifth of global hotel revenue pre-pandemic (Statista, 2024), was severely curtailed due to restrictions, remote work adoption, and the global shift to virtual conferencing (Gössling et al., 2021). Hilton Hotels &amp; Resorts, a global leader with over 7,500 properties, saw occupancy plummet by over 60% in 2020. The recovery that followed forced a profound rethinking of Hilton’s business model.</w:t>
      </w:r>
      <w:r>
        <w:br/>
        <w:t>This paper examines Hilton’s strategic realignment post-COVID, particularly how it pivoted from reliance on business travellers to leisure, domestic, and hybrid markets. The study situates Hilton’s transformation within wider industry trends, applying a PESTEL analytical framework to evaluate external pressures influencing strategy. The analysis also explores digital transformation, sustainability, and workforce adaptation as key pillars of Hilton’s resilience. The findings demonstrate how Hilton leveraged agility and brand strength to reposition itself as a flexible, wellness-oriented and technology-driven hospitality provider.</w:t>
      </w:r>
      <w:r>
        <w:br/>
      </w:r>
    </w:p>
    <w:p w14:paraId="787E28CE" w14:textId="77777777" w:rsidR="00D14ED0" w:rsidRDefault="00000000">
      <w:pPr>
        <w:pStyle w:val="Heading2"/>
      </w:pPr>
      <w:r>
        <w:t>2. Literature Review</w:t>
      </w:r>
    </w:p>
    <w:p w14:paraId="1AF05E59" w14:textId="77777777" w:rsidR="00D14ED0" w:rsidRDefault="00000000">
      <w:r>
        <w:t>The literature consistently identifies COVID-19 as a structural inflection point for global hospitality. Baum and Hai (2020) argue that the pandemic accelerated pre-existing challenges related to overreliance on corporate travel. Ivanov and Webster (2019) emphasise the role of service automation as both a risk and an opportunity in such shifts. Hilton’s strategic transformation reflects these broader theoretical debates about adaptation, innovation, and human capital resilience.</w:t>
      </w:r>
      <w:r>
        <w:br/>
      </w:r>
      <w:r>
        <w:br/>
        <w:t xml:space="preserve">**2.1 Changing Consumer Behaviour**  </w:t>
      </w:r>
      <w:r>
        <w:br/>
        <w:t>The pandemic catalysed a long-term behavioural shift towards “bleisure” and localised travel (WTTC, 2023). With the rise of remote work, travellers sought hotels that supported productivity and leisure simultaneously. Hilton responded through its “WorkSpaces by Hilton” initiative (Hilton, 2021), converting rooms into private offices. Literature by Cooper and Hall (2019) supports this dual-purpose demand model, noting that multi-functional hotel spaces will define post-COVID competitiveness.</w:t>
      </w:r>
      <w:r>
        <w:br/>
      </w:r>
      <w:r>
        <w:lastRenderedPageBreak/>
        <w:br/>
        <w:t xml:space="preserve">**2.2 Technological Innovation**  </w:t>
      </w:r>
      <w:r>
        <w:br/>
        <w:t>Digitalisation became the linchpin of hotel recovery strategies (Ivanov et al., 2021). Hilton enhanced its Hilton Honors app and mobile key technology, reducing touchpoints and labour costs while maintaining guest safety (Hilton Annual Report, 2022). Murphy et al. (2022) caution that over-automation risks diminishing the human connection central to hospitality; Hilton mitigated this by integrating technology as an enabler of service, not a replacement.</w:t>
      </w:r>
      <w:r>
        <w:br/>
      </w:r>
      <w:r>
        <w:br/>
        <w:t xml:space="preserve">**2.3 Sustainability Imperatives**  </w:t>
      </w:r>
      <w:r>
        <w:br/>
        <w:t>Sustainability evolved from a marketing differentiator to a strategic necessity. Hilton’s “Travel with Purpose 2030” aims to halve environmental impact and double community investment (Hilton ESG Report, 2023). Costa and Costa (2022) argue that environmental performance directly influences consumer loyalty, especially among Generation Z travellers.</w:t>
      </w:r>
      <w:r>
        <w:br/>
      </w:r>
      <w:r>
        <w:br/>
        <w:t xml:space="preserve">**2.4 Financial and Operational Resilience**  </w:t>
      </w:r>
      <w:r>
        <w:br/>
        <w:t>Hilton’s post-COVID financial recovery, aided by strong domestic demand, aligns with findings by Batabyal and Das (2019) on diversified resilience. STR Global (2023) reported Hilton’s UK RevPAR recovery at 92% of 2019 levels by 2023, though corporate travel remained subdued. McKinsey (2023) forecasts that business travel will stabilise at 70–80% of pre-pandemic levels, requiring sustained diversification.</w:t>
      </w:r>
      <w:r>
        <w:br/>
      </w:r>
      <w:r>
        <w:br/>
        <w:t xml:space="preserve">**2.5 Competitive Repositioning**  </w:t>
      </w:r>
      <w:r>
        <w:br/>
        <w:t>Hilton’s rivals — notably Marriott and Accor — adopted similar leisure-led pivots. However, Tribe (2009) and Ford &amp; Sturman (2020) stress the necessity of maintaining brand identity during transformation. Hilton’s “Hilton CleanStay” programme and wellness-focused sub-brands like Tempo and Motto embody this alignment of safety, sustainability, and experience.</w:t>
      </w:r>
      <w:r>
        <w:br/>
      </w:r>
    </w:p>
    <w:p w14:paraId="12604B62" w14:textId="77777777" w:rsidR="00D14ED0" w:rsidRDefault="00000000">
      <w:pPr>
        <w:pStyle w:val="Heading2"/>
      </w:pPr>
      <w:r>
        <w:t>3. Method</w:t>
      </w:r>
    </w:p>
    <w:p w14:paraId="1338BA48" w14:textId="77777777" w:rsidR="00D14ED0" w:rsidRDefault="00000000">
      <w:r>
        <w:t xml:space="preserve">This study employs a qualitative methodology, utilising secondary data from Hilton’s Annual and ESG Reports (2021–2024), peer-reviewed journals, and credible industry analyses (WTTC, STR, McKinsey). The PESTEL framework structures analysis across macro-environmental dimensions — Political, Economic, Social, Technological, Environmental, and Legal (Clegg et al., 2021). This deductive design tests theoretical propositions against Hilton’s real-world adaptation, enabling a robust understanding of </w:t>
      </w:r>
      <w:r>
        <w:lastRenderedPageBreak/>
        <w:t>resilience strategies. The approach is interpretivist, reflecting on managerial implications and strategic foresight.</w:t>
      </w:r>
      <w:r>
        <w:br/>
      </w:r>
    </w:p>
    <w:p w14:paraId="024F212B" w14:textId="77777777" w:rsidR="00D14ED0" w:rsidRDefault="00000000">
      <w:pPr>
        <w:pStyle w:val="Heading2"/>
      </w:pPr>
      <w:r>
        <w:t>4. Theme Impact Analysis</w:t>
      </w:r>
    </w:p>
    <w:p w14:paraId="30B82D43" w14:textId="77777777" w:rsidR="00D14ED0" w:rsidRDefault="00000000">
      <w:r>
        <w:t xml:space="preserve">**Political:** UK government lockdowns and Brexit-related workforce shortages required adaptive labour strategies. Hilton localised recruitment and advocated flexible immigration policies (Gov.uk, 2022).  </w:t>
      </w:r>
      <w:r>
        <w:br/>
        <w:t xml:space="preserve">**Economic:** Inflation and reduced corporate budgets constrained revenues, but leisure and extended-stay segments provided recovery momentum (Hilton Annual Report, 2023).  </w:t>
      </w:r>
      <w:r>
        <w:br/>
        <w:t xml:space="preserve">**Social:** Remote work normalisation expanded Hilton’s target market to include digital nomads. Wellness offerings such as spa partnerships and fitness-centric amenities were scaled up (WTTC, 2023).  </w:t>
      </w:r>
      <w:r>
        <w:br/>
        <w:t xml:space="preserve">**Technological:** The Hilton Honors app, AI-enabled chatbots, and smart rooms exemplify digital evolution, echoing Ivanov &amp; Webster (2019).  </w:t>
      </w:r>
      <w:r>
        <w:br/>
        <w:t xml:space="preserve">**Environmental:** Hilton’s carbon reduction of 44% per square metre between 2008–2023 aligns with the UK’s Net Zero commitments (Hilton ESG Report, 2023).  </w:t>
      </w:r>
      <w:r>
        <w:br/>
        <w:t>**Legal:** Enhanced safety compliance under “Hilton CleanStay” set industry benchmarks (VisitBritain, 2022).</w:t>
      </w:r>
      <w:r>
        <w:br/>
      </w:r>
      <w:r>
        <w:br/>
        <w:t>Hilton’s agile response strengthened its competitive edge; however, challenges include franchise cost pressures and the need for consistent global implementation of ESG goals.</w:t>
      </w:r>
      <w:r>
        <w:br/>
      </w:r>
    </w:p>
    <w:p w14:paraId="24AD377D" w14:textId="77777777" w:rsidR="00D14ED0" w:rsidRDefault="00000000">
      <w:pPr>
        <w:pStyle w:val="Heading2"/>
      </w:pPr>
      <w:r>
        <w:t>5. Conclusion</w:t>
      </w:r>
    </w:p>
    <w:p w14:paraId="24368037" w14:textId="77777777" w:rsidR="00D14ED0" w:rsidRDefault="00000000">
      <w:r>
        <w:t>Hilton Hotels &amp; Resorts successfully leveraged innovation and sustainability to counter the lasting effects of reduced business commuting. Through a diversified market approach, digital transformation, and strategic flexibility, Hilton sustained its market relevance while reshaping guest engagement. The findings reaffirm that adaptability, supported by robust brand governance, is central to post-pandemic hospitality resilience.</w:t>
      </w:r>
      <w:r>
        <w:br/>
      </w:r>
    </w:p>
    <w:p w14:paraId="59E19499" w14:textId="77777777" w:rsidR="00D14ED0" w:rsidRDefault="00000000">
      <w:pPr>
        <w:pStyle w:val="Heading2"/>
      </w:pPr>
      <w:r>
        <w:t>6. Recommendations</w:t>
      </w:r>
    </w:p>
    <w:p w14:paraId="3E0E8A86" w14:textId="77777777" w:rsidR="00D14ED0" w:rsidRDefault="00000000">
      <w:r>
        <w:t xml:space="preserve">1. Expand hybrid workspace offerings across mid-scale brands.  </w:t>
      </w:r>
      <w:r>
        <w:br/>
        <w:t xml:space="preserve">2. Enhance AI-driven personalisation via Hilton Honors data analytics.  </w:t>
      </w:r>
      <w:r>
        <w:br/>
        <w:t xml:space="preserve">3. Invest in continuous workforce reskilling for digital proficiency.  </w:t>
      </w:r>
      <w:r>
        <w:br/>
      </w:r>
      <w:r>
        <w:lastRenderedPageBreak/>
        <w:t xml:space="preserve">4. Partner with local tourism and sustainability organisations for authentic experiences.  </w:t>
      </w:r>
      <w:r>
        <w:br/>
        <w:t xml:space="preserve">5. Introduce carbon-neutral “Green Meetings” packages for corporate clients.  </w:t>
      </w:r>
      <w:r>
        <w:br/>
        <w:t xml:space="preserve">6. Integrate wellness and sustainability more deeply into all brand communications.  </w:t>
      </w:r>
      <w:r>
        <w:br/>
        <w:t>7. Continue diversifying revenue via extended-stay and subscription models.</w:t>
      </w:r>
      <w:r>
        <w:br/>
      </w:r>
    </w:p>
    <w:p w14:paraId="4EE50175" w14:textId="77777777" w:rsidR="00D14ED0" w:rsidRDefault="00000000">
      <w:pPr>
        <w:pStyle w:val="Heading2"/>
      </w:pPr>
      <w:r>
        <w:t>7. References</w:t>
      </w:r>
    </w:p>
    <w:p w14:paraId="4275C9FC" w14:textId="77777777" w:rsidR="00D14ED0" w:rsidRDefault="00000000">
      <w:r>
        <w:t xml:space="preserve">Batabyal, D. &amp; Das, D.K. (2019). *Global Trends, Practices, and Challenges in Contemporary Tourism and Hospitality Management.* IGI Global.  </w:t>
      </w:r>
      <w:r>
        <w:br/>
        <w:t xml:space="preserve">Baum, T. &amp; Hai, N.T.T. (2020). Hospitality, tourism, human rights and COVID-19. *Int. J. Contemporary Hospitality Management,* 32(7), 2397–2407.  </w:t>
      </w:r>
      <w:r>
        <w:br/>
        <w:t xml:space="preserve">Cooper, C. &amp; Hall, M. (2019). *Contemporary Tourism.* Goodfellow.  </w:t>
      </w:r>
      <w:r>
        <w:br/>
        <w:t xml:space="preserve">Costa, V. &amp; Costa, C. (2022). *Sustainability and Competitiveness in the Hospitality Industry.* IGI Global.  </w:t>
      </w:r>
      <w:r>
        <w:br/>
        <w:t xml:space="preserve">Ford, R.C. &amp; Sturman, M.C. (2020). *Managing Hospitality Organisations.* Sage.  </w:t>
      </w:r>
      <w:r>
        <w:br/>
        <w:t xml:space="preserve">Gössling, S., Scott, D. &amp; Hall, C.M. (2021). Pandemics, tourism and global change. *Journal of Sustainable Tourism,* 29(1), 1–20.  </w:t>
      </w:r>
      <w:r>
        <w:br/>
        <w:t xml:space="preserve">Hilton (2021). *WorkSpaces by Hilton – Press Release.* Hilton.com.  </w:t>
      </w:r>
      <w:r>
        <w:br/>
        <w:t xml:space="preserve">Hilton (2022). *Annual Report 2022.* Hilton Worldwide.  </w:t>
      </w:r>
      <w:r>
        <w:br/>
        <w:t xml:space="preserve">Hilton (2023). *ESG Report 2023.* Hilton Worldwide.  </w:t>
      </w:r>
      <w:r>
        <w:br/>
        <w:t xml:space="preserve">Ivanov, S. &amp; Webster, C. (2019). *Robots, AI, and Service Automation in Hospitality.* Emerald.  </w:t>
      </w:r>
      <w:r>
        <w:br/>
        <w:t xml:space="preserve">Ivanov, S., Gretzel, U. &amp; Berezina, K. (2021). Service automation in hospitality. *Tourism Management Perspectives,* 40, 100858.  </w:t>
      </w:r>
      <w:r>
        <w:br/>
        <w:t xml:space="preserve">McKinsey (2023). *The Future of Business Travel.* McKinsey Insights.  </w:t>
      </w:r>
      <w:r>
        <w:br/>
        <w:t xml:space="preserve">Murphy, H., Gretzel, U. &amp; Pesonen, J. (2022). Balancing high-tech and high-touch. *Tourism Management,* 93, 104619.  </w:t>
      </w:r>
      <w:r>
        <w:br/>
        <w:t xml:space="preserve">Sharma, M., Singh, A.K. &amp; Tyagi, P. (2024). *Innovation and Regenerative Trends in Hospitality.* Atlantis Press.  </w:t>
      </w:r>
      <w:r>
        <w:br/>
        <w:t xml:space="preserve">Statista (2024). *Business Travel Expenditure 2019–2024.* Statista.  </w:t>
      </w:r>
      <w:r>
        <w:br/>
        <w:t xml:space="preserve">STR Global (2023). *UK Hotel Performance Review 2023.* STR.  </w:t>
      </w:r>
      <w:r>
        <w:br/>
        <w:t xml:space="preserve">Tribe, J. (2009). *Philosophical Issues in Tourism.* Channel View.  </w:t>
      </w:r>
      <w:r>
        <w:br/>
        <w:t xml:space="preserve">VisitBritain (2022). *COVID-19 Recovery Guidance.* VisitBritain.org.  </w:t>
      </w:r>
      <w:r>
        <w:br/>
        <w:t xml:space="preserve">World Travel &amp; Tourism Council (2023). *Travel &amp; Tourism Economic Impact 2023.* WTTC.  </w:t>
      </w:r>
      <w:r>
        <w:br/>
      </w:r>
    </w:p>
    <w:sectPr w:rsidR="00D14ED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2072774">
    <w:abstractNumId w:val="8"/>
  </w:num>
  <w:num w:numId="2" w16cid:durableId="863441782">
    <w:abstractNumId w:val="6"/>
  </w:num>
  <w:num w:numId="3" w16cid:durableId="533545042">
    <w:abstractNumId w:val="5"/>
  </w:num>
  <w:num w:numId="4" w16cid:durableId="1999575935">
    <w:abstractNumId w:val="4"/>
  </w:num>
  <w:num w:numId="5" w16cid:durableId="1457288393">
    <w:abstractNumId w:val="7"/>
  </w:num>
  <w:num w:numId="6" w16cid:durableId="1145200486">
    <w:abstractNumId w:val="3"/>
  </w:num>
  <w:num w:numId="7" w16cid:durableId="800465920">
    <w:abstractNumId w:val="2"/>
  </w:num>
  <w:num w:numId="8" w16cid:durableId="695499491">
    <w:abstractNumId w:val="1"/>
  </w:num>
  <w:num w:numId="9" w16cid:durableId="1569000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A0FEC"/>
    <w:rsid w:val="00AA1D8D"/>
    <w:rsid w:val="00B47730"/>
    <w:rsid w:val="00C17903"/>
    <w:rsid w:val="00CB0664"/>
    <w:rsid w:val="00D14E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A963F0"/>
  <w14:defaultImageDpi w14:val="300"/>
  <w15:docId w15:val="{5A65E58C-1112-4C01-89A4-6290547B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1587</Words>
  <Characters>9050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Austin Agnelo Fernandes (2228678)</cp:lastModifiedBy>
  <cp:revision>2</cp:revision>
  <dcterms:created xsi:type="dcterms:W3CDTF">2013-12-23T23:15:00Z</dcterms:created>
  <dcterms:modified xsi:type="dcterms:W3CDTF">2025-11-06T23:03:00Z</dcterms:modified>
  <cp:category/>
</cp:coreProperties>
</file>