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6617" w:rsidRPr="002F6671" w:rsidRDefault="00885BB4" w:rsidP="00340115">
      <w:pPr>
        <w:spacing w:after="120"/>
        <w:jc w:val="center"/>
        <w:rPr>
          <w:rFonts w:ascii="Times New Roman" w:hAnsi="Times New Roman" w:cs="Times New Roman"/>
          <w:b/>
          <w:color w:val="002060"/>
          <w:sz w:val="28"/>
          <w:szCs w:val="28"/>
        </w:rPr>
      </w:pPr>
      <w:r w:rsidRPr="002F6671">
        <w:rPr>
          <w:rFonts w:ascii="Times New Roman" w:hAnsi="Times New Roman" w:cs="Times New Roman"/>
          <w:b/>
          <w:color w:val="002060"/>
          <w:sz w:val="28"/>
          <w:szCs w:val="28"/>
        </w:rPr>
        <w:t>Ritual and Ceremony</w:t>
      </w:r>
    </w:p>
    <w:p w:rsidR="00EC36F0" w:rsidRPr="002F6671" w:rsidRDefault="00EC36F0" w:rsidP="00292600">
      <w:pPr>
        <w:spacing w:after="120"/>
        <w:rPr>
          <w:rFonts w:ascii="Times New Roman" w:hAnsi="Times New Roman" w:cs="Times New Roman"/>
          <w:b/>
          <w:color w:val="002060"/>
          <w:sz w:val="24"/>
          <w:szCs w:val="24"/>
        </w:rPr>
      </w:pPr>
    </w:p>
    <w:p w:rsidR="00EC36F0" w:rsidRPr="002F6671" w:rsidRDefault="00EC36F0" w:rsidP="00292600">
      <w:pPr>
        <w:spacing w:after="120"/>
        <w:rPr>
          <w:rFonts w:ascii="Times New Roman" w:hAnsi="Times New Roman" w:cs="Times New Roman"/>
          <w:b/>
          <w:color w:val="002060"/>
          <w:sz w:val="24"/>
          <w:szCs w:val="24"/>
        </w:rPr>
      </w:pPr>
      <w:r w:rsidRPr="002F6671">
        <w:rPr>
          <w:rFonts w:ascii="Times New Roman" w:hAnsi="Times New Roman" w:cs="Times New Roman"/>
          <w:b/>
          <w:color w:val="002060"/>
          <w:sz w:val="24"/>
          <w:szCs w:val="24"/>
        </w:rPr>
        <w:t>Introduction</w:t>
      </w:r>
    </w:p>
    <w:p w:rsidR="00C85BA6" w:rsidRPr="002F6671" w:rsidRDefault="00C85BA6" w:rsidP="00292600">
      <w:pPr>
        <w:spacing w:after="120"/>
        <w:rPr>
          <w:rFonts w:ascii="Times New Roman" w:hAnsi="Times New Roman" w:cs="Times New Roman"/>
          <w:color w:val="002060"/>
          <w:sz w:val="24"/>
          <w:szCs w:val="24"/>
        </w:rPr>
      </w:pPr>
      <w:r w:rsidRPr="002F6671">
        <w:rPr>
          <w:rFonts w:ascii="Times New Roman" w:hAnsi="Times New Roman" w:cs="Times New Roman"/>
          <w:color w:val="002060"/>
          <w:sz w:val="24"/>
          <w:szCs w:val="24"/>
        </w:rPr>
        <w:t>In this session we are going to explore religious practices using archaeological approaches. Specifically our aim is to explore:</w:t>
      </w:r>
    </w:p>
    <w:p w:rsidR="00C85BA6" w:rsidRPr="002F6671" w:rsidRDefault="00885BB4" w:rsidP="00292600">
      <w:pPr>
        <w:pStyle w:val="ListParagraph"/>
        <w:numPr>
          <w:ilvl w:val="0"/>
          <w:numId w:val="1"/>
        </w:numPr>
        <w:spacing w:after="120"/>
        <w:rPr>
          <w:rFonts w:ascii="Times New Roman" w:hAnsi="Times New Roman" w:cs="Times New Roman"/>
          <w:color w:val="002060"/>
          <w:sz w:val="24"/>
          <w:szCs w:val="24"/>
        </w:rPr>
      </w:pPr>
      <w:r w:rsidRPr="002F6671">
        <w:rPr>
          <w:rFonts w:ascii="Times New Roman" w:hAnsi="Times New Roman" w:cs="Times New Roman"/>
          <w:color w:val="002060"/>
          <w:sz w:val="24"/>
          <w:szCs w:val="24"/>
        </w:rPr>
        <w:t xml:space="preserve">What can archaeology tell us about </w:t>
      </w:r>
      <w:r w:rsidR="00B839A3">
        <w:rPr>
          <w:rFonts w:ascii="Times New Roman" w:hAnsi="Times New Roman" w:cs="Times New Roman"/>
          <w:color w:val="002060"/>
          <w:sz w:val="24"/>
          <w:szCs w:val="24"/>
        </w:rPr>
        <w:t>ritual</w:t>
      </w:r>
      <w:r w:rsidRPr="002F6671">
        <w:rPr>
          <w:rFonts w:ascii="Times New Roman" w:hAnsi="Times New Roman" w:cs="Times New Roman"/>
          <w:color w:val="002060"/>
          <w:sz w:val="24"/>
          <w:szCs w:val="24"/>
        </w:rPr>
        <w:t>?</w:t>
      </w:r>
    </w:p>
    <w:p w:rsidR="00885BB4" w:rsidRPr="002F6671" w:rsidRDefault="00885BB4" w:rsidP="00292600">
      <w:pPr>
        <w:pStyle w:val="ListParagraph"/>
        <w:numPr>
          <w:ilvl w:val="0"/>
          <w:numId w:val="1"/>
        </w:numPr>
        <w:spacing w:after="120"/>
        <w:rPr>
          <w:rFonts w:ascii="Times New Roman" w:hAnsi="Times New Roman" w:cs="Times New Roman"/>
          <w:color w:val="002060"/>
          <w:sz w:val="24"/>
          <w:szCs w:val="24"/>
        </w:rPr>
      </w:pPr>
      <w:r w:rsidRPr="002F6671">
        <w:rPr>
          <w:rFonts w:ascii="Times New Roman" w:hAnsi="Times New Roman" w:cs="Times New Roman"/>
          <w:color w:val="002060"/>
          <w:sz w:val="24"/>
          <w:szCs w:val="24"/>
        </w:rPr>
        <w:t xml:space="preserve">What are the theoretical problems involved in approaching </w:t>
      </w:r>
      <w:r w:rsidR="00B839A3">
        <w:rPr>
          <w:rFonts w:ascii="Times New Roman" w:hAnsi="Times New Roman" w:cs="Times New Roman"/>
          <w:color w:val="002060"/>
          <w:sz w:val="24"/>
          <w:szCs w:val="24"/>
        </w:rPr>
        <w:t>ritual</w:t>
      </w:r>
      <w:r w:rsidRPr="002F6671">
        <w:rPr>
          <w:rFonts w:ascii="Times New Roman" w:hAnsi="Times New Roman" w:cs="Times New Roman"/>
          <w:color w:val="002060"/>
          <w:sz w:val="24"/>
          <w:szCs w:val="24"/>
        </w:rPr>
        <w:t xml:space="preserve"> through archaeology?</w:t>
      </w:r>
    </w:p>
    <w:p w:rsidR="00885BB4" w:rsidRPr="002F6671" w:rsidRDefault="00C85BA6" w:rsidP="00292600">
      <w:pPr>
        <w:spacing w:after="120"/>
        <w:rPr>
          <w:rFonts w:ascii="Times New Roman" w:hAnsi="Times New Roman" w:cs="Times New Roman"/>
          <w:color w:val="002060"/>
          <w:sz w:val="24"/>
          <w:szCs w:val="24"/>
        </w:rPr>
      </w:pPr>
      <w:r w:rsidRPr="002F6671">
        <w:rPr>
          <w:rFonts w:ascii="Times New Roman" w:hAnsi="Times New Roman" w:cs="Times New Roman"/>
          <w:color w:val="002060"/>
          <w:sz w:val="24"/>
          <w:szCs w:val="24"/>
        </w:rPr>
        <w:t>Our f</w:t>
      </w:r>
      <w:r w:rsidR="00885BB4" w:rsidRPr="002F6671">
        <w:rPr>
          <w:rFonts w:ascii="Times New Roman" w:hAnsi="Times New Roman" w:cs="Times New Roman"/>
          <w:color w:val="002060"/>
          <w:sz w:val="24"/>
          <w:szCs w:val="24"/>
        </w:rPr>
        <w:t>ocus is on rituals/ritualized behaviour</w:t>
      </w:r>
      <w:r w:rsidRPr="002F6671">
        <w:rPr>
          <w:rFonts w:ascii="Times New Roman" w:hAnsi="Times New Roman" w:cs="Times New Roman"/>
          <w:color w:val="002060"/>
          <w:sz w:val="24"/>
          <w:szCs w:val="24"/>
        </w:rPr>
        <w:t>: the archaeological evidence for</w:t>
      </w:r>
      <w:r w:rsidR="00885BB4" w:rsidRPr="002F6671">
        <w:rPr>
          <w:rFonts w:ascii="Times New Roman" w:hAnsi="Times New Roman" w:cs="Times New Roman"/>
          <w:color w:val="002060"/>
          <w:sz w:val="24"/>
          <w:szCs w:val="24"/>
        </w:rPr>
        <w:t xml:space="preserve"> cult practices</w:t>
      </w:r>
      <w:r w:rsidRPr="002F6671">
        <w:rPr>
          <w:rFonts w:ascii="Times New Roman" w:hAnsi="Times New Roman" w:cs="Times New Roman"/>
          <w:color w:val="002060"/>
          <w:sz w:val="24"/>
          <w:szCs w:val="24"/>
        </w:rPr>
        <w:t xml:space="preserve"> and </w:t>
      </w:r>
      <w:r w:rsidR="00885BB4" w:rsidRPr="002F6671">
        <w:rPr>
          <w:rFonts w:ascii="Times New Roman" w:hAnsi="Times New Roman" w:cs="Times New Roman"/>
          <w:color w:val="002060"/>
          <w:sz w:val="24"/>
          <w:szCs w:val="24"/>
        </w:rPr>
        <w:t>the enactment of ceremony.</w:t>
      </w:r>
      <w:r w:rsidRPr="002F6671">
        <w:rPr>
          <w:rFonts w:ascii="Times New Roman" w:hAnsi="Times New Roman" w:cs="Times New Roman"/>
          <w:color w:val="002060"/>
          <w:sz w:val="24"/>
          <w:szCs w:val="24"/>
        </w:rPr>
        <w:t xml:space="preserve"> This builds upon a particular definition of religion situated in anthropological theory:</w:t>
      </w:r>
    </w:p>
    <w:p w:rsidR="00885BB4" w:rsidRPr="002F6671" w:rsidRDefault="00885BB4" w:rsidP="00292600">
      <w:pPr>
        <w:spacing w:after="120"/>
        <w:ind w:left="720"/>
        <w:rPr>
          <w:rFonts w:ascii="Times New Roman" w:hAnsi="Times New Roman" w:cs="Times New Roman"/>
          <w:color w:val="002060"/>
          <w:sz w:val="24"/>
          <w:szCs w:val="24"/>
        </w:rPr>
      </w:pPr>
      <w:r w:rsidRPr="002F6671">
        <w:rPr>
          <w:rFonts w:ascii="Times New Roman" w:hAnsi="Times New Roman" w:cs="Times New Roman"/>
          <w:color w:val="002060"/>
          <w:sz w:val="24"/>
          <w:szCs w:val="24"/>
        </w:rPr>
        <w:t xml:space="preserve">Durkheim: </w:t>
      </w:r>
      <w:r w:rsidR="00942655" w:rsidRPr="002F6671">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religion is a set of beliefs and </w:t>
      </w:r>
      <w:r w:rsidRPr="002F6671">
        <w:rPr>
          <w:rFonts w:ascii="Times New Roman" w:hAnsi="Times New Roman" w:cs="Times New Roman"/>
          <w:i/>
          <w:color w:val="002060"/>
          <w:sz w:val="24"/>
          <w:szCs w:val="24"/>
        </w:rPr>
        <w:t>practices</w:t>
      </w:r>
      <w:r w:rsidRPr="002F6671">
        <w:rPr>
          <w:rFonts w:ascii="Times New Roman" w:hAnsi="Times New Roman" w:cs="Times New Roman"/>
          <w:color w:val="002060"/>
          <w:sz w:val="24"/>
          <w:szCs w:val="24"/>
        </w:rPr>
        <w:t xml:space="preserve"> by which a society represents </w:t>
      </w:r>
      <w:proofErr w:type="gramStart"/>
      <w:r w:rsidRPr="002F6671">
        <w:rPr>
          <w:rFonts w:ascii="Times New Roman" w:hAnsi="Times New Roman" w:cs="Times New Roman"/>
          <w:color w:val="002060"/>
          <w:sz w:val="24"/>
          <w:szCs w:val="24"/>
        </w:rPr>
        <w:t>its</w:t>
      </w:r>
      <w:r w:rsidR="00942655" w:rsidRPr="002F6671">
        <w:rPr>
          <w:rFonts w:ascii="Times New Roman" w:hAnsi="Times New Roman" w:cs="Times New Roman"/>
          <w:color w:val="002060"/>
          <w:sz w:val="24"/>
          <w:szCs w:val="24"/>
        </w:rPr>
        <w:t>elf</w:t>
      </w:r>
      <w:proofErr w:type="gramEnd"/>
      <w:r w:rsidR="00942655" w:rsidRPr="002F6671">
        <w:rPr>
          <w:rFonts w:ascii="Times New Roman" w:hAnsi="Times New Roman" w:cs="Times New Roman"/>
          <w:color w:val="002060"/>
          <w:sz w:val="24"/>
          <w:szCs w:val="24"/>
        </w:rPr>
        <w:t xml:space="preserve"> to itself” (cited in Insoll </w:t>
      </w:r>
      <w:r w:rsidRPr="002F6671">
        <w:rPr>
          <w:rFonts w:ascii="Times New Roman" w:hAnsi="Times New Roman" w:cs="Times New Roman"/>
          <w:color w:val="002060"/>
          <w:sz w:val="24"/>
          <w:szCs w:val="24"/>
        </w:rPr>
        <w:t>2004</w:t>
      </w:r>
      <w:r w:rsidR="00D70482" w:rsidRPr="002F6671">
        <w:rPr>
          <w:rFonts w:ascii="Times New Roman" w:hAnsi="Times New Roman" w:cs="Times New Roman"/>
          <w:color w:val="002060"/>
          <w:sz w:val="24"/>
          <w:szCs w:val="24"/>
        </w:rPr>
        <w:t>, p.</w:t>
      </w:r>
      <w:r w:rsidRPr="002F6671">
        <w:rPr>
          <w:rFonts w:ascii="Times New Roman" w:hAnsi="Times New Roman" w:cs="Times New Roman"/>
          <w:color w:val="002060"/>
          <w:sz w:val="24"/>
          <w:szCs w:val="24"/>
        </w:rPr>
        <w:t xml:space="preserve"> 6</w:t>
      </w:r>
      <w:r w:rsidR="00D70482" w:rsidRPr="002F6671">
        <w:rPr>
          <w:rFonts w:ascii="Times New Roman" w:hAnsi="Times New Roman" w:cs="Times New Roman"/>
          <w:color w:val="002060"/>
          <w:sz w:val="24"/>
          <w:szCs w:val="24"/>
        </w:rPr>
        <w:t>, my emphasis</w:t>
      </w:r>
      <w:r w:rsidRPr="002F6671">
        <w:rPr>
          <w:rFonts w:ascii="Times New Roman" w:hAnsi="Times New Roman" w:cs="Times New Roman"/>
          <w:color w:val="002060"/>
          <w:sz w:val="24"/>
          <w:szCs w:val="24"/>
        </w:rPr>
        <w:t>)</w:t>
      </w:r>
      <w:r w:rsidR="00942655" w:rsidRPr="002F6671">
        <w:rPr>
          <w:rFonts w:ascii="Times New Roman" w:hAnsi="Times New Roman" w:cs="Times New Roman"/>
          <w:color w:val="002060"/>
          <w:sz w:val="24"/>
          <w:szCs w:val="24"/>
        </w:rPr>
        <w:t>.</w:t>
      </w:r>
    </w:p>
    <w:p w:rsidR="00942655" w:rsidRPr="002F6671" w:rsidRDefault="00942655" w:rsidP="00292600">
      <w:pPr>
        <w:spacing w:after="120"/>
        <w:ind w:left="720"/>
        <w:rPr>
          <w:rFonts w:ascii="Times New Roman" w:hAnsi="Times New Roman" w:cs="Times New Roman"/>
          <w:color w:val="002060"/>
          <w:sz w:val="24"/>
          <w:szCs w:val="24"/>
        </w:rPr>
      </w:pPr>
      <w:proofErr w:type="spellStart"/>
      <w:r w:rsidRPr="002F6671">
        <w:rPr>
          <w:rFonts w:ascii="Times New Roman" w:hAnsi="Times New Roman" w:cs="Times New Roman"/>
          <w:color w:val="002060"/>
          <w:sz w:val="24"/>
          <w:szCs w:val="24"/>
        </w:rPr>
        <w:t>Durrans</w:t>
      </w:r>
      <w:proofErr w:type="spellEnd"/>
      <w:r w:rsidRPr="002F6671">
        <w:rPr>
          <w:rFonts w:ascii="Times New Roman" w:hAnsi="Times New Roman" w:cs="Times New Roman"/>
          <w:color w:val="002060"/>
          <w:sz w:val="24"/>
          <w:szCs w:val="24"/>
        </w:rPr>
        <w:t xml:space="preserve"> (2000: 59) Religion is a “system of </w:t>
      </w:r>
      <w:r w:rsidRPr="002F6671">
        <w:rPr>
          <w:rFonts w:ascii="Times New Roman" w:hAnsi="Times New Roman" w:cs="Times New Roman"/>
          <w:i/>
          <w:color w:val="002060"/>
          <w:sz w:val="24"/>
          <w:szCs w:val="24"/>
        </w:rPr>
        <w:t>collective public actions</w:t>
      </w:r>
      <w:r w:rsidRPr="002F6671">
        <w:rPr>
          <w:rFonts w:ascii="Times New Roman" w:hAnsi="Times New Roman" w:cs="Times New Roman"/>
          <w:color w:val="002060"/>
          <w:sz w:val="24"/>
          <w:szCs w:val="24"/>
        </w:rPr>
        <w:t xml:space="preserve"> which conform to rules (“</w:t>
      </w:r>
      <w:r w:rsidRPr="002F6671">
        <w:rPr>
          <w:rFonts w:ascii="Times New Roman" w:hAnsi="Times New Roman" w:cs="Times New Roman"/>
          <w:i/>
          <w:color w:val="002060"/>
          <w:sz w:val="24"/>
          <w:szCs w:val="24"/>
        </w:rPr>
        <w:t>ritual</w:t>
      </w:r>
      <w:r w:rsidRPr="002F6671">
        <w:rPr>
          <w:rFonts w:ascii="Times New Roman" w:hAnsi="Times New Roman" w:cs="Times New Roman"/>
          <w:color w:val="002060"/>
          <w:sz w:val="24"/>
          <w:szCs w:val="24"/>
        </w:rPr>
        <w:t>”) and usually express beliefs”</w:t>
      </w:r>
      <w:r w:rsidR="00EC36F0" w:rsidRPr="002F6671">
        <w:rPr>
          <w:rFonts w:ascii="Times New Roman" w:hAnsi="Times New Roman" w:cs="Times New Roman"/>
          <w:color w:val="002060"/>
          <w:sz w:val="24"/>
          <w:szCs w:val="24"/>
        </w:rPr>
        <w:t xml:space="preserve"> (my </w:t>
      </w:r>
      <w:r w:rsidRPr="002F6671">
        <w:rPr>
          <w:rFonts w:ascii="Times New Roman" w:hAnsi="Times New Roman" w:cs="Times New Roman"/>
          <w:color w:val="002060"/>
          <w:sz w:val="24"/>
          <w:szCs w:val="24"/>
        </w:rPr>
        <w:t>emphasis)</w:t>
      </w:r>
    </w:p>
    <w:p w:rsidR="00942655" w:rsidRPr="002F6671" w:rsidRDefault="00942655" w:rsidP="00292600">
      <w:pPr>
        <w:spacing w:after="120"/>
        <w:rPr>
          <w:rFonts w:ascii="Times New Roman" w:hAnsi="Times New Roman" w:cs="Times New Roman"/>
          <w:color w:val="002060"/>
          <w:sz w:val="24"/>
          <w:szCs w:val="24"/>
        </w:rPr>
      </w:pPr>
    </w:p>
    <w:p w:rsidR="0027683C" w:rsidRPr="002F6671" w:rsidRDefault="0027683C" w:rsidP="00292600">
      <w:pPr>
        <w:spacing w:after="120"/>
        <w:rPr>
          <w:rFonts w:ascii="Times New Roman" w:hAnsi="Times New Roman" w:cs="Times New Roman"/>
          <w:b/>
          <w:color w:val="002060"/>
          <w:sz w:val="24"/>
          <w:szCs w:val="24"/>
        </w:rPr>
      </w:pPr>
      <w:r w:rsidRPr="002F6671">
        <w:rPr>
          <w:rFonts w:ascii="Times New Roman" w:hAnsi="Times New Roman" w:cs="Times New Roman"/>
          <w:b/>
          <w:color w:val="002060"/>
          <w:sz w:val="24"/>
          <w:szCs w:val="24"/>
        </w:rPr>
        <w:t>Defining Ritual</w:t>
      </w:r>
    </w:p>
    <w:p w:rsidR="0027683C" w:rsidRPr="002F6671" w:rsidRDefault="0027683C" w:rsidP="00292600">
      <w:pPr>
        <w:spacing w:after="120"/>
        <w:rPr>
          <w:rFonts w:ascii="Times New Roman" w:hAnsi="Times New Roman" w:cs="Times New Roman"/>
          <w:color w:val="0070C0"/>
          <w:sz w:val="24"/>
          <w:szCs w:val="24"/>
        </w:rPr>
      </w:pPr>
      <w:r w:rsidRPr="002F6671">
        <w:rPr>
          <w:rFonts w:ascii="Times New Roman" w:hAnsi="Times New Roman" w:cs="Times New Roman"/>
          <w:color w:val="0070C0"/>
          <w:sz w:val="24"/>
          <w:szCs w:val="24"/>
        </w:rPr>
        <w:t>Please read Bowie 2000 (Chapter 6).</w:t>
      </w:r>
    </w:p>
    <w:p w:rsidR="00DA574F" w:rsidRDefault="00C0133D"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Ritual is</w:t>
      </w:r>
      <w:r w:rsidR="00DA574F" w:rsidRPr="002F6671">
        <w:rPr>
          <w:rFonts w:ascii="Times New Roman" w:hAnsi="Times New Roman" w:cs="Times New Roman"/>
          <w:color w:val="002060"/>
          <w:sz w:val="24"/>
          <w:szCs w:val="24"/>
        </w:rPr>
        <w:t xml:space="preserve"> physical action, movement, communication, exoteric knowledge combined.</w:t>
      </w:r>
      <w:r w:rsidR="00134DCD" w:rsidRPr="002F6671">
        <w:rPr>
          <w:rFonts w:ascii="Times New Roman" w:hAnsi="Times New Roman" w:cs="Times New Roman"/>
          <w:color w:val="002060"/>
          <w:sz w:val="24"/>
          <w:szCs w:val="24"/>
        </w:rPr>
        <w:t xml:space="preserve"> </w:t>
      </w:r>
      <w:r w:rsidR="00DA574F" w:rsidRPr="002F6671">
        <w:rPr>
          <w:rFonts w:ascii="Times New Roman" w:hAnsi="Times New Roman" w:cs="Times New Roman"/>
          <w:color w:val="002060"/>
          <w:sz w:val="24"/>
          <w:szCs w:val="24"/>
        </w:rPr>
        <w:t>Ritual comprises routine (repeated) actions, perhaps at designated times, specialized equipment, altered manner of speech.</w:t>
      </w:r>
      <w:r w:rsidR="00883923" w:rsidRPr="002F6671">
        <w:rPr>
          <w:rFonts w:ascii="Times New Roman" w:hAnsi="Times New Roman" w:cs="Times New Roman"/>
          <w:color w:val="002060"/>
          <w:sz w:val="24"/>
          <w:szCs w:val="24"/>
        </w:rPr>
        <w:t xml:space="preserve"> It is an element of religion but is not synonymous with religion (which includes belief systems &amp; a concept of the sacred). Archaeologists however, have a tendency to conflate ritual and religion in their writings.</w:t>
      </w:r>
    </w:p>
    <w:p w:rsidR="001204C2" w:rsidRDefault="001204C2"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Anthropological definitions of ritual emphasis </w:t>
      </w:r>
      <w:r w:rsidRPr="001204C2">
        <w:rPr>
          <w:rFonts w:ascii="Times New Roman" w:hAnsi="Times New Roman" w:cs="Times New Roman"/>
          <w:color w:val="002060"/>
          <w:sz w:val="24"/>
          <w:szCs w:val="24"/>
        </w:rPr>
        <w:t>performance</w:t>
      </w:r>
      <w:r>
        <w:rPr>
          <w:rFonts w:ascii="Times New Roman" w:hAnsi="Times New Roman" w:cs="Times New Roman"/>
          <w:color w:val="002060"/>
          <w:sz w:val="24"/>
          <w:szCs w:val="24"/>
        </w:rPr>
        <w:t>, prescribed formalized behaviour (it is formulaic not spontaneous), and its transformative power (from the everyday to “an alternative context within which the everyday is transformed” (Alexander cited in Bowie 2000, p. 153). It might be considered to be ceremonial or symbolic – that is to say that it is distinct from the repetitive activities of daily life. Above all anthropological approaches stress the individuality of ritual within distinct cultural contexts – although it might be possible to define characteristics of ritual these will always be culturally specific; there is no over-riding rule.</w:t>
      </w:r>
    </w:p>
    <w:p w:rsidR="001204C2" w:rsidRPr="002F6671" w:rsidRDefault="001204C2" w:rsidP="00292600">
      <w:pPr>
        <w:spacing w:after="120"/>
        <w:rPr>
          <w:rFonts w:ascii="Times New Roman" w:hAnsi="Times New Roman" w:cs="Times New Roman"/>
          <w:color w:val="002060"/>
          <w:sz w:val="24"/>
          <w:szCs w:val="24"/>
        </w:rPr>
      </w:pPr>
      <w:proofErr w:type="spellStart"/>
      <w:r>
        <w:rPr>
          <w:rFonts w:ascii="Times New Roman" w:hAnsi="Times New Roman" w:cs="Times New Roman"/>
          <w:color w:val="002060"/>
          <w:sz w:val="24"/>
          <w:szCs w:val="24"/>
        </w:rPr>
        <w:t>Tambiah</w:t>
      </w:r>
      <w:proofErr w:type="spellEnd"/>
      <w:r>
        <w:rPr>
          <w:rFonts w:ascii="Times New Roman" w:hAnsi="Times New Roman" w:cs="Times New Roman"/>
          <w:color w:val="002060"/>
          <w:sz w:val="24"/>
          <w:szCs w:val="24"/>
        </w:rPr>
        <w:t xml:space="preserve"> defines ritual as “a culturally constructed system of symbolic communication” (cited in Bowie 2000, p. 155) – it is formulaic and prescribed by convention: a patterned</w:t>
      </w:r>
      <w:r w:rsidR="00AA7E0F">
        <w:rPr>
          <w:rFonts w:ascii="Times New Roman" w:hAnsi="Times New Roman" w:cs="Times New Roman"/>
          <w:color w:val="002060"/>
          <w:sz w:val="24"/>
          <w:szCs w:val="24"/>
        </w:rPr>
        <w:t>,</w:t>
      </w:r>
      <w:r>
        <w:rPr>
          <w:rFonts w:ascii="Times New Roman" w:hAnsi="Times New Roman" w:cs="Times New Roman"/>
          <w:color w:val="002060"/>
          <w:sz w:val="24"/>
          <w:szCs w:val="24"/>
        </w:rPr>
        <w:t xml:space="preserve"> </w:t>
      </w:r>
      <w:r w:rsidR="00AA7E0F">
        <w:rPr>
          <w:rFonts w:ascii="Times New Roman" w:hAnsi="Times New Roman" w:cs="Times New Roman"/>
          <w:color w:val="002060"/>
          <w:sz w:val="24"/>
          <w:szCs w:val="24"/>
        </w:rPr>
        <w:t xml:space="preserve">repetitive </w:t>
      </w:r>
      <w:r>
        <w:rPr>
          <w:rFonts w:ascii="Times New Roman" w:hAnsi="Times New Roman" w:cs="Times New Roman"/>
          <w:color w:val="002060"/>
          <w:sz w:val="24"/>
          <w:szCs w:val="24"/>
        </w:rPr>
        <w:t>ordered sequence of words, gestures, actions</w:t>
      </w:r>
      <w:r w:rsidR="00AA7E0F">
        <w:rPr>
          <w:rFonts w:ascii="Times New Roman" w:hAnsi="Times New Roman" w:cs="Times New Roman"/>
          <w:color w:val="002060"/>
          <w:sz w:val="24"/>
          <w:szCs w:val="24"/>
        </w:rPr>
        <w:t>. Whether or not these words and gestures have meaning is not necessarily the case.</w:t>
      </w:r>
    </w:p>
    <w:p w:rsidR="00883923" w:rsidRPr="002F6671" w:rsidRDefault="001204C2"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According to Bell (1997) </w:t>
      </w:r>
      <w:r w:rsidR="00883923" w:rsidRPr="002F6671">
        <w:rPr>
          <w:rFonts w:ascii="Times New Roman" w:hAnsi="Times New Roman" w:cs="Times New Roman"/>
          <w:color w:val="002060"/>
          <w:sz w:val="24"/>
          <w:szCs w:val="24"/>
        </w:rPr>
        <w:t>ritual comprises the following:</w:t>
      </w:r>
    </w:p>
    <w:p w:rsidR="00883923" w:rsidRPr="002F6671" w:rsidRDefault="00883923" w:rsidP="00292600">
      <w:pPr>
        <w:pStyle w:val="ListParagraph"/>
        <w:numPr>
          <w:ilvl w:val="0"/>
          <w:numId w:val="2"/>
        </w:numPr>
        <w:spacing w:after="120"/>
        <w:rPr>
          <w:rFonts w:ascii="Times New Roman" w:hAnsi="Times New Roman" w:cs="Times New Roman"/>
          <w:color w:val="002060"/>
          <w:sz w:val="24"/>
          <w:szCs w:val="24"/>
        </w:rPr>
      </w:pPr>
      <w:r w:rsidRPr="002F6671">
        <w:rPr>
          <w:rFonts w:ascii="Times New Roman" w:hAnsi="Times New Roman" w:cs="Times New Roman"/>
          <w:b/>
          <w:color w:val="002060"/>
          <w:sz w:val="24"/>
          <w:szCs w:val="24"/>
        </w:rPr>
        <w:t>Formalism:</w:t>
      </w:r>
      <w:r w:rsidRPr="002F6671">
        <w:rPr>
          <w:rFonts w:ascii="Times New Roman" w:hAnsi="Times New Roman" w:cs="Times New Roman"/>
          <w:color w:val="002060"/>
          <w:sz w:val="24"/>
          <w:szCs w:val="24"/>
        </w:rPr>
        <w:t xml:space="preserve"> formality of activities/actions;</w:t>
      </w:r>
    </w:p>
    <w:p w:rsidR="00883923" w:rsidRPr="002F6671" w:rsidRDefault="00883923" w:rsidP="00292600">
      <w:pPr>
        <w:pStyle w:val="ListParagraph"/>
        <w:numPr>
          <w:ilvl w:val="0"/>
          <w:numId w:val="2"/>
        </w:numPr>
        <w:spacing w:after="120"/>
        <w:rPr>
          <w:rFonts w:ascii="Times New Roman" w:hAnsi="Times New Roman" w:cs="Times New Roman"/>
          <w:color w:val="002060"/>
          <w:sz w:val="24"/>
          <w:szCs w:val="24"/>
        </w:rPr>
      </w:pPr>
      <w:r w:rsidRPr="002F6671">
        <w:rPr>
          <w:rFonts w:ascii="Times New Roman" w:hAnsi="Times New Roman" w:cs="Times New Roman"/>
          <w:b/>
          <w:color w:val="002060"/>
          <w:sz w:val="24"/>
          <w:szCs w:val="24"/>
        </w:rPr>
        <w:lastRenderedPageBreak/>
        <w:t>Traditionalism:</w:t>
      </w:r>
      <w:r w:rsidRPr="002F6671">
        <w:rPr>
          <w:rFonts w:ascii="Times New Roman" w:hAnsi="Times New Roman" w:cs="Times New Roman"/>
          <w:color w:val="002060"/>
          <w:sz w:val="24"/>
          <w:szCs w:val="24"/>
        </w:rPr>
        <w:t xml:space="preserve"> attempting to make a set of actions appear consistent with (identical to) older cultural precedents;</w:t>
      </w:r>
    </w:p>
    <w:p w:rsidR="00883923" w:rsidRPr="002F6671" w:rsidRDefault="00883923" w:rsidP="00292600">
      <w:pPr>
        <w:pStyle w:val="ListParagraph"/>
        <w:numPr>
          <w:ilvl w:val="0"/>
          <w:numId w:val="2"/>
        </w:numPr>
        <w:spacing w:after="120"/>
        <w:rPr>
          <w:rFonts w:ascii="Times New Roman" w:hAnsi="Times New Roman" w:cs="Times New Roman"/>
          <w:color w:val="002060"/>
          <w:sz w:val="24"/>
          <w:szCs w:val="24"/>
        </w:rPr>
      </w:pPr>
      <w:r w:rsidRPr="002F6671">
        <w:rPr>
          <w:rFonts w:ascii="Times New Roman" w:hAnsi="Times New Roman" w:cs="Times New Roman"/>
          <w:b/>
          <w:color w:val="002060"/>
          <w:sz w:val="24"/>
          <w:szCs w:val="24"/>
        </w:rPr>
        <w:t xml:space="preserve">Invariance: </w:t>
      </w:r>
      <w:r w:rsidRPr="002F6671">
        <w:rPr>
          <w:rFonts w:ascii="Times New Roman" w:hAnsi="Times New Roman" w:cs="Times New Roman"/>
          <w:color w:val="002060"/>
          <w:sz w:val="24"/>
          <w:szCs w:val="24"/>
        </w:rPr>
        <w:t>actions are marked by precise repetition;</w:t>
      </w:r>
    </w:p>
    <w:p w:rsidR="00883923" w:rsidRPr="002F6671" w:rsidRDefault="00883923" w:rsidP="00292600">
      <w:pPr>
        <w:pStyle w:val="ListParagraph"/>
        <w:numPr>
          <w:ilvl w:val="0"/>
          <w:numId w:val="2"/>
        </w:numPr>
        <w:spacing w:after="120"/>
        <w:rPr>
          <w:rFonts w:ascii="Times New Roman" w:hAnsi="Times New Roman" w:cs="Times New Roman"/>
          <w:color w:val="002060"/>
          <w:sz w:val="24"/>
          <w:szCs w:val="24"/>
        </w:rPr>
      </w:pPr>
      <w:r w:rsidRPr="002F6671">
        <w:rPr>
          <w:rFonts w:ascii="Times New Roman" w:hAnsi="Times New Roman" w:cs="Times New Roman"/>
          <w:b/>
          <w:color w:val="002060"/>
          <w:sz w:val="24"/>
          <w:szCs w:val="24"/>
        </w:rPr>
        <w:t xml:space="preserve">Rule governance: </w:t>
      </w:r>
      <w:r w:rsidRPr="002F6671">
        <w:rPr>
          <w:rFonts w:ascii="Times New Roman" w:hAnsi="Times New Roman" w:cs="Times New Roman"/>
          <w:color w:val="002060"/>
          <w:sz w:val="24"/>
          <w:szCs w:val="24"/>
        </w:rPr>
        <w:t>control over actions.</w:t>
      </w:r>
    </w:p>
    <w:p w:rsidR="00583A24" w:rsidRDefault="00583A24" w:rsidP="001F728E">
      <w:pPr>
        <w:spacing w:after="120"/>
        <w:rPr>
          <w:rFonts w:ascii="Times New Roman" w:hAnsi="Times New Roman" w:cs="Times New Roman"/>
          <w:color w:val="002060"/>
          <w:sz w:val="24"/>
          <w:szCs w:val="24"/>
        </w:rPr>
      </w:pPr>
    </w:p>
    <w:p w:rsidR="001F728E" w:rsidRDefault="00AA7E0F" w:rsidP="001F728E">
      <w:pPr>
        <w:spacing w:after="120"/>
        <w:rPr>
          <w:rFonts w:ascii="Times New Roman" w:hAnsi="Times New Roman" w:cs="Times New Roman"/>
          <w:color w:val="002060"/>
          <w:sz w:val="24"/>
          <w:szCs w:val="24"/>
        </w:rPr>
      </w:pPr>
      <w:r w:rsidRPr="004C1793">
        <w:rPr>
          <w:rFonts w:ascii="Times New Roman" w:hAnsi="Times New Roman" w:cs="Times New Roman"/>
          <w:i/>
          <w:color w:val="002060"/>
          <w:sz w:val="24"/>
          <w:szCs w:val="24"/>
        </w:rPr>
        <w:t>Ritual as Performance</w:t>
      </w:r>
      <w:r w:rsidR="004C1793">
        <w:rPr>
          <w:rFonts w:ascii="Times New Roman" w:hAnsi="Times New Roman" w:cs="Times New Roman"/>
          <w:i/>
          <w:color w:val="002060"/>
          <w:sz w:val="24"/>
          <w:szCs w:val="24"/>
        </w:rPr>
        <w:t>:</w:t>
      </w:r>
      <w:r w:rsidR="004C1793">
        <w:rPr>
          <w:rFonts w:ascii="Times New Roman" w:hAnsi="Times New Roman" w:cs="Times New Roman"/>
          <w:color w:val="002060"/>
          <w:sz w:val="24"/>
          <w:szCs w:val="24"/>
        </w:rPr>
        <w:t xml:space="preserve"> </w:t>
      </w:r>
      <w:r w:rsidRPr="001F728E">
        <w:rPr>
          <w:rFonts w:ascii="Times New Roman" w:hAnsi="Times New Roman" w:cs="Times New Roman"/>
          <w:color w:val="002060"/>
          <w:sz w:val="24"/>
          <w:szCs w:val="24"/>
        </w:rPr>
        <w:t>There is an overriding emphasis on performance in the definitions of ritual discussed above.</w:t>
      </w:r>
      <w:r w:rsidR="001F728E" w:rsidRPr="001F728E">
        <w:rPr>
          <w:rFonts w:ascii="Times New Roman" w:hAnsi="Times New Roman" w:cs="Times New Roman"/>
          <w:color w:val="002060"/>
          <w:sz w:val="24"/>
          <w:szCs w:val="24"/>
        </w:rPr>
        <w:t xml:space="preserve"> </w:t>
      </w:r>
    </w:p>
    <w:p w:rsidR="001F728E" w:rsidRPr="001F728E" w:rsidRDefault="001F728E" w:rsidP="001F728E">
      <w:pPr>
        <w:pStyle w:val="ListParagraph"/>
        <w:numPr>
          <w:ilvl w:val="0"/>
          <w:numId w:val="6"/>
        </w:numPr>
        <w:spacing w:after="120"/>
        <w:rPr>
          <w:rFonts w:ascii="Times New Roman" w:hAnsi="Times New Roman" w:cs="Times New Roman"/>
          <w:color w:val="002060"/>
          <w:sz w:val="24"/>
          <w:szCs w:val="24"/>
        </w:rPr>
      </w:pPr>
      <w:r w:rsidRPr="001F728E">
        <w:rPr>
          <w:rFonts w:ascii="Times New Roman" w:hAnsi="Times New Roman" w:cs="Times New Roman"/>
          <w:color w:val="002060"/>
          <w:sz w:val="24"/>
          <w:szCs w:val="24"/>
        </w:rPr>
        <w:t>The participants in ritual are enacting a role</w:t>
      </w:r>
      <w:r>
        <w:rPr>
          <w:rFonts w:ascii="Times New Roman" w:hAnsi="Times New Roman" w:cs="Times New Roman"/>
          <w:color w:val="002060"/>
          <w:sz w:val="24"/>
          <w:szCs w:val="24"/>
        </w:rPr>
        <w:t>;</w:t>
      </w:r>
    </w:p>
    <w:p w:rsidR="003D72DD" w:rsidRDefault="001F728E" w:rsidP="001F728E">
      <w:pPr>
        <w:pStyle w:val="ListParagraph"/>
        <w:numPr>
          <w:ilvl w:val="0"/>
          <w:numId w:val="5"/>
        </w:numPr>
        <w:spacing w:after="120"/>
        <w:rPr>
          <w:rFonts w:ascii="Times New Roman" w:hAnsi="Times New Roman" w:cs="Times New Roman"/>
          <w:color w:val="002060"/>
          <w:sz w:val="24"/>
          <w:szCs w:val="24"/>
        </w:rPr>
      </w:pPr>
      <w:r w:rsidRPr="001F728E">
        <w:rPr>
          <w:rFonts w:ascii="Times New Roman" w:hAnsi="Times New Roman" w:cs="Times New Roman"/>
          <w:color w:val="002060"/>
          <w:sz w:val="24"/>
          <w:szCs w:val="24"/>
        </w:rPr>
        <w:t>The sequence of actions is ordered</w:t>
      </w:r>
      <w:r>
        <w:rPr>
          <w:rFonts w:ascii="Times New Roman" w:hAnsi="Times New Roman" w:cs="Times New Roman"/>
          <w:color w:val="002060"/>
          <w:sz w:val="24"/>
          <w:szCs w:val="24"/>
        </w:rPr>
        <w:t xml:space="preserve"> and prescribed;</w:t>
      </w:r>
    </w:p>
    <w:p w:rsidR="001F728E" w:rsidRDefault="001F728E" w:rsidP="001F728E">
      <w:pPr>
        <w:pStyle w:val="ListParagraph"/>
        <w:numPr>
          <w:ilvl w:val="0"/>
          <w:numId w:val="5"/>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The action might involve the use of special objects (equipment);</w:t>
      </w:r>
    </w:p>
    <w:p w:rsidR="001F728E" w:rsidRPr="001F728E" w:rsidRDefault="001F728E" w:rsidP="001F728E">
      <w:pPr>
        <w:pStyle w:val="ListParagraph"/>
        <w:numPr>
          <w:ilvl w:val="0"/>
          <w:numId w:val="5"/>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Often a special space will be used.</w:t>
      </w:r>
    </w:p>
    <w:p w:rsidR="00AA7E0F" w:rsidRDefault="004C1793"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In contrast to theatre the function of this performance is transformative rather than entertainment; it is intended to effect change.</w:t>
      </w:r>
    </w:p>
    <w:p w:rsidR="00A51517" w:rsidRDefault="00A51517"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A key aspect of religious ritual in the ancient Mediterranean was through the performance of processions to mark special occasions. These were moments of </w:t>
      </w:r>
      <w:r w:rsidR="0063775A">
        <w:rPr>
          <w:rFonts w:ascii="Times New Roman" w:hAnsi="Times New Roman" w:cs="Times New Roman"/>
          <w:color w:val="002060"/>
          <w:sz w:val="24"/>
          <w:szCs w:val="24"/>
        </w:rPr>
        <w:t xml:space="preserve">highly </w:t>
      </w:r>
      <w:r>
        <w:rPr>
          <w:rFonts w:ascii="Times New Roman" w:hAnsi="Times New Roman" w:cs="Times New Roman"/>
          <w:color w:val="002060"/>
          <w:sz w:val="24"/>
          <w:szCs w:val="24"/>
        </w:rPr>
        <w:t>visual display</w:t>
      </w:r>
      <w:r w:rsidR="0063775A">
        <w:rPr>
          <w:rFonts w:ascii="Times New Roman" w:hAnsi="Times New Roman" w:cs="Times New Roman"/>
          <w:color w:val="002060"/>
          <w:sz w:val="24"/>
          <w:szCs w:val="24"/>
        </w:rPr>
        <w:t xml:space="preserve"> and a particular use of space. Processions were high ceremony</w:t>
      </w:r>
      <w:r>
        <w:rPr>
          <w:rFonts w:ascii="Times New Roman" w:hAnsi="Times New Roman" w:cs="Times New Roman"/>
          <w:color w:val="002060"/>
          <w:sz w:val="24"/>
          <w:szCs w:val="24"/>
        </w:rPr>
        <w:t xml:space="preserve"> intended to bring together members of a community</w:t>
      </w:r>
      <w:r w:rsidR="0063775A">
        <w:rPr>
          <w:rFonts w:ascii="Times New Roman" w:hAnsi="Times New Roman" w:cs="Times New Roman"/>
          <w:color w:val="002060"/>
          <w:sz w:val="24"/>
          <w:szCs w:val="24"/>
        </w:rPr>
        <w:t xml:space="preserve">, a means of expressing their identity and sense of belonging. One of the best examples from the ancient world was the </w:t>
      </w:r>
      <w:proofErr w:type="spellStart"/>
      <w:r w:rsidR="0063775A">
        <w:rPr>
          <w:rFonts w:ascii="Times New Roman" w:hAnsi="Times New Roman" w:cs="Times New Roman"/>
          <w:color w:val="002060"/>
          <w:sz w:val="24"/>
          <w:szCs w:val="24"/>
        </w:rPr>
        <w:t>Panathenaic</w:t>
      </w:r>
      <w:proofErr w:type="spellEnd"/>
      <w:r w:rsidR="0063775A">
        <w:rPr>
          <w:rFonts w:ascii="Times New Roman" w:hAnsi="Times New Roman" w:cs="Times New Roman"/>
          <w:color w:val="002060"/>
          <w:sz w:val="24"/>
          <w:szCs w:val="24"/>
        </w:rPr>
        <w:t xml:space="preserve"> Procession in ancient Athens, which ran from the Ceremonial gate into Athens (The Pompeian), through the Agora and up to the grand entrance into the city’s sacred space on the Acropolis. </w:t>
      </w:r>
      <w:r w:rsidR="00D27B1C">
        <w:rPr>
          <w:rFonts w:ascii="Times New Roman" w:hAnsi="Times New Roman" w:cs="Times New Roman"/>
          <w:color w:val="002060"/>
          <w:sz w:val="24"/>
          <w:szCs w:val="24"/>
        </w:rPr>
        <w:t xml:space="preserve">Diverse elements of Athenian society were included in the large, elaborate procession, the ultimate aim of which was to bring a new </w:t>
      </w:r>
      <w:proofErr w:type="spellStart"/>
      <w:r w:rsidR="00D27B1C" w:rsidRPr="00D27B1C">
        <w:rPr>
          <w:rFonts w:ascii="Times New Roman" w:hAnsi="Times New Roman" w:cs="Times New Roman"/>
          <w:i/>
          <w:color w:val="002060"/>
          <w:sz w:val="24"/>
          <w:szCs w:val="24"/>
        </w:rPr>
        <w:t>peplos</w:t>
      </w:r>
      <w:proofErr w:type="spellEnd"/>
      <w:r w:rsidR="00D27B1C">
        <w:rPr>
          <w:rFonts w:ascii="Times New Roman" w:hAnsi="Times New Roman" w:cs="Times New Roman"/>
          <w:color w:val="002060"/>
          <w:sz w:val="24"/>
          <w:szCs w:val="24"/>
        </w:rPr>
        <w:t xml:space="preserve"> for the ancient and sacred olivewood statue of Athena. </w:t>
      </w:r>
      <w:r w:rsidR="0063775A" w:rsidRPr="00D27B1C">
        <w:rPr>
          <w:rFonts w:ascii="Times New Roman" w:hAnsi="Times New Roman" w:cs="Times New Roman"/>
          <w:color w:val="002060"/>
          <w:sz w:val="24"/>
          <w:szCs w:val="24"/>
        </w:rPr>
        <w:t>The</w:t>
      </w:r>
      <w:r w:rsidR="0063775A">
        <w:rPr>
          <w:rFonts w:ascii="Times New Roman" w:hAnsi="Times New Roman" w:cs="Times New Roman"/>
          <w:color w:val="002060"/>
          <w:sz w:val="24"/>
          <w:szCs w:val="24"/>
        </w:rPr>
        <w:t xml:space="preserve"> unique sense of Athenian identity embodied by </w:t>
      </w:r>
      <w:r w:rsidR="004505FA">
        <w:rPr>
          <w:rFonts w:ascii="Times New Roman" w:hAnsi="Times New Roman" w:cs="Times New Roman"/>
          <w:color w:val="002060"/>
          <w:sz w:val="24"/>
          <w:szCs w:val="24"/>
        </w:rPr>
        <w:t xml:space="preserve">the </w:t>
      </w:r>
      <w:proofErr w:type="spellStart"/>
      <w:r w:rsidR="004505FA">
        <w:rPr>
          <w:rFonts w:ascii="Times New Roman" w:hAnsi="Times New Roman" w:cs="Times New Roman"/>
          <w:color w:val="002060"/>
          <w:sz w:val="24"/>
          <w:szCs w:val="24"/>
        </w:rPr>
        <w:t>Panathenaic</w:t>
      </w:r>
      <w:proofErr w:type="spellEnd"/>
      <w:r w:rsidR="004505FA">
        <w:rPr>
          <w:rFonts w:ascii="Times New Roman" w:hAnsi="Times New Roman" w:cs="Times New Roman"/>
          <w:color w:val="002060"/>
          <w:sz w:val="24"/>
          <w:szCs w:val="24"/>
        </w:rPr>
        <w:t xml:space="preserve"> Procession</w:t>
      </w:r>
      <w:r w:rsidR="00D27B1C">
        <w:rPr>
          <w:rFonts w:ascii="Times New Roman" w:hAnsi="Times New Roman" w:cs="Times New Roman"/>
          <w:color w:val="002060"/>
          <w:sz w:val="24"/>
          <w:szCs w:val="24"/>
        </w:rPr>
        <w:t xml:space="preserve"> is illustrated by the frieze decoration around the inner </w:t>
      </w:r>
      <w:proofErr w:type="spellStart"/>
      <w:r w:rsidR="00D27B1C" w:rsidRPr="004505FA">
        <w:rPr>
          <w:rFonts w:ascii="Times New Roman" w:hAnsi="Times New Roman" w:cs="Times New Roman"/>
          <w:i/>
          <w:color w:val="002060"/>
          <w:sz w:val="24"/>
          <w:szCs w:val="24"/>
        </w:rPr>
        <w:t>cella</w:t>
      </w:r>
      <w:proofErr w:type="spellEnd"/>
      <w:r w:rsidR="00D27B1C">
        <w:rPr>
          <w:rFonts w:ascii="Times New Roman" w:hAnsi="Times New Roman" w:cs="Times New Roman"/>
          <w:color w:val="002060"/>
          <w:sz w:val="24"/>
          <w:szCs w:val="24"/>
        </w:rPr>
        <w:t xml:space="preserve"> of the Parthenon.</w:t>
      </w:r>
    </w:p>
    <w:p w:rsidR="00583A24" w:rsidRDefault="00583A24" w:rsidP="00292600">
      <w:pPr>
        <w:spacing w:after="120"/>
        <w:rPr>
          <w:rFonts w:ascii="Times New Roman" w:hAnsi="Times New Roman" w:cs="Times New Roman"/>
          <w:color w:val="002060"/>
          <w:sz w:val="24"/>
          <w:szCs w:val="24"/>
        </w:rPr>
      </w:pPr>
    </w:p>
    <w:p w:rsidR="004C1793" w:rsidRDefault="004C1793" w:rsidP="00292600">
      <w:pPr>
        <w:spacing w:after="120"/>
        <w:rPr>
          <w:rFonts w:ascii="Times New Roman" w:hAnsi="Times New Roman" w:cs="Times New Roman"/>
          <w:color w:val="002060"/>
          <w:sz w:val="24"/>
          <w:szCs w:val="24"/>
        </w:rPr>
      </w:pPr>
      <w:r>
        <w:rPr>
          <w:rFonts w:ascii="Times New Roman" w:hAnsi="Times New Roman" w:cs="Times New Roman"/>
          <w:i/>
          <w:color w:val="002060"/>
          <w:sz w:val="24"/>
          <w:szCs w:val="24"/>
        </w:rPr>
        <w:t>Ritual Violence:</w:t>
      </w:r>
      <w:r>
        <w:rPr>
          <w:rFonts w:ascii="Times New Roman" w:hAnsi="Times New Roman" w:cs="Times New Roman"/>
          <w:color w:val="002060"/>
          <w:sz w:val="24"/>
          <w:szCs w:val="24"/>
        </w:rPr>
        <w:t xml:space="preserve"> Girard</w:t>
      </w:r>
      <w:r w:rsidR="00C0133D">
        <w:rPr>
          <w:rFonts w:ascii="Times New Roman" w:hAnsi="Times New Roman" w:cs="Times New Roman"/>
          <w:color w:val="002060"/>
          <w:sz w:val="24"/>
          <w:szCs w:val="24"/>
        </w:rPr>
        <w:t xml:space="preserve"> (cited in Bowie 2000)</w:t>
      </w:r>
      <w:r>
        <w:rPr>
          <w:rFonts w:ascii="Times New Roman" w:hAnsi="Times New Roman" w:cs="Times New Roman"/>
          <w:color w:val="002060"/>
          <w:sz w:val="24"/>
          <w:szCs w:val="24"/>
        </w:rPr>
        <w:t xml:space="preserve"> argues that violence lies at the heart of ritual, as is most evident in</w:t>
      </w:r>
      <w:r w:rsidR="003F7B72">
        <w:rPr>
          <w:rFonts w:ascii="Times New Roman" w:hAnsi="Times New Roman" w:cs="Times New Roman"/>
          <w:color w:val="002060"/>
          <w:sz w:val="24"/>
          <w:szCs w:val="24"/>
        </w:rPr>
        <w:t xml:space="preserve"> the practice of sacrifice</w:t>
      </w:r>
      <w:r w:rsidR="00C0133D">
        <w:rPr>
          <w:rFonts w:ascii="Times New Roman" w:hAnsi="Times New Roman" w:cs="Times New Roman"/>
          <w:color w:val="002060"/>
          <w:sz w:val="24"/>
          <w:szCs w:val="24"/>
        </w:rPr>
        <w:t>. Sacrifice is a sacred obligation which is only neglected at great peril; the sacrificial victim deflects violence or peril that otherwise would be vented upon members of the community. Sacrifice therefore is intended to protect a community’s members, to restore harmony and reinforce social bonds. This is achieved by substituting the sacrificial victim for the community itself: it is the displacement of violence.</w:t>
      </w:r>
    </w:p>
    <w:p w:rsidR="004C1793" w:rsidRDefault="00B060EB" w:rsidP="00292600">
      <w:pPr>
        <w:spacing w:after="120"/>
        <w:rPr>
          <w:rFonts w:ascii="Times New Roman" w:hAnsi="Times New Roman" w:cs="Times New Roman"/>
          <w:color w:val="002060"/>
          <w:sz w:val="24"/>
          <w:szCs w:val="24"/>
        </w:rPr>
      </w:pPr>
      <w:proofErr w:type="spellStart"/>
      <w:r>
        <w:rPr>
          <w:rFonts w:ascii="Times New Roman" w:hAnsi="Times New Roman" w:cs="Times New Roman"/>
          <w:color w:val="002060"/>
          <w:sz w:val="24"/>
          <w:szCs w:val="24"/>
        </w:rPr>
        <w:t>Bremmer</w:t>
      </w:r>
      <w:proofErr w:type="spellEnd"/>
      <w:r>
        <w:rPr>
          <w:rFonts w:ascii="Times New Roman" w:hAnsi="Times New Roman" w:cs="Times New Roman"/>
          <w:color w:val="002060"/>
          <w:sz w:val="24"/>
          <w:szCs w:val="24"/>
        </w:rPr>
        <w:t xml:space="preserve"> (2007) explores the use of scapegoat ritual in the ancient Mediterranean – a practice which stretches back as far as the 3</w:t>
      </w:r>
      <w:r w:rsidRPr="00B060EB">
        <w:rPr>
          <w:rFonts w:ascii="Times New Roman" w:hAnsi="Times New Roman" w:cs="Times New Roman"/>
          <w:color w:val="002060"/>
          <w:sz w:val="24"/>
          <w:szCs w:val="24"/>
          <w:vertAlign w:val="superscript"/>
        </w:rPr>
        <w:t>rd</w:t>
      </w:r>
      <w:r>
        <w:rPr>
          <w:rFonts w:ascii="Times New Roman" w:hAnsi="Times New Roman" w:cs="Times New Roman"/>
          <w:color w:val="002060"/>
          <w:sz w:val="24"/>
          <w:szCs w:val="24"/>
        </w:rPr>
        <w:t xml:space="preserve"> millennium BC in the ancient city state of Ebla (Syria), and is also attested in the Hittite Empire of the later 2</w:t>
      </w:r>
      <w:r w:rsidRPr="00B060EB">
        <w:rPr>
          <w:rFonts w:ascii="Times New Roman" w:hAnsi="Times New Roman" w:cs="Times New Roman"/>
          <w:color w:val="002060"/>
          <w:sz w:val="24"/>
          <w:szCs w:val="24"/>
          <w:vertAlign w:val="superscript"/>
        </w:rPr>
        <w:t>nd</w:t>
      </w:r>
      <w:r>
        <w:rPr>
          <w:rFonts w:ascii="Times New Roman" w:hAnsi="Times New Roman" w:cs="Times New Roman"/>
          <w:color w:val="002060"/>
          <w:sz w:val="24"/>
          <w:szCs w:val="24"/>
        </w:rPr>
        <w:t xml:space="preserve"> millennium and in Classical Greece. Common to all these rituals was the information they communicate about their society, its values and belief systems and its power structures. First and foremost the scapegoat ritual embodies notions of class and gen</w:t>
      </w:r>
      <w:r w:rsidR="00E91E73">
        <w:rPr>
          <w:rFonts w:ascii="Times New Roman" w:hAnsi="Times New Roman" w:cs="Times New Roman"/>
          <w:color w:val="002060"/>
          <w:sz w:val="24"/>
          <w:szCs w:val="24"/>
        </w:rPr>
        <w:t>der: the ritual performance was enacted by the male elite (kings or priests) and the scapegoat was invariably animals, women or male slaves.</w:t>
      </w:r>
      <w:r w:rsidR="00146629">
        <w:rPr>
          <w:rFonts w:ascii="Times New Roman" w:hAnsi="Times New Roman" w:cs="Times New Roman"/>
          <w:color w:val="002060"/>
          <w:sz w:val="24"/>
          <w:szCs w:val="24"/>
        </w:rPr>
        <w:t xml:space="preserve"> It also encapsulated beliefs about community, belonging and the distinction between us and them (we and the enemy).</w:t>
      </w:r>
    </w:p>
    <w:p w:rsidR="00E91E73" w:rsidRDefault="00E91E73" w:rsidP="00292600">
      <w:pPr>
        <w:spacing w:after="120"/>
        <w:rPr>
          <w:rFonts w:ascii="Times New Roman" w:hAnsi="Times New Roman" w:cs="Times New Roman"/>
          <w:color w:val="002060"/>
          <w:sz w:val="24"/>
          <w:szCs w:val="24"/>
        </w:rPr>
      </w:pPr>
    </w:p>
    <w:p w:rsidR="003D72DD" w:rsidRDefault="003D72DD" w:rsidP="00292600">
      <w:pPr>
        <w:spacing w:after="120"/>
        <w:rPr>
          <w:rFonts w:ascii="Times New Roman" w:hAnsi="Times New Roman" w:cs="Times New Roman"/>
          <w:color w:val="002060"/>
          <w:sz w:val="24"/>
          <w:szCs w:val="24"/>
        </w:rPr>
      </w:pPr>
      <w:r>
        <w:rPr>
          <w:rFonts w:ascii="Times New Roman" w:hAnsi="Times New Roman" w:cs="Times New Roman"/>
          <w:b/>
          <w:color w:val="002060"/>
          <w:sz w:val="24"/>
          <w:szCs w:val="24"/>
        </w:rPr>
        <w:t>Identifying Ritual in the Archaeological Record</w:t>
      </w:r>
    </w:p>
    <w:p w:rsidR="0097554C" w:rsidRDefault="0097554C" w:rsidP="0097554C">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How might archaeologist identify ritual practice in the absence of written sources or oral testimony? This is incredibly complex but there are certain aspects of ritualized practice to bear in mind which might help us. </w:t>
      </w:r>
      <w:r w:rsidRPr="0097554C">
        <w:rPr>
          <w:rFonts w:ascii="Times New Roman" w:hAnsi="Times New Roman" w:cs="Times New Roman"/>
          <w:color w:val="002060"/>
          <w:sz w:val="24"/>
          <w:szCs w:val="24"/>
        </w:rPr>
        <w:t>Firstly we should not that ritualized practices are formalized and repetitive; we might expect them to be repeated within the same space over long periods of time, possibly creating a build up of deposits in the archaeological record.</w:t>
      </w:r>
      <w:r>
        <w:rPr>
          <w:rFonts w:ascii="Times New Roman" w:hAnsi="Times New Roman" w:cs="Times New Roman"/>
          <w:color w:val="002060"/>
          <w:sz w:val="24"/>
          <w:szCs w:val="24"/>
        </w:rPr>
        <w:t xml:space="preserve"> Ritual behaviour might be communal or private – we should consider both public and domestic spaces. We might expect ritualized activity to be performed in special locations (see below for the archaeological identification of these) and associated with specialized, formalized material(s), and equipment. Finally, ritual behaviour might be destructive. Archaeologically the following have been identified with ritual performance:</w:t>
      </w:r>
    </w:p>
    <w:p w:rsidR="0097554C" w:rsidRDefault="0097554C" w:rsidP="0097554C">
      <w:pPr>
        <w:pStyle w:val="ListParagraph"/>
        <w:numPr>
          <w:ilvl w:val="0"/>
          <w:numId w:val="4"/>
        </w:numPr>
        <w:spacing w:after="120"/>
        <w:rPr>
          <w:rFonts w:ascii="Times New Roman" w:hAnsi="Times New Roman" w:cs="Times New Roman"/>
          <w:color w:val="002060"/>
          <w:sz w:val="24"/>
          <w:szCs w:val="24"/>
        </w:rPr>
      </w:pPr>
      <w:r w:rsidRPr="0097554C">
        <w:rPr>
          <w:rFonts w:ascii="Times New Roman" w:hAnsi="Times New Roman" w:cs="Times New Roman"/>
          <w:color w:val="002060"/>
          <w:sz w:val="24"/>
          <w:szCs w:val="24"/>
        </w:rPr>
        <w:t>Structured deposition</w:t>
      </w:r>
      <w:r>
        <w:rPr>
          <w:rFonts w:ascii="Times New Roman" w:hAnsi="Times New Roman" w:cs="Times New Roman"/>
          <w:color w:val="002060"/>
          <w:sz w:val="24"/>
          <w:szCs w:val="24"/>
        </w:rPr>
        <w:t>;</w:t>
      </w:r>
    </w:p>
    <w:p w:rsidR="0097554C" w:rsidRDefault="0097554C" w:rsidP="0097554C">
      <w:pPr>
        <w:pStyle w:val="ListParagraph"/>
        <w:numPr>
          <w:ilvl w:val="0"/>
          <w:numId w:val="4"/>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Feasting and consumption;</w:t>
      </w:r>
    </w:p>
    <w:p w:rsidR="0097554C" w:rsidRPr="0097554C" w:rsidRDefault="00E544E4" w:rsidP="0097554C">
      <w:pPr>
        <w:pStyle w:val="ListParagraph"/>
        <w:numPr>
          <w:ilvl w:val="0"/>
          <w:numId w:val="4"/>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Fragmentation (</w:t>
      </w:r>
      <w:r w:rsidR="0097554C">
        <w:rPr>
          <w:rFonts w:ascii="Times New Roman" w:hAnsi="Times New Roman" w:cs="Times New Roman"/>
          <w:color w:val="002060"/>
          <w:sz w:val="24"/>
          <w:szCs w:val="24"/>
        </w:rPr>
        <w:t>“killing”</w:t>
      </w:r>
      <w:r>
        <w:rPr>
          <w:rFonts w:ascii="Times New Roman" w:hAnsi="Times New Roman" w:cs="Times New Roman"/>
          <w:color w:val="002060"/>
          <w:sz w:val="24"/>
          <w:szCs w:val="24"/>
        </w:rPr>
        <w:t>)</w:t>
      </w:r>
      <w:r w:rsidR="002F38B9">
        <w:rPr>
          <w:rFonts w:ascii="Times New Roman" w:hAnsi="Times New Roman" w:cs="Times New Roman"/>
          <w:color w:val="002060"/>
          <w:sz w:val="24"/>
          <w:szCs w:val="24"/>
        </w:rPr>
        <w:t>.</w:t>
      </w:r>
    </w:p>
    <w:p w:rsidR="0097554C" w:rsidRDefault="0022205F"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In addition we should consider representational evidence – for which we have a rich resource in the Bronze Age Aegean.</w:t>
      </w:r>
    </w:p>
    <w:p w:rsidR="00583A24" w:rsidRDefault="00583A24" w:rsidP="00292600">
      <w:pPr>
        <w:spacing w:after="120"/>
        <w:rPr>
          <w:rFonts w:ascii="Times New Roman" w:hAnsi="Times New Roman" w:cs="Times New Roman"/>
          <w:color w:val="002060"/>
          <w:sz w:val="24"/>
          <w:szCs w:val="24"/>
        </w:rPr>
      </w:pPr>
    </w:p>
    <w:p w:rsidR="00AF6533" w:rsidRDefault="003D72DD" w:rsidP="00AF6533">
      <w:pPr>
        <w:rPr>
          <w:rFonts w:ascii="Times New Roman" w:hAnsi="Times New Roman" w:cs="Times New Roman"/>
          <w:color w:val="002060"/>
          <w:sz w:val="24"/>
          <w:szCs w:val="24"/>
        </w:rPr>
      </w:pPr>
      <w:r w:rsidRPr="00A35F6C">
        <w:rPr>
          <w:rFonts w:ascii="Times New Roman" w:hAnsi="Times New Roman" w:cs="Times New Roman"/>
          <w:i/>
          <w:color w:val="002060"/>
          <w:sz w:val="24"/>
          <w:szCs w:val="24"/>
        </w:rPr>
        <w:t>Structured deposition:</w:t>
      </w:r>
      <w:r>
        <w:rPr>
          <w:rFonts w:ascii="Times New Roman" w:hAnsi="Times New Roman" w:cs="Times New Roman"/>
          <w:color w:val="002060"/>
          <w:sz w:val="24"/>
          <w:szCs w:val="24"/>
        </w:rPr>
        <w:t xml:space="preserve"> inferring meaningful</w:t>
      </w:r>
      <w:r w:rsidR="00ED05DF">
        <w:rPr>
          <w:rFonts w:ascii="Times New Roman" w:hAnsi="Times New Roman" w:cs="Times New Roman"/>
          <w:color w:val="002060"/>
          <w:sz w:val="24"/>
          <w:szCs w:val="24"/>
        </w:rPr>
        <w:t xml:space="preserve"> and deliberate</w:t>
      </w:r>
      <w:r>
        <w:rPr>
          <w:rFonts w:ascii="Times New Roman" w:hAnsi="Times New Roman" w:cs="Times New Roman"/>
          <w:color w:val="002060"/>
          <w:sz w:val="24"/>
          <w:szCs w:val="24"/>
        </w:rPr>
        <w:t xml:space="preserve"> deposition of specific items (animal bones, ritual equipment, human remains) frequently in special locatio</w:t>
      </w:r>
      <w:r w:rsidR="002C0BE9">
        <w:rPr>
          <w:rFonts w:ascii="Times New Roman" w:hAnsi="Times New Roman" w:cs="Times New Roman"/>
          <w:color w:val="002060"/>
          <w:sz w:val="24"/>
          <w:szCs w:val="24"/>
        </w:rPr>
        <w:t>ns (such as foundation deposits, hoards, burials)</w:t>
      </w:r>
      <w:r>
        <w:rPr>
          <w:rFonts w:ascii="Times New Roman" w:hAnsi="Times New Roman" w:cs="Times New Roman"/>
          <w:color w:val="002060"/>
          <w:sz w:val="24"/>
          <w:szCs w:val="24"/>
        </w:rPr>
        <w:t xml:space="preserve"> as </w:t>
      </w:r>
      <w:r w:rsidR="00ED05DF">
        <w:rPr>
          <w:rFonts w:ascii="Times New Roman" w:hAnsi="Times New Roman" w:cs="Times New Roman"/>
          <w:color w:val="002060"/>
          <w:sz w:val="24"/>
          <w:szCs w:val="24"/>
        </w:rPr>
        <w:t>evidence for</w:t>
      </w:r>
      <w:r>
        <w:rPr>
          <w:rFonts w:ascii="Times New Roman" w:hAnsi="Times New Roman" w:cs="Times New Roman"/>
          <w:color w:val="002060"/>
          <w:sz w:val="24"/>
          <w:szCs w:val="24"/>
        </w:rPr>
        <w:t xml:space="preserve"> ritualized activity</w:t>
      </w:r>
      <w:r w:rsidR="00ED05DF">
        <w:rPr>
          <w:rFonts w:ascii="Times New Roman" w:hAnsi="Times New Roman" w:cs="Times New Roman"/>
          <w:color w:val="002060"/>
          <w:sz w:val="24"/>
          <w:szCs w:val="24"/>
        </w:rPr>
        <w:t>.</w:t>
      </w:r>
      <w:r w:rsidR="0097554C">
        <w:rPr>
          <w:rFonts w:ascii="Times New Roman" w:hAnsi="Times New Roman" w:cs="Times New Roman"/>
          <w:color w:val="002060"/>
          <w:sz w:val="24"/>
          <w:szCs w:val="24"/>
        </w:rPr>
        <w:t xml:space="preserve"> </w:t>
      </w:r>
      <w:r w:rsidR="00AF6533">
        <w:rPr>
          <w:rFonts w:ascii="Times New Roman" w:hAnsi="Times New Roman" w:cs="Times New Roman"/>
          <w:color w:val="002060"/>
          <w:sz w:val="24"/>
          <w:szCs w:val="24"/>
        </w:rPr>
        <w:t xml:space="preserve">This type of structured deposition is </w:t>
      </w:r>
      <w:r w:rsidR="00AF6533" w:rsidRPr="00AF6533">
        <w:rPr>
          <w:rFonts w:ascii="Times New Roman" w:hAnsi="Times New Roman" w:cs="Times New Roman"/>
          <w:color w:val="002060"/>
          <w:sz w:val="24"/>
          <w:szCs w:val="24"/>
        </w:rPr>
        <w:t xml:space="preserve">distinct from the routine, </w:t>
      </w:r>
      <w:r w:rsidR="00AF6533">
        <w:rPr>
          <w:rFonts w:ascii="Times New Roman" w:hAnsi="Times New Roman" w:cs="Times New Roman"/>
          <w:color w:val="002060"/>
          <w:sz w:val="24"/>
          <w:szCs w:val="24"/>
        </w:rPr>
        <w:t>daily</w:t>
      </w:r>
      <w:r w:rsidR="00AF6533" w:rsidRPr="00AF6533">
        <w:rPr>
          <w:rFonts w:ascii="Times New Roman" w:hAnsi="Times New Roman" w:cs="Times New Roman"/>
          <w:color w:val="002060"/>
          <w:sz w:val="24"/>
          <w:szCs w:val="24"/>
        </w:rPr>
        <w:t xml:space="preserve"> discard of refuse</w:t>
      </w:r>
      <w:r w:rsidR="00AF6533">
        <w:rPr>
          <w:rFonts w:ascii="Times New Roman" w:hAnsi="Times New Roman" w:cs="Times New Roman"/>
          <w:color w:val="002060"/>
          <w:sz w:val="24"/>
          <w:szCs w:val="24"/>
        </w:rPr>
        <w:t xml:space="preserve">, perhaps in pits or </w:t>
      </w:r>
      <w:proofErr w:type="spellStart"/>
      <w:r w:rsidR="00AF6533">
        <w:rPr>
          <w:rFonts w:ascii="Times New Roman" w:hAnsi="Times New Roman" w:cs="Times New Roman"/>
          <w:color w:val="002060"/>
          <w:sz w:val="24"/>
          <w:szCs w:val="24"/>
        </w:rPr>
        <w:t>middens</w:t>
      </w:r>
      <w:proofErr w:type="spellEnd"/>
      <w:r w:rsidR="00AF6533">
        <w:rPr>
          <w:rFonts w:ascii="Times New Roman" w:hAnsi="Times New Roman" w:cs="Times New Roman"/>
          <w:color w:val="002060"/>
          <w:sz w:val="24"/>
          <w:szCs w:val="24"/>
        </w:rPr>
        <w:t xml:space="preserve">. Objects are deliberately removed from circulation and are placed (presumably within a highly visual ceremony) in a special place. As such these objects might be </w:t>
      </w:r>
      <w:r w:rsidR="00AF6533" w:rsidRPr="00AF6533">
        <w:rPr>
          <w:rFonts w:ascii="Times New Roman" w:hAnsi="Times New Roman" w:cs="Times New Roman"/>
          <w:color w:val="002060"/>
          <w:sz w:val="24"/>
          <w:szCs w:val="24"/>
        </w:rPr>
        <w:t>all considered as defunct or no longer functional</w:t>
      </w:r>
      <w:r w:rsidR="00AF6533">
        <w:rPr>
          <w:rFonts w:ascii="Times New Roman" w:hAnsi="Times New Roman" w:cs="Times New Roman"/>
          <w:color w:val="002060"/>
          <w:sz w:val="24"/>
          <w:szCs w:val="24"/>
        </w:rPr>
        <w:t xml:space="preserve"> – however it might be better to consider the act of burial as an important phase in the life of the object – the intentionality of the act suggests that the object is being used ceremonially/symbolically to forge new social relations between the community and the spiritual realm.</w:t>
      </w:r>
    </w:p>
    <w:p w:rsidR="00AF6533" w:rsidRPr="00AF6533" w:rsidRDefault="00AF6533" w:rsidP="00AF6533">
      <w:pPr>
        <w:ind w:left="720"/>
        <w:rPr>
          <w:rFonts w:ascii="Times New Roman" w:hAnsi="Times New Roman" w:cs="Times New Roman"/>
          <w:color w:val="002060"/>
          <w:sz w:val="24"/>
          <w:szCs w:val="24"/>
        </w:rPr>
      </w:pPr>
      <w:r w:rsidRPr="00AF6533">
        <w:rPr>
          <w:rFonts w:ascii="Times New Roman" w:hAnsi="Times New Roman" w:cs="Times New Roman"/>
          <w:color w:val="002060"/>
          <w:sz w:val="24"/>
          <w:szCs w:val="24"/>
        </w:rPr>
        <w:t>“</w:t>
      </w:r>
      <w:r>
        <w:rPr>
          <w:rFonts w:ascii="Times New Roman" w:hAnsi="Times New Roman" w:cs="Times New Roman"/>
          <w:color w:val="002060"/>
          <w:sz w:val="24"/>
          <w:szCs w:val="24"/>
        </w:rPr>
        <w:t>T</w:t>
      </w:r>
      <w:r w:rsidRPr="00AF6533">
        <w:rPr>
          <w:rFonts w:ascii="Times New Roman" w:hAnsi="Times New Roman" w:cs="Times New Roman"/>
          <w:color w:val="002060"/>
          <w:sz w:val="24"/>
          <w:szCs w:val="24"/>
        </w:rPr>
        <w:t>he deposition of artefacts did not necessarily mark the end of use-life but the beginning of a new phase in object biography; buried artefacts continued their life as a part of a place, the lived-in environment” (</w:t>
      </w:r>
      <w:proofErr w:type="spellStart"/>
      <w:r w:rsidRPr="00AF6533">
        <w:rPr>
          <w:rFonts w:ascii="Times New Roman" w:hAnsi="Times New Roman" w:cs="Times New Roman"/>
          <w:color w:val="002060"/>
          <w:sz w:val="24"/>
          <w:szCs w:val="24"/>
        </w:rPr>
        <w:t>Herva</w:t>
      </w:r>
      <w:proofErr w:type="spellEnd"/>
      <w:r w:rsidRPr="00AF6533">
        <w:rPr>
          <w:rFonts w:ascii="Times New Roman" w:hAnsi="Times New Roman" w:cs="Times New Roman"/>
          <w:color w:val="002060"/>
          <w:sz w:val="24"/>
          <w:szCs w:val="24"/>
        </w:rPr>
        <w:t xml:space="preserve"> 2005, 224).</w:t>
      </w:r>
    </w:p>
    <w:p w:rsidR="00DC2AA9" w:rsidRDefault="00DC2AA9"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Foundation deposits are </w:t>
      </w:r>
      <w:r w:rsidRPr="00DC2AA9">
        <w:rPr>
          <w:rFonts w:ascii="Times New Roman" w:hAnsi="Times New Roman" w:cs="Times New Roman"/>
          <w:color w:val="002060"/>
          <w:sz w:val="24"/>
          <w:szCs w:val="24"/>
        </w:rPr>
        <w:t>typically</w:t>
      </w:r>
      <w:r>
        <w:rPr>
          <w:rFonts w:ascii="Times New Roman" w:hAnsi="Times New Roman" w:cs="Times New Roman"/>
          <w:color w:val="002060"/>
          <w:sz w:val="24"/>
          <w:szCs w:val="24"/>
        </w:rPr>
        <w:t xml:space="preserve"> </w:t>
      </w:r>
      <w:r w:rsidRPr="00DC2AA9">
        <w:rPr>
          <w:rFonts w:ascii="Times New Roman" w:hAnsi="Times New Roman" w:cs="Times New Roman"/>
          <w:color w:val="002060"/>
          <w:sz w:val="24"/>
          <w:szCs w:val="24"/>
        </w:rPr>
        <w:t xml:space="preserve">placed beneath important buildings, such as temples and palaces, and </w:t>
      </w:r>
      <w:r>
        <w:rPr>
          <w:rFonts w:ascii="Times New Roman" w:hAnsi="Times New Roman" w:cs="Times New Roman"/>
          <w:color w:val="002060"/>
          <w:sz w:val="24"/>
          <w:szCs w:val="24"/>
        </w:rPr>
        <w:t xml:space="preserve">usually </w:t>
      </w:r>
      <w:r w:rsidRPr="00DC2AA9">
        <w:rPr>
          <w:rFonts w:ascii="Times New Roman" w:hAnsi="Times New Roman" w:cs="Times New Roman"/>
          <w:color w:val="002060"/>
          <w:sz w:val="24"/>
          <w:szCs w:val="24"/>
        </w:rPr>
        <w:t>comprise high status</w:t>
      </w:r>
      <w:r>
        <w:rPr>
          <w:rFonts w:ascii="Times New Roman" w:hAnsi="Times New Roman" w:cs="Times New Roman"/>
          <w:color w:val="002060"/>
          <w:sz w:val="24"/>
          <w:szCs w:val="24"/>
        </w:rPr>
        <w:t>,</w:t>
      </w:r>
      <w:r w:rsidRPr="00DC2AA9">
        <w:rPr>
          <w:rFonts w:ascii="Times New Roman" w:hAnsi="Times New Roman" w:cs="Times New Roman"/>
          <w:color w:val="002060"/>
          <w:sz w:val="24"/>
          <w:szCs w:val="24"/>
        </w:rPr>
        <w:t xml:space="preserve"> prestige objects fashioned </w:t>
      </w:r>
      <w:r>
        <w:rPr>
          <w:rFonts w:ascii="Times New Roman" w:hAnsi="Times New Roman" w:cs="Times New Roman"/>
          <w:color w:val="002060"/>
          <w:sz w:val="24"/>
          <w:szCs w:val="24"/>
        </w:rPr>
        <w:t>from stone, metal or faience</w:t>
      </w:r>
      <w:r w:rsidRPr="00DC2AA9">
        <w:rPr>
          <w:rFonts w:ascii="Times New Roman" w:hAnsi="Times New Roman" w:cs="Times New Roman"/>
          <w:color w:val="002060"/>
          <w:sz w:val="24"/>
          <w:szCs w:val="24"/>
        </w:rPr>
        <w:t>.</w:t>
      </w:r>
      <w:r>
        <w:rPr>
          <w:rFonts w:ascii="Times New Roman" w:hAnsi="Times New Roman" w:cs="Times New Roman"/>
          <w:color w:val="002060"/>
          <w:sz w:val="24"/>
          <w:szCs w:val="24"/>
        </w:rPr>
        <w:t xml:space="preserve"> Archaeologists usually interpret these as</w:t>
      </w:r>
      <w:r w:rsidRPr="00DC2AA9">
        <w:rPr>
          <w:rFonts w:ascii="Times New Roman" w:hAnsi="Times New Roman" w:cs="Times New Roman"/>
          <w:color w:val="002060"/>
          <w:sz w:val="24"/>
          <w:szCs w:val="24"/>
        </w:rPr>
        <w:t xml:space="preserve"> the material residue of ritual, ceremonial action, frequently associated with pouring of libations, intended to commemorate the construction of these important buildings.</w:t>
      </w:r>
    </w:p>
    <w:p w:rsidR="00ED05DF" w:rsidRDefault="004E1439"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At </w:t>
      </w:r>
      <w:r w:rsidR="00DC2AA9">
        <w:rPr>
          <w:rFonts w:ascii="Times New Roman" w:hAnsi="Times New Roman" w:cs="Times New Roman"/>
          <w:color w:val="002060"/>
          <w:sz w:val="24"/>
          <w:szCs w:val="24"/>
        </w:rPr>
        <w:t xml:space="preserve">Late Bronze Age Arediou </w:t>
      </w:r>
      <w:r w:rsidR="00DC2AA9" w:rsidRPr="00F76F3E">
        <w:rPr>
          <w:rFonts w:ascii="Times New Roman" w:hAnsi="Times New Roman" w:cs="Times New Roman"/>
          <w:i/>
          <w:color w:val="002060"/>
          <w:sz w:val="24"/>
          <w:szCs w:val="24"/>
        </w:rPr>
        <w:t>Vouppes</w:t>
      </w:r>
      <w:r w:rsidR="00DC2AA9">
        <w:rPr>
          <w:rFonts w:ascii="Times New Roman" w:hAnsi="Times New Roman" w:cs="Times New Roman"/>
          <w:color w:val="002060"/>
          <w:sz w:val="24"/>
          <w:szCs w:val="24"/>
        </w:rPr>
        <w:t xml:space="preserve"> (Cyprus) several instances of structured deposit have been identified within a substantial central storage building (Building 2).</w:t>
      </w:r>
      <w:r w:rsidR="00B67BFF">
        <w:rPr>
          <w:rFonts w:ascii="Times New Roman" w:hAnsi="Times New Roman" w:cs="Times New Roman"/>
          <w:color w:val="002060"/>
          <w:sz w:val="24"/>
          <w:szCs w:val="24"/>
        </w:rPr>
        <w:t xml:space="preserve"> Perhaps the most important </w:t>
      </w:r>
      <w:r w:rsidR="00DC2AA9">
        <w:rPr>
          <w:rFonts w:ascii="Times New Roman" w:hAnsi="Times New Roman" w:cs="Times New Roman"/>
          <w:color w:val="002060"/>
          <w:sz w:val="24"/>
          <w:szCs w:val="24"/>
        </w:rPr>
        <w:t xml:space="preserve">of these were a massive, pristine stone quern (weighing 88kg) thrown in a well in the southernmost room of the building and a broken water jug buried beneath the southern </w:t>
      </w:r>
      <w:r w:rsidR="00DC2AA9">
        <w:rPr>
          <w:rFonts w:ascii="Times New Roman" w:hAnsi="Times New Roman" w:cs="Times New Roman"/>
          <w:color w:val="002060"/>
          <w:sz w:val="24"/>
          <w:szCs w:val="24"/>
        </w:rPr>
        <w:lastRenderedPageBreak/>
        <w:t>wall of the bui</w:t>
      </w:r>
      <w:r w:rsidR="006942F1">
        <w:rPr>
          <w:rFonts w:ascii="Times New Roman" w:hAnsi="Times New Roman" w:cs="Times New Roman"/>
          <w:color w:val="002060"/>
          <w:sz w:val="24"/>
          <w:szCs w:val="24"/>
        </w:rPr>
        <w:t xml:space="preserve">lding: both of which indicate the importance of water to the community. </w:t>
      </w:r>
      <w:r w:rsidR="00DC2AA9">
        <w:rPr>
          <w:rFonts w:ascii="Times New Roman" w:hAnsi="Times New Roman" w:cs="Times New Roman"/>
          <w:color w:val="002060"/>
          <w:sz w:val="24"/>
          <w:szCs w:val="24"/>
        </w:rPr>
        <w:t xml:space="preserve">The deposition of the quern in particular stands out as </w:t>
      </w:r>
      <w:r w:rsidR="00DC2AA9" w:rsidRPr="00DC2AA9">
        <w:rPr>
          <w:rFonts w:ascii="Times New Roman" w:hAnsi="Times New Roman" w:cs="Times New Roman"/>
          <w:color w:val="002060"/>
          <w:sz w:val="24"/>
          <w:szCs w:val="24"/>
        </w:rPr>
        <w:t>a significant even</w:t>
      </w:r>
      <w:r w:rsidR="00DC2AA9">
        <w:rPr>
          <w:rFonts w:ascii="Times New Roman" w:hAnsi="Times New Roman" w:cs="Times New Roman"/>
          <w:color w:val="002060"/>
          <w:sz w:val="24"/>
          <w:szCs w:val="24"/>
        </w:rPr>
        <w:t xml:space="preserve">t in the life of the community: </w:t>
      </w:r>
      <w:r w:rsidR="00DC2AA9" w:rsidRPr="00DC2AA9">
        <w:rPr>
          <w:rFonts w:ascii="Times New Roman" w:hAnsi="Times New Roman" w:cs="Times New Roman"/>
          <w:color w:val="002060"/>
          <w:sz w:val="24"/>
          <w:szCs w:val="24"/>
        </w:rPr>
        <w:t>it would probably have taken two people to manoeuvre the quern into the ro</w:t>
      </w:r>
      <w:r w:rsidR="00DC2AA9">
        <w:rPr>
          <w:rFonts w:ascii="Times New Roman" w:hAnsi="Times New Roman" w:cs="Times New Roman"/>
          <w:color w:val="002060"/>
          <w:sz w:val="24"/>
          <w:szCs w:val="24"/>
        </w:rPr>
        <w:t>om and to place it in the well.</w:t>
      </w:r>
    </w:p>
    <w:p w:rsidR="00DC2AA9" w:rsidRDefault="00C33800"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Hoards</w:t>
      </w:r>
      <w:r w:rsidR="006A1512">
        <w:rPr>
          <w:rFonts w:ascii="Times New Roman" w:hAnsi="Times New Roman" w:cs="Times New Roman"/>
          <w:color w:val="002060"/>
          <w:sz w:val="24"/>
          <w:szCs w:val="24"/>
        </w:rPr>
        <w:t xml:space="preserve"> are particularly common in European Bronze Age society.</w:t>
      </w:r>
    </w:p>
    <w:p w:rsidR="00C33800" w:rsidRDefault="00C33800" w:rsidP="00C33800">
      <w:pPr>
        <w:spacing w:after="120"/>
        <w:ind w:left="720"/>
        <w:rPr>
          <w:rFonts w:ascii="Times New Roman" w:hAnsi="Times New Roman" w:cs="Times New Roman"/>
          <w:color w:val="002060"/>
          <w:sz w:val="24"/>
          <w:szCs w:val="24"/>
        </w:rPr>
      </w:pPr>
      <w:r>
        <w:rPr>
          <w:rFonts w:ascii="Times New Roman" w:hAnsi="Times New Roman" w:cs="Times New Roman"/>
          <w:color w:val="002060"/>
          <w:sz w:val="24"/>
          <w:szCs w:val="24"/>
        </w:rPr>
        <w:t xml:space="preserve">“The hoard is there because buried </w:t>
      </w:r>
      <w:r w:rsidRPr="00C33800">
        <w:rPr>
          <w:rFonts w:ascii="Times New Roman" w:hAnsi="Times New Roman" w:cs="Times New Roman"/>
          <w:i/>
          <w:color w:val="002060"/>
          <w:sz w:val="24"/>
          <w:szCs w:val="24"/>
        </w:rPr>
        <w:t>and never retrieved</w:t>
      </w:r>
      <w:r>
        <w:rPr>
          <w:rFonts w:ascii="Times New Roman" w:hAnsi="Times New Roman" w:cs="Times New Roman"/>
          <w:color w:val="002060"/>
          <w:sz w:val="24"/>
          <w:szCs w:val="24"/>
        </w:rPr>
        <w:t xml:space="preserve">. </w:t>
      </w:r>
      <w:proofErr w:type="gramStart"/>
      <w:r>
        <w:rPr>
          <w:rFonts w:ascii="Times New Roman" w:hAnsi="Times New Roman" w:cs="Times New Roman"/>
          <w:color w:val="002060"/>
          <w:sz w:val="24"/>
          <w:szCs w:val="24"/>
        </w:rPr>
        <w:t>If retrieval was never intended, then it is a cult or votive offering”</w:t>
      </w:r>
      <w:r w:rsidR="00D63D85">
        <w:rPr>
          <w:rFonts w:ascii="Times New Roman" w:hAnsi="Times New Roman" w:cs="Times New Roman"/>
          <w:color w:val="002060"/>
          <w:sz w:val="24"/>
          <w:szCs w:val="24"/>
        </w:rPr>
        <w:t xml:space="preserve"> (</w:t>
      </w:r>
      <w:proofErr w:type="spellStart"/>
      <w:r w:rsidR="00D63D85">
        <w:rPr>
          <w:rFonts w:ascii="Times New Roman" w:hAnsi="Times New Roman" w:cs="Times New Roman"/>
          <w:color w:val="002060"/>
          <w:sz w:val="24"/>
          <w:szCs w:val="24"/>
        </w:rPr>
        <w:t>Hawkes</w:t>
      </w:r>
      <w:proofErr w:type="spellEnd"/>
      <w:r w:rsidR="00D63D85">
        <w:rPr>
          <w:rFonts w:ascii="Times New Roman" w:hAnsi="Times New Roman" w:cs="Times New Roman"/>
          <w:color w:val="002060"/>
          <w:sz w:val="24"/>
          <w:szCs w:val="24"/>
        </w:rPr>
        <w:t xml:space="preserve"> cited in Knapp 1988, 147).</w:t>
      </w:r>
      <w:proofErr w:type="gramEnd"/>
    </w:p>
    <w:p w:rsidR="00F76F3E" w:rsidRDefault="006A1512"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This practice constitutes the deliberate removal of wealth from circulation. For archaeologists the problem lies in differentiating between a votive deposit and founder’s hoards (such as many of the gold hoards from Troy) or hoards hidden in times of stress which were not subsequently retrieved. Archaeologists such as Bradley and Knapp have suggested that votive hoards were effectively gifts (presumably made to a supernatural entity)</w:t>
      </w:r>
      <w:r w:rsidR="006844B9">
        <w:rPr>
          <w:rFonts w:ascii="Times New Roman" w:hAnsi="Times New Roman" w:cs="Times New Roman"/>
          <w:color w:val="002060"/>
          <w:sz w:val="24"/>
          <w:szCs w:val="24"/>
        </w:rPr>
        <w:t xml:space="preserve"> and that these are characterized by: uniqueness, skill and complexity in their production (both equating to their perceived cultural value), deposition in irretrievable contexts and possibly killing or sacrificial destruction. These are “gifts” which are removed from circulation, thereby meaning they could not be passed on as gifts in future exchanges. </w:t>
      </w:r>
      <w:r w:rsidR="00DC6240">
        <w:rPr>
          <w:rFonts w:ascii="Times New Roman" w:hAnsi="Times New Roman" w:cs="Times New Roman"/>
          <w:color w:val="002060"/>
          <w:sz w:val="24"/>
          <w:szCs w:val="24"/>
        </w:rPr>
        <w:t xml:space="preserve">Votive hoards might include the deposit of finely carved Mycenaean and Near Eastern ivories found beneath the </w:t>
      </w:r>
      <w:proofErr w:type="spellStart"/>
      <w:r w:rsidR="00DC6240">
        <w:rPr>
          <w:rFonts w:ascii="Times New Roman" w:hAnsi="Times New Roman" w:cs="Times New Roman"/>
          <w:color w:val="002060"/>
          <w:sz w:val="24"/>
          <w:szCs w:val="24"/>
        </w:rPr>
        <w:t>Artemeision</w:t>
      </w:r>
      <w:proofErr w:type="spellEnd"/>
      <w:r w:rsidR="00DC6240">
        <w:rPr>
          <w:rFonts w:ascii="Times New Roman" w:hAnsi="Times New Roman" w:cs="Times New Roman"/>
          <w:color w:val="002060"/>
          <w:sz w:val="24"/>
          <w:szCs w:val="24"/>
        </w:rPr>
        <w:t xml:space="preserve"> on Delos. Osborne however, notes that more humble objects might equally be offered as gifts to the gods</w:t>
      </w:r>
      <w:r w:rsidR="0025661B">
        <w:rPr>
          <w:rFonts w:ascii="Times New Roman" w:hAnsi="Times New Roman" w:cs="Times New Roman"/>
          <w:color w:val="002060"/>
          <w:sz w:val="24"/>
          <w:szCs w:val="24"/>
        </w:rPr>
        <w:t>.</w:t>
      </w:r>
    </w:p>
    <w:p w:rsidR="006844B9" w:rsidRDefault="006844B9" w:rsidP="00292600">
      <w:pPr>
        <w:spacing w:after="120"/>
        <w:rPr>
          <w:rFonts w:ascii="Times New Roman" w:hAnsi="Times New Roman" w:cs="Times New Roman"/>
          <w:color w:val="002060"/>
          <w:sz w:val="24"/>
          <w:szCs w:val="24"/>
        </w:rPr>
      </w:pPr>
    </w:p>
    <w:p w:rsidR="0025661B" w:rsidRDefault="0097554C" w:rsidP="0097554C">
      <w:pPr>
        <w:spacing w:after="120"/>
        <w:rPr>
          <w:rFonts w:ascii="Times New Roman" w:hAnsi="Times New Roman" w:cs="Times New Roman"/>
          <w:color w:val="002060"/>
          <w:sz w:val="24"/>
          <w:szCs w:val="24"/>
        </w:rPr>
      </w:pPr>
      <w:r w:rsidRPr="00A35F6C">
        <w:rPr>
          <w:rFonts w:ascii="Times New Roman" w:hAnsi="Times New Roman" w:cs="Times New Roman"/>
          <w:i/>
          <w:color w:val="002060"/>
          <w:sz w:val="24"/>
          <w:szCs w:val="24"/>
        </w:rPr>
        <w:t>Ritual consumption</w:t>
      </w:r>
      <w:r w:rsidR="00A35F6C">
        <w:rPr>
          <w:rFonts w:ascii="Times New Roman" w:hAnsi="Times New Roman" w:cs="Times New Roman"/>
          <w:i/>
          <w:color w:val="002060"/>
          <w:sz w:val="24"/>
          <w:szCs w:val="24"/>
        </w:rPr>
        <w:t>:</w:t>
      </w:r>
      <w:r w:rsidR="0025661B">
        <w:rPr>
          <w:rFonts w:ascii="Times New Roman" w:hAnsi="Times New Roman" w:cs="Times New Roman"/>
          <w:color w:val="002060"/>
          <w:sz w:val="24"/>
          <w:szCs w:val="24"/>
        </w:rPr>
        <w:t xml:space="preserve"> there have been countless discussions in the archaeological literature of the ritual consumption of food and drink. Criteria used to identify these include:</w:t>
      </w:r>
    </w:p>
    <w:p w:rsidR="0097554C" w:rsidRDefault="0025661B" w:rsidP="0025661B">
      <w:pPr>
        <w:pStyle w:val="ListParagraph"/>
        <w:numPr>
          <w:ilvl w:val="0"/>
          <w:numId w:val="7"/>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D</w:t>
      </w:r>
      <w:r w:rsidRPr="0025661B">
        <w:rPr>
          <w:rFonts w:ascii="Times New Roman" w:hAnsi="Times New Roman" w:cs="Times New Roman"/>
          <w:color w:val="002060"/>
          <w:sz w:val="24"/>
          <w:szCs w:val="24"/>
        </w:rPr>
        <w:t>eposits of quantities of faunal remains in special contexts, frequently distinct from everyday domestic refuse</w:t>
      </w:r>
      <w:r>
        <w:rPr>
          <w:rFonts w:ascii="Times New Roman" w:hAnsi="Times New Roman" w:cs="Times New Roman"/>
          <w:color w:val="002060"/>
          <w:sz w:val="24"/>
          <w:szCs w:val="24"/>
        </w:rPr>
        <w:t xml:space="preserve"> (remains of sacrifice and feasting;</w:t>
      </w:r>
    </w:p>
    <w:p w:rsidR="0025661B" w:rsidRDefault="0025661B" w:rsidP="0025661B">
      <w:pPr>
        <w:pStyle w:val="ListParagraph"/>
        <w:numPr>
          <w:ilvl w:val="0"/>
          <w:numId w:val="7"/>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Accumulations of specialized serving and drinking equipment (perhaps in fine ceramic wares or precious materials);</w:t>
      </w:r>
    </w:p>
    <w:p w:rsidR="0025661B" w:rsidRDefault="0025661B" w:rsidP="0025661B">
      <w:pPr>
        <w:pStyle w:val="ListParagraph"/>
        <w:numPr>
          <w:ilvl w:val="0"/>
          <w:numId w:val="7"/>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Possibly libation vessels – allowing the supernatural also to par</w:t>
      </w:r>
      <w:r w:rsidR="00B505A1">
        <w:rPr>
          <w:rFonts w:ascii="Times New Roman" w:hAnsi="Times New Roman" w:cs="Times New Roman"/>
          <w:color w:val="002060"/>
          <w:sz w:val="24"/>
          <w:szCs w:val="24"/>
        </w:rPr>
        <w:t>take of the feast;</w:t>
      </w:r>
    </w:p>
    <w:p w:rsidR="0025661B" w:rsidRDefault="0025661B" w:rsidP="0025661B">
      <w:pPr>
        <w:pStyle w:val="ListParagraph"/>
        <w:numPr>
          <w:ilvl w:val="0"/>
          <w:numId w:val="7"/>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The identification of specialized communal locations where s</w:t>
      </w:r>
      <w:r w:rsidR="00B505A1">
        <w:rPr>
          <w:rFonts w:ascii="Times New Roman" w:hAnsi="Times New Roman" w:cs="Times New Roman"/>
          <w:color w:val="002060"/>
          <w:sz w:val="24"/>
          <w:szCs w:val="24"/>
        </w:rPr>
        <w:t>uch activities might take place;</w:t>
      </w:r>
    </w:p>
    <w:p w:rsidR="00B505A1" w:rsidRPr="0025661B" w:rsidRDefault="00B505A1" w:rsidP="0025661B">
      <w:pPr>
        <w:pStyle w:val="ListParagraph"/>
        <w:numPr>
          <w:ilvl w:val="0"/>
          <w:numId w:val="7"/>
        </w:numPr>
        <w:spacing w:after="120"/>
        <w:rPr>
          <w:rFonts w:ascii="Times New Roman" w:hAnsi="Times New Roman" w:cs="Times New Roman"/>
          <w:color w:val="002060"/>
          <w:sz w:val="24"/>
          <w:szCs w:val="24"/>
        </w:rPr>
      </w:pPr>
      <w:r>
        <w:rPr>
          <w:rFonts w:ascii="Times New Roman" w:hAnsi="Times New Roman" w:cs="Times New Roman"/>
          <w:color w:val="002060"/>
          <w:sz w:val="24"/>
          <w:szCs w:val="24"/>
        </w:rPr>
        <w:t>Representational evidence.</w:t>
      </w:r>
    </w:p>
    <w:p w:rsidR="00583A24" w:rsidRDefault="00B505A1"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These convivial gatherings were an important element of community life, a means of establishing social bonds and an expression of identity. A good example of a compilation of archaeological evidence as to demonstrate ceremonial feasting is Wright’s (2004) discussion of this activity in the Mycenaean world.</w:t>
      </w:r>
    </w:p>
    <w:p w:rsidR="00B505A1" w:rsidRDefault="00B505A1" w:rsidP="00292600">
      <w:pPr>
        <w:spacing w:after="120"/>
        <w:rPr>
          <w:rFonts w:ascii="Times New Roman" w:hAnsi="Times New Roman" w:cs="Times New Roman"/>
          <w:color w:val="002060"/>
          <w:sz w:val="24"/>
          <w:szCs w:val="24"/>
        </w:rPr>
      </w:pPr>
    </w:p>
    <w:p w:rsidR="002426BB" w:rsidRPr="003D72DD" w:rsidRDefault="003D72DD" w:rsidP="00292600">
      <w:pPr>
        <w:spacing w:after="120"/>
        <w:rPr>
          <w:rFonts w:ascii="Times New Roman" w:hAnsi="Times New Roman" w:cs="Times New Roman"/>
          <w:color w:val="002060"/>
          <w:sz w:val="24"/>
          <w:szCs w:val="24"/>
        </w:rPr>
      </w:pPr>
      <w:r w:rsidRPr="00A35F6C">
        <w:rPr>
          <w:rFonts w:ascii="Times New Roman" w:hAnsi="Times New Roman" w:cs="Times New Roman"/>
          <w:i/>
          <w:color w:val="002060"/>
          <w:sz w:val="24"/>
          <w:szCs w:val="24"/>
        </w:rPr>
        <w:t>Fragmentation theory</w:t>
      </w:r>
      <w:r>
        <w:rPr>
          <w:rFonts w:ascii="Times New Roman" w:hAnsi="Times New Roman" w:cs="Times New Roman"/>
          <w:color w:val="002060"/>
          <w:sz w:val="24"/>
          <w:szCs w:val="24"/>
        </w:rPr>
        <w:t xml:space="preserve"> </w:t>
      </w:r>
      <w:r w:rsidR="007357CE">
        <w:rPr>
          <w:rFonts w:ascii="Times New Roman" w:hAnsi="Times New Roman" w:cs="Times New Roman"/>
          <w:color w:val="002060"/>
          <w:sz w:val="24"/>
          <w:szCs w:val="24"/>
        </w:rPr>
        <w:t>and</w:t>
      </w:r>
      <w:r>
        <w:rPr>
          <w:rFonts w:ascii="Times New Roman" w:hAnsi="Times New Roman" w:cs="Times New Roman"/>
          <w:color w:val="002060"/>
          <w:sz w:val="24"/>
          <w:szCs w:val="24"/>
        </w:rPr>
        <w:t xml:space="preserve"> “k</w:t>
      </w:r>
      <w:r w:rsidR="0074784A">
        <w:rPr>
          <w:rFonts w:ascii="Times New Roman" w:hAnsi="Times New Roman" w:cs="Times New Roman"/>
          <w:color w:val="002060"/>
          <w:sz w:val="24"/>
          <w:szCs w:val="24"/>
        </w:rPr>
        <w:t xml:space="preserve">illing” of ritual equipment is another route to exploring the archaeological debris of ritual activity. </w:t>
      </w:r>
      <w:r w:rsidR="002426BB">
        <w:rPr>
          <w:rFonts w:ascii="Times New Roman" w:hAnsi="Times New Roman" w:cs="Times New Roman"/>
          <w:color w:val="002060"/>
          <w:sz w:val="24"/>
          <w:szCs w:val="24"/>
        </w:rPr>
        <w:t xml:space="preserve">Some special ritual equipment </w:t>
      </w:r>
      <w:r w:rsidR="002426BB" w:rsidRPr="002426BB">
        <w:rPr>
          <w:rFonts w:ascii="Times New Roman" w:hAnsi="Times New Roman" w:cs="Times New Roman"/>
          <w:color w:val="002060"/>
          <w:sz w:val="24"/>
          <w:szCs w:val="24"/>
        </w:rPr>
        <w:t>might be deliberately removed from circulation,</w:t>
      </w:r>
      <w:r w:rsidR="002426BB">
        <w:rPr>
          <w:rFonts w:ascii="Times New Roman" w:hAnsi="Times New Roman" w:cs="Times New Roman"/>
          <w:color w:val="002060"/>
          <w:sz w:val="24"/>
          <w:szCs w:val="24"/>
        </w:rPr>
        <w:t xml:space="preserve"> and possibly broken,</w:t>
      </w:r>
      <w:r w:rsidR="002426BB" w:rsidRPr="002426BB">
        <w:rPr>
          <w:rFonts w:ascii="Times New Roman" w:hAnsi="Times New Roman" w:cs="Times New Roman"/>
          <w:color w:val="002060"/>
          <w:sz w:val="24"/>
          <w:szCs w:val="24"/>
        </w:rPr>
        <w:t xml:space="preserve"> perhaps to be deposited in hoards, placed in tombs, or dedicated at religious sites. </w:t>
      </w:r>
      <w:r w:rsidR="0074784A" w:rsidRPr="0074784A">
        <w:rPr>
          <w:rFonts w:ascii="Times New Roman" w:eastAsia="Calibri" w:hAnsi="Times New Roman" w:cs="Times New Roman"/>
          <w:color w:val="002060"/>
          <w:sz w:val="24"/>
          <w:szCs w:val="24"/>
        </w:rPr>
        <w:t>Fragmentation</w:t>
      </w:r>
      <w:r w:rsidR="002426BB">
        <w:rPr>
          <w:rFonts w:ascii="Times New Roman" w:hAnsi="Times New Roman" w:cs="Times New Roman"/>
          <w:color w:val="002060"/>
          <w:sz w:val="24"/>
          <w:szCs w:val="24"/>
        </w:rPr>
        <w:t>, therefore,</w:t>
      </w:r>
      <w:r w:rsidR="0074784A" w:rsidRPr="0074784A">
        <w:rPr>
          <w:rFonts w:ascii="Times New Roman" w:eastAsia="Calibri" w:hAnsi="Times New Roman" w:cs="Times New Roman"/>
          <w:color w:val="002060"/>
          <w:sz w:val="24"/>
          <w:szCs w:val="24"/>
        </w:rPr>
        <w:t xml:space="preserve"> assumes the </w:t>
      </w:r>
      <w:r w:rsidR="0074784A" w:rsidRPr="0074784A">
        <w:rPr>
          <w:rFonts w:ascii="Times New Roman" w:eastAsia="Calibri" w:hAnsi="Times New Roman" w:cs="Times New Roman"/>
          <w:i/>
          <w:color w:val="002060"/>
          <w:sz w:val="24"/>
          <w:szCs w:val="24"/>
        </w:rPr>
        <w:t>deliberate</w:t>
      </w:r>
      <w:r w:rsidR="0074784A" w:rsidRPr="0074784A">
        <w:rPr>
          <w:rFonts w:ascii="Times New Roman" w:eastAsia="Calibri" w:hAnsi="Times New Roman" w:cs="Times New Roman"/>
          <w:color w:val="002060"/>
          <w:sz w:val="24"/>
          <w:szCs w:val="24"/>
        </w:rPr>
        <w:t xml:space="preserve"> breakage and </w:t>
      </w:r>
      <w:r w:rsidR="0074784A" w:rsidRPr="0074784A">
        <w:rPr>
          <w:rFonts w:ascii="Times New Roman" w:eastAsia="Calibri" w:hAnsi="Times New Roman" w:cs="Times New Roman"/>
          <w:i/>
          <w:color w:val="002060"/>
          <w:sz w:val="24"/>
          <w:szCs w:val="24"/>
        </w:rPr>
        <w:t>considered</w:t>
      </w:r>
      <w:r w:rsidR="0074784A" w:rsidRPr="0074784A">
        <w:rPr>
          <w:rFonts w:ascii="Times New Roman" w:eastAsia="Calibri" w:hAnsi="Times New Roman" w:cs="Times New Roman"/>
          <w:color w:val="002060"/>
          <w:sz w:val="24"/>
          <w:szCs w:val="24"/>
        </w:rPr>
        <w:t xml:space="preserve"> buria</w:t>
      </w:r>
      <w:r w:rsidR="0074784A">
        <w:rPr>
          <w:rFonts w:ascii="Times New Roman" w:hAnsi="Times New Roman" w:cs="Times New Roman"/>
          <w:color w:val="002060"/>
          <w:sz w:val="24"/>
          <w:szCs w:val="24"/>
        </w:rPr>
        <w:t>l of “special purpose objects” such as ritual equipment</w:t>
      </w:r>
      <w:r w:rsidR="002426BB">
        <w:rPr>
          <w:rFonts w:ascii="Times New Roman" w:hAnsi="Times New Roman" w:cs="Times New Roman"/>
          <w:color w:val="002060"/>
          <w:sz w:val="24"/>
          <w:szCs w:val="24"/>
        </w:rPr>
        <w:t xml:space="preserve">. </w:t>
      </w:r>
      <w:r w:rsidR="0074784A">
        <w:rPr>
          <w:rFonts w:ascii="Times New Roman" w:hAnsi="Times New Roman" w:cs="Times New Roman"/>
          <w:color w:val="002060"/>
          <w:sz w:val="24"/>
          <w:szCs w:val="24"/>
        </w:rPr>
        <w:t xml:space="preserve">After </w:t>
      </w:r>
      <w:r w:rsidR="0074784A">
        <w:rPr>
          <w:rFonts w:ascii="Times New Roman" w:hAnsi="Times New Roman" w:cs="Times New Roman"/>
          <w:color w:val="002060"/>
          <w:sz w:val="24"/>
          <w:szCs w:val="24"/>
        </w:rPr>
        <w:lastRenderedPageBreak/>
        <w:t>certain objects were used within formalized practices, and th</w:t>
      </w:r>
      <w:r w:rsidR="0074784A" w:rsidRPr="0074784A">
        <w:rPr>
          <w:rFonts w:ascii="Times New Roman" w:eastAsia="Calibri" w:hAnsi="Times New Roman" w:cs="Times New Roman"/>
          <w:color w:val="002060"/>
          <w:sz w:val="24"/>
          <w:szCs w:val="24"/>
        </w:rPr>
        <w:t>e relationships articulated by the</w:t>
      </w:r>
      <w:r w:rsidR="0074784A">
        <w:rPr>
          <w:rFonts w:ascii="Times New Roman" w:hAnsi="Times New Roman" w:cs="Times New Roman"/>
          <w:color w:val="002060"/>
          <w:sz w:val="24"/>
          <w:szCs w:val="24"/>
        </w:rPr>
        <w:t>ir</w:t>
      </w:r>
      <w:r w:rsidR="0074784A" w:rsidRPr="0074784A">
        <w:rPr>
          <w:rFonts w:ascii="Times New Roman" w:eastAsia="Calibri" w:hAnsi="Times New Roman" w:cs="Times New Roman"/>
          <w:color w:val="002060"/>
          <w:sz w:val="24"/>
          <w:szCs w:val="24"/>
        </w:rPr>
        <w:t xml:space="preserve"> </w:t>
      </w:r>
      <w:r w:rsidR="0074784A">
        <w:rPr>
          <w:rFonts w:ascii="Times New Roman" w:hAnsi="Times New Roman" w:cs="Times New Roman"/>
          <w:color w:val="002060"/>
          <w:sz w:val="24"/>
          <w:szCs w:val="24"/>
        </w:rPr>
        <w:t>use</w:t>
      </w:r>
      <w:r w:rsidR="0074784A" w:rsidRPr="0074784A">
        <w:rPr>
          <w:rFonts w:ascii="Times New Roman" w:eastAsia="Calibri" w:hAnsi="Times New Roman" w:cs="Times New Roman"/>
          <w:color w:val="002060"/>
          <w:sz w:val="24"/>
          <w:szCs w:val="24"/>
        </w:rPr>
        <w:t xml:space="preserve"> were established</w:t>
      </w:r>
      <w:r w:rsidR="0074784A">
        <w:rPr>
          <w:rFonts w:ascii="Times New Roman" w:hAnsi="Times New Roman" w:cs="Times New Roman"/>
          <w:color w:val="002060"/>
          <w:sz w:val="24"/>
          <w:szCs w:val="24"/>
        </w:rPr>
        <w:t>,</w:t>
      </w:r>
      <w:r w:rsidR="0074784A" w:rsidRPr="0074784A">
        <w:rPr>
          <w:rFonts w:ascii="Times New Roman" w:eastAsia="Calibri" w:hAnsi="Times New Roman" w:cs="Times New Roman"/>
          <w:color w:val="002060"/>
          <w:sz w:val="24"/>
          <w:szCs w:val="24"/>
        </w:rPr>
        <w:t xml:space="preserve"> the object needed to be </w:t>
      </w:r>
      <w:r w:rsidR="0074784A" w:rsidRPr="0074784A">
        <w:rPr>
          <w:rFonts w:ascii="Times New Roman" w:eastAsia="Calibri" w:hAnsi="Times New Roman" w:cs="Times New Roman"/>
          <w:i/>
          <w:color w:val="002060"/>
          <w:sz w:val="24"/>
          <w:szCs w:val="24"/>
        </w:rPr>
        <w:t>removed from circulation</w:t>
      </w:r>
      <w:r w:rsidR="0074784A">
        <w:rPr>
          <w:rFonts w:ascii="Times New Roman" w:hAnsi="Times New Roman" w:cs="Times New Roman"/>
          <w:color w:val="002060"/>
          <w:sz w:val="24"/>
          <w:szCs w:val="24"/>
        </w:rPr>
        <w:t>. The</w:t>
      </w:r>
      <w:r w:rsidR="0074784A" w:rsidRPr="0074784A">
        <w:rPr>
          <w:rFonts w:ascii="Times New Roman" w:eastAsia="Calibri" w:hAnsi="Times New Roman" w:cs="Times New Roman"/>
          <w:color w:val="002060"/>
          <w:sz w:val="24"/>
          <w:szCs w:val="24"/>
        </w:rPr>
        <w:t xml:space="preserve"> obvious solution </w:t>
      </w:r>
      <w:r w:rsidR="0074784A">
        <w:rPr>
          <w:rFonts w:ascii="Times New Roman" w:hAnsi="Times New Roman" w:cs="Times New Roman"/>
          <w:color w:val="002060"/>
          <w:sz w:val="24"/>
          <w:szCs w:val="24"/>
        </w:rPr>
        <w:t>would be</w:t>
      </w:r>
      <w:r w:rsidR="0074784A" w:rsidRPr="0074784A">
        <w:rPr>
          <w:rFonts w:ascii="Times New Roman" w:eastAsia="Calibri" w:hAnsi="Times New Roman" w:cs="Times New Roman"/>
          <w:color w:val="002060"/>
          <w:sz w:val="24"/>
          <w:szCs w:val="24"/>
        </w:rPr>
        <w:t xml:space="preserve"> its ritual destruction (Chapman 2000: 24-6</w:t>
      </w:r>
      <w:r w:rsidR="0074784A">
        <w:rPr>
          <w:rFonts w:ascii="Times New Roman" w:hAnsi="Times New Roman" w:cs="Times New Roman"/>
          <w:color w:val="002060"/>
          <w:sz w:val="24"/>
          <w:szCs w:val="24"/>
        </w:rPr>
        <w:t>).</w:t>
      </w:r>
      <w:r w:rsidR="002426BB">
        <w:rPr>
          <w:rFonts w:ascii="Times New Roman" w:hAnsi="Times New Roman" w:cs="Times New Roman"/>
          <w:color w:val="002060"/>
          <w:sz w:val="24"/>
          <w:szCs w:val="24"/>
        </w:rPr>
        <w:t xml:space="preserve"> Chapman also proposes that some of these special, ritual objects were made with the express intent of being broken as part of their life-cycle</w:t>
      </w:r>
      <w:r w:rsidR="0062591C">
        <w:rPr>
          <w:rFonts w:ascii="Times New Roman" w:hAnsi="Times New Roman" w:cs="Times New Roman"/>
          <w:color w:val="002060"/>
          <w:sz w:val="24"/>
          <w:szCs w:val="24"/>
        </w:rPr>
        <w:t>. T</w:t>
      </w:r>
      <w:r w:rsidR="002426BB">
        <w:rPr>
          <w:rFonts w:ascii="Times New Roman" w:hAnsi="Times New Roman" w:cs="Times New Roman"/>
          <w:color w:val="002060"/>
          <w:sz w:val="24"/>
          <w:szCs w:val="24"/>
        </w:rPr>
        <w:t xml:space="preserve">he example he cites is </w:t>
      </w:r>
      <w:proofErr w:type="spellStart"/>
      <w:r w:rsidR="002426BB" w:rsidRPr="009B6FBF">
        <w:rPr>
          <w:rFonts w:ascii="Times New Roman" w:hAnsi="Times New Roman" w:cs="Times New Roman"/>
          <w:i/>
          <w:color w:val="002060"/>
          <w:sz w:val="24"/>
          <w:szCs w:val="24"/>
        </w:rPr>
        <w:t>Jomon</w:t>
      </w:r>
      <w:proofErr w:type="spellEnd"/>
      <w:r w:rsidR="002426BB">
        <w:rPr>
          <w:rFonts w:ascii="Times New Roman" w:hAnsi="Times New Roman" w:cs="Times New Roman"/>
          <w:color w:val="002060"/>
          <w:sz w:val="24"/>
          <w:szCs w:val="24"/>
        </w:rPr>
        <w:t xml:space="preserve"> figurines from Japan. There is also evidence for f</w:t>
      </w:r>
      <w:r w:rsidR="002426BB" w:rsidRPr="002426BB">
        <w:rPr>
          <w:rFonts w:ascii="Times New Roman" w:hAnsi="Times New Roman" w:cs="Times New Roman"/>
          <w:color w:val="002060"/>
          <w:sz w:val="24"/>
          <w:szCs w:val="24"/>
        </w:rPr>
        <w:t xml:space="preserve">ragmented objects </w:t>
      </w:r>
      <w:r w:rsidR="002426BB">
        <w:rPr>
          <w:rFonts w:ascii="Times New Roman" w:hAnsi="Times New Roman" w:cs="Times New Roman"/>
          <w:color w:val="002060"/>
          <w:sz w:val="24"/>
          <w:szCs w:val="24"/>
        </w:rPr>
        <w:t>deposited ritually in the Bronze and Iron Age Mediterranean. One such example is a famous Early Iron Age warrior burial from Athens, with a “</w:t>
      </w:r>
      <w:r w:rsidR="002426BB">
        <w:rPr>
          <w:rFonts w:ascii="Times New Roman" w:hAnsi="Times New Roman" w:cs="Times New Roman"/>
          <w:i/>
          <w:color w:val="002060"/>
          <w:sz w:val="24"/>
          <w:szCs w:val="24"/>
        </w:rPr>
        <w:t>killed</w:t>
      </w:r>
      <w:r w:rsidR="002426BB">
        <w:rPr>
          <w:rFonts w:ascii="Times New Roman" w:hAnsi="Times New Roman" w:cs="Times New Roman"/>
          <w:color w:val="002060"/>
          <w:sz w:val="24"/>
          <w:szCs w:val="24"/>
        </w:rPr>
        <w:t xml:space="preserve">” sword intentionally placed around the neck of the cremation urn. </w:t>
      </w:r>
      <w:r w:rsidR="00F115D5">
        <w:rPr>
          <w:rFonts w:ascii="Times New Roman" w:hAnsi="Times New Roman" w:cs="Times New Roman"/>
          <w:color w:val="002060"/>
          <w:sz w:val="24"/>
          <w:szCs w:val="24"/>
        </w:rPr>
        <w:t xml:space="preserve">Other examples </w:t>
      </w:r>
      <w:r w:rsidR="002426BB" w:rsidRPr="002426BB">
        <w:rPr>
          <w:rFonts w:ascii="Times New Roman" w:hAnsi="Times New Roman" w:cs="Times New Roman"/>
          <w:color w:val="002060"/>
          <w:sz w:val="24"/>
          <w:szCs w:val="24"/>
        </w:rPr>
        <w:t xml:space="preserve">include Minoan and Mycenaean bull’s head </w:t>
      </w:r>
      <w:r w:rsidR="002426BB" w:rsidRPr="00F115D5">
        <w:rPr>
          <w:rFonts w:ascii="Times New Roman" w:hAnsi="Times New Roman" w:cs="Times New Roman"/>
          <w:i/>
          <w:color w:val="002060"/>
          <w:sz w:val="24"/>
          <w:szCs w:val="24"/>
        </w:rPr>
        <w:t>rhyta</w:t>
      </w:r>
      <w:r w:rsidR="00F115D5">
        <w:rPr>
          <w:rFonts w:ascii="Times New Roman" w:hAnsi="Times New Roman" w:cs="Times New Roman"/>
          <w:i/>
          <w:color w:val="002060"/>
          <w:sz w:val="24"/>
          <w:szCs w:val="24"/>
        </w:rPr>
        <w:t xml:space="preserve"> </w:t>
      </w:r>
      <w:r w:rsidR="00F115D5">
        <w:rPr>
          <w:rFonts w:ascii="Times New Roman" w:hAnsi="Times New Roman" w:cs="Times New Roman"/>
          <w:color w:val="002060"/>
          <w:sz w:val="24"/>
          <w:szCs w:val="24"/>
        </w:rPr>
        <w:t>(libation vases)</w:t>
      </w:r>
      <w:r w:rsidR="002426BB" w:rsidRPr="002426BB">
        <w:rPr>
          <w:rFonts w:ascii="Times New Roman" w:hAnsi="Times New Roman" w:cs="Times New Roman"/>
          <w:color w:val="002060"/>
          <w:sz w:val="24"/>
          <w:szCs w:val="24"/>
        </w:rPr>
        <w:t xml:space="preserve">, which </w:t>
      </w:r>
      <w:proofErr w:type="spellStart"/>
      <w:r w:rsidR="002426BB" w:rsidRPr="002426BB">
        <w:rPr>
          <w:rFonts w:ascii="Times New Roman" w:hAnsi="Times New Roman" w:cs="Times New Roman"/>
          <w:color w:val="002060"/>
          <w:sz w:val="24"/>
          <w:szCs w:val="24"/>
        </w:rPr>
        <w:t>Rehak</w:t>
      </w:r>
      <w:proofErr w:type="spellEnd"/>
      <w:r w:rsidR="002426BB" w:rsidRPr="002426BB">
        <w:rPr>
          <w:rFonts w:ascii="Times New Roman" w:hAnsi="Times New Roman" w:cs="Times New Roman"/>
          <w:color w:val="002060"/>
          <w:sz w:val="24"/>
          <w:szCs w:val="24"/>
        </w:rPr>
        <w:t xml:space="preserve"> (1995) has suggested were crafted</w:t>
      </w:r>
      <w:r w:rsidR="00F115D5">
        <w:rPr>
          <w:rFonts w:ascii="Times New Roman" w:hAnsi="Times New Roman" w:cs="Times New Roman"/>
          <w:color w:val="002060"/>
          <w:sz w:val="24"/>
          <w:szCs w:val="24"/>
        </w:rPr>
        <w:t xml:space="preserve"> specifically to be used and ritually broken in</w:t>
      </w:r>
      <w:r w:rsidR="002426BB" w:rsidRPr="002426BB">
        <w:rPr>
          <w:rFonts w:ascii="Times New Roman" w:hAnsi="Times New Roman" w:cs="Times New Roman"/>
          <w:color w:val="002060"/>
          <w:sz w:val="24"/>
          <w:szCs w:val="24"/>
        </w:rPr>
        <w:t xml:space="preserve"> religious ceremonies as a simulacrum for bull sacrifice</w:t>
      </w:r>
      <w:r w:rsidR="00F115D5">
        <w:rPr>
          <w:rFonts w:ascii="Times New Roman" w:hAnsi="Times New Roman" w:cs="Times New Roman"/>
          <w:color w:val="002060"/>
          <w:sz w:val="24"/>
          <w:szCs w:val="24"/>
        </w:rPr>
        <w:t>.</w:t>
      </w:r>
    </w:p>
    <w:p w:rsidR="00B839A3" w:rsidRDefault="00B839A3" w:rsidP="00292600">
      <w:pPr>
        <w:spacing w:after="120"/>
        <w:rPr>
          <w:rFonts w:ascii="Times New Roman" w:hAnsi="Times New Roman" w:cs="Times New Roman"/>
          <w:color w:val="002060"/>
          <w:sz w:val="24"/>
          <w:szCs w:val="24"/>
        </w:rPr>
      </w:pPr>
    </w:p>
    <w:p w:rsidR="00B839A3" w:rsidRPr="00262FBE" w:rsidRDefault="00262FBE" w:rsidP="00292600">
      <w:pPr>
        <w:spacing w:after="120"/>
        <w:rPr>
          <w:rFonts w:ascii="Times New Roman" w:hAnsi="Times New Roman" w:cs="Times New Roman"/>
          <w:b/>
          <w:color w:val="002060"/>
          <w:sz w:val="24"/>
          <w:szCs w:val="24"/>
        </w:rPr>
      </w:pPr>
      <w:r>
        <w:rPr>
          <w:rFonts w:ascii="Times New Roman" w:hAnsi="Times New Roman" w:cs="Times New Roman"/>
          <w:b/>
          <w:color w:val="002060"/>
          <w:sz w:val="24"/>
          <w:szCs w:val="24"/>
        </w:rPr>
        <w:t>Identifying Ritual Spaces in the Archaeological Record</w:t>
      </w:r>
    </w:p>
    <w:p w:rsidR="00B839A3" w:rsidRPr="00262FBE" w:rsidRDefault="00262FBE" w:rsidP="00292600">
      <w:pPr>
        <w:spacing w:after="120"/>
        <w:rPr>
          <w:rFonts w:ascii="Times New Roman" w:hAnsi="Times New Roman" w:cs="Times New Roman"/>
          <w:color w:val="0070C0"/>
          <w:sz w:val="24"/>
          <w:szCs w:val="24"/>
        </w:rPr>
      </w:pPr>
      <w:r w:rsidRPr="00262FBE">
        <w:rPr>
          <w:rFonts w:ascii="Times New Roman" w:hAnsi="Times New Roman" w:cs="Times New Roman"/>
          <w:color w:val="0070C0"/>
          <w:sz w:val="24"/>
          <w:szCs w:val="24"/>
        </w:rPr>
        <w:t>Please read Renfrew 1986</w:t>
      </w:r>
    </w:p>
    <w:p w:rsidR="00000000" w:rsidRPr="00B334FB" w:rsidRDefault="00B334FB" w:rsidP="00B334FB">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Following excavation of a Late Bronze Age sanctuary at </w:t>
      </w:r>
      <w:proofErr w:type="spellStart"/>
      <w:r>
        <w:rPr>
          <w:rFonts w:ascii="Times New Roman" w:hAnsi="Times New Roman" w:cs="Times New Roman"/>
          <w:color w:val="002060"/>
          <w:sz w:val="24"/>
          <w:szCs w:val="24"/>
        </w:rPr>
        <w:t>Phylakopi</w:t>
      </w:r>
      <w:proofErr w:type="spellEnd"/>
      <w:r>
        <w:rPr>
          <w:rFonts w:ascii="Times New Roman" w:hAnsi="Times New Roman" w:cs="Times New Roman"/>
          <w:color w:val="002060"/>
          <w:sz w:val="24"/>
          <w:szCs w:val="24"/>
        </w:rPr>
        <w:t xml:space="preserve"> (on Melos) Renfrew developed a series of criteria archaeologists might use to identify </w:t>
      </w:r>
      <w:r w:rsidR="0072041A" w:rsidRPr="00B334FB">
        <w:rPr>
          <w:rFonts w:ascii="Times New Roman" w:hAnsi="Times New Roman" w:cs="Times New Roman"/>
          <w:color w:val="002060"/>
          <w:sz w:val="24"/>
          <w:szCs w:val="24"/>
        </w:rPr>
        <w:t>liminal/sacred places/cult plac</w:t>
      </w:r>
      <w:r>
        <w:rPr>
          <w:rFonts w:ascii="Times New Roman" w:hAnsi="Times New Roman" w:cs="Times New Roman"/>
          <w:color w:val="002060"/>
          <w:sz w:val="24"/>
          <w:szCs w:val="24"/>
        </w:rPr>
        <w:t>es in the archaeological record:</w:t>
      </w:r>
    </w:p>
    <w:p w:rsidR="00000000" w:rsidRPr="00B334FB" w:rsidRDefault="0072041A" w:rsidP="00B334FB">
      <w:pPr>
        <w:pStyle w:val="ListParagraph"/>
        <w:numPr>
          <w:ilvl w:val="0"/>
          <w:numId w:val="9"/>
        </w:numPr>
        <w:tabs>
          <w:tab w:val="num" w:pos="720"/>
        </w:tabs>
        <w:spacing w:after="120"/>
        <w:rPr>
          <w:rFonts w:ascii="Times New Roman" w:hAnsi="Times New Roman" w:cs="Times New Roman"/>
          <w:color w:val="002060"/>
          <w:sz w:val="24"/>
          <w:szCs w:val="24"/>
        </w:rPr>
      </w:pPr>
      <w:r w:rsidRPr="00B334FB">
        <w:rPr>
          <w:rFonts w:ascii="Times New Roman" w:hAnsi="Times New Roman" w:cs="Times New Roman"/>
          <w:color w:val="002060"/>
          <w:sz w:val="24"/>
          <w:szCs w:val="24"/>
        </w:rPr>
        <w:t>Specialised sacred location:</w:t>
      </w:r>
      <w:r w:rsidR="00B334FB">
        <w:rPr>
          <w:rFonts w:ascii="Times New Roman" w:hAnsi="Times New Roman" w:cs="Times New Roman"/>
          <w:color w:val="002060"/>
          <w:sz w:val="24"/>
          <w:szCs w:val="24"/>
        </w:rPr>
        <w:t xml:space="preserve"> this might be a built place (shrine or sanctuary) within a settlement, which should stand out from normal domestic architecture and other</w:t>
      </w:r>
      <w:r w:rsidR="0009350F">
        <w:rPr>
          <w:rFonts w:ascii="Times New Roman" w:hAnsi="Times New Roman" w:cs="Times New Roman"/>
          <w:color w:val="002060"/>
          <w:sz w:val="24"/>
          <w:szCs w:val="24"/>
        </w:rPr>
        <w:t xml:space="preserve"> </w:t>
      </w:r>
      <w:r w:rsidR="00B334FB">
        <w:rPr>
          <w:rFonts w:ascii="Times New Roman" w:hAnsi="Times New Roman" w:cs="Times New Roman"/>
          <w:color w:val="002060"/>
          <w:sz w:val="24"/>
          <w:szCs w:val="24"/>
        </w:rPr>
        <w:t xml:space="preserve">public buildings (see next point), or a special location in the natural landscape such as a </w:t>
      </w:r>
      <w:r w:rsidRPr="00B334FB">
        <w:rPr>
          <w:rFonts w:ascii="Times New Roman" w:hAnsi="Times New Roman" w:cs="Times New Roman"/>
          <w:color w:val="002060"/>
          <w:sz w:val="24"/>
          <w:szCs w:val="24"/>
        </w:rPr>
        <w:t>mountain</w:t>
      </w:r>
      <w:r w:rsidR="00B334FB">
        <w:rPr>
          <w:rFonts w:ascii="Times New Roman" w:hAnsi="Times New Roman" w:cs="Times New Roman"/>
          <w:color w:val="002060"/>
          <w:sz w:val="24"/>
          <w:szCs w:val="24"/>
        </w:rPr>
        <w:t>-top site, a</w:t>
      </w:r>
      <w:r w:rsidRPr="00B334FB">
        <w:rPr>
          <w:rFonts w:ascii="Times New Roman" w:hAnsi="Times New Roman" w:cs="Times New Roman"/>
          <w:color w:val="002060"/>
          <w:sz w:val="24"/>
          <w:szCs w:val="24"/>
        </w:rPr>
        <w:t xml:space="preserve"> spring, </w:t>
      </w:r>
      <w:r w:rsidR="00B334FB">
        <w:rPr>
          <w:rFonts w:ascii="Times New Roman" w:hAnsi="Times New Roman" w:cs="Times New Roman"/>
          <w:color w:val="002060"/>
          <w:sz w:val="24"/>
          <w:szCs w:val="24"/>
        </w:rPr>
        <w:t xml:space="preserve">a </w:t>
      </w:r>
      <w:r w:rsidRPr="00B334FB">
        <w:rPr>
          <w:rFonts w:ascii="Times New Roman" w:hAnsi="Times New Roman" w:cs="Times New Roman"/>
          <w:color w:val="002060"/>
          <w:sz w:val="24"/>
          <w:szCs w:val="24"/>
        </w:rPr>
        <w:t xml:space="preserve">sacred grove, </w:t>
      </w:r>
      <w:r w:rsidR="00B334FB">
        <w:rPr>
          <w:rFonts w:ascii="Times New Roman" w:hAnsi="Times New Roman" w:cs="Times New Roman"/>
          <w:color w:val="002060"/>
          <w:sz w:val="24"/>
          <w:szCs w:val="24"/>
        </w:rPr>
        <w:t>or a cave</w:t>
      </w:r>
      <w:r w:rsidR="0009350F">
        <w:rPr>
          <w:rFonts w:ascii="Times New Roman" w:hAnsi="Times New Roman" w:cs="Times New Roman"/>
          <w:color w:val="002060"/>
          <w:sz w:val="24"/>
          <w:szCs w:val="24"/>
        </w:rPr>
        <w:t>;</w:t>
      </w:r>
    </w:p>
    <w:p w:rsidR="00B334FB" w:rsidRDefault="00B334FB" w:rsidP="00B334FB">
      <w:pPr>
        <w:pStyle w:val="ListParagraph"/>
        <w:numPr>
          <w:ilvl w:val="0"/>
          <w:numId w:val="9"/>
        </w:numPr>
        <w:tabs>
          <w:tab w:val="num" w:pos="720"/>
          <w:tab w:val="num" w:pos="1440"/>
        </w:tabs>
        <w:spacing w:after="120"/>
        <w:rPr>
          <w:rFonts w:ascii="Times New Roman" w:hAnsi="Times New Roman" w:cs="Times New Roman"/>
          <w:color w:val="002060"/>
          <w:sz w:val="24"/>
          <w:szCs w:val="24"/>
        </w:rPr>
      </w:pPr>
      <w:r w:rsidRPr="00B334FB">
        <w:rPr>
          <w:rFonts w:ascii="Times New Roman" w:hAnsi="Times New Roman" w:cs="Times New Roman"/>
          <w:color w:val="002060"/>
          <w:sz w:val="24"/>
          <w:szCs w:val="24"/>
        </w:rPr>
        <w:t xml:space="preserve">Sacred architecture: this might include </w:t>
      </w:r>
      <w:r>
        <w:rPr>
          <w:rFonts w:ascii="Times New Roman" w:hAnsi="Times New Roman" w:cs="Times New Roman"/>
          <w:color w:val="002060"/>
          <w:sz w:val="24"/>
          <w:szCs w:val="24"/>
        </w:rPr>
        <w:t>a</w:t>
      </w:r>
      <w:r w:rsidR="0072041A" w:rsidRPr="00B334FB">
        <w:rPr>
          <w:rFonts w:ascii="Times New Roman" w:hAnsi="Times New Roman" w:cs="Times New Roman"/>
          <w:color w:val="002060"/>
          <w:sz w:val="24"/>
          <w:szCs w:val="24"/>
        </w:rPr>
        <w:t xml:space="preserve">ltars, podium, temples, </w:t>
      </w:r>
      <w:r>
        <w:rPr>
          <w:rFonts w:ascii="Times New Roman" w:hAnsi="Times New Roman" w:cs="Times New Roman"/>
          <w:color w:val="002060"/>
          <w:sz w:val="24"/>
          <w:szCs w:val="24"/>
        </w:rPr>
        <w:t>hearths, boundary/enclosure walls delimiting the special space</w:t>
      </w:r>
      <w:r w:rsidR="0009350F">
        <w:rPr>
          <w:rFonts w:ascii="Times New Roman" w:hAnsi="Times New Roman" w:cs="Times New Roman"/>
          <w:color w:val="002060"/>
          <w:sz w:val="24"/>
          <w:szCs w:val="24"/>
        </w:rPr>
        <w:t>;</w:t>
      </w:r>
    </w:p>
    <w:p w:rsidR="00B334FB" w:rsidRDefault="00B334FB" w:rsidP="00B334FB">
      <w:pPr>
        <w:pStyle w:val="ListParagraph"/>
        <w:numPr>
          <w:ilvl w:val="0"/>
          <w:numId w:val="9"/>
        </w:numPr>
        <w:tabs>
          <w:tab w:val="num" w:pos="720"/>
          <w:tab w:val="num" w:pos="144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R</w:t>
      </w:r>
      <w:r w:rsidRPr="00B334FB">
        <w:rPr>
          <w:rFonts w:ascii="Times New Roman" w:hAnsi="Times New Roman" w:cs="Times New Roman"/>
          <w:color w:val="002060"/>
          <w:sz w:val="24"/>
          <w:szCs w:val="24"/>
        </w:rPr>
        <w:t>itual paraphernalia</w:t>
      </w:r>
      <w:r>
        <w:rPr>
          <w:rFonts w:ascii="Times New Roman" w:hAnsi="Times New Roman" w:cs="Times New Roman"/>
          <w:color w:val="002060"/>
          <w:sz w:val="24"/>
          <w:szCs w:val="24"/>
        </w:rPr>
        <w:t>: for example</w:t>
      </w:r>
      <w:r w:rsidRPr="00B334FB">
        <w:rPr>
          <w:rFonts w:ascii="Times New Roman" w:hAnsi="Times New Roman" w:cs="Times New Roman"/>
          <w:color w:val="002060"/>
          <w:sz w:val="24"/>
          <w:szCs w:val="24"/>
        </w:rPr>
        <w:t xml:space="preserve"> </w:t>
      </w:r>
      <w:r w:rsidR="0072041A" w:rsidRPr="00B334FB">
        <w:rPr>
          <w:rFonts w:ascii="Times New Roman" w:hAnsi="Times New Roman" w:cs="Times New Roman"/>
          <w:color w:val="002060"/>
          <w:sz w:val="24"/>
          <w:szCs w:val="24"/>
        </w:rPr>
        <w:t>cult statues, grotesque images</w:t>
      </w:r>
      <w:r>
        <w:rPr>
          <w:rFonts w:ascii="Times New Roman" w:hAnsi="Times New Roman" w:cs="Times New Roman"/>
          <w:color w:val="002060"/>
          <w:sz w:val="24"/>
          <w:szCs w:val="24"/>
        </w:rPr>
        <w:t>, masks, specialised equipment for feasting and pouring libations, sacrificial equipment etc</w:t>
      </w:r>
      <w:r w:rsidR="0009350F">
        <w:rPr>
          <w:rFonts w:ascii="Times New Roman" w:hAnsi="Times New Roman" w:cs="Times New Roman"/>
          <w:color w:val="002060"/>
          <w:sz w:val="24"/>
          <w:szCs w:val="24"/>
        </w:rPr>
        <w:t>;</w:t>
      </w:r>
    </w:p>
    <w:p w:rsidR="00000000" w:rsidRPr="00B334FB" w:rsidRDefault="0072041A" w:rsidP="00B334FB">
      <w:pPr>
        <w:pStyle w:val="ListParagraph"/>
        <w:numPr>
          <w:ilvl w:val="0"/>
          <w:numId w:val="9"/>
        </w:numPr>
        <w:tabs>
          <w:tab w:val="num" w:pos="720"/>
          <w:tab w:val="num" w:pos="1440"/>
        </w:tabs>
        <w:spacing w:after="120"/>
        <w:rPr>
          <w:rFonts w:ascii="Times New Roman" w:hAnsi="Times New Roman" w:cs="Times New Roman"/>
          <w:color w:val="002060"/>
          <w:sz w:val="24"/>
          <w:szCs w:val="24"/>
        </w:rPr>
      </w:pPr>
      <w:r w:rsidRPr="00B334FB">
        <w:rPr>
          <w:rFonts w:ascii="Times New Roman" w:hAnsi="Times New Roman" w:cs="Times New Roman"/>
          <w:color w:val="002060"/>
          <w:sz w:val="24"/>
          <w:szCs w:val="24"/>
        </w:rPr>
        <w:t>Devices for focusing attention</w:t>
      </w:r>
      <w:r w:rsidRPr="00B334FB">
        <w:rPr>
          <w:rFonts w:ascii="Times New Roman" w:hAnsi="Times New Roman" w:cs="Times New Roman"/>
          <w:color w:val="002060"/>
          <w:sz w:val="24"/>
          <w:szCs w:val="24"/>
        </w:rPr>
        <w:t xml:space="preserve"> </w:t>
      </w:r>
      <w:r w:rsidR="00B334FB">
        <w:rPr>
          <w:rFonts w:ascii="Times New Roman" w:hAnsi="Times New Roman" w:cs="Times New Roman"/>
          <w:color w:val="002060"/>
          <w:sz w:val="24"/>
          <w:szCs w:val="24"/>
        </w:rPr>
        <w:t>of the participants of cult</w:t>
      </w:r>
      <w:r w:rsidR="0009350F">
        <w:rPr>
          <w:rFonts w:ascii="Times New Roman" w:hAnsi="Times New Roman" w:cs="Times New Roman"/>
          <w:color w:val="002060"/>
          <w:sz w:val="24"/>
          <w:szCs w:val="24"/>
        </w:rPr>
        <w:t>.</w:t>
      </w:r>
    </w:p>
    <w:p w:rsidR="00000000" w:rsidRPr="00B334FB" w:rsidRDefault="00B334FB" w:rsidP="00B334FB">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Renfrew argued that an </w:t>
      </w:r>
      <w:r w:rsidR="0072041A" w:rsidRPr="00B334FB">
        <w:rPr>
          <w:rFonts w:ascii="Times New Roman" w:hAnsi="Times New Roman" w:cs="Times New Roman"/>
          <w:color w:val="002060"/>
          <w:sz w:val="24"/>
          <w:szCs w:val="24"/>
        </w:rPr>
        <w:t>area</w:t>
      </w:r>
      <w:r>
        <w:rPr>
          <w:rFonts w:ascii="Times New Roman" w:hAnsi="Times New Roman" w:cs="Times New Roman"/>
          <w:color w:val="002060"/>
          <w:sz w:val="24"/>
          <w:szCs w:val="24"/>
        </w:rPr>
        <w:t xml:space="preserve"> perceived to be sacred or liminal</w:t>
      </w:r>
      <w:r w:rsidR="0072041A" w:rsidRPr="00B334FB">
        <w:rPr>
          <w:rFonts w:ascii="Times New Roman" w:hAnsi="Times New Roman" w:cs="Times New Roman"/>
          <w:color w:val="002060"/>
          <w:sz w:val="24"/>
          <w:szCs w:val="24"/>
        </w:rPr>
        <w:t xml:space="preserve"> is likely to be rich in </w:t>
      </w:r>
      <w:r w:rsidR="0072041A" w:rsidRPr="00B334FB">
        <w:rPr>
          <w:rFonts w:ascii="Times New Roman" w:hAnsi="Times New Roman" w:cs="Times New Roman"/>
          <w:i/>
          <w:color w:val="002060"/>
          <w:sz w:val="24"/>
          <w:szCs w:val="24"/>
        </w:rPr>
        <w:t>repeated symbols</w:t>
      </w:r>
      <w:r>
        <w:rPr>
          <w:rFonts w:ascii="Times New Roman" w:hAnsi="Times New Roman" w:cs="Times New Roman"/>
          <w:color w:val="002060"/>
          <w:sz w:val="24"/>
          <w:szCs w:val="24"/>
        </w:rPr>
        <w:t>.</w:t>
      </w:r>
    </w:p>
    <w:p w:rsidR="00B839A3" w:rsidRDefault="00B839A3" w:rsidP="00292600">
      <w:pPr>
        <w:spacing w:after="120"/>
        <w:rPr>
          <w:rFonts w:ascii="Times New Roman" w:hAnsi="Times New Roman" w:cs="Times New Roman"/>
          <w:color w:val="002060"/>
          <w:sz w:val="24"/>
          <w:szCs w:val="24"/>
        </w:rPr>
      </w:pPr>
    </w:p>
    <w:p w:rsidR="00656D79" w:rsidRDefault="00656D79" w:rsidP="00292600">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Using these criteria for the definition of ritual and the identification of ritual in the archaeological record </w:t>
      </w:r>
      <w:r w:rsidR="009B1E3D">
        <w:rPr>
          <w:rFonts w:ascii="Times New Roman" w:hAnsi="Times New Roman" w:cs="Times New Roman"/>
          <w:color w:val="002060"/>
          <w:sz w:val="24"/>
          <w:szCs w:val="24"/>
        </w:rPr>
        <w:t xml:space="preserve">in the next session </w:t>
      </w:r>
      <w:r>
        <w:rPr>
          <w:rFonts w:ascii="Times New Roman" w:hAnsi="Times New Roman" w:cs="Times New Roman"/>
          <w:color w:val="002060"/>
          <w:sz w:val="24"/>
          <w:szCs w:val="24"/>
        </w:rPr>
        <w:t>we will go on to explore these aspects in more detail. Our specific case study will be the Minoan peak sanctuary.</w:t>
      </w:r>
    </w:p>
    <w:p w:rsidR="00656D79" w:rsidRPr="002F6671" w:rsidRDefault="00656D79" w:rsidP="00292600">
      <w:pPr>
        <w:spacing w:after="120"/>
        <w:rPr>
          <w:rFonts w:ascii="Times New Roman" w:hAnsi="Times New Roman" w:cs="Times New Roman"/>
          <w:color w:val="002060"/>
          <w:sz w:val="24"/>
          <w:szCs w:val="24"/>
        </w:rPr>
      </w:pPr>
    </w:p>
    <w:p w:rsidR="00942655" w:rsidRPr="002F6671" w:rsidRDefault="00942655" w:rsidP="00292600">
      <w:pPr>
        <w:spacing w:after="120"/>
        <w:rPr>
          <w:rFonts w:ascii="Times New Roman" w:hAnsi="Times New Roman" w:cs="Times New Roman"/>
          <w:b/>
          <w:color w:val="002060"/>
          <w:sz w:val="24"/>
          <w:szCs w:val="24"/>
        </w:rPr>
      </w:pPr>
      <w:r w:rsidRPr="002F6671">
        <w:rPr>
          <w:rFonts w:ascii="Times New Roman" w:hAnsi="Times New Roman" w:cs="Times New Roman"/>
          <w:b/>
          <w:color w:val="002060"/>
          <w:sz w:val="24"/>
          <w:szCs w:val="24"/>
        </w:rPr>
        <w:t>Reading</w:t>
      </w:r>
    </w:p>
    <w:p w:rsidR="008149E7" w:rsidRPr="008149E7" w:rsidRDefault="008149E7" w:rsidP="00292600">
      <w:pPr>
        <w:spacing w:after="120"/>
        <w:ind w:left="709" w:hanging="709"/>
        <w:rPr>
          <w:rFonts w:ascii="Times New Roman" w:hAnsi="Times New Roman" w:cs="Times New Roman"/>
          <w:color w:val="002060"/>
          <w:sz w:val="24"/>
          <w:szCs w:val="24"/>
        </w:rPr>
      </w:pPr>
      <w:r>
        <w:rPr>
          <w:rFonts w:ascii="Times New Roman" w:hAnsi="Times New Roman" w:cs="Times New Roman"/>
          <w:i/>
          <w:color w:val="002060"/>
          <w:sz w:val="24"/>
          <w:szCs w:val="24"/>
        </w:rPr>
        <w:t>Theoretical Aspects:</w:t>
      </w:r>
    </w:p>
    <w:p w:rsidR="00DA574F" w:rsidRPr="002F6671" w:rsidRDefault="00DA574F" w:rsidP="00292600">
      <w:pPr>
        <w:spacing w:after="120"/>
        <w:ind w:left="709" w:hanging="709"/>
        <w:rPr>
          <w:rFonts w:ascii="Times New Roman" w:hAnsi="Times New Roman" w:cs="Times New Roman"/>
          <w:color w:val="002060"/>
          <w:sz w:val="24"/>
          <w:szCs w:val="24"/>
        </w:rPr>
      </w:pPr>
      <w:r w:rsidRPr="002F6671">
        <w:rPr>
          <w:rFonts w:ascii="Times New Roman" w:hAnsi="Times New Roman" w:cs="Times New Roman"/>
          <w:color w:val="002060"/>
          <w:sz w:val="24"/>
          <w:szCs w:val="24"/>
        </w:rPr>
        <w:t xml:space="preserve">Bell, C. </w:t>
      </w:r>
      <w:r w:rsidR="00073D66" w:rsidRPr="002F6671">
        <w:rPr>
          <w:rFonts w:ascii="Times New Roman" w:hAnsi="Times New Roman" w:cs="Times New Roman"/>
          <w:color w:val="002060"/>
          <w:sz w:val="24"/>
          <w:szCs w:val="24"/>
        </w:rPr>
        <w:t>1993</w:t>
      </w:r>
      <w:r w:rsidR="00073D66">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 xml:space="preserve">Ritual </w:t>
      </w:r>
      <w:r w:rsidR="00AA417C" w:rsidRPr="002F6671">
        <w:rPr>
          <w:rFonts w:ascii="Times New Roman" w:hAnsi="Times New Roman" w:cs="Times New Roman"/>
          <w:i/>
          <w:color w:val="002060"/>
          <w:sz w:val="24"/>
          <w:szCs w:val="24"/>
        </w:rPr>
        <w:t>Theory, Ritual Practice</w:t>
      </w:r>
      <w:r w:rsidR="00073D66">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w:t>
      </w:r>
      <w:r w:rsidR="00134DCD" w:rsidRPr="002F6671">
        <w:rPr>
          <w:rFonts w:ascii="Times New Roman" w:hAnsi="Times New Roman" w:cs="Times New Roman"/>
          <w:color w:val="002060"/>
          <w:sz w:val="24"/>
          <w:szCs w:val="24"/>
        </w:rPr>
        <w:t>Oxford</w:t>
      </w:r>
      <w:r w:rsidR="00073D66">
        <w:rPr>
          <w:rFonts w:ascii="Times New Roman" w:hAnsi="Times New Roman" w:cs="Times New Roman"/>
          <w:color w:val="002060"/>
          <w:sz w:val="24"/>
          <w:szCs w:val="24"/>
        </w:rPr>
        <w:t>: Oxford University Press.</w:t>
      </w:r>
    </w:p>
    <w:p w:rsidR="00134DCD" w:rsidRPr="002F6671" w:rsidRDefault="00134DCD" w:rsidP="00292600">
      <w:pPr>
        <w:spacing w:after="120"/>
        <w:ind w:left="709" w:hanging="709"/>
        <w:rPr>
          <w:rFonts w:ascii="Times New Roman" w:hAnsi="Times New Roman" w:cs="Times New Roman"/>
          <w:color w:val="002060"/>
          <w:sz w:val="24"/>
          <w:szCs w:val="24"/>
        </w:rPr>
      </w:pPr>
      <w:r w:rsidRPr="002F6671">
        <w:rPr>
          <w:rFonts w:ascii="Times New Roman" w:hAnsi="Times New Roman" w:cs="Times New Roman"/>
          <w:color w:val="002060"/>
          <w:sz w:val="24"/>
          <w:szCs w:val="24"/>
        </w:rPr>
        <w:t>Bell, C.</w:t>
      </w:r>
      <w:r w:rsidR="00073D66">
        <w:rPr>
          <w:rFonts w:ascii="Times New Roman" w:hAnsi="Times New Roman" w:cs="Times New Roman"/>
          <w:color w:val="002060"/>
          <w:sz w:val="24"/>
          <w:szCs w:val="24"/>
        </w:rPr>
        <w:t xml:space="preserve"> 1997.</w:t>
      </w:r>
      <w:r w:rsidRPr="002F6671">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 xml:space="preserve">Ritual: </w:t>
      </w:r>
      <w:r w:rsidR="00AA417C" w:rsidRPr="002F6671">
        <w:rPr>
          <w:rFonts w:ascii="Times New Roman" w:hAnsi="Times New Roman" w:cs="Times New Roman"/>
          <w:i/>
          <w:color w:val="002060"/>
          <w:sz w:val="24"/>
          <w:szCs w:val="24"/>
        </w:rPr>
        <w:t>Perspectives and Dimensions</w:t>
      </w:r>
      <w:r w:rsidR="00073D66">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Oxford</w:t>
      </w:r>
      <w:r w:rsidR="00073D66">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w:t>
      </w:r>
      <w:r w:rsidR="00073D66">
        <w:rPr>
          <w:rFonts w:ascii="Times New Roman" w:hAnsi="Times New Roman" w:cs="Times New Roman"/>
          <w:color w:val="002060"/>
          <w:sz w:val="24"/>
          <w:szCs w:val="24"/>
        </w:rPr>
        <w:t>Oxford University Press.</w:t>
      </w:r>
    </w:p>
    <w:p w:rsidR="009C7668" w:rsidRPr="002F6671" w:rsidRDefault="00C1543C" w:rsidP="00292600">
      <w:pPr>
        <w:spacing w:after="120"/>
        <w:ind w:left="709" w:hanging="709"/>
        <w:rPr>
          <w:rFonts w:ascii="Times New Roman" w:hAnsi="Times New Roman" w:cs="Times New Roman"/>
          <w:color w:val="002060"/>
          <w:sz w:val="24"/>
          <w:szCs w:val="24"/>
        </w:rPr>
      </w:pPr>
      <w:r>
        <w:rPr>
          <w:rFonts w:ascii="Times New Roman" w:hAnsi="Times New Roman" w:cs="Times New Roman"/>
          <w:color w:val="002060"/>
          <w:sz w:val="24"/>
          <w:szCs w:val="24"/>
        </w:rPr>
        <w:t>*</w:t>
      </w:r>
      <w:r w:rsidR="009C7668" w:rsidRPr="002F6671">
        <w:rPr>
          <w:rFonts w:ascii="Times New Roman" w:hAnsi="Times New Roman" w:cs="Times New Roman"/>
          <w:color w:val="002060"/>
          <w:sz w:val="24"/>
          <w:szCs w:val="24"/>
        </w:rPr>
        <w:t>Bowie, F.</w:t>
      </w:r>
      <w:r w:rsidR="00CB6612">
        <w:rPr>
          <w:rFonts w:ascii="Times New Roman" w:hAnsi="Times New Roman" w:cs="Times New Roman"/>
          <w:color w:val="002060"/>
          <w:sz w:val="24"/>
          <w:szCs w:val="24"/>
        </w:rPr>
        <w:t xml:space="preserve"> 2000.</w:t>
      </w:r>
      <w:r w:rsidR="009C7668" w:rsidRPr="002F6671">
        <w:rPr>
          <w:rFonts w:ascii="Times New Roman" w:hAnsi="Times New Roman" w:cs="Times New Roman"/>
          <w:color w:val="002060"/>
          <w:sz w:val="24"/>
          <w:szCs w:val="24"/>
        </w:rPr>
        <w:t xml:space="preserve"> </w:t>
      </w:r>
      <w:r w:rsidR="009C7668" w:rsidRPr="002F6671">
        <w:rPr>
          <w:rFonts w:ascii="Times New Roman" w:hAnsi="Times New Roman" w:cs="Times New Roman"/>
          <w:i/>
          <w:color w:val="002060"/>
          <w:sz w:val="24"/>
          <w:szCs w:val="24"/>
        </w:rPr>
        <w:t>The Anthropology of Religion</w:t>
      </w:r>
      <w:r w:rsidR="009C7668" w:rsidRPr="002F6671">
        <w:rPr>
          <w:rFonts w:ascii="Times New Roman" w:hAnsi="Times New Roman" w:cs="Times New Roman"/>
          <w:color w:val="002060"/>
          <w:sz w:val="24"/>
          <w:szCs w:val="24"/>
        </w:rPr>
        <w:t>, Oxford</w:t>
      </w:r>
      <w:r w:rsidR="00CB6612">
        <w:rPr>
          <w:rFonts w:ascii="Times New Roman" w:hAnsi="Times New Roman" w:cs="Times New Roman"/>
          <w:color w:val="002060"/>
          <w:sz w:val="24"/>
          <w:szCs w:val="24"/>
        </w:rPr>
        <w:t>: Blackwell.</w:t>
      </w:r>
    </w:p>
    <w:p w:rsidR="00302C6B" w:rsidRPr="00302C6B" w:rsidRDefault="00302C6B" w:rsidP="00302C6B">
      <w:pPr>
        <w:spacing w:after="120"/>
        <w:ind w:left="709" w:hanging="709"/>
        <w:rPr>
          <w:rFonts w:ascii="Times New Roman" w:hAnsi="Times New Roman" w:cs="Times New Roman"/>
          <w:color w:val="002060"/>
          <w:sz w:val="24"/>
          <w:szCs w:val="24"/>
        </w:rPr>
      </w:pPr>
      <w:r w:rsidRPr="00302C6B">
        <w:rPr>
          <w:rFonts w:ascii="Times New Roman" w:hAnsi="Times New Roman" w:cs="Times New Roman"/>
          <w:color w:val="002060"/>
          <w:sz w:val="24"/>
          <w:szCs w:val="24"/>
        </w:rPr>
        <w:lastRenderedPageBreak/>
        <w:t>Chapman, J.</w:t>
      </w:r>
      <w:r w:rsidR="00073D66">
        <w:rPr>
          <w:rFonts w:ascii="Times New Roman" w:hAnsi="Times New Roman" w:cs="Times New Roman"/>
          <w:color w:val="002060"/>
          <w:sz w:val="24"/>
          <w:szCs w:val="24"/>
        </w:rPr>
        <w:t xml:space="preserve"> 2000.</w:t>
      </w:r>
      <w:r w:rsidRPr="00302C6B">
        <w:rPr>
          <w:rFonts w:ascii="Times New Roman" w:hAnsi="Times New Roman" w:cs="Times New Roman"/>
          <w:color w:val="002060"/>
          <w:sz w:val="24"/>
          <w:szCs w:val="24"/>
        </w:rPr>
        <w:t xml:space="preserve"> </w:t>
      </w:r>
      <w:proofErr w:type="gramStart"/>
      <w:r w:rsidRPr="00302C6B">
        <w:rPr>
          <w:rFonts w:ascii="Times New Roman" w:hAnsi="Times New Roman" w:cs="Times New Roman"/>
          <w:i/>
          <w:color w:val="002060"/>
          <w:sz w:val="24"/>
          <w:szCs w:val="24"/>
        </w:rPr>
        <w:t>Fragmentation in Archaeology.</w:t>
      </w:r>
      <w:proofErr w:type="gramEnd"/>
      <w:r w:rsidRPr="00302C6B">
        <w:rPr>
          <w:rFonts w:ascii="Times New Roman" w:hAnsi="Times New Roman" w:cs="Times New Roman"/>
          <w:i/>
          <w:color w:val="002060"/>
          <w:sz w:val="24"/>
          <w:szCs w:val="24"/>
        </w:rPr>
        <w:t xml:space="preserve"> People, Places and Broken Objects in the Prehistory of South Eastern Europe</w:t>
      </w:r>
      <w:r w:rsidRPr="00302C6B">
        <w:rPr>
          <w:rFonts w:ascii="Times New Roman" w:hAnsi="Times New Roman" w:cs="Times New Roman"/>
          <w:color w:val="002060"/>
          <w:sz w:val="24"/>
          <w:szCs w:val="24"/>
        </w:rPr>
        <w:t>, London and New York</w:t>
      </w:r>
      <w:r w:rsidR="00073D66">
        <w:rPr>
          <w:rFonts w:ascii="Times New Roman" w:hAnsi="Times New Roman" w:cs="Times New Roman"/>
          <w:color w:val="002060"/>
          <w:sz w:val="24"/>
          <w:szCs w:val="24"/>
        </w:rPr>
        <w:t xml:space="preserve">: </w:t>
      </w:r>
      <w:proofErr w:type="spellStart"/>
      <w:r w:rsidR="00073D66">
        <w:rPr>
          <w:rFonts w:ascii="Times New Roman" w:hAnsi="Times New Roman" w:cs="Times New Roman"/>
          <w:color w:val="002060"/>
          <w:sz w:val="24"/>
          <w:szCs w:val="24"/>
        </w:rPr>
        <w:t>Rout</w:t>
      </w:r>
      <w:r w:rsidR="00B060EB">
        <w:rPr>
          <w:rFonts w:ascii="Times New Roman" w:hAnsi="Times New Roman" w:cs="Times New Roman"/>
          <w:color w:val="002060"/>
          <w:sz w:val="24"/>
          <w:szCs w:val="24"/>
        </w:rPr>
        <w:t>l</w:t>
      </w:r>
      <w:r w:rsidR="00073D66">
        <w:rPr>
          <w:rFonts w:ascii="Times New Roman" w:hAnsi="Times New Roman" w:cs="Times New Roman"/>
          <w:color w:val="002060"/>
          <w:sz w:val="24"/>
          <w:szCs w:val="24"/>
        </w:rPr>
        <w:t>edge</w:t>
      </w:r>
      <w:proofErr w:type="spellEnd"/>
      <w:r w:rsidR="00073D66">
        <w:rPr>
          <w:rFonts w:ascii="Times New Roman" w:hAnsi="Times New Roman" w:cs="Times New Roman"/>
          <w:color w:val="002060"/>
          <w:sz w:val="24"/>
          <w:szCs w:val="24"/>
        </w:rPr>
        <w:t>.</w:t>
      </w:r>
    </w:p>
    <w:p w:rsidR="00942655" w:rsidRPr="002F6671" w:rsidRDefault="00942655" w:rsidP="00292600">
      <w:pPr>
        <w:spacing w:after="120"/>
        <w:ind w:left="709" w:hanging="709"/>
        <w:rPr>
          <w:rFonts w:ascii="Times New Roman" w:hAnsi="Times New Roman" w:cs="Times New Roman"/>
          <w:color w:val="002060"/>
          <w:sz w:val="24"/>
          <w:szCs w:val="24"/>
        </w:rPr>
      </w:pPr>
      <w:proofErr w:type="spellStart"/>
      <w:proofErr w:type="gramStart"/>
      <w:r w:rsidRPr="002F6671">
        <w:rPr>
          <w:rFonts w:ascii="Times New Roman" w:hAnsi="Times New Roman" w:cs="Times New Roman"/>
          <w:color w:val="002060"/>
          <w:sz w:val="24"/>
          <w:szCs w:val="24"/>
        </w:rPr>
        <w:t>Durrans</w:t>
      </w:r>
      <w:proofErr w:type="spellEnd"/>
      <w:r w:rsidRPr="002F6671">
        <w:rPr>
          <w:rFonts w:ascii="Times New Roman" w:hAnsi="Times New Roman" w:cs="Times New Roman"/>
          <w:color w:val="002060"/>
          <w:sz w:val="24"/>
          <w:szCs w:val="24"/>
        </w:rPr>
        <w:t xml:space="preserve">, B. </w:t>
      </w:r>
      <w:r w:rsidR="00CB6612">
        <w:rPr>
          <w:rFonts w:ascii="Times New Roman" w:hAnsi="Times New Roman" w:cs="Times New Roman"/>
          <w:color w:val="002060"/>
          <w:sz w:val="24"/>
          <w:szCs w:val="24"/>
        </w:rPr>
        <w:t>2000.</w:t>
      </w:r>
      <w:proofErr w:type="gramEnd"/>
      <w:r w:rsidR="00CB6612">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 xml:space="preserve">(Not) </w:t>
      </w:r>
      <w:proofErr w:type="gramStart"/>
      <w:r w:rsidR="00430689">
        <w:rPr>
          <w:rFonts w:ascii="Times New Roman" w:hAnsi="Times New Roman" w:cs="Times New Roman"/>
          <w:color w:val="002060"/>
          <w:sz w:val="24"/>
          <w:szCs w:val="24"/>
        </w:rPr>
        <w:t>R</w:t>
      </w:r>
      <w:r w:rsidRPr="002F6671">
        <w:rPr>
          <w:rFonts w:ascii="Times New Roman" w:hAnsi="Times New Roman" w:cs="Times New Roman"/>
          <w:color w:val="002060"/>
          <w:sz w:val="24"/>
          <w:szCs w:val="24"/>
        </w:rPr>
        <w:t xml:space="preserve">eligion in </w:t>
      </w:r>
      <w:r w:rsidR="00430689">
        <w:rPr>
          <w:rFonts w:ascii="Times New Roman" w:hAnsi="Times New Roman" w:cs="Times New Roman"/>
          <w:color w:val="002060"/>
          <w:sz w:val="24"/>
          <w:szCs w:val="24"/>
        </w:rPr>
        <w:t>M</w:t>
      </w:r>
      <w:r w:rsidRPr="002F6671">
        <w:rPr>
          <w:rFonts w:ascii="Times New Roman" w:hAnsi="Times New Roman" w:cs="Times New Roman"/>
          <w:color w:val="002060"/>
          <w:sz w:val="24"/>
          <w:szCs w:val="24"/>
        </w:rPr>
        <w:t>useums</w:t>
      </w:r>
      <w:r w:rsidR="00CB6612">
        <w:rPr>
          <w:rFonts w:ascii="Times New Roman" w:hAnsi="Times New Roman" w:cs="Times New Roman"/>
          <w:color w:val="002060"/>
          <w:sz w:val="24"/>
          <w:szCs w:val="24"/>
        </w:rPr>
        <w:t>.</w:t>
      </w:r>
      <w:proofErr w:type="gramEnd"/>
      <w:r w:rsidR="00CB6612">
        <w:rPr>
          <w:rFonts w:ascii="Times New Roman" w:hAnsi="Times New Roman" w:cs="Times New Roman"/>
          <w:color w:val="002060"/>
          <w:sz w:val="24"/>
          <w:szCs w:val="24"/>
        </w:rPr>
        <w:t xml:space="preserve"> </w:t>
      </w:r>
      <w:proofErr w:type="gramStart"/>
      <w:r w:rsidR="00CB6612">
        <w:rPr>
          <w:rFonts w:ascii="Times New Roman" w:hAnsi="Times New Roman" w:cs="Times New Roman"/>
          <w:color w:val="002060"/>
          <w:sz w:val="24"/>
          <w:szCs w:val="24"/>
        </w:rPr>
        <w:t>I</w:t>
      </w:r>
      <w:r w:rsidRPr="002F6671">
        <w:rPr>
          <w:rFonts w:ascii="Times New Roman" w:hAnsi="Times New Roman" w:cs="Times New Roman"/>
          <w:color w:val="002060"/>
          <w:sz w:val="24"/>
          <w:szCs w:val="24"/>
        </w:rPr>
        <w:t xml:space="preserve">n C. Paine (ed.) </w:t>
      </w:r>
      <w:r w:rsidRPr="002F6671">
        <w:rPr>
          <w:rFonts w:ascii="Times New Roman" w:hAnsi="Times New Roman" w:cs="Times New Roman"/>
          <w:i/>
          <w:color w:val="002060"/>
          <w:sz w:val="24"/>
          <w:szCs w:val="24"/>
        </w:rPr>
        <w:t>Godly Things.</w:t>
      </w:r>
      <w:proofErr w:type="gramEnd"/>
      <w:r w:rsidRPr="002F6671">
        <w:rPr>
          <w:rFonts w:ascii="Times New Roman" w:hAnsi="Times New Roman" w:cs="Times New Roman"/>
          <w:i/>
          <w:color w:val="002060"/>
          <w:sz w:val="24"/>
          <w:szCs w:val="24"/>
        </w:rPr>
        <w:t xml:space="preserve"> </w:t>
      </w:r>
      <w:proofErr w:type="gramStart"/>
      <w:r w:rsidRPr="002F6671">
        <w:rPr>
          <w:rFonts w:ascii="Times New Roman" w:hAnsi="Times New Roman" w:cs="Times New Roman"/>
          <w:i/>
          <w:color w:val="002060"/>
          <w:sz w:val="24"/>
          <w:szCs w:val="24"/>
        </w:rPr>
        <w:t>Museums, Objects and Religion</w:t>
      </w:r>
      <w:r w:rsidRPr="002F6671">
        <w:rPr>
          <w:rFonts w:ascii="Times New Roman" w:hAnsi="Times New Roman" w:cs="Times New Roman"/>
          <w:color w:val="002060"/>
          <w:sz w:val="24"/>
          <w:szCs w:val="24"/>
        </w:rPr>
        <w:t>.</w:t>
      </w:r>
      <w:proofErr w:type="gramEnd"/>
      <w:r w:rsidRPr="002F6671">
        <w:rPr>
          <w:rFonts w:ascii="Times New Roman" w:hAnsi="Times New Roman" w:cs="Times New Roman"/>
          <w:color w:val="002060"/>
          <w:sz w:val="24"/>
          <w:szCs w:val="24"/>
        </w:rPr>
        <w:t xml:space="preserve"> 57-79.</w:t>
      </w:r>
      <w:r w:rsidR="00CB6612" w:rsidRPr="00CB6612">
        <w:rPr>
          <w:rFonts w:ascii="Times New Roman" w:hAnsi="Times New Roman" w:cs="Times New Roman"/>
          <w:color w:val="002060"/>
          <w:sz w:val="24"/>
          <w:szCs w:val="24"/>
        </w:rPr>
        <w:t xml:space="preserve"> </w:t>
      </w:r>
      <w:r w:rsidR="00CB6612" w:rsidRPr="002F6671">
        <w:rPr>
          <w:rFonts w:ascii="Times New Roman" w:hAnsi="Times New Roman" w:cs="Times New Roman"/>
          <w:color w:val="002060"/>
          <w:sz w:val="24"/>
          <w:szCs w:val="24"/>
        </w:rPr>
        <w:t>Leicester</w:t>
      </w:r>
      <w:r w:rsidR="00CB6612">
        <w:rPr>
          <w:rFonts w:ascii="Times New Roman" w:hAnsi="Times New Roman" w:cs="Times New Roman"/>
          <w:color w:val="002060"/>
          <w:sz w:val="24"/>
          <w:szCs w:val="24"/>
        </w:rPr>
        <w:t>: Leicester University Press.</w:t>
      </w:r>
    </w:p>
    <w:p w:rsidR="00C85BA6" w:rsidRPr="002F6671" w:rsidRDefault="00C1543C" w:rsidP="00292600">
      <w:pPr>
        <w:spacing w:after="120"/>
        <w:ind w:left="709" w:hanging="709"/>
        <w:rPr>
          <w:rFonts w:ascii="Times New Roman" w:hAnsi="Times New Roman" w:cs="Times New Roman"/>
          <w:color w:val="002060"/>
          <w:sz w:val="24"/>
          <w:szCs w:val="24"/>
        </w:rPr>
      </w:pPr>
      <w:r>
        <w:rPr>
          <w:rFonts w:ascii="Times New Roman" w:hAnsi="Times New Roman" w:cs="Times New Roman"/>
          <w:color w:val="002060"/>
          <w:sz w:val="24"/>
          <w:szCs w:val="24"/>
        </w:rPr>
        <w:t>*</w:t>
      </w:r>
      <w:r w:rsidR="00C85BA6" w:rsidRPr="002F6671">
        <w:rPr>
          <w:rFonts w:ascii="Times New Roman" w:hAnsi="Times New Roman" w:cs="Times New Roman"/>
          <w:color w:val="002060"/>
          <w:sz w:val="24"/>
          <w:szCs w:val="24"/>
        </w:rPr>
        <w:t>Insoll, T.</w:t>
      </w:r>
      <w:r w:rsidR="00073D66">
        <w:rPr>
          <w:rFonts w:ascii="Times New Roman" w:hAnsi="Times New Roman" w:cs="Times New Roman"/>
          <w:color w:val="002060"/>
          <w:sz w:val="24"/>
          <w:szCs w:val="24"/>
        </w:rPr>
        <w:t xml:space="preserve"> 2004.</w:t>
      </w:r>
      <w:r w:rsidR="00C85BA6" w:rsidRPr="002F6671">
        <w:rPr>
          <w:rFonts w:ascii="Times New Roman" w:hAnsi="Times New Roman" w:cs="Times New Roman"/>
          <w:color w:val="002060"/>
          <w:sz w:val="24"/>
          <w:szCs w:val="24"/>
        </w:rPr>
        <w:t xml:space="preserve"> </w:t>
      </w:r>
      <w:r w:rsidR="00C85BA6" w:rsidRPr="002F6671">
        <w:rPr>
          <w:rFonts w:ascii="Times New Roman" w:hAnsi="Times New Roman" w:cs="Times New Roman"/>
          <w:i/>
          <w:color w:val="002060"/>
          <w:sz w:val="24"/>
          <w:szCs w:val="24"/>
        </w:rPr>
        <w:t>Archaeology, Ritual, Religion</w:t>
      </w:r>
      <w:r w:rsidR="00073D66">
        <w:rPr>
          <w:rFonts w:ascii="Times New Roman" w:hAnsi="Times New Roman" w:cs="Times New Roman"/>
          <w:color w:val="002060"/>
          <w:sz w:val="24"/>
          <w:szCs w:val="24"/>
        </w:rPr>
        <w:t xml:space="preserve">, London: </w:t>
      </w:r>
      <w:proofErr w:type="spellStart"/>
      <w:r w:rsidR="00073D66">
        <w:rPr>
          <w:rFonts w:ascii="Times New Roman" w:hAnsi="Times New Roman" w:cs="Times New Roman"/>
          <w:color w:val="002060"/>
          <w:sz w:val="24"/>
          <w:szCs w:val="24"/>
        </w:rPr>
        <w:t>Routledge</w:t>
      </w:r>
      <w:proofErr w:type="spellEnd"/>
      <w:r w:rsidR="00073D66">
        <w:rPr>
          <w:rFonts w:ascii="Times New Roman" w:hAnsi="Times New Roman" w:cs="Times New Roman"/>
          <w:color w:val="002060"/>
          <w:sz w:val="24"/>
          <w:szCs w:val="24"/>
        </w:rPr>
        <w:t>.</w:t>
      </w:r>
    </w:p>
    <w:p w:rsidR="00D45D01" w:rsidRDefault="00C1543C" w:rsidP="00292600">
      <w:pPr>
        <w:spacing w:after="120"/>
        <w:ind w:left="709" w:hanging="709"/>
        <w:rPr>
          <w:rFonts w:ascii="Times New Roman" w:hAnsi="Times New Roman" w:cs="Times New Roman"/>
          <w:color w:val="002060"/>
          <w:sz w:val="24"/>
          <w:szCs w:val="24"/>
        </w:rPr>
      </w:pPr>
      <w:r>
        <w:rPr>
          <w:rFonts w:ascii="Times New Roman" w:hAnsi="Times New Roman" w:cs="Times New Roman"/>
          <w:color w:val="002060"/>
          <w:sz w:val="24"/>
          <w:szCs w:val="24"/>
        </w:rPr>
        <w:t>*</w:t>
      </w:r>
      <w:r w:rsidR="00447BEB" w:rsidRPr="002F6671">
        <w:rPr>
          <w:rFonts w:ascii="Times New Roman" w:hAnsi="Times New Roman" w:cs="Times New Roman"/>
          <w:color w:val="002060"/>
          <w:sz w:val="24"/>
          <w:szCs w:val="24"/>
        </w:rPr>
        <w:t>Renfrew</w:t>
      </w:r>
      <w:r w:rsidR="00D45D01" w:rsidRPr="002F6671">
        <w:rPr>
          <w:rFonts w:ascii="Times New Roman" w:hAnsi="Times New Roman" w:cs="Times New Roman"/>
          <w:color w:val="002060"/>
          <w:sz w:val="24"/>
          <w:szCs w:val="24"/>
        </w:rPr>
        <w:t>, C.</w:t>
      </w:r>
      <w:r w:rsidR="00F32DD1">
        <w:rPr>
          <w:rFonts w:ascii="Times New Roman" w:hAnsi="Times New Roman" w:cs="Times New Roman"/>
          <w:color w:val="002060"/>
          <w:sz w:val="24"/>
          <w:szCs w:val="24"/>
        </w:rPr>
        <w:t xml:space="preserve"> 1986.</w:t>
      </w:r>
      <w:r w:rsidR="00447BEB" w:rsidRPr="002F6671">
        <w:rPr>
          <w:rFonts w:ascii="Times New Roman" w:hAnsi="Times New Roman" w:cs="Times New Roman"/>
          <w:color w:val="002060"/>
          <w:sz w:val="24"/>
          <w:szCs w:val="24"/>
        </w:rPr>
        <w:t xml:space="preserve"> </w:t>
      </w:r>
      <w:r w:rsidR="00447BEB" w:rsidRPr="002F6671">
        <w:rPr>
          <w:rFonts w:ascii="Times New Roman" w:hAnsi="Times New Roman" w:cs="Times New Roman"/>
          <w:i/>
          <w:color w:val="002060"/>
          <w:sz w:val="24"/>
          <w:szCs w:val="24"/>
        </w:rPr>
        <w:t xml:space="preserve">The Archaeology of Cult: The Sanctuary at </w:t>
      </w:r>
      <w:proofErr w:type="spellStart"/>
      <w:r w:rsidR="00447BEB" w:rsidRPr="002F6671">
        <w:rPr>
          <w:rFonts w:ascii="Times New Roman" w:hAnsi="Times New Roman" w:cs="Times New Roman"/>
          <w:i/>
          <w:color w:val="002060"/>
          <w:sz w:val="24"/>
          <w:szCs w:val="24"/>
        </w:rPr>
        <w:t>Phylakopi</w:t>
      </w:r>
      <w:proofErr w:type="spellEnd"/>
      <w:r w:rsidR="00F32DD1">
        <w:rPr>
          <w:rFonts w:ascii="Times New Roman" w:hAnsi="Times New Roman" w:cs="Times New Roman"/>
          <w:color w:val="002060"/>
          <w:sz w:val="24"/>
          <w:szCs w:val="24"/>
        </w:rPr>
        <w:t>.</w:t>
      </w:r>
      <w:r w:rsidR="00D45D01" w:rsidRPr="002F6671">
        <w:rPr>
          <w:rFonts w:ascii="Times New Roman" w:hAnsi="Times New Roman" w:cs="Times New Roman"/>
          <w:color w:val="002060"/>
          <w:sz w:val="24"/>
          <w:szCs w:val="24"/>
        </w:rPr>
        <w:t xml:space="preserve"> </w:t>
      </w:r>
      <w:r w:rsidR="00F32DD1" w:rsidRPr="002F6671">
        <w:rPr>
          <w:rFonts w:ascii="Times New Roman" w:hAnsi="Times New Roman" w:cs="Times New Roman"/>
          <w:color w:val="002060"/>
          <w:sz w:val="24"/>
          <w:szCs w:val="24"/>
        </w:rPr>
        <w:t>London</w:t>
      </w:r>
      <w:r w:rsidR="00F32DD1">
        <w:rPr>
          <w:rFonts w:ascii="Times New Roman" w:hAnsi="Times New Roman" w:cs="Times New Roman"/>
          <w:color w:val="002060"/>
          <w:sz w:val="24"/>
          <w:szCs w:val="24"/>
        </w:rPr>
        <w:t>:</w:t>
      </w:r>
      <w:r w:rsidR="00F32DD1" w:rsidRPr="002F6671">
        <w:rPr>
          <w:rFonts w:ascii="Times New Roman" w:hAnsi="Times New Roman" w:cs="Times New Roman"/>
          <w:color w:val="002060"/>
          <w:sz w:val="24"/>
          <w:szCs w:val="24"/>
        </w:rPr>
        <w:t xml:space="preserve"> </w:t>
      </w:r>
      <w:r w:rsidR="00447BEB" w:rsidRPr="002F6671">
        <w:rPr>
          <w:rFonts w:ascii="Times New Roman" w:hAnsi="Times New Roman" w:cs="Times New Roman"/>
          <w:color w:val="002060"/>
          <w:sz w:val="24"/>
          <w:szCs w:val="24"/>
        </w:rPr>
        <w:t>British School of Archaeology at Athens, Suppl</w:t>
      </w:r>
      <w:r w:rsidR="00D45D01" w:rsidRPr="002F6671">
        <w:rPr>
          <w:rFonts w:ascii="Times New Roman" w:hAnsi="Times New Roman" w:cs="Times New Roman"/>
          <w:color w:val="002060"/>
          <w:sz w:val="24"/>
          <w:szCs w:val="24"/>
        </w:rPr>
        <w:t>ement</w:t>
      </w:r>
      <w:r w:rsidR="00447BEB" w:rsidRPr="002F6671">
        <w:rPr>
          <w:rFonts w:ascii="Times New Roman" w:hAnsi="Times New Roman" w:cs="Times New Roman"/>
          <w:color w:val="002060"/>
          <w:sz w:val="24"/>
          <w:szCs w:val="24"/>
        </w:rPr>
        <w:t xml:space="preserve"> 18</w:t>
      </w:r>
      <w:r w:rsidR="00F32DD1">
        <w:rPr>
          <w:rFonts w:ascii="Times New Roman" w:hAnsi="Times New Roman" w:cs="Times New Roman"/>
          <w:color w:val="002060"/>
          <w:sz w:val="24"/>
          <w:szCs w:val="24"/>
        </w:rPr>
        <w:t>.</w:t>
      </w:r>
    </w:p>
    <w:p w:rsidR="008149E7" w:rsidRDefault="008149E7" w:rsidP="00292600">
      <w:pPr>
        <w:spacing w:after="120"/>
        <w:ind w:left="709" w:hanging="709"/>
        <w:rPr>
          <w:rFonts w:ascii="Times New Roman" w:hAnsi="Times New Roman" w:cs="Times New Roman"/>
          <w:color w:val="002060"/>
          <w:sz w:val="24"/>
          <w:szCs w:val="24"/>
        </w:rPr>
      </w:pPr>
    </w:p>
    <w:p w:rsidR="008149E7" w:rsidRPr="008149E7" w:rsidRDefault="008149E7" w:rsidP="00292600">
      <w:pPr>
        <w:spacing w:after="120"/>
        <w:ind w:left="709" w:hanging="709"/>
        <w:rPr>
          <w:rFonts w:ascii="Times New Roman" w:hAnsi="Times New Roman" w:cs="Times New Roman"/>
          <w:i/>
          <w:color w:val="002060"/>
          <w:sz w:val="24"/>
          <w:szCs w:val="24"/>
        </w:rPr>
      </w:pPr>
      <w:r w:rsidRPr="008149E7">
        <w:rPr>
          <w:rFonts w:ascii="Times New Roman" w:hAnsi="Times New Roman" w:cs="Times New Roman"/>
          <w:i/>
          <w:color w:val="002060"/>
          <w:sz w:val="24"/>
          <w:szCs w:val="24"/>
        </w:rPr>
        <w:t>Case Studies</w:t>
      </w:r>
      <w:r>
        <w:rPr>
          <w:rFonts w:ascii="Times New Roman" w:hAnsi="Times New Roman" w:cs="Times New Roman"/>
          <w:i/>
          <w:color w:val="002060"/>
          <w:sz w:val="24"/>
          <w:szCs w:val="24"/>
        </w:rPr>
        <w:t>:</w:t>
      </w:r>
    </w:p>
    <w:p w:rsidR="00DE3A93" w:rsidRPr="00C33E35" w:rsidRDefault="00DE3A93" w:rsidP="00DE3A93">
      <w:pPr>
        <w:spacing w:after="120"/>
        <w:ind w:left="709" w:hanging="709"/>
        <w:rPr>
          <w:rFonts w:ascii="Times New Roman" w:hAnsi="Times New Roman" w:cs="Times New Roman"/>
          <w:color w:val="002060"/>
          <w:sz w:val="24"/>
          <w:szCs w:val="24"/>
        </w:rPr>
      </w:pPr>
      <w:proofErr w:type="spellStart"/>
      <w:r>
        <w:rPr>
          <w:rFonts w:ascii="Times New Roman" w:hAnsi="Times New Roman" w:cs="Times New Roman"/>
          <w:color w:val="002060"/>
          <w:sz w:val="24"/>
          <w:szCs w:val="24"/>
        </w:rPr>
        <w:t>Bremmer</w:t>
      </w:r>
      <w:proofErr w:type="spellEnd"/>
      <w:r>
        <w:rPr>
          <w:rFonts w:ascii="Times New Roman" w:hAnsi="Times New Roman" w:cs="Times New Roman"/>
          <w:color w:val="002060"/>
          <w:sz w:val="24"/>
          <w:szCs w:val="24"/>
        </w:rPr>
        <w:t xml:space="preserve">, J. 2007. </w:t>
      </w:r>
      <w:proofErr w:type="gramStart"/>
      <w:r>
        <w:rPr>
          <w:rFonts w:ascii="Times New Roman" w:hAnsi="Times New Roman" w:cs="Times New Roman"/>
          <w:color w:val="002060"/>
          <w:sz w:val="24"/>
          <w:szCs w:val="24"/>
        </w:rPr>
        <w:t xml:space="preserve">Ritual, in </w:t>
      </w:r>
      <w:proofErr w:type="spellStart"/>
      <w:r>
        <w:rPr>
          <w:rFonts w:ascii="Times New Roman" w:hAnsi="Times New Roman" w:cs="Times New Roman"/>
          <w:color w:val="002060"/>
          <w:sz w:val="24"/>
          <w:szCs w:val="24"/>
        </w:rPr>
        <w:t>S.Iles</w:t>
      </w:r>
      <w:proofErr w:type="spellEnd"/>
      <w:r>
        <w:rPr>
          <w:rFonts w:ascii="Times New Roman" w:hAnsi="Times New Roman" w:cs="Times New Roman"/>
          <w:color w:val="002060"/>
          <w:sz w:val="24"/>
          <w:szCs w:val="24"/>
        </w:rPr>
        <w:t xml:space="preserve"> </w:t>
      </w:r>
      <w:proofErr w:type="spellStart"/>
      <w:r>
        <w:rPr>
          <w:rFonts w:ascii="Times New Roman" w:hAnsi="Times New Roman" w:cs="Times New Roman"/>
          <w:color w:val="002060"/>
          <w:sz w:val="24"/>
          <w:szCs w:val="24"/>
        </w:rPr>
        <w:t>Johnstone</w:t>
      </w:r>
      <w:proofErr w:type="spellEnd"/>
      <w:r>
        <w:rPr>
          <w:rFonts w:ascii="Times New Roman" w:hAnsi="Times New Roman" w:cs="Times New Roman"/>
          <w:color w:val="002060"/>
          <w:sz w:val="24"/>
          <w:szCs w:val="24"/>
        </w:rPr>
        <w:t xml:space="preserve"> (ed.) </w:t>
      </w:r>
      <w:r>
        <w:rPr>
          <w:rFonts w:ascii="Times New Roman" w:hAnsi="Times New Roman" w:cs="Times New Roman"/>
          <w:i/>
          <w:color w:val="002060"/>
          <w:sz w:val="24"/>
          <w:szCs w:val="24"/>
        </w:rPr>
        <w:t>Ancient Religions</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Cambridge, MA: Harvard University Press.</w:t>
      </w:r>
    </w:p>
    <w:p w:rsidR="008149E7" w:rsidRPr="00073D66" w:rsidRDefault="008149E7" w:rsidP="008149E7">
      <w:pPr>
        <w:spacing w:after="120"/>
        <w:ind w:left="709" w:hanging="709"/>
        <w:rPr>
          <w:rFonts w:ascii="Times New Roman" w:hAnsi="Times New Roman" w:cs="Times New Roman"/>
          <w:color w:val="002060"/>
          <w:sz w:val="24"/>
          <w:szCs w:val="24"/>
        </w:rPr>
      </w:pPr>
      <w:proofErr w:type="spellStart"/>
      <w:proofErr w:type="gramStart"/>
      <w:r w:rsidRPr="00073D66">
        <w:rPr>
          <w:rFonts w:ascii="Times New Roman" w:hAnsi="Times New Roman" w:cs="Times New Roman"/>
          <w:color w:val="002060"/>
          <w:sz w:val="24"/>
          <w:szCs w:val="24"/>
        </w:rPr>
        <w:t>Herva</w:t>
      </w:r>
      <w:proofErr w:type="spellEnd"/>
      <w:r w:rsidRPr="00073D66">
        <w:rPr>
          <w:rFonts w:ascii="Times New Roman" w:hAnsi="Times New Roman" w:cs="Times New Roman"/>
          <w:color w:val="002060"/>
          <w:sz w:val="24"/>
          <w:szCs w:val="24"/>
        </w:rPr>
        <w:t>, V</w:t>
      </w:r>
      <w:r>
        <w:rPr>
          <w:rFonts w:ascii="Times New Roman" w:hAnsi="Times New Roman" w:cs="Times New Roman"/>
          <w:color w:val="002060"/>
          <w:sz w:val="24"/>
          <w:szCs w:val="24"/>
        </w:rPr>
        <w:t>.-P.</w:t>
      </w:r>
      <w:proofErr w:type="gramEnd"/>
      <w:r>
        <w:rPr>
          <w:rFonts w:ascii="Times New Roman" w:hAnsi="Times New Roman" w:cs="Times New Roman"/>
          <w:color w:val="002060"/>
          <w:sz w:val="24"/>
          <w:szCs w:val="24"/>
        </w:rPr>
        <w:t xml:space="preserve"> </w:t>
      </w:r>
      <w:r w:rsidRPr="00073D66">
        <w:rPr>
          <w:rFonts w:ascii="Times New Roman" w:hAnsi="Times New Roman" w:cs="Times New Roman"/>
          <w:color w:val="002060"/>
          <w:sz w:val="24"/>
          <w:szCs w:val="24"/>
        </w:rPr>
        <w:t>2005</w:t>
      </w:r>
      <w:r>
        <w:rPr>
          <w:rFonts w:ascii="Times New Roman" w:hAnsi="Times New Roman" w:cs="Times New Roman"/>
          <w:color w:val="002060"/>
          <w:sz w:val="24"/>
          <w:szCs w:val="24"/>
        </w:rPr>
        <w:t>.</w:t>
      </w:r>
      <w:r w:rsidRPr="00073D66">
        <w:rPr>
          <w:rFonts w:ascii="Times New Roman" w:hAnsi="Times New Roman" w:cs="Times New Roman"/>
          <w:color w:val="002060"/>
          <w:sz w:val="24"/>
          <w:szCs w:val="24"/>
        </w:rPr>
        <w:t xml:space="preserve"> The Life of Buildings: Minoan Building Deposits in an Ecological Perspective. </w:t>
      </w:r>
      <w:r w:rsidRPr="00073D66">
        <w:rPr>
          <w:rFonts w:ascii="Times New Roman" w:hAnsi="Times New Roman" w:cs="Times New Roman"/>
          <w:i/>
          <w:color w:val="002060"/>
          <w:sz w:val="24"/>
          <w:szCs w:val="24"/>
        </w:rPr>
        <w:t>Oxford Journal of Archaeology</w:t>
      </w:r>
      <w:r w:rsidRPr="00073D66">
        <w:rPr>
          <w:rFonts w:ascii="Times New Roman" w:hAnsi="Times New Roman" w:cs="Times New Roman"/>
          <w:color w:val="002060"/>
          <w:sz w:val="24"/>
          <w:szCs w:val="24"/>
        </w:rPr>
        <w:t xml:space="preserve"> 24: 215–27.</w:t>
      </w:r>
    </w:p>
    <w:p w:rsidR="008149E7" w:rsidRPr="00AD24CB" w:rsidRDefault="008149E7" w:rsidP="008149E7">
      <w:pPr>
        <w:spacing w:after="120"/>
        <w:ind w:left="709" w:hanging="709"/>
        <w:rPr>
          <w:rFonts w:ascii="Times New Roman" w:hAnsi="Times New Roman" w:cs="Times New Roman"/>
          <w:color w:val="002060"/>
          <w:sz w:val="24"/>
          <w:szCs w:val="24"/>
        </w:rPr>
      </w:pPr>
      <w:r>
        <w:rPr>
          <w:rFonts w:ascii="Times New Roman" w:hAnsi="Times New Roman" w:cs="Times New Roman"/>
          <w:color w:val="002060"/>
          <w:sz w:val="24"/>
          <w:szCs w:val="24"/>
        </w:rPr>
        <w:t xml:space="preserve">Knapp, A.B. 1988. </w:t>
      </w:r>
      <w:r w:rsidRPr="00AD24CB">
        <w:rPr>
          <w:rFonts w:ascii="Times New Roman" w:hAnsi="Times New Roman" w:cs="Times New Roman"/>
          <w:i/>
          <w:color w:val="002060"/>
          <w:sz w:val="24"/>
          <w:szCs w:val="24"/>
        </w:rPr>
        <w:t xml:space="preserve">Hoards </w:t>
      </w:r>
      <w:proofErr w:type="spellStart"/>
      <w:r w:rsidRPr="00AD24CB">
        <w:rPr>
          <w:rFonts w:ascii="Times New Roman" w:hAnsi="Times New Roman" w:cs="Times New Roman"/>
          <w:i/>
          <w:color w:val="002060"/>
          <w:sz w:val="24"/>
          <w:szCs w:val="24"/>
        </w:rPr>
        <w:t>d’Oeuvres</w:t>
      </w:r>
      <w:proofErr w:type="spellEnd"/>
      <w:r>
        <w:rPr>
          <w:rFonts w:ascii="Times New Roman" w:hAnsi="Times New Roman" w:cs="Times New Roman"/>
          <w:color w:val="002060"/>
          <w:sz w:val="24"/>
          <w:szCs w:val="24"/>
        </w:rPr>
        <w:t xml:space="preserve">: of Metals and Men on Bronze Age Cyprus. </w:t>
      </w:r>
      <w:r>
        <w:rPr>
          <w:rFonts w:ascii="Times New Roman" w:hAnsi="Times New Roman" w:cs="Times New Roman"/>
          <w:i/>
          <w:color w:val="002060"/>
          <w:sz w:val="24"/>
          <w:szCs w:val="24"/>
        </w:rPr>
        <w:t>Oxford Journal of Archaeology</w:t>
      </w:r>
      <w:r>
        <w:rPr>
          <w:rFonts w:ascii="Times New Roman" w:hAnsi="Times New Roman" w:cs="Times New Roman"/>
          <w:color w:val="002060"/>
          <w:sz w:val="24"/>
          <w:szCs w:val="24"/>
        </w:rPr>
        <w:t xml:space="preserve"> 7(2): 147-6.</w:t>
      </w:r>
    </w:p>
    <w:p w:rsidR="008149E7" w:rsidRDefault="008149E7" w:rsidP="008149E7">
      <w:pPr>
        <w:spacing w:after="120"/>
        <w:ind w:left="709" w:hanging="709"/>
        <w:rPr>
          <w:rFonts w:ascii="Times New Roman" w:hAnsi="Times New Roman" w:cs="Times New Roman"/>
          <w:color w:val="002060"/>
          <w:sz w:val="24"/>
          <w:szCs w:val="24"/>
        </w:rPr>
      </w:pPr>
      <w:r w:rsidRPr="00EF2F0C">
        <w:rPr>
          <w:rFonts w:ascii="Times New Roman" w:hAnsi="Times New Roman" w:cs="Times New Roman"/>
          <w:color w:val="002060"/>
          <w:sz w:val="24"/>
          <w:szCs w:val="24"/>
        </w:rPr>
        <w:t>Osborne</w:t>
      </w:r>
      <w:r>
        <w:rPr>
          <w:rFonts w:ascii="Times New Roman" w:hAnsi="Times New Roman" w:cs="Times New Roman"/>
          <w:color w:val="002060"/>
          <w:sz w:val="24"/>
          <w:szCs w:val="24"/>
        </w:rPr>
        <w:t xml:space="preserve">, R. 2004. </w:t>
      </w:r>
      <w:r w:rsidRPr="00EF2F0C">
        <w:rPr>
          <w:rFonts w:ascii="Times New Roman" w:hAnsi="Times New Roman" w:cs="Times New Roman"/>
          <w:color w:val="002060"/>
          <w:sz w:val="24"/>
          <w:szCs w:val="24"/>
        </w:rPr>
        <w:t>Hoards, Votives, Offerings: The Archaeology of the Dedicated Object</w:t>
      </w:r>
      <w:r>
        <w:rPr>
          <w:rFonts w:ascii="Times New Roman" w:hAnsi="Times New Roman" w:cs="Times New Roman"/>
          <w:color w:val="002060"/>
          <w:sz w:val="24"/>
          <w:szCs w:val="24"/>
        </w:rPr>
        <w:t xml:space="preserve">. </w:t>
      </w:r>
      <w:r w:rsidRPr="00EF2F0C">
        <w:rPr>
          <w:rFonts w:ascii="Times New Roman" w:hAnsi="Times New Roman" w:cs="Times New Roman"/>
          <w:i/>
          <w:color w:val="002060"/>
          <w:sz w:val="24"/>
          <w:szCs w:val="24"/>
        </w:rPr>
        <w:t>World Archaeology</w:t>
      </w:r>
      <w:r w:rsidRPr="00EF2F0C">
        <w:rPr>
          <w:rFonts w:ascii="Times New Roman" w:hAnsi="Times New Roman" w:cs="Times New Roman"/>
          <w:color w:val="002060"/>
          <w:sz w:val="24"/>
          <w:szCs w:val="24"/>
        </w:rPr>
        <w:t xml:space="preserve"> 36</w:t>
      </w:r>
      <w:r>
        <w:rPr>
          <w:rFonts w:ascii="Times New Roman" w:hAnsi="Times New Roman" w:cs="Times New Roman"/>
          <w:color w:val="002060"/>
          <w:sz w:val="24"/>
          <w:szCs w:val="24"/>
        </w:rPr>
        <w:t xml:space="preserve">(1): </w:t>
      </w:r>
      <w:r w:rsidRPr="00EF2F0C">
        <w:rPr>
          <w:rFonts w:ascii="Times New Roman" w:hAnsi="Times New Roman" w:cs="Times New Roman"/>
          <w:color w:val="002060"/>
          <w:sz w:val="24"/>
          <w:szCs w:val="24"/>
        </w:rPr>
        <w:t>1-10</w:t>
      </w:r>
      <w:r>
        <w:rPr>
          <w:rFonts w:ascii="Times New Roman" w:hAnsi="Times New Roman" w:cs="Times New Roman"/>
          <w:color w:val="002060"/>
          <w:sz w:val="24"/>
          <w:szCs w:val="24"/>
        </w:rPr>
        <w:t>.</w:t>
      </w:r>
    </w:p>
    <w:p w:rsidR="008149E7" w:rsidRDefault="008149E7" w:rsidP="008149E7">
      <w:pPr>
        <w:spacing w:after="120"/>
        <w:ind w:left="709" w:hanging="709"/>
        <w:rPr>
          <w:rFonts w:ascii="Times New Roman" w:hAnsi="Times New Roman" w:cs="Times New Roman"/>
          <w:color w:val="002060"/>
          <w:sz w:val="24"/>
          <w:szCs w:val="24"/>
        </w:rPr>
      </w:pPr>
      <w:proofErr w:type="spellStart"/>
      <w:r w:rsidRPr="005C1E5B">
        <w:rPr>
          <w:rFonts w:ascii="Times New Roman" w:hAnsi="Times New Roman" w:cs="Times New Roman"/>
          <w:color w:val="002060"/>
          <w:sz w:val="24"/>
          <w:szCs w:val="24"/>
        </w:rPr>
        <w:t>Rehak</w:t>
      </w:r>
      <w:proofErr w:type="spellEnd"/>
      <w:r w:rsidRPr="005C1E5B">
        <w:rPr>
          <w:rFonts w:ascii="Times New Roman" w:hAnsi="Times New Roman" w:cs="Times New Roman"/>
          <w:color w:val="002060"/>
          <w:sz w:val="24"/>
          <w:szCs w:val="24"/>
        </w:rPr>
        <w:t>, P. 1995</w:t>
      </w:r>
      <w:r>
        <w:rPr>
          <w:rFonts w:ascii="Times New Roman" w:hAnsi="Times New Roman" w:cs="Times New Roman"/>
          <w:color w:val="002060"/>
          <w:sz w:val="24"/>
          <w:szCs w:val="24"/>
        </w:rPr>
        <w:t xml:space="preserve">. </w:t>
      </w:r>
      <w:proofErr w:type="gramStart"/>
      <w:r w:rsidRPr="005C1E5B">
        <w:rPr>
          <w:rFonts w:ascii="Times New Roman" w:hAnsi="Times New Roman" w:cs="Times New Roman"/>
          <w:color w:val="002060"/>
          <w:sz w:val="24"/>
          <w:szCs w:val="24"/>
        </w:rPr>
        <w:t xml:space="preserve">The </w:t>
      </w:r>
      <w:r>
        <w:rPr>
          <w:rFonts w:ascii="Times New Roman" w:hAnsi="Times New Roman" w:cs="Times New Roman"/>
          <w:color w:val="002060"/>
          <w:sz w:val="24"/>
          <w:szCs w:val="24"/>
        </w:rPr>
        <w:t>U</w:t>
      </w:r>
      <w:r w:rsidRPr="005C1E5B">
        <w:rPr>
          <w:rFonts w:ascii="Times New Roman" w:hAnsi="Times New Roman" w:cs="Times New Roman"/>
          <w:color w:val="002060"/>
          <w:sz w:val="24"/>
          <w:szCs w:val="24"/>
        </w:rPr>
        <w:t xml:space="preserve">se and </w:t>
      </w:r>
      <w:r>
        <w:rPr>
          <w:rFonts w:ascii="Times New Roman" w:hAnsi="Times New Roman" w:cs="Times New Roman"/>
          <w:color w:val="002060"/>
          <w:sz w:val="24"/>
          <w:szCs w:val="24"/>
        </w:rPr>
        <w:t>D</w:t>
      </w:r>
      <w:r w:rsidRPr="005C1E5B">
        <w:rPr>
          <w:rFonts w:ascii="Times New Roman" w:hAnsi="Times New Roman" w:cs="Times New Roman"/>
          <w:color w:val="002060"/>
          <w:sz w:val="24"/>
          <w:szCs w:val="24"/>
        </w:rPr>
        <w:t xml:space="preserve">estruction of Minoan Stone </w:t>
      </w:r>
      <w:proofErr w:type="spellStart"/>
      <w:r w:rsidRPr="005C1E5B">
        <w:rPr>
          <w:rFonts w:ascii="Times New Roman" w:hAnsi="Times New Roman" w:cs="Times New Roman"/>
          <w:color w:val="002060"/>
          <w:sz w:val="24"/>
          <w:szCs w:val="24"/>
        </w:rPr>
        <w:t>Bulls’s</w:t>
      </w:r>
      <w:proofErr w:type="spellEnd"/>
      <w:r w:rsidRPr="005C1E5B">
        <w:rPr>
          <w:rFonts w:ascii="Times New Roman" w:hAnsi="Times New Roman" w:cs="Times New Roman"/>
          <w:color w:val="002060"/>
          <w:sz w:val="24"/>
          <w:szCs w:val="24"/>
        </w:rPr>
        <w:t xml:space="preserve"> Head Rhyta</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I</w:t>
      </w:r>
      <w:r w:rsidRPr="005C1E5B">
        <w:rPr>
          <w:rFonts w:ascii="Times New Roman" w:hAnsi="Times New Roman" w:cs="Times New Roman"/>
          <w:color w:val="002060"/>
          <w:sz w:val="24"/>
          <w:szCs w:val="24"/>
        </w:rPr>
        <w:t xml:space="preserve">n R. </w:t>
      </w:r>
      <w:proofErr w:type="spellStart"/>
      <w:r w:rsidRPr="005C1E5B">
        <w:rPr>
          <w:rFonts w:ascii="Times New Roman" w:hAnsi="Times New Roman" w:cs="Times New Roman"/>
          <w:color w:val="002060"/>
          <w:sz w:val="24"/>
          <w:szCs w:val="24"/>
        </w:rPr>
        <w:t>Laffienur</w:t>
      </w:r>
      <w:proofErr w:type="spellEnd"/>
      <w:r w:rsidRPr="005C1E5B">
        <w:rPr>
          <w:rFonts w:ascii="Times New Roman" w:hAnsi="Times New Roman" w:cs="Times New Roman"/>
          <w:color w:val="002060"/>
          <w:sz w:val="24"/>
          <w:szCs w:val="24"/>
        </w:rPr>
        <w:t xml:space="preserve"> and W.D. </w:t>
      </w:r>
      <w:proofErr w:type="spellStart"/>
      <w:r w:rsidRPr="005C1E5B">
        <w:rPr>
          <w:rFonts w:ascii="Times New Roman" w:hAnsi="Times New Roman" w:cs="Times New Roman"/>
          <w:color w:val="002060"/>
          <w:sz w:val="24"/>
          <w:szCs w:val="24"/>
        </w:rPr>
        <w:t>Niemeier</w:t>
      </w:r>
      <w:proofErr w:type="spellEnd"/>
      <w:r w:rsidRPr="005C1E5B">
        <w:rPr>
          <w:rFonts w:ascii="Times New Roman" w:hAnsi="Times New Roman" w:cs="Times New Roman"/>
          <w:color w:val="002060"/>
          <w:sz w:val="24"/>
          <w:szCs w:val="24"/>
        </w:rPr>
        <w:t xml:space="preserve"> (</w:t>
      </w:r>
      <w:proofErr w:type="spellStart"/>
      <w:proofErr w:type="gramStart"/>
      <w:r w:rsidRPr="005C1E5B">
        <w:rPr>
          <w:rFonts w:ascii="Times New Roman" w:hAnsi="Times New Roman" w:cs="Times New Roman"/>
          <w:color w:val="002060"/>
          <w:sz w:val="24"/>
          <w:szCs w:val="24"/>
        </w:rPr>
        <w:t>eds</w:t>
      </w:r>
      <w:proofErr w:type="spellEnd"/>
      <w:proofErr w:type="gramEnd"/>
      <w:r w:rsidRPr="005C1E5B">
        <w:rPr>
          <w:rFonts w:ascii="Times New Roman" w:hAnsi="Times New Roman" w:cs="Times New Roman"/>
          <w:color w:val="002060"/>
          <w:sz w:val="24"/>
          <w:szCs w:val="24"/>
        </w:rPr>
        <w:t xml:space="preserve">) </w:t>
      </w:r>
      <w:proofErr w:type="spellStart"/>
      <w:r w:rsidRPr="005C1E5B">
        <w:rPr>
          <w:rFonts w:ascii="Times New Roman" w:hAnsi="Times New Roman" w:cs="Times New Roman"/>
          <w:i/>
          <w:color w:val="002060"/>
          <w:sz w:val="24"/>
          <w:szCs w:val="24"/>
        </w:rPr>
        <w:t>Politeia</w:t>
      </w:r>
      <w:proofErr w:type="spellEnd"/>
      <w:r w:rsidRPr="005C1E5B">
        <w:rPr>
          <w:rFonts w:ascii="Times New Roman" w:hAnsi="Times New Roman" w:cs="Times New Roman"/>
          <w:i/>
          <w:color w:val="002060"/>
          <w:sz w:val="24"/>
          <w:szCs w:val="24"/>
        </w:rPr>
        <w:t xml:space="preserve">: Society and State in the Aegean Bronze Age, </w:t>
      </w:r>
      <w:proofErr w:type="spellStart"/>
      <w:r w:rsidRPr="005C1E5B">
        <w:rPr>
          <w:rFonts w:ascii="Times New Roman" w:hAnsi="Times New Roman" w:cs="Times New Roman"/>
          <w:i/>
          <w:color w:val="002060"/>
          <w:sz w:val="24"/>
          <w:szCs w:val="24"/>
        </w:rPr>
        <w:t>Aegaeum</w:t>
      </w:r>
      <w:proofErr w:type="spellEnd"/>
      <w:r w:rsidRPr="005C1E5B">
        <w:rPr>
          <w:rFonts w:ascii="Times New Roman" w:hAnsi="Times New Roman" w:cs="Times New Roman"/>
          <w:color w:val="002060"/>
          <w:sz w:val="24"/>
          <w:szCs w:val="24"/>
        </w:rPr>
        <w:t xml:space="preserve"> 12</w:t>
      </w:r>
      <w:r>
        <w:rPr>
          <w:rFonts w:ascii="Times New Roman" w:hAnsi="Times New Roman" w:cs="Times New Roman"/>
          <w:color w:val="002060"/>
          <w:sz w:val="24"/>
          <w:szCs w:val="24"/>
        </w:rPr>
        <w:t>:</w:t>
      </w:r>
      <w:r w:rsidRPr="005C1E5B">
        <w:rPr>
          <w:rFonts w:ascii="Times New Roman" w:hAnsi="Times New Roman" w:cs="Times New Roman"/>
          <w:color w:val="002060"/>
          <w:sz w:val="24"/>
          <w:szCs w:val="24"/>
        </w:rPr>
        <w:t xml:space="preserve"> 435-59.</w:t>
      </w:r>
      <w:r w:rsidRPr="00073D66">
        <w:rPr>
          <w:rFonts w:ascii="Times New Roman" w:hAnsi="Times New Roman" w:cs="Times New Roman"/>
          <w:color w:val="002060"/>
          <w:sz w:val="24"/>
          <w:szCs w:val="24"/>
        </w:rPr>
        <w:t xml:space="preserve"> </w:t>
      </w:r>
      <w:proofErr w:type="spellStart"/>
      <w:r w:rsidRPr="005C1E5B">
        <w:rPr>
          <w:rFonts w:ascii="Times New Roman" w:hAnsi="Times New Roman" w:cs="Times New Roman"/>
          <w:color w:val="002060"/>
          <w:sz w:val="24"/>
          <w:szCs w:val="24"/>
        </w:rPr>
        <w:t>Liège</w:t>
      </w:r>
      <w:proofErr w:type="spellEnd"/>
      <w:r>
        <w:rPr>
          <w:rFonts w:ascii="Times New Roman" w:hAnsi="Times New Roman" w:cs="Times New Roman"/>
          <w:color w:val="002060"/>
          <w:sz w:val="24"/>
          <w:szCs w:val="24"/>
        </w:rPr>
        <w:t xml:space="preserve">: </w:t>
      </w:r>
      <w:proofErr w:type="spellStart"/>
      <w:r>
        <w:rPr>
          <w:rFonts w:ascii="Times New Roman" w:hAnsi="Times New Roman" w:cs="Times New Roman"/>
          <w:color w:val="002060"/>
          <w:sz w:val="24"/>
          <w:szCs w:val="24"/>
        </w:rPr>
        <w:t>Université</w:t>
      </w:r>
      <w:proofErr w:type="spellEnd"/>
      <w:r>
        <w:rPr>
          <w:rFonts w:ascii="Times New Roman" w:hAnsi="Times New Roman" w:cs="Times New Roman"/>
          <w:color w:val="002060"/>
          <w:sz w:val="24"/>
          <w:szCs w:val="24"/>
        </w:rPr>
        <w:t xml:space="preserve"> de </w:t>
      </w:r>
      <w:proofErr w:type="spellStart"/>
      <w:r>
        <w:rPr>
          <w:rFonts w:ascii="Times New Roman" w:hAnsi="Times New Roman" w:cs="Times New Roman"/>
          <w:color w:val="002060"/>
          <w:sz w:val="24"/>
          <w:szCs w:val="24"/>
        </w:rPr>
        <w:t>Li</w:t>
      </w:r>
      <w:r w:rsidRPr="005C1E5B">
        <w:rPr>
          <w:rFonts w:ascii="Times New Roman" w:hAnsi="Times New Roman" w:cs="Times New Roman"/>
          <w:color w:val="002060"/>
          <w:sz w:val="24"/>
          <w:szCs w:val="24"/>
        </w:rPr>
        <w:t>è</w:t>
      </w:r>
      <w:r>
        <w:rPr>
          <w:rFonts w:ascii="Times New Roman" w:hAnsi="Times New Roman" w:cs="Times New Roman"/>
          <w:color w:val="002060"/>
          <w:sz w:val="24"/>
          <w:szCs w:val="24"/>
        </w:rPr>
        <w:t>ge</w:t>
      </w:r>
      <w:proofErr w:type="spellEnd"/>
      <w:r>
        <w:rPr>
          <w:rFonts w:ascii="Times New Roman" w:hAnsi="Times New Roman" w:cs="Times New Roman"/>
          <w:color w:val="002060"/>
          <w:sz w:val="24"/>
          <w:szCs w:val="24"/>
        </w:rPr>
        <w:t>.</w:t>
      </w:r>
    </w:p>
    <w:p w:rsidR="0019766B" w:rsidRDefault="0019766B" w:rsidP="0019766B">
      <w:pPr>
        <w:spacing w:after="120"/>
        <w:ind w:left="709" w:hanging="709"/>
        <w:rPr>
          <w:rFonts w:ascii="Times New Roman" w:hAnsi="Times New Roman" w:cs="Times New Roman"/>
          <w:color w:val="002060"/>
          <w:sz w:val="24"/>
          <w:szCs w:val="24"/>
        </w:rPr>
      </w:pPr>
      <w:r w:rsidRPr="002F6671">
        <w:rPr>
          <w:rFonts w:ascii="Times New Roman" w:hAnsi="Times New Roman" w:cs="Times New Roman"/>
          <w:color w:val="002060"/>
          <w:sz w:val="24"/>
          <w:szCs w:val="24"/>
        </w:rPr>
        <w:t>Renfrew, C.</w:t>
      </w:r>
      <w:r>
        <w:rPr>
          <w:rFonts w:ascii="Times New Roman" w:hAnsi="Times New Roman" w:cs="Times New Roman"/>
          <w:color w:val="002060"/>
          <w:sz w:val="24"/>
          <w:szCs w:val="24"/>
        </w:rPr>
        <w:t xml:space="preserve"> 1986.</w:t>
      </w:r>
      <w:r w:rsidRPr="002F6671">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 xml:space="preserve">The Archaeology of Cult: The Sanctuary at </w:t>
      </w:r>
      <w:proofErr w:type="spellStart"/>
      <w:r w:rsidRPr="002F6671">
        <w:rPr>
          <w:rFonts w:ascii="Times New Roman" w:hAnsi="Times New Roman" w:cs="Times New Roman"/>
          <w:i/>
          <w:color w:val="002060"/>
          <w:sz w:val="24"/>
          <w:szCs w:val="24"/>
        </w:rPr>
        <w:t>Phylakopi</w:t>
      </w:r>
      <w:proofErr w:type="spellEnd"/>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London</w:t>
      </w:r>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British School of Archaeology at Athens, Supplement 18</w:t>
      </w:r>
      <w:r>
        <w:rPr>
          <w:rFonts w:ascii="Times New Roman" w:hAnsi="Times New Roman" w:cs="Times New Roman"/>
          <w:color w:val="002060"/>
          <w:sz w:val="24"/>
          <w:szCs w:val="24"/>
        </w:rPr>
        <w:t>.</w:t>
      </w:r>
    </w:p>
    <w:p w:rsidR="00A1361D" w:rsidRPr="00B006AB" w:rsidRDefault="006A51A2" w:rsidP="00B006AB">
      <w:pPr>
        <w:spacing w:after="120"/>
        <w:ind w:left="709" w:hanging="709"/>
        <w:rPr>
          <w:i/>
          <w:sz w:val="24"/>
          <w:szCs w:val="24"/>
        </w:rPr>
      </w:pPr>
      <w:r w:rsidRPr="00B006AB">
        <w:rPr>
          <w:rFonts w:ascii="Times New Roman" w:hAnsi="Times New Roman" w:cs="Times New Roman"/>
          <w:color w:val="002060"/>
          <w:sz w:val="24"/>
          <w:szCs w:val="24"/>
        </w:rPr>
        <w:t>Wright, J.C</w:t>
      </w:r>
      <w:r w:rsidR="00A1361D" w:rsidRPr="00B006AB">
        <w:rPr>
          <w:rFonts w:ascii="Times New Roman" w:hAnsi="Times New Roman" w:cs="Times New Roman"/>
          <w:color w:val="002060"/>
          <w:sz w:val="24"/>
          <w:szCs w:val="24"/>
        </w:rPr>
        <w:t xml:space="preserve">. </w:t>
      </w:r>
      <w:r w:rsidRPr="00B006AB">
        <w:rPr>
          <w:rFonts w:ascii="Times New Roman" w:hAnsi="Times New Roman" w:cs="Times New Roman"/>
          <w:color w:val="002060"/>
          <w:sz w:val="24"/>
          <w:szCs w:val="24"/>
        </w:rPr>
        <w:t xml:space="preserve"> 2004. The Mycenaean Feast: An Introduction. In J.C. Wright (ed.) </w:t>
      </w:r>
      <w:r w:rsidRPr="00B006AB">
        <w:rPr>
          <w:rFonts w:ascii="Times New Roman" w:hAnsi="Times New Roman" w:cs="Times New Roman"/>
          <w:i/>
          <w:color w:val="002060"/>
          <w:sz w:val="24"/>
          <w:szCs w:val="24"/>
        </w:rPr>
        <w:t>The Mycenaean Feast. Hesperia</w:t>
      </w:r>
      <w:r w:rsidRPr="00B006AB">
        <w:rPr>
          <w:rFonts w:ascii="Times New Roman" w:hAnsi="Times New Roman" w:cs="Times New Roman"/>
          <w:color w:val="002060"/>
          <w:sz w:val="24"/>
          <w:szCs w:val="24"/>
        </w:rPr>
        <w:t xml:space="preserve"> 73 (2): 121-132.</w:t>
      </w:r>
      <w:bookmarkStart w:id="0" w:name="_GoBack"/>
      <w:bookmarkEnd w:id="0"/>
    </w:p>
    <w:p w:rsidR="00D45D01" w:rsidRPr="002F6671" w:rsidRDefault="00D45D01" w:rsidP="00292600">
      <w:pPr>
        <w:spacing w:after="120"/>
        <w:ind w:left="709" w:hanging="709"/>
        <w:rPr>
          <w:rFonts w:ascii="Times New Roman" w:hAnsi="Times New Roman" w:cs="Times New Roman"/>
          <w:color w:val="002060"/>
          <w:sz w:val="24"/>
          <w:szCs w:val="24"/>
        </w:rPr>
      </w:pPr>
    </w:p>
    <w:sectPr w:rsidR="00D45D01" w:rsidRPr="002F6671" w:rsidSect="00016617">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2041A" w:rsidRDefault="0072041A" w:rsidP="00BC29A1">
      <w:pPr>
        <w:spacing w:after="0" w:line="240" w:lineRule="auto"/>
      </w:pPr>
      <w:r>
        <w:separator/>
      </w:r>
    </w:p>
  </w:endnote>
  <w:endnote w:type="continuationSeparator" w:id="0">
    <w:p w:rsidR="0072041A" w:rsidRDefault="0072041A" w:rsidP="00BC29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405783"/>
      <w:docPartObj>
        <w:docPartGallery w:val="Page Numbers (Bottom of Page)"/>
        <w:docPartUnique/>
      </w:docPartObj>
    </w:sdtPr>
    <w:sdtEndPr>
      <w:rPr>
        <w:rFonts w:ascii="Times New Roman" w:hAnsi="Times New Roman" w:cs="Times New Roman"/>
        <w:color w:val="002060"/>
        <w:sz w:val="20"/>
        <w:szCs w:val="20"/>
      </w:rPr>
    </w:sdtEndPr>
    <w:sdtContent>
      <w:p w:rsidR="00AF6533" w:rsidRPr="00BC29A1" w:rsidRDefault="003377CE">
        <w:pPr>
          <w:pStyle w:val="Footer"/>
          <w:jc w:val="right"/>
          <w:rPr>
            <w:color w:val="002060"/>
          </w:rPr>
        </w:pPr>
        <w:r w:rsidRPr="00507421">
          <w:rPr>
            <w:rFonts w:ascii="Times New Roman" w:hAnsi="Times New Roman" w:cs="Times New Roman"/>
            <w:color w:val="002060"/>
            <w:sz w:val="20"/>
            <w:szCs w:val="20"/>
          </w:rPr>
          <w:fldChar w:fldCharType="begin"/>
        </w:r>
        <w:r w:rsidR="00AF6533" w:rsidRPr="00507421">
          <w:rPr>
            <w:rFonts w:ascii="Times New Roman" w:hAnsi="Times New Roman" w:cs="Times New Roman"/>
            <w:color w:val="002060"/>
            <w:sz w:val="20"/>
            <w:szCs w:val="20"/>
          </w:rPr>
          <w:instrText xml:space="preserve"> PAGE   \* MERGEFORMAT </w:instrText>
        </w:r>
        <w:r w:rsidRPr="00507421">
          <w:rPr>
            <w:rFonts w:ascii="Times New Roman" w:hAnsi="Times New Roman" w:cs="Times New Roman"/>
            <w:color w:val="002060"/>
            <w:sz w:val="20"/>
            <w:szCs w:val="20"/>
          </w:rPr>
          <w:fldChar w:fldCharType="separate"/>
        </w:r>
        <w:r w:rsidR="009B1E3D">
          <w:rPr>
            <w:rFonts w:ascii="Times New Roman" w:hAnsi="Times New Roman" w:cs="Times New Roman"/>
            <w:noProof/>
            <w:color w:val="002060"/>
            <w:sz w:val="20"/>
            <w:szCs w:val="20"/>
          </w:rPr>
          <w:t>5</w:t>
        </w:r>
        <w:r w:rsidRPr="00507421">
          <w:rPr>
            <w:rFonts w:ascii="Times New Roman" w:hAnsi="Times New Roman" w:cs="Times New Roman"/>
            <w:color w:val="002060"/>
            <w:sz w:val="20"/>
            <w:szCs w:val="20"/>
          </w:rPr>
          <w:fldChar w:fldCharType="end"/>
        </w:r>
      </w:p>
    </w:sdtContent>
  </w:sdt>
  <w:p w:rsidR="00AF6533" w:rsidRDefault="00AF653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2041A" w:rsidRDefault="0072041A" w:rsidP="00BC29A1">
      <w:pPr>
        <w:spacing w:after="0" w:line="240" w:lineRule="auto"/>
      </w:pPr>
      <w:r>
        <w:separator/>
      </w:r>
    </w:p>
  </w:footnote>
  <w:footnote w:type="continuationSeparator" w:id="0">
    <w:p w:rsidR="0072041A" w:rsidRDefault="0072041A" w:rsidP="00BC29A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7558B"/>
    <w:multiLevelType w:val="hybridMultilevel"/>
    <w:tmpl w:val="E11EDB88"/>
    <w:lvl w:ilvl="0" w:tplc="9FE22E80">
      <w:start w:val="1"/>
      <w:numFmt w:val="bullet"/>
      <w:lvlText w:val=""/>
      <w:lvlJc w:val="left"/>
      <w:pPr>
        <w:tabs>
          <w:tab w:val="num" w:pos="720"/>
        </w:tabs>
        <w:ind w:left="720" w:hanging="360"/>
      </w:pPr>
      <w:rPr>
        <w:rFonts w:ascii="Wingdings 2" w:hAnsi="Wingdings 2" w:hint="default"/>
      </w:rPr>
    </w:lvl>
    <w:lvl w:ilvl="1" w:tplc="6DEC50A6">
      <w:start w:val="709"/>
      <w:numFmt w:val="bullet"/>
      <w:lvlText w:val=""/>
      <w:lvlJc w:val="left"/>
      <w:pPr>
        <w:tabs>
          <w:tab w:val="num" w:pos="1440"/>
        </w:tabs>
        <w:ind w:left="1440" w:hanging="360"/>
      </w:pPr>
      <w:rPr>
        <w:rFonts w:ascii="Wingdings" w:hAnsi="Wingdings" w:hint="default"/>
      </w:rPr>
    </w:lvl>
    <w:lvl w:ilvl="2" w:tplc="5B80D01C" w:tentative="1">
      <w:start w:val="1"/>
      <w:numFmt w:val="bullet"/>
      <w:lvlText w:val=""/>
      <w:lvlJc w:val="left"/>
      <w:pPr>
        <w:tabs>
          <w:tab w:val="num" w:pos="2160"/>
        </w:tabs>
        <w:ind w:left="2160" w:hanging="360"/>
      </w:pPr>
      <w:rPr>
        <w:rFonts w:ascii="Wingdings 2" w:hAnsi="Wingdings 2" w:hint="default"/>
      </w:rPr>
    </w:lvl>
    <w:lvl w:ilvl="3" w:tplc="48427FAE" w:tentative="1">
      <w:start w:val="1"/>
      <w:numFmt w:val="bullet"/>
      <w:lvlText w:val=""/>
      <w:lvlJc w:val="left"/>
      <w:pPr>
        <w:tabs>
          <w:tab w:val="num" w:pos="2880"/>
        </w:tabs>
        <w:ind w:left="2880" w:hanging="360"/>
      </w:pPr>
      <w:rPr>
        <w:rFonts w:ascii="Wingdings 2" w:hAnsi="Wingdings 2" w:hint="default"/>
      </w:rPr>
    </w:lvl>
    <w:lvl w:ilvl="4" w:tplc="9B42CF62" w:tentative="1">
      <w:start w:val="1"/>
      <w:numFmt w:val="bullet"/>
      <w:lvlText w:val=""/>
      <w:lvlJc w:val="left"/>
      <w:pPr>
        <w:tabs>
          <w:tab w:val="num" w:pos="3600"/>
        </w:tabs>
        <w:ind w:left="3600" w:hanging="360"/>
      </w:pPr>
      <w:rPr>
        <w:rFonts w:ascii="Wingdings 2" w:hAnsi="Wingdings 2" w:hint="default"/>
      </w:rPr>
    </w:lvl>
    <w:lvl w:ilvl="5" w:tplc="99A002E8" w:tentative="1">
      <w:start w:val="1"/>
      <w:numFmt w:val="bullet"/>
      <w:lvlText w:val=""/>
      <w:lvlJc w:val="left"/>
      <w:pPr>
        <w:tabs>
          <w:tab w:val="num" w:pos="4320"/>
        </w:tabs>
        <w:ind w:left="4320" w:hanging="360"/>
      </w:pPr>
      <w:rPr>
        <w:rFonts w:ascii="Wingdings 2" w:hAnsi="Wingdings 2" w:hint="default"/>
      </w:rPr>
    </w:lvl>
    <w:lvl w:ilvl="6" w:tplc="D8DC30D2" w:tentative="1">
      <w:start w:val="1"/>
      <w:numFmt w:val="bullet"/>
      <w:lvlText w:val=""/>
      <w:lvlJc w:val="left"/>
      <w:pPr>
        <w:tabs>
          <w:tab w:val="num" w:pos="5040"/>
        </w:tabs>
        <w:ind w:left="5040" w:hanging="360"/>
      </w:pPr>
      <w:rPr>
        <w:rFonts w:ascii="Wingdings 2" w:hAnsi="Wingdings 2" w:hint="default"/>
      </w:rPr>
    </w:lvl>
    <w:lvl w:ilvl="7" w:tplc="2D3A7CE6" w:tentative="1">
      <w:start w:val="1"/>
      <w:numFmt w:val="bullet"/>
      <w:lvlText w:val=""/>
      <w:lvlJc w:val="left"/>
      <w:pPr>
        <w:tabs>
          <w:tab w:val="num" w:pos="5760"/>
        </w:tabs>
        <w:ind w:left="5760" w:hanging="360"/>
      </w:pPr>
      <w:rPr>
        <w:rFonts w:ascii="Wingdings 2" w:hAnsi="Wingdings 2" w:hint="default"/>
      </w:rPr>
    </w:lvl>
    <w:lvl w:ilvl="8" w:tplc="1FD0CD2E" w:tentative="1">
      <w:start w:val="1"/>
      <w:numFmt w:val="bullet"/>
      <w:lvlText w:val=""/>
      <w:lvlJc w:val="left"/>
      <w:pPr>
        <w:tabs>
          <w:tab w:val="num" w:pos="6480"/>
        </w:tabs>
        <w:ind w:left="6480" w:hanging="360"/>
      </w:pPr>
      <w:rPr>
        <w:rFonts w:ascii="Wingdings 2" w:hAnsi="Wingdings 2" w:hint="default"/>
      </w:rPr>
    </w:lvl>
  </w:abstractNum>
  <w:abstractNum w:abstractNumId="1">
    <w:nsid w:val="103F74F2"/>
    <w:multiLevelType w:val="hybridMultilevel"/>
    <w:tmpl w:val="57167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D4127A"/>
    <w:multiLevelType w:val="hybridMultilevel"/>
    <w:tmpl w:val="EC44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7C4D68"/>
    <w:multiLevelType w:val="hybridMultilevel"/>
    <w:tmpl w:val="CD44266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nsid w:val="369E0B77"/>
    <w:multiLevelType w:val="hybridMultilevel"/>
    <w:tmpl w:val="28D82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A3D4293"/>
    <w:multiLevelType w:val="hybridMultilevel"/>
    <w:tmpl w:val="95324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7405836"/>
    <w:multiLevelType w:val="hybridMultilevel"/>
    <w:tmpl w:val="A97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44B25C0"/>
    <w:multiLevelType w:val="hybridMultilevel"/>
    <w:tmpl w:val="C5A26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82C0339"/>
    <w:multiLevelType w:val="hybridMultilevel"/>
    <w:tmpl w:val="09F66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6"/>
  </w:num>
  <w:num w:numId="5">
    <w:abstractNumId w:val="7"/>
  </w:num>
  <w:num w:numId="6">
    <w:abstractNumId w:val="5"/>
  </w:num>
  <w:num w:numId="7">
    <w:abstractNumId w:val="3"/>
  </w:num>
  <w:num w:numId="8">
    <w:abstractNumId w:val="0"/>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885BB4"/>
    <w:rsid w:val="00016617"/>
    <w:rsid w:val="000240BA"/>
    <w:rsid w:val="00071467"/>
    <w:rsid w:val="00073D66"/>
    <w:rsid w:val="0009350F"/>
    <w:rsid w:val="001204C2"/>
    <w:rsid w:val="00134DCD"/>
    <w:rsid w:val="00146629"/>
    <w:rsid w:val="0019766B"/>
    <w:rsid w:val="001B5EF0"/>
    <w:rsid w:val="001F728E"/>
    <w:rsid w:val="00207634"/>
    <w:rsid w:val="0022205F"/>
    <w:rsid w:val="002426BB"/>
    <w:rsid w:val="002522B1"/>
    <w:rsid w:val="0025661B"/>
    <w:rsid w:val="00262FBE"/>
    <w:rsid w:val="00271D5E"/>
    <w:rsid w:val="0027683C"/>
    <w:rsid w:val="00292600"/>
    <w:rsid w:val="002C0BE9"/>
    <w:rsid w:val="002D5442"/>
    <w:rsid w:val="002F38B9"/>
    <w:rsid w:val="002F6671"/>
    <w:rsid w:val="00302C6B"/>
    <w:rsid w:val="003377CE"/>
    <w:rsid w:val="00340115"/>
    <w:rsid w:val="00392DD8"/>
    <w:rsid w:val="003D72DD"/>
    <w:rsid w:val="003F7B72"/>
    <w:rsid w:val="00430689"/>
    <w:rsid w:val="00447BEB"/>
    <w:rsid w:val="004505FA"/>
    <w:rsid w:val="004C1793"/>
    <w:rsid w:val="004E1439"/>
    <w:rsid w:val="004F5E60"/>
    <w:rsid w:val="00507421"/>
    <w:rsid w:val="00512B73"/>
    <w:rsid w:val="00523EC7"/>
    <w:rsid w:val="0052494B"/>
    <w:rsid w:val="00553405"/>
    <w:rsid w:val="00573D50"/>
    <w:rsid w:val="00583A24"/>
    <w:rsid w:val="005C1CA1"/>
    <w:rsid w:val="005C1E5B"/>
    <w:rsid w:val="005C4CF4"/>
    <w:rsid w:val="0062591C"/>
    <w:rsid w:val="006350D5"/>
    <w:rsid w:val="0063775A"/>
    <w:rsid w:val="00645010"/>
    <w:rsid w:val="00656D79"/>
    <w:rsid w:val="00660A79"/>
    <w:rsid w:val="00674FAC"/>
    <w:rsid w:val="006844B9"/>
    <w:rsid w:val="006942F1"/>
    <w:rsid w:val="006A1512"/>
    <w:rsid w:val="006A51A2"/>
    <w:rsid w:val="0072041A"/>
    <w:rsid w:val="007357CE"/>
    <w:rsid w:val="0074784A"/>
    <w:rsid w:val="0077421C"/>
    <w:rsid w:val="008149E7"/>
    <w:rsid w:val="008822B0"/>
    <w:rsid w:val="00883923"/>
    <w:rsid w:val="00885BB4"/>
    <w:rsid w:val="008A37D0"/>
    <w:rsid w:val="00942655"/>
    <w:rsid w:val="0097554C"/>
    <w:rsid w:val="009B1E3D"/>
    <w:rsid w:val="009B6FBF"/>
    <w:rsid w:val="009C7668"/>
    <w:rsid w:val="00A00FCB"/>
    <w:rsid w:val="00A10C56"/>
    <w:rsid w:val="00A1361D"/>
    <w:rsid w:val="00A35F6C"/>
    <w:rsid w:val="00A409AC"/>
    <w:rsid w:val="00A51517"/>
    <w:rsid w:val="00AA417C"/>
    <w:rsid w:val="00AA7E0F"/>
    <w:rsid w:val="00AD04B8"/>
    <w:rsid w:val="00AD24CB"/>
    <w:rsid w:val="00AF6533"/>
    <w:rsid w:val="00B006AB"/>
    <w:rsid w:val="00B060EB"/>
    <w:rsid w:val="00B11F93"/>
    <w:rsid w:val="00B334FB"/>
    <w:rsid w:val="00B505A1"/>
    <w:rsid w:val="00B67BFF"/>
    <w:rsid w:val="00B839A3"/>
    <w:rsid w:val="00BC29A1"/>
    <w:rsid w:val="00C0133D"/>
    <w:rsid w:val="00C1543C"/>
    <w:rsid w:val="00C33800"/>
    <w:rsid w:val="00C33E35"/>
    <w:rsid w:val="00C75D47"/>
    <w:rsid w:val="00C85BA6"/>
    <w:rsid w:val="00CB6612"/>
    <w:rsid w:val="00CC23F5"/>
    <w:rsid w:val="00CF2475"/>
    <w:rsid w:val="00D27B1C"/>
    <w:rsid w:val="00D45D01"/>
    <w:rsid w:val="00D63D85"/>
    <w:rsid w:val="00D70482"/>
    <w:rsid w:val="00DA574F"/>
    <w:rsid w:val="00DC2AA9"/>
    <w:rsid w:val="00DC6240"/>
    <w:rsid w:val="00DD6D5F"/>
    <w:rsid w:val="00DE3A93"/>
    <w:rsid w:val="00E03E1E"/>
    <w:rsid w:val="00E10EAD"/>
    <w:rsid w:val="00E319B5"/>
    <w:rsid w:val="00E544E4"/>
    <w:rsid w:val="00E83B22"/>
    <w:rsid w:val="00E91E73"/>
    <w:rsid w:val="00EC36F0"/>
    <w:rsid w:val="00EC4746"/>
    <w:rsid w:val="00ED05DF"/>
    <w:rsid w:val="00ED0B9C"/>
    <w:rsid w:val="00EF2F0C"/>
    <w:rsid w:val="00EF7568"/>
    <w:rsid w:val="00F115D5"/>
    <w:rsid w:val="00F32DD1"/>
    <w:rsid w:val="00F76F3E"/>
    <w:rsid w:val="00FC3013"/>
    <w:rsid w:val="00FD33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6617"/>
  </w:style>
  <w:style w:type="paragraph" w:styleId="Heading2">
    <w:name w:val="heading 2"/>
    <w:basedOn w:val="Normal"/>
    <w:link w:val="Heading2Char"/>
    <w:uiPriority w:val="9"/>
    <w:qFormat/>
    <w:rsid w:val="0029260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BA6"/>
    <w:pPr>
      <w:ind w:left="720"/>
      <w:contextualSpacing/>
    </w:pPr>
  </w:style>
  <w:style w:type="character" w:customStyle="1" w:styleId="source">
    <w:name w:val="source"/>
    <w:basedOn w:val="DefaultParagraphFont"/>
    <w:rsid w:val="00447BEB"/>
  </w:style>
  <w:style w:type="character" w:customStyle="1" w:styleId="Heading2Char">
    <w:name w:val="Heading 2 Char"/>
    <w:basedOn w:val="DefaultParagraphFont"/>
    <w:link w:val="Heading2"/>
    <w:uiPriority w:val="9"/>
    <w:rsid w:val="00292600"/>
    <w:rPr>
      <w:rFonts w:ascii="Times New Roman" w:eastAsia="Times New Roman" w:hAnsi="Times New Roman" w:cs="Times New Roman"/>
      <w:b/>
      <w:bCs/>
      <w:sz w:val="36"/>
      <w:szCs w:val="36"/>
      <w:lang w:eastAsia="en-GB"/>
    </w:rPr>
  </w:style>
  <w:style w:type="character" w:styleId="HTMLCite">
    <w:name w:val="HTML Cite"/>
    <w:basedOn w:val="DefaultParagraphFont"/>
    <w:uiPriority w:val="99"/>
    <w:semiHidden/>
    <w:unhideWhenUsed/>
    <w:rsid w:val="00292600"/>
    <w:rPr>
      <w:i/>
      <w:iCs/>
    </w:rPr>
  </w:style>
  <w:style w:type="paragraph" w:styleId="Header">
    <w:name w:val="header"/>
    <w:basedOn w:val="Normal"/>
    <w:link w:val="HeaderChar"/>
    <w:uiPriority w:val="99"/>
    <w:semiHidden/>
    <w:unhideWhenUsed/>
    <w:rsid w:val="00BC29A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C29A1"/>
  </w:style>
  <w:style w:type="paragraph" w:styleId="Footer">
    <w:name w:val="footer"/>
    <w:basedOn w:val="Normal"/>
    <w:link w:val="FooterChar"/>
    <w:uiPriority w:val="99"/>
    <w:unhideWhenUsed/>
    <w:rsid w:val="00BC2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9A1"/>
  </w:style>
  <w:style w:type="paragraph" w:customStyle="1" w:styleId="Default">
    <w:name w:val="Default"/>
    <w:rsid w:val="00EF2F0C"/>
    <w:pPr>
      <w:autoSpaceDE w:val="0"/>
      <w:autoSpaceDN w:val="0"/>
      <w:adjustRightInd w:val="0"/>
      <w:spacing w:after="0" w:line="240" w:lineRule="auto"/>
    </w:pPr>
    <w:rPr>
      <w:rFonts w:ascii="Code" w:hAnsi="Code" w:cs="Code"/>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71804557">
      <w:bodyDiv w:val="1"/>
      <w:marLeft w:val="0"/>
      <w:marRight w:val="0"/>
      <w:marTop w:val="0"/>
      <w:marBottom w:val="0"/>
      <w:divBdr>
        <w:top w:val="none" w:sz="0" w:space="0" w:color="auto"/>
        <w:left w:val="none" w:sz="0" w:space="0" w:color="auto"/>
        <w:bottom w:val="none" w:sz="0" w:space="0" w:color="auto"/>
        <w:right w:val="none" w:sz="0" w:space="0" w:color="auto"/>
      </w:divBdr>
      <w:divsChild>
        <w:div w:id="967054605">
          <w:marLeft w:val="0"/>
          <w:marRight w:val="0"/>
          <w:marTop w:val="0"/>
          <w:marBottom w:val="0"/>
          <w:divBdr>
            <w:top w:val="none" w:sz="0" w:space="0" w:color="auto"/>
            <w:left w:val="none" w:sz="0" w:space="0" w:color="auto"/>
            <w:bottom w:val="none" w:sz="0" w:space="0" w:color="auto"/>
            <w:right w:val="none" w:sz="0" w:space="0" w:color="auto"/>
          </w:divBdr>
          <w:divsChild>
            <w:div w:id="1439642506">
              <w:marLeft w:val="0"/>
              <w:marRight w:val="0"/>
              <w:marTop w:val="0"/>
              <w:marBottom w:val="0"/>
              <w:divBdr>
                <w:top w:val="none" w:sz="0" w:space="0" w:color="auto"/>
                <w:left w:val="none" w:sz="0" w:space="0" w:color="auto"/>
                <w:bottom w:val="none" w:sz="0" w:space="0" w:color="auto"/>
                <w:right w:val="none" w:sz="0" w:space="0" w:color="auto"/>
              </w:divBdr>
              <w:divsChild>
                <w:div w:id="262879378">
                  <w:marLeft w:val="0"/>
                  <w:marRight w:val="0"/>
                  <w:marTop w:val="0"/>
                  <w:marBottom w:val="0"/>
                  <w:divBdr>
                    <w:top w:val="none" w:sz="0" w:space="0" w:color="auto"/>
                    <w:left w:val="none" w:sz="0" w:space="0" w:color="auto"/>
                    <w:bottom w:val="none" w:sz="0" w:space="0" w:color="auto"/>
                    <w:right w:val="none" w:sz="0" w:space="0" w:color="auto"/>
                  </w:divBdr>
                  <w:divsChild>
                    <w:div w:id="2008363956">
                      <w:marLeft w:val="0"/>
                      <w:marRight w:val="0"/>
                      <w:marTop w:val="0"/>
                      <w:marBottom w:val="0"/>
                      <w:divBdr>
                        <w:top w:val="none" w:sz="0" w:space="0" w:color="auto"/>
                        <w:left w:val="none" w:sz="0" w:space="0" w:color="auto"/>
                        <w:bottom w:val="none" w:sz="0" w:space="0" w:color="auto"/>
                        <w:right w:val="none" w:sz="0" w:space="0" w:color="auto"/>
                      </w:divBdr>
                      <w:divsChild>
                        <w:div w:id="1663702104">
                          <w:marLeft w:val="0"/>
                          <w:marRight w:val="0"/>
                          <w:marTop w:val="0"/>
                          <w:marBottom w:val="0"/>
                          <w:divBdr>
                            <w:top w:val="none" w:sz="0" w:space="0" w:color="auto"/>
                            <w:left w:val="none" w:sz="0" w:space="0" w:color="auto"/>
                            <w:bottom w:val="none" w:sz="0" w:space="0" w:color="auto"/>
                            <w:right w:val="none" w:sz="0" w:space="0" w:color="auto"/>
                          </w:divBdr>
                          <w:divsChild>
                            <w:div w:id="949124184">
                              <w:marLeft w:val="0"/>
                              <w:marRight w:val="0"/>
                              <w:marTop w:val="0"/>
                              <w:marBottom w:val="0"/>
                              <w:divBdr>
                                <w:top w:val="none" w:sz="0" w:space="0" w:color="auto"/>
                                <w:left w:val="none" w:sz="0" w:space="0" w:color="auto"/>
                                <w:bottom w:val="none" w:sz="0" w:space="0" w:color="auto"/>
                                <w:right w:val="none" w:sz="0" w:space="0" w:color="auto"/>
                              </w:divBdr>
                              <w:divsChild>
                                <w:div w:id="1259631882">
                                  <w:marLeft w:val="0"/>
                                  <w:marRight w:val="0"/>
                                  <w:marTop w:val="0"/>
                                  <w:marBottom w:val="0"/>
                                  <w:divBdr>
                                    <w:top w:val="none" w:sz="0" w:space="0" w:color="auto"/>
                                    <w:left w:val="none" w:sz="0" w:space="0" w:color="auto"/>
                                    <w:bottom w:val="none" w:sz="0" w:space="0" w:color="auto"/>
                                    <w:right w:val="none" w:sz="0" w:space="0" w:color="auto"/>
                                  </w:divBdr>
                                  <w:divsChild>
                                    <w:div w:id="560865115">
                                      <w:marLeft w:val="0"/>
                                      <w:marRight w:val="0"/>
                                      <w:marTop w:val="0"/>
                                      <w:marBottom w:val="0"/>
                                      <w:divBdr>
                                        <w:top w:val="none" w:sz="0" w:space="0" w:color="auto"/>
                                        <w:left w:val="none" w:sz="0" w:space="0" w:color="auto"/>
                                        <w:bottom w:val="none" w:sz="0" w:space="0" w:color="auto"/>
                                        <w:right w:val="none" w:sz="0" w:space="0" w:color="auto"/>
                                      </w:divBdr>
                                    </w:div>
                                    <w:div w:id="199841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9632697">
      <w:bodyDiv w:val="1"/>
      <w:marLeft w:val="0"/>
      <w:marRight w:val="0"/>
      <w:marTop w:val="0"/>
      <w:marBottom w:val="0"/>
      <w:divBdr>
        <w:top w:val="none" w:sz="0" w:space="0" w:color="auto"/>
        <w:left w:val="none" w:sz="0" w:space="0" w:color="auto"/>
        <w:bottom w:val="none" w:sz="0" w:space="0" w:color="auto"/>
        <w:right w:val="none" w:sz="0" w:space="0" w:color="auto"/>
      </w:divBdr>
      <w:divsChild>
        <w:div w:id="1939176751">
          <w:marLeft w:val="691"/>
          <w:marRight w:val="0"/>
          <w:marTop w:val="0"/>
          <w:marBottom w:val="0"/>
          <w:divBdr>
            <w:top w:val="none" w:sz="0" w:space="0" w:color="auto"/>
            <w:left w:val="none" w:sz="0" w:space="0" w:color="auto"/>
            <w:bottom w:val="none" w:sz="0" w:space="0" w:color="auto"/>
            <w:right w:val="none" w:sz="0" w:space="0" w:color="auto"/>
          </w:divBdr>
        </w:div>
        <w:div w:id="269364125">
          <w:marLeft w:val="1152"/>
          <w:marRight w:val="0"/>
          <w:marTop w:val="125"/>
          <w:marBottom w:val="0"/>
          <w:divBdr>
            <w:top w:val="none" w:sz="0" w:space="0" w:color="auto"/>
            <w:left w:val="none" w:sz="0" w:space="0" w:color="auto"/>
            <w:bottom w:val="none" w:sz="0" w:space="0" w:color="auto"/>
            <w:right w:val="none" w:sz="0" w:space="0" w:color="auto"/>
          </w:divBdr>
        </w:div>
        <w:div w:id="1124231590">
          <w:marLeft w:val="691"/>
          <w:marRight w:val="0"/>
          <w:marTop w:val="0"/>
          <w:marBottom w:val="0"/>
          <w:divBdr>
            <w:top w:val="none" w:sz="0" w:space="0" w:color="auto"/>
            <w:left w:val="none" w:sz="0" w:space="0" w:color="auto"/>
            <w:bottom w:val="none" w:sz="0" w:space="0" w:color="auto"/>
            <w:right w:val="none" w:sz="0" w:space="0" w:color="auto"/>
          </w:divBdr>
        </w:div>
        <w:div w:id="941378409">
          <w:marLeft w:val="1152"/>
          <w:marRight w:val="0"/>
          <w:marTop w:val="125"/>
          <w:marBottom w:val="0"/>
          <w:divBdr>
            <w:top w:val="none" w:sz="0" w:space="0" w:color="auto"/>
            <w:left w:val="none" w:sz="0" w:space="0" w:color="auto"/>
            <w:bottom w:val="none" w:sz="0" w:space="0" w:color="auto"/>
            <w:right w:val="none" w:sz="0" w:space="0" w:color="auto"/>
          </w:divBdr>
        </w:div>
        <w:div w:id="367410934">
          <w:marLeft w:val="691"/>
          <w:marRight w:val="0"/>
          <w:marTop w:val="0"/>
          <w:marBottom w:val="0"/>
          <w:divBdr>
            <w:top w:val="none" w:sz="0" w:space="0" w:color="auto"/>
            <w:left w:val="none" w:sz="0" w:space="0" w:color="auto"/>
            <w:bottom w:val="none" w:sz="0" w:space="0" w:color="auto"/>
            <w:right w:val="none" w:sz="0" w:space="0" w:color="auto"/>
          </w:divBdr>
        </w:div>
        <w:div w:id="2058234118">
          <w:marLeft w:val="1152"/>
          <w:marRight w:val="0"/>
          <w:marTop w:val="125"/>
          <w:marBottom w:val="0"/>
          <w:divBdr>
            <w:top w:val="none" w:sz="0" w:space="0" w:color="auto"/>
            <w:left w:val="none" w:sz="0" w:space="0" w:color="auto"/>
            <w:bottom w:val="none" w:sz="0" w:space="0" w:color="auto"/>
            <w:right w:val="none" w:sz="0" w:space="0" w:color="auto"/>
          </w:divBdr>
        </w:div>
        <w:div w:id="1670985737">
          <w:marLeft w:val="691"/>
          <w:marRight w:val="0"/>
          <w:marTop w:val="0"/>
          <w:marBottom w:val="0"/>
          <w:divBdr>
            <w:top w:val="none" w:sz="0" w:space="0" w:color="auto"/>
            <w:left w:val="none" w:sz="0" w:space="0" w:color="auto"/>
            <w:bottom w:val="none" w:sz="0" w:space="0" w:color="auto"/>
            <w:right w:val="none" w:sz="0" w:space="0" w:color="auto"/>
          </w:divBdr>
        </w:div>
        <w:div w:id="15353401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6</Pages>
  <Words>2273</Words>
  <Characters>12961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dc:creator>
  <cp:lastModifiedBy>Louise</cp:lastModifiedBy>
  <cp:revision>17</cp:revision>
  <dcterms:created xsi:type="dcterms:W3CDTF">2012-08-17T13:38:00Z</dcterms:created>
  <dcterms:modified xsi:type="dcterms:W3CDTF">2012-08-29T10:46:00Z</dcterms:modified>
</cp:coreProperties>
</file>