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5613" w:rsidRDefault="00445613">
      <w:r>
        <w:t xml:space="preserve">Rachel TAYLOR </w:t>
      </w:r>
    </w:p>
    <w:p w:rsidR="00B05B94" w:rsidRDefault="00B05B94">
      <w:r>
        <w:t>PC 6709 South Wales Police</w:t>
      </w:r>
    </w:p>
    <w:p w:rsidR="00445613" w:rsidRDefault="00B05B94">
      <w:r>
        <w:t xml:space="preserve">Student Number: </w:t>
      </w:r>
      <w:r w:rsidR="00445613">
        <w:t>1922445</w:t>
      </w:r>
    </w:p>
    <w:p w:rsidR="00445613" w:rsidRDefault="00191FE8">
      <w:r>
        <w:t>Exam 2</w:t>
      </w:r>
      <w:r w:rsidR="00B05B94">
        <w:t xml:space="preserve"> </w:t>
      </w:r>
      <w:r>
        <w:t>– 16/11</w:t>
      </w:r>
      <w:r w:rsidR="00445613">
        <w:t>/2020</w:t>
      </w:r>
    </w:p>
    <w:p w:rsidR="00B05B94" w:rsidRDefault="00B05B94"/>
    <w:p w:rsidR="00191FE8" w:rsidRDefault="00191FE8">
      <w:r>
        <w:t>1.</w:t>
      </w:r>
    </w:p>
    <w:p w:rsidR="000D6091" w:rsidRDefault="000D6091">
      <w:r>
        <w:t>Section 163 of the RTA 1988 states that a constable in uniform may stop any vehicle on a road if the driving falls below the standard of that expected from a reasonably careful driver, regardless of experience.</w:t>
      </w:r>
    </w:p>
    <w:p w:rsidR="000D6091" w:rsidRDefault="000D6091"/>
    <w:p w:rsidR="00191FE8" w:rsidRDefault="00191FE8">
      <w:r>
        <w:t>2.</w:t>
      </w:r>
    </w:p>
    <w:p w:rsidR="000D6091" w:rsidRDefault="00852DD6">
      <w:r>
        <w:t>Section 6(4) of the RTA 1988 states that a constable in uniform may stop a vehicle and require the driver of the vehicle to do a preliminary breath test.</w:t>
      </w:r>
    </w:p>
    <w:p w:rsidR="00852DD6" w:rsidRDefault="00852DD6"/>
    <w:p w:rsidR="00191FE8" w:rsidRDefault="00191FE8">
      <w:r>
        <w:t>3.</w:t>
      </w:r>
    </w:p>
    <w:p w:rsidR="00407EBD" w:rsidRDefault="00407EBD">
      <w:r>
        <w:t>A person is guilty of this offence if they drive a mechanically propelled vehicle on a road or other public place dangerously and without due care and attention or reasonable consideration for other road users.</w:t>
      </w:r>
    </w:p>
    <w:p w:rsidR="00407EBD" w:rsidRDefault="00407EBD"/>
    <w:p w:rsidR="00191FE8" w:rsidRDefault="00191FE8">
      <w:r>
        <w:t>4.</w:t>
      </w:r>
    </w:p>
    <w:p w:rsidR="00407EBD" w:rsidRDefault="00DE7C7A">
      <w:r>
        <w:t>The effective use of roads policing powers such as ANPR and CCTV can help reduce the wider unlawful activity of criminals by deconstructing criminality. Effective use of roads policing powers can assist in making it difficult for criminals to utilise the roads infrastructure to commit crime.</w:t>
      </w:r>
    </w:p>
    <w:p w:rsidR="00DE7C7A" w:rsidRDefault="00DE7C7A"/>
    <w:p w:rsidR="00191FE8" w:rsidRDefault="00191FE8">
      <w:r>
        <w:t>5.</w:t>
      </w:r>
    </w:p>
    <w:p w:rsidR="007E05D9" w:rsidRDefault="007E05D9">
      <w:r>
        <w:t>Section 165A of the RTA 1988 states that a constable may seize a vehicle if the driver/rider is unable to produce a driving licence, copy of insurance certificate or MOT certificate. This could also be dealt with by issuing a HO/RT1 however, if the constable deems it necessary to seize the vehicle on the basis of the manner of driving, he may do so.</w:t>
      </w:r>
    </w:p>
    <w:p w:rsidR="006C0829" w:rsidRDefault="006C0829"/>
    <w:p w:rsidR="00191FE8" w:rsidRDefault="00191FE8">
      <w:r>
        <w:t>6.</w:t>
      </w:r>
    </w:p>
    <w:p w:rsidR="006C0829" w:rsidRDefault="006C0829">
      <w:r>
        <w:t>A reportable road traffic collision is defined under section 170(1) of the RTA 1988 and states that a person involved in a road traffic collision where another party is injured or property is damaged, the person must stop and provide their details. The person must stay at the scene for a reasonable period of time to provide details. If there are no persons to provide details to, they must report to a police station as soon as reasonably practicable.</w:t>
      </w:r>
    </w:p>
    <w:p w:rsidR="00191FE8" w:rsidRDefault="00191FE8">
      <w:r>
        <w:lastRenderedPageBreak/>
        <w:t>7.</w:t>
      </w:r>
    </w:p>
    <w:p w:rsidR="000805C9" w:rsidRDefault="000805C9">
      <w:r>
        <w:t>The role of a Family Liaison Officer (FLO) is to guide and assist the family of the deceased. The FLO will be instructed by the Senior Investigating Officer as part of the investigation. The FLO will ensure that the family is kept updated with the progress of the investigation and that they are aware of the details. The FLO may also be able to arrange for the family to visit the scene of the incident should the</w:t>
      </w:r>
      <w:r w:rsidR="004C0C50">
        <w:t>y</w:t>
      </w:r>
      <w:r>
        <w:t xml:space="preserve"> request to do this – this would obviously not be practicable in circumstances where the incident occurred on a motorway</w:t>
      </w:r>
      <w:r w:rsidR="004C0C50">
        <w:t xml:space="preserve"> for example</w:t>
      </w:r>
      <w:r>
        <w:t>. However, most Local Authorities have guidelines in place for families to attend and place flowers at scenes and the FLO would liaise with the Local Authority to arrange this.</w:t>
      </w:r>
    </w:p>
    <w:p w:rsidR="004C0C50" w:rsidRDefault="004C0C50">
      <w:r>
        <w:t>The FLO would make clear their role at the outset and clarify when they would be exiting the investigation.</w:t>
      </w:r>
    </w:p>
    <w:p w:rsidR="000805C9" w:rsidRDefault="000805C9"/>
    <w:p w:rsidR="00191FE8" w:rsidRDefault="00191FE8">
      <w:r>
        <w:t>8.</w:t>
      </w:r>
    </w:p>
    <w:p w:rsidR="003214BD" w:rsidRDefault="002A271E">
      <w:r>
        <w:t>When involved in a reportable road traffic collision, a driver is responsible for staying at the scene for a reasonable amount of time to provide their details. A driver is responsible for providing details if they have caused physical harm/injury to a person or damaged property. Animals are included in property and for the purpose of this section, the animals that are reportable are; cattle, horses, ass, mule, pigs, sheep, dogs and goats.</w:t>
      </w:r>
    </w:p>
    <w:p w:rsidR="002A271E" w:rsidRDefault="002A271E"/>
    <w:p w:rsidR="00191FE8" w:rsidRDefault="00191FE8">
      <w:r>
        <w:t>9.</w:t>
      </w:r>
    </w:p>
    <w:p w:rsidR="001772CB" w:rsidRDefault="001772CB">
      <w:r>
        <w:t>Section 6E of the RTA 1988 provides the power to enter a house to deal with a person suspected of driving whilst over the prescribed limit. A constable may enter a house if he reasonably believes that a person has been driving over the prescribed limit and requires him to take a preliminary breath test. A constable may arrest if the person refuses to complete the preliminary breath test.</w:t>
      </w:r>
    </w:p>
    <w:p w:rsidR="001772CB" w:rsidRDefault="001772CB"/>
    <w:p w:rsidR="00191FE8" w:rsidRDefault="00191FE8">
      <w:r>
        <w:t>10.</w:t>
      </w:r>
    </w:p>
    <w:p w:rsidR="00705825" w:rsidRDefault="00705825">
      <w:r>
        <w:t>Section 1 of the RTA 1988 states that a person is guilty of an offence if he causes the death of another person by driving a mechanically propelled vehicle dangerously on a road or other public place.</w:t>
      </w:r>
    </w:p>
    <w:p w:rsidR="00705825" w:rsidRDefault="00705825"/>
    <w:p w:rsidR="00191FE8" w:rsidRDefault="00191FE8">
      <w:r>
        <w:t>11.</w:t>
      </w:r>
    </w:p>
    <w:p w:rsidR="00D93AEB" w:rsidRDefault="00D93AEB">
      <w:r>
        <w:t>The national prescribed limits of drink/drugs are:</w:t>
      </w:r>
    </w:p>
    <w:p w:rsidR="00D93AEB" w:rsidRDefault="00D93AEB">
      <w:r>
        <w:t>35 micrograms of breath</w:t>
      </w:r>
    </w:p>
    <w:p w:rsidR="00D93AEB" w:rsidRDefault="00D93AEB">
      <w:r>
        <w:t>80 milligrams of blood</w:t>
      </w:r>
    </w:p>
    <w:p w:rsidR="00D93AEB" w:rsidRDefault="00D93AEB">
      <w:r>
        <w:t>107 milligrams of urine</w:t>
      </w:r>
    </w:p>
    <w:p w:rsidR="009E6EF6" w:rsidRDefault="009E6EF6"/>
    <w:p w:rsidR="00D93AEB" w:rsidRDefault="00D93AEB"/>
    <w:p w:rsidR="00191FE8" w:rsidRDefault="00191FE8">
      <w:r>
        <w:lastRenderedPageBreak/>
        <w:t>12.</w:t>
      </w:r>
    </w:p>
    <w:p w:rsidR="005F182F" w:rsidRDefault="001A01B9">
      <w:r>
        <w:t>During a suspect interview the people in the interview room will be:</w:t>
      </w:r>
    </w:p>
    <w:p w:rsidR="001A01B9" w:rsidRDefault="001A01B9">
      <w:r>
        <w:t>The suspect, interviewing officer(s), a solicitor if the suspect has chosen to have legal advice and possibly an appropriate adult.</w:t>
      </w:r>
    </w:p>
    <w:p w:rsidR="001A01B9" w:rsidRDefault="001A01B9">
      <w:r>
        <w:t>A solicitor should be present if the suspect has exercised his/her right to legal advice. The role of the solicitor is to advise and guide the suspect and to ensure that the interview process is conducted fairly and in accordance with the PACE codes of practice.</w:t>
      </w:r>
    </w:p>
    <w:p w:rsidR="001A01B9" w:rsidRDefault="001A01B9">
      <w:r>
        <w:t>An appropriate adult should be present if the suspect is a child ages under 18 or if an adult suspect requests or requires assistance with understanding questions or the procedure. The appropriate adult is present to explain the process and assist the suspect with understanding the questions put to him/her. E.g if the suspect has learning difficulties.</w:t>
      </w:r>
    </w:p>
    <w:p w:rsidR="001A01B9" w:rsidRDefault="001A01B9"/>
    <w:p w:rsidR="00191FE8" w:rsidRDefault="00191FE8">
      <w:r>
        <w:t>13.</w:t>
      </w:r>
    </w:p>
    <w:p w:rsidR="00CE29E3" w:rsidRDefault="00CE29E3">
      <w:r>
        <w:t>The National Police Interviewing Model is:</w:t>
      </w:r>
    </w:p>
    <w:p w:rsidR="00CE29E3" w:rsidRDefault="00CE29E3">
      <w:r>
        <w:t>Plan and prepare – the interview, lines of enquiry, types of questions</w:t>
      </w:r>
    </w:p>
    <w:p w:rsidR="00CE29E3" w:rsidRDefault="00CE29E3">
      <w:r>
        <w:t>Engage and explain – engage with the suspect and explain the process, set out the ground rules</w:t>
      </w:r>
    </w:p>
    <w:p w:rsidR="00CE29E3" w:rsidRDefault="00CE29E3">
      <w:r>
        <w:t>Account, clarify, challenge – take the suspect/witness uninterrupted account, clarify points for the account, challenge the suspect</w:t>
      </w:r>
    </w:p>
    <w:p w:rsidR="00CE29E3" w:rsidRDefault="00CE29E3">
      <w:r>
        <w:t>Closure – Confirm the account and ensure that the suspect/witness has nothing to add. Read the closure memo card.</w:t>
      </w:r>
    </w:p>
    <w:p w:rsidR="00CE29E3" w:rsidRDefault="00CE29E3">
      <w:r>
        <w:t>Evaluate – evaluate the interview</w:t>
      </w:r>
    </w:p>
    <w:p w:rsidR="00CE29E3" w:rsidRDefault="00CE29E3"/>
    <w:p w:rsidR="003F735C" w:rsidRPr="00525527" w:rsidRDefault="00525527">
      <w:r>
        <w:t>14.</w:t>
      </w:r>
    </w:p>
    <w:p w:rsidR="003F735C" w:rsidRDefault="00525527">
      <w:pPr>
        <w:rPr>
          <w:lang w:val="en"/>
        </w:rPr>
      </w:pPr>
      <w:r>
        <w:rPr>
          <w:lang w:val="en"/>
        </w:rPr>
        <w:t>Controlling or Coercive Behaviour in an Intimate or Family Relationship is defined as behaviour that is abusive, threatening or coercive. This can be physical, emotional, mental or financial.</w:t>
      </w:r>
    </w:p>
    <w:p w:rsidR="00525527" w:rsidRDefault="00525527"/>
    <w:p w:rsidR="00191FE8" w:rsidRDefault="00191FE8">
      <w:r>
        <w:t>15.</w:t>
      </w:r>
    </w:p>
    <w:p w:rsidR="00BF4E4C" w:rsidRDefault="00BF4E4C">
      <w:r>
        <w:t>The offence of Coercive Control is important because of the severe affect it can have on the victim’s life. This is an offence that can be hidden by the perpetrator by isolating the victim from family, friends and medical professionals. As a result of the isolation, the victim may have nobody to turn to for support or may not even recognise that they are a victim of this form of abuse.</w:t>
      </w:r>
    </w:p>
    <w:p w:rsidR="00BF4E4C" w:rsidRDefault="00BF4E4C"/>
    <w:p w:rsidR="00191FE8" w:rsidRDefault="00191FE8">
      <w:r>
        <w:t>16.</w:t>
      </w:r>
    </w:p>
    <w:p w:rsidR="00F172BC" w:rsidRDefault="00F172BC">
      <w:r>
        <w:t xml:space="preserve">If you believe that a child could suffer significant harm due to their circumstances, you could ensure the child’s safety using the power provided by section 46 of the Children Act 1989. Section 46 gives officers the power to remove a child to a place of safety. Officers would take into consideration the </w:t>
      </w:r>
      <w:r>
        <w:lastRenderedPageBreak/>
        <w:t>threat, harm and risk to the child. They would also need to consider the investigative opportunities, the vulnerability of the victim(s) and their engagement with the victim(s).</w:t>
      </w:r>
    </w:p>
    <w:p w:rsidR="00F172BC" w:rsidRDefault="00F172BC">
      <w:r>
        <w:t>Officers would need to complete a Public Protection Notice (PPN)</w:t>
      </w:r>
      <w:r w:rsidR="00600924">
        <w:t xml:space="preserve"> to</w:t>
      </w:r>
      <w:r w:rsidR="00066D05">
        <w:t xml:space="preserve"> assess the risk posed to the victim/child.</w:t>
      </w:r>
    </w:p>
    <w:p w:rsidR="00540FC6" w:rsidRDefault="00540FC6"/>
    <w:p w:rsidR="00191FE8" w:rsidRDefault="00191FE8">
      <w:r>
        <w:t>17.</w:t>
      </w:r>
    </w:p>
    <w:p w:rsidR="00540FC6" w:rsidRDefault="00540FC6">
      <w:r>
        <w:t xml:space="preserve">Section 1 of the Children and Young Persons Act 1933 defines child cruelty as </w:t>
      </w:r>
      <w:r w:rsidR="001028C3">
        <w:t>physical or emotional abuse or neglect.</w:t>
      </w:r>
    </w:p>
    <w:p w:rsidR="00F835B2" w:rsidRDefault="00F835B2"/>
    <w:p w:rsidR="00191FE8" w:rsidRDefault="00191FE8">
      <w:r>
        <w:t>18.</w:t>
      </w:r>
    </w:p>
    <w:p w:rsidR="00F835B2" w:rsidRDefault="00F835B2">
      <w:r>
        <w:t>The THRIVE model should be used to assess and manage risk. The threat, harm and risk levels should be assessed. The investigative opportunities should then be considered along with the vulnerability of the victim and the opportunities available to engage with the victim.</w:t>
      </w:r>
    </w:p>
    <w:p w:rsidR="00F835B2" w:rsidRDefault="00F835B2"/>
    <w:p w:rsidR="00191FE8" w:rsidRDefault="00191FE8">
      <w:r>
        <w:t>19.</w:t>
      </w:r>
    </w:p>
    <w:p w:rsidR="005279C8" w:rsidRDefault="005279C8">
      <w:r>
        <w:t>The Public Protection Notification process should be completed for every incident where vulnerability is identified. A victim will be deemed as vulnerable if they are a victim of the most serious crime, if they are a repeat victim or if they are fearful or intimidated. A child will be classed as vulnerable regardless of whether they meet the criteria set out in these three points.</w:t>
      </w:r>
    </w:p>
    <w:p w:rsidR="005279C8" w:rsidRDefault="005279C8"/>
    <w:p w:rsidR="005279C8" w:rsidRDefault="005279C8">
      <w:r>
        <w:t xml:space="preserve">Where vulnerability is identified, a PPN will need to be completed with the victim. This form contains a number of questions which must be answered by the victim. </w:t>
      </w:r>
      <w:r w:rsidR="00D36727">
        <w:t>A referral will then be made to the Public Protection Unit. The victim should also be offered a referral to Victim Focus/Victim Support.</w:t>
      </w:r>
    </w:p>
    <w:p w:rsidR="00D36727" w:rsidRDefault="00D36727"/>
    <w:p w:rsidR="00191FE8" w:rsidRDefault="00191FE8">
      <w:r>
        <w:t>20.</w:t>
      </w:r>
    </w:p>
    <w:p w:rsidR="00CD2F7C" w:rsidRDefault="00CD2F7C">
      <w:r>
        <w:t xml:space="preserve">Where there is violence or a threat of violence towards a victim and it is not possible to </w:t>
      </w:r>
      <w:r w:rsidR="00BC1053">
        <w:t>arrest and charge an offender a</w:t>
      </w:r>
      <w:r>
        <w:t xml:space="preserve"> Domestic Violence Protection Notice (DVPN) should be applied for. The DVPN must be authorised by an officer of the rank of superintendent or above. The DVPN will impose prohibitions on the offender, such as not to return to the victim’s address or not to contact the victim.</w:t>
      </w:r>
    </w:p>
    <w:p w:rsidR="00CD2F7C" w:rsidRDefault="00CD2F7C">
      <w:r>
        <w:t xml:space="preserve">The victim should be informed that the DVPN is being applied for but the application can be made without the victim’s consent. </w:t>
      </w:r>
      <w:r w:rsidR="00C05520">
        <w:t>The DVPN application must be made at court within 48 hours. If the court accepts the DVPN application, it then becomes a Domestic Violence Protection Order (DVPO) and the prohibitions on the offender are extended for a period of between 14-28 days.</w:t>
      </w:r>
    </w:p>
    <w:p w:rsidR="00C05520" w:rsidRDefault="00C05520">
      <w:r>
        <w:t>DVPN and DVPO must be recorded on NICHE and PNC to ensure that any breach of the prohibitions are dealt with.</w:t>
      </w:r>
    </w:p>
    <w:p w:rsidR="00C05520" w:rsidRDefault="00C05520"/>
    <w:p w:rsidR="00191FE8" w:rsidRDefault="00191FE8">
      <w:r>
        <w:lastRenderedPageBreak/>
        <w:t>21.</w:t>
      </w:r>
    </w:p>
    <w:p w:rsidR="00D165C7" w:rsidRDefault="00D165C7">
      <w:r>
        <w:t>Child Sexual Exploitati</w:t>
      </w:r>
      <w:r w:rsidR="00C8298D">
        <w:t xml:space="preserve">on is where a child is groomed or coerced into being involved in sexual activities. This is a form of child abuse. </w:t>
      </w:r>
    </w:p>
    <w:p w:rsidR="00C8298D" w:rsidRDefault="00C8298D">
      <w:r>
        <w:t xml:space="preserve">The Boyfriend Model is an example of Child Sexual Exploitation – this model outlines that a child will be groomed (in person or online) by an adult, usually at least 5 years older than the child. The child will be given affection, gifts, money and/or accommodation. The child will engage in sexual acts with the adult. The adult will then encourage and coerce the child to engage in sexual acts with his friends or acquaintances. </w:t>
      </w:r>
    </w:p>
    <w:p w:rsidR="00942A4F" w:rsidRDefault="00942A4F"/>
    <w:p w:rsidR="00191FE8" w:rsidRDefault="00191FE8">
      <w:r>
        <w:t>22.</w:t>
      </w:r>
    </w:p>
    <w:p w:rsidR="002F4B0B" w:rsidRDefault="002F4B0B">
      <w:r>
        <w:t>The Child Sexual Offender Disclosure Scheme allows a person who is connected to a child to apply for disclosure of information relating to a person that has or may have contact with a child. The application does not have to be made by the child’s parent, for example it could be made by a grandparent or someone else connected to the child. However, if it is deemed necessary to disclose information, the information will be disclosed to the most relevant person</w:t>
      </w:r>
      <w:r w:rsidR="00BC1053">
        <w:t xml:space="preserve"> e.g parent</w:t>
      </w:r>
      <w:r>
        <w:t>, rather than the person making the application.</w:t>
      </w:r>
    </w:p>
    <w:p w:rsidR="002F4B0B" w:rsidRDefault="002F4B0B">
      <w:r>
        <w:t xml:space="preserve">Any information disclosed must not be passed on to other persons, </w:t>
      </w:r>
      <w:r w:rsidR="00950499">
        <w:t>regardless of whether they ha</w:t>
      </w:r>
      <w:r w:rsidR="00BC1053">
        <w:t>ve children who</w:t>
      </w:r>
      <w:r w:rsidR="00950499">
        <w:t xml:space="preserve"> may</w:t>
      </w:r>
      <w:r w:rsidR="00BC1053">
        <w:t xml:space="preserve"> also</w:t>
      </w:r>
      <w:r w:rsidR="00950499">
        <w:t xml:space="preserve"> be in contact with the relevant person. They must make an application for disclosure themselves.</w:t>
      </w:r>
    </w:p>
    <w:p w:rsidR="00950499" w:rsidRDefault="00950499">
      <w:r>
        <w:t>The application can be made for any reason, the person making the application need not suspect that the subject of the application is a child sex offender.</w:t>
      </w:r>
    </w:p>
    <w:p w:rsidR="002F4B0B" w:rsidRDefault="002F4B0B">
      <w:r>
        <w:t>The scheme was piloted by four forces in June 2007.</w:t>
      </w:r>
    </w:p>
    <w:p w:rsidR="00950499" w:rsidRDefault="00950499"/>
    <w:p w:rsidR="00191FE8" w:rsidRDefault="00191FE8">
      <w:r>
        <w:t>23.</w:t>
      </w:r>
    </w:p>
    <w:p w:rsidR="007E4295" w:rsidRDefault="007E4295">
      <w:r>
        <w:t>Rape is defined as person (A) penetrating the vagina, anus or mouth of person (B) with his penis and person (B) does not consent to the penetration. Person (A) does not reasonably believe that person (B) consents.</w:t>
      </w:r>
    </w:p>
    <w:p w:rsidR="007E4295" w:rsidRDefault="007E4295">
      <w:r>
        <w:t>The court can make evidential presumptions under section 75 (a) and (b) of the Sexual Offences Act 2003 based on statements that the suspect makes or based on his behaviour/actions.</w:t>
      </w:r>
    </w:p>
    <w:p w:rsidR="007F15C8" w:rsidRDefault="007F15C8"/>
    <w:p w:rsidR="00191FE8" w:rsidRDefault="00191FE8">
      <w:r>
        <w:t>24.</w:t>
      </w:r>
    </w:p>
    <w:p w:rsidR="007F15C8" w:rsidRDefault="007F15C8">
      <w:pPr>
        <w:rPr>
          <w:bCs/>
          <w:lang w:val="en-US"/>
        </w:rPr>
      </w:pPr>
      <w:r>
        <w:rPr>
          <w:bCs/>
          <w:lang w:val="en-US"/>
        </w:rPr>
        <w:t>T</w:t>
      </w:r>
      <w:r w:rsidRPr="00267391">
        <w:rPr>
          <w:bCs/>
          <w:lang w:val="en-US"/>
        </w:rPr>
        <w:t>he ‘overriding objectives’ of the procedural code regarding justice being done in court</w:t>
      </w:r>
      <w:r>
        <w:rPr>
          <w:bCs/>
          <w:lang w:val="en-US"/>
        </w:rPr>
        <w:t xml:space="preserve"> are:</w:t>
      </w:r>
    </w:p>
    <w:p w:rsidR="007F15C8" w:rsidRDefault="007F15C8">
      <w:pPr>
        <w:rPr>
          <w:bCs/>
          <w:lang w:val="en-US"/>
        </w:rPr>
      </w:pPr>
      <w:r>
        <w:rPr>
          <w:bCs/>
          <w:lang w:val="en-US"/>
        </w:rPr>
        <w:t>The defendant receives a fair trail</w:t>
      </w:r>
    </w:p>
    <w:p w:rsidR="007F15C8" w:rsidRDefault="007F15C8">
      <w:pPr>
        <w:rPr>
          <w:bCs/>
          <w:lang w:val="en-US"/>
        </w:rPr>
      </w:pPr>
      <w:r>
        <w:rPr>
          <w:bCs/>
          <w:lang w:val="en-US"/>
        </w:rPr>
        <w:t>The defendant receives treatment in accordance with his Human Rights, namely Article 6</w:t>
      </w:r>
    </w:p>
    <w:p w:rsidR="007F15C8" w:rsidRDefault="007F15C8">
      <w:pPr>
        <w:rPr>
          <w:bCs/>
          <w:lang w:val="en-US"/>
        </w:rPr>
      </w:pPr>
      <w:r>
        <w:rPr>
          <w:bCs/>
          <w:lang w:val="en-US"/>
        </w:rPr>
        <w:t>The Victims and Witnesses are given the opportunity to testify</w:t>
      </w:r>
    </w:p>
    <w:p w:rsidR="00E723DC" w:rsidRDefault="00E723DC">
      <w:pPr>
        <w:rPr>
          <w:bCs/>
          <w:lang w:val="en-US"/>
        </w:rPr>
      </w:pPr>
    </w:p>
    <w:p w:rsidR="007F15C8" w:rsidRDefault="007F15C8"/>
    <w:p w:rsidR="00191FE8" w:rsidRDefault="00191FE8">
      <w:r>
        <w:lastRenderedPageBreak/>
        <w:t>25.</w:t>
      </w:r>
    </w:p>
    <w:p w:rsidR="006518F5" w:rsidRDefault="006518F5">
      <w:pPr>
        <w:rPr>
          <w:bCs/>
          <w:color w:val="000000" w:themeColor="text1"/>
          <w:lang w:val="en"/>
        </w:rPr>
      </w:pPr>
      <w:r>
        <w:rPr>
          <w:bCs/>
          <w:color w:val="000000" w:themeColor="text1"/>
          <w:lang w:val="en"/>
        </w:rPr>
        <w:t xml:space="preserve">The Full Code Test consists of two parts, the evidential stage and the public interest stage. </w:t>
      </w:r>
    </w:p>
    <w:p w:rsidR="006518F5" w:rsidRDefault="006518F5">
      <w:pPr>
        <w:rPr>
          <w:bCs/>
          <w:color w:val="000000" w:themeColor="text1"/>
          <w:lang w:val="en"/>
        </w:rPr>
      </w:pPr>
      <w:r>
        <w:rPr>
          <w:bCs/>
          <w:color w:val="000000" w:themeColor="text1"/>
          <w:lang w:val="en"/>
        </w:rPr>
        <w:t>To complete the evidential stage, the CPS must be satisfied that there is enough evidence for a realistic prospect of securing a conviction and that there is nothing a defendant could say to rebut the evidence against him.</w:t>
      </w:r>
    </w:p>
    <w:p w:rsidR="006518F5" w:rsidRDefault="006518F5">
      <w:pPr>
        <w:rPr>
          <w:bCs/>
          <w:color w:val="000000" w:themeColor="text1"/>
          <w:lang w:val="en"/>
        </w:rPr>
      </w:pPr>
      <w:r>
        <w:rPr>
          <w:bCs/>
          <w:color w:val="000000" w:themeColor="text1"/>
          <w:lang w:val="en"/>
        </w:rPr>
        <w:t>The public interest stage consists of ascertaining whether or not prosecution would be in the public interest. This is deemed by looking at the seriousness of the offence and the affect it has had on the wider community.</w:t>
      </w:r>
    </w:p>
    <w:p w:rsidR="006518F5" w:rsidRDefault="006518F5">
      <w:pPr>
        <w:rPr>
          <w:bCs/>
          <w:color w:val="000000" w:themeColor="text1"/>
          <w:lang w:val="en"/>
        </w:rPr>
      </w:pPr>
      <w:r>
        <w:rPr>
          <w:bCs/>
          <w:color w:val="000000" w:themeColor="text1"/>
          <w:lang w:val="en"/>
        </w:rPr>
        <w:t>Should the CPS be unable to satisfy the full code test, they would need to apply the threshold test. The threshold test consists of 5 parts:</w:t>
      </w:r>
    </w:p>
    <w:p w:rsidR="006518F5" w:rsidRDefault="006518F5">
      <w:pPr>
        <w:rPr>
          <w:bCs/>
          <w:color w:val="000000" w:themeColor="text1"/>
          <w:lang w:val="en"/>
        </w:rPr>
      </w:pPr>
      <w:r>
        <w:rPr>
          <w:bCs/>
          <w:color w:val="000000" w:themeColor="text1"/>
          <w:lang w:val="en"/>
        </w:rPr>
        <w:t>Is it reasonable to believe that the defendant has committed the offence?</w:t>
      </w:r>
    </w:p>
    <w:p w:rsidR="006518F5" w:rsidRDefault="006518F5">
      <w:pPr>
        <w:rPr>
          <w:bCs/>
          <w:color w:val="000000" w:themeColor="text1"/>
          <w:lang w:val="en"/>
        </w:rPr>
      </w:pPr>
      <w:r>
        <w:rPr>
          <w:bCs/>
          <w:color w:val="000000" w:themeColor="text1"/>
          <w:lang w:val="en"/>
        </w:rPr>
        <w:t>Is there more evidence to be gathered?</w:t>
      </w:r>
    </w:p>
    <w:p w:rsidR="006518F5" w:rsidRDefault="006518F5">
      <w:pPr>
        <w:rPr>
          <w:bCs/>
          <w:color w:val="000000" w:themeColor="text1"/>
          <w:lang w:val="en"/>
        </w:rPr>
      </w:pPr>
      <w:r>
        <w:rPr>
          <w:bCs/>
          <w:color w:val="000000" w:themeColor="text1"/>
          <w:lang w:val="en"/>
        </w:rPr>
        <w:t>The seriousness of the offence?</w:t>
      </w:r>
    </w:p>
    <w:p w:rsidR="006518F5" w:rsidRDefault="006518F5">
      <w:pPr>
        <w:rPr>
          <w:bCs/>
          <w:color w:val="000000" w:themeColor="text1"/>
          <w:lang w:val="en"/>
        </w:rPr>
      </w:pPr>
      <w:r>
        <w:rPr>
          <w:bCs/>
          <w:color w:val="000000" w:themeColor="text1"/>
          <w:lang w:val="en"/>
        </w:rPr>
        <w:t>Is it reasonable to continue to withhold bail?</w:t>
      </w:r>
    </w:p>
    <w:p w:rsidR="00533679" w:rsidRDefault="00533679">
      <w:pPr>
        <w:rPr>
          <w:bCs/>
          <w:color w:val="000000" w:themeColor="text1"/>
          <w:lang w:val="en"/>
        </w:rPr>
      </w:pPr>
      <w:r>
        <w:rPr>
          <w:bCs/>
          <w:color w:val="000000" w:themeColor="text1"/>
          <w:lang w:val="en"/>
        </w:rPr>
        <w:t>Public interest?</w:t>
      </w:r>
      <w:bookmarkStart w:id="0" w:name="_GoBack"/>
      <w:bookmarkEnd w:id="0"/>
    </w:p>
    <w:p w:rsidR="006518F5" w:rsidRDefault="006518F5">
      <w:pPr>
        <w:rPr>
          <w:bCs/>
          <w:color w:val="000000" w:themeColor="text1"/>
          <w:lang w:val="en"/>
        </w:rPr>
      </w:pPr>
    </w:p>
    <w:p w:rsidR="006518F5" w:rsidRDefault="006518F5"/>
    <w:sectPr w:rsidR="006518F5" w:rsidSect="0044561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6EF6" w:rsidRDefault="009E6EF6" w:rsidP="00445613">
      <w:pPr>
        <w:spacing w:after="0" w:line="240" w:lineRule="auto"/>
      </w:pPr>
      <w:r>
        <w:separator/>
      </w:r>
    </w:p>
  </w:endnote>
  <w:endnote w:type="continuationSeparator" w:id="0">
    <w:p w:rsidR="009E6EF6" w:rsidRDefault="009E6EF6" w:rsidP="00445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Footer"/>
      <w:rPr>
        <w:color w:val="000000"/>
        <w:sz w:val="17"/>
      </w:rPr>
    </w:pPr>
    <w:bookmarkStart w:id="3" w:name="TITUS1FooterEvenPages"/>
    <w:r>
      <w:rPr>
        <w:color w:val="000000"/>
        <w:sz w:val="17"/>
      </w:rPr>
      <w:t> </w:t>
    </w:r>
  </w:p>
  <w:bookmarkEnd w:id="3"/>
  <w:p w:rsidR="009E6EF6" w:rsidRDefault="009E6EF6" w:rsidP="00B05B94">
    <w:pPr>
      <w:pStyle w:val="Footer"/>
    </w:pPr>
  </w:p>
  <w:p w:rsidR="009E6EF6" w:rsidRDefault="009E6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Footer"/>
      <w:rPr>
        <w:color w:val="000000"/>
        <w:sz w:val="17"/>
      </w:rPr>
    </w:pPr>
    <w:bookmarkStart w:id="4" w:name="TITUS1FooterPrimary"/>
    <w:r>
      <w:rPr>
        <w:color w:val="000000"/>
        <w:sz w:val="17"/>
      </w:rPr>
      <w:t> </w:t>
    </w:r>
  </w:p>
  <w:bookmarkEnd w:id="4"/>
  <w:p w:rsidR="009E6EF6" w:rsidRDefault="009E6E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Footer"/>
      <w:rPr>
        <w:color w:val="000000"/>
        <w:sz w:val="17"/>
      </w:rPr>
    </w:pPr>
    <w:bookmarkStart w:id="6" w:name="TITUS1FooterFirstPage"/>
    <w:r>
      <w:rPr>
        <w:color w:val="000000"/>
        <w:sz w:val="17"/>
      </w:rPr>
      <w:t> </w:t>
    </w:r>
  </w:p>
  <w:bookmarkEnd w:id="6"/>
  <w:p w:rsidR="009E6EF6" w:rsidRDefault="009E6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6EF6" w:rsidRDefault="009E6EF6" w:rsidP="00445613">
      <w:pPr>
        <w:spacing w:after="0" w:line="240" w:lineRule="auto"/>
      </w:pPr>
      <w:r>
        <w:separator/>
      </w:r>
    </w:p>
  </w:footnote>
  <w:footnote w:type="continuationSeparator" w:id="0">
    <w:p w:rsidR="009E6EF6" w:rsidRDefault="009E6EF6" w:rsidP="004456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Header"/>
      <w:rPr>
        <w:color w:val="000000"/>
        <w:sz w:val="17"/>
      </w:rPr>
    </w:pPr>
    <w:bookmarkStart w:id="1" w:name="TITUS1HeaderEvenPages"/>
    <w:r>
      <w:rPr>
        <w:color w:val="000000"/>
        <w:sz w:val="17"/>
      </w:rPr>
      <w:t> </w:t>
    </w:r>
  </w:p>
  <w:bookmarkEnd w:id="1"/>
  <w:p w:rsidR="009E6EF6" w:rsidRDefault="009E6EF6" w:rsidP="00B05B94">
    <w:pPr>
      <w:pStyle w:val="Header"/>
    </w:pPr>
  </w:p>
  <w:p w:rsidR="009E6EF6" w:rsidRDefault="009E6E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Header"/>
      <w:rPr>
        <w:color w:val="000000"/>
        <w:sz w:val="17"/>
      </w:rPr>
    </w:pPr>
    <w:bookmarkStart w:id="2" w:name="TITUS1HeaderPrimary"/>
    <w:r>
      <w:rPr>
        <w:color w:val="000000"/>
        <w:sz w:val="17"/>
      </w:rPr>
      <w:t> </w:t>
    </w:r>
  </w:p>
  <w:bookmarkEnd w:id="2"/>
  <w:p w:rsidR="009E6EF6" w:rsidRDefault="009E6E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EF6" w:rsidRDefault="004416F4" w:rsidP="004416F4">
    <w:pPr>
      <w:pStyle w:val="Header"/>
      <w:rPr>
        <w:color w:val="000000"/>
        <w:sz w:val="17"/>
      </w:rPr>
    </w:pPr>
    <w:bookmarkStart w:id="5" w:name="TITUS1HeaderFirstPage"/>
    <w:r>
      <w:rPr>
        <w:color w:val="000000"/>
        <w:sz w:val="17"/>
      </w:rPr>
      <w:t> </w:t>
    </w:r>
  </w:p>
  <w:bookmarkEnd w:id="5"/>
  <w:p w:rsidR="009E6EF6" w:rsidRDefault="009E6E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613"/>
    <w:rsid w:val="00066D05"/>
    <w:rsid w:val="000805C9"/>
    <w:rsid w:val="000D6091"/>
    <w:rsid w:val="001028C3"/>
    <w:rsid w:val="0016730E"/>
    <w:rsid w:val="001772CB"/>
    <w:rsid w:val="00191FE8"/>
    <w:rsid w:val="001A01B9"/>
    <w:rsid w:val="002A271E"/>
    <w:rsid w:val="002F4B0B"/>
    <w:rsid w:val="003214BD"/>
    <w:rsid w:val="003F735C"/>
    <w:rsid w:val="00407EBD"/>
    <w:rsid w:val="004416F4"/>
    <w:rsid w:val="00445613"/>
    <w:rsid w:val="004C0C50"/>
    <w:rsid w:val="00525527"/>
    <w:rsid w:val="005279C8"/>
    <w:rsid w:val="00533679"/>
    <w:rsid w:val="00540FC6"/>
    <w:rsid w:val="005F182F"/>
    <w:rsid w:val="00600924"/>
    <w:rsid w:val="006518F5"/>
    <w:rsid w:val="006C0829"/>
    <w:rsid w:val="00705825"/>
    <w:rsid w:val="007E05D9"/>
    <w:rsid w:val="007E3E95"/>
    <w:rsid w:val="007E4295"/>
    <w:rsid w:val="007F15C8"/>
    <w:rsid w:val="00852DD6"/>
    <w:rsid w:val="00942A4F"/>
    <w:rsid w:val="00950499"/>
    <w:rsid w:val="009565A5"/>
    <w:rsid w:val="009E6EF6"/>
    <w:rsid w:val="00AE4A4B"/>
    <w:rsid w:val="00B05B94"/>
    <w:rsid w:val="00BC1053"/>
    <w:rsid w:val="00BF4E4C"/>
    <w:rsid w:val="00C05520"/>
    <w:rsid w:val="00C8298D"/>
    <w:rsid w:val="00CD2F7C"/>
    <w:rsid w:val="00CE29E3"/>
    <w:rsid w:val="00D165C7"/>
    <w:rsid w:val="00D36727"/>
    <w:rsid w:val="00D93AEB"/>
    <w:rsid w:val="00DE7C7A"/>
    <w:rsid w:val="00E07910"/>
    <w:rsid w:val="00E723DC"/>
    <w:rsid w:val="00F172BC"/>
    <w:rsid w:val="00F52641"/>
    <w:rsid w:val="00F835B2"/>
    <w:rsid w:val="00FB2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B5C50"/>
  <w15:chartTrackingRefBased/>
  <w15:docId w15:val="{35964BBB-F112-47C0-9D4F-D02210E5C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613"/>
  </w:style>
  <w:style w:type="paragraph" w:styleId="Footer">
    <w:name w:val="footer"/>
    <w:basedOn w:val="Normal"/>
    <w:link w:val="FooterChar"/>
    <w:uiPriority w:val="99"/>
    <w:unhideWhenUsed/>
    <w:rsid w:val="00445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1700</Words>
  <Characters>9695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Taylor,Rachel swp6709</dc:creator>
  <cp:keywords/>
  <dc:description/>
  <cp:lastModifiedBy>Taylor,Rachel swp6709</cp:lastModifiedBy>
  <cp:revision>41</cp:revision>
  <dcterms:created xsi:type="dcterms:W3CDTF">2020-11-16T12:53:00Z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2e50790b-7719-41cf-bba0-a2b4318bd774</vt:lpwstr>
  </property>
  <property fmtid="{D5CDD505-2E9C-101B-9397-08002B2CF9AE}" pid="3" name="Classification">
    <vt:lpwstr>OFFICIAL</vt:lpwstr>
  </property>
  <property fmtid="{D5CDD505-2E9C-101B-9397-08002B2CF9AE}" pid="4" name="Visibility">
    <vt:lpwstr>NOT VISIBLE</vt:lpwstr>
  </property>
</Properties>
</file>