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AAF99D" w14:textId="53108572" w:rsidR="005576F9" w:rsidRPr="009C4F52" w:rsidRDefault="009C4F52" w:rsidP="009C4F52">
      <w:pPr>
        <w:jc w:val="center"/>
        <w:rPr>
          <w:rFonts w:ascii="Arial" w:hAnsi="Arial" w:cs="Arial"/>
          <w:b/>
          <w:bCs/>
          <w:i/>
          <w:iCs/>
          <w:sz w:val="32"/>
          <w:szCs w:val="32"/>
        </w:rPr>
      </w:pPr>
      <w:r>
        <w:rPr>
          <w:rFonts w:ascii="Arial" w:hAnsi="Arial" w:cs="Arial"/>
          <w:b/>
          <w:bCs/>
          <w:i/>
          <w:iCs/>
          <w:sz w:val="32"/>
          <w:szCs w:val="32"/>
        </w:rPr>
        <w:t>STUDENT NAME:</w:t>
      </w:r>
      <w:r w:rsidR="005576F9" w:rsidRPr="009C4F52">
        <w:rPr>
          <w:rFonts w:ascii="Arial" w:hAnsi="Arial" w:cs="Arial"/>
          <w:b/>
          <w:bCs/>
          <w:i/>
          <w:iCs/>
          <w:sz w:val="32"/>
          <w:szCs w:val="32"/>
        </w:rPr>
        <w:t xml:space="preserve">  </w:t>
      </w:r>
      <w:r>
        <w:rPr>
          <w:rFonts w:ascii="Arial" w:hAnsi="Arial" w:cs="Arial"/>
          <w:b/>
          <w:bCs/>
          <w:i/>
          <w:iCs/>
          <w:sz w:val="32"/>
          <w:szCs w:val="32"/>
        </w:rPr>
        <w:t xml:space="preserve">  RUTA EZRA</w:t>
      </w:r>
    </w:p>
    <w:p w14:paraId="051F3387" w14:textId="77777777" w:rsidR="005576F9" w:rsidRPr="009C4F52" w:rsidRDefault="005576F9" w:rsidP="009C4F52">
      <w:pPr>
        <w:jc w:val="center"/>
        <w:rPr>
          <w:rFonts w:ascii="Arial" w:hAnsi="Arial" w:cs="Arial"/>
          <w:b/>
          <w:bCs/>
          <w:i/>
          <w:iCs/>
          <w:sz w:val="32"/>
          <w:szCs w:val="32"/>
        </w:rPr>
      </w:pPr>
    </w:p>
    <w:p w14:paraId="4D9E7AE6" w14:textId="77777777" w:rsidR="005576F9" w:rsidRPr="009C4F52" w:rsidRDefault="005576F9" w:rsidP="009C4F52">
      <w:pPr>
        <w:jc w:val="center"/>
        <w:rPr>
          <w:rFonts w:ascii="Arial" w:hAnsi="Arial" w:cs="Arial"/>
          <w:b/>
          <w:bCs/>
          <w:i/>
          <w:iCs/>
          <w:sz w:val="32"/>
          <w:szCs w:val="32"/>
        </w:rPr>
      </w:pPr>
    </w:p>
    <w:p w14:paraId="574A4FD6" w14:textId="30FE62D9" w:rsidR="005576F9" w:rsidRPr="009C4F52" w:rsidRDefault="009C4F52" w:rsidP="009C4F52">
      <w:pPr>
        <w:jc w:val="center"/>
        <w:rPr>
          <w:rFonts w:ascii="Arial" w:hAnsi="Arial" w:cs="Arial"/>
          <w:b/>
          <w:bCs/>
          <w:i/>
          <w:iCs/>
          <w:sz w:val="32"/>
          <w:szCs w:val="32"/>
        </w:rPr>
      </w:pPr>
      <w:r>
        <w:rPr>
          <w:rFonts w:ascii="Arial" w:hAnsi="Arial" w:cs="Arial"/>
          <w:b/>
          <w:bCs/>
          <w:i/>
          <w:iCs/>
          <w:sz w:val="32"/>
          <w:szCs w:val="32"/>
        </w:rPr>
        <w:t>SRUDENT ID:</w:t>
      </w:r>
      <w:r w:rsidR="005576F9" w:rsidRPr="009C4F52">
        <w:rPr>
          <w:rFonts w:ascii="Arial" w:hAnsi="Arial" w:cs="Arial"/>
          <w:b/>
          <w:bCs/>
          <w:i/>
          <w:iCs/>
          <w:sz w:val="32"/>
          <w:szCs w:val="32"/>
        </w:rPr>
        <w:t xml:space="preserve">   23</w:t>
      </w:r>
      <w:r>
        <w:rPr>
          <w:rFonts w:ascii="Arial" w:hAnsi="Arial" w:cs="Arial"/>
          <w:b/>
          <w:bCs/>
          <w:i/>
          <w:iCs/>
          <w:sz w:val="32"/>
          <w:szCs w:val="32"/>
        </w:rPr>
        <w:t>10803</w:t>
      </w:r>
    </w:p>
    <w:p w14:paraId="318795E0" w14:textId="77777777" w:rsidR="005576F9" w:rsidRPr="009C4F52" w:rsidRDefault="005576F9" w:rsidP="009C4F52">
      <w:pPr>
        <w:jc w:val="center"/>
        <w:rPr>
          <w:rFonts w:ascii="Arial" w:hAnsi="Arial" w:cs="Arial"/>
          <w:b/>
          <w:bCs/>
          <w:i/>
          <w:iCs/>
          <w:sz w:val="32"/>
          <w:szCs w:val="32"/>
        </w:rPr>
      </w:pPr>
    </w:p>
    <w:p w14:paraId="03970AB2" w14:textId="6FE30846" w:rsidR="005576F9" w:rsidRPr="009C4F52" w:rsidRDefault="007A5518" w:rsidP="009C4F52">
      <w:pPr>
        <w:jc w:val="center"/>
        <w:rPr>
          <w:rFonts w:ascii="Arial" w:hAnsi="Arial" w:cs="Arial"/>
          <w:b/>
          <w:bCs/>
          <w:i/>
          <w:iCs/>
          <w:sz w:val="32"/>
          <w:szCs w:val="32"/>
        </w:rPr>
      </w:pPr>
      <w:r>
        <w:rPr>
          <w:rFonts w:ascii="Arial" w:hAnsi="Arial" w:cs="Arial"/>
          <w:b/>
          <w:bCs/>
          <w:i/>
          <w:iCs/>
          <w:sz w:val="32"/>
          <w:szCs w:val="32"/>
        </w:rPr>
        <w:t>PROGRAM;</w:t>
      </w:r>
      <w:r w:rsidRPr="009C4F52">
        <w:rPr>
          <w:rFonts w:ascii="Arial" w:hAnsi="Arial" w:cs="Arial"/>
          <w:b/>
          <w:bCs/>
          <w:i/>
          <w:iCs/>
          <w:sz w:val="32"/>
          <w:szCs w:val="32"/>
        </w:rPr>
        <w:t xml:space="preserve"> BSc</w:t>
      </w:r>
      <w:r w:rsidR="005576F9" w:rsidRPr="009C4F52">
        <w:rPr>
          <w:rFonts w:ascii="Arial" w:hAnsi="Arial" w:cs="Arial"/>
          <w:b/>
          <w:bCs/>
          <w:i/>
          <w:iCs/>
          <w:sz w:val="32"/>
          <w:szCs w:val="32"/>
        </w:rPr>
        <w:t xml:space="preserve"> (</w:t>
      </w:r>
      <w:r w:rsidR="009C4F52">
        <w:rPr>
          <w:rFonts w:ascii="Arial" w:hAnsi="Arial" w:cs="Arial"/>
          <w:b/>
          <w:bCs/>
          <w:i/>
          <w:iCs/>
          <w:sz w:val="32"/>
          <w:szCs w:val="32"/>
        </w:rPr>
        <w:t>HONS</w:t>
      </w:r>
      <w:r w:rsidR="005576F9" w:rsidRPr="009C4F52">
        <w:rPr>
          <w:rFonts w:ascii="Arial" w:hAnsi="Arial" w:cs="Arial"/>
          <w:b/>
          <w:bCs/>
          <w:i/>
          <w:iCs/>
          <w:sz w:val="32"/>
          <w:szCs w:val="32"/>
        </w:rPr>
        <w:t xml:space="preserve">) </w:t>
      </w:r>
      <w:r w:rsidR="009C4F52">
        <w:rPr>
          <w:rFonts w:ascii="Arial" w:hAnsi="Arial" w:cs="Arial"/>
          <w:b/>
          <w:bCs/>
          <w:i/>
          <w:iCs/>
          <w:sz w:val="32"/>
          <w:szCs w:val="32"/>
        </w:rPr>
        <w:t xml:space="preserve">HEALTH AND SOCIAL CARE </w:t>
      </w:r>
    </w:p>
    <w:p w14:paraId="7EFE2966" w14:textId="77777777" w:rsidR="005576F9" w:rsidRPr="009C4F52" w:rsidRDefault="005576F9" w:rsidP="009C4F52">
      <w:pPr>
        <w:jc w:val="center"/>
        <w:rPr>
          <w:rFonts w:ascii="Arial" w:hAnsi="Arial" w:cs="Arial"/>
          <w:b/>
          <w:bCs/>
          <w:i/>
          <w:iCs/>
          <w:sz w:val="32"/>
          <w:szCs w:val="32"/>
        </w:rPr>
      </w:pPr>
    </w:p>
    <w:p w14:paraId="14A81286" w14:textId="77777777" w:rsidR="005576F9" w:rsidRPr="009C4F52" w:rsidRDefault="005576F9" w:rsidP="009C4F52">
      <w:pPr>
        <w:jc w:val="center"/>
        <w:rPr>
          <w:rFonts w:ascii="Arial" w:hAnsi="Arial" w:cs="Arial"/>
          <w:b/>
          <w:bCs/>
          <w:i/>
          <w:iCs/>
          <w:sz w:val="32"/>
          <w:szCs w:val="32"/>
        </w:rPr>
      </w:pPr>
    </w:p>
    <w:p w14:paraId="5927D824" w14:textId="1BEF1646" w:rsidR="005576F9" w:rsidRPr="009C4F52" w:rsidRDefault="005576F9" w:rsidP="009C4F52">
      <w:pPr>
        <w:jc w:val="center"/>
        <w:rPr>
          <w:rFonts w:ascii="Arial" w:hAnsi="Arial" w:cs="Arial"/>
          <w:b/>
          <w:bCs/>
          <w:i/>
          <w:iCs/>
          <w:sz w:val="32"/>
          <w:szCs w:val="32"/>
        </w:rPr>
      </w:pPr>
      <w:r w:rsidRPr="009C4F52">
        <w:rPr>
          <w:rFonts w:ascii="Arial" w:hAnsi="Arial" w:cs="Arial"/>
          <w:b/>
          <w:bCs/>
          <w:i/>
          <w:iCs/>
          <w:sz w:val="32"/>
          <w:szCs w:val="32"/>
        </w:rPr>
        <w:t>L</w:t>
      </w:r>
      <w:r w:rsidR="007A5518">
        <w:rPr>
          <w:rFonts w:ascii="Arial" w:hAnsi="Arial" w:cs="Arial"/>
          <w:b/>
          <w:bCs/>
          <w:i/>
          <w:iCs/>
          <w:sz w:val="32"/>
          <w:szCs w:val="32"/>
        </w:rPr>
        <w:t>ECTURES</w:t>
      </w:r>
      <w:r w:rsidRPr="009C4F52">
        <w:rPr>
          <w:rFonts w:ascii="Arial" w:hAnsi="Arial" w:cs="Arial"/>
          <w:b/>
          <w:bCs/>
          <w:i/>
          <w:iCs/>
          <w:sz w:val="32"/>
          <w:szCs w:val="32"/>
        </w:rPr>
        <w:t xml:space="preserve"> </w:t>
      </w:r>
      <w:r w:rsidR="007A5518">
        <w:rPr>
          <w:rFonts w:ascii="Arial" w:hAnsi="Arial" w:cs="Arial"/>
          <w:b/>
          <w:bCs/>
          <w:i/>
          <w:iCs/>
          <w:sz w:val="32"/>
          <w:szCs w:val="32"/>
        </w:rPr>
        <w:t>NAME:</w:t>
      </w:r>
      <w:r w:rsidR="009C4F52" w:rsidRPr="009C4F52">
        <w:rPr>
          <w:rFonts w:ascii="Arial" w:hAnsi="Arial" w:cs="Arial"/>
          <w:b/>
          <w:bCs/>
          <w:i/>
          <w:iCs/>
          <w:sz w:val="32"/>
          <w:szCs w:val="32"/>
        </w:rPr>
        <w:t xml:space="preserve">   </w:t>
      </w:r>
      <w:r w:rsidR="009C4F52">
        <w:rPr>
          <w:rFonts w:ascii="Arial" w:hAnsi="Arial" w:cs="Arial"/>
          <w:b/>
          <w:bCs/>
          <w:i/>
          <w:iCs/>
          <w:sz w:val="32"/>
          <w:szCs w:val="32"/>
        </w:rPr>
        <w:t>JUNAD SHAIKH</w:t>
      </w:r>
    </w:p>
    <w:p w14:paraId="3C31DF99" w14:textId="77777777" w:rsidR="005576F9" w:rsidRPr="009C4F52" w:rsidRDefault="005576F9" w:rsidP="009C4F52">
      <w:pPr>
        <w:jc w:val="center"/>
        <w:rPr>
          <w:rFonts w:ascii="Arial" w:hAnsi="Arial" w:cs="Arial"/>
          <w:b/>
          <w:bCs/>
          <w:i/>
          <w:iCs/>
          <w:sz w:val="32"/>
          <w:szCs w:val="32"/>
        </w:rPr>
      </w:pPr>
    </w:p>
    <w:p w14:paraId="3DBBF409" w14:textId="77777777" w:rsidR="005576F9" w:rsidRPr="009C4F52" w:rsidRDefault="005576F9" w:rsidP="009C4F52">
      <w:pPr>
        <w:jc w:val="center"/>
        <w:rPr>
          <w:rFonts w:ascii="Arial" w:hAnsi="Arial" w:cs="Arial"/>
          <w:b/>
          <w:bCs/>
          <w:i/>
          <w:iCs/>
          <w:sz w:val="32"/>
          <w:szCs w:val="32"/>
        </w:rPr>
      </w:pPr>
    </w:p>
    <w:p w14:paraId="777B1F7A" w14:textId="7283B54D" w:rsidR="005576F9" w:rsidRPr="009C4F52" w:rsidRDefault="005576F9" w:rsidP="009C4F52">
      <w:pPr>
        <w:jc w:val="center"/>
        <w:rPr>
          <w:rFonts w:ascii="Arial" w:hAnsi="Arial" w:cs="Arial"/>
          <w:b/>
          <w:bCs/>
          <w:i/>
          <w:iCs/>
          <w:sz w:val="32"/>
          <w:szCs w:val="32"/>
        </w:rPr>
      </w:pPr>
      <w:r w:rsidRPr="009C4F52">
        <w:rPr>
          <w:rFonts w:ascii="Arial" w:hAnsi="Arial" w:cs="Arial"/>
          <w:b/>
          <w:bCs/>
          <w:i/>
          <w:iCs/>
          <w:sz w:val="32"/>
          <w:szCs w:val="32"/>
        </w:rPr>
        <w:t xml:space="preserve">Module      </w:t>
      </w:r>
      <w:r w:rsidR="009C4F52">
        <w:rPr>
          <w:rFonts w:ascii="Arial" w:hAnsi="Arial" w:cs="Arial"/>
          <w:b/>
          <w:bCs/>
          <w:i/>
          <w:iCs/>
          <w:sz w:val="32"/>
          <w:szCs w:val="32"/>
        </w:rPr>
        <w:t>BMHP</w:t>
      </w:r>
      <w:r w:rsidR="009C4F52" w:rsidRPr="009C4F52">
        <w:rPr>
          <w:rFonts w:ascii="Arial" w:hAnsi="Arial" w:cs="Arial"/>
          <w:b/>
          <w:bCs/>
          <w:i/>
          <w:iCs/>
          <w:sz w:val="32"/>
          <w:szCs w:val="32"/>
        </w:rPr>
        <w:t xml:space="preserve">6030 </w:t>
      </w:r>
      <w:r w:rsidR="009C4F52">
        <w:rPr>
          <w:rFonts w:ascii="Arial" w:hAnsi="Arial" w:cs="Arial"/>
          <w:b/>
          <w:bCs/>
          <w:i/>
          <w:iCs/>
          <w:sz w:val="32"/>
          <w:szCs w:val="32"/>
        </w:rPr>
        <w:t xml:space="preserve">HEALTH </w:t>
      </w:r>
      <w:r w:rsidRPr="009C4F52">
        <w:rPr>
          <w:rFonts w:ascii="Arial" w:hAnsi="Arial" w:cs="Arial"/>
          <w:b/>
          <w:bCs/>
          <w:i/>
          <w:iCs/>
          <w:sz w:val="32"/>
          <w:szCs w:val="32"/>
        </w:rPr>
        <w:t xml:space="preserve">  </w:t>
      </w:r>
      <w:r w:rsidR="009C4F52">
        <w:rPr>
          <w:rFonts w:ascii="Arial" w:hAnsi="Arial" w:cs="Arial"/>
          <w:b/>
          <w:bCs/>
          <w:i/>
          <w:iCs/>
          <w:sz w:val="32"/>
          <w:szCs w:val="32"/>
        </w:rPr>
        <w:t xml:space="preserve">WELLBEING </w:t>
      </w:r>
      <w:r w:rsidR="009C4F52" w:rsidRPr="009C4F52">
        <w:rPr>
          <w:rFonts w:ascii="Arial" w:hAnsi="Arial" w:cs="Arial"/>
          <w:b/>
          <w:bCs/>
          <w:i/>
          <w:iCs/>
          <w:sz w:val="32"/>
          <w:szCs w:val="32"/>
        </w:rPr>
        <w:t>AND</w:t>
      </w:r>
      <w:r w:rsidR="009C4F52">
        <w:rPr>
          <w:rFonts w:ascii="Arial" w:hAnsi="Arial" w:cs="Arial"/>
          <w:b/>
          <w:bCs/>
          <w:i/>
          <w:iCs/>
          <w:sz w:val="32"/>
          <w:szCs w:val="32"/>
        </w:rPr>
        <w:t xml:space="preserve"> SUSTAINABLE DEVELOPMENT </w:t>
      </w:r>
    </w:p>
    <w:p w14:paraId="4F2161C1" w14:textId="77777777" w:rsidR="005576F9" w:rsidRPr="009C4F52" w:rsidRDefault="005576F9" w:rsidP="009C4F52">
      <w:pPr>
        <w:jc w:val="center"/>
        <w:rPr>
          <w:rFonts w:ascii="Arial" w:hAnsi="Arial" w:cs="Arial"/>
          <w:b/>
          <w:bCs/>
          <w:i/>
          <w:iCs/>
          <w:sz w:val="32"/>
          <w:szCs w:val="32"/>
        </w:rPr>
      </w:pPr>
    </w:p>
    <w:p w14:paraId="536AE56C" w14:textId="0F3C6660" w:rsidR="005576F9" w:rsidRPr="009C4F52" w:rsidRDefault="009C4F52" w:rsidP="009C4F52">
      <w:pPr>
        <w:jc w:val="center"/>
        <w:rPr>
          <w:rFonts w:ascii="Arial" w:hAnsi="Arial" w:cs="Arial"/>
          <w:b/>
          <w:bCs/>
          <w:i/>
          <w:iCs/>
          <w:sz w:val="32"/>
          <w:szCs w:val="32"/>
        </w:rPr>
      </w:pPr>
      <w:r>
        <w:rPr>
          <w:rFonts w:ascii="Arial" w:hAnsi="Arial" w:cs="Arial"/>
          <w:b/>
          <w:bCs/>
          <w:i/>
          <w:iCs/>
          <w:sz w:val="32"/>
          <w:szCs w:val="32"/>
        </w:rPr>
        <w:t xml:space="preserve">COMPONENT </w:t>
      </w:r>
      <w:r w:rsidR="005576F9" w:rsidRPr="009C4F52">
        <w:rPr>
          <w:rFonts w:ascii="Arial" w:hAnsi="Arial" w:cs="Arial"/>
          <w:b/>
          <w:bCs/>
          <w:i/>
          <w:iCs/>
          <w:sz w:val="32"/>
          <w:szCs w:val="32"/>
        </w:rPr>
        <w:t>2</w:t>
      </w:r>
    </w:p>
    <w:p w14:paraId="6FC5308C" w14:textId="77777777" w:rsidR="005576F9" w:rsidRDefault="005576F9" w:rsidP="00B930C1">
      <w:pPr>
        <w:rPr>
          <w:rFonts w:ascii="Times New Roman" w:hAnsi="Times New Roman" w:cs="Times New Roman"/>
          <w:sz w:val="24"/>
          <w:szCs w:val="24"/>
        </w:rPr>
      </w:pPr>
    </w:p>
    <w:p w14:paraId="24851DAC" w14:textId="77777777" w:rsidR="005576F9" w:rsidRDefault="005576F9" w:rsidP="00B930C1">
      <w:pPr>
        <w:rPr>
          <w:rFonts w:ascii="Times New Roman" w:hAnsi="Times New Roman" w:cs="Times New Roman"/>
          <w:sz w:val="24"/>
          <w:szCs w:val="24"/>
        </w:rPr>
      </w:pPr>
    </w:p>
    <w:p w14:paraId="638A79A9" w14:textId="6A755021" w:rsidR="005576F9" w:rsidRDefault="005576F9" w:rsidP="00B930C1">
      <w:pPr>
        <w:rPr>
          <w:rFonts w:ascii="Times New Roman" w:hAnsi="Times New Roman" w:cs="Times New Roman"/>
          <w:sz w:val="24"/>
          <w:szCs w:val="24"/>
        </w:rPr>
        <w:sectPr w:rsidR="005576F9">
          <w:pgSz w:w="11906" w:h="16838"/>
          <w:pgMar w:top="1440" w:right="1800" w:bottom="1440" w:left="1800" w:header="720" w:footer="720" w:gutter="0"/>
          <w:cols w:space="720"/>
          <w:docGrid w:linePitch="360"/>
        </w:sectPr>
      </w:pPr>
    </w:p>
    <w:p w14:paraId="19D6B34E" w14:textId="77777777" w:rsidR="00D06AB0" w:rsidRDefault="00000000">
      <w:pPr>
        <w:pStyle w:val="Heading1"/>
        <w:jc w:val="both"/>
        <w:rPr>
          <w:rFonts w:ascii="Times New Roman" w:hAnsi="Times New Roman" w:hint="default"/>
          <w:sz w:val="24"/>
          <w:szCs w:val="24"/>
        </w:rPr>
      </w:pPr>
      <w:r>
        <w:rPr>
          <w:rFonts w:ascii="Times New Roman" w:hAnsi="Times New Roman" w:hint="default"/>
          <w:sz w:val="24"/>
          <w:szCs w:val="24"/>
        </w:rPr>
        <w:lastRenderedPageBreak/>
        <w:t>Introduction</w:t>
      </w:r>
    </w:p>
    <w:p w14:paraId="69FB419D" w14:textId="77777777" w:rsidR="00D06AB0" w:rsidRDefault="00000000">
      <w:pPr>
        <w:pStyle w:val="NormalWeb"/>
        <w:jc w:val="both"/>
      </w:pPr>
      <w:r>
        <w:t>There is growing recognition that health, wellbeing, and sustainable development are interdependent policy dimensions which demand a coordinated global, national and local response. Global efforts to overcome complex health problems as well as achieve social and environmental sustainability are guided by the United Nations Sustainable Development Goals (SDGs) (United Nations, 2024). Of these goals, SDG 3 (Good Health and Wellbeing) and SDG 10 (Reduced Inequalities) are closely related, as inequalities have a strong effect on health outcomes through broader social determinants (World Health Organization (WHO), 2023a). The report critically examines the benefits and consequences of these SDGs and assesses a range of national and local initiatives in the UK to enhance citizens' health, wellbeing and sustainable development.</w:t>
      </w:r>
    </w:p>
    <w:p w14:paraId="1A685012" w14:textId="77777777" w:rsidR="00D06AB0" w:rsidRDefault="00000000">
      <w:pPr>
        <w:pStyle w:val="Heading1"/>
        <w:rPr>
          <w:rFonts w:ascii="Times New Roman" w:hAnsi="Times New Roman" w:hint="default"/>
          <w:sz w:val="24"/>
          <w:szCs w:val="24"/>
        </w:rPr>
      </w:pPr>
      <w:r>
        <w:rPr>
          <w:rFonts w:ascii="Times New Roman" w:hAnsi="Times New Roman" w:hint="default"/>
          <w:sz w:val="24"/>
          <w:szCs w:val="24"/>
        </w:rPr>
        <w:t>Critical Analysis of SDG 3 and SDG 10</w:t>
      </w:r>
    </w:p>
    <w:p w14:paraId="362CBB03" w14:textId="4BA507F0" w:rsidR="00D06AB0" w:rsidRDefault="00000000">
      <w:pPr>
        <w:pStyle w:val="NormalWeb"/>
        <w:jc w:val="both"/>
      </w:pPr>
      <w:r>
        <w:t>The Sustainable Development Goals (SDGs) acknowledge the close interconnection between health and sustainable development, placing them not as two distinct policies but as a single continuum. The achievement of Sustainable Development Goal (SDG) 3, which seeks to ensure healthy lives and promote wellbeing for all, relies hugely on the progress of other goals, especially SDG 10 (Reduced inequalities) (Gabija, 2024). Social determinants of health, such as income, education, employment, housing, and access to health services, are key factors influencing health outcomes (</w:t>
      </w:r>
      <w:r w:rsidR="00F8395D">
        <w:t>Varipapa</w:t>
      </w:r>
      <w:r>
        <w:t xml:space="preserve"> et al., 2025), and inequality poses a significant challenge to achieving sustainable improvement in population health (World Health Organization (WHO), 2023a). Therefore, an analysis of SDG 3 in conjunction with SDG 10 allows for a better understanding of the impact of global, national, and local policies on health and well-being of citizens.</w:t>
      </w:r>
    </w:p>
    <w:p w14:paraId="255F7F1D" w14:textId="4E33741A" w:rsidR="00D06AB0" w:rsidRDefault="00000000">
      <w:pPr>
        <w:pStyle w:val="NormalWeb"/>
        <w:jc w:val="both"/>
      </w:pPr>
      <w:r>
        <w:t xml:space="preserve">SDG 3 has driven a greater sense of international cooperation to address communicable disease outbreaks, decreasing maternal and child mortality, and improving universal health coverage at global level. Many low- and middle-income countries (LMC) have made significant strides in increasing vaccination coverage, enhancing maternal healthcare, and expanding access to basic medicines since the SDGs were adopted in 2015 (United Nations, 2024). However, the pace of progress has been uneven and is increasingly being </w:t>
      </w:r>
      <w:r w:rsidR="009C4F52">
        <w:t>jeopardized</w:t>
      </w:r>
      <w:r>
        <w:t xml:space="preserve"> by new challenges around the world. The COVID-19 pandemic revealed a great deal of fragility in health systems globally, undoing years of progress in health system performance, including life expectancy, routine </w:t>
      </w:r>
      <w:r w:rsidR="009C4F52">
        <w:t>immunization</w:t>
      </w:r>
      <w:r>
        <w:t>, and access to health services (WHO, 2023b). The challenges highlight that SDG 3 is not only dependent on health services, but also on resilient social, economic, and political systems that are able to cushion shocks.</w:t>
      </w:r>
    </w:p>
    <w:p w14:paraId="42BD5806" w14:textId="4ED31601" w:rsidR="00D06AB0" w:rsidRDefault="00000000">
      <w:pPr>
        <w:pStyle w:val="NormalWeb"/>
        <w:jc w:val="both"/>
      </w:pPr>
      <w:r>
        <w:t>An important weakness of SDG 3 is that its universal targets do not sufficiently take significant variations in the economic capacities and governance systems of countries into consideration (</w:t>
      </w:r>
      <w:r w:rsidR="009C4F52">
        <w:t>Lakiotis</w:t>
      </w:r>
      <w:r>
        <w:t xml:space="preserve"> et al., 2025). Although health systems in wealthier countries have more capacity and resources to support SDG-related interventions, many developing countries still face low workforce, lack or insufficient funding for health systems, and weak access to health systems and services (Sachs et al., 2024). So, improvements in global averages can mask inequalities between countries. This </w:t>
      </w:r>
      <w:r>
        <w:lastRenderedPageBreak/>
        <w:t>implies that aggregate indicators of overall progress are not sufficient to assess the effectiveness of SDG 3 as they may fail to capture populations experiencing recurring disadvantage.</w:t>
      </w:r>
    </w:p>
    <w:p w14:paraId="3599625E" w14:textId="77777777" w:rsidR="00D06AB0" w:rsidRDefault="00000000">
      <w:pPr>
        <w:pStyle w:val="NormalWeb"/>
        <w:jc w:val="both"/>
      </w:pPr>
      <w:r>
        <w:t>The link between SDG 3 and SDG 10 is especially clear since health inequalities are mostly a result of wider socioeconomic inequalities. SDG 10 seeks to achieve reduction in inequalities within and among countries by fostering social inclusion, equal opportunities, and fair access to resources (United Nations, 2024). According to Marmot (2020) and Rad (2025), inequitable societies tend to have worse health outcomes, such as shorter life expectancy, increased rates of chronic disease, and mental health issues, than equitable societies even in the presence of good healthcare systems. Thus, health inequalities cannot simply be wiped out by improvements in health service provision without tackling the social and economic root causes of inequalities.</w:t>
      </w:r>
    </w:p>
    <w:p w14:paraId="638A8C50" w14:textId="77777777" w:rsidR="00D06AB0" w:rsidRDefault="00000000">
      <w:pPr>
        <w:pStyle w:val="NormalWeb"/>
        <w:jc w:val="both"/>
      </w:pPr>
      <w:r>
        <w:t>Inequalities remain a determinant of access to health services, education, nutrition, sanitation, and safe housing across the globe, which altogether impact physical and mental health (Abdi et al., 2025). People living in poverty continue to be much more at risk of infectious diseases, preventable mortality, and malnutrition compared to wealthier ones (WHO, 2023a). These inequalities are further exacerbated by climate change by deepening food insecurity, worsens extreme weather conditions, and intensifies environmental degradation, which disproportionately impacts disadvantaged communities (Intergovernmental Panel on Climate Change (IPCC), 2023). SDG 10 is, therefore, an enabling goal that helps to achieve SDG 3 by tackling structural barriers to fair health outcomes.</w:t>
      </w:r>
    </w:p>
    <w:p w14:paraId="41165E1E" w14:textId="77777777" w:rsidR="00D06AB0" w:rsidRDefault="00000000">
      <w:pPr>
        <w:pStyle w:val="NormalWeb"/>
        <w:jc w:val="both"/>
      </w:pPr>
      <w:r>
        <w:t>In the United Kingdom, the link between SDG 3 and SDG 10 can be seen in continuing health inequalities notwithstanding universal healthcare provided through the National Health Service (NHS). While the NHS makes healthcare free at the point of use, socioeconomic status, ethnicity, and geographical location still have a strong connection with health outcomes (The King's Fund, 2024). Improvements in life expectancy over the last ten years have increased a bit, whereas healthy life expectancy is very unevenly distributed across affluent and deprived communities (Office for Health Improvement and Disparities (OHID), 2025). These gaps highlight the fact that access to health services only is not sufficient for achieving equitable health outcomes.</w:t>
      </w:r>
    </w:p>
    <w:p w14:paraId="285FA496" w14:textId="0FD9B750" w:rsidR="00D06AB0" w:rsidRDefault="00000000">
      <w:pPr>
        <w:pStyle w:val="NormalWeb"/>
        <w:jc w:val="both"/>
      </w:pPr>
      <w:r>
        <w:t xml:space="preserve">Marmot (2020) suggests that the rise in income inequality, increases in insecure employment, and reductions in funding for public health have played a major part in declining health outcomes among disadvantaged groups. This evidence calls into question the notion that expansion of clinical services alone can meet SDG 3. However, coordinated action in various policy areas such as education, housing, employment, and social protection is necessary for effective implementation. Critics have suggested that, despite acknowledging the importance of wider determinants of health, UK health policy has often </w:t>
      </w:r>
      <w:r w:rsidR="009C4F52">
        <w:t>prioritized</w:t>
      </w:r>
      <w:r>
        <w:t xml:space="preserve"> treatment over prevention (Griffin et al., 2021; Arnold and Holden, 2025).</w:t>
      </w:r>
    </w:p>
    <w:p w14:paraId="40D48455" w14:textId="77777777" w:rsidR="00D06AB0" w:rsidRDefault="00000000">
      <w:pPr>
        <w:pStyle w:val="NormalWeb"/>
        <w:jc w:val="both"/>
      </w:pPr>
      <w:r>
        <w:t xml:space="preserve">The connection between SDG 3 and SDG 10 is even more evident in the case of mental health. Financial insecurity, lack of employment, and social exclusion are significant factors that exacerbate anxiety, depression, and poor well-being (Bell and </w:t>
      </w:r>
      <w:r>
        <w:lastRenderedPageBreak/>
        <w:t>Marmot, 2022; OECD, 2025). Hence, poverty and inequality reduction policies have a secondary effect on mental health. This illustrates the interconnectedness of the SDGs, which means that the achievement of one goal will lead to the progress of another. However, the implementation of SDGs is often hampered by policy fragmentation across government departments, which can reduce the overall effectiveness of the two SDGs.</w:t>
      </w:r>
    </w:p>
    <w:p w14:paraId="0ECF704A" w14:textId="5DD3FE9D" w:rsidR="00D06AB0" w:rsidRDefault="00000000">
      <w:pPr>
        <w:pStyle w:val="NormalWeb"/>
        <w:jc w:val="both"/>
      </w:pPr>
      <w:r>
        <w:t xml:space="preserve">Birmingham offers a good example of how social inequalities affect health outcomes at local level. Birmingham is one of England's most ethnically diverse cities, yet also highly socio-economic deprived. Birmingham City Council (2023) reported that there is a high prevalence of child poverty, long-term illness, poor housing situations, and high unemployment levels in many </w:t>
      </w:r>
      <w:r w:rsidR="009C4F52">
        <w:t>neighborhoods</w:t>
      </w:r>
      <w:r>
        <w:t xml:space="preserve"> across the city. These social problems add to wide variations in life expectancy and healthy life expectancy even in communities that are only a few miles away.</w:t>
      </w:r>
    </w:p>
    <w:p w14:paraId="4A149B33" w14:textId="76729BD4" w:rsidR="00D06AB0" w:rsidRDefault="00000000">
      <w:pPr>
        <w:pStyle w:val="NormalWeb"/>
        <w:jc w:val="both"/>
      </w:pPr>
      <w:r>
        <w:t xml:space="preserve">Public health strategies at the local level are increasingly acknowledging the need to address wider determinants of health, instead of simply depending on healthcare services. The Health and Wellbeing Strategy for Birmingham follows a place-based approach, incorporating healthcare into housing, education, employment, and community partnerships (Birmingham City Council, 2023). These integrated approaches are very similar to SDG 3 and SDG 10, which </w:t>
      </w:r>
      <w:r w:rsidR="009C4F52">
        <w:t>recognize</w:t>
      </w:r>
      <w:r>
        <w:t xml:space="preserve"> that sustainable health improvements can only be achieved through coordinated action across sectors. However, implementation is limited due to financial pressures, staffing issues, and the growing need for health and social care services. Additionally, many factors impacting health, such as welfare policy and economic inequality, are not under the control of local government, and so local governments have limited capacity to make significant long-term improvements on their own.</w:t>
      </w:r>
    </w:p>
    <w:p w14:paraId="0048DF1F" w14:textId="77777777" w:rsidR="00D06AB0" w:rsidRDefault="00000000">
      <w:pPr>
        <w:pStyle w:val="Heading1"/>
        <w:rPr>
          <w:rFonts w:ascii="Times New Roman" w:hAnsi="Times New Roman" w:hint="default"/>
          <w:sz w:val="24"/>
          <w:szCs w:val="24"/>
        </w:rPr>
      </w:pPr>
      <w:r>
        <w:rPr>
          <w:rFonts w:ascii="Times New Roman" w:hAnsi="Times New Roman" w:hint="default"/>
          <w:sz w:val="24"/>
          <w:szCs w:val="24"/>
        </w:rPr>
        <w:t>Evaluation of National and Local Health, Wellbeing and Sustainability Initiatives</w:t>
      </w:r>
    </w:p>
    <w:p w14:paraId="64677F34" w14:textId="77777777" w:rsidR="00D06AB0" w:rsidRDefault="00000000">
      <w:pPr>
        <w:pStyle w:val="NormalWeb"/>
        <w:jc w:val="both"/>
      </w:pPr>
      <w:r>
        <w:t>One of the biggest national projects in the UK that helps to implement SDG 3 is the NHS Long Term Plan, which aims to enhance the population health while making sure of long-term sustainability in healthcare services. The plan was published in 2019 and focuses on prevention, integrated care, digital innovation, services for mental health, and reducing health inequalities (NHS England, 2019). These priorities underscore the increasing awareness that healthcare systems need to shift their focus from addressing disease to preventing it and enhancing wellbeing.</w:t>
      </w:r>
    </w:p>
    <w:p w14:paraId="3C2C61FA" w14:textId="58EDC5C6" w:rsidR="00D06AB0" w:rsidRDefault="00000000">
      <w:pPr>
        <w:pStyle w:val="NormalWeb"/>
        <w:jc w:val="both"/>
      </w:pPr>
      <w:r>
        <w:t xml:space="preserve">Preventative healthcare is one of the greatest strengths of the NHS Long Term Plan. NHS England (2019) suggests that more focus on early diagnosis, prevention of cardiovascular disease, and community care could help to decrease unnecessary </w:t>
      </w:r>
      <w:r w:rsidR="006354EF">
        <w:t>hospitalizations</w:t>
      </w:r>
      <w:r>
        <w:t xml:space="preserve"> and enhance long-term outcomes. Additionally, the growth of Integrated Care Systems (ICSs) has led to a greater degree of collaboration between healthcare providers, local authorities, and voluntary bodies, which aligns with the evidence that good collaboration between services can enhance patient care and service efficiency (Fasasi and Tafirenyika, 2022; The King's Fund, 2022). The plan also reinforces mental health provision, allocating more funds and expanding access to community services, as a growing number of people </w:t>
      </w:r>
      <w:proofErr w:type="gramStart"/>
      <w:r>
        <w:t>are</w:t>
      </w:r>
      <w:proofErr w:type="gramEnd"/>
      <w:r>
        <w:t xml:space="preserve"> seeking them out since COVID-19.</w:t>
      </w:r>
    </w:p>
    <w:p w14:paraId="2F60684D" w14:textId="77777777" w:rsidR="00D06AB0" w:rsidRDefault="00000000">
      <w:pPr>
        <w:pStyle w:val="NormalWeb"/>
        <w:jc w:val="both"/>
      </w:pPr>
      <w:r>
        <w:lastRenderedPageBreak/>
        <w:t>Regardless of these strengths, the success of the NHS Long Term Plan has been limited by substantial structural challenges. Implementation has been restricted in many regions, due to workforce shortages, growing waiting lists, financial pressures, and rising demand (The King's Fund, 2024). While prevention is a key goal, healthcare spending is still focused on treatment instead of upstream efforts to tackle poverty, housing, and employment. However, as Marmot (2020) explain, healthcare services can only contribute a proportion of health outcomes, which means that broader government policies are still vital in reducing inequalities. Resultantly, even though the NHS Long Term Plan is consistent with SDG 3, it has limited ability to attain sustainable impact if there is less action across Government to support SDG 10.</w:t>
      </w:r>
    </w:p>
    <w:p w14:paraId="3EE030E9" w14:textId="669A32AE" w:rsidR="00D06AB0" w:rsidRDefault="00000000">
      <w:pPr>
        <w:pStyle w:val="NormalWeb"/>
        <w:jc w:val="both"/>
      </w:pPr>
      <w:r>
        <w:t xml:space="preserve">Birmingham's Health and Wellbeing Strategy illustrates a place-based approach focused on improving health and wellbeing through partnership working across public services, communities, and voluntary </w:t>
      </w:r>
      <w:r w:rsidR="009C4F52">
        <w:t>organizations</w:t>
      </w:r>
      <w:r>
        <w:t xml:space="preserve"> at the local level (Birmingham City Council, 2023). The strategy focuses on healthy lifestyles, tackling inequalities, enhancing mental wellbeing, and developing healthier </w:t>
      </w:r>
      <w:r w:rsidR="009C4F52">
        <w:t>neighborhoods</w:t>
      </w:r>
      <w:r>
        <w:t>. This mirrors current public health research, which puts a strong focus on addressing social determinants of health instead of solely on medical care.</w:t>
      </w:r>
    </w:p>
    <w:p w14:paraId="03300B05" w14:textId="306EE81B" w:rsidR="00D06AB0" w:rsidRDefault="00000000">
      <w:pPr>
        <w:pStyle w:val="NormalWeb"/>
        <w:jc w:val="both"/>
      </w:pPr>
      <w:r>
        <w:t xml:space="preserve">The key strength of the strategy is the recognition that housing quality, education, employment opportunities, and community resilience all impact local health outcomes (Benoit et al., 2023). The strategy promotes co-operation between several </w:t>
      </w:r>
      <w:r w:rsidR="009C4F52">
        <w:t>organizations</w:t>
      </w:r>
      <w:r>
        <w:t>, which allows for more comprehensive interventions that can provide solutions to complex health problems. Community engagement also allows for the local priorities to be reflected in the delivery of services, which may enhance service access to vulnerable populations (Michener et al., 2025).</w:t>
      </w:r>
    </w:p>
    <w:p w14:paraId="10D7D14A" w14:textId="3EE347FE" w:rsidR="00D06AB0" w:rsidRDefault="00000000">
      <w:pPr>
        <w:pStyle w:val="NormalWeb"/>
        <w:jc w:val="both"/>
      </w:pPr>
      <w:r>
        <w:t xml:space="preserve">There are significant drawbacks to the strategy though. Local authorities have suffered long-term cuts in public health funding; </w:t>
      </w:r>
      <w:proofErr w:type="gramStart"/>
      <w:r>
        <w:t>therefore</w:t>
      </w:r>
      <w:proofErr w:type="gramEnd"/>
      <w:r>
        <w:t xml:space="preserve"> having limited ability to provide preventative </w:t>
      </w:r>
      <w:r w:rsidR="009C4F52">
        <w:t>programmers</w:t>
      </w:r>
      <w:r>
        <w:t xml:space="preserve"> at the level that is needed (Arnold and Holden, 2025). Also, many factors driving inequality, such as national welfare policy, inflation, and </w:t>
      </w:r>
      <w:r w:rsidR="009C4F52">
        <w:t>labor</w:t>
      </w:r>
      <w:r>
        <w:t xml:space="preserve"> market situations, are still outside the influence of local government. Assessing the direct impact of local initiatives is equally difficult as improvements in health outcomes tend to be slow and rely on a multitude of factors outside of the initiative (Parry and Stevens, 2001). Therefore, Birmingham's strategy shows good policy alignment with SDG 3 and SDG 10, but requires continuing funding policy support from national government, as well as effective cross-sector collaboration instead of only local action.</w:t>
      </w:r>
    </w:p>
    <w:p w14:paraId="51F00B80" w14:textId="77777777" w:rsidR="00D06AB0" w:rsidRDefault="00000000">
      <w:pPr>
        <w:pStyle w:val="Heading1"/>
        <w:jc w:val="both"/>
        <w:rPr>
          <w:rFonts w:ascii="Times New Roman" w:hAnsi="Times New Roman" w:hint="default"/>
          <w:sz w:val="24"/>
          <w:szCs w:val="24"/>
        </w:rPr>
      </w:pPr>
      <w:r>
        <w:rPr>
          <w:rFonts w:ascii="Times New Roman" w:hAnsi="Times New Roman" w:hint="default"/>
          <w:sz w:val="24"/>
          <w:szCs w:val="24"/>
        </w:rPr>
        <w:t>Recommendations</w:t>
      </w:r>
    </w:p>
    <w:p w14:paraId="01024F7C" w14:textId="77777777" w:rsidR="00D06AB0" w:rsidRDefault="00000000">
      <w:pPr>
        <w:pStyle w:val="NormalWeb"/>
        <w:jc w:val="both"/>
      </w:pPr>
      <w:r>
        <w:t>National and local governments have a fundamental role to play in strengthening cooperation between various sectors by creating a new framework that brings together health, housing, education, employment, and environmental policies. Evidence suggests that interventions in the wider determinants of health offer more lasting benefits than interventions within healthcare as the determinants of health are largely determined by social and economic conditions (Marmot, 2020; WHO, 2023a). This approach will better connect SDG 3 with SDG 10 while tackling persistent health inequalities.</w:t>
      </w:r>
    </w:p>
    <w:p w14:paraId="2E7915D8" w14:textId="5A469D31" w:rsidR="00D06AB0" w:rsidRDefault="00000000">
      <w:pPr>
        <w:pStyle w:val="NormalWeb"/>
        <w:jc w:val="both"/>
      </w:pPr>
      <w:r>
        <w:lastRenderedPageBreak/>
        <w:t xml:space="preserve">Second, more resources should be focused on primary public health prevention </w:t>
      </w:r>
      <w:r w:rsidR="009C4F52">
        <w:t>programmers</w:t>
      </w:r>
      <w:r>
        <w:t xml:space="preserve"> than primarily on treatment. Over time, expansion of community-based mental health services, health promotion campaigns, and early intervention </w:t>
      </w:r>
      <w:r w:rsidR="009C4F52">
        <w:t>programmers</w:t>
      </w:r>
      <w:r>
        <w:t xml:space="preserve"> can help avoid unnecessary hospital admissions and enhance the population wellbeing (NHS England, 2019; Arnold and Holden, 2025). While significant upfront financial cost is required for preventative strategies, they are typically more cost-effective than managing chronic illness after development.</w:t>
      </w:r>
    </w:p>
    <w:p w14:paraId="2358444A" w14:textId="77777777" w:rsidR="00D06AB0" w:rsidRDefault="00000000">
      <w:pPr>
        <w:pStyle w:val="NormalWeb"/>
        <w:jc w:val="both"/>
      </w:pPr>
      <w:r>
        <w:t>Third, governments should reinforce monitoring and accounting for health inequalities with the help of disaggregated local data to assess health inequalities between different groups of people. National averages tend to mask inequalities experienced by deprived communities, making policy less effective (United Nations, 2024; OHID, 2025). Routine assessment could allow resources to be concentrated on areas of greatest health need, thereby enhancing equity while informing evidence-based policy decisions and more effective action on SDG 3 as well as SDG 10.</w:t>
      </w:r>
    </w:p>
    <w:p w14:paraId="45F8D273" w14:textId="77777777" w:rsidR="00D06AB0" w:rsidRDefault="00000000">
      <w:pPr>
        <w:pStyle w:val="Heading1"/>
        <w:jc w:val="both"/>
        <w:rPr>
          <w:rFonts w:ascii="Times New Roman" w:hAnsi="Times New Roman" w:hint="default"/>
          <w:sz w:val="24"/>
          <w:szCs w:val="24"/>
        </w:rPr>
      </w:pPr>
      <w:r>
        <w:rPr>
          <w:rFonts w:ascii="Times New Roman" w:hAnsi="Times New Roman" w:hint="default"/>
          <w:sz w:val="24"/>
          <w:szCs w:val="24"/>
        </w:rPr>
        <w:t>Conclusion</w:t>
      </w:r>
    </w:p>
    <w:p w14:paraId="0EA84BF2" w14:textId="58AE4939" w:rsidR="00D06AB0" w:rsidRDefault="00000000">
      <w:pPr>
        <w:pStyle w:val="NormalWeb"/>
        <w:jc w:val="both"/>
        <w:sectPr w:rsidR="00D06AB0">
          <w:pgSz w:w="11906" w:h="16838"/>
          <w:pgMar w:top="1440" w:right="1800" w:bottom="1440" w:left="1800" w:header="720" w:footer="720" w:gutter="0"/>
          <w:cols w:space="720"/>
          <w:docGrid w:linePitch="360"/>
        </w:sectPr>
      </w:pPr>
      <w:r>
        <w:t xml:space="preserve">This report has shown that tackling health and well-being demands much more than simply increasing healthcare services. To achieve sustainable progress, social and economic inequalities that influence health outcomes across populations must be reduced. National and local </w:t>
      </w:r>
      <w:r w:rsidR="009C4F52">
        <w:t>programmers</w:t>
      </w:r>
      <w:r>
        <w:t xml:space="preserve"> have set a solid policy groundwork, but they have limited long-term impact due to funding pressures, poor coordination of implementation, and continuous inequities. Making meaningful improvements, however, requires an integrated, preventative, and evidence-based approach that brings together multiple sectors </w:t>
      </w:r>
      <w:proofErr w:type="gramStart"/>
      <w:r>
        <w:t>in order to</w:t>
      </w:r>
      <w:proofErr w:type="gramEnd"/>
      <w:r>
        <w:t xml:space="preserve"> create healthier and more equitable communities.</w:t>
      </w:r>
    </w:p>
    <w:p w14:paraId="51DAD9AB" w14:textId="77777777" w:rsidR="00D06AB0" w:rsidRDefault="00000000">
      <w:pPr>
        <w:pStyle w:val="Heading1"/>
        <w:rPr>
          <w:rFonts w:ascii="Times New Roman" w:hAnsi="Times New Roman" w:hint="default"/>
          <w:sz w:val="24"/>
          <w:szCs w:val="24"/>
        </w:rPr>
      </w:pPr>
      <w:r>
        <w:rPr>
          <w:rFonts w:ascii="Times New Roman" w:hAnsi="Times New Roman" w:hint="default"/>
          <w:sz w:val="24"/>
          <w:szCs w:val="24"/>
        </w:rPr>
        <w:lastRenderedPageBreak/>
        <w:t>References</w:t>
      </w:r>
    </w:p>
    <w:p w14:paraId="1DC60475" w14:textId="258626AF" w:rsidR="00D06AB0" w:rsidRDefault="00000000">
      <w:pPr>
        <w:pStyle w:val="NormalWeb"/>
        <w:jc w:val="both"/>
      </w:pPr>
      <w:r>
        <w:t>Abdi, Y.H., Abdi, M.S., Bashir, S.G., Ahmed, N.I. and Abdullahi, Y.B. (</w:t>
      </w:r>
      <w:r w:rsidR="006354EF">
        <w:t xml:space="preserve">2025) </w:t>
      </w:r>
      <w:r>
        <w:t xml:space="preserve">Understanding global health inequality and inequity: causes, consequences, and the path toward justice in healthcare’, </w:t>
      </w:r>
      <w:r>
        <w:rPr>
          <w:rStyle w:val="Emphasis"/>
        </w:rPr>
        <w:t>Public Health Challenges</w:t>
      </w:r>
      <w:r>
        <w:t>, 4(4), p. e70156.</w:t>
      </w:r>
    </w:p>
    <w:p w14:paraId="4D4378D3" w14:textId="77777777" w:rsidR="00D06AB0" w:rsidRDefault="00000000">
      <w:pPr>
        <w:pStyle w:val="NormalWeb"/>
        <w:jc w:val="both"/>
      </w:pPr>
      <w:r>
        <w:t xml:space="preserve">Arnold, S. and Holden, J. (2025) </w:t>
      </w:r>
      <w:r>
        <w:rPr>
          <w:rStyle w:val="Emphasis"/>
        </w:rPr>
        <w:t>What is prevention in health?</w:t>
      </w:r>
      <w:r>
        <w:t xml:space="preserve"> Available at: </w:t>
      </w:r>
      <w:hyperlink r:id="rId6" w:tgtFrame="_new" w:history="1">
        <w:r w:rsidR="00D06AB0">
          <w:rPr>
            <w:rStyle w:val="Hyperlink"/>
          </w:rPr>
          <w:t>https://www.kingsfund.org.uk/insight-and-analysis/long-reads/what-is-prevention-in-health</w:t>
        </w:r>
      </w:hyperlink>
      <w:r>
        <w:t xml:space="preserve"> (Accessed: 8 June 2026).</w:t>
      </w:r>
    </w:p>
    <w:p w14:paraId="305057A7" w14:textId="77777777" w:rsidR="00D06AB0" w:rsidRDefault="00000000">
      <w:pPr>
        <w:pStyle w:val="NormalWeb"/>
        <w:jc w:val="both"/>
      </w:pPr>
      <w:r>
        <w:t>Bell, R. and Marmot, M. (</w:t>
      </w:r>
      <w:proofErr w:type="gramStart"/>
      <w:r>
        <w:t>2022) ‘</w:t>
      </w:r>
      <w:proofErr w:type="gramEnd"/>
      <w:r>
        <w:t xml:space="preserve">Social determinants and mental health’, in Bhugra, D., </w:t>
      </w:r>
      <w:proofErr w:type="spellStart"/>
      <w:r>
        <w:t>Bhui</w:t>
      </w:r>
      <w:proofErr w:type="spellEnd"/>
      <w:r>
        <w:t xml:space="preserve">, K., Wong, S.Y.S. and Gilman, S.E. (eds.) </w:t>
      </w:r>
      <w:r>
        <w:rPr>
          <w:rStyle w:val="Emphasis"/>
        </w:rPr>
        <w:t>Oxford Textbook of Social Psychiatry</w:t>
      </w:r>
      <w:r>
        <w:t xml:space="preserve">. 2nd </w:t>
      </w:r>
      <w:proofErr w:type="spellStart"/>
      <w:r>
        <w:t>edn</w:t>
      </w:r>
      <w:proofErr w:type="spellEnd"/>
      <w:r>
        <w:t>. Oxford: Oxford University Press, pp. 171–180.</w:t>
      </w:r>
    </w:p>
    <w:p w14:paraId="64B34E26" w14:textId="77777777" w:rsidR="00D06AB0" w:rsidRDefault="00000000">
      <w:pPr>
        <w:pStyle w:val="NormalWeb"/>
        <w:jc w:val="both"/>
      </w:pPr>
      <w:r>
        <w:t xml:space="preserve">Benoit, C., Jeffery, A., Cleary, S., Masood, A., Paton, A. and Burt, C. (2023) </w:t>
      </w:r>
      <w:r>
        <w:rPr>
          <w:rStyle w:val="Emphasis"/>
        </w:rPr>
        <w:t>Health inequalities in Birmingham: barriers encountered in underserved wards in East and West Birmingham</w:t>
      </w:r>
      <w:r>
        <w:t xml:space="preserve">. Available at: </w:t>
      </w:r>
      <w:hyperlink r:id="rId7" w:tgtFrame="_new" w:history="1">
        <w:r w:rsidR="00D06AB0">
          <w:rPr>
            <w:rStyle w:val="Hyperlink"/>
          </w:rPr>
          <w:t>https://publications.aston.ac.uk/id/eprint/45706/</w:t>
        </w:r>
      </w:hyperlink>
      <w:r>
        <w:t xml:space="preserve"> (Accessed: 12 June 2026).</w:t>
      </w:r>
    </w:p>
    <w:p w14:paraId="069FD2DC" w14:textId="77777777" w:rsidR="00D06AB0" w:rsidRDefault="00000000">
      <w:pPr>
        <w:pStyle w:val="NormalWeb"/>
        <w:jc w:val="both"/>
      </w:pPr>
      <w:r>
        <w:t xml:space="preserve">Birmingham City Council (2023) </w:t>
      </w:r>
      <w:r>
        <w:rPr>
          <w:rStyle w:val="Emphasis"/>
        </w:rPr>
        <w:t xml:space="preserve">Creating a </w:t>
      </w:r>
      <w:proofErr w:type="gramStart"/>
      <w:r>
        <w:rPr>
          <w:rStyle w:val="Emphasis"/>
        </w:rPr>
        <w:t>bolder</w:t>
      </w:r>
      <w:proofErr w:type="gramEnd"/>
      <w:r>
        <w:rPr>
          <w:rStyle w:val="Emphasis"/>
        </w:rPr>
        <w:t>, healthier city: Birmingham Health and Wellbeing Strategy 2022–2030</w:t>
      </w:r>
      <w:r>
        <w:t xml:space="preserve">. Available at: </w:t>
      </w:r>
      <w:hyperlink r:id="rId8" w:tgtFrame="_new" w:history="1">
        <w:r w:rsidR="00D06AB0">
          <w:rPr>
            <w:rStyle w:val="Hyperlink"/>
          </w:rPr>
          <w:t>https://www.birmingham.gov.uk/downloads/file/23756/creating_a_bolder_healthier_city_2022_to_2030</w:t>
        </w:r>
      </w:hyperlink>
      <w:r>
        <w:t xml:space="preserve"> (Accessed: 12 June 2026).</w:t>
      </w:r>
    </w:p>
    <w:p w14:paraId="6B4E2658" w14:textId="77777777" w:rsidR="00D06AB0" w:rsidRDefault="00000000">
      <w:pPr>
        <w:pStyle w:val="NormalWeb"/>
        <w:jc w:val="both"/>
      </w:pPr>
      <w:r>
        <w:t>Fasasi, G.T. and Tafirenyika, S. (</w:t>
      </w:r>
      <w:proofErr w:type="gramStart"/>
      <w:r>
        <w:t>2022) ‘</w:t>
      </w:r>
      <w:proofErr w:type="gramEnd"/>
      <w:r>
        <w:t xml:space="preserve">Integrated model for technology-driven collaboration between healthcare professionals and social care teams’, </w:t>
      </w:r>
      <w:r>
        <w:rPr>
          <w:rStyle w:val="Emphasis"/>
        </w:rPr>
        <w:t>International Journal of Scientific Research in Computer Science Engineering and Information Technology</w:t>
      </w:r>
      <w:r>
        <w:t>.</w:t>
      </w:r>
    </w:p>
    <w:p w14:paraId="4C821885" w14:textId="77777777" w:rsidR="00D06AB0" w:rsidRDefault="00000000">
      <w:pPr>
        <w:pStyle w:val="NormalWeb"/>
        <w:jc w:val="both"/>
      </w:pPr>
      <w:r>
        <w:t xml:space="preserve">Gabija, L. (2024) </w:t>
      </w:r>
      <w:r>
        <w:rPr>
          <w:rStyle w:val="Emphasis"/>
        </w:rPr>
        <w:t>Achieving Sustainable Development Goal 3 (SDG 3): the EU’s role in promoting health and well-being for all</w:t>
      </w:r>
      <w:r>
        <w:t xml:space="preserve">. Brussels: European Parliamentary Research Service. Available at: </w:t>
      </w:r>
      <w:hyperlink r:id="rId9" w:tgtFrame="_new" w:history="1">
        <w:r w:rsidR="00D06AB0">
          <w:rPr>
            <w:rStyle w:val="Hyperlink"/>
          </w:rPr>
          <w:t>https://www.europarl.europa.eu/RegData/etudes/BRIE/2024/762380/EPRS_BRI(2024)762380_EN.pdf</w:t>
        </w:r>
      </w:hyperlink>
      <w:r>
        <w:t xml:space="preserve"> (Accessed: 2 June 2026).</w:t>
      </w:r>
    </w:p>
    <w:p w14:paraId="0EC6C8BC" w14:textId="77777777" w:rsidR="00D06AB0" w:rsidRDefault="00000000">
      <w:pPr>
        <w:pStyle w:val="NormalWeb"/>
        <w:jc w:val="both"/>
      </w:pPr>
      <w:r>
        <w:t xml:space="preserve">Griffin, N., Phillips, S.M., Hillier-Brown, F., </w:t>
      </w:r>
      <w:proofErr w:type="spellStart"/>
      <w:r>
        <w:t>Wistow</w:t>
      </w:r>
      <w:proofErr w:type="spellEnd"/>
      <w:r>
        <w:t xml:space="preserve">, J., Fairbrother, H., Holding, E., Powell, K. and Summerbell, C. (2021) ‘A critique of the English national policy from a social determinants of health perspective using a realist and problem representation approach: the “Childhood Obesity: A Plan for Action” (2016, 2018, 2019)’, </w:t>
      </w:r>
      <w:r>
        <w:rPr>
          <w:rStyle w:val="Emphasis"/>
        </w:rPr>
        <w:t>BMC Public Health</w:t>
      </w:r>
      <w:r>
        <w:t>, 21(1), p. 2284.</w:t>
      </w:r>
    </w:p>
    <w:p w14:paraId="68EEC2C7" w14:textId="77777777" w:rsidR="00D06AB0" w:rsidRDefault="00000000">
      <w:pPr>
        <w:pStyle w:val="NormalWeb"/>
        <w:jc w:val="both"/>
      </w:pPr>
      <w:r>
        <w:t xml:space="preserve">Intergovernmental Panel on Climate Change (IPCC) (2023) </w:t>
      </w:r>
      <w:r>
        <w:rPr>
          <w:rStyle w:val="Emphasis"/>
        </w:rPr>
        <w:t>Climate change 2023: synthesis report</w:t>
      </w:r>
      <w:r>
        <w:t xml:space="preserve">. Geneva: IPCC. Available at: </w:t>
      </w:r>
      <w:hyperlink r:id="rId10" w:tgtFrame="_new" w:history="1">
        <w:r w:rsidR="00D06AB0">
          <w:rPr>
            <w:rStyle w:val="Hyperlink"/>
          </w:rPr>
          <w:t>https://www.ipcc.ch/report/ar6/syr/</w:t>
        </w:r>
      </w:hyperlink>
      <w:r>
        <w:t xml:space="preserve"> (Accessed: 8 June 2026).</w:t>
      </w:r>
    </w:p>
    <w:p w14:paraId="7174BBE6" w14:textId="77777777" w:rsidR="00D06AB0" w:rsidRDefault="00000000">
      <w:pPr>
        <w:pStyle w:val="NormalWeb"/>
        <w:jc w:val="both"/>
      </w:pPr>
      <w:proofErr w:type="spellStart"/>
      <w:r>
        <w:t>Lakioti</w:t>
      </w:r>
      <w:proofErr w:type="spellEnd"/>
      <w:r>
        <w:t xml:space="preserve">, E., Pagonis, N., </w:t>
      </w:r>
      <w:proofErr w:type="spellStart"/>
      <w:r>
        <w:t>Flegkas</w:t>
      </w:r>
      <w:proofErr w:type="spellEnd"/>
      <w:r>
        <w:t xml:space="preserve">, D., </w:t>
      </w:r>
      <w:proofErr w:type="spellStart"/>
      <w:r>
        <w:t>Itziou</w:t>
      </w:r>
      <w:proofErr w:type="spellEnd"/>
      <w:r>
        <w:t xml:space="preserve">, A., Moustakas, K. and </w:t>
      </w:r>
      <w:proofErr w:type="spellStart"/>
      <w:r>
        <w:t>Karayannis</w:t>
      </w:r>
      <w:proofErr w:type="spellEnd"/>
      <w:r>
        <w:t>, V. (</w:t>
      </w:r>
      <w:proofErr w:type="gramStart"/>
      <w:r>
        <w:t>2025) ‘</w:t>
      </w:r>
      <w:proofErr w:type="gramEnd"/>
      <w:r>
        <w:t xml:space="preserve">Social factors and policies promoting good health and well-being as a sustainable development goal: current achievements and future pathways’, </w:t>
      </w:r>
      <w:r>
        <w:rPr>
          <w:rStyle w:val="Emphasis"/>
        </w:rPr>
        <w:t>Sustainability</w:t>
      </w:r>
      <w:r>
        <w:t>, 17(11), p. 5063.</w:t>
      </w:r>
    </w:p>
    <w:p w14:paraId="6A4BF952" w14:textId="77777777" w:rsidR="00D06AB0" w:rsidRDefault="00000000">
      <w:pPr>
        <w:pStyle w:val="NormalWeb"/>
        <w:jc w:val="both"/>
      </w:pPr>
      <w:r>
        <w:lastRenderedPageBreak/>
        <w:t>Marmot, M. (</w:t>
      </w:r>
      <w:proofErr w:type="gramStart"/>
      <w:r>
        <w:t>2020) ‘</w:t>
      </w:r>
      <w:proofErr w:type="gramEnd"/>
      <w:r>
        <w:t xml:space="preserve">Health equity in England: </w:t>
      </w:r>
      <w:proofErr w:type="gramStart"/>
      <w:r>
        <w:t>the</w:t>
      </w:r>
      <w:proofErr w:type="gramEnd"/>
      <w:r>
        <w:t xml:space="preserve"> Marmot review 10 years on’, </w:t>
      </w:r>
      <w:r>
        <w:rPr>
          <w:rStyle w:val="Emphasis"/>
        </w:rPr>
        <w:t>BMJ</w:t>
      </w:r>
      <w:r>
        <w:t>, 368, m693.</w:t>
      </w:r>
    </w:p>
    <w:p w14:paraId="04F20703" w14:textId="77777777" w:rsidR="00D06AB0" w:rsidRDefault="00000000">
      <w:pPr>
        <w:pStyle w:val="NormalWeb"/>
        <w:jc w:val="both"/>
      </w:pPr>
      <w:r>
        <w:t xml:space="preserve">Michener, J.L., Williams, A., Oto-Kent, D. and Aguilar-Gaxiola, S.A. (2025) ‘Community engagement: a foundation for health equity and resilience’, </w:t>
      </w:r>
      <w:r>
        <w:rPr>
          <w:rStyle w:val="Emphasis"/>
        </w:rPr>
        <w:t>American Journal of Public Health</w:t>
      </w:r>
      <w:r>
        <w:t>, 115(S2), pp. S104–S109.</w:t>
      </w:r>
    </w:p>
    <w:p w14:paraId="792E2D5D" w14:textId="77777777" w:rsidR="00D06AB0" w:rsidRDefault="00000000">
      <w:pPr>
        <w:pStyle w:val="NormalWeb"/>
        <w:jc w:val="both"/>
      </w:pPr>
      <w:r>
        <w:t xml:space="preserve">NHS England (2019) </w:t>
      </w:r>
      <w:r>
        <w:rPr>
          <w:rStyle w:val="Emphasis"/>
        </w:rPr>
        <w:t>The NHS Long Term Plan</w:t>
      </w:r>
      <w:r>
        <w:t xml:space="preserve">. Available at: </w:t>
      </w:r>
      <w:hyperlink r:id="rId11" w:tgtFrame="_new" w:history="1">
        <w:r w:rsidR="00D06AB0">
          <w:rPr>
            <w:rStyle w:val="Hyperlink"/>
          </w:rPr>
          <w:t>https://www.england.nhs.uk/long-term-plan/</w:t>
        </w:r>
      </w:hyperlink>
      <w:r>
        <w:t xml:space="preserve"> (Accessed: 8 June 2026).</w:t>
      </w:r>
    </w:p>
    <w:p w14:paraId="4AF4E7F7" w14:textId="77777777" w:rsidR="00D06AB0" w:rsidRDefault="00000000">
      <w:pPr>
        <w:pStyle w:val="NormalWeb"/>
        <w:jc w:val="both"/>
      </w:pPr>
      <w:r>
        <w:t xml:space="preserve">Office for Health Improvement and Disparities (OHID) (2025) </w:t>
      </w:r>
      <w:r>
        <w:rPr>
          <w:rStyle w:val="Emphasis"/>
        </w:rPr>
        <w:t>Health inequalities dashboard: statistical commentary, September 2025</w:t>
      </w:r>
      <w:r>
        <w:t xml:space="preserve">. Available at: </w:t>
      </w:r>
      <w:hyperlink r:id="rId12" w:tgtFrame="_new" w:history="1">
        <w:r w:rsidR="00D06AB0">
          <w:rPr>
            <w:rStyle w:val="Hyperlink"/>
          </w:rPr>
          <w:t>https://www.gov.uk/government/statistics/health-inequalities-dashboard-september-2025-data-update/health-inequalities-dashboard-statistical-commentary-september-2025</w:t>
        </w:r>
      </w:hyperlink>
      <w:r>
        <w:t xml:space="preserve"> (Accessed: 2 June 2026).</w:t>
      </w:r>
    </w:p>
    <w:p w14:paraId="21F1FDA4" w14:textId="77777777" w:rsidR="00D06AB0" w:rsidRDefault="00000000">
      <w:pPr>
        <w:pStyle w:val="NormalWeb"/>
        <w:jc w:val="both"/>
      </w:pPr>
      <w:proofErr w:type="spellStart"/>
      <w:r>
        <w:t>Organisation</w:t>
      </w:r>
      <w:proofErr w:type="spellEnd"/>
      <w:r>
        <w:t xml:space="preserve"> for Economic Co-operation and Development (OECD) (2025) </w:t>
      </w:r>
      <w:r>
        <w:rPr>
          <w:rStyle w:val="Emphasis"/>
        </w:rPr>
        <w:t xml:space="preserve">Health </w:t>
      </w:r>
      <w:proofErr w:type="gramStart"/>
      <w:r>
        <w:rPr>
          <w:rStyle w:val="Emphasis"/>
        </w:rPr>
        <w:t>at a Glance</w:t>
      </w:r>
      <w:proofErr w:type="gramEnd"/>
      <w:r>
        <w:rPr>
          <w:rStyle w:val="Emphasis"/>
        </w:rPr>
        <w:t xml:space="preserve"> 2025: OECD indicators</w:t>
      </w:r>
      <w:r>
        <w:t xml:space="preserve">. Paris: OECD Publishing. Available at: </w:t>
      </w:r>
      <w:hyperlink r:id="rId13" w:tgtFrame="_new" w:history="1">
        <w:r w:rsidR="00D06AB0">
          <w:rPr>
            <w:rStyle w:val="Hyperlink"/>
          </w:rPr>
          <w:t>https://www.oecd.org/content/dam/oecd/en/publications/reports/2025/11/health-at-a-glance-2025_a894f72e/8f9e3f98-en.pdf</w:t>
        </w:r>
      </w:hyperlink>
      <w:r>
        <w:t xml:space="preserve"> (Accessed: 18 June 2026).</w:t>
      </w:r>
    </w:p>
    <w:p w14:paraId="0A7F952B" w14:textId="77777777" w:rsidR="00D06AB0" w:rsidRDefault="00000000">
      <w:pPr>
        <w:pStyle w:val="NormalWeb"/>
        <w:jc w:val="both"/>
      </w:pPr>
      <w:r>
        <w:t xml:space="preserve">Parry, J. and Stevens, A. (2001) ‘Prospective health impact assessment: pitfalls, problems, and possible ways forward’, </w:t>
      </w:r>
      <w:r>
        <w:rPr>
          <w:rStyle w:val="Emphasis"/>
        </w:rPr>
        <w:t>BMJ</w:t>
      </w:r>
      <w:r>
        <w:t>, 323(7322), pp. 1177–1182.</w:t>
      </w:r>
    </w:p>
    <w:p w14:paraId="73162E15" w14:textId="77777777" w:rsidR="00D06AB0" w:rsidRDefault="00000000">
      <w:pPr>
        <w:pStyle w:val="NormalWeb"/>
        <w:jc w:val="both"/>
      </w:pPr>
      <w:r>
        <w:t>Rad, J. (</w:t>
      </w:r>
      <w:proofErr w:type="gramStart"/>
      <w:r>
        <w:t>2025) ‘</w:t>
      </w:r>
      <w:proofErr w:type="gramEnd"/>
      <w:r>
        <w:t xml:space="preserve">Health inequities: a persistent global challenge from past to future’, </w:t>
      </w:r>
      <w:r>
        <w:rPr>
          <w:rStyle w:val="Emphasis"/>
        </w:rPr>
        <w:t>International Journal for Equity in Health</w:t>
      </w:r>
      <w:r>
        <w:t>, 24(1), p. 148.</w:t>
      </w:r>
    </w:p>
    <w:p w14:paraId="47D19E75" w14:textId="77777777" w:rsidR="00D06AB0" w:rsidRDefault="00000000">
      <w:pPr>
        <w:pStyle w:val="NormalWeb"/>
        <w:jc w:val="both"/>
      </w:pPr>
      <w:r>
        <w:t xml:space="preserve">Sachs, J.D., Lafortune, G., Fuller, G. and Drumm, E. (2024) </w:t>
      </w:r>
      <w:r>
        <w:rPr>
          <w:rStyle w:val="Emphasis"/>
        </w:rPr>
        <w:t>Sustainable Development Report 2024</w:t>
      </w:r>
      <w:r>
        <w:t xml:space="preserve">. Dublin: Dublin University Press. Available at: </w:t>
      </w:r>
      <w:hyperlink r:id="rId14" w:tgtFrame="_new" w:history="1">
        <w:r w:rsidR="00D06AB0">
          <w:rPr>
            <w:rStyle w:val="Hyperlink"/>
          </w:rPr>
          <w:t>https://sdgtransformationcenter.org/reports/sustainable-development-report-2024</w:t>
        </w:r>
      </w:hyperlink>
      <w:r>
        <w:t xml:space="preserve"> (Accessed: 18 June 2026).</w:t>
      </w:r>
    </w:p>
    <w:p w14:paraId="14160EA3" w14:textId="77777777" w:rsidR="00D06AB0" w:rsidRDefault="00000000">
      <w:pPr>
        <w:pStyle w:val="NormalWeb"/>
        <w:jc w:val="both"/>
      </w:pPr>
      <w:r>
        <w:t xml:space="preserve">The King’s Fund (2022) </w:t>
      </w:r>
      <w:r>
        <w:rPr>
          <w:rStyle w:val="Emphasis"/>
        </w:rPr>
        <w:t xml:space="preserve">Integrated care systems explained: making sense of systems, places and </w:t>
      </w:r>
      <w:proofErr w:type="spellStart"/>
      <w:r>
        <w:rPr>
          <w:rStyle w:val="Emphasis"/>
        </w:rPr>
        <w:t>neighbourhoods</w:t>
      </w:r>
      <w:proofErr w:type="spellEnd"/>
      <w:r>
        <w:t xml:space="preserve">. Available at: </w:t>
      </w:r>
      <w:hyperlink r:id="rId15" w:tgtFrame="_new" w:history="1">
        <w:r w:rsidR="00D06AB0">
          <w:rPr>
            <w:rStyle w:val="Hyperlink"/>
          </w:rPr>
          <w:t>https://www.kingsfund.org.uk/insight-and-analysis/long-reads/integrated-care-systems-explained</w:t>
        </w:r>
      </w:hyperlink>
      <w:r>
        <w:t xml:space="preserve"> (Accessed: 18 June 2026).</w:t>
      </w:r>
    </w:p>
    <w:p w14:paraId="3B114893" w14:textId="77777777" w:rsidR="00D06AB0" w:rsidRDefault="00000000">
      <w:pPr>
        <w:pStyle w:val="NormalWeb"/>
        <w:jc w:val="both"/>
      </w:pPr>
      <w:r>
        <w:t xml:space="preserve">The King’s Fund (2024) </w:t>
      </w:r>
      <w:r>
        <w:rPr>
          <w:rStyle w:val="Emphasis"/>
        </w:rPr>
        <w:t>The NHS in a nutshell</w:t>
      </w:r>
      <w:r>
        <w:t xml:space="preserve">. Available at: </w:t>
      </w:r>
      <w:hyperlink r:id="rId16" w:tgtFrame="_new" w:history="1">
        <w:r w:rsidR="00D06AB0">
          <w:rPr>
            <w:rStyle w:val="Hyperlink"/>
          </w:rPr>
          <w:t>https://www.kingsfund.org.uk/insight-and-analysis/projects/nhs-in-nutshell</w:t>
        </w:r>
      </w:hyperlink>
      <w:r>
        <w:t xml:space="preserve"> (Accessed: 20 June 2026).</w:t>
      </w:r>
    </w:p>
    <w:p w14:paraId="1A50EFD9" w14:textId="77777777" w:rsidR="00D06AB0" w:rsidRDefault="00000000">
      <w:pPr>
        <w:pStyle w:val="NormalWeb"/>
        <w:jc w:val="both"/>
      </w:pPr>
      <w:r>
        <w:t xml:space="preserve">United Nations (2024) </w:t>
      </w:r>
      <w:r>
        <w:rPr>
          <w:rStyle w:val="Emphasis"/>
        </w:rPr>
        <w:t>The Sustainable Development Goals Report 2024</w:t>
      </w:r>
      <w:r>
        <w:t xml:space="preserve">. New York: United Nations. Available at: </w:t>
      </w:r>
      <w:hyperlink r:id="rId17" w:tgtFrame="_new" w:history="1">
        <w:r w:rsidR="00D06AB0">
          <w:rPr>
            <w:rStyle w:val="Hyperlink"/>
          </w:rPr>
          <w:t>https://unstats.un.org/sdgs/report/2024/The-Sustainable-Development-Goals-Report-2024.pdf</w:t>
        </w:r>
      </w:hyperlink>
      <w:r>
        <w:t xml:space="preserve"> (Accessed: 8 June 2026).</w:t>
      </w:r>
    </w:p>
    <w:p w14:paraId="29FF8090" w14:textId="77777777" w:rsidR="00D06AB0" w:rsidRDefault="00000000">
      <w:pPr>
        <w:pStyle w:val="NormalWeb"/>
        <w:jc w:val="both"/>
      </w:pPr>
      <w:proofErr w:type="spellStart"/>
      <w:r>
        <w:t>Vrtikapa</w:t>
      </w:r>
      <w:proofErr w:type="spellEnd"/>
      <w:r>
        <w:t xml:space="preserve">, K., </w:t>
      </w:r>
      <w:proofErr w:type="spellStart"/>
      <w:r>
        <w:t>Urmy</w:t>
      </w:r>
      <w:proofErr w:type="spellEnd"/>
      <w:r>
        <w:t xml:space="preserve">, F.H. and Hoque, F. (2025) ‘Social determinants of health: the impact of this overlooked vital sign’, </w:t>
      </w:r>
      <w:r>
        <w:rPr>
          <w:rStyle w:val="Emphasis"/>
        </w:rPr>
        <w:t>Journal of Brown Hospital Medicine</w:t>
      </w:r>
      <w:r>
        <w:t>, 4(3), p. 138072.</w:t>
      </w:r>
    </w:p>
    <w:p w14:paraId="0010513F" w14:textId="77777777" w:rsidR="00D06AB0" w:rsidRDefault="00000000">
      <w:pPr>
        <w:pStyle w:val="NormalWeb"/>
        <w:jc w:val="both"/>
      </w:pPr>
      <w:r>
        <w:lastRenderedPageBreak/>
        <w:t xml:space="preserve">World Health Organization (2023a) </w:t>
      </w:r>
      <w:r>
        <w:rPr>
          <w:rStyle w:val="Emphasis"/>
        </w:rPr>
        <w:t>World health statistics 2023: monitoring health for the SDGs</w:t>
      </w:r>
      <w:r>
        <w:t xml:space="preserve">. Geneva: World Health Organization. Available at: </w:t>
      </w:r>
      <w:hyperlink r:id="rId18" w:tgtFrame="_new" w:history="1">
        <w:r w:rsidR="00D06AB0">
          <w:rPr>
            <w:rStyle w:val="Hyperlink"/>
          </w:rPr>
          <w:t>https://www.who.int/publications/i/item/9789240074323</w:t>
        </w:r>
      </w:hyperlink>
      <w:r>
        <w:t xml:space="preserve"> (Accessed: 12 June 2026).</w:t>
      </w:r>
    </w:p>
    <w:p w14:paraId="7EC12DEF" w14:textId="77777777" w:rsidR="00D06AB0" w:rsidRDefault="00000000">
      <w:pPr>
        <w:pStyle w:val="NormalWeb"/>
        <w:jc w:val="both"/>
      </w:pPr>
      <w:r>
        <w:t xml:space="preserve">World Health Organization (2023b) </w:t>
      </w:r>
      <w:r>
        <w:rPr>
          <w:rStyle w:val="Emphasis"/>
        </w:rPr>
        <w:t>The impact of the COVID-19 pandemic on global health goals</w:t>
      </w:r>
      <w:r>
        <w:t xml:space="preserve">. Available at: </w:t>
      </w:r>
      <w:hyperlink r:id="rId19" w:tgtFrame="_new" w:history="1">
        <w:r w:rsidR="00D06AB0">
          <w:rPr>
            <w:rStyle w:val="Hyperlink"/>
          </w:rPr>
          <w:t>https://www.who.int/news-room/spotlight/the-impact-of-covid-19-on-global-health-goals</w:t>
        </w:r>
      </w:hyperlink>
      <w:r>
        <w:t xml:space="preserve"> (Accessed: 2 June 2026).</w:t>
      </w:r>
    </w:p>
    <w:p w14:paraId="53591F82" w14:textId="77777777" w:rsidR="00D06AB0" w:rsidRDefault="00D06AB0">
      <w:pPr>
        <w:jc w:val="both"/>
        <w:rPr>
          <w:rFonts w:ascii="Times New Roman" w:hAnsi="Times New Roman" w:cs="Times New Roman"/>
          <w:sz w:val="24"/>
          <w:szCs w:val="24"/>
        </w:rPr>
      </w:pPr>
    </w:p>
    <w:sectPr w:rsidR="00D06AB0">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4554F" w14:textId="77777777" w:rsidR="0092435D" w:rsidRDefault="0092435D" w:rsidP="00B930C1">
      <w:r>
        <w:separator/>
      </w:r>
    </w:p>
  </w:endnote>
  <w:endnote w:type="continuationSeparator" w:id="0">
    <w:p w14:paraId="7014B050" w14:textId="77777777" w:rsidR="0092435D" w:rsidRDefault="0092435D" w:rsidP="00B930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1F0EC" w14:textId="77777777" w:rsidR="0092435D" w:rsidRDefault="0092435D" w:rsidP="00B930C1">
      <w:r>
        <w:separator/>
      </w:r>
    </w:p>
  </w:footnote>
  <w:footnote w:type="continuationSeparator" w:id="0">
    <w:p w14:paraId="5D7A43F6" w14:textId="77777777" w:rsidR="0092435D" w:rsidRDefault="0092435D" w:rsidP="00B930C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4F5850E7"/>
    <w:rsid w:val="005576F9"/>
    <w:rsid w:val="00616C11"/>
    <w:rsid w:val="006354EF"/>
    <w:rsid w:val="007A5518"/>
    <w:rsid w:val="008A50CD"/>
    <w:rsid w:val="0092435D"/>
    <w:rsid w:val="009C4F52"/>
    <w:rsid w:val="00B930C1"/>
    <w:rsid w:val="00BA7B54"/>
    <w:rsid w:val="00D06AB0"/>
    <w:rsid w:val="00D3338E"/>
    <w:rsid w:val="00E7665C"/>
    <w:rsid w:val="00F8395D"/>
    <w:rsid w:val="072858CC"/>
    <w:rsid w:val="08BC6D87"/>
    <w:rsid w:val="09656A4C"/>
    <w:rsid w:val="09926EBF"/>
    <w:rsid w:val="0A993BD2"/>
    <w:rsid w:val="10194DC7"/>
    <w:rsid w:val="14173F06"/>
    <w:rsid w:val="14AF7AEB"/>
    <w:rsid w:val="1D7E5172"/>
    <w:rsid w:val="1EE96F81"/>
    <w:rsid w:val="27B35FC0"/>
    <w:rsid w:val="27C61EBF"/>
    <w:rsid w:val="2AAF7D74"/>
    <w:rsid w:val="3075373F"/>
    <w:rsid w:val="310B520B"/>
    <w:rsid w:val="3597584F"/>
    <w:rsid w:val="36531DB3"/>
    <w:rsid w:val="365C491B"/>
    <w:rsid w:val="388B08B9"/>
    <w:rsid w:val="47F46704"/>
    <w:rsid w:val="48C9139C"/>
    <w:rsid w:val="4ADB2245"/>
    <w:rsid w:val="4D49709F"/>
    <w:rsid w:val="4F5850E7"/>
    <w:rsid w:val="5C993644"/>
    <w:rsid w:val="5F493FCF"/>
    <w:rsid w:val="60122426"/>
    <w:rsid w:val="61F366BB"/>
    <w:rsid w:val="62DB3B99"/>
    <w:rsid w:val="6D1C3950"/>
    <w:rsid w:val="6FD8417E"/>
    <w:rsid w:val="730D31EC"/>
    <w:rsid w:val="7BC232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51E759"/>
  <w15:docId w15:val="{379E1818-9DC9-48BE-BEB2-A55E9571C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next w:val="Normal"/>
    <w:qFormat/>
    <w:pPr>
      <w:spacing w:beforeAutospacing="1" w:afterAutospacing="1"/>
      <w:outlineLvl w:val="0"/>
    </w:pPr>
    <w:rPr>
      <w:rFonts w:ascii="SimSun" w:hAnsi="SimSun" w:hint="eastAsia"/>
      <w:b/>
      <w:bCs/>
      <w:kern w:val="44"/>
      <w:sz w:val="48"/>
      <w:szCs w:val="48"/>
      <w:lang w:val="en-US" w:eastAsia="zh-CN"/>
    </w:rPr>
  </w:style>
  <w:style w:type="paragraph" w:styleId="Heading2">
    <w:name w:val="heading 2"/>
    <w:next w:val="Normal"/>
    <w:semiHidden/>
    <w:unhideWhenUsed/>
    <w:qFormat/>
    <w:pPr>
      <w:spacing w:beforeAutospacing="1" w:afterAutospacing="1"/>
      <w:outlineLvl w:val="1"/>
    </w:pPr>
    <w:rPr>
      <w:rFonts w:ascii="SimSun" w:hAnsi="SimSun" w:hint="eastAsia"/>
      <w:b/>
      <w:bCs/>
      <w:sz w:val="36"/>
      <w:szCs w:val="36"/>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character" w:styleId="Hyperlink">
    <w:name w:val="Hyperlink"/>
    <w:basedOn w:val="DefaultParagraphFont"/>
    <w:rPr>
      <w:color w:val="0000FF"/>
      <w:u w:val="single"/>
    </w:rPr>
  </w:style>
  <w:style w:type="paragraph" w:styleId="NormalWeb">
    <w:name w:val="Normal (Web)"/>
    <w:qFormat/>
    <w:pPr>
      <w:spacing w:beforeAutospacing="1" w:afterAutospacing="1"/>
    </w:pPr>
    <w:rPr>
      <w:sz w:val="24"/>
      <w:szCs w:val="24"/>
      <w:lang w:val="en-US" w:eastAsia="zh-CN"/>
    </w:rPr>
  </w:style>
  <w:style w:type="paragraph" w:styleId="Header">
    <w:name w:val="header"/>
    <w:basedOn w:val="Normal"/>
    <w:link w:val="HeaderChar"/>
    <w:rsid w:val="00B930C1"/>
    <w:pPr>
      <w:tabs>
        <w:tab w:val="center" w:pos="4513"/>
        <w:tab w:val="right" w:pos="9026"/>
      </w:tabs>
    </w:pPr>
  </w:style>
  <w:style w:type="character" w:customStyle="1" w:styleId="HeaderChar">
    <w:name w:val="Header Char"/>
    <w:basedOn w:val="DefaultParagraphFont"/>
    <w:link w:val="Header"/>
    <w:rsid w:val="00B930C1"/>
    <w:rPr>
      <w:rFonts w:asciiTheme="minorHAnsi" w:eastAsiaTheme="minorEastAsia" w:hAnsiTheme="minorHAnsi" w:cstheme="minorBidi"/>
      <w:lang w:val="en-US" w:eastAsia="zh-CN"/>
    </w:rPr>
  </w:style>
  <w:style w:type="paragraph" w:styleId="Footer">
    <w:name w:val="footer"/>
    <w:basedOn w:val="Normal"/>
    <w:link w:val="FooterChar"/>
    <w:rsid w:val="00B930C1"/>
    <w:pPr>
      <w:tabs>
        <w:tab w:val="center" w:pos="4513"/>
        <w:tab w:val="right" w:pos="9026"/>
      </w:tabs>
    </w:pPr>
  </w:style>
  <w:style w:type="character" w:customStyle="1" w:styleId="FooterChar">
    <w:name w:val="Footer Char"/>
    <w:basedOn w:val="DefaultParagraphFont"/>
    <w:link w:val="Footer"/>
    <w:rsid w:val="00B930C1"/>
    <w:rPr>
      <w:rFonts w:asciiTheme="minorHAnsi" w:eastAsiaTheme="minorEastAsia" w:hAnsiTheme="minorHAnsi" w:cstheme="minorBidi"/>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rmingham.gov.uk/downloads/file/23756/creating_a_bolder_healthier_city_2022_to_2030" TargetMode="External"/><Relationship Id="rId13" Type="http://schemas.openxmlformats.org/officeDocument/2006/relationships/hyperlink" Target="https://www.oecd.org/content/dam/oecd/en/publications/reports/2025/11/health-at-a-glance-2025_a894f72e/8f9e3f98-en.pdf" TargetMode="External"/><Relationship Id="rId18" Type="http://schemas.openxmlformats.org/officeDocument/2006/relationships/hyperlink" Target="https://www.who.int/publications/i/item/9789240074323"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publications.aston.ac.uk/id/eprint/45706/" TargetMode="External"/><Relationship Id="rId12" Type="http://schemas.openxmlformats.org/officeDocument/2006/relationships/hyperlink" Target="https://www.gov.uk/government/statistics/health-inequalities-dashboard-september-2025-data-update/health-inequalities-dashboard-statistical-commentary-september-2025" TargetMode="External"/><Relationship Id="rId17" Type="http://schemas.openxmlformats.org/officeDocument/2006/relationships/hyperlink" Target="https://unstats.un.org/sdgs/report/2024/The-Sustainable-Development-Goals-Report-2024.pdf" TargetMode="External"/><Relationship Id="rId2" Type="http://schemas.openxmlformats.org/officeDocument/2006/relationships/settings" Target="settings.xml"/><Relationship Id="rId16" Type="http://schemas.openxmlformats.org/officeDocument/2006/relationships/hyperlink" Target="https://www.kingsfund.org.uk/insight-and-analysis/projects/nhs-in-nutshel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kingsfund.org.uk/insight-and-analysis/long-reads/what-is-prevention-in-health" TargetMode="External"/><Relationship Id="rId11" Type="http://schemas.openxmlformats.org/officeDocument/2006/relationships/hyperlink" Target="https://www.england.nhs.uk/long-term-plan/" TargetMode="External"/><Relationship Id="rId5" Type="http://schemas.openxmlformats.org/officeDocument/2006/relationships/endnotes" Target="endnotes.xml"/><Relationship Id="rId15" Type="http://schemas.openxmlformats.org/officeDocument/2006/relationships/hyperlink" Target="https://www.kingsfund.org.uk/insight-and-analysis/long-reads/integrated-care-systems-explained" TargetMode="External"/><Relationship Id="rId10" Type="http://schemas.openxmlformats.org/officeDocument/2006/relationships/hyperlink" Target="https://www.ipcc.ch/report/ar6/syr/" TargetMode="External"/><Relationship Id="rId19" Type="http://schemas.openxmlformats.org/officeDocument/2006/relationships/hyperlink" Target="https://www.who.int/news-room/spotlight/the-impact-of-covid-19-on-global-health-goals" TargetMode="External"/><Relationship Id="rId4" Type="http://schemas.openxmlformats.org/officeDocument/2006/relationships/footnotes" Target="footnotes.xml"/><Relationship Id="rId9" Type="http://schemas.openxmlformats.org/officeDocument/2006/relationships/hyperlink" Target="https://www.europarl.europa.eu/RegData/etudes/BRIE/2024/762380/EPRS_BRI(2024)762380_EN.pdf" TargetMode="External"/><Relationship Id="rId14" Type="http://schemas.openxmlformats.org/officeDocument/2006/relationships/hyperlink" Target="https://sdgtransformationcenter.org/reports/sustainable-development-report-2024" TargetMode="Externa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97</TotalTime>
  <Pages>1</Pages>
  <Words>3358</Words>
  <Characters>19141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Onyinyechukwuaghadike</dc:creator>
  <cp:lastModifiedBy>Ruta Ezra (2310803)</cp:lastModifiedBy>
  <cp:revision>6</cp:revision>
  <dcterms:created xsi:type="dcterms:W3CDTF">2026-07-09T16:15:00Z</dcterms:created>
  <dcterms:modified xsi:type="dcterms:W3CDTF">2026-07-14T10:23:00Z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3C66D9BBC7C74DFCB057953F3DF1CB45_11</vt:lpwstr>
  </property>
  <property fmtid="{D5CDD505-2E9C-101B-9397-08002B2CF9AE}" pid="4" name="KSOTemplateDocerSaveRecord">
    <vt:lpwstr>eyJoZGlkIjoiOTA4MzI4NDJhYTFjMzcwMTc5MWQ3ZDYwNGI5ZjU5ODMiLCJ1c2VySWQiOiIxNjY2NTkxNjUyMDAxIn0=</vt:lpwstr>
  </property>
</Properties>
</file>