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bookmarkStart w:id="0" w:name="_Hlk201851769"/>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bookmarkEnd w:id="0"/>
    <w:p w14:paraId="6A73DBDF" w14:textId="77777777" w:rsidR="00AA666E" w:rsidRPr="00270EEB" w:rsidRDefault="00AA666E" w:rsidP="00340E9A">
      <w:pPr>
        <w:ind w:right="237"/>
        <w:jc w:val="both"/>
        <w:rPr>
          <w:sz w:val="24"/>
          <w:szCs w:val="24"/>
        </w:rPr>
      </w:pPr>
    </w:p>
    <w:p w14:paraId="00BA0FC0" w14:textId="77777777" w:rsidR="001F50F7" w:rsidRDefault="001F50F7" w:rsidP="001F50F7">
      <w:r>
        <w:t xml:space="preserve">Social media is the most common way for people and communities to connect in modern society and in recent years organisations, such as the police, have adopted it as a tool for engagement and investigation. Social media can be a great aid when conducting investigations as information can be shared in real time, avoiding unnecessary delay. Within this essay I will discuss the use of social media within the context of policing and aim to critically evaluate my own personal experience of using it to conduct enquiries for a missing person. </w:t>
      </w:r>
    </w:p>
    <w:p w14:paraId="7CFAF716" w14:textId="77777777" w:rsidR="001F50F7" w:rsidRDefault="001F50F7" w:rsidP="001F50F7"/>
    <w:p w14:paraId="42E60BFE" w14:textId="77777777" w:rsidR="001F50F7" w:rsidRDefault="001F50F7" w:rsidP="001F50F7">
      <w:r>
        <w:t xml:space="preserve">The way in which Police forces within the UK conduct themselves is under pinned by specific laws, legislation and guidance. The College of Policing (CoP) provide a mass of guidance to forces and individuals on how to conduct themselves and the do’s and don’ts within policing.  Guidance from the CoP states that the methods of communication used by the police need to be proportionate to what the public they serve require. It acknowledges that communication is not limited to contact that is had face to face and that the use of social media and technology provides an opportunity to police to connect and engage. (College of Policing, 2020) There are 7 key principles that the CoP want police staff and officer’s to be aware of when using social media, these are as follows; credible, consistent, responsive, an ambassador, inclusive, ethical and personable. In essence these principles state that the information shared must be honest and accurate, there must be a consistent tone and two way communication is encouraged, when posting on social media users must not forget their role within the force and that they are acting as an ambassador for the force in it’s entirety, in addition to this the tools for engagement must be inclusive and accessible for all, the information provided must follow ethical guidelines and lastly posts should retain an element of personability and represent force values in addition to the individuals making the posts. It has been suggested that by police using tools such as social media it will aid in the understanding of the role of the police and improve confidence and connection within communities. </w:t>
      </w:r>
      <w:r w:rsidRPr="00253534">
        <w:t>(WeCops, 2024)</w:t>
      </w:r>
      <w:r>
        <w:t xml:space="preserve"> In addition to this it has also been stated by a Police Foundation review that the use of social media will not only enhance response times but will also allow officers to be more transparent and accountable for their actions. (ACPO, 2013)</w:t>
      </w:r>
    </w:p>
    <w:p w14:paraId="0E66DE2D" w14:textId="77777777" w:rsidR="001F50F7" w:rsidRDefault="001F50F7" w:rsidP="001F50F7"/>
    <w:p w14:paraId="1B662217" w14:textId="77777777" w:rsidR="001F50F7" w:rsidRDefault="001F50F7" w:rsidP="001F50F7">
      <w:r>
        <w:t xml:space="preserve">There are several social media platforms that have been adopted by Police, specifically within Gwent Police the main platforms used are Facebook, X (formally known as Twitter) and Instagram; each platform serves a different purpose and aims to communicate with different groups in society. In an </w:t>
      </w:r>
      <w:r>
        <w:lastRenderedPageBreak/>
        <w:t>article written by Channel 4 it discussed the fact that social media has allowed police to gain numerous leads and solve several crimes and that the exposure it can provide to missing person cases that are publicised can also not be understated. (Rigby, 2012)</w:t>
      </w:r>
    </w:p>
    <w:p w14:paraId="3836999B" w14:textId="77777777" w:rsidR="001F50F7" w:rsidRDefault="001F50F7" w:rsidP="001F50F7"/>
    <w:p w14:paraId="21AFB391" w14:textId="77777777" w:rsidR="001F50F7" w:rsidRDefault="001F50F7" w:rsidP="001F50F7">
      <w:r>
        <w:t xml:space="preserve">In the UK it is reported that over 300,000 missing person reports are made to police yearly. (Fyfe </w:t>
      </w:r>
      <w:r>
        <w:rPr>
          <w:i/>
          <w:iCs/>
        </w:rPr>
        <w:t>et</w:t>
      </w:r>
      <w:r>
        <w:t xml:space="preserve"> al, 2015) and it is often believed that the first 24-48 hours are crucial in order to locate the individual safely. For the locality that I am based I would estimate that there are 3-4 missing people reported each day, with at least one of these being a frequent missing person. When referring to a frequent missing person I mean someone who is reported as missing several times within a short period. These types of missing people are unfortunately extremely common within Gwent, specifically among the youth who are involved in county lines and child sexual exploitation. </w:t>
      </w:r>
    </w:p>
    <w:p w14:paraId="6C88767F" w14:textId="77777777" w:rsidR="001F50F7" w:rsidRDefault="001F50F7" w:rsidP="001F50F7"/>
    <w:p w14:paraId="4A36E883" w14:textId="77777777" w:rsidR="001F50F7" w:rsidRDefault="001F50F7" w:rsidP="001F50F7">
      <w:r>
        <w:t xml:space="preserve">To highlight the use of social media and evaluate its place within policing I am going to discuss a relevant case that I was assigned to recently. The circumstances involved the disappearance of a 17-year-old male which lasted for a number of days, the male was graded as a High Risk missing person. For clarity the definition of High Risk according to the College of Policing states that </w:t>
      </w:r>
    </w:p>
    <w:p w14:paraId="3782C587" w14:textId="77777777" w:rsidR="001F50F7" w:rsidRDefault="001F50F7" w:rsidP="001F50F7">
      <w:pPr>
        <w:rPr>
          <w:i/>
          <w:iCs/>
        </w:rPr>
      </w:pPr>
      <w:r>
        <w:rPr>
          <w:i/>
          <w:iCs/>
        </w:rPr>
        <w:t xml:space="preserve">        </w:t>
      </w:r>
      <w:r w:rsidRPr="005C2101">
        <w:rPr>
          <w:i/>
          <w:iCs/>
        </w:rPr>
        <w:t>“the risk of serious harm to the subject or the public is assessed as very likely”</w:t>
      </w:r>
    </w:p>
    <w:p w14:paraId="2EE0A103" w14:textId="77777777" w:rsidR="001F50F7" w:rsidRDefault="001F50F7" w:rsidP="001F50F7">
      <w:r w:rsidRPr="0009538F">
        <w:t>(College of Policing, 2022)</w:t>
      </w:r>
    </w:p>
    <w:p w14:paraId="7A8DC92D" w14:textId="77777777" w:rsidR="001F50F7" w:rsidRPr="005C2101" w:rsidRDefault="001F50F7" w:rsidP="001F50F7">
      <w:pPr>
        <w:suppressAutoHyphens/>
        <w:spacing w:after="160" w:line="276" w:lineRule="auto"/>
      </w:pPr>
    </w:p>
    <w:p w14:paraId="2C6BC26D" w14:textId="77777777" w:rsidR="001F50F7" w:rsidRDefault="001F50F7" w:rsidP="001F50F7">
      <w:r>
        <w:t xml:space="preserve">The male was considered vulnerable due to being under the care of social services and residing in supported accommodation. He was visited by staff from social services once a day and they assisted with providing him food, transport and any other needs that were present. The male I dealt with was well known to police due to his links to criminality and the likelihood that he was and is still being exploited and involved in county lines. The increase of young people who are exploited criminally is on the increase with figures showing that just within London there are 4,000 teenagers currently involved. (National Crime Agency, 2023) Whenever a child is reported missing the risk is already heightened, this combined with the involvement in criminality means that enquiries must be completed expeditiously with the aim of minimising the risk and shortening the length of the missing period. Social media played a vital role in locating the male and facilitating his safe return. </w:t>
      </w:r>
    </w:p>
    <w:p w14:paraId="3D0EABD6" w14:textId="77777777" w:rsidR="001F50F7" w:rsidRDefault="001F50F7" w:rsidP="001F50F7"/>
    <w:p w14:paraId="76E2FB38" w14:textId="77777777" w:rsidR="001F50F7" w:rsidRDefault="001F50F7" w:rsidP="001F50F7">
      <w:r>
        <w:t xml:space="preserve">The initial actions that are taken with any missing person involve obtaining a Missing Person Report and within this you must gain consent for a media approval to be put out regarding the individual, this is the start of social media’s involvement within the investigation. Once this authority is given, a photograph, as well as some basic information will be shared regarding the missing individual, this information tends to include their last known location, the time that they were last seen and any places that they frequent. These posts will be published on both Facebook and X and allow for live responses from members of the public which aids an investigation massively, images and information being shared with members of the public may prompt recollection of a sighting of the missing person and can allow for a map of their movements to be created and so the missing male was circulated on social media. Although obtaining potential and confirmed sightings is extremely valuable within missing person enquiries, research findings have suggested that viewing an image of a person or place can cause false memories and therefore information, unless reinforced with photographic proof, cannot always be trusted and confirmed to be accurate. </w:t>
      </w:r>
      <w:r w:rsidRPr="00120179">
        <w:t>(Garry and Gerrie, 2005)</w:t>
      </w:r>
      <w:r>
        <w:t xml:space="preserve"> False memories are not the only drawback when evaluating the implications of posts on social media. Unfortunately not everyone wants to aid in the investigations ran by the police due to an ever-growing attitude of distaste towards the organisation, it has also been stated in a study conducted by Sindall, McCarthy and Braunton-Smith that many young people have a more negative attitude towards policing and with young people being the primary users of social media this may mean that the information provided may not always be reliable as a direct result. (Hurst and Frank, 2000) Many members of society are willing to provide misinformation to the police, whether this is to cause a harmless distraction or with the intention of wasting valuable time and resources and the information provided via social media cannot always be verified prior to action being taken which results in time and money wasted for the force. </w:t>
      </w:r>
    </w:p>
    <w:p w14:paraId="7CCC824F" w14:textId="77777777" w:rsidR="001F50F7" w:rsidRDefault="001F50F7" w:rsidP="001F50F7"/>
    <w:p w14:paraId="4CB0115A" w14:textId="77777777" w:rsidR="001F50F7" w:rsidRDefault="001F50F7" w:rsidP="001F50F7">
      <w:r>
        <w:t xml:space="preserve">The publication of images on media platforms may benefit an investigation by encouraging the missing person to reach out themselves as they may not want their photo being circulated or it may be the case that they could be unaware they have been reported missing and make contact with the force so that they can confirm they are not harmed in any way.  With regards to the missing person I </w:t>
      </w:r>
      <w:r>
        <w:lastRenderedPageBreak/>
        <w:t xml:space="preserve">dealt with, he is known to reach out to police quite frequently after he becomes aware that he is reported missing and so the circulation of his image aided in this. </w:t>
      </w:r>
    </w:p>
    <w:p w14:paraId="19967EE4" w14:textId="77777777" w:rsidR="001F50F7" w:rsidRDefault="001F50F7" w:rsidP="001F50F7"/>
    <w:p w14:paraId="3D8EB876" w14:textId="77777777" w:rsidR="001F50F7" w:rsidRDefault="001F50F7" w:rsidP="001F50F7">
      <w:r>
        <w:t xml:space="preserve">In specific incidents such as High-Risk missing person cases there are additional media platforms that prove vital to the investigation and may be less known. GoodSam is another vital social media/online platform that aids during police investigations, GoodSam allows for a link to be sent to the phone of the missing person and if the link is opened it provides the sender with an accurate and live location for that individual. This tool is vital when dealing with High Risk missing people, certainly ones with the potential for suicidal intent as it narrows down search parameters, allowing resources to be targeted. </w:t>
      </w:r>
    </w:p>
    <w:p w14:paraId="27475339" w14:textId="77777777" w:rsidR="001F50F7" w:rsidRDefault="001F50F7" w:rsidP="001F50F7"/>
    <w:p w14:paraId="765068B4" w14:textId="77777777" w:rsidR="001F50F7" w:rsidRDefault="001F50F7" w:rsidP="001F50F7">
      <w:r>
        <w:t xml:space="preserve">In this specific incident social media was found to be very beneficial. The use of platforms such as X and Facebook allowed for a mass of engagement between the public and the police and it led to numerous sightings being reported which gave a specific town within Gwent that the male had most recently been in. This town being identified meant that officer’s could tailor the search and it also meant that CCTV could be checked for more specific locations which aided massively in locating the male. The use of CCTV in this circumstance also allowed for others, who the missing person was with, to be identified; without the sightings from member’s of the public being reported these enquiries would have taken a lot longer and there is potential that information would have been missed, meaning more risk to the individual, so it cannot be understated how beneficial social media was in regards to this incident. Eventually the missing person was sighted within a shopping complex in the Blaenau Gwent area by CCTV as they continued to monitor and assist the investigation, officers were dispatched to this location and the male was safely located and returned home. </w:t>
      </w:r>
    </w:p>
    <w:p w14:paraId="05CDA7AC" w14:textId="77777777" w:rsidR="001F50F7" w:rsidRDefault="001F50F7" w:rsidP="001F50F7"/>
    <w:p w14:paraId="3DA622B6" w14:textId="77777777" w:rsidR="001F50F7" w:rsidRDefault="001F50F7" w:rsidP="001F50F7">
      <w:r>
        <w:t xml:space="preserve">I will now, more broadly, discuss the benefits of social media within the context of policing. According to online research and sources there are approximately 56.2 million people within the UK who are social media users and the amount of time that is spent on social media is growing with the average being 1 hour and 49 minutes spent online daily. </w:t>
      </w:r>
      <w:r w:rsidRPr="001851ED">
        <w:t>(We Are Social, 2024)</w:t>
      </w:r>
      <w:r>
        <w:t xml:space="preserve"> Each of those individuals could aid an investigation at some point in their lives if they are privy to police social media and the ability to reach so many different individuals at a quick and efficient pace is something that face-to-face contact cannot compare with due to the lack of resourcing on the streets and physical limitations. A criticism that is ever present within the policing world is the idea that police officer’s do not care for what the public has to say and therefore confidence is reduced. A study by Myhill and Bradford made suggestions that it is within the police’s capacity to increase public confidence and a way in which to do this is by showing an interest in public opinion; the use of social media as a two-way form of quick and efficient communication is only going to aid this as people will feel that police advice and support is accessible. </w:t>
      </w:r>
      <w:r w:rsidRPr="008F3D00">
        <w:t>(Myhill &amp; Bradford, 201</w:t>
      </w:r>
      <w:r>
        <w:t>2)</w:t>
      </w:r>
    </w:p>
    <w:p w14:paraId="298E86EC" w14:textId="77777777" w:rsidR="001F50F7" w:rsidRDefault="001F50F7" w:rsidP="001F50F7"/>
    <w:p w14:paraId="5BDAC74D" w14:textId="77777777" w:rsidR="001F50F7" w:rsidRDefault="001F50F7" w:rsidP="001F50F7">
      <w:r>
        <w:t xml:space="preserve">Whilst there are benefits, as discussed, the argument for social media is not one sided and there are also hindrances. Social media can encourage misinformation to be spread, whether this is intentional or not and having to sift through large amounts of information to identify what is and is not accurate can take up a lot of time as there have to be an adequate number of resources allocated to this. Within a major investigation such as a missing person or a murder a large amount of financial cost comes from having to set up individualised teams to deal with all of the information being provided and whilst this can be very beneficial, it is not always cost effective, and this is a consideration for the force. When using social media as a police force there is always a risk that the organisation is opening themselves up for criticism and abuse; it may be counterproductive to give those individuals a platform, especially when their intention is to spread misinformation and cause harm to public perception and on-going investigations and discourage other users from engaging. </w:t>
      </w:r>
    </w:p>
    <w:p w14:paraId="731CBE52" w14:textId="77777777" w:rsidR="001F50F7" w:rsidRDefault="001F50F7" w:rsidP="001F50F7"/>
    <w:p w14:paraId="30BE3877" w14:textId="37AAB008" w:rsidR="001F50F7" w:rsidRDefault="001F50F7" w:rsidP="001F50F7">
      <w:pPr>
        <w:suppressAutoHyphens/>
      </w:pPr>
      <w:r>
        <w:t xml:space="preserve">When considering all the information discussed within this text and the wider research that is accessible regarding the use of social media and how it can benefit within policing it would be reasonable to suggest that it is an effective tool for police forces. It can allow for effective engagement with communities that may not necessarily have any other contact with police. Additionally using social media allows the opportunity for information to be shared; ensuring communities remain informed on on-going investigations and operations that their local force are running as well as providing key information when they can. Social media has its place within policing and there are times where it will be more and less appropriate, depending on the nature of the incident its use is being considered in. Overall as long as drawbacks such as, misinformation being spread and the </w:t>
      </w:r>
      <w:r>
        <w:lastRenderedPageBreak/>
        <w:t>welcoming of negative backlash, then social media really can be an invaluable team when looking to modernise policing and keep it in line with the wants and needs of society.</w:t>
      </w:r>
    </w:p>
    <w:p w14:paraId="0D732366" w14:textId="77777777" w:rsidR="001F50F7" w:rsidRPr="001851ED" w:rsidRDefault="001F50F7" w:rsidP="001F50F7">
      <w:pPr>
        <w:suppressAutoHyphens/>
      </w:pPr>
    </w:p>
    <w:p w14:paraId="79C6F38B" w14:textId="77777777" w:rsidR="00AA666E" w:rsidRDefault="00AA666E" w:rsidP="00340E9A">
      <w:pPr>
        <w:ind w:right="237"/>
        <w:jc w:val="both"/>
        <w:rPr>
          <w:sz w:val="24"/>
          <w:szCs w:val="24"/>
        </w:rPr>
      </w:pPr>
    </w:p>
    <w:p w14:paraId="40E5AD91" w14:textId="07AE47C5" w:rsidR="001F50F7" w:rsidRPr="001F50F7" w:rsidRDefault="001F50F7" w:rsidP="00340E9A">
      <w:pPr>
        <w:ind w:right="237"/>
        <w:jc w:val="both"/>
        <w:rPr>
          <w:b/>
          <w:bCs/>
          <w:sz w:val="24"/>
          <w:szCs w:val="24"/>
        </w:rPr>
      </w:pPr>
      <w:r>
        <w:rPr>
          <w:b/>
          <w:bCs/>
          <w:sz w:val="24"/>
          <w:szCs w:val="24"/>
        </w:rPr>
        <w:t>2196 words</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EF007C3" w14:textId="77777777" w:rsidR="005A19A0" w:rsidRDefault="005A19A0" w:rsidP="005A19A0">
      <w:r>
        <w:t>Since joining Gwent Police in 2023, I have balanced the demands of full-time policing with undergraduate study — both challenging in their own right, and particularly so in combination. Successfully managing this period has required personal resilience and the support of colleagues, which has contributed significantly to both my professional and personal growth. In this essay, I will reflect on these experiences using Borton’s (1970) model of reflection, which comprises three stages: What?, So what?, and Now what?. I will maintain confidentiality throughout.</w:t>
      </w:r>
    </w:p>
    <w:p w14:paraId="39669D3B" w14:textId="77777777" w:rsidR="005A19A0" w:rsidRDefault="005A19A0" w:rsidP="005A19A0"/>
    <w:p w14:paraId="30AAAEA9" w14:textId="77777777" w:rsidR="005A19A0" w:rsidRDefault="005A19A0" w:rsidP="005A19A0">
      <w:r>
        <w:t>Throughout this reflection, I will refer to both mentoring and coaching. Mentoring involves a collaborative relationship where an experienced individual supports the development of a less experienced colleague (Institute of Directors, 2024). Coaching, by contrast, is typically a structured, goal-focused process led by someone trained in that approach, often with a defined endpoint (CIPD, 2024).</w:t>
      </w:r>
    </w:p>
    <w:p w14:paraId="1EFB5526" w14:textId="77777777" w:rsidR="005A19A0" w:rsidRDefault="005A19A0" w:rsidP="005A19A0"/>
    <w:p w14:paraId="2AFE5EC9" w14:textId="77777777" w:rsidR="005A19A0" w:rsidRDefault="005A19A0" w:rsidP="005A19A0">
      <w:r>
        <w:t>In a dynamic environment like policing, where responsibility is high and legislation continually evolves, fostering a culture of growth is essential. Such a culture promotes continual learning, openness, and constructive feedback (Westover, 2020). Research indicates that coaching can enhance job satisfaction, support stress management, and improve confidence and retention among officers (Magny, 2021).</w:t>
      </w:r>
    </w:p>
    <w:p w14:paraId="7B86FF89" w14:textId="77777777" w:rsidR="005A19A0" w:rsidRDefault="005A19A0" w:rsidP="005A19A0"/>
    <w:p w14:paraId="050625A8" w14:textId="77777777" w:rsidR="005A19A0" w:rsidRDefault="005A19A0" w:rsidP="005A19A0">
      <w:pPr>
        <w:rPr>
          <w:b/>
          <w:bCs/>
          <w:u w:val="single"/>
        </w:rPr>
      </w:pPr>
      <w:r w:rsidRPr="00CA7E53">
        <w:rPr>
          <w:b/>
          <w:bCs/>
          <w:u w:val="single"/>
        </w:rPr>
        <w:t>What?</w:t>
      </w:r>
    </w:p>
    <w:p w14:paraId="57DF4D4F" w14:textId="77777777" w:rsidR="005A19A0" w:rsidRDefault="005A19A0" w:rsidP="005A19A0">
      <w:r>
        <w:t>Throughout my probationary period, I have undertaken numerous responsibilities and faced various obstacles, all aimed at progressing towards becoming a substantive police constable.</w:t>
      </w:r>
    </w:p>
    <w:p w14:paraId="2CA5C124" w14:textId="77777777" w:rsidR="005A19A0" w:rsidRDefault="005A19A0" w:rsidP="005A19A0"/>
    <w:p w14:paraId="6DEF5C11" w14:textId="77777777" w:rsidR="005A19A0" w:rsidRDefault="005A19A0" w:rsidP="005A19A0">
      <w:r>
        <w:t xml:space="preserve">I experienced an abundance of learning and new challenges within the first year. I completed a 10-week tutorship period which allowed me to access a consistent support system until I found my feet within the role and once this came to an end, I became an independent police officer. My 10-week tutorship period was completed with a male colleague who had 3 years of experience in response policing, which at the time felt like a lifetime worth of knowledge compared to mine, but upon reflection was a massive responsibility for someone so young in service. This was a formal and structured tutorship where I had to successfully hit set criteria and achieve independence. My tutor took on a </w:t>
      </w:r>
      <w:r>
        <w:lastRenderedPageBreak/>
        <w:t xml:space="preserve">“coaching” role and used his experience to provide me with both guidance and a solid foundation to build upon as my career progressed. During this time I received feedback from my tutor and space was also allowed for me to provide feedback on what I felt was beneficial and aiding my learning and what may be hindering my learning. All of the feedback was provided verbally in both formal and informal settings, some took on the form of chats in the car after a difficult call and others were recorded via Teams to be used as evidence that I had successfully completed tasks. Once the tutorship period came to an end I feel that the real learning began. Being independent was an eye-opening experience and a good opportunity to embrace autonomy and the ability to make decisions and develop my own understanding and way of working. The concept of autonomy has been discussed in a mass of research including studies conducted by Piaget regarding how autonomy is learned and what influences this. (Piaget, 1932) Autonomy is very relevant to today’s policing culture and the criticism that is ever prevalent about decision making within the force, specifically in highly publicised incidents within the media. Within this stage there was space to reflect on the intentions and thought processes behind my own actions and how this differed from those around me. </w:t>
      </w:r>
      <w:r w:rsidRPr="001E67F1">
        <w:t>(McLeod, 2024)</w:t>
      </w:r>
      <w:r>
        <w:t xml:space="preserve"> Alongside my day-to-day role I had to ensure that I was completing my university work punctually and to a high standard to transition into Year 2. </w:t>
      </w:r>
    </w:p>
    <w:p w14:paraId="12ABD7CA" w14:textId="77777777" w:rsidR="005A19A0" w:rsidRDefault="005A19A0" w:rsidP="005A19A0"/>
    <w:p w14:paraId="65820B2A" w14:textId="77777777" w:rsidR="005A19A0" w:rsidRDefault="005A19A0" w:rsidP="005A19A0">
      <w:r>
        <w:t xml:space="preserve">Year 2 began for me in January 2024; I do not feel that the expectations of me were too dissimilar from what they had previously been but I certainly felt a large amount of pressure internally to be able to be independent and efficient within my role and to meet high standards. This year became more challenging due to personal circumstances that were present and at times it was hard to navigate a highly stressful job when things in the background were also difficult, but I was able to maintain a balance by managing my stress levels and leaning on those around me within the work setting. Research conducted into this topic has found that there is a significant link between positive workplace relationships and an efficient work force and that the security of these relationships allows for individuals to handle disruption better. </w:t>
      </w:r>
      <w:r w:rsidRPr="00D80465">
        <w:t>(Parkinson, Hollowood and Frampton, 2020)</w:t>
      </w:r>
      <w:r>
        <w:t xml:space="preserve"> Within year two I did not experience any formal mentoring or coaching but I feel that there was always an environment which encouraged questions, curiosity and learning and all of my colleagues would have been willing to step into a mentoring role should they have been required to do so. </w:t>
      </w:r>
    </w:p>
    <w:p w14:paraId="48F33F98" w14:textId="77777777" w:rsidR="005A19A0" w:rsidRDefault="005A19A0" w:rsidP="005A19A0"/>
    <w:p w14:paraId="36DB954B" w14:textId="77777777" w:rsidR="005A19A0" w:rsidRPr="00A82D72" w:rsidRDefault="005A19A0" w:rsidP="005A19A0">
      <w:r>
        <w:t xml:space="preserve">Year 3 is where I presently find myself and it has been the most challenging and transformative year so far. As discussed previously, my role has remained a constant throughout the years but as I have moved into the final year the expectations I place on myself have risen and my ambition has grown within the role as I have gained more experience. Year 3 for me has provided a lot of learning and the main “mentor” that I have worked with and benefited from within this time frame has been my Sergent. This year there has been a real focus on the importance of responsibility and accountability within my role and being able to manage a workload efficiently, this is something I have received a fair amount of feedback and guidance on in order to assist me. In addition to having guidance myself, I have also been expected to take more of an active mentoring role and assist other colleagues; this year I was given the opportunity to myself become a tutor for new starters within the role which I have not yet completed but would be looking to do so when the opportunity arises. Although I have not completed a tutor role as of yet, I have still had opportunities to provide and receive feedback amongst colleagues and on my shift it is typical for us to reflect when attending difficult, emotional or challenging incidents. Providing feedback has been proven to be beneficial when aiding the learning experience and although it does have its drawbacks, with criticism sometimes being hard to accept and take on board, in general there are overwhelming benefits. </w:t>
      </w:r>
      <w:r w:rsidRPr="00A82D72">
        <w:t>(Hays, Kornell and Bjork, 2010)</w:t>
      </w:r>
    </w:p>
    <w:p w14:paraId="20FB2761" w14:textId="77777777" w:rsidR="005A19A0" w:rsidRDefault="005A19A0" w:rsidP="005A19A0"/>
    <w:p w14:paraId="5E227281" w14:textId="77777777" w:rsidR="005A19A0" w:rsidRDefault="005A19A0" w:rsidP="005A19A0">
      <w:r>
        <w:t xml:space="preserve">Now that an overview of my coaching and mentoring experiences has been provided; I will move onto analysing how both have aided my development and the research, both current and historic, that supports them. </w:t>
      </w:r>
    </w:p>
    <w:p w14:paraId="6A8F9687" w14:textId="77777777" w:rsidR="005A19A0" w:rsidRDefault="005A19A0" w:rsidP="005A19A0"/>
    <w:p w14:paraId="218EA6D1" w14:textId="77777777" w:rsidR="005A19A0" w:rsidRDefault="005A19A0" w:rsidP="005A19A0">
      <w:r>
        <w:rPr>
          <w:b/>
          <w:bCs/>
          <w:u w:val="single"/>
        </w:rPr>
        <w:t>So what?</w:t>
      </w:r>
    </w:p>
    <w:p w14:paraId="78A2575F" w14:textId="77777777" w:rsidR="005A19A0" w:rsidRDefault="005A19A0" w:rsidP="005A19A0"/>
    <w:p w14:paraId="06FEC13D" w14:textId="77777777" w:rsidR="005A19A0" w:rsidRDefault="005A19A0" w:rsidP="005A19A0">
      <w:r>
        <w:t>There are a number of accepted and well researched theories that support both the idea of mentoring and coaching; these are accepted within policing and adapted to fit within the tutorship process and act as an aid for the tutor. It is acknowledged that the use of models, such as GROW, allow clear goals and structure which inevitably aids the growth of officers and development of their skills.</w:t>
      </w:r>
    </w:p>
    <w:p w14:paraId="76480006" w14:textId="77777777" w:rsidR="005A19A0" w:rsidRDefault="005A19A0" w:rsidP="005A19A0"/>
    <w:p w14:paraId="4335CF3B" w14:textId="77777777" w:rsidR="005A19A0" w:rsidRDefault="005A19A0" w:rsidP="005A19A0">
      <w:r>
        <w:t xml:space="preserve">The GROW model (Whitmore, 1980-1990) of coaching and mentoring is a framework developed in the late 1980’s that sets out a clear structure of how to coach and mentor a person and can be very </w:t>
      </w:r>
      <w:r>
        <w:lastRenderedPageBreak/>
        <w:t xml:space="preserve">beneficial for those who have not had any formal training in how to teach. The GROW model, much like the STAR model for setting targets, is an acronym that encompasses 4 main sections. The first letter, G, stands for Goals. It is vital to define a clear goal to achieve throughout the learning experience so that progress can be tracked and there is an end, it also positively impacts motivation. (Coreen, 2024) The second letter, R, signifies the Reality of the situation and how this must be considered throughout the process. The third letter, O, represents the options that will be looked at throughout the experience and it suggests the important of having several contingencies and solutions in order to obtain one’s goal. The final letter, W, stands for the Will or some have referred to it as “way forward”. This refers to the persons willingness and ability to complete the goal and who will do what within the scenario. </w:t>
      </w:r>
      <w:r w:rsidRPr="00B83109">
        <w:t>(Wilson, 2020)</w:t>
      </w:r>
    </w:p>
    <w:p w14:paraId="025BD764" w14:textId="77777777" w:rsidR="005A19A0" w:rsidRDefault="005A19A0" w:rsidP="005A19A0"/>
    <w:p w14:paraId="1862B959" w14:textId="77777777" w:rsidR="005A19A0" w:rsidRDefault="005A19A0" w:rsidP="005A19A0">
      <w:r>
        <w:t xml:space="preserve">The GROW model can be applied to my personal experience with both mentoring and coaching. Throughout each year of my probation I was aware that I would have a set criteria to follow, which I will refer to as my learning Matrix, that I had to complete; the Matrix was slightly adapted as I progressed into Year 3 but within it were clear goals and criteria that I knew I needed to achieve and by what date this needed to be complete. I feel that the use of a matrix was extremely beneficial because it allowed me to stay on track and have clear expectations in my mind of what I needed to achieve, in addition to this it meant that my tutor could ensure that we attended certain calls so that I was given a fair opportunity to gain enough experience. Another benefit of the Matrix was that it allowed to visually see that my targets were being hit; research ha suggested that by setting visual goals it aids in motivation and I certainly feel that this was veracious in my experience. (Anderson, 2024) The use of goals within each year of my career allowed me to ensure that I was achieving was what expected of me by the force, they set out clear expectations and this being a requirement to progress forward within my role meant that there was no room for failure. </w:t>
      </w:r>
    </w:p>
    <w:p w14:paraId="1E6D50A5" w14:textId="77777777" w:rsidR="005A19A0" w:rsidRDefault="005A19A0" w:rsidP="005A19A0"/>
    <w:p w14:paraId="62BB9518" w14:textId="77777777" w:rsidR="005A19A0" w:rsidRDefault="005A19A0" w:rsidP="005A19A0">
      <w:r>
        <w:t>I feel that separate to the goals that were provided to me by the force, it was vital to have personal aspirations to work towards and with the support of my Sergent I was able to nurture these goals and bring them to fruition. A real-life example of this was completing a SOLO course within the role, SOLO stands for Sexual Offences Liaison Officer and it is a course that provides the attendee with an in-depth knowledge about sexual offences, the motivation behind them, how to support victims and the formal processes that must be carried out when dealing with these offences. I feel that taking part in this course and setting this goal for myself, without encouragement from others or it being a requirement, showed the importance of autonomy and being independent. Although there have been many times where I have benefited from the support and guidance of others, it is also crucial to be able to make decisions without input from others and to have your own path but I must also acknowledge that without the ability to access courses I would miss out on vital knowledge and teaching from a person who has more expertise than myself. The Zone of Proximal Development theory supports the idea that there are a number of tasks and goals that are unobtainable individually and that guidance from a partner/colleague who is more skilled provides access to these goals. (McLeod, 2025)</w:t>
      </w:r>
    </w:p>
    <w:p w14:paraId="51539AAD" w14:textId="77777777" w:rsidR="005A19A0" w:rsidRDefault="005A19A0" w:rsidP="005A19A0"/>
    <w:p w14:paraId="0F61BA57" w14:textId="77777777" w:rsidR="005A19A0" w:rsidRDefault="005A19A0" w:rsidP="005A19A0">
      <w:pPr>
        <w:rPr>
          <w:b/>
          <w:bCs/>
          <w:u w:val="single"/>
        </w:rPr>
      </w:pPr>
      <w:r w:rsidRPr="00F02FB2">
        <w:rPr>
          <w:b/>
          <w:bCs/>
          <w:u w:val="single"/>
        </w:rPr>
        <w:t>Now what?</w:t>
      </w:r>
    </w:p>
    <w:p w14:paraId="333646C4" w14:textId="77777777" w:rsidR="005A19A0" w:rsidRPr="00F02FB2" w:rsidRDefault="005A19A0" w:rsidP="005A19A0">
      <w:pPr>
        <w:rPr>
          <w:b/>
          <w:bCs/>
          <w:u w:val="single"/>
        </w:rPr>
      </w:pPr>
    </w:p>
    <w:p w14:paraId="444598A8" w14:textId="77777777" w:rsidR="005A19A0" w:rsidRDefault="005A19A0" w:rsidP="005A19A0">
      <w:r>
        <w:t>Reflecting on the past three years, I can see the significant contribution that mentoring and coaching have made to my growth as a police officer. Structured support during my tutorship laid a strong foundation, while ongoing informal mentoring has encouraged continuous development. The opportunity to observe others’ working styles and engage in reflective dialogue has been particularly valuable, enabling me to refine my own practice in ways that feel authentic rather than imposed.</w:t>
      </w:r>
    </w:p>
    <w:p w14:paraId="3CFE3B80" w14:textId="77777777" w:rsidR="005A19A0" w:rsidRDefault="005A19A0" w:rsidP="005A19A0"/>
    <w:p w14:paraId="003D6882" w14:textId="77777777" w:rsidR="005A19A0" w:rsidRDefault="005A19A0" w:rsidP="005A19A0">
      <w:r>
        <w:t>Importantly, my experiences have highlighted the value of flexibility in mentoring and coaching approaches. Individual learning styles and preferences mean that not every method will suit every individual. I have benefited most from environments that balance structure with autonomy, providing guidance while also allowing space for independent thought and reflection. As I continue my career, I aim to build on this learning by adopting a mentoring style that is adaptable and responsive to the needs of colleagues.</w:t>
      </w:r>
    </w:p>
    <w:p w14:paraId="4EDEEFE2" w14:textId="77777777" w:rsidR="005A19A0" w:rsidRDefault="005A19A0" w:rsidP="005A19A0"/>
    <w:p w14:paraId="59A594D5" w14:textId="77777777" w:rsidR="005A19A0" w:rsidRDefault="005A19A0" w:rsidP="005A19A0">
      <w:r>
        <w:t xml:space="preserve">Looking ahead, I intend to formalise my role as a mentor or tutor, supporting new colleagues in their development. I also aim to pursue further specialist training, recognising the importance of lifelong learning within policing. The critical role of coaching and mentoring in promoting growth culture cannot </w:t>
      </w:r>
      <w:r>
        <w:lastRenderedPageBreak/>
        <w:t>be understated, and I am committed to contributing to this culture as both a learner and, increasingly, as a mentor.</w:t>
      </w:r>
    </w:p>
    <w:p w14:paraId="2EBEF5DD" w14:textId="77777777" w:rsidR="005A19A0" w:rsidRDefault="005A19A0" w:rsidP="005A19A0"/>
    <w:p w14:paraId="448FB2E3" w14:textId="1E38C1FA" w:rsidR="005A19A0" w:rsidRPr="005A19A0" w:rsidRDefault="005A19A0" w:rsidP="005A19A0">
      <w:pPr>
        <w:rPr>
          <w:b/>
          <w:bCs/>
        </w:rPr>
      </w:pPr>
      <w:r>
        <w:rPr>
          <w:b/>
          <w:bCs/>
        </w:rPr>
        <w:t>2060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50454ED6" w14:textId="27EB69AD" w:rsidR="00B66D1E" w:rsidRDefault="00B66D1E" w:rsidP="00B66D1E">
      <w:pPr>
        <w:ind w:right="237"/>
        <w:jc w:val="both"/>
        <w:rPr>
          <w:bCs/>
          <w:sz w:val="24"/>
          <w:szCs w:val="24"/>
        </w:rPr>
      </w:pPr>
      <w:r w:rsidRPr="00B66D1E">
        <w:rPr>
          <w:bCs/>
          <w:sz w:val="24"/>
          <w:szCs w:val="24"/>
        </w:rPr>
        <w:t>Anderson, C. (2024). </w:t>
      </w:r>
      <w:r w:rsidRPr="00B66D1E">
        <w:rPr>
          <w:bCs/>
          <w:i/>
          <w:iCs/>
          <w:sz w:val="24"/>
          <w:szCs w:val="24"/>
        </w:rPr>
        <w:t>What is visual goal setting? – Focuskeeper Glossary</w:t>
      </w:r>
      <w:r w:rsidRPr="00B66D1E">
        <w:rPr>
          <w:bCs/>
          <w:sz w:val="24"/>
          <w:szCs w:val="24"/>
        </w:rPr>
        <w:t>. [online] Focuskeeper.co. Available at: https://focuskeeper.co/glossary/what-is-visual-goal-setting [Accessed 26 Jun. 2025].</w:t>
      </w:r>
    </w:p>
    <w:p w14:paraId="2FB76D44" w14:textId="77777777" w:rsidR="00AB2281" w:rsidRDefault="00AB2281" w:rsidP="00B66D1E">
      <w:pPr>
        <w:ind w:right="237"/>
        <w:jc w:val="both"/>
        <w:rPr>
          <w:bCs/>
          <w:sz w:val="24"/>
          <w:szCs w:val="24"/>
        </w:rPr>
      </w:pPr>
    </w:p>
    <w:p w14:paraId="3A558FDD" w14:textId="77777777" w:rsidR="00AB2281" w:rsidRPr="00B66D1E" w:rsidRDefault="00AB2281" w:rsidP="00AB2281">
      <w:pPr>
        <w:keepNext/>
        <w:ind w:right="237"/>
        <w:rPr>
          <w:bCs/>
          <w:sz w:val="24"/>
          <w:szCs w:val="24"/>
        </w:rPr>
      </w:pPr>
    </w:p>
    <w:p w14:paraId="7F7CD265" w14:textId="77777777" w:rsidR="00AB2281" w:rsidRPr="00B66D1E" w:rsidRDefault="00AB2281" w:rsidP="00AB2281">
      <w:pPr>
        <w:keepNext/>
        <w:ind w:right="237"/>
        <w:rPr>
          <w:bCs/>
          <w:sz w:val="24"/>
          <w:szCs w:val="24"/>
        </w:rPr>
      </w:pPr>
      <w:r w:rsidRPr="00B66D1E">
        <w:rPr>
          <w:bCs/>
          <w:sz w:val="24"/>
          <w:szCs w:val="24"/>
        </w:rPr>
        <w:t>Avolio, B.J. &amp; Bass, B.M</w:t>
      </w:r>
      <w:r>
        <w:rPr>
          <w:bCs/>
          <w:sz w:val="24"/>
          <w:szCs w:val="24"/>
        </w:rPr>
        <w:t xml:space="preserve"> (</w:t>
      </w:r>
      <w:r w:rsidRPr="00B66D1E">
        <w:rPr>
          <w:bCs/>
          <w:sz w:val="24"/>
          <w:szCs w:val="24"/>
        </w:rPr>
        <w:t>1991</w:t>
      </w:r>
      <w:r>
        <w:rPr>
          <w:bCs/>
          <w:sz w:val="24"/>
          <w:szCs w:val="24"/>
        </w:rPr>
        <w:t>) ‘</w:t>
      </w:r>
      <w:r w:rsidRPr="00B66D1E">
        <w:rPr>
          <w:bCs/>
          <w:sz w:val="24"/>
          <w:szCs w:val="24"/>
        </w:rPr>
        <w:t>The Full Range of Leadership Development: Basic Principles &amp; Applications</w:t>
      </w:r>
      <w:r>
        <w:rPr>
          <w:bCs/>
          <w:sz w:val="24"/>
          <w:szCs w:val="24"/>
        </w:rPr>
        <w:t>’</w:t>
      </w:r>
      <w:r w:rsidRPr="00B66D1E">
        <w:rPr>
          <w:bCs/>
          <w:sz w:val="24"/>
          <w:szCs w:val="24"/>
        </w:rPr>
        <w:t>. New York: Sage Publications.</w:t>
      </w:r>
    </w:p>
    <w:p w14:paraId="47CA6370" w14:textId="77777777" w:rsidR="00AB2281" w:rsidRPr="00B66D1E" w:rsidRDefault="00AB2281" w:rsidP="00B66D1E">
      <w:pPr>
        <w:ind w:right="237"/>
        <w:jc w:val="both"/>
        <w:rPr>
          <w:bCs/>
          <w:sz w:val="24"/>
          <w:szCs w:val="24"/>
        </w:rPr>
      </w:pPr>
    </w:p>
    <w:p w14:paraId="7C2C5CDD" w14:textId="77777777" w:rsidR="00AB2281" w:rsidRPr="00B66D1E" w:rsidRDefault="00AB2281" w:rsidP="00AB2281">
      <w:pPr>
        <w:keepNext/>
        <w:ind w:right="237"/>
        <w:rPr>
          <w:bCs/>
          <w:sz w:val="24"/>
          <w:szCs w:val="24"/>
        </w:rPr>
      </w:pPr>
      <w:r>
        <w:rPr>
          <w:bCs/>
          <w:sz w:val="24"/>
          <w:szCs w:val="24"/>
        </w:rPr>
        <w:t xml:space="preserve"> </w:t>
      </w:r>
      <w:r w:rsidRPr="00B66D1E">
        <w:rPr>
          <w:bCs/>
          <w:sz w:val="24"/>
          <w:szCs w:val="24"/>
        </w:rPr>
        <w:t>Bass, B.M. &amp; Riggio, R.E.</w:t>
      </w:r>
      <w:r>
        <w:rPr>
          <w:bCs/>
          <w:sz w:val="24"/>
          <w:szCs w:val="24"/>
        </w:rPr>
        <w:t xml:space="preserve"> (</w:t>
      </w:r>
      <w:r w:rsidRPr="00B66D1E">
        <w:rPr>
          <w:bCs/>
          <w:sz w:val="24"/>
          <w:szCs w:val="24"/>
        </w:rPr>
        <w:t>2006</w:t>
      </w:r>
      <w:r>
        <w:rPr>
          <w:bCs/>
          <w:sz w:val="24"/>
          <w:szCs w:val="24"/>
        </w:rPr>
        <w:t>)</w:t>
      </w:r>
      <w:r w:rsidRPr="00B66D1E">
        <w:rPr>
          <w:bCs/>
          <w:sz w:val="24"/>
          <w:szCs w:val="24"/>
        </w:rPr>
        <w:t xml:space="preserve"> *Transformational Leadership*. 2nd ed. Mahwah, NJ: Lawrence Erlbaum Associates.</w:t>
      </w:r>
    </w:p>
    <w:p w14:paraId="4CF38C6F" w14:textId="77777777" w:rsidR="00AB2281" w:rsidRPr="00B66D1E" w:rsidRDefault="00AB2281" w:rsidP="00AB2281">
      <w:pPr>
        <w:keepNext/>
        <w:ind w:right="237"/>
        <w:rPr>
          <w:bCs/>
          <w:sz w:val="24"/>
          <w:szCs w:val="24"/>
        </w:rPr>
      </w:pPr>
    </w:p>
    <w:p w14:paraId="365F6BCC" w14:textId="77777777" w:rsidR="00AB2281" w:rsidRPr="00B66D1E" w:rsidRDefault="00AB2281" w:rsidP="00AB2281">
      <w:pPr>
        <w:keepNext/>
        <w:ind w:right="237"/>
        <w:rPr>
          <w:bCs/>
          <w:sz w:val="24"/>
          <w:szCs w:val="24"/>
        </w:rPr>
      </w:pPr>
      <w:r w:rsidRPr="00B66D1E">
        <w:rPr>
          <w:bCs/>
          <w:sz w:val="24"/>
          <w:szCs w:val="24"/>
        </w:rPr>
        <w:t>Bass, B.M</w:t>
      </w:r>
      <w:r>
        <w:rPr>
          <w:bCs/>
          <w:sz w:val="24"/>
          <w:szCs w:val="24"/>
        </w:rPr>
        <w:t xml:space="preserve"> (1</w:t>
      </w:r>
      <w:r w:rsidRPr="00B66D1E">
        <w:rPr>
          <w:bCs/>
          <w:sz w:val="24"/>
          <w:szCs w:val="24"/>
        </w:rPr>
        <w:t>985</w:t>
      </w:r>
      <w:r>
        <w:rPr>
          <w:bCs/>
          <w:sz w:val="24"/>
          <w:szCs w:val="24"/>
        </w:rPr>
        <w:t>)</w:t>
      </w:r>
      <w:r w:rsidRPr="00B66D1E">
        <w:rPr>
          <w:bCs/>
          <w:sz w:val="24"/>
          <w:szCs w:val="24"/>
        </w:rPr>
        <w:t xml:space="preserve">. </w:t>
      </w:r>
      <w:r>
        <w:rPr>
          <w:bCs/>
          <w:sz w:val="24"/>
          <w:szCs w:val="24"/>
        </w:rPr>
        <w:t>‘</w:t>
      </w:r>
      <w:r w:rsidRPr="00B66D1E">
        <w:rPr>
          <w:bCs/>
          <w:sz w:val="24"/>
          <w:szCs w:val="24"/>
        </w:rPr>
        <w:t>Leadership and Performance Beyond Expectations</w:t>
      </w:r>
      <w:r>
        <w:rPr>
          <w:bCs/>
          <w:sz w:val="24"/>
          <w:szCs w:val="24"/>
        </w:rPr>
        <w:t>’</w:t>
      </w:r>
      <w:r w:rsidRPr="00B66D1E">
        <w:rPr>
          <w:bCs/>
          <w:sz w:val="24"/>
          <w:szCs w:val="24"/>
        </w:rPr>
        <w:t>. New York: Free Press.</w:t>
      </w:r>
    </w:p>
    <w:p w14:paraId="05B7330D" w14:textId="77777777" w:rsidR="00AB2281" w:rsidRPr="00B66D1E" w:rsidRDefault="00AB2281" w:rsidP="00AB2281">
      <w:pPr>
        <w:keepNext/>
        <w:ind w:right="237"/>
        <w:rPr>
          <w:bCs/>
          <w:sz w:val="24"/>
          <w:szCs w:val="24"/>
        </w:rPr>
      </w:pPr>
    </w:p>
    <w:p w14:paraId="602E2734" w14:textId="77777777" w:rsidR="00AB2281" w:rsidRPr="00B66D1E" w:rsidRDefault="00AB2281" w:rsidP="00AB2281">
      <w:pPr>
        <w:keepNext/>
        <w:ind w:right="237"/>
        <w:rPr>
          <w:bCs/>
          <w:sz w:val="24"/>
          <w:szCs w:val="24"/>
        </w:rPr>
      </w:pPr>
      <w:r w:rsidRPr="00B66D1E">
        <w:rPr>
          <w:bCs/>
          <w:sz w:val="24"/>
          <w:szCs w:val="24"/>
        </w:rPr>
        <w:t>Bass, B.M</w:t>
      </w:r>
      <w:r>
        <w:rPr>
          <w:bCs/>
          <w:sz w:val="24"/>
          <w:szCs w:val="24"/>
        </w:rPr>
        <w:t xml:space="preserve"> (</w:t>
      </w:r>
      <w:r w:rsidRPr="00B66D1E">
        <w:rPr>
          <w:bCs/>
          <w:sz w:val="24"/>
          <w:szCs w:val="24"/>
        </w:rPr>
        <w:t>1990</w:t>
      </w:r>
      <w:r>
        <w:rPr>
          <w:bCs/>
          <w:sz w:val="24"/>
          <w:szCs w:val="24"/>
        </w:rPr>
        <w:t>)</w:t>
      </w:r>
      <w:r w:rsidRPr="00B66D1E">
        <w:rPr>
          <w:bCs/>
          <w:sz w:val="24"/>
          <w:szCs w:val="24"/>
        </w:rPr>
        <w:t>. ‘From transactional to transformational leadership: Learning to share the vision’. *Organizational Dynamics*, 18(3), pp. 19–31.</w:t>
      </w:r>
    </w:p>
    <w:p w14:paraId="182E229D" w14:textId="65A2D98B" w:rsidR="00B66D1E" w:rsidRPr="00B66D1E" w:rsidRDefault="00B66D1E" w:rsidP="00B66D1E">
      <w:pPr>
        <w:ind w:right="237"/>
        <w:jc w:val="both"/>
        <w:rPr>
          <w:bCs/>
          <w:sz w:val="24"/>
          <w:szCs w:val="24"/>
        </w:rPr>
      </w:pPr>
    </w:p>
    <w:p w14:paraId="41E4AF81" w14:textId="77777777" w:rsidR="00B66D1E" w:rsidRPr="00B66D1E" w:rsidRDefault="00B66D1E" w:rsidP="00B66D1E">
      <w:pPr>
        <w:ind w:right="237"/>
        <w:jc w:val="both"/>
        <w:rPr>
          <w:bCs/>
          <w:sz w:val="24"/>
          <w:szCs w:val="24"/>
        </w:rPr>
      </w:pPr>
    </w:p>
    <w:p w14:paraId="0DEE434F" w14:textId="24FE1A21" w:rsidR="00B66D1E" w:rsidRPr="00B66D1E" w:rsidRDefault="00B66D1E" w:rsidP="00B66D1E">
      <w:pPr>
        <w:ind w:right="237"/>
        <w:jc w:val="both"/>
        <w:rPr>
          <w:bCs/>
          <w:sz w:val="24"/>
          <w:szCs w:val="24"/>
        </w:rPr>
      </w:pPr>
      <w:r w:rsidRPr="00B66D1E">
        <w:rPr>
          <w:bCs/>
          <w:sz w:val="24"/>
          <w:szCs w:val="24"/>
        </w:rPr>
        <w:t>CIPD (2024). </w:t>
      </w:r>
      <w:r w:rsidRPr="00B66D1E">
        <w:rPr>
          <w:bCs/>
          <w:i/>
          <w:iCs/>
          <w:sz w:val="24"/>
          <w:szCs w:val="24"/>
        </w:rPr>
        <w:t>Coaching and Mentoring</w:t>
      </w:r>
      <w:r w:rsidRPr="00B66D1E">
        <w:rPr>
          <w:bCs/>
          <w:sz w:val="24"/>
          <w:szCs w:val="24"/>
        </w:rPr>
        <w:t xml:space="preserve">. [online] CIPD. Available at: </w:t>
      </w:r>
      <w:hyperlink r:id="rId15" w:history="1">
        <w:r w:rsidRPr="00B66D1E">
          <w:rPr>
            <w:rStyle w:val="Hyperlink"/>
            <w:bCs/>
            <w:sz w:val="24"/>
            <w:szCs w:val="24"/>
          </w:rPr>
          <w:t>https://www.cipd.org/uk/knowledge/factsheets/coaching-mentoring-factsheet/</w:t>
        </w:r>
      </w:hyperlink>
      <w:r w:rsidRPr="00B66D1E">
        <w:rPr>
          <w:bCs/>
          <w:sz w:val="24"/>
          <w:szCs w:val="24"/>
        </w:rPr>
        <w:t>.</w:t>
      </w:r>
    </w:p>
    <w:p w14:paraId="5CCC4653" w14:textId="77777777" w:rsidR="00B66D1E" w:rsidRPr="00B66D1E" w:rsidRDefault="00B66D1E" w:rsidP="00B66D1E">
      <w:pPr>
        <w:ind w:right="237"/>
        <w:jc w:val="both"/>
        <w:rPr>
          <w:bCs/>
          <w:sz w:val="24"/>
          <w:szCs w:val="24"/>
        </w:rPr>
      </w:pPr>
    </w:p>
    <w:p w14:paraId="5A9BF4DF" w14:textId="77777777" w:rsidR="00B66D1E" w:rsidRPr="00B66D1E" w:rsidRDefault="00B66D1E" w:rsidP="00B66D1E">
      <w:pPr>
        <w:ind w:right="237"/>
        <w:jc w:val="both"/>
        <w:rPr>
          <w:bCs/>
          <w:sz w:val="24"/>
          <w:szCs w:val="24"/>
        </w:rPr>
      </w:pPr>
    </w:p>
    <w:p w14:paraId="0898DFD4" w14:textId="77777777" w:rsidR="00B66D1E" w:rsidRPr="00B66D1E" w:rsidRDefault="00B66D1E" w:rsidP="00B66D1E">
      <w:pPr>
        <w:ind w:right="237"/>
        <w:jc w:val="both"/>
        <w:rPr>
          <w:bCs/>
          <w:sz w:val="24"/>
          <w:szCs w:val="24"/>
        </w:rPr>
      </w:pPr>
      <w:r w:rsidRPr="00B66D1E">
        <w:rPr>
          <w:bCs/>
          <w:sz w:val="24"/>
          <w:szCs w:val="24"/>
        </w:rPr>
        <w:t>College Of Policing (2013). </w:t>
      </w:r>
      <w:r w:rsidRPr="00B66D1E">
        <w:rPr>
          <w:bCs/>
          <w:i/>
          <w:iCs/>
          <w:sz w:val="24"/>
          <w:szCs w:val="24"/>
        </w:rPr>
        <w:t>National Decision Model</w:t>
      </w:r>
      <w:r w:rsidRPr="00B66D1E">
        <w:rPr>
          <w:bCs/>
          <w:sz w:val="24"/>
          <w:szCs w:val="24"/>
        </w:rPr>
        <w:t>. [online] College of Policing . Available at: https://www.college.police.uk/app/national-decision-model/national-decision-model [Accessed 30 Jun. 2025].</w:t>
      </w:r>
    </w:p>
    <w:p w14:paraId="37052E5F" w14:textId="77777777" w:rsidR="00B66D1E" w:rsidRPr="00B66D1E" w:rsidRDefault="00B66D1E" w:rsidP="00B66D1E">
      <w:pPr>
        <w:ind w:right="237"/>
        <w:jc w:val="both"/>
        <w:rPr>
          <w:bCs/>
          <w:sz w:val="24"/>
          <w:szCs w:val="24"/>
        </w:rPr>
      </w:pPr>
    </w:p>
    <w:p w14:paraId="4E1A6E73" w14:textId="77777777" w:rsidR="00B66D1E" w:rsidRPr="00B66D1E" w:rsidRDefault="00B66D1E" w:rsidP="00B66D1E">
      <w:pPr>
        <w:ind w:right="237"/>
        <w:jc w:val="both"/>
        <w:rPr>
          <w:bCs/>
          <w:sz w:val="24"/>
          <w:szCs w:val="24"/>
        </w:rPr>
      </w:pPr>
    </w:p>
    <w:p w14:paraId="6BCF8F58" w14:textId="77777777" w:rsidR="00B66D1E" w:rsidRPr="00B66D1E" w:rsidRDefault="00B66D1E" w:rsidP="00B66D1E">
      <w:pPr>
        <w:ind w:right="237"/>
        <w:jc w:val="both"/>
        <w:rPr>
          <w:bCs/>
          <w:sz w:val="24"/>
          <w:szCs w:val="24"/>
        </w:rPr>
      </w:pPr>
      <w:r w:rsidRPr="00B66D1E">
        <w:rPr>
          <w:bCs/>
          <w:sz w:val="24"/>
          <w:szCs w:val="24"/>
        </w:rPr>
        <w:t>College of Policing (2020). </w:t>
      </w:r>
      <w:r w:rsidRPr="00B66D1E">
        <w:rPr>
          <w:bCs/>
          <w:i/>
          <w:iCs/>
          <w:sz w:val="24"/>
          <w:szCs w:val="24"/>
        </w:rPr>
        <w:t>Communication</w:t>
      </w:r>
      <w:r w:rsidRPr="00B66D1E">
        <w:rPr>
          <w:bCs/>
          <w:sz w:val="24"/>
          <w:szCs w:val="24"/>
        </w:rPr>
        <w:t>. [online] College of Policing. Available at: https://www.college.police.uk/app/engagement-and-communication/communication [Accessed 26 Jun. 2025].</w:t>
      </w:r>
    </w:p>
    <w:p w14:paraId="53EA20C9" w14:textId="77777777" w:rsidR="00B66D1E" w:rsidRPr="00B66D1E" w:rsidRDefault="00B66D1E" w:rsidP="00B66D1E">
      <w:pPr>
        <w:ind w:right="237"/>
        <w:jc w:val="both"/>
        <w:rPr>
          <w:bCs/>
          <w:sz w:val="24"/>
          <w:szCs w:val="24"/>
        </w:rPr>
      </w:pPr>
    </w:p>
    <w:p w14:paraId="7874516D" w14:textId="77777777" w:rsidR="00B66D1E" w:rsidRPr="00B66D1E" w:rsidRDefault="00B66D1E" w:rsidP="00B66D1E">
      <w:pPr>
        <w:ind w:right="237"/>
        <w:jc w:val="both"/>
        <w:rPr>
          <w:bCs/>
          <w:sz w:val="24"/>
          <w:szCs w:val="24"/>
        </w:rPr>
      </w:pPr>
    </w:p>
    <w:p w14:paraId="14BB202D" w14:textId="77777777" w:rsidR="00B66D1E" w:rsidRPr="00B66D1E" w:rsidRDefault="00B66D1E" w:rsidP="00B66D1E">
      <w:pPr>
        <w:ind w:right="237"/>
        <w:jc w:val="both"/>
        <w:rPr>
          <w:bCs/>
          <w:sz w:val="24"/>
          <w:szCs w:val="24"/>
        </w:rPr>
      </w:pPr>
      <w:r w:rsidRPr="00B66D1E">
        <w:rPr>
          <w:bCs/>
          <w:sz w:val="24"/>
          <w:szCs w:val="24"/>
        </w:rPr>
        <w:t>Coreen, D. (2024). </w:t>
      </w:r>
      <w:r w:rsidRPr="00B66D1E">
        <w:rPr>
          <w:bCs/>
          <w:i/>
          <w:iCs/>
          <w:sz w:val="24"/>
          <w:szCs w:val="24"/>
        </w:rPr>
        <w:t>The Power of Goal Setting: an Academic Insight into Success – DAVRON</w:t>
      </w:r>
      <w:r w:rsidRPr="00B66D1E">
        <w:rPr>
          <w:bCs/>
          <w:sz w:val="24"/>
          <w:szCs w:val="24"/>
        </w:rPr>
        <w:t>. [online] Davron.net. Available at: https://www.davron.net/the-power-of-goal-setting-an-academic-insight-into-success/ [Accessed 26 Jun. 2025].</w:t>
      </w:r>
    </w:p>
    <w:p w14:paraId="2F0B4165" w14:textId="77777777" w:rsidR="00B66D1E" w:rsidRPr="00B66D1E" w:rsidRDefault="00B66D1E" w:rsidP="00B66D1E">
      <w:pPr>
        <w:ind w:right="237"/>
        <w:jc w:val="both"/>
        <w:rPr>
          <w:bCs/>
          <w:sz w:val="24"/>
          <w:szCs w:val="24"/>
        </w:rPr>
      </w:pPr>
    </w:p>
    <w:p w14:paraId="56C687C3" w14:textId="77777777" w:rsidR="00B66D1E" w:rsidRPr="00B66D1E" w:rsidRDefault="00B66D1E" w:rsidP="00B66D1E">
      <w:pPr>
        <w:ind w:right="237"/>
        <w:jc w:val="both"/>
        <w:rPr>
          <w:bCs/>
          <w:sz w:val="24"/>
          <w:szCs w:val="24"/>
        </w:rPr>
      </w:pPr>
    </w:p>
    <w:p w14:paraId="69CE25E7" w14:textId="77777777" w:rsidR="00B66D1E" w:rsidRPr="00B66D1E" w:rsidRDefault="00B66D1E" w:rsidP="00B66D1E">
      <w:pPr>
        <w:ind w:right="237"/>
        <w:jc w:val="both"/>
        <w:rPr>
          <w:bCs/>
          <w:sz w:val="24"/>
          <w:szCs w:val="24"/>
        </w:rPr>
      </w:pPr>
      <w:r w:rsidRPr="00B66D1E">
        <w:rPr>
          <w:bCs/>
          <w:sz w:val="24"/>
          <w:szCs w:val="24"/>
        </w:rPr>
        <w:t>Doyle, R. (2022). </w:t>
      </w:r>
      <w:r w:rsidRPr="00B66D1E">
        <w:rPr>
          <w:bCs/>
          <w:i/>
          <w:iCs/>
          <w:sz w:val="24"/>
          <w:szCs w:val="24"/>
        </w:rPr>
        <w:t>Missing persons – making risk assessment decisions</w:t>
      </w:r>
      <w:r w:rsidRPr="00B66D1E">
        <w:rPr>
          <w:bCs/>
          <w:sz w:val="24"/>
          <w:szCs w:val="24"/>
        </w:rPr>
        <w:t>. [online] College of Policing. Available at: https://www.college.police.uk/article/missing-persons-making-risk-assessment-decisions [Accessed 26 Jun. 2025].</w:t>
      </w:r>
    </w:p>
    <w:p w14:paraId="2669B995" w14:textId="77777777" w:rsidR="00B66D1E" w:rsidRPr="00B66D1E" w:rsidRDefault="00B66D1E" w:rsidP="00B66D1E">
      <w:pPr>
        <w:ind w:right="237"/>
        <w:jc w:val="both"/>
        <w:rPr>
          <w:bCs/>
          <w:sz w:val="24"/>
          <w:szCs w:val="24"/>
        </w:rPr>
      </w:pPr>
    </w:p>
    <w:p w14:paraId="6833EFD5" w14:textId="77777777" w:rsidR="00B66D1E" w:rsidRPr="00B66D1E" w:rsidRDefault="00B66D1E" w:rsidP="00B66D1E">
      <w:pPr>
        <w:ind w:right="237"/>
        <w:jc w:val="both"/>
        <w:rPr>
          <w:bCs/>
          <w:sz w:val="24"/>
          <w:szCs w:val="24"/>
        </w:rPr>
      </w:pPr>
    </w:p>
    <w:p w14:paraId="2490FAAB" w14:textId="77777777" w:rsidR="00B66D1E" w:rsidRPr="00B66D1E" w:rsidRDefault="00B66D1E" w:rsidP="00B66D1E">
      <w:pPr>
        <w:ind w:right="237"/>
        <w:jc w:val="both"/>
        <w:rPr>
          <w:bCs/>
          <w:sz w:val="24"/>
          <w:szCs w:val="24"/>
        </w:rPr>
      </w:pPr>
      <w:r w:rsidRPr="00B66D1E">
        <w:rPr>
          <w:bCs/>
          <w:sz w:val="24"/>
          <w:szCs w:val="24"/>
        </w:rPr>
        <w:lastRenderedPageBreak/>
        <w:t>Garry, M. and Gerrie, M.P. (2005). When Photographs Create False Memories. </w:t>
      </w:r>
      <w:r w:rsidRPr="00B66D1E">
        <w:rPr>
          <w:bCs/>
          <w:i/>
          <w:iCs/>
          <w:sz w:val="24"/>
          <w:szCs w:val="24"/>
        </w:rPr>
        <w:t>Current Directions in Psychological Science</w:t>
      </w:r>
      <w:r w:rsidRPr="00B66D1E">
        <w:rPr>
          <w:bCs/>
          <w:sz w:val="24"/>
          <w:szCs w:val="24"/>
        </w:rPr>
        <w:t>, [online] 14(6), pp.321–325. doi:https://doi.org/10.1111/j.0963-7214.2005.00390.x.</w:t>
      </w:r>
    </w:p>
    <w:p w14:paraId="68ED2D3D" w14:textId="77777777" w:rsidR="00B66D1E" w:rsidRPr="00B66D1E" w:rsidRDefault="00B66D1E" w:rsidP="00B66D1E">
      <w:pPr>
        <w:ind w:right="237"/>
        <w:jc w:val="both"/>
        <w:rPr>
          <w:bCs/>
          <w:sz w:val="24"/>
          <w:szCs w:val="24"/>
        </w:rPr>
      </w:pPr>
      <w:r w:rsidRPr="00B66D1E">
        <w:rPr>
          <w:bCs/>
          <w:sz w:val="24"/>
          <w:szCs w:val="24"/>
        </w:rPr>
        <w:t>Gov.uk (2011). </w:t>
      </w:r>
      <w:r w:rsidRPr="00B66D1E">
        <w:rPr>
          <w:bCs/>
          <w:i/>
          <w:iCs/>
          <w:sz w:val="24"/>
          <w:szCs w:val="24"/>
        </w:rPr>
        <w:t>Offences Against the Person Act 1861</w:t>
      </w:r>
      <w:r w:rsidRPr="00B66D1E">
        <w:rPr>
          <w:bCs/>
          <w:sz w:val="24"/>
          <w:szCs w:val="24"/>
        </w:rPr>
        <w:t>. [online] Legislation.gov.uk. Available at: https://www.legislation.gov.uk/ukpga/Vict/24-25/100/section/47 [Accessed 30 Jun. 2025].</w:t>
      </w:r>
    </w:p>
    <w:p w14:paraId="1A153F68" w14:textId="77777777" w:rsidR="00B66D1E" w:rsidRPr="00B66D1E" w:rsidRDefault="00B66D1E" w:rsidP="00B66D1E">
      <w:pPr>
        <w:ind w:right="237"/>
        <w:jc w:val="both"/>
        <w:rPr>
          <w:bCs/>
          <w:sz w:val="24"/>
          <w:szCs w:val="24"/>
        </w:rPr>
      </w:pPr>
    </w:p>
    <w:p w14:paraId="51875B9B" w14:textId="77777777" w:rsidR="00B66D1E" w:rsidRPr="00B66D1E" w:rsidRDefault="00B66D1E" w:rsidP="00B66D1E">
      <w:pPr>
        <w:ind w:right="237"/>
        <w:jc w:val="both"/>
        <w:rPr>
          <w:bCs/>
          <w:sz w:val="24"/>
          <w:szCs w:val="24"/>
        </w:rPr>
      </w:pPr>
    </w:p>
    <w:p w14:paraId="6DED630F" w14:textId="77777777" w:rsidR="00B66D1E" w:rsidRPr="00B66D1E" w:rsidRDefault="00B66D1E" w:rsidP="00B66D1E">
      <w:pPr>
        <w:ind w:right="237"/>
        <w:jc w:val="both"/>
        <w:rPr>
          <w:bCs/>
          <w:sz w:val="24"/>
          <w:szCs w:val="24"/>
        </w:rPr>
      </w:pPr>
      <w:r w:rsidRPr="00B66D1E">
        <w:rPr>
          <w:bCs/>
          <w:sz w:val="24"/>
          <w:szCs w:val="24"/>
        </w:rPr>
        <w:t>Hancock, J. (2024). </w:t>
      </w:r>
      <w:r w:rsidRPr="00B66D1E">
        <w:rPr>
          <w:bCs/>
          <w:i/>
          <w:iCs/>
          <w:sz w:val="24"/>
          <w:szCs w:val="24"/>
        </w:rPr>
        <w:t>The GROW Model of Coaching and Mentoring</w:t>
      </w:r>
      <w:r w:rsidRPr="00B66D1E">
        <w:rPr>
          <w:bCs/>
          <w:sz w:val="24"/>
          <w:szCs w:val="24"/>
        </w:rPr>
        <w:t>. [online] Mind Tools. Available at: https://www.mindtools.com/an0fzpz/the-grow-model-of-coaching-and-mentoring [Accessed 26 Jun. 2025].</w:t>
      </w:r>
    </w:p>
    <w:p w14:paraId="2A198947" w14:textId="77777777" w:rsidR="00B66D1E" w:rsidRPr="00B66D1E" w:rsidRDefault="00B66D1E" w:rsidP="00B66D1E">
      <w:pPr>
        <w:ind w:right="237"/>
        <w:jc w:val="both"/>
        <w:rPr>
          <w:bCs/>
          <w:sz w:val="24"/>
          <w:szCs w:val="24"/>
        </w:rPr>
      </w:pPr>
    </w:p>
    <w:p w14:paraId="0CB54650" w14:textId="77777777" w:rsidR="00B66D1E" w:rsidRPr="00B66D1E" w:rsidRDefault="00B66D1E" w:rsidP="00B66D1E">
      <w:pPr>
        <w:ind w:right="237"/>
        <w:jc w:val="both"/>
        <w:rPr>
          <w:bCs/>
          <w:sz w:val="24"/>
          <w:szCs w:val="24"/>
        </w:rPr>
      </w:pPr>
    </w:p>
    <w:p w14:paraId="46FE37DA" w14:textId="77777777" w:rsidR="00B66D1E" w:rsidRPr="00B66D1E" w:rsidRDefault="00B66D1E" w:rsidP="00B66D1E">
      <w:pPr>
        <w:ind w:right="237"/>
        <w:jc w:val="both"/>
        <w:rPr>
          <w:bCs/>
          <w:sz w:val="24"/>
          <w:szCs w:val="24"/>
        </w:rPr>
      </w:pPr>
      <w:r w:rsidRPr="00B66D1E">
        <w:rPr>
          <w:bCs/>
          <w:sz w:val="24"/>
          <w:szCs w:val="24"/>
        </w:rPr>
        <w:t>Hays, M.J., Kornell, N. and Bjork, R.A. (2010). The Costs and Benefits of Providing Feedback during Learning. </w:t>
      </w:r>
      <w:r w:rsidRPr="00B66D1E">
        <w:rPr>
          <w:bCs/>
          <w:i/>
          <w:iCs/>
          <w:sz w:val="24"/>
          <w:szCs w:val="24"/>
        </w:rPr>
        <w:t>Psychonomic Bulletin &amp; Review</w:t>
      </w:r>
      <w:r w:rsidRPr="00B66D1E">
        <w:rPr>
          <w:bCs/>
          <w:sz w:val="24"/>
          <w:szCs w:val="24"/>
        </w:rPr>
        <w:t>, [online] 17(6), pp.797–801. doi:https://doi.org/10.3758/pbr.17.6.797.</w:t>
      </w:r>
    </w:p>
    <w:p w14:paraId="21B17459" w14:textId="46320925" w:rsidR="00B66D1E" w:rsidRPr="00B66D1E" w:rsidRDefault="00B66D1E" w:rsidP="00B66D1E">
      <w:pPr>
        <w:ind w:right="237"/>
        <w:jc w:val="both"/>
        <w:rPr>
          <w:bCs/>
          <w:sz w:val="24"/>
          <w:szCs w:val="24"/>
        </w:rPr>
      </w:pPr>
      <w:r w:rsidRPr="00B66D1E">
        <w:rPr>
          <w:bCs/>
          <w:sz w:val="24"/>
          <w:szCs w:val="24"/>
        </w:rPr>
        <w:t>Institute of Directors (2024). </w:t>
      </w:r>
      <w:r w:rsidRPr="00B66D1E">
        <w:rPr>
          <w:bCs/>
          <w:i/>
          <w:iCs/>
          <w:sz w:val="24"/>
          <w:szCs w:val="24"/>
        </w:rPr>
        <w:t>What is mentoring?</w:t>
      </w:r>
      <w:r w:rsidRPr="00B66D1E">
        <w:rPr>
          <w:bCs/>
          <w:sz w:val="24"/>
          <w:szCs w:val="24"/>
        </w:rPr>
        <w:t xml:space="preserve"> [online] Institute of Directors. Available at: </w:t>
      </w:r>
      <w:hyperlink r:id="rId16" w:history="1">
        <w:r w:rsidRPr="00B66D1E">
          <w:rPr>
            <w:rStyle w:val="Hyperlink"/>
            <w:bCs/>
            <w:sz w:val="24"/>
            <w:szCs w:val="24"/>
          </w:rPr>
          <w:t>https://www.iod.com/resources/employment-and-skills/what-is-mentoring/</w:t>
        </w:r>
      </w:hyperlink>
      <w:r w:rsidRPr="00B66D1E">
        <w:rPr>
          <w:bCs/>
          <w:sz w:val="24"/>
          <w:szCs w:val="24"/>
        </w:rPr>
        <w:t>.</w:t>
      </w:r>
    </w:p>
    <w:p w14:paraId="28AB29BE" w14:textId="77777777" w:rsidR="00B66D1E" w:rsidRPr="00B66D1E" w:rsidRDefault="00B66D1E" w:rsidP="00B66D1E">
      <w:pPr>
        <w:ind w:right="237"/>
        <w:jc w:val="both"/>
        <w:rPr>
          <w:bCs/>
          <w:sz w:val="24"/>
          <w:szCs w:val="24"/>
        </w:rPr>
      </w:pPr>
    </w:p>
    <w:p w14:paraId="235E3A79" w14:textId="77777777" w:rsidR="00AB2281" w:rsidRPr="00B66D1E" w:rsidRDefault="00AB2281" w:rsidP="00AB2281">
      <w:pPr>
        <w:keepNext/>
        <w:ind w:right="237"/>
        <w:rPr>
          <w:bCs/>
          <w:sz w:val="24"/>
          <w:szCs w:val="24"/>
        </w:rPr>
      </w:pPr>
      <w:r w:rsidRPr="00B66D1E">
        <w:rPr>
          <w:bCs/>
          <w:sz w:val="24"/>
          <w:szCs w:val="24"/>
        </w:rPr>
        <w:t>Hersey, P. &amp; Blanchard, K.H.</w:t>
      </w:r>
      <w:r>
        <w:rPr>
          <w:bCs/>
          <w:sz w:val="24"/>
          <w:szCs w:val="24"/>
        </w:rPr>
        <w:t xml:space="preserve"> (</w:t>
      </w:r>
      <w:r w:rsidRPr="00B66D1E">
        <w:rPr>
          <w:bCs/>
          <w:sz w:val="24"/>
          <w:szCs w:val="24"/>
        </w:rPr>
        <w:t>1969</w:t>
      </w:r>
      <w:r>
        <w:rPr>
          <w:bCs/>
          <w:sz w:val="24"/>
          <w:szCs w:val="24"/>
        </w:rPr>
        <w:t>) ‘</w:t>
      </w:r>
      <w:r w:rsidRPr="00B66D1E">
        <w:rPr>
          <w:bCs/>
          <w:sz w:val="24"/>
          <w:szCs w:val="24"/>
        </w:rPr>
        <w:t>Management of Organizational Behavior: Utilizing Human Resources</w:t>
      </w:r>
      <w:r>
        <w:rPr>
          <w:bCs/>
          <w:sz w:val="24"/>
          <w:szCs w:val="24"/>
        </w:rPr>
        <w:t>’</w:t>
      </w:r>
      <w:r w:rsidRPr="00B66D1E">
        <w:rPr>
          <w:bCs/>
          <w:sz w:val="24"/>
          <w:szCs w:val="24"/>
        </w:rPr>
        <w:t xml:space="preserve"> Englewood Cliffs, NJ: Prentice-Hall.</w:t>
      </w:r>
    </w:p>
    <w:p w14:paraId="70F5EDF3" w14:textId="77777777" w:rsidR="00AB2281" w:rsidRPr="00B66D1E" w:rsidRDefault="00AB2281" w:rsidP="00AB2281">
      <w:pPr>
        <w:keepNext/>
        <w:ind w:right="237"/>
        <w:rPr>
          <w:bCs/>
          <w:sz w:val="24"/>
          <w:szCs w:val="24"/>
        </w:rPr>
      </w:pPr>
    </w:p>
    <w:p w14:paraId="25B673BF" w14:textId="77777777" w:rsidR="00AB2281" w:rsidRPr="00B66D1E" w:rsidRDefault="00AB2281" w:rsidP="00AB2281">
      <w:pPr>
        <w:keepNext/>
        <w:ind w:right="237"/>
        <w:rPr>
          <w:bCs/>
          <w:sz w:val="24"/>
          <w:szCs w:val="24"/>
        </w:rPr>
      </w:pPr>
      <w:r w:rsidRPr="00B66D1E">
        <w:rPr>
          <w:bCs/>
          <w:sz w:val="24"/>
          <w:szCs w:val="24"/>
        </w:rPr>
        <w:t>Hersey, P., Blanchard, K.H. &amp; Natemeyer, W.E</w:t>
      </w:r>
      <w:r>
        <w:rPr>
          <w:bCs/>
          <w:sz w:val="24"/>
          <w:szCs w:val="24"/>
        </w:rPr>
        <w:t xml:space="preserve"> (</w:t>
      </w:r>
      <w:r w:rsidRPr="00B66D1E">
        <w:rPr>
          <w:bCs/>
          <w:sz w:val="24"/>
          <w:szCs w:val="24"/>
        </w:rPr>
        <w:t>1979</w:t>
      </w:r>
      <w:r>
        <w:rPr>
          <w:bCs/>
          <w:sz w:val="24"/>
          <w:szCs w:val="24"/>
        </w:rPr>
        <w:t>)</w:t>
      </w:r>
      <w:r w:rsidRPr="00B66D1E">
        <w:rPr>
          <w:bCs/>
          <w:sz w:val="24"/>
          <w:szCs w:val="24"/>
        </w:rPr>
        <w:t xml:space="preserve"> ‘Situational Leadership, Perception, and the Impact of Power’. </w:t>
      </w:r>
      <w:r>
        <w:rPr>
          <w:bCs/>
          <w:sz w:val="24"/>
          <w:szCs w:val="24"/>
        </w:rPr>
        <w:t>‘</w:t>
      </w:r>
      <w:r w:rsidRPr="00B66D1E">
        <w:rPr>
          <w:bCs/>
          <w:sz w:val="24"/>
          <w:szCs w:val="24"/>
        </w:rPr>
        <w:t>Group &amp; Organization Studies</w:t>
      </w:r>
      <w:r>
        <w:rPr>
          <w:bCs/>
          <w:sz w:val="24"/>
          <w:szCs w:val="24"/>
        </w:rPr>
        <w:t>’</w:t>
      </w:r>
      <w:r w:rsidRPr="00B66D1E">
        <w:rPr>
          <w:bCs/>
          <w:sz w:val="24"/>
          <w:szCs w:val="24"/>
        </w:rPr>
        <w:t xml:space="preserve"> 4(4), pp. 418–428.</w:t>
      </w:r>
    </w:p>
    <w:p w14:paraId="5CBDAC1A" w14:textId="77777777" w:rsidR="00B66D1E" w:rsidRDefault="00B66D1E" w:rsidP="00B66D1E">
      <w:pPr>
        <w:ind w:right="237"/>
        <w:jc w:val="both"/>
        <w:rPr>
          <w:bCs/>
          <w:sz w:val="24"/>
          <w:szCs w:val="24"/>
        </w:rPr>
      </w:pPr>
    </w:p>
    <w:p w14:paraId="1D34D1CD" w14:textId="77777777" w:rsidR="00AB2281" w:rsidRPr="00B66D1E" w:rsidRDefault="00AB2281" w:rsidP="00AB2281">
      <w:pPr>
        <w:keepNext/>
        <w:ind w:right="237"/>
        <w:rPr>
          <w:bCs/>
          <w:sz w:val="24"/>
          <w:szCs w:val="24"/>
        </w:rPr>
      </w:pPr>
      <w:r w:rsidRPr="00B66D1E">
        <w:rPr>
          <w:bCs/>
          <w:sz w:val="24"/>
          <w:szCs w:val="24"/>
        </w:rPr>
        <w:t>Investopedia</w:t>
      </w:r>
      <w:r>
        <w:rPr>
          <w:bCs/>
          <w:sz w:val="24"/>
          <w:szCs w:val="24"/>
        </w:rPr>
        <w:t xml:space="preserve"> {</w:t>
      </w:r>
      <w:r w:rsidRPr="00B66D1E">
        <w:rPr>
          <w:bCs/>
          <w:sz w:val="24"/>
          <w:szCs w:val="24"/>
        </w:rPr>
        <w:t>2025</w:t>
      </w:r>
      <w:r>
        <w:rPr>
          <w:bCs/>
          <w:sz w:val="24"/>
          <w:szCs w:val="24"/>
        </w:rPr>
        <w:t>)</w:t>
      </w:r>
      <w:r w:rsidRPr="00B66D1E">
        <w:rPr>
          <w:bCs/>
          <w:sz w:val="24"/>
          <w:szCs w:val="24"/>
        </w:rPr>
        <w:t xml:space="preserve"> </w:t>
      </w:r>
      <w:r>
        <w:rPr>
          <w:bCs/>
          <w:sz w:val="24"/>
          <w:szCs w:val="24"/>
        </w:rPr>
        <w:t>‘</w:t>
      </w:r>
      <w:r w:rsidRPr="00B66D1E">
        <w:rPr>
          <w:bCs/>
          <w:sz w:val="24"/>
          <w:szCs w:val="24"/>
        </w:rPr>
        <w:t>Situational Leadership (Hersey–Blanchard) Model: How It Work</w:t>
      </w:r>
      <w:r>
        <w:rPr>
          <w:bCs/>
          <w:sz w:val="24"/>
          <w:szCs w:val="24"/>
        </w:rPr>
        <w:t>s’</w:t>
      </w:r>
      <w:r w:rsidRPr="00B66D1E">
        <w:rPr>
          <w:bCs/>
          <w:sz w:val="24"/>
          <w:szCs w:val="24"/>
        </w:rPr>
        <w:t xml:space="preserve">. Available at: https://www.investopedia.com/terms/h/hersey-and-blanchard-model.asp </w:t>
      </w:r>
      <w:r>
        <w:rPr>
          <w:bCs/>
          <w:sz w:val="24"/>
          <w:szCs w:val="24"/>
        </w:rPr>
        <w:t>[</w:t>
      </w:r>
      <w:r w:rsidRPr="00B66D1E">
        <w:rPr>
          <w:bCs/>
          <w:sz w:val="24"/>
          <w:szCs w:val="24"/>
        </w:rPr>
        <w:t>Accessed: 30 Ju</w:t>
      </w:r>
      <w:r>
        <w:rPr>
          <w:bCs/>
          <w:sz w:val="24"/>
          <w:szCs w:val="24"/>
        </w:rPr>
        <w:t>n.</w:t>
      </w:r>
      <w:r w:rsidRPr="00B66D1E">
        <w:rPr>
          <w:bCs/>
          <w:sz w:val="24"/>
          <w:szCs w:val="24"/>
        </w:rPr>
        <w:t xml:space="preserve"> 2025</w:t>
      </w:r>
      <w:r>
        <w:rPr>
          <w:bCs/>
          <w:sz w:val="24"/>
          <w:szCs w:val="24"/>
        </w:rPr>
        <w:t>].</w:t>
      </w:r>
    </w:p>
    <w:p w14:paraId="49C171BA" w14:textId="77777777" w:rsidR="00AB2281" w:rsidRPr="00B66D1E" w:rsidRDefault="00AB2281" w:rsidP="00B66D1E">
      <w:pPr>
        <w:ind w:right="237"/>
        <w:jc w:val="both"/>
        <w:rPr>
          <w:bCs/>
          <w:sz w:val="24"/>
          <w:szCs w:val="24"/>
        </w:rPr>
      </w:pPr>
    </w:p>
    <w:p w14:paraId="2FC93F1E" w14:textId="77777777" w:rsidR="00B66D1E" w:rsidRPr="00B66D1E" w:rsidRDefault="00B66D1E" w:rsidP="00B66D1E">
      <w:pPr>
        <w:ind w:right="237"/>
        <w:jc w:val="both"/>
        <w:rPr>
          <w:bCs/>
          <w:sz w:val="24"/>
          <w:szCs w:val="24"/>
        </w:rPr>
      </w:pPr>
      <w:r w:rsidRPr="00B66D1E">
        <w:rPr>
          <w:bCs/>
          <w:sz w:val="24"/>
          <w:szCs w:val="24"/>
        </w:rPr>
        <w:t>Magny, O. (2021). </w:t>
      </w:r>
      <w:r w:rsidRPr="00B66D1E">
        <w:rPr>
          <w:bCs/>
          <w:i/>
          <w:iCs/>
          <w:sz w:val="24"/>
          <w:szCs w:val="24"/>
        </w:rPr>
        <w:t>Can Coaching Be Beneficial in Policing?</w:t>
      </w:r>
      <w:r w:rsidRPr="00B66D1E">
        <w:rPr>
          <w:bCs/>
          <w:sz w:val="24"/>
          <w:szCs w:val="24"/>
        </w:rPr>
        <w:t> [online] Police1. Available at: https://www.police1.com/chiefs-sheriffs/articles/can-coaching-be-beneficial-in-policing-LZxrx97Wtr5BzDrt/ [Accessed 24 Jun. 2025].</w:t>
      </w:r>
    </w:p>
    <w:p w14:paraId="4C8BE2A3" w14:textId="77777777" w:rsidR="00B66D1E" w:rsidRPr="00B66D1E" w:rsidRDefault="00B66D1E" w:rsidP="00B66D1E">
      <w:pPr>
        <w:ind w:right="237"/>
        <w:jc w:val="both"/>
        <w:rPr>
          <w:bCs/>
          <w:sz w:val="24"/>
          <w:szCs w:val="24"/>
        </w:rPr>
      </w:pPr>
    </w:p>
    <w:p w14:paraId="7FE03016" w14:textId="77777777" w:rsidR="00B66D1E" w:rsidRPr="00B66D1E" w:rsidRDefault="00B66D1E" w:rsidP="00B66D1E">
      <w:pPr>
        <w:ind w:right="237"/>
        <w:jc w:val="both"/>
        <w:rPr>
          <w:bCs/>
          <w:sz w:val="24"/>
          <w:szCs w:val="24"/>
        </w:rPr>
      </w:pPr>
    </w:p>
    <w:p w14:paraId="568731FF" w14:textId="77777777" w:rsidR="00B66D1E" w:rsidRPr="00B66D1E" w:rsidRDefault="00B66D1E" w:rsidP="00B66D1E">
      <w:pPr>
        <w:ind w:right="237"/>
        <w:jc w:val="both"/>
        <w:rPr>
          <w:bCs/>
          <w:sz w:val="24"/>
          <w:szCs w:val="24"/>
        </w:rPr>
      </w:pPr>
      <w:r w:rsidRPr="00B66D1E">
        <w:rPr>
          <w:bCs/>
          <w:sz w:val="24"/>
          <w:szCs w:val="24"/>
        </w:rPr>
        <w:t>McLeod, S. (2024). </w:t>
      </w:r>
      <w:r w:rsidRPr="00B66D1E">
        <w:rPr>
          <w:bCs/>
          <w:i/>
          <w:iCs/>
          <w:sz w:val="24"/>
          <w:szCs w:val="24"/>
        </w:rPr>
        <w:t>Piaget’s Theory of Moral Development | Simply Psychology</w:t>
      </w:r>
      <w:r w:rsidRPr="00B66D1E">
        <w:rPr>
          <w:bCs/>
          <w:sz w:val="24"/>
          <w:szCs w:val="24"/>
        </w:rPr>
        <w:t>. [online] Simplypsychology.org. Available at: https://www.simplypsychology.org/piaget-moral.html [Accessed 26 Jun. 2025].</w:t>
      </w:r>
    </w:p>
    <w:p w14:paraId="17A365FC" w14:textId="77777777" w:rsidR="00B66D1E" w:rsidRPr="00B66D1E" w:rsidRDefault="00B66D1E" w:rsidP="00B66D1E">
      <w:pPr>
        <w:ind w:right="237"/>
        <w:jc w:val="both"/>
        <w:rPr>
          <w:bCs/>
          <w:sz w:val="24"/>
          <w:szCs w:val="24"/>
        </w:rPr>
      </w:pPr>
    </w:p>
    <w:p w14:paraId="04F3EAD9" w14:textId="77777777" w:rsidR="00B66D1E" w:rsidRPr="00B66D1E" w:rsidRDefault="00B66D1E" w:rsidP="00B66D1E">
      <w:pPr>
        <w:ind w:right="237"/>
        <w:jc w:val="both"/>
        <w:rPr>
          <w:bCs/>
          <w:sz w:val="24"/>
          <w:szCs w:val="24"/>
        </w:rPr>
      </w:pPr>
    </w:p>
    <w:p w14:paraId="1B95E426" w14:textId="77777777" w:rsidR="00B66D1E" w:rsidRPr="00B66D1E" w:rsidRDefault="00B66D1E" w:rsidP="00B66D1E">
      <w:pPr>
        <w:ind w:right="237"/>
        <w:jc w:val="both"/>
        <w:rPr>
          <w:bCs/>
          <w:sz w:val="24"/>
          <w:szCs w:val="24"/>
        </w:rPr>
      </w:pPr>
      <w:r w:rsidRPr="00B66D1E">
        <w:rPr>
          <w:bCs/>
          <w:sz w:val="24"/>
          <w:szCs w:val="24"/>
        </w:rPr>
        <w:t>McLeod, S. (2025). </w:t>
      </w:r>
      <w:r w:rsidRPr="00B66D1E">
        <w:rPr>
          <w:bCs/>
          <w:i/>
          <w:iCs/>
          <w:sz w:val="24"/>
          <w:szCs w:val="24"/>
        </w:rPr>
        <w:t>The Zone of Proximal Development and Scaffolding</w:t>
      </w:r>
      <w:r w:rsidRPr="00B66D1E">
        <w:rPr>
          <w:bCs/>
          <w:sz w:val="24"/>
          <w:szCs w:val="24"/>
        </w:rPr>
        <w:t>. [online] Simply Psychology. Available at: https://www.simplypsychology.org/Zone-of-Proximal-Development.html [Accessed 26 Jun. 2025].</w:t>
      </w:r>
    </w:p>
    <w:p w14:paraId="3ECCF25A" w14:textId="77777777" w:rsidR="00B66D1E" w:rsidRPr="00B66D1E" w:rsidRDefault="00B66D1E" w:rsidP="00B66D1E">
      <w:pPr>
        <w:ind w:right="237"/>
        <w:jc w:val="both"/>
        <w:rPr>
          <w:bCs/>
          <w:sz w:val="24"/>
          <w:szCs w:val="24"/>
        </w:rPr>
      </w:pPr>
    </w:p>
    <w:p w14:paraId="09ED83B8" w14:textId="77777777" w:rsidR="00B66D1E" w:rsidRPr="00B66D1E" w:rsidRDefault="00B66D1E" w:rsidP="00B66D1E">
      <w:pPr>
        <w:ind w:right="237"/>
        <w:jc w:val="both"/>
        <w:rPr>
          <w:bCs/>
          <w:sz w:val="24"/>
          <w:szCs w:val="24"/>
        </w:rPr>
      </w:pPr>
    </w:p>
    <w:p w14:paraId="605E377B" w14:textId="77777777" w:rsidR="00B66D1E" w:rsidRPr="00B66D1E" w:rsidRDefault="00B66D1E" w:rsidP="00B66D1E">
      <w:pPr>
        <w:ind w:right="237"/>
        <w:jc w:val="both"/>
        <w:rPr>
          <w:bCs/>
          <w:sz w:val="24"/>
          <w:szCs w:val="24"/>
        </w:rPr>
      </w:pPr>
      <w:r w:rsidRPr="00B66D1E">
        <w:rPr>
          <w:bCs/>
          <w:sz w:val="24"/>
          <w:szCs w:val="24"/>
        </w:rPr>
        <w:t>Myhill, A. and Bradford, B. (2012). Can police enhance public confidence by improving quality of service? Results from two surveys in England and Wales. </w:t>
      </w:r>
      <w:r w:rsidRPr="00B66D1E">
        <w:rPr>
          <w:bCs/>
          <w:i/>
          <w:iCs/>
          <w:sz w:val="24"/>
          <w:szCs w:val="24"/>
        </w:rPr>
        <w:t>Policing and Society</w:t>
      </w:r>
      <w:r w:rsidRPr="00B66D1E">
        <w:rPr>
          <w:bCs/>
          <w:sz w:val="24"/>
          <w:szCs w:val="24"/>
        </w:rPr>
        <w:t>, [online] 22(4), pp.397–425. doi:https://doi.org/10.1080/10439463.2011.641551.</w:t>
      </w:r>
    </w:p>
    <w:p w14:paraId="54FB2857" w14:textId="77777777" w:rsidR="00B66D1E" w:rsidRPr="00B66D1E" w:rsidRDefault="00B66D1E" w:rsidP="00B66D1E">
      <w:pPr>
        <w:ind w:right="237"/>
        <w:jc w:val="both"/>
        <w:rPr>
          <w:bCs/>
          <w:sz w:val="24"/>
          <w:szCs w:val="24"/>
        </w:rPr>
      </w:pPr>
    </w:p>
    <w:p w14:paraId="4A28381E" w14:textId="77777777" w:rsidR="00B66D1E" w:rsidRPr="00B66D1E" w:rsidRDefault="00B66D1E" w:rsidP="00B66D1E">
      <w:pPr>
        <w:ind w:right="237"/>
        <w:jc w:val="both"/>
        <w:rPr>
          <w:bCs/>
          <w:sz w:val="24"/>
          <w:szCs w:val="24"/>
        </w:rPr>
      </w:pPr>
    </w:p>
    <w:p w14:paraId="198353EF" w14:textId="77777777" w:rsidR="00B66D1E" w:rsidRPr="00B66D1E" w:rsidRDefault="00B66D1E" w:rsidP="00B66D1E">
      <w:pPr>
        <w:ind w:right="237"/>
        <w:jc w:val="both"/>
        <w:rPr>
          <w:bCs/>
          <w:sz w:val="24"/>
          <w:szCs w:val="24"/>
        </w:rPr>
      </w:pPr>
      <w:r w:rsidRPr="00B66D1E">
        <w:rPr>
          <w:bCs/>
          <w:sz w:val="24"/>
          <w:szCs w:val="24"/>
        </w:rPr>
        <w:t>Parkinson, A., Hollowood, A. and Frampton, A. (2020). </w:t>
      </w:r>
      <w:r w:rsidRPr="00B66D1E">
        <w:rPr>
          <w:bCs/>
          <w:i/>
          <w:iCs/>
          <w:sz w:val="24"/>
          <w:szCs w:val="24"/>
        </w:rPr>
        <w:t>Sharing Positive Work Experiences : Workplace Relationships in Disruptive Times</w:t>
      </w:r>
      <w:r w:rsidRPr="00B66D1E">
        <w:rPr>
          <w:bCs/>
          <w:sz w:val="24"/>
          <w:szCs w:val="24"/>
        </w:rPr>
        <w:t>. [online] </w:t>
      </w:r>
      <w:r w:rsidRPr="00B66D1E">
        <w:rPr>
          <w:bCs/>
          <w:i/>
          <w:iCs/>
          <w:sz w:val="24"/>
          <w:szCs w:val="24"/>
        </w:rPr>
        <w:t>CIPD.org</w:t>
      </w:r>
      <w:r w:rsidRPr="00B66D1E">
        <w:rPr>
          <w:bCs/>
          <w:sz w:val="24"/>
          <w:szCs w:val="24"/>
        </w:rPr>
        <w:t>, CIPD, pp.1–8. Available at: https://www.cipd.org/globalassets/media/comms/get-involved/events/shaping-positive-work-experiences_tcm18-80030.pdf [Accessed 26 Jun. 2025].</w:t>
      </w:r>
    </w:p>
    <w:p w14:paraId="38AB3ABA" w14:textId="77777777" w:rsidR="00B66D1E" w:rsidRPr="00B66D1E" w:rsidRDefault="00B66D1E" w:rsidP="00B66D1E">
      <w:pPr>
        <w:ind w:right="237"/>
        <w:jc w:val="both"/>
        <w:rPr>
          <w:bCs/>
          <w:sz w:val="24"/>
          <w:szCs w:val="24"/>
        </w:rPr>
      </w:pPr>
    </w:p>
    <w:p w14:paraId="31025F71" w14:textId="77777777" w:rsidR="00B66D1E" w:rsidRPr="00B66D1E" w:rsidRDefault="00B66D1E" w:rsidP="00B66D1E">
      <w:pPr>
        <w:ind w:right="237"/>
        <w:jc w:val="both"/>
        <w:rPr>
          <w:bCs/>
          <w:sz w:val="24"/>
          <w:szCs w:val="24"/>
        </w:rPr>
      </w:pPr>
    </w:p>
    <w:p w14:paraId="5E37C107" w14:textId="19FCA9B8" w:rsidR="00B66D1E" w:rsidRPr="00B66D1E" w:rsidRDefault="00B66D1E" w:rsidP="00B66D1E">
      <w:pPr>
        <w:ind w:right="237"/>
        <w:jc w:val="both"/>
        <w:rPr>
          <w:bCs/>
          <w:sz w:val="24"/>
          <w:szCs w:val="24"/>
        </w:rPr>
      </w:pPr>
      <w:r w:rsidRPr="00B66D1E">
        <w:rPr>
          <w:bCs/>
          <w:sz w:val="24"/>
          <w:szCs w:val="24"/>
        </w:rPr>
        <w:t>Parr-Morley, B. (2023). </w:t>
      </w:r>
      <w:r w:rsidRPr="00B66D1E">
        <w:rPr>
          <w:bCs/>
          <w:i/>
          <w:iCs/>
          <w:sz w:val="24"/>
          <w:szCs w:val="24"/>
        </w:rPr>
        <w:t>County Lines: what is it and what can we do to tackle it | Catch22</w:t>
      </w:r>
      <w:r w:rsidRPr="00B66D1E">
        <w:rPr>
          <w:bCs/>
          <w:sz w:val="24"/>
          <w:szCs w:val="24"/>
        </w:rPr>
        <w:t xml:space="preserve">. [online] Catch22. Available at: </w:t>
      </w:r>
      <w:hyperlink r:id="rId17" w:history="1">
        <w:r w:rsidRPr="00B66D1E">
          <w:rPr>
            <w:rStyle w:val="Hyperlink"/>
            <w:bCs/>
            <w:sz w:val="24"/>
            <w:szCs w:val="24"/>
          </w:rPr>
          <w:t>https://www.catch-22.org.uk/resources/county-lines-what-is-it-and-what-can-we-do-to-tackle-it/?gad_source=1&amp;gad_campaignid=20683380386&amp;gbraid=0AAAAADtNCYQd6Fjh5v-mPh6d9m1lexpDp&amp;gclid=CjwKCAjw3_PCBhA2EiwAkH_j4sPrMaFSjtFcvv5z0nnsvMNNoC7ko0ZphfvRKH</w:t>
        </w:r>
      </w:hyperlink>
      <w:r w:rsidRPr="00B66D1E">
        <w:rPr>
          <w:bCs/>
          <w:sz w:val="24"/>
          <w:szCs w:val="24"/>
        </w:rPr>
        <w:t>23khv6wg0eNP4KMRoCz0wQAvD_BwE [Accessed 26 Jun. 2025].</w:t>
      </w:r>
    </w:p>
    <w:p w14:paraId="7ED345F3" w14:textId="77777777" w:rsidR="00B66D1E" w:rsidRPr="00B66D1E" w:rsidRDefault="00B66D1E" w:rsidP="00B66D1E">
      <w:pPr>
        <w:ind w:right="237"/>
        <w:jc w:val="both"/>
        <w:rPr>
          <w:bCs/>
          <w:sz w:val="24"/>
          <w:szCs w:val="24"/>
        </w:rPr>
      </w:pPr>
    </w:p>
    <w:p w14:paraId="5CC8D699" w14:textId="77777777" w:rsidR="00B66D1E" w:rsidRPr="00B66D1E" w:rsidRDefault="00B66D1E" w:rsidP="00B66D1E">
      <w:pPr>
        <w:ind w:right="237"/>
        <w:jc w:val="both"/>
        <w:rPr>
          <w:bCs/>
          <w:sz w:val="24"/>
          <w:szCs w:val="24"/>
        </w:rPr>
      </w:pPr>
    </w:p>
    <w:p w14:paraId="1BF51524" w14:textId="77777777" w:rsidR="00B66D1E" w:rsidRPr="00B66D1E" w:rsidRDefault="00B66D1E" w:rsidP="00B66D1E">
      <w:pPr>
        <w:ind w:right="237"/>
        <w:jc w:val="both"/>
        <w:rPr>
          <w:bCs/>
          <w:sz w:val="24"/>
          <w:szCs w:val="24"/>
        </w:rPr>
      </w:pPr>
      <w:r w:rsidRPr="00B66D1E">
        <w:rPr>
          <w:bCs/>
          <w:sz w:val="24"/>
          <w:szCs w:val="24"/>
        </w:rPr>
        <w:t>Rigby, J. (2012). </w:t>
      </w:r>
      <w:r w:rsidRPr="00B66D1E">
        <w:rPr>
          <w:bCs/>
          <w:i/>
          <w:iCs/>
          <w:sz w:val="24"/>
          <w:szCs w:val="24"/>
        </w:rPr>
        <w:t>Can Social Media Help Find Missing people?</w:t>
      </w:r>
      <w:r w:rsidRPr="00B66D1E">
        <w:rPr>
          <w:bCs/>
          <w:sz w:val="24"/>
          <w:szCs w:val="24"/>
        </w:rPr>
        <w:t> [online] Channel 4 News. Available at: https://www.channel4.com/news/can-social-media-help-find-missing-people?utm_source=chatgpt.com [Accessed 26 Jun. 2025].</w:t>
      </w:r>
    </w:p>
    <w:p w14:paraId="13764DD4" w14:textId="77777777" w:rsidR="00B66D1E" w:rsidRPr="00B66D1E" w:rsidRDefault="00B66D1E" w:rsidP="00B66D1E">
      <w:pPr>
        <w:ind w:right="237"/>
        <w:jc w:val="both"/>
        <w:rPr>
          <w:bCs/>
          <w:sz w:val="24"/>
          <w:szCs w:val="24"/>
        </w:rPr>
      </w:pPr>
    </w:p>
    <w:p w14:paraId="25EC9F49" w14:textId="77777777" w:rsidR="00B66D1E" w:rsidRPr="00B66D1E" w:rsidRDefault="00B66D1E" w:rsidP="00B66D1E">
      <w:pPr>
        <w:ind w:right="237"/>
        <w:jc w:val="both"/>
        <w:rPr>
          <w:bCs/>
          <w:sz w:val="24"/>
          <w:szCs w:val="24"/>
        </w:rPr>
      </w:pPr>
    </w:p>
    <w:p w14:paraId="2438D9A0" w14:textId="77777777" w:rsidR="00B66D1E" w:rsidRPr="00B66D1E" w:rsidRDefault="00B66D1E" w:rsidP="00B66D1E">
      <w:pPr>
        <w:ind w:right="237"/>
        <w:jc w:val="both"/>
        <w:rPr>
          <w:bCs/>
          <w:sz w:val="24"/>
          <w:szCs w:val="24"/>
        </w:rPr>
      </w:pPr>
      <w:r w:rsidRPr="00B66D1E">
        <w:rPr>
          <w:bCs/>
          <w:sz w:val="24"/>
          <w:szCs w:val="24"/>
        </w:rPr>
        <w:t>Sindall, K., McCarthy, D.J. and Brunton-Smith, I. (2016). Young People and the Formation of Attitudes Towards the Police. </w:t>
      </w:r>
      <w:r w:rsidRPr="00B66D1E">
        <w:rPr>
          <w:bCs/>
          <w:i/>
          <w:iCs/>
          <w:sz w:val="24"/>
          <w:szCs w:val="24"/>
        </w:rPr>
        <w:t>European Journal of Criminology</w:t>
      </w:r>
      <w:r w:rsidRPr="00B66D1E">
        <w:rPr>
          <w:bCs/>
          <w:sz w:val="24"/>
          <w:szCs w:val="24"/>
        </w:rPr>
        <w:t>, [online] 14(3), pp.344–364. doi:https://doi.org/10.1177/1477370816661739.</w:t>
      </w:r>
    </w:p>
    <w:p w14:paraId="0E46B4E4" w14:textId="77777777" w:rsidR="00B66D1E" w:rsidRPr="00B66D1E" w:rsidRDefault="00B66D1E" w:rsidP="00B66D1E">
      <w:pPr>
        <w:ind w:right="237"/>
        <w:jc w:val="both"/>
        <w:rPr>
          <w:bCs/>
          <w:sz w:val="24"/>
          <w:szCs w:val="24"/>
        </w:rPr>
      </w:pPr>
    </w:p>
    <w:p w14:paraId="235DF451" w14:textId="77777777" w:rsidR="00B66D1E" w:rsidRPr="00B66D1E" w:rsidRDefault="00B66D1E" w:rsidP="00B66D1E">
      <w:pPr>
        <w:ind w:right="237"/>
        <w:jc w:val="both"/>
        <w:rPr>
          <w:bCs/>
          <w:sz w:val="24"/>
          <w:szCs w:val="24"/>
        </w:rPr>
      </w:pPr>
    </w:p>
    <w:p w14:paraId="340196E8" w14:textId="77777777" w:rsidR="00B66D1E" w:rsidRPr="00B66D1E" w:rsidRDefault="00B66D1E" w:rsidP="00B66D1E">
      <w:pPr>
        <w:ind w:right="237"/>
        <w:jc w:val="both"/>
        <w:rPr>
          <w:bCs/>
          <w:sz w:val="24"/>
          <w:szCs w:val="24"/>
        </w:rPr>
      </w:pPr>
      <w:r w:rsidRPr="00B66D1E">
        <w:rPr>
          <w:bCs/>
          <w:sz w:val="24"/>
          <w:szCs w:val="24"/>
        </w:rPr>
        <w:t>The Police Foundation (2014). </w:t>
      </w:r>
      <w:r w:rsidRPr="00B66D1E">
        <w:rPr>
          <w:bCs/>
          <w:i/>
          <w:iCs/>
          <w:sz w:val="24"/>
          <w:szCs w:val="24"/>
        </w:rPr>
        <w:t>Police Use of Social Media</w:t>
      </w:r>
      <w:r w:rsidRPr="00B66D1E">
        <w:rPr>
          <w:bCs/>
          <w:sz w:val="24"/>
          <w:szCs w:val="24"/>
        </w:rPr>
        <w:t>. [online] </w:t>
      </w:r>
      <w:r w:rsidRPr="00B66D1E">
        <w:rPr>
          <w:bCs/>
          <w:i/>
          <w:iCs/>
          <w:sz w:val="24"/>
          <w:szCs w:val="24"/>
        </w:rPr>
        <w:t>The Police Foundation</w:t>
      </w:r>
      <w:r w:rsidRPr="00B66D1E">
        <w:rPr>
          <w:bCs/>
          <w:sz w:val="24"/>
          <w:szCs w:val="24"/>
        </w:rPr>
        <w:t>, The Police Foundation, pp.1–12. Available at: https://www.police-foundation.org.uk/wp-content/uploads/2017/08/Social_media_briefing_FINAL.pdf [Accessed 26 Jun. 2025].</w:t>
      </w:r>
    </w:p>
    <w:p w14:paraId="50EA6133" w14:textId="77777777" w:rsidR="00B66D1E" w:rsidRPr="00B66D1E" w:rsidRDefault="00B66D1E" w:rsidP="00B66D1E">
      <w:pPr>
        <w:ind w:right="237"/>
        <w:jc w:val="both"/>
        <w:rPr>
          <w:bCs/>
          <w:sz w:val="24"/>
          <w:szCs w:val="24"/>
        </w:rPr>
      </w:pPr>
    </w:p>
    <w:p w14:paraId="70B80AB8" w14:textId="77777777" w:rsidR="00B66D1E" w:rsidRPr="00B66D1E" w:rsidRDefault="00B66D1E" w:rsidP="00B66D1E">
      <w:pPr>
        <w:ind w:right="237"/>
        <w:jc w:val="both"/>
        <w:rPr>
          <w:bCs/>
          <w:sz w:val="24"/>
          <w:szCs w:val="24"/>
        </w:rPr>
      </w:pPr>
    </w:p>
    <w:p w14:paraId="3C071C92" w14:textId="77777777" w:rsidR="00B66D1E" w:rsidRPr="00B66D1E" w:rsidRDefault="00B66D1E" w:rsidP="00B66D1E">
      <w:pPr>
        <w:ind w:right="237"/>
        <w:jc w:val="both"/>
        <w:rPr>
          <w:bCs/>
          <w:sz w:val="24"/>
          <w:szCs w:val="24"/>
        </w:rPr>
      </w:pPr>
      <w:r w:rsidRPr="00B66D1E">
        <w:rPr>
          <w:bCs/>
          <w:sz w:val="24"/>
          <w:szCs w:val="24"/>
        </w:rPr>
        <w:t>University, W. (2020). </w:t>
      </w:r>
      <w:r w:rsidRPr="00B66D1E">
        <w:rPr>
          <w:bCs/>
          <w:i/>
          <w:iCs/>
          <w:sz w:val="24"/>
          <w:szCs w:val="24"/>
        </w:rPr>
        <w:t>WU LibGuides: Reflective Writing: Borton’s Model of Reflection</w:t>
      </w:r>
      <w:r w:rsidRPr="00B66D1E">
        <w:rPr>
          <w:bCs/>
          <w:sz w:val="24"/>
          <w:szCs w:val="24"/>
        </w:rPr>
        <w:t>. [online] Libguides.com. Available at: https://wrexham.libguides.com/reflectivewriting/Bortonsmodelofreflection [Accessed 26 Jun. 2025].</w:t>
      </w:r>
    </w:p>
    <w:p w14:paraId="50CE29BB" w14:textId="77777777" w:rsidR="00B66D1E" w:rsidRPr="00B66D1E" w:rsidRDefault="00B66D1E" w:rsidP="00B66D1E">
      <w:pPr>
        <w:ind w:right="237"/>
        <w:jc w:val="both"/>
        <w:rPr>
          <w:bCs/>
          <w:sz w:val="24"/>
          <w:szCs w:val="24"/>
        </w:rPr>
      </w:pPr>
    </w:p>
    <w:p w14:paraId="457D65E8" w14:textId="77777777" w:rsidR="00B66D1E" w:rsidRPr="00B66D1E" w:rsidRDefault="00B66D1E" w:rsidP="00B66D1E">
      <w:pPr>
        <w:ind w:right="237"/>
        <w:jc w:val="both"/>
        <w:rPr>
          <w:bCs/>
          <w:sz w:val="24"/>
          <w:szCs w:val="24"/>
        </w:rPr>
      </w:pPr>
    </w:p>
    <w:p w14:paraId="77DFE228" w14:textId="77777777" w:rsidR="00B66D1E" w:rsidRPr="00B66D1E" w:rsidRDefault="00B66D1E" w:rsidP="00B66D1E">
      <w:pPr>
        <w:ind w:right="237"/>
        <w:jc w:val="both"/>
        <w:rPr>
          <w:bCs/>
          <w:sz w:val="24"/>
          <w:szCs w:val="24"/>
        </w:rPr>
      </w:pPr>
      <w:r w:rsidRPr="00B66D1E">
        <w:rPr>
          <w:bCs/>
          <w:sz w:val="24"/>
          <w:szCs w:val="24"/>
        </w:rPr>
        <w:t>We Are Social (2024). </w:t>
      </w:r>
      <w:r w:rsidRPr="00B66D1E">
        <w:rPr>
          <w:bCs/>
          <w:i/>
          <w:iCs/>
          <w:sz w:val="24"/>
          <w:szCs w:val="24"/>
        </w:rPr>
        <w:t>Digital 2024 United Kingdom Report Shows Strong Growth in Social Media</w:t>
      </w:r>
      <w:r w:rsidRPr="00B66D1E">
        <w:rPr>
          <w:bCs/>
          <w:sz w:val="24"/>
          <w:szCs w:val="24"/>
        </w:rPr>
        <w:t>. [online] We Are Social UK. Available at: https://wearesocial.com/uk/blog/2024/02/digital-2024-united-kingdom-report-shows-strong-growth-in-social-media/ [Accessed 30 Jun. 2025].</w:t>
      </w:r>
    </w:p>
    <w:p w14:paraId="09FF93A3" w14:textId="77777777" w:rsidR="00B66D1E" w:rsidRPr="00B66D1E" w:rsidRDefault="00B66D1E" w:rsidP="00B66D1E">
      <w:pPr>
        <w:ind w:right="237"/>
        <w:jc w:val="both"/>
        <w:rPr>
          <w:bCs/>
          <w:sz w:val="24"/>
          <w:szCs w:val="24"/>
        </w:rPr>
      </w:pPr>
    </w:p>
    <w:p w14:paraId="62F3FF8E" w14:textId="77777777" w:rsidR="00B66D1E" w:rsidRPr="00B66D1E" w:rsidRDefault="00B66D1E" w:rsidP="00B66D1E">
      <w:pPr>
        <w:ind w:right="237"/>
        <w:jc w:val="both"/>
        <w:rPr>
          <w:bCs/>
          <w:sz w:val="24"/>
          <w:szCs w:val="24"/>
        </w:rPr>
      </w:pPr>
      <w:r w:rsidRPr="00B66D1E">
        <w:rPr>
          <w:bCs/>
          <w:sz w:val="24"/>
          <w:szCs w:val="24"/>
        </w:rPr>
        <w:t>WeCops (2024). </w:t>
      </w:r>
      <w:r w:rsidRPr="00B66D1E">
        <w:rPr>
          <w:bCs/>
          <w:i/>
          <w:iCs/>
          <w:sz w:val="24"/>
          <w:szCs w:val="24"/>
        </w:rPr>
        <w:t>Policing and Social Media: The Role of Personal Police Accounts in Community Engagement | #WeCops</w:t>
      </w:r>
      <w:r w:rsidRPr="00B66D1E">
        <w:rPr>
          <w:bCs/>
          <w:sz w:val="24"/>
          <w:szCs w:val="24"/>
        </w:rPr>
        <w:t>. [online] Wecops.uk. Available at: https://www.wecops.uk/events/2024/10/policing-and-social-media-role-personal-police-accounts-community-engagement [Accessed 26 Jun. 2025].</w:t>
      </w:r>
    </w:p>
    <w:p w14:paraId="30DA5FDF" w14:textId="77777777" w:rsidR="00B66D1E" w:rsidRPr="00B66D1E" w:rsidRDefault="00B66D1E" w:rsidP="00B66D1E">
      <w:pPr>
        <w:ind w:right="237"/>
        <w:jc w:val="both"/>
        <w:rPr>
          <w:bCs/>
          <w:sz w:val="24"/>
          <w:szCs w:val="24"/>
        </w:rPr>
      </w:pPr>
    </w:p>
    <w:p w14:paraId="459FE17F" w14:textId="77777777" w:rsidR="00B66D1E" w:rsidRPr="00B66D1E" w:rsidRDefault="00B66D1E" w:rsidP="00B66D1E">
      <w:pPr>
        <w:ind w:right="237"/>
        <w:jc w:val="both"/>
        <w:rPr>
          <w:bCs/>
          <w:sz w:val="24"/>
          <w:szCs w:val="24"/>
        </w:rPr>
      </w:pPr>
      <w:r w:rsidRPr="00B66D1E">
        <w:rPr>
          <w:bCs/>
          <w:sz w:val="24"/>
          <w:szCs w:val="24"/>
        </w:rPr>
        <w:t>Westover, J.H. (2020). The Key To Creating A Growth Culture And Producing Exceptional Results. </w:t>
      </w:r>
      <w:r w:rsidRPr="00B66D1E">
        <w:rPr>
          <w:bCs/>
          <w:i/>
          <w:iCs/>
          <w:sz w:val="24"/>
          <w:szCs w:val="24"/>
        </w:rPr>
        <w:t>Forbes</w:t>
      </w:r>
      <w:r w:rsidRPr="00B66D1E">
        <w:rPr>
          <w:bCs/>
          <w:sz w:val="24"/>
          <w:szCs w:val="24"/>
        </w:rPr>
        <w:t>. [online] 20 Oct. Available at: https://www.forbes.com/councils/forbescoachescouncil/2020/10/20/the-key-to-creating-a-growth-culture-and-producing-exceptional-results/ [Accessed 24 Jun. 2025].</w:t>
      </w:r>
    </w:p>
    <w:p w14:paraId="4A47AEEC" w14:textId="77777777" w:rsidR="00B66D1E" w:rsidRPr="00B66D1E" w:rsidRDefault="00B66D1E" w:rsidP="00B66D1E">
      <w:pPr>
        <w:ind w:right="237"/>
        <w:jc w:val="both"/>
        <w:rPr>
          <w:bCs/>
          <w:sz w:val="24"/>
          <w:szCs w:val="24"/>
        </w:rPr>
      </w:pPr>
    </w:p>
    <w:p w14:paraId="219AA918" w14:textId="77777777" w:rsidR="00B66D1E" w:rsidRPr="00B66D1E" w:rsidRDefault="00B66D1E" w:rsidP="00B66D1E">
      <w:pPr>
        <w:ind w:right="237"/>
        <w:jc w:val="both"/>
        <w:rPr>
          <w:bCs/>
          <w:sz w:val="24"/>
          <w:szCs w:val="24"/>
        </w:rPr>
      </w:pPr>
      <w:r w:rsidRPr="00B66D1E">
        <w:rPr>
          <w:bCs/>
          <w:sz w:val="24"/>
          <w:szCs w:val="24"/>
        </w:rPr>
        <w:t>Wilson, C. (2020). </w:t>
      </w:r>
      <w:r w:rsidRPr="00B66D1E">
        <w:rPr>
          <w:bCs/>
          <w:i/>
          <w:iCs/>
          <w:sz w:val="24"/>
          <w:szCs w:val="24"/>
        </w:rPr>
        <w:t>The GROW model</w:t>
      </w:r>
      <w:r w:rsidRPr="00B66D1E">
        <w:rPr>
          <w:bCs/>
          <w:sz w:val="24"/>
          <w:szCs w:val="24"/>
        </w:rPr>
        <w:t>. [online] Culture at Work. Available at: https://www.coachingcultureatwork.com/the-grow-model/ [Accessed 26 Jun. 2025].</w:t>
      </w:r>
    </w:p>
    <w:p w14:paraId="4422905E" w14:textId="77777777" w:rsidR="009161D9" w:rsidRPr="00B66D1E" w:rsidRDefault="009161D9" w:rsidP="009161D9">
      <w:pPr>
        <w:keepNext/>
        <w:ind w:right="237"/>
        <w:rPr>
          <w:bCs/>
          <w:sz w:val="24"/>
          <w:szCs w:val="24"/>
        </w:rPr>
      </w:pPr>
    </w:p>
    <w:p w14:paraId="23704D05" w14:textId="77777777" w:rsidR="009161D9" w:rsidRPr="00B66D1E" w:rsidRDefault="009161D9" w:rsidP="009161D9">
      <w:pPr>
        <w:keepNext/>
        <w:ind w:right="237"/>
        <w:rPr>
          <w:bCs/>
          <w:sz w:val="24"/>
          <w:szCs w:val="24"/>
        </w:rPr>
      </w:pPr>
    </w:p>
    <w:p w14:paraId="26478FF6" w14:textId="7CE5B600" w:rsidR="009161D9" w:rsidRPr="00B66D1E" w:rsidRDefault="009161D9" w:rsidP="009161D9">
      <w:pPr>
        <w:keepNext/>
        <w:ind w:right="237"/>
        <w:rPr>
          <w:bCs/>
          <w:sz w:val="24"/>
          <w:szCs w:val="24"/>
        </w:rPr>
      </w:pPr>
      <w:r w:rsidRPr="00B66D1E">
        <w:rPr>
          <w:bCs/>
          <w:sz w:val="24"/>
          <w:szCs w:val="24"/>
        </w:rPr>
        <w:t>Wikipedia,</w:t>
      </w:r>
      <w:r w:rsidR="00AB2281">
        <w:rPr>
          <w:bCs/>
          <w:sz w:val="24"/>
          <w:szCs w:val="24"/>
        </w:rPr>
        <w:t>(2025) ‘</w:t>
      </w:r>
      <w:r w:rsidRPr="00B66D1E">
        <w:rPr>
          <w:bCs/>
          <w:sz w:val="24"/>
          <w:szCs w:val="24"/>
        </w:rPr>
        <w:t>Situational leadership theory</w:t>
      </w:r>
      <w:r w:rsidR="00AB2281">
        <w:rPr>
          <w:bCs/>
          <w:sz w:val="24"/>
          <w:szCs w:val="24"/>
        </w:rPr>
        <w:t>’</w:t>
      </w:r>
      <w:r w:rsidRPr="00B66D1E">
        <w:rPr>
          <w:bCs/>
          <w:sz w:val="24"/>
          <w:szCs w:val="24"/>
        </w:rPr>
        <w:t xml:space="preserve">. Available at: https://en.wikipedia.org/wiki/Situational_leadership_theory </w:t>
      </w:r>
      <w:r w:rsidR="00A006DB">
        <w:rPr>
          <w:bCs/>
          <w:sz w:val="24"/>
          <w:szCs w:val="24"/>
        </w:rPr>
        <w:t>[</w:t>
      </w:r>
      <w:r w:rsidRPr="00B66D1E">
        <w:rPr>
          <w:bCs/>
          <w:sz w:val="24"/>
          <w:szCs w:val="24"/>
        </w:rPr>
        <w:t>Accessed: 30 Ju</w:t>
      </w:r>
      <w:r w:rsidR="00A006DB">
        <w:rPr>
          <w:bCs/>
          <w:sz w:val="24"/>
          <w:szCs w:val="24"/>
        </w:rPr>
        <w:t>n.</w:t>
      </w:r>
      <w:r w:rsidRPr="00B66D1E">
        <w:rPr>
          <w:bCs/>
          <w:sz w:val="24"/>
          <w:szCs w:val="24"/>
        </w:rPr>
        <w:t xml:space="preserve"> 2025</w:t>
      </w:r>
      <w:r w:rsidR="00A006DB">
        <w:rPr>
          <w:bCs/>
          <w:sz w:val="24"/>
          <w:szCs w:val="24"/>
        </w:rPr>
        <w:t>].</w:t>
      </w:r>
    </w:p>
    <w:p w14:paraId="226A8D5C" w14:textId="77777777" w:rsidR="009161D9" w:rsidRPr="00B66D1E" w:rsidRDefault="009161D9" w:rsidP="009161D9">
      <w:pPr>
        <w:keepNext/>
        <w:ind w:right="237"/>
        <w:rPr>
          <w:bCs/>
          <w:sz w:val="24"/>
          <w:szCs w:val="24"/>
        </w:rPr>
      </w:pPr>
    </w:p>
    <w:p w14:paraId="6ED77802" w14:textId="42144995" w:rsidR="0093018C" w:rsidRPr="00B66D1E" w:rsidRDefault="009161D9" w:rsidP="009161D9">
      <w:pPr>
        <w:keepNext/>
        <w:ind w:right="237"/>
        <w:rPr>
          <w:bCs/>
          <w:sz w:val="24"/>
          <w:szCs w:val="24"/>
          <w:highlight w:val="yellow"/>
        </w:rPr>
      </w:pPr>
      <w:r w:rsidRPr="00B66D1E">
        <w:rPr>
          <w:bCs/>
          <w:sz w:val="24"/>
          <w:szCs w:val="24"/>
        </w:rPr>
        <w:t>Wikipedia</w:t>
      </w:r>
      <w:r w:rsidR="00A006DB">
        <w:rPr>
          <w:bCs/>
          <w:sz w:val="24"/>
          <w:szCs w:val="24"/>
        </w:rPr>
        <w:t xml:space="preserve"> (</w:t>
      </w:r>
      <w:r w:rsidRPr="00B66D1E">
        <w:rPr>
          <w:bCs/>
          <w:sz w:val="24"/>
          <w:szCs w:val="24"/>
        </w:rPr>
        <w:t>2025</w:t>
      </w:r>
      <w:r w:rsidR="00A006DB">
        <w:rPr>
          <w:bCs/>
          <w:sz w:val="24"/>
          <w:szCs w:val="24"/>
        </w:rPr>
        <w:t>) ‘</w:t>
      </w:r>
      <w:r w:rsidRPr="00B66D1E">
        <w:rPr>
          <w:bCs/>
          <w:sz w:val="24"/>
          <w:szCs w:val="24"/>
        </w:rPr>
        <w:t>Transformational leadership</w:t>
      </w:r>
      <w:r w:rsidR="00A006DB">
        <w:rPr>
          <w:bCs/>
          <w:sz w:val="24"/>
          <w:szCs w:val="24"/>
        </w:rPr>
        <w:t>’</w:t>
      </w:r>
      <w:r w:rsidRPr="00B66D1E">
        <w:rPr>
          <w:bCs/>
          <w:sz w:val="24"/>
          <w:szCs w:val="24"/>
        </w:rPr>
        <w:t xml:space="preserve">. Available at: https://en.wikipedia.org/wiki/Transformational_leadership </w:t>
      </w:r>
      <w:r w:rsidR="00A006DB">
        <w:rPr>
          <w:bCs/>
          <w:sz w:val="24"/>
          <w:szCs w:val="24"/>
        </w:rPr>
        <w:t>[</w:t>
      </w:r>
      <w:r w:rsidRPr="00B66D1E">
        <w:rPr>
          <w:bCs/>
          <w:sz w:val="24"/>
          <w:szCs w:val="24"/>
        </w:rPr>
        <w:t>Accessed: 30 Jun</w:t>
      </w:r>
      <w:r w:rsidR="00A006DB">
        <w:rPr>
          <w:bCs/>
          <w:sz w:val="24"/>
          <w:szCs w:val="24"/>
        </w:rPr>
        <w:t xml:space="preserve">. </w:t>
      </w:r>
      <w:r w:rsidRPr="00B66D1E">
        <w:rPr>
          <w:bCs/>
          <w:sz w:val="24"/>
          <w:szCs w:val="24"/>
        </w:rPr>
        <w:t>2025</w:t>
      </w:r>
      <w:r w:rsidR="00A006DB">
        <w:rPr>
          <w:bCs/>
          <w:sz w:val="24"/>
          <w:szCs w:val="24"/>
        </w:rPr>
        <w:t>]</w:t>
      </w:r>
      <w:r w:rsidRPr="00B66D1E">
        <w:rPr>
          <w:bCs/>
          <w:sz w:val="24"/>
          <w:szCs w:val="24"/>
        </w:rPr>
        <w:t xml:space="preserve"> </w:t>
      </w:r>
      <w:r w:rsidR="00BC5725" w:rsidRPr="00B66D1E">
        <w:rPr>
          <w:bCs/>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350093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B455CA">
        <w:rPr>
          <w:rFonts w:eastAsia="Arial"/>
          <w:b/>
          <w:bCs/>
          <w:color w:val="000000" w:themeColor="text1"/>
          <w:sz w:val="24"/>
          <w:szCs w:val="24"/>
          <w:highlight w:val="yellow"/>
        </w:rPr>
        <w:t>ffion lewis</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477FB96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B455CA">
        <w:rPr>
          <w:rFonts w:eastAsia="Arial"/>
          <w:b/>
          <w:bCs/>
          <w:color w:val="000000" w:themeColor="text1"/>
          <w:sz w:val="24"/>
          <w:szCs w:val="24"/>
          <w:highlight w:val="yellow"/>
        </w:rPr>
        <w:t xml:space="preserve"> 30/06/2025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31B4D" w14:textId="77777777" w:rsidR="00F04E77" w:rsidRDefault="00F04E77">
      <w:r>
        <w:separator/>
      </w:r>
    </w:p>
  </w:endnote>
  <w:endnote w:type="continuationSeparator" w:id="0">
    <w:p w14:paraId="53BDE603" w14:textId="77777777" w:rsidR="00F04E77" w:rsidRDefault="00F04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A8CDE" w14:textId="77777777" w:rsidR="00F04E77" w:rsidRDefault="00F04E77">
      <w:r>
        <w:separator/>
      </w:r>
    </w:p>
  </w:footnote>
  <w:footnote w:type="continuationSeparator" w:id="0">
    <w:p w14:paraId="41B2C4C6" w14:textId="77777777" w:rsidR="00F04E77" w:rsidRDefault="00F04E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0AC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1F50F7"/>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3884"/>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4F5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9A0"/>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1757"/>
    <w:rsid w:val="00880539"/>
    <w:rsid w:val="008859E8"/>
    <w:rsid w:val="0088737B"/>
    <w:rsid w:val="00892716"/>
    <w:rsid w:val="00893067"/>
    <w:rsid w:val="008933DE"/>
    <w:rsid w:val="00894509"/>
    <w:rsid w:val="00895FCE"/>
    <w:rsid w:val="00897F3E"/>
    <w:rsid w:val="008A1BA8"/>
    <w:rsid w:val="008A21B4"/>
    <w:rsid w:val="008A4576"/>
    <w:rsid w:val="008A5513"/>
    <w:rsid w:val="008B07DE"/>
    <w:rsid w:val="008B28E7"/>
    <w:rsid w:val="008C14C7"/>
    <w:rsid w:val="008C2264"/>
    <w:rsid w:val="008C2FFB"/>
    <w:rsid w:val="008C6EEA"/>
    <w:rsid w:val="008D5813"/>
    <w:rsid w:val="008D634E"/>
    <w:rsid w:val="008D778A"/>
    <w:rsid w:val="008F22BD"/>
    <w:rsid w:val="008F46CC"/>
    <w:rsid w:val="008F58E4"/>
    <w:rsid w:val="009079BD"/>
    <w:rsid w:val="00912BD9"/>
    <w:rsid w:val="009161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06DB"/>
    <w:rsid w:val="00A015F7"/>
    <w:rsid w:val="00A10D56"/>
    <w:rsid w:val="00A12AAE"/>
    <w:rsid w:val="00A13BB2"/>
    <w:rsid w:val="00A16DD1"/>
    <w:rsid w:val="00A22441"/>
    <w:rsid w:val="00A23F3B"/>
    <w:rsid w:val="00A24406"/>
    <w:rsid w:val="00A25F64"/>
    <w:rsid w:val="00A27CC2"/>
    <w:rsid w:val="00A3221B"/>
    <w:rsid w:val="00A32353"/>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2281"/>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55CA"/>
    <w:rsid w:val="00B47734"/>
    <w:rsid w:val="00B50FBA"/>
    <w:rsid w:val="00B558EB"/>
    <w:rsid w:val="00B577D3"/>
    <w:rsid w:val="00B60466"/>
    <w:rsid w:val="00B6548F"/>
    <w:rsid w:val="00B66D1E"/>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4E77"/>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AD0"/>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B66D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87857645">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4642584">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atch-22.org.uk/resources/county-lines-what-is-it-and-what-can-we-do-to-tackle-it/?gad_source=1&amp;gad_campaignid=20683380386&amp;gbraid=0AAAAADtNCYQd6Fjh5v-mPh6d9m1lexpDp&amp;gclid=CjwKCAjw3_PCBhA2EiwAkH_j4sPrMaFSjtFcvv5z0nnsvMNNoC7ko0ZphfvRKH" TargetMode="External"/><Relationship Id="rId2" Type="http://schemas.openxmlformats.org/officeDocument/2006/relationships/customXml" Target="../customXml/item2.xml"/><Relationship Id="rId16" Type="http://schemas.openxmlformats.org/officeDocument/2006/relationships/hyperlink" Target="https://www.iod.com/resources/employment-and-skills/what-is-mentor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ipd.org/uk/knowledge/factsheets/coaching-mentoring-factshee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6269</Words>
  <Characters>36468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Ffion Lewis</cp:lastModifiedBy>
  <cp:revision>10</cp:revision>
  <cp:lastPrinted>2014-08-26T08:55:00Z</cp:lastPrinted>
  <dcterms:created xsi:type="dcterms:W3CDTF">2025-06-30T15:02:00Z</dcterms:created>
  <dcterms:modified xsi:type="dcterms:W3CDTF">2025-06-30T20:09:00Z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2025-02-26T13:22:49Z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d85d5d1f-d626-4e35-84d0-df613655cafc</vt:lpwstr>
  </property>
  <property fmtid="{D5CDD505-2E9C-101B-9397-08002B2CF9AE}" pid="9" name="MSIP_Label_f2acd28b-79a3-4a0f-b0ff-4b75658b1549_ContentBits">
    <vt:lpwstr>0</vt:lpwstr>
  </property>
</Properties>
</file>