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517F1" w14:textId="77777777" w:rsidR="005A07A2" w:rsidRPr="009534B0" w:rsidRDefault="00000000" w:rsidP="009534B0">
      <w:pPr>
        <w:pStyle w:val="Heading4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Cash Conversion Cycle (CCC) Analysis – IHG Hotels &amp; Resorts (2021-2025)</w:t>
      </w:r>
    </w:p>
    <w:p w14:paraId="4D444BA5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Prepared from: IS_5yr_12.xlsx | Balance Sheet: BS_5yrs, Income Statement: IS_5yr</w:t>
      </w:r>
    </w:p>
    <w:p w14:paraId="5016E3A3" w14:textId="77777777" w:rsidR="005A07A2" w:rsidRPr="009534B0" w:rsidRDefault="00000000">
      <w:pPr>
        <w:pStyle w:val="Heading1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1. What is the Cash Conversion Cycle?</w:t>
      </w:r>
    </w:p>
    <w:p w14:paraId="1927D73C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The Cash Conversion Cycle (CCC) measures the number of days a company’s cash is tied up in its working capital cycle – from paying suppliers for inputs to collecting cash from customers. It is a critical efficiency metric for working capital management.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Formula: CCC = Inventory Days + Receivable Days – Payable Days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• Inventory Days (DIO): Average days to sell inventory = (Inventory / Cost of Sales) × 365</w:t>
      </w:r>
      <w:r w:rsidRPr="009534B0">
        <w:rPr>
          <w:rFonts w:asciiTheme="majorHAnsi" w:hAnsiTheme="majorHAnsi" w:cstheme="majorHAnsi"/>
        </w:rPr>
        <w:br/>
        <w:t>• Receivable Days (DSO): Average days to collect from customers = (Trade Receivables / Revenue) × 365</w:t>
      </w:r>
      <w:r w:rsidRPr="009534B0">
        <w:rPr>
          <w:rFonts w:asciiTheme="majorHAnsi" w:hAnsiTheme="majorHAnsi" w:cstheme="majorHAnsi"/>
        </w:rPr>
        <w:br/>
        <w:t>• Payable Days (DPO): Average days to pay suppliers = (Trade Payables / Cost of Sales) × 365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A lower or negative CCC is generally desirable – it means the company collects cash faster than it pays out, creating a source of free financing. A rising CCC indicates more cash is being locked in operations.</w:t>
      </w:r>
    </w:p>
    <w:p w14:paraId="2878C54E" w14:textId="77777777" w:rsidR="005A07A2" w:rsidRPr="009534B0" w:rsidRDefault="00000000">
      <w:pPr>
        <w:pStyle w:val="Heading1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2. Specifics for IHG – An Asset-Light Hotel Company</w:t>
      </w:r>
    </w:p>
    <w:p w14:paraId="3C361721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IHG operates a franchise, managed and owned-leased model. Unlike manufacturing or asset-heavy hotel owners (e.g., Whitbread), IHG holds virtually no inventory. The balance sheet provided (BS_5yrs) confirms this: there is no inventory line item for any year 2021-2025. Therefore, Inventory Days = 0 for all years.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For Receivable Days, we used: Trade and Other Receivables / Total Revenue × 365. Total Revenue is appropriate because IHG’s receivables relate to fee business, owned/managed hotels and System Fund reimbursables.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For Payable Days, two interpretations are required:</w:t>
      </w:r>
      <w:r w:rsidRPr="009534B0">
        <w:rPr>
          <w:rFonts w:asciiTheme="majorHAnsi" w:hAnsiTheme="majorHAnsi" w:cstheme="majorHAnsi"/>
        </w:rPr>
        <w:br/>
        <w:t>Method A (Textbook): Trade and Other Payables / Cost of Sales × 365. This yields extremely high payable days (322-435 days) because Cost of Sales ($486m-$764m) is only a small portion of IHG’s cash outflows. It understates true purchases.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Method B (Recommended Adjusted Method): Trade and Other Payables / (Cost of Sales + System Fund and Reimbursable Expenses) × 365. System Fund expenses ($1,528m-$2,767m) represent costs incurred on behalf of franchisees that flow through IHG’s payables. This gives a more realistic 69-105 days and is used as the primary CCC in this analysis. Both are shown in Excel for transparency.</w:t>
      </w:r>
    </w:p>
    <w:p w14:paraId="02222602" w14:textId="77777777" w:rsidR="005A07A2" w:rsidRPr="009534B0" w:rsidRDefault="00000000">
      <w:pPr>
        <w:pStyle w:val="Heading1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3. Calculation &amp; Results</w:t>
      </w:r>
    </w:p>
    <w:p w14:paraId="7318C61B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Based on the data in your file:</w:t>
      </w:r>
      <w:r w:rsidRPr="009534B0">
        <w:rPr>
          <w:rFonts w:asciiTheme="majorHAnsi" w:hAnsiTheme="majorHAnsi" w:cstheme="majorHAnsi"/>
        </w:rPr>
        <w:br/>
        <w:t>Year | Receivables ($m) | Payables ($m) | Revenue ($m) | Cost+System Fund ($m) | Receivable Days | Payable Days B | CCC B</w:t>
      </w:r>
      <w:r w:rsidRPr="009534B0">
        <w:rPr>
          <w:rFonts w:asciiTheme="majorHAnsi" w:hAnsiTheme="majorHAnsi" w:cstheme="majorHAnsi"/>
        </w:rPr>
        <w:br/>
        <w:t>2021 | 574 | 579 | 2907 | 2014 | 72.07 | 104.93 | -32.86</w:t>
      </w:r>
      <w:r w:rsidRPr="009534B0">
        <w:rPr>
          <w:rFonts w:asciiTheme="majorHAnsi" w:hAnsiTheme="majorHAnsi" w:cstheme="majorHAnsi"/>
        </w:rPr>
        <w:br/>
        <w:t>2022 | 646 | 697 | 3892 | 2802 | 60.58 | 90.79 | -30.21</w:t>
      </w:r>
      <w:r w:rsidRPr="009534B0">
        <w:rPr>
          <w:rFonts w:asciiTheme="majorHAnsi" w:hAnsiTheme="majorHAnsi" w:cstheme="majorHAnsi"/>
        </w:rPr>
        <w:br/>
        <w:t>2023 | 740 | 711 | 4624 | 3183 | 58.41 | 81.53 | -23.12</w:t>
      </w:r>
      <w:r w:rsidRPr="009534B0">
        <w:rPr>
          <w:rFonts w:asciiTheme="majorHAnsi" w:hAnsiTheme="majorHAnsi" w:cstheme="majorHAnsi"/>
        </w:rPr>
        <w:br/>
        <w:t>2024 | 785 | 650 | 4923 | 3439 | 58.20 | 68.99 | -10.79</w:t>
      </w:r>
      <w:r w:rsidRPr="009534B0">
        <w:rPr>
          <w:rFonts w:asciiTheme="majorHAnsi" w:hAnsiTheme="majorHAnsi" w:cstheme="majorHAnsi"/>
        </w:rPr>
        <w:br/>
        <w:t>2025 | 833 | 676 | 5189 | 3531 | 58.59 | 69.88 | -11.28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If using textbook Method A, CCC is extremely negative: -362.77 (2021), -332.02 (2022), -291.34 (2023), -260.26 (2024), -264.36 (2025). The trend is identical – becoming less negative over time.</w:t>
      </w:r>
    </w:p>
    <w:p w14:paraId="18750089" w14:textId="77777777" w:rsidR="005A07A2" w:rsidRPr="009534B0" w:rsidRDefault="00000000">
      <w:pPr>
        <w:pStyle w:val="Heading1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4. Year-on-Year Explanation of Significant Changes</w:t>
      </w:r>
    </w:p>
    <w:p w14:paraId="5BA24296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  <w:b/>
        </w:rPr>
        <w:t>2021 → 2022: Post-COVID Recovery Efficiency Gain</w:t>
      </w:r>
      <w:r w:rsidRPr="009534B0">
        <w:rPr>
          <w:rFonts w:asciiTheme="majorHAnsi" w:hAnsiTheme="majorHAnsi" w:cstheme="majorHAnsi"/>
          <w:b/>
        </w:rPr>
        <w:br/>
      </w:r>
      <w:r w:rsidRPr="009534B0">
        <w:rPr>
          <w:rFonts w:asciiTheme="majorHAnsi" w:hAnsiTheme="majorHAnsi" w:cstheme="majorHAnsi"/>
        </w:rPr>
        <w:t>Receivable Days improved sharply by -11.49 days (72.07 to 60.58). Revenue grew +33.9% (2,907m to 3,892m) as travel recovered, while receivables grew only +12.5%. This indicates stronger credit control and faster collection from hotel owners. Payable Days B fell -14.14 days (104.93 to 90.79) as System Fund expenses surged +41% and payables increased less proportionally. Net CCC moved +2.65 days from -32.86 to -30.21 – the benefit of faster collections was offset by faster payments, slightly reducing IHG’s negative working capital advantage.</w:t>
      </w:r>
    </w:p>
    <w:p w14:paraId="7AE164E2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  <w:b/>
        </w:rPr>
        <w:t>2022 → 2023: Stabilization Phase</w:t>
      </w:r>
      <w:r w:rsidRPr="009534B0">
        <w:rPr>
          <w:rFonts w:asciiTheme="majorHAnsi" w:hAnsiTheme="majorHAnsi" w:cstheme="majorHAnsi"/>
          <w:b/>
        </w:rPr>
        <w:br/>
      </w:r>
      <w:r w:rsidRPr="009534B0">
        <w:rPr>
          <w:rFonts w:asciiTheme="majorHAnsi" w:hAnsiTheme="majorHAnsi" w:cstheme="majorHAnsi"/>
        </w:rPr>
        <w:t>Receivable Days improved further by -2.17 days to 58.41, showing receivables growth (646 to 740m) continued to lag revenue growth (+18.8%). Payable Days fell -9.26 days to 81.53 as payables were almost flat (697m to 711m) while total operating costs rose +13.6%. CCC rose +7.09 days to -23.12. IHG was paying suppliers relatively faster, tying up more cash.</w:t>
      </w:r>
    </w:p>
    <w:p w14:paraId="33E81DA0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  <w:b/>
        </w:rPr>
        <w:t>2023 → 2024: The Largest Structural Shift (+12.33 days)</w:t>
      </w:r>
      <w:r w:rsidRPr="009534B0">
        <w:rPr>
          <w:rFonts w:asciiTheme="majorHAnsi" w:hAnsiTheme="majorHAnsi" w:cstheme="majorHAnsi"/>
          <w:b/>
        </w:rPr>
        <w:br/>
      </w:r>
      <w:r w:rsidRPr="009534B0">
        <w:rPr>
          <w:rFonts w:asciiTheme="majorHAnsi" w:hAnsiTheme="majorHAnsi" w:cstheme="majorHAnsi"/>
        </w:rPr>
        <w:t>This is the most significant change in the 5-year period. Receivable Days were essentially flat at 58.20 (-0.21 days), indicating collection efficiency had plateaued. However, Payable Days B collapsed by -12.54 days (81.53 to 68.99). Trade Payables actually decreased in absolute terms from 711m to 650m (-8.6%) despite operating costs increasing to 3,439m. This suggests a deliberate change in working capital policy: IHG reduced reliance on supplier financing, possibly to negotiate better terms, clear COVID-era accruals, or improve supplier relationships. As a result, CCC jumped from -23.12 to -10.79 – a +12.33 day deterioration in cash conversion terms. More operating cash is now tied up, which explains part of the lower operating cash flow in 2024 ($724m vs $893m in 2023).</w:t>
      </w:r>
    </w:p>
    <w:p w14:paraId="6AC54FC6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  <w:b/>
        </w:rPr>
        <w:t>2024 → 2025: New Equilibrium</w:t>
      </w:r>
      <w:r w:rsidRPr="009534B0">
        <w:rPr>
          <w:rFonts w:asciiTheme="majorHAnsi" w:hAnsiTheme="majorHAnsi" w:cstheme="majorHAnsi"/>
          <w:b/>
        </w:rPr>
        <w:br/>
      </w:r>
      <w:r w:rsidRPr="009534B0">
        <w:rPr>
          <w:rFonts w:asciiTheme="majorHAnsi" w:hAnsiTheme="majorHAnsi" w:cstheme="majorHAnsi"/>
        </w:rPr>
        <w:t>All metrics stabilized. Receivable Days +0.39 days to 58.59, Payable Days +0.89 days to 69.88, CCC -11.28 vs -10.79 (-0.50 days change). This suggests IHG has reached a new steady-state CCC around -11 days on the adjusted basis. The business model remains cash-generative with negative CCC, but less so than the -32 days seen in 2021.</w:t>
      </w:r>
    </w:p>
    <w:p w14:paraId="2E92582A" w14:textId="77777777" w:rsidR="005A07A2" w:rsidRPr="009534B0" w:rsidRDefault="00000000">
      <w:pPr>
        <w:pStyle w:val="Heading1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5. Interpretation &amp; Strategic Implications</w:t>
      </w:r>
    </w:p>
    <w:p w14:paraId="3F4D1933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1. Negative CCC is a Strength of the Franchise Model: IHG collects fees and reimbursables quickly and benefits from large deferred revenue balances (Current Deferred Revenue $617m in 2021 to $829m in 2025, Non-current $996m to $1,340m). Customers (hotel owners/guests) pay before IHG pays its suppliers – this is a source of interest-free financing.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2. Trend Toward Less Negative is a Warning to Monitor: A rising CCC (from -32.86 to -11.28) means working capital is absorbing more cash. If this continues toward 0 or positive, IHG would need to fund operations with external debt. Currently this is manageable because receivables efficiency remains strong (58-60 days is excellent vs industry avg ~45-65 days for hotels, but good for franchise).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3. Link to Liquidity Ratios: Your RATIO_5yr sheet shows Current Ratio 0.97 and Quick Ratio 0.93 in 2024 – below 1. This is acceptable with negative CCC and high deferred revenue (which is not a true cash liability). However, the combination of falling payable days and negative equity (-$2,741m shareholders’ equity in 2025) due to share buybacks means cash flow forecasting becomes critical.</w:t>
      </w:r>
      <w:r w:rsidRPr="009534B0">
        <w:rPr>
          <w:rFonts w:asciiTheme="majorHAnsi" w:hAnsiTheme="majorHAnsi" w:cstheme="majorHAnsi"/>
        </w:rPr>
        <w:br/>
      </w:r>
      <w:r w:rsidRPr="009534B0">
        <w:rPr>
          <w:rFonts w:asciiTheme="majorHAnsi" w:hAnsiTheme="majorHAnsi" w:cstheme="majorHAnsi"/>
        </w:rPr>
        <w:br/>
        <w:t>4. Recommendations: Maintain receivable days below 60 days; investigate why payables fell in 2024 – if voluntary, assess if extending terms again without damaging supplier relations could free $70-100m cash; continue to leverage System Fund and deferred revenue (loyalty program) as natural negative working capital levers.</w:t>
      </w:r>
    </w:p>
    <w:p w14:paraId="0BCCA07B" w14:textId="77777777" w:rsidR="005A07A2" w:rsidRPr="009534B0" w:rsidRDefault="00000000">
      <w:pPr>
        <w:pStyle w:val="Heading1"/>
        <w:rPr>
          <w:rFonts w:cstheme="majorHAnsi"/>
          <w:color w:val="auto"/>
        </w:rPr>
      </w:pPr>
      <w:r w:rsidRPr="009534B0">
        <w:rPr>
          <w:rFonts w:cstheme="majorHAnsi"/>
          <w:color w:val="auto"/>
        </w:rPr>
        <w:t>6. Data Added to Excel</w:t>
      </w:r>
    </w:p>
    <w:p w14:paraId="44355830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The calculations have been added to your original file IS_5yr_12.xlsx:</w:t>
      </w:r>
      <w:r w:rsidRPr="009534B0">
        <w:rPr>
          <w:rFonts w:asciiTheme="majorHAnsi" w:hAnsiTheme="majorHAnsi" w:cstheme="majorHAnsi"/>
        </w:rPr>
        <w:br/>
        <w:t>- Sheet CCC_Analysis: Full table with formulas, YoY deltas for Receivable, Payable and CCC</w:t>
      </w:r>
      <w:r w:rsidRPr="009534B0">
        <w:rPr>
          <w:rFonts w:asciiTheme="majorHAnsi" w:hAnsiTheme="majorHAnsi" w:cstheme="majorHAnsi"/>
        </w:rPr>
        <w:br/>
        <w:t>- Sheet CCC_Workings: Step-by-step formulas and example calculations for audit trail</w:t>
      </w:r>
    </w:p>
    <w:p w14:paraId="4D850A8B" w14:textId="77777777" w:rsidR="005A07A2" w:rsidRPr="009534B0" w:rsidRDefault="00000000">
      <w:pPr>
        <w:rPr>
          <w:rFonts w:asciiTheme="majorHAnsi" w:hAnsiTheme="majorHAnsi" w:cstheme="majorHAnsi"/>
        </w:rPr>
      </w:pPr>
      <w:r w:rsidRPr="009534B0">
        <w:rPr>
          <w:rFonts w:asciiTheme="majorHAnsi" w:hAnsiTheme="majorHAnsi" w:cstheme="majorHAnsi"/>
        </w:rPr>
        <w:t>Note: All days calculated on 365-day basis. Inventory = 0 based on BS_5yrs absence of inventory. If you have a separate note for inventory (e.g., F&amp;B stock in owned hotels), it can be added – impact would be &lt;1 day given IHG model.</w:t>
      </w:r>
    </w:p>
    <w:sectPr w:rsidR="005A07A2" w:rsidRPr="009534B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300089">
    <w:abstractNumId w:val="8"/>
  </w:num>
  <w:num w:numId="2" w16cid:durableId="654990808">
    <w:abstractNumId w:val="6"/>
  </w:num>
  <w:num w:numId="3" w16cid:durableId="1307010194">
    <w:abstractNumId w:val="5"/>
  </w:num>
  <w:num w:numId="4" w16cid:durableId="161239078">
    <w:abstractNumId w:val="4"/>
  </w:num>
  <w:num w:numId="5" w16cid:durableId="1971665321">
    <w:abstractNumId w:val="7"/>
  </w:num>
  <w:num w:numId="6" w16cid:durableId="147282894">
    <w:abstractNumId w:val="3"/>
  </w:num>
  <w:num w:numId="7" w16cid:durableId="621427102">
    <w:abstractNumId w:val="2"/>
  </w:num>
  <w:num w:numId="8" w16cid:durableId="2099475464">
    <w:abstractNumId w:val="1"/>
  </w:num>
  <w:num w:numId="9" w16cid:durableId="1996644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A07A2"/>
    <w:rsid w:val="009534B0"/>
    <w:rsid w:val="00AA1D8D"/>
    <w:rsid w:val="00B47730"/>
    <w:rsid w:val="00CB0664"/>
    <w:rsid w:val="00DD7C6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8F2775"/>
  <w14:defaultImageDpi w14:val="300"/>
  <w15:docId w15:val="{FD86E405-07F5-4D13-86FB-A70C4BBD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meet patel</cp:lastModifiedBy>
  <cp:revision>2</cp:revision>
  <dcterms:created xsi:type="dcterms:W3CDTF">2013-12-23T23:15:00Z</dcterms:created>
  <dcterms:modified xsi:type="dcterms:W3CDTF">2026-09-02T14:01:00Z</dcterms:modified>
  <cp:category/>
</cp:coreProperties>
</file>