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85ECE" w14:textId="17ACFCD5" w:rsidR="00E760AC" w:rsidRDefault="00E760AC"/>
    <w:tbl>
      <w:tblPr>
        <w:tblW w:w="608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31"/>
        <w:gridCol w:w="4855"/>
      </w:tblGrid>
      <w:tr w:rsidR="00AC546B" w:rsidRPr="00AC546B" w14:paraId="3D905A17" w14:textId="77777777" w:rsidTr="00AC546B">
        <w:trPr>
          <w:trHeight w:val="6304"/>
          <w:jc w:val="center"/>
        </w:trPr>
        <w:tc>
          <w:tcPr>
            <w:tcW w:w="2868" w:type="pct"/>
            <w:vAlign w:val="center"/>
          </w:tcPr>
          <w:p w14:paraId="373886B7" w14:textId="77777777" w:rsidR="00AC546B" w:rsidRPr="00AC546B" w:rsidRDefault="00AC546B" w:rsidP="00AC546B">
            <w:r w:rsidRPr="00AC546B">
              <w:rPr>
                <w:noProof/>
              </w:rPr>
              <w:drawing>
                <wp:inline distT="0" distB="0" distL="0" distR="0" wp14:anchorId="65DCF292" wp14:editId="6852ADDE">
                  <wp:extent cx="2949934" cy="3714438"/>
                  <wp:effectExtent l="0" t="0" r="317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62315" cy="3730027"/>
                          </a:xfrm>
                          <a:prstGeom prst="rect">
                            <a:avLst/>
                          </a:prstGeom>
                        </pic:spPr>
                      </pic:pic>
                    </a:graphicData>
                  </a:graphic>
                </wp:inline>
              </w:drawing>
            </w:r>
          </w:p>
          <w:p w14:paraId="0E94EBC8" w14:textId="77777777" w:rsidR="00AC546B" w:rsidRPr="00AC546B" w:rsidRDefault="00AC546B" w:rsidP="00AC546B"/>
        </w:tc>
        <w:tc>
          <w:tcPr>
            <w:tcW w:w="2132" w:type="pct"/>
            <w:vAlign w:val="center"/>
          </w:tcPr>
          <w:sdt>
            <w:sdtPr>
              <w:rPr>
                <w:rFonts w:ascii="Arial" w:hAnsi="Arial" w:cs="Arial"/>
                <w:b/>
                <w:bCs/>
              </w:rPr>
              <w:alias w:val="Abstract"/>
              <w:tag w:val=""/>
              <w:id w:val="-2036181933"/>
              <w:dataBinding w:prefixMappings="xmlns:ns0='http://schemas.microsoft.com/office/2006/coverPageProps' " w:xpath="/ns0:CoverPageProperties[1]/ns0:Abstract[1]" w:storeItemID="{55AF091B-3C7A-41E3-B477-F2FDAA23CFDA}"/>
              <w:text/>
            </w:sdtPr>
            <w:sdtContent>
              <w:p w14:paraId="02260E35" w14:textId="0E8C417B" w:rsidR="00AC546B" w:rsidRPr="00AC546B" w:rsidRDefault="00AC546B" w:rsidP="00AC546B">
                <w:pPr>
                  <w:rPr>
                    <w:rFonts w:ascii="Arial" w:hAnsi="Arial" w:cs="Arial"/>
                    <w:b/>
                    <w:bCs/>
                  </w:rPr>
                </w:pPr>
                <w:r w:rsidRPr="00AC546B">
                  <w:rPr>
                    <w:rFonts w:ascii="Arial" w:hAnsi="Arial" w:cs="Arial"/>
                    <w:b/>
                    <w:bCs/>
                  </w:rPr>
                  <w:t xml:space="preserve">Lecturer name: Dr </w:t>
                </w:r>
                <w:proofErr w:type="spellStart"/>
                <w:r w:rsidRPr="00AC546B">
                  <w:rPr>
                    <w:rFonts w:ascii="Arial" w:hAnsi="Arial" w:cs="Arial"/>
                    <w:b/>
                    <w:bCs/>
                  </w:rPr>
                  <w:t>Aishat</w:t>
                </w:r>
                <w:proofErr w:type="spellEnd"/>
                <w:r w:rsidRPr="00AC546B">
                  <w:rPr>
                    <w:rFonts w:ascii="Arial" w:hAnsi="Arial" w:cs="Arial"/>
                    <w:b/>
                    <w:bCs/>
                  </w:rPr>
                  <w:t xml:space="preserve"> </w:t>
                </w:r>
                <w:proofErr w:type="spellStart"/>
                <w:r w:rsidRPr="00AC546B">
                  <w:rPr>
                    <w:rFonts w:ascii="Arial" w:hAnsi="Arial" w:cs="Arial"/>
                    <w:b/>
                    <w:bCs/>
                  </w:rPr>
                  <w:t>Bakre</w:t>
                </w:r>
                <w:proofErr w:type="spellEnd"/>
                <w:r w:rsidRPr="00AC546B">
                  <w:rPr>
                    <w:rFonts w:ascii="Arial" w:hAnsi="Arial" w:cs="Arial"/>
                    <w:b/>
                    <w:bCs/>
                  </w:rPr>
                  <w:t xml:space="preserve">                                    Student number:1920973                              Student name </w:t>
                </w:r>
                <w:proofErr w:type="spellStart"/>
                <w:r w:rsidRPr="00AC546B">
                  <w:rPr>
                    <w:rFonts w:ascii="Arial" w:hAnsi="Arial" w:cs="Arial"/>
                    <w:b/>
                    <w:bCs/>
                  </w:rPr>
                  <w:t>Shabeena</w:t>
                </w:r>
                <w:proofErr w:type="spellEnd"/>
                <w:r w:rsidRPr="00AC546B">
                  <w:rPr>
                    <w:rFonts w:ascii="Arial" w:hAnsi="Arial" w:cs="Arial"/>
                    <w:b/>
                    <w:bCs/>
                  </w:rPr>
                  <w:t xml:space="preserve"> Akhtar                                     Module title: Introduction to public health                                               Module code: LCSH4004</w:t>
                </w:r>
              </w:p>
            </w:sdtContent>
          </w:sdt>
          <w:p w14:paraId="08FBC3BA" w14:textId="77777777" w:rsidR="00AC546B" w:rsidRPr="00AC546B" w:rsidRDefault="00AC546B" w:rsidP="00AC546B"/>
        </w:tc>
      </w:tr>
    </w:tbl>
    <w:p w14:paraId="626C38CA" w14:textId="6CCB8D2C" w:rsidR="00ED1427" w:rsidRDefault="00ED1427"/>
    <w:p w14:paraId="57F3D17C" w14:textId="3FB86FAB" w:rsidR="00ED1427" w:rsidRDefault="00ED1427"/>
    <w:p w14:paraId="21A0C2FF" w14:textId="2F657C3E" w:rsidR="00ED1427" w:rsidRDefault="00ED1427"/>
    <w:p w14:paraId="635C1490" w14:textId="5E8DC16F" w:rsidR="00ED1427" w:rsidRDefault="00ED1427"/>
    <w:p w14:paraId="7F42B974" w14:textId="3DD19A31" w:rsidR="00ED1427" w:rsidRDefault="00ED1427"/>
    <w:p w14:paraId="2D1517CD" w14:textId="1D3EF0B0" w:rsidR="00ED1427" w:rsidRDefault="00ED1427"/>
    <w:p w14:paraId="12A441EB" w14:textId="42818DC4" w:rsidR="00ED1427" w:rsidRDefault="00ED1427"/>
    <w:p w14:paraId="7F287749" w14:textId="4E75189D" w:rsidR="00ED1427" w:rsidRDefault="00ED1427"/>
    <w:sdt>
      <w:sdtPr>
        <w:rPr>
          <w:rFonts w:ascii="Times New Roman" w:eastAsiaTheme="minorHAnsi" w:hAnsi="Times New Roman" w:cstheme="minorBidi"/>
          <w:color w:val="auto"/>
          <w:sz w:val="24"/>
          <w:szCs w:val="22"/>
        </w:rPr>
        <w:id w:val="1650315541"/>
        <w:docPartObj>
          <w:docPartGallery w:val="Table of Contents"/>
          <w:docPartUnique/>
        </w:docPartObj>
      </w:sdtPr>
      <w:sdtEndPr>
        <w:rPr>
          <w:b/>
          <w:bCs/>
          <w:noProof/>
        </w:rPr>
      </w:sdtEndPr>
      <w:sdtContent>
        <w:p w14:paraId="261C8B34" w14:textId="7ED44A2E" w:rsidR="00CF0A0F" w:rsidRDefault="00CF0A0F">
          <w:pPr>
            <w:pStyle w:val="TOCHeading"/>
          </w:pPr>
          <w:r>
            <w:t>Table of Contents</w:t>
          </w:r>
        </w:p>
        <w:p w14:paraId="7DBFC996" w14:textId="6D3D954E" w:rsidR="00663F98" w:rsidRDefault="00CF0A0F">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9296413" w:history="1">
            <w:r w:rsidR="00663F98" w:rsidRPr="002B2728">
              <w:rPr>
                <w:rStyle w:val="Hyperlink"/>
                <w:noProof/>
              </w:rPr>
              <w:t>Introduction</w:t>
            </w:r>
            <w:r w:rsidR="00663F98">
              <w:rPr>
                <w:noProof/>
                <w:webHidden/>
              </w:rPr>
              <w:tab/>
            </w:r>
            <w:r w:rsidR="00663F98">
              <w:rPr>
                <w:noProof/>
                <w:webHidden/>
              </w:rPr>
              <w:fldChar w:fldCharType="begin"/>
            </w:r>
            <w:r w:rsidR="00663F98">
              <w:rPr>
                <w:noProof/>
                <w:webHidden/>
              </w:rPr>
              <w:instrText xml:space="preserve"> PAGEREF _Toc129296413 \h </w:instrText>
            </w:r>
            <w:r w:rsidR="00663F98">
              <w:rPr>
                <w:noProof/>
                <w:webHidden/>
              </w:rPr>
            </w:r>
            <w:r w:rsidR="00663F98">
              <w:rPr>
                <w:noProof/>
                <w:webHidden/>
              </w:rPr>
              <w:fldChar w:fldCharType="separate"/>
            </w:r>
            <w:r w:rsidR="00663F98">
              <w:rPr>
                <w:noProof/>
                <w:webHidden/>
              </w:rPr>
              <w:t>3</w:t>
            </w:r>
            <w:r w:rsidR="00663F98">
              <w:rPr>
                <w:noProof/>
                <w:webHidden/>
              </w:rPr>
              <w:fldChar w:fldCharType="end"/>
            </w:r>
          </w:hyperlink>
        </w:p>
        <w:p w14:paraId="41A57C06" w14:textId="129DBCFA" w:rsidR="00663F98" w:rsidRDefault="00663F98">
          <w:pPr>
            <w:pStyle w:val="TOC1"/>
            <w:tabs>
              <w:tab w:val="right" w:leader="dot" w:pos="9350"/>
            </w:tabs>
            <w:rPr>
              <w:rFonts w:asciiTheme="minorHAnsi" w:eastAsiaTheme="minorEastAsia" w:hAnsiTheme="minorHAnsi"/>
              <w:noProof/>
              <w:sz w:val="22"/>
            </w:rPr>
          </w:pPr>
          <w:hyperlink w:anchor="_Toc129296414" w:history="1">
            <w:r w:rsidRPr="002B2728">
              <w:rPr>
                <w:rStyle w:val="Hyperlink"/>
                <w:noProof/>
              </w:rPr>
              <w:t>Methods used in the UK to measure the incidence of disease</w:t>
            </w:r>
            <w:r>
              <w:rPr>
                <w:noProof/>
                <w:webHidden/>
              </w:rPr>
              <w:tab/>
            </w:r>
            <w:r>
              <w:rPr>
                <w:noProof/>
                <w:webHidden/>
              </w:rPr>
              <w:fldChar w:fldCharType="begin"/>
            </w:r>
            <w:r>
              <w:rPr>
                <w:noProof/>
                <w:webHidden/>
              </w:rPr>
              <w:instrText xml:space="preserve"> PAGEREF _Toc129296414 \h </w:instrText>
            </w:r>
            <w:r>
              <w:rPr>
                <w:noProof/>
                <w:webHidden/>
              </w:rPr>
            </w:r>
            <w:r>
              <w:rPr>
                <w:noProof/>
                <w:webHidden/>
              </w:rPr>
              <w:fldChar w:fldCharType="separate"/>
            </w:r>
            <w:r>
              <w:rPr>
                <w:noProof/>
                <w:webHidden/>
              </w:rPr>
              <w:t>4</w:t>
            </w:r>
            <w:r>
              <w:rPr>
                <w:noProof/>
                <w:webHidden/>
              </w:rPr>
              <w:fldChar w:fldCharType="end"/>
            </w:r>
          </w:hyperlink>
        </w:p>
        <w:p w14:paraId="0493C7D4" w14:textId="6D8C4596" w:rsidR="00663F98" w:rsidRDefault="00663F98">
          <w:pPr>
            <w:pStyle w:val="TOC1"/>
            <w:tabs>
              <w:tab w:val="right" w:leader="dot" w:pos="9350"/>
            </w:tabs>
            <w:rPr>
              <w:rFonts w:asciiTheme="minorHAnsi" w:eastAsiaTheme="minorEastAsia" w:hAnsiTheme="minorHAnsi"/>
              <w:noProof/>
              <w:sz w:val="22"/>
            </w:rPr>
          </w:pPr>
          <w:hyperlink w:anchor="_Toc129296415" w:history="1">
            <w:r w:rsidRPr="002B2728">
              <w:rPr>
                <w:rStyle w:val="Hyperlink"/>
                <w:noProof/>
              </w:rPr>
              <w:t>Methods used in the UK to monitor the spread of disease</w:t>
            </w:r>
            <w:r>
              <w:rPr>
                <w:noProof/>
                <w:webHidden/>
              </w:rPr>
              <w:tab/>
            </w:r>
            <w:r>
              <w:rPr>
                <w:noProof/>
                <w:webHidden/>
              </w:rPr>
              <w:fldChar w:fldCharType="begin"/>
            </w:r>
            <w:r>
              <w:rPr>
                <w:noProof/>
                <w:webHidden/>
              </w:rPr>
              <w:instrText xml:space="preserve"> PAGEREF _Toc129296415 \h </w:instrText>
            </w:r>
            <w:r>
              <w:rPr>
                <w:noProof/>
                <w:webHidden/>
              </w:rPr>
            </w:r>
            <w:r>
              <w:rPr>
                <w:noProof/>
                <w:webHidden/>
              </w:rPr>
              <w:fldChar w:fldCharType="separate"/>
            </w:r>
            <w:r>
              <w:rPr>
                <w:noProof/>
                <w:webHidden/>
              </w:rPr>
              <w:t>5</w:t>
            </w:r>
            <w:r>
              <w:rPr>
                <w:noProof/>
                <w:webHidden/>
              </w:rPr>
              <w:fldChar w:fldCharType="end"/>
            </w:r>
          </w:hyperlink>
        </w:p>
        <w:p w14:paraId="3465B4BB" w14:textId="666B490E" w:rsidR="00663F98" w:rsidRDefault="00663F98">
          <w:pPr>
            <w:pStyle w:val="TOC1"/>
            <w:tabs>
              <w:tab w:val="right" w:leader="dot" w:pos="9350"/>
            </w:tabs>
            <w:rPr>
              <w:rFonts w:asciiTheme="minorHAnsi" w:eastAsiaTheme="minorEastAsia" w:hAnsiTheme="minorHAnsi"/>
              <w:noProof/>
              <w:sz w:val="22"/>
            </w:rPr>
          </w:pPr>
          <w:hyperlink w:anchor="_Toc129296416" w:history="1">
            <w:r w:rsidRPr="002B2728">
              <w:rPr>
                <w:rStyle w:val="Hyperlink"/>
                <w:noProof/>
              </w:rPr>
              <w:t>Methods used in the UK to reduce the spread of disease</w:t>
            </w:r>
            <w:r>
              <w:rPr>
                <w:noProof/>
                <w:webHidden/>
              </w:rPr>
              <w:tab/>
            </w:r>
            <w:r>
              <w:rPr>
                <w:noProof/>
                <w:webHidden/>
              </w:rPr>
              <w:fldChar w:fldCharType="begin"/>
            </w:r>
            <w:r>
              <w:rPr>
                <w:noProof/>
                <w:webHidden/>
              </w:rPr>
              <w:instrText xml:space="preserve"> PAGEREF _Toc129296416 \h </w:instrText>
            </w:r>
            <w:r>
              <w:rPr>
                <w:noProof/>
                <w:webHidden/>
              </w:rPr>
            </w:r>
            <w:r>
              <w:rPr>
                <w:noProof/>
                <w:webHidden/>
              </w:rPr>
              <w:fldChar w:fldCharType="separate"/>
            </w:r>
            <w:r>
              <w:rPr>
                <w:noProof/>
                <w:webHidden/>
              </w:rPr>
              <w:t>6</w:t>
            </w:r>
            <w:r>
              <w:rPr>
                <w:noProof/>
                <w:webHidden/>
              </w:rPr>
              <w:fldChar w:fldCharType="end"/>
            </w:r>
          </w:hyperlink>
        </w:p>
        <w:p w14:paraId="3CD343EC" w14:textId="6804FBBD" w:rsidR="00663F98" w:rsidRDefault="00663F98">
          <w:pPr>
            <w:pStyle w:val="TOC1"/>
            <w:tabs>
              <w:tab w:val="right" w:leader="dot" w:pos="9350"/>
            </w:tabs>
            <w:rPr>
              <w:rFonts w:asciiTheme="minorHAnsi" w:eastAsiaTheme="minorEastAsia" w:hAnsiTheme="minorHAnsi"/>
              <w:noProof/>
              <w:sz w:val="22"/>
            </w:rPr>
          </w:pPr>
          <w:hyperlink w:anchor="_Toc129296417" w:history="1">
            <w:r w:rsidRPr="002B2728">
              <w:rPr>
                <w:rStyle w:val="Hyperlink"/>
                <w:noProof/>
              </w:rPr>
              <w:t>Conclusion</w:t>
            </w:r>
            <w:r>
              <w:rPr>
                <w:noProof/>
                <w:webHidden/>
              </w:rPr>
              <w:tab/>
            </w:r>
            <w:r>
              <w:rPr>
                <w:noProof/>
                <w:webHidden/>
              </w:rPr>
              <w:fldChar w:fldCharType="begin"/>
            </w:r>
            <w:r>
              <w:rPr>
                <w:noProof/>
                <w:webHidden/>
              </w:rPr>
              <w:instrText xml:space="preserve"> PAGEREF _Toc129296417 \h </w:instrText>
            </w:r>
            <w:r>
              <w:rPr>
                <w:noProof/>
                <w:webHidden/>
              </w:rPr>
            </w:r>
            <w:r>
              <w:rPr>
                <w:noProof/>
                <w:webHidden/>
              </w:rPr>
              <w:fldChar w:fldCharType="separate"/>
            </w:r>
            <w:r>
              <w:rPr>
                <w:noProof/>
                <w:webHidden/>
              </w:rPr>
              <w:t>7</w:t>
            </w:r>
            <w:r>
              <w:rPr>
                <w:noProof/>
                <w:webHidden/>
              </w:rPr>
              <w:fldChar w:fldCharType="end"/>
            </w:r>
          </w:hyperlink>
        </w:p>
        <w:p w14:paraId="0FE19459" w14:textId="71D6473D" w:rsidR="00663F98" w:rsidRDefault="00663F98">
          <w:pPr>
            <w:pStyle w:val="TOC1"/>
            <w:tabs>
              <w:tab w:val="right" w:leader="dot" w:pos="9350"/>
            </w:tabs>
            <w:rPr>
              <w:rFonts w:asciiTheme="minorHAnsi" w:eastAsiaTheme="minorEastAsia" w:hAnsiTheme="minorHAnsi"/>
              <w:noProof/>
              <w:sz w:val="22"/>
            </w:rPr>
          </w:pPr>
          <w:hyperlink w:anchor="_Toc129296418" w:history="1">
            <w:r w:rsidRPr="002B2728">
              <w:rPr>
                <w:rStyle w:val="Hyperlink"/>
                <w:noProof/>
              </w:rPr>
              <w:t>References</w:t>
            </w:r>
            <w:r>
              <w:rPr>
                <w:noProof/>
                <w:webHidden/>
              </w:rPr>
              <w:tab/>
            </w:r>
            <w:r>
              <w:rPr>
                <w:noProof/>
                <w:webHidden/>
              </w:rPr>
              <w:fldChar w:fldCharType="begin"/>
            </w:r>
            <w:r>
              <w:rPr>
                <w:noProof/>
                <w:webHidden/>
              </w:rPr>
              <w:instrText xml:space="preserve"> PAGEREF _Toc129296418 \h </w:instrText>
            </w:r>
            <w:r>
              <w:rPr>
                <w:noProof/>
                <w:webHidden/>
              </w:rPr>
            </w:r>
            <w:r>
              <w:rPr>
                <w:noProof/>
                <w:webHidden/>
              </w:rPr>
              <w:fldChar w:fldCharType="separate"/>
            </w:r>
            <w:r>
              <w:rPr>
                <w:noProof/>
                <w:webHidden/>
              </w:rPr>
              <w:t>8</w:t>
            </w:r>
            <w:r>
              <w:rPr>
                <w:noProof/>
                <w:webHidden/>
              </w:rPr>
              <w:fldChar w:fldCharType="end"/>
            </w:r>
          </w:hyperlink>
        </w:p>
        <w:p w14:paraId="30151E1C" w14:textId="5C04C51D" w:rsidR="00CF0A0F" w:rsidRDefault="00CF0A0F">
          <w:r>
            <w:rPr>
              <w:b/>
              <w:bCs/>
              <w:noProof/>
            </w:rPr>
            <w:fldChar w:fldCharType="end"/>
          </w:r>
        </w:p>
      </w:sdtContent>
    </w:sdt>
    <w:p w14:paraId="7D3E2ADB" w14:textId="54FEFC02" w:rsidR="00ED1427" w:rsidRDefault="00ED1427"/>
    <w:p w14:paraId="5516BAA8" w14:textId="6403A861" w:rsidR="00ED1427" w:rsidRDefault="00ED1427"/>
    <w:p w14:paraId="7B5F79E9" w14:textId="18D4D655" w:rsidR="00ED1427" w:rsidRDefault="00ED1427"/>
    <w:p w14:paraId="382F49EE" w14:textId="0933FB24" w:rsidR="00ED1427" w:rsidRDefault="00ED1427"/>
    <w:p w14:paraId="2A365917" w14:textId="02048600" w:rsidR="00ED1427" w:rsidRDefault="00ED1427"/>
    <w:p w14:paraId="02955BC9" w14:textId="36EEE0D3" w:rsidR="00ED1427" w:rsidRDefault="00ED1427"/>
    <w:p w14:paraId="0533CEFA" w14:textId="2F97EDDD" w:rsidR="00ED1427" w:rsidRDefault="00ED1427"/>
    <w:p w14:paraId="728D1518" w14:textId="296F2372" w:rsidR="00ED1427" w:rsidRDefault="00ED1427"/>
    <w:p w14:paraId="27AF8B48" w14:textId="147F0BD8" w:rsidR="00ED1427" w:rsidRDefault="00ED1427"/>
    <w:p w14:paraId="68F62A45" w14:textId="46C079E0" w:rsidR="00ED1427" w:rsidRDefault="00ED1427"/>
    <w:p w14:paraId="611053ED" w14:textId="4A7084DD" w:rsidR="00ED1427" w:rsidRDefault="00ED1427"/>
    <w:p w14:paraId="59A5DCFD" w14:textId="4B1BB36C" w:rsidR="00ED1427" w:rsidRDefault="00ED1427"/>
    <w:p w14:paraId="00BF0417" w14:textId="3B0C8F44" w:rsidR="00ED1427" w:rsidRDefault="00ED1427"/>
    <w:p w14:paraId="6BE10449" w14:textId="326E4EFE" w:rsidR="00ED1427" w:rsidRDefault="00ED1427"/>
    <w:p w14:paraId="4CD94475" w14:textId="462422B5" w:rsidR="00ED1427" w:rsidRDefault="00ED1427"/>
    <w:p w14:paraId="73544A4D" w14:textId="03B34FEE" w:rsidR="00ED1427" w:rsidRDefault="00ED1427"/>
    <w:p w14:paraId="110E1CEE" w14:textId="6578842A" w:rsidR="00ED1427" w:rsidRDefault="00ED1427"/>
    <w:p w14:paraId="5B7337D1" w14:textId="6E3130BA" w:rsidR="00ED1427" w:rsidRDefault="00ED1427"/>
    <w:p w14:paraId="72C96DD3" w14:textId="0FCE3CA5" w:rsidR="00ED1427" w:rsidRDefault="00ED1427"/>
    <w:p w14:paraId="75F94B06" w14:textId="77777777" w:rsidR="00416124" w:rsidRDefault="00416124"/>
    <w:p w14:paraId="42656A9F" w14:textId="47B8276F" w:rsidR="00ED1427" w:rsidRDefault="00ED1427"/>
    <w:p w14:paraId="7ECDA6B6" w14:textId="53639772" w:rsidR="00ED1427" w:rsidRDefault="00ED1427" w:rsidP="00AC546B">
      <w:pPr>
        <w:pStyle w:val="Heading1"/>
      </w:pPr>
      <w:bookmarkStart w:id="0" w:name="_Toc129296413"/>
      <w:r>
        <w:t>Introduction</w:t>
      </w:r>
      <w:bookmarkEnd w:id="0"/>
    </w:p>
    <w:p w14:paraId="2EB5C65C" w14:textId="77777777" w:rsidR="00AC546B" w:rsidRPr="00AC546B" w:rsidRDefault="00AC546B" w:rsidP="00AC546B"/>
    <w:p w14:paraId="0C60A11F" w14:textId="2DA1A7BF" w:rsidR="00ED1427" w:rsidRPr="00ED1427" w:rsidRDefault="00C07CBD" w:rsidP="002A76BD">
      <w:pPr>
        <w:spacing w:line="360" w:lineRule="auto"/>
        <w:jc w:val="both"/>
        <w:rPr>
          <w:rFonts w:ascii="Arial" w:hAnsi="Arial" w:cs="Arial"/>
        </w:rPr>
      </w:pPr>
      <w:r w:rsidRPr="00C07CBD">
        <w:rPr>
          <w:rFonts w:ascii="Arial" w:hAnsi="Arial" w:cs="Arial"/>
        </w:rPr>
        <w:t>The varicella-zoster virus, which also causes chickenpox, is responsible for the viral infection known as shingles. The virus remains dormant in the nervous system after healing from chickenpox, but it can reactivate later in life to cause shingles</w:t>
      </w:r>
      <w:r w:rsidR="00ED1427" w:rsidRPr="00ED1427">
        <w:rPr>
          <w:rFonts w:ascii="Arial" w:hAnsi="Arial" w:cs="Arial"/>
        </w:rPr>
        <w:t xml:space="preserve">. The condition usually causes a painful rash, which may appear on any part of the body. </w:t>
      </w:r>
      <w:r w:rsidR="00ED1427" w:rsidRPr="00CD46BC">
        <w:rPr>
          <w:rFonts w:ascii="Arial" w:hAnsi="Arial" w:cs="Arial"/>
        </w:rPr>
        <w:t xml:space="preserve"> </w:t>
      </w:r>
      <w:r w:rsidR="00ED1427" w:rsidRPr="00ED1427">
        <w:rPr>
          <w:rFonts w:ascii="Arial" w:hAnsi="Arial" w:cs="Arial"/>
        </w:rPr>
        <w:t>In the UK, shingles is a notifiable disease, which means that healthcare professionals are required to report suspected cases to the relevant public health authority</w:t>
      </w:r>
      <w:r w:rsidR="00AC546B">
        <w:rPr>
          <w:rFonts w:ascii="Arial" w:hAnsi="Arial" w:cs="Arial"/>
        </w:rPr>
        <w:t xml:space="preserve"> </w:t>
      </w:r>
      <w:r w:rsidR="00AC546B" w:rsidRPr="00AC546B">
        <w:rPr>
          <w:rFonts w:ascii="Arial" w:hAnsi="Arial" w:cs="Arial"/>
        </w:rPr>
        <w:t>(Harpaz et al., 2008)</w:t>
      </w:r>
      <w:r w:rsidR="00AC546B">
        <w:rPr>
          <w:rFonts w:ascii="Arial" w:hAnsi="Arial" w:cs="Arial"/>
        </w:rPr>
        <w:t xml:space="preserve">. </w:t>
      </w:r>
      <w:r w:rsidR="00ED1427" w:rsidRPr="00ED1427">
        <w:rPr>
          <w:rFonts w:ascii="Arial" w:hAnsi="Arial" w:cs="Arial"/>
        </w:rPr>
        <w:t xml:space="preserve">The government also provides vaccination against shingles as part of the national immunization program for people aged 70-79. </w:t>
      </w:r>
    </w:p>
    <w:p w14:paraId="417BDB07" w14:textId="6252AB51" w:rsidR="00ED1427" w:rsidRDefault="00ED1427" w:rsidP="00ED1427">
      <w:pPr>
        <w:jc w:val="both"/>
      </w:pPr>
    </w:p>
    <w:p w14:paraId="04B09258" w14:textId="4DD510AF" w:rsidR="00ED1427" w:rsidRDefault="00ED1427" w:rsidP="00ED1427"/>
    <w:p w14:paraId="01EDD6E8" w14:textId="1C5A20C8" w:rsidR="00ED1427" w:rsidRDefault="00ED1427" w:rsidP="00ED1427"/>
    <w:p w14:paraId="48A8495D" w14:textId="7B1341CF" w:rsidR="00ED1427" w:rsidRDefault="00ED1427" w:rsidP="00ED1427"/>
    <w:p w14:paraId="2CD097EA" w14:textId="5960AD45" w:rsidR="00ED1427" w:rsidRDefault="00ED1427" w:rsidP="00ED1427"/>
    <w:p w14:paraId="6CE411EC" w14:textId="04906D1F" w:rsidR="00ED1427" w:rsidRDefault="00ED1427" w:rsidP="00ED1427"/>
    <w:p w14:paraId="33B6DE68" w14:textId="097F12B4" w:rsidR="00ED1427" w:rsidRDefault="00ED1427" w:rsidP="00ED1427"/>
    <w:p w14:paraId="6AFD2B7A" w14:textId="0D79C7FB" w:rsidR="00ED1427" w:rsidRDefault="00ED1427" w:rsidP="00ED1427"/>
    <w:p w14:paraId="13F9A7F3" w14:textId="6BACDEDB" w:rsidR="00ED1427" w:rsidRDefault="00ED1427" w:rsidP="00ED1427"/>
    <w:p w14:paraId="61EE5FA2" w14:textId="10D7AF3C" w:rsidR="00ED1427" w:rsidRDefault="00ED1427" w:rsidP="00ED1427"/>
    <w:p w14:paraId="3D6A3B0F" w14:textId="2F687303" w:rsidR="00ED1427" w:rsidRDefault="00ED1427" w:rsidP="00ED1427"/>
    <w:p w14:paraId="5510F548" w14:textId="069EB808" w:rsidR="00ED1427" w:rsidRDefault="00ED1427" w:rsidP="00ED1427"/>
    <w:p w14:paraId="1206BB77" w14:textId="27526C52" w:rsidR="00ED1427" w:rsidRDefault="00ED1427" w:rsidP="00ED1427"/>
    <w:p w14:paraId="20124016" w14:textId="77314B9A" w:rsidR="00ED1427" w:rsidRDefault="00ED1427" w:rsidP="00ED1427"/>
    <w:p w14:paraId="392E5B51" w14:textId="54A699C1" w:rsidR="00ED1427" w:rsidRDefault="00ED1427" w:rsidP="00ED1427"/>
    <w:p w14:paraId="16656E49" w14:textId="77777777" w:rsidR="00CF0A0F" w:rsidRDefault="00CF0A0F" w:rsidP="00ED1427"/>
    <w:p w14:paraId="29EBF9CB" w14:textId="5CDAB171" w:rsidR="00ED1427" w:rsidRDefault="00ED1427" w:rsidP="00ED1427"/>
    <w:p w14:paraId="27E70DEC" w14:textId="3D6EC49F" w:rsidR="00ED1427" w:rsidRDefault="00ED1427" w:rsidP="00ED1427"/>
    <w:p w14:paraId="184D3FA8" w14:textId="420D162D" w:rsidR="00ED1427" w:rsidRDefault="003D0D81" w:rsidP="00ED1427">
      <w:pPr>
        <w:pStyle w:val="Heading1"/>
      </w:pPr>
      <w:bookmarkStart w:id="1" w:name="_Toc129296414"/>
      <w:r>
        <w:lastRenderedPageBreak/>
        <w:t>Methods</w:t>
      </w:r>
      <w:r w:rsidR="00ED1427">
        <w:t xml:space="preserve"> used in the UK to measure the incidence of disease</w:t>
      </w:r>
      <w:bookmarkEnd w:id="1"/>
    </w:p>
    <w:p w14:paraId="3204FC5D" w14:textId="77777777" w:rsidR="0060376F" w:rsidRDefault="0060376F" w:rsidP="00CD46BC">
      <w:pPr>
        <w:spacing w:line="360" w:lineRule="auto"/>
        <w:jc w:val="both"/>
        <w:rPr>
          <w:rFonts w:ascii="Arial" w:hAnsi="Arial" w:cs="Arial"/>
        </w:rPr>
      </w:pPr>
    </w:p>
    <w:p w14:paraId="0D776B4D" w14:textId="782802EB" w:rsidR="0060376F" w:rsidRDefault="0060376F" w:rsidP="00CD46BC">
      <w:pPr>
        <w:spacing w:line="360" w:lineRule="auto"/>
        <w:jc w:val="both"/>
        <w:rPr>
          <w:rFonts w:ascii="Arial" w:hAnsi="Arial" w:cs="Arial"/>
        </w:rPr>
      </w:pPr>
      <w:r w:rsidRPr="0060376F">
        <w:rPr>
          <w:rFonts w:ascii="Arial" w:hAnsi="Arial" w:cs="Arial"/>
        </w:rPr>
        <w:t>Understanding the severity of the condition and putting public health measures in place to prevent its spread require accurate data on incidence rates of shingles. The methods employed in the UK to calculate the prevalence of shingles will be covered in this essay.</w:t>
      </w:r>
    </w:p>
    <w:p w14:paraId="0EA2EF79" w14:textId="75D15EBD" w:rsidR="00A52F9C" w:rsidRPr="00A52F9C" w:rsidRDefault="00EA70EB" w:rsidP="00CD46BC">
      <w:pPr>
        <w:spacing w:line="360" w:lineRule="auto"/>
        <w:jc w:val="both"/>
        <w:rPr>
          <w:rFonts w:ascii="Arial" w:hAnsi="Arial" w:cs="Arial"/>
        </w:rPr>
      </w:pPr>
      <w:r w:rsidRPr="00EA70EB">
        <w:rPr>
          <w:rFonts w:ascii="Arial" w:hAnsi="Arial" w:cs="Arial"/>
        </w:rPr>
        <w:t>Using surveillance systems is one method for calculating the prevalence of shingles in the UK.</w:t>
      </w:r>
      <w:r w:rsidR="00A52F9C" w:rsidRPr="00A52F9C">
        <w:rPr>
          <w:rFonts w:ascii="Arial" w:hAnsi="Arial" w:cs="Arial"/>
        </w:rPr>
        <w:t xml:space="preserve"> The Enhanced Sentinel Surveillance System (ESSS) is a surveillance system used by Public Health England to monitor shingles incidence rates across the country (Public Health England, 2021). The ESSS collects data from general practitioners (GPs) and laboratories to monitor the incidence and characteristics of shingles cases. The system provides timely and accurate information on the incidence of shingles and its epidemiological patterns across different age groups, genders, and geographical locations.</w:t>
      </w:r>
    </w:p>
    <w:p w14:paraId="1BC9ABBB" w14:textId="57552A7F" w:rsidR="00A52F9C" w:rsidRPr="002A76BD" w:rsidRDefault="00A52F9C" w:rsidP="00CD46BC">
      <w:pPr>
        <w:spacing w:line="360" w:lineRule="auto"/>
        <w:jc w:val="both"/>
        <w:rPr>
          <w:rFonts w:ascii="Arial" w:hAnsi="Arial" w:cs="Arial"/>
        </w:rPr>
      </w:pPr>
      <w:r w:rsidRPr="00A52F9C">
        <w:rPr>
          <w:rFonts w:ascii="Arial" w:hAnsi="Arial" w:cs="Arial"/>
        </w:rPr>
        <w:t>Another strategy used to measure the incidence of shingles is the use of cohort studies. A cohort study is a type of epidemiological study that follows a group of individuals over time to assess their risk of developing a particular disease. The UK-based Clinical Practice Research Datalink (CPRD) is an example of a cohort study that has been used to measure the incidence of shingles (CPRD, n.d.). The CPRD collects data from GPs and hospitals and uses this information to monitor the incidence and risk factors of shingles.</w:t>
      </w:r>
    </w:p>
    <w:p w14:paraId="794C34FB" w14:textId="7B998222" w:rsidR="00A52F9C" w:rsidRDefault="00A52F9C" w:rsidP="00A52F9C"/>
    <w:p w14:paraId="4B22436B" w14:textId="6FDEAA4E" w:rsidR="00A52F9C" w:rsidRDefault="00A52F9C" w:rsidP="00A52F9C"/>
    <w:p w14:paraId="4C385431" w14:textId="04525388" w:rsidR="00CD46BC" w:rsidRDefault="00CD46BC" w:rsidP="00A52F9C"/>
    <w:p w14:paraId="655B306A" w14:textId="765D528F" w:rsidR="0060376F" w:rsidRDefault="0060376F" w:rsidP="00A52F9C"/>
    <w:p w14:paraId="7535220B" w14:textId="77777777" w:rsidR="0060376F" w:rsidRDefault="0060376F" w:rsidP="00A52F9C"/>
    <w:p w14:paraId="0C4C9740" w14:textId="715339F4" w:rsidR="00CD46BC" w:rsidRDefault="00CD46BC" w:rsidP="00A52F9C"/>
    <w:p w14:paraId="20E33F54" w14:textId="77777777" w:rsidR="00CD46BC" w:rsidRDefault="00CD46BC" w:rsidP="00A52F9C"/>
    <w:p w14:paraId="051F8654" w14:textId="77777777" w:rsidR="00A52F9C" w:rsidRPr="00A52F9C" w:rsidRDefault="00A52F9C" w:rsidP="00A52F9C"/>
    <w:p w14:paraId="407F844F" w14:textId="5D2DF29B" w:rsidR="00A52F9C" w:rsidRDefault="006F4D56" w:rsidP="00416124">
      <w:pPr>
        <w:pStyle w:val="Heading1"/>
      </w:pPr>
      <w:bookmarkStart w:id="2" w:name="_Toc129296415"/>
      <w:r>
        <w:lastRenderedPageBreak/>
        <w:t>M</w:t>
      </w:r>
      <w:r w:rsidRPr="006F4D56">
        <w:t xml:space="preserve">ethods used in the UK to </w:t>
      </w:r>
      <w:r>
        <w:t>monitor</w:t>
      </w:r>
      <w:r w:rsidRPr="006F4D56">
        <w:t xml:space="preserve"> the spread of disease</w:t>
      </w:r>
      <w:bookmarkEnd w:id="2"/>
    </w:p>
    <w:p w14:paraId="46C1045E" w14:textId="77777777" w:rsidR="00416124" w:rsidRPr="00416124" w:rsidRDefault="00416124" w:rsidP="00416124"/>
    <w:p w14:paraId="613987CA" w14:textId="77777777" w:rsidR="006910F6" w:rsidRDefault="006910F6" w:rsidP="00CD46BC">
      <w:pPr>
        <w:spacing w:line="360" w:lineRule="auto"/>
        <w:jc w:val="both"/>
        <w:rPr>
          <w:rFonts w:ascii="Arial" w:hAnsi="Arial" w:cs="Arial"/>
        </w:rPr>
      </w:pPr>
      <w:r w:rsidRPr="006910F6">
        <w:rPr>
          <w:rFonts w:ascii="Arial" w:hAnsi="Arial" w:cs="Arial"/>
        </w:rPr>
        <w:t>To comprehend the severity of the condition and to put public health measures in place to stop its spread, it is crucial to track the occurrence of shingles. The methods employed in the UK to track the occurrence of shingles will be covered in this essay.</w:t>
      </w:r>
    </w:p>
    <w:p w14:paraId="751023E8" w14:textId="59C121C6" w:rsidR="002A76BD" w:rsidRPr="002A76BD" w:rsidRDefault="002A76BD" w:rsidP="00CD46BC">
      <w:pPr>
        <w:spacing w:line="360" w:lineRule="auto"/>
        <w:jc w:val="both"/>
        <w:rPr>
          <w:rFonts w:ascii="Arial" w:hAnsi="Arial" w:cs="Arial"/>
        </w:rPr>
      </w:pPr>
      <w:r w:rsidRPr="002A76BD">
        <w:rPr>
          <w:rFonts w:ascii="Arial" w:hAnsi="Arial" w:cs="Arial"/>
        </w:rPr>
        <w:t xml:space="preserve">One strategy used to monitor the incidence of shingles in the UK is the </w:t>
      </w:r>
      <w:r w:rsidRPr="002A76BD">
        <w:rPr>
          <w:rFonts w:ascii="Arial" w:hAnsi="Arial" w:cs="Arial"/>
          <w:b/>
          <w:bCs/>
        </w:rPr>
        <w:t>Enhanced Sentinel Surveillance System (ESSS)</w:t>
      </w:r>
      <w:r w:rsidRPr="002A76BD">
        <w:rPr>
          <w:rFonts w:ascii="Arial" w:hAnsi="Arial" w:cs="Arial"/>
        </w:rPr>
        <w:t>. The ESSS is a surveillance system used by Public Health England to monitor shingles incidence rates across the country (Public Health England, 2021). The system collects data from general practitioners (GPs) and laboratories to monitor the incidence and characteristics of shingles cases. The ESSS provides timely and accurate information on the incidence of shingles and its epidemiological patterns across different age groups, genders, and geographical locations.</w:t>
      </w:r>
    </w:p>
    <w:p w14:paraId="073E6888" w14:textId="3EC4301A" w:rsidR="002A76BD" w:rsidRDefault="009C4B58" w:rsidP="00CD46BC">
      <w:pPr>
        <w:spacing w:line="360" w:lineRule="auto"/>
        <w:jc w:val="both"/>
        <w:rPr>
          <w:rFonts w:ascii="Arial" w:hAnsi="Arial" w:cs="Arial"/>
        </w:rPr>
      </w:pPr>
      <w:r w:rsidRPr="009C4B58">
        <w:rPr>
          <w:rFonts w:ascii="Arial" w:hAnsi="Arial" w:cs="Arial"/>
        </w:rPr>
        <w:t>Electronic health records are another tactic used to track the prevalence of shingles in the UK. To track the prevalence of shingles, the UK's Clinical Practice Research Datalink (CPRD) collection of electronic medical records is employed (CPRD, n.d.).</w:t>
      </w:r>
      <w:r>
        <w:rPr>
          <w:rFonts w:ascii="Arial" w:hAnsi="Arial" w:cs="Arial"/>
        </w:rPr>
        <w:t xml:space="preserve"> </w:t>
      </w:r>
      <w:r w:rsidR="002A76BD" w:rsidRPr="002A76BD">
        <w:rPr>
          <w:rFonts w:ascii="Arial" w:hAnsi="Arial" w:cs="Arial"/>
        </w:rPr>
        <w:t>The CPRD collects data from GPs and hospitals and uses this information to monitor the incidence and risk factors of shingles. The database provides researchers with a rich source of information on the epidemiology of shingles, including information on patient demographics, medical history, and clinical outcomes.</w:t>
      </w:r>
    </w:p>
    <w:p w14:paraId="4696BB9C" w14:textId="77777777" w:rsidR="00AC546B" w:rsidRPr="00443FDD" w:rsidRDefault="00AC546B" w:rsidP="00AC546B">
      <w:pPr>
        <w:spacing w:line="360" w:lineRule="auto"/>
        <w:jc w:val="both"/>
        <w:rPr>
          <w:rFonts w:ascii="Arial" w:hAnsi="Arial" w:cs="Arial"/>
        </w:rPr>
      </w:pPr>
      <w:r w:rsidRPr="00E9193A">
        <w:rPr>
          <w:rFonts w:ascii="Arial" w:hAnsi="Arial" w:cs="Arial"/>
          <w:b/>
          <w:bCs/>
        </w:rPr>
        <w:t>Laboratory-based Surveillance</w:t>
      </w:r>
      <w:r w:rsidRPr="00E9193A">
        <w:rPr>
          <w:rFonts w:ascii="Arial" w:hAnsi="Arial" w:cs="Arial"/>
        </w:rPr>
        <w:t xml:space="preserve">: This involves testing samples from patients to identify the presence of a particular pathogen. For example, testing respiratory samples for </w:t>
      </w:r>
      <w:r w:rsidRPr="00443FDD">
        <w:rPr>
          <w:rFonts w:ascii="Arial" w:hAnsi="Arial" w:cs="Arial"/>
        </w:rPr>
        <w:t>the Covid-19</w:t>
      </w:r>
      <w:r w:rsidRPr="00E9193A">
        <w:rPr>
          <w:rFonts w:ascii="Arial" w:hAnsi="Arial" w:cs="Arial"/>
        </w:rPr>
        <w:t xml:space="preserve"> virus can help identify the spread of </w:t>
      </w:r>
      <w:r w:rsidRPr="00443FDD">
        <w:rPr>
          <w:rFonts w:ascii="Arial" w:hAnsi="Arial" w:cs="Arial"/>
        </w:rPr>
        <w:t>corona (CDC, 2020).</w:t>
      </w:r>
    </w:p>
    <w:p w14:paraId="01737D33" w14:textId="52EF1C5C" w:rsidR="00AC546B" w:rsidRDefault="00AC546B" w:rsidP="00CD46BC">
      <w:pPr>
        <w:spacing w:line="360" w:lineRule="auto"/>
        <w:jc w:val="both"/>
        <w:rPr>
          <w:rFonts w:ascii="Arial" w:hAnsi="Arial" w:cs="Arial"/>
        </w:rPr>
      </w:pPr>
    </w:p>
    <w:p w14:paraId="3A1FD614" w14:textId="7264A33E" w:rsidR="00AC546B" w:rsidRDefault="00AC546B" w:rsidP="00CD46BC">
      <w:pPr>
        <w:spacing w:line="360" w:lineRule="auto"/>
        <w:jc w:val="both"/>
        <w:rPr>
          <w:rFonts w:ascii="Arial" w:hAnsi="Arial" w:cs="Arial"/>
        </w:rPr>
      </w:pPr>
    </w:p>
    <w:p w14:paraId="19D76388" w14:textId="6DE946C8" w:rsidR="00AC546B" w:rsidRDefault="00AC546B" w:rsidP="00CD46BC">
      <w:pPr>
        <w:spacing w:line="360" w:lineRule="auto"/>
        <w:jc w:val="both"/>
        <w:rPr>
          <w:rFonts w:ascii="Arial" w:hAnsi="Arial" w:cs="Arial"/>
        </w:rPr>
      </w:pPr>
    </w:p>
    <w:p w14:paraId="294D54E1" w14:textId="77777777" w:rsidR="009F7FB4" w:rsidRPr="00CD46BC" w:rsidRDefault="009F7FB4" w:rsidP="00CD46BC">
      <w:pPr>
        <w:spacing w:line="360" w:lineRule="auto"/>
        <w:jc w:val="both"/>
        <w:rPr>
          <w:rFonts w:ascii="Arial" w:hAnsi="Arial" w:cs="Arial"/>
        </w:rPr>
      </w:pPr>
    </w:p>
    <w:p w14:paraId="2D0E6F4C" w14:textId="77777777" w:rsidR="002A76BD" w:rsidRPr="002A76BD" w:rsidRDefault="002A76BD" w:rsidP="00CD46BC">
      <w:pPr>
        <w:spacing w:line="360" w:lineRule="auto"/>
        <w:jc w:val="both"/>
        <w:rPr>
          <w:rFonts w:ascii="Arial" w:hAnsi="Arial" w:cs="Arial"/>
        </w:rPr>
      </w:pPr>
    </w:p>
    <w:p w14:paraId="4F3CE350" w14:textId="4B01AA6A" w:rsidR="009F7FB4" w:rsidRDefault="009F7FB4" w:rsidP="00416124">
      <w:pPr>
        <w:pStyle w:val="Heading1"/>
      </w:pPr>
      <w:bookmarkStart w:id="3" w:name="_Toc129296416"/>
      <w:r>
        <w:lastRenderedPageBreak/>
        <w:t>M</w:t>
      </w:r>
      <w:r w:rsidRPr="009F7FB4">
        <w:t>ethods used in the UK to reduce the spread of disease</w:t>
      </w:r>
      <w:bookmarkEnd w:id="3"/>
    </w:p>
    <w:p w14:paraId="19F36FAA" w14:textId="77777777" w:rsidR="00416124" w:rsidRPr="00416124" w:rsidRDefault="00416124" w:rsidP="00416124"/>
    <w:p w14:paraId="20D057E5" w14:textId="64CAB2DE" w:rsidR="006F1FE4" w:rsidRDefault="006F1FE4" w:rsidP="00CD46BC">
      <w:pPr>
        <w:spacing w:line="360" w:lineRule="auto"/>
        <w:jc w:val="both"/>
        <w:rPr>
          <w:rFonts w:ascii="Arial" w:hAnsi="Arial" w:cs="Arial"/>
        </w:rPr>
      </w:pPr>
      <w:r w:rsidRPr="006F1FE4">
        <w:rPr>
          <w:rFonts w:ascii="Arial" w:hAnsi="Arial" w:cs="Arial"/>
        </w:rPr>
        <w:t>For the condition to be less burdensome and to stop spreading, it's crucial to reduce the occurrence of shingles. The methods employed in the UK to reduce shingles incidence will be covered in this essay.</w:t>
      </w:r>
    </w:p>
    <w:p w14:paraId="00110C2B" w14:textId="2AA121A6" w:rsidR="002A76BD" w:rsidRPr="002A76BD" w:rsidRDefault="002A76BD" w:rsidP="00CD46BC">
      <w:pPr>
        <w:spacing w:line="360" w:lineRule="auto"/>
        <w:jc w:val="both"/>
        <w:rPr>
          <w:rFonts w:ascii="Arial" w:hAnsi="Arial" w:cs="Arial"/>
        </w:rPr>
      </w:pPr>
      <w:r w:rsidRPr="002A76BD">
        <w:rPr>
          <w:rFonts w:ascii="Arial" w:hAnsi="Arial" w:cs="Arial"/>
        </w:rPr>
        <w:t xml:space="preserve">One strategy used to control the incidence of shingles in the UK is </w:t>
      </w:r>
      <w:r w:rsidRPr="002A76BD">
        <w:rPr>
          <w:rFonts w:ascii="Arial" w:hAnsi="Arial" w:cs="Arial"/>
          <w:b/>
          <w:bCs/>
        </w:rPr>
        <w:t>vaccination.</w:t>
      </w:r>
      <w:r w:rsidRPr="002A76BD">
        <w:rPr>
          <w:rFonts w:ascii="Arial" w:hAnsi="Arial" w:cs="Arial"/>
        </w:rPr>
        <w:t xml:space="preserve"> The shingles vaccine is </w:t>
      </w:r>
      <w:r w:rsidR="009F7FB4" w:rsidRPr="002A76BD">
        <w:rPr>
          <w:rFonts w:ascii="Arial" w:hAnsi="Arial" w:cs="Arial"/>
        </w:rPr>
        <w:t>suggested</w:t>
      </w:r>
      <w:r w:rsidRPr="002A76BD">
        <w:rPr>
          <w:rFonts w:ascii="Arial" w:hAnsi="Arial" w:cs="Arial"/>
        </w:rPr>
        <w:t xml:space="preserve"> for adults aged 70 and over as part of the national </w:t>
      </w:r>
      <w:r w:rsidR="00AC546B" w:rsidRPr="002A76BD">
        <w:rPr>
          <w:rFonts w:ascii="Arial" w:hAnsi="Arial" w:cs="Arial"/>
        </w:rPr>
        <w:t>immunization</w:t>
      </w:r>
      <w:r w:rsidRPr="002A76BD">
        <w:rPr>
          <w:rFonts w:ascii="Arial" w:hAnsi="Arial" w:cs="Arial"/>
        </w:rPr>
        <w:t xml:space="preserve"> program</w:t>
      </w:r>
      <w:r w:rsidR="00AC546B">
        <w:rPr>
          <w:rFonts w:ascii="Arial" w:hAnsi="Arial" w:cs="Arial"/>
        </w:rPr>
        <w:t xml:space="preserve"> </w:t>
      </w:r>
      <w:r w:rsidRPr="002A76BD">
        <w:rPr>
          <w:rFonts w:ascii="Arial" w:hAnsi="Arial" w:cs="Arial"/>
        </w:rPr>
        <w:t>(NHS, n.d.). The vaccine is also available to individuals aged 50-69 as a catch-up vaccine. The vaccine is highly effective at reducing the incidence of shingles and its complications, including post-herpetic neuralgia.</w:t>
      </w:r>
    </w:p>
    <w:p w14:paraId="290C764F" w14:textId="7A5250F3" w:rsidR="002A76BD" w:rsidRPr="002A76BD" w:rsidRDefault="002A76BD" w:rsidP="00CD46BC">
      <w:pPr>
        <w:spacing w:line="360" w:lineRule="auto"/>
        <w:jc w:val="both"/>
        <w:rPr>
          <w:rFonts w:ascii="Arial" w:hAnsi="Arial" w:cs="Arial"/>
        </w:rPr>
      </w:pPr>
      <w:r w:rsidRPr="002A76BD">
        <w:rPr>
          <w:rFonts w:ascii="Arial" w:hAnsi="Arial" w:cs="Arial"/>
        </w:rPr>
        <w:t xml:space="preserve">Another strategy used to control the incidence of shingles is the use of antiviral </w:t>
      </w:r>
      <w:r w:rsidRPr="002A76BD">
        <w:rPr>
          <w:rFonts w:ascii="Arial" w:hAnsi="Arial" w:cs="Arial"/>
          <w:b/>
          <w:bCs/>
        </w:rPr>
        <w:t>medication.</w:t>
      </w:r>
      <w:r w:rsidRPr="002A76BD">
        <w:rPr>
          <w:rFonts w:ascii="Arial" w:hAnsi="Arial" w:cs="Arial"/>
        </w:rPr>
        <w:t xml:space="preserve"> </w:t>
      </w:r>
      <w:r w:rsidR="009F7FB4" w:rsidRPr="009F7FB4">
        <w:rPr>
          <w:rFonts w:ascii="Arial" w:hAnsi="Arial" w:cs="Arial"/>
        </w:rPr>
        <w:t>Acyclovir is an antiviral drug that can be used to cure shingles and stop its side effects. Antiviral therapy taken at the first sign of shingles can lessen its intensity and length as well as help prevent post-herpetic neuralgia.</w:t>
      </w:r>
      <w:r w:rsidR="009F7FB4" w:rsidRPr="009F7FB4">
        <w:rPr>
          <w:rFonts w:ascii="Arial" w:hAnsi="Arial" w:cs="Arial"/>
        </w:rPr>
        <w:t xml:space="preserve"> </w:t>
      </w:r>
      <w:r w:rsidRPr="002A76BD">
        <w:rPr>
          <w:rFonts w:ascii="Arial" w:hAnsi="Arial" w:cs="Arial"/>
        </w:rPr>
        <w:t>(Public Health England, 2018).</w:t>
      </w:r>
    </w:p>
    <w:p w14:paraId="104558B0" w14:textId="77777777" w:rsidR="00ED2704" w:rsidRDefault="002A76BD" w:rsidP="00AC546B">
      <w:pPr>
        <w:spacing w:line="360" w:lineRule="auto"/>
        <w:jc w:val="both"/>
        <w:rPr>
          <w:rFonts w:ascii="Arial" w:hAnsi="Arial" w:cs="Arial"/>
        </w:rPr>
      </w:pPr>
      <w:r w:rsidRPr="002A76BD">
        <w:rPr>
          <w:rFonts w:ascii="Arial" w:hAnsi="Arial" w:cs="Arial"/>
        </w:rPr>
        <w:t xml:space="preserve">In addition to vaccination and antiviral medication, </w:t>
      </w:r>
      <w:r w:rsidRPr="002A76BD">
        <w:rPr>
          <w:rFonts w:ascii="Arial" w:hAnsi="Arial" w:cs="Arial"/>
          <w:b/>
          <w:bCs/>
        </w:rPr>
        <w:t>lifestyle changes</w:t>
      </w:r>
      <w:r w:rsidRPr="002A76BD">
        <w:rPr>
          <w:rFonts w:ascii="Arial" w:hAnsi="Arial" w:cs="Arial"/>
        </w:rPr>
        <w:t xml:space="preserve"> can also help to control the incidence of shingles. </w:t>
      </w:r>
      <w:r w:rsidR="00ED2704" w:rsidRPr="00ED2704">
        <w:rPr>
          <w:rFonts w:ascii="Arial" w:hAnsi="Arial" w:cs="Arial"/>
        </w:rPr>
        <w:t>Keeping a healthy lifestyle can help to support a healthy immune system and lower the risk of shingles by ensuring that you consume a balanced diet, get adequate sleep, and limit your stress levels.</w:t>
      </w:r>
    </w:p>
    <w:p w14:paraId="1167C9F9" w14:textId="0ED4AEDF" w:rsidR="00AC546B" w:rsidRPr="00443FDD" w:rsidRDefault="00AC546B" w:rsidP="00AC546B">
      <w:pPr>
        <w:spacing w:line="360" w:lineRule="auto"/>
        <w:jc w:val="both"/>
        <w:rPr>
          <w:rFonts w:ascii="Arial" w:hAnsi="Arial" w:cs="Arial"/>
        </w:rPr>
      </w:pPr>
      <w:r w:rsidRPr="00D26005">
        <w:rPr>
          <w:rFonts w:ascii="Arial" w:hAnsi="Arial" w:cs="Arial"/>
          <w:b/>
          <w:bCs/>
        </w:rPr>
        <w:t>Isolation and Quarantine:</w:t>
      </w:r>
      <w:r w:rsidRPr="00D26005">
        <w:rPr>
          <w:rFonts w:ascii="Arial" w:hAnsi="Arial" w:cs="Arial"/>
        </w:rPr>
        <w:t xml:space="preserve"> This involves separating individuals who are infected with the disease or who have been exposed to the disease from the rest of the population. This can help to prevent the spread of the </w:t>
      </w:r>
      <w:r w:rsidR="006F1FE4">
        <w:rPr>
          <w:rFonts w:ascii="Arial" w:hAnsi="Arial" w:cs="Arial"/>
        </w:rPr>
        <w:t>outbreak</w:t>
      </w:r>
      <w:r w:rsidRPr="00D26005">
        <w:rPr>
          <w:rFonts w:ascii="Arial" w:hAnsi="Arial" w:cs="Arial"/>
        </w:rPr>
        <w:t>.</w:t>
      </w:r>
    </w:p>
    <w:p w14:paraId="0D03B938" w14:textId="77777777" w:rsidR="00AC546B" w:rsidRPr="00AC546B" w:rsidRDefault="00AC546B" w:rsidP="00CD46BC">
      <w:pPr>
        <w:spacing w:line="360" w:lineRule="auto"/>
        <w:jc w:val="both"/>
        <w:rPr>
          <w:rFonts w:ascii="Arial" w:hAnsi="Arial" w:cs="Arial"/>
        </w:rPr>
      </w:pPr>
    </w:p>
    <w:p w14:paraId="5916E1C2" w14:textId="5DDFA604" w:rsidR="00CD46BC" w:rsidRDefault="00CD46BC" w:rsidP="00CD46BC">
      <w:pPr>
        <w:spacing w:line="360" w:lineRule="auto"/>
        <w:jc w:val="both"/>
        <w:rPr>
          <w:rFonts w:ascii="Arial" w:hAnsi="Arial" w:cs="Arial"/>
        </w:rPr>
      </w:pPr>
    </w:p>
    <w:p w14:paraId="67F0DFC9" w14:textId="1EC61749" w:rsidR="00CD46BC" w:rsidRDefault="00CD46BC" w:rsidP="00CD46BC">
      <w:pPr>
        <w:spacing w:line="360" w:lineRule="auto"/>
        <w:jc w:val="both"/>
        <w:rPr>
          <w:rFonts w:ascii="Arial" w:hAnsi="Arial" w:cs="Arial"/>
        </w:rPr>
      </w:pPr>
    </w:p>
    <w:p w14:paraId="30780943" w14:textId="08081C98" w:rsidR="00CD46BC" w:rsidRDefault="00CD46BC" w:rsidP="00CD46BC">
      <w:pPr>
        <w:spacing w:line="360" w:lineRule="auto"/>
        <w:jc w:val="both"/>
        <w:rPr>
          <w:rFonts w:ascii="Arial" w:hAnsi="Arial" w:cs="Arial"/>
        </w:rPr>
      </w:pPr>
    </w:p>
    <w:p w14:paraId="1425EDF7" w14:textId="77777777" w:rsidR="00CD46BC" w:rsidRPr="002A76BD" w:rsidRDefault="00CD46BC" w:rsidP="00CD46BC">
      <w:pPr>
        <w:spacing w:line="360" w:lineRule="auto"/>
        <w:jc w:val="both"/>
        <w:rPr>
          <w:rFonts w:ascii="Arial" w:hAnsi="Arial" w:cs="Arial"/>
        </w:rPr>
      </w:pPr>
    </w:p>
    <w:p w14:paraId="3B4756C8" w14:textId="2DDE0A59" w:rsidR="002A76BD" w:rsidRDefault="002A76BD" w:rsidP="00A52F9C"/>
    <w:p w14:paraId="3A3FB10E" w14:textId="20F7112F" w:rsidR="00CD46BC" w:rsidRDefault="00CD46BC" w:rsidP="00CD46BC">
      <w:pPr>
        <w:pStyle w:val="Heading1"/>
      </w:pPr>
      <w:bookmarkStart w:id="4" w:name="_Toc129296417"/>
      <w:r>
        <w:lastRenderedPageBreak/>
        <w:t>Conclusion</w:t>
      </w:r>
      <w:bookmarkEnd w:id="4"/>
    </w:p>
    <w:p w14:paraId="415AF298" w14:textId="77777777" w:rsidR="006F1FE4" w:rsidRPr="006F1FE4" w:rsidRDefault="006F1FE4" w:rsidP="006F1FE4"/>
    <w:p w14:paraId="65CABFAC" w14:textId="15A61EC4" w:rsidR="00CD46BC" w:rsidRDefault="006F1FE4" w:rsidP="006F1FE4">
      <w:pPr>
        <w:spacing w:line="360" w:lineRule="auto"/>
        <w:jc w:val="both"/>
      </w:pPr>
      <w:r w:rsidRPr="006F1FE4">
        <w:rPr>
          <w:rFonts w:ascii="Arial" w:hAnsi="Arial" w:cs="Arial"/>
        </w:rPr>
        <w:t>In conclusion, determining the prevalence of shingles in the UK is crucial for comprehending the severity of the condition and for putting public health measures in place to stop its spread. Cohort studies and surveillance systems are two methods used to calculate the prevalence of shingles in the UK. Electronic health records and the ESSS are two methods used to track the occurrence of shingles in the UK. In order to lessen the severity of the condition and to stop it from spreading, it is crucial to reduce the occurrence of shingles in the UK. To reduce the prevalence of shingles in the UK, three methods are used: vaccination, antiviral drugs, and dietary changes.</w:t>
      </w:r>
    </w:p>
    <w:p w14:paraId="526A3DEC" w14:textId="50D6794D" w:rsidR="00CD46BC" w:rsidRDefault="00CD46BC" w:rsidP="00A52F9C"/>
    <w:p w14:paraId="4EF84E65" w14:textId="26E46736" w:rsidR="00CD46BC" w:rsidRDefault="00CD46BC" w:rsidP="00A52F9C"/>
    <w:p w14:paraId="23585963" w14:textId="0F69EB7B" w:rsidR="00CD46BC" w:rsidRDefault="00CD46BC" w:rsidP="00A52F9C"/>
    <w:p w14:paraId="6D7B9038" w14:textId="38589993" w:rsidR="00CD46BC" w:rsidRDefault="00CD46BC" w:rsidP="00A52F9C"/>
    <w:p w14:paraId="3A085F2A" w14:textId="629CC879" w:rsidR="00CD46BC" w:rsidRDefault="00CD46BC" w:rsidP="00A52F9C"/>
    <w:p w14:paraId="33C3BAE0" w14:textId="76E4F2F2" w:rsidR="00CD46BC" w:rsidRDefault="00CD46BC" w:rsidP="00A52F9C"/>
    <w:p w14:paraId="48492A5F" w14:textId="39EB4D1D" w:rsidR="00CD46BC" w:rsidRDefault="00CD46BC" w:rsidP="00A52F9C"/>
    <w:p w14:paraId="12FA19C5" w14:textId="1FBB51F1" w:rsidR="00CD46BC" w:rsidRDefault="00CD46BC" w:rsidP="00A52F9C"/>
    <w:p w14:paraId="704346F1" w14:textId="600574D3" w:rsidR="00CD46BC" w:rsidRDefault="00CD46BC" w:rsidP="00A52F9C"/>
    <w:p w14:paraId="4C5FA46F" w14:textId="0C3411BD" w:rsidR="00CD46BC" w:rsidRDefault="00CD46BC" w:rsidP="00A52F9C"/>
    <w:p w14:paraId="44994A37" w14:textId="47C0EF8E" w:rsidR="00CD46BC" w:rsidRDefault="00CD46BC" w:rsidP="00A52F9C"/>
    <w:p w14:paraId="4FB2F0AE" w14:textId="1EC811BD" w:rsidR="00CD46BC" w:rsidRDefault="00CD46BC" w:rsidP="00A52F9C"/>
    <w:p w14:paraId="7C5D40EB" w14:textId="20907F98" w:rsidR="00CD46BC" w:rsidRDefault="00CD46BC" w:rsidP="00A52F9C"/>
    <w:p w14:paraId="627BA662" w14:textId="3CAAF856" w:rsidR="00CD46BC" w:rsidRDefault="00CD46BC" w:rsidP="00A52F9C"/>
    <w:p w14:paraId="0605C2F4" w14:textId="2614B799" w:rsidR="00CD46BC" w:rsidRDefault="00CD46BC" w:rsidP="00A52F9C"/>
    <w:p w14:paraId="03D441D3" w14:textId="77777777" w:rsidR="00CD46BC" w:rsidRDefault="00CD46BC" w:rsidP="00A52F9C"/>
    <w:p w14:paraId="674FC33A" w14:textId="7A017C6E" w:rsidR="00CD46BC" w:rsidRDefault="00CD46BC" w:rsidP="00A52F9C"/>
    <w:p w14:paraId="260F8B89" w14:textId="11694B64" w:rsidR="00CD46BC" w:rsidRDefault="00CD46BC" w:rsidP="00CD46BC">
      <w:pPr>
        <w:pStyle w:val="Heading1"/>
      </w:pPr>
      <w:bookmarkStart w:id="5" w:name="_Toc129296418"/>
      <w:r>
        <w:lastRenderedPageBreak/>
        <w:t>References</w:t>
      </w:r>
      <w:bookmarkEnd w:id="5"/>
    </w:p>
    <w:p w14:paraId="054F06B2" w14:textId="302B10C5" w:rsidR="00A52F9C" w:rsidRDefault="00A52F9C" w:rsidP="00CD46BC">
      <w:pPr>
        <w:spacing w:line="360" w:lineRule="auto"/>
        <w:jc w:val="both"/>
        <w:rPr>
          <w:rFonts w:ascii="Arial" w:hAnsi="Arial" w:cs="Arial"/>
        </w:rPr>
      </w:pPr>
      <w:r w:rsidRPr="00A52F9C">
        <w:rPr>
          <w:rFonts w:ascii="Arial" w:hAnsi="Arial" w:cs="Arial"/>
        </w:rPr>
        <w:t xml:space="preserve">Clinical Practice Research Datalink. (n.d.). Research. Retrieved March 9, 2023, from </w:t>
      </w:r>
      <w:hyperlink r:id="rId8" w:tgtFrame="_new" w:history="1">
        <w:r w:rsidRPr="00A52F9C">
          <w:rPr>
            <w:rStyle w:val="Hyperlink"/>
            <w:rFonts w:ascii="Arial" w:hAnsi="Arial" w:cs="Arial"/>
          </w:rPr>
          <w:t>https://www.cprd.com/research</w:t>
        </w:r>
      </w:hyperlink>
    </w:p>
    <w:p w14:paraId="50AD7548" w14:textId="77777777" w:rsidR="00AC546B" w:rsidRPr="00AC546B" w:rsidRDefault="00AC546B" w:rsidP="00AC546B">
      <w:pPr>
        <w:spacing w:line="360" w:lineRule="auto"/>
        <w:jc w:val="both"/>
        <w:rPr>
          <w:rFonts w:ascii="Arial" w:hAnsi="Arial" w:cs="Arial"/>
        </w:rPr>
      </w:pPr>
      <w:r w:rsidRPr="00ED1427">
        <w:rPr>
          <w:rFonts w:ascii="Arial" w:hAnsi="Arial" w:cs="Arial"/>
        </w:rPr>
        <w:t xml:space="preserve">Harpaz, R., Ortega-Sanchez, I. R., &amp; Seward, J. F. (2008). Prevention of herpes zoster: recommendations of the Advisory Committee on Immunization Practices (ACIP). MMWR. Recommendations and reports: Morbidity and mortality weekly report. Recommendations and reports, 57(RR-5), 1–30. </w:t>
      </w:r>
      <w:hyperlink r:id="rId9" w:tgtFrame="_new" w:history="1">
        <w:r w:rsidRPr="00ED1427">
          <w:rPr>
            <w:rStyle w:val="Hyperlink"/>
            <w:rFonts w:ascii="Arial" w:hAnsi="Arial" w:cs="Arial"/>
          </w:rPr>
          <w:t>https://www.ncbi.nlm.nih.gov/pubmed/18528318</w:t>
        </w:r>
      </w:hyperlink>
    </w:p>
    <w:p w14:paraId="592E660C" w14:textId="77777777" w:rsidR="00AC546B" w:rsidRPr="002A76BD" w:rsidRDefault="00AC546B" w:rsidP="00AC546B">
      <w:pPr>
        <w:spacing w:line="360" w:lineRule="auto"/>
        <w:jc w:val="both"/>
        <w:rPr>
          <w:rFonts w:ascii="Arial" w:hAnsi="Arial" w:cs="Arial"/>
        </w:rPr>
      </w:pPr>
      <w:r w:rsidRPr="002A76BD">
        <w:rPr>
          <w:rFonts w:ascii="Arial" w:hAnsi="Arial" w:cs="Arial"/>
        </w:rPr>
        <w:t xml:space="preserve">NHS. (n.d.). Shingles vaccine overview. Retrieved March 9, 2023, from </w:t>
      </w:r>
      <w:hyperlink r:id="rId10" w:tgtFrame="_new" w:history="1">
        <w:r w:rsidRPr="002A76BD">
          <w:rPr>
            <w:rStyle w:val="Hyperlink"/>
            <w:rFonts w:ascii="Arial" w:hAnsi="Arial" w:cs="Arial"/>
          </w:rPr>
          <w:t>https://www.nhs.uk/conditions/vaccinations/shingles-vaccine/</w:t>
        </w:r>
      </w:hyperlink>
    </w:p>
    <w:p w14:paraId="43C07E8E" w14:textId="77777777" w:rsidR="00A52F9C" w:rsidRPr="00A52F9C" w:rsidRDefault="00A52F9C" w:rsidP="00CD46BC">
      <w:pPr>
        <w:spacing w:line="360" w:lineRule="auto"/>
        <w:jc w:val="both"/>
        <w:rPr>
          <w:rFonts w:ascii="Arial" w:hAnsi="Arial" w:cs="Arial"/>
        </w:rPr>
      </w:pPr>
      <w:r w:rsidRPr="00A52F9C">
        <w:rPr>
          <w:rFonts w:ascii="Arial" w:hAnsi="Arial" w:cs="Arial"/>
        </w:rPr>
        <w:t xml:space="preserve">Public Health England. (2018). Shingles (herpes zoster). Retrieved March 9, 2023, from </w:t>
      </w:r>
      <w:hyperlink r:id="rId11" w:tgtFrame="_new" w:history="1">
        <w:r w:rsidRPr="00A52F9C">
          <w:rPr>
            <w:rStyle w:val="Hyperlink"/>
            <w:rFonts w:ascii="Arial" w:hAnsi="Arial" w:cs="Arial"/>
          </w:rPr>
          <w:t>https://www.gov.uk/government/publications/shingles-herpes-zoster-vaccine-eligibility-and-implementation</w:t>
        </w:r>
      </w:hyperlink>
    </w:p>
    <w:p w14:paraId="6689506B" w14:textId="3D68DF1C" w:rsidR="002A76BD" w:rsidRPr="00CD46BC" w:rsidRDefault="00A52F9C" w:rsidP="00CD46BC">
      <w:pPr>
        <w:spacing w:line="360" w:lineRule="auto"/>
        <w:jc w:val="both"/>
        <w:rPr>
          <w:rFonts w:ascii="Arial" w:hAnsi="Arial" w:cs="Arial"/>
        </w:rPr>
      </w:pPr>
      <w:r w:rsidRPr="00A52F9C">
        <w:rPr>
          <w:rFonts w:ascii="Arial" w:hAnsi="Arial" w:cs="Arial"/>
        </w:rPr>
        <w:t xml:space="preserve">Public Health England. (2021). Enhanced Sentinel Surveillance System (ESSS). Retrieved March 9, 2023, from </w:t>
      </w:r>
      <w:hyperlink r:id="rId12" w:tgtFrame="_new" w:history="1">
        <w:r w:rsidRPr="00A52F9C">
          <w:rPr>
            <w:rStyle w:val="Hyperlink"/>
            <w:rFonts w:ascii="Arial" w:hAnsi="Arial" w:cs="Arial"/>
          </w:rPr>
          <w:t>https://www.gov.uk/guidance/enhanced-sentinel-surveillance-system-esss</w:t>
        </w:r>
      </w:hyperlink>
    </w:p>
    <w:p w14:paraId="195754F1" w14:textId="3FCB1960" w:rsidR="00A52F9C" w:rsidRDefault="00A52F9C" w:rsidP="00A52F9C"/>
    <w:p w14:paraId="6D9960FF" w14:textId="77777777" w:rsidR="00AC546B" w:rsidRDefault="00AC546B" w:rsidP="00A52F9C"/>
    <w:p w14:paraId="455F7C06" w14:textId="77777777" w:rsidR="00A52F9C" w:rsidRPr="00ED1427" w:rsidRDefault="00A52F9C" w:rsidP="00A52F9C"/>
    <w:p w14:paraId="206ABE6B" w14:textId="77777777" w:rsidR="00ED1427" w:rsidRDefault="00ED1427"/>
    <w:sectPr w:rsidR="00ED142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9520F"/>
    <w:multiLevelType w:val="multilevel"/>
    <w:tmpl w:val="C5421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F7345E"/>
    <w:multiLevelType w:val="multilevel"/>
    <w:tmpl w:val="676AA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01900170">
    <w:abstractNumId w:val="1"/>
  </w:num>
  <w:num w:numId="2" w16cid:durableId="1197352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427"/>
    <w:rsid w:val="00070B2D"/>
    <w:rsid w:val="001D0AEB"/>
    <w:rsid w:val="002A76BD"/>
    <w:rsid w:val="003D0D81"/>
    <w:rsid w:val="00416124"/>
    <w:rsid w:val="0060376F"/>
    <w:rsid w:val="00663F98"/>
    <w:rsid w:val="006910F6"/>
    <w:rsid w:val="006F1FE4"/>
    <w:rsid w:val="006F4D56"/>
    <w:rsid w:val="00864369"/>
    <w:rsid w:val="009C4B58"/>
    <w:rsid w:val="009F7FB4"/>
    <w:rsid w:val="00A52F9C"/>
    <w:rsid w:val="00AC546B"/>
    <w:rsid w:val="00C07CBD"/>
    <w:rsid w:val="00CD46BC"/>
    <w:rsid w:val="00CE73AF"/>
    <w:rsid w:val="00CF0A0F"/>
    <w:rsid w:val="00E2583F"/>
    <w:rsid w:val="00E760AC"/>
    <w:rsid w:val="00EA70EB"/>
    <w:rsid w:val="00ED1427"/>
    <w:rsid w:val="00ED27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FBCA1"/>
  <w15:chartTrackingRefBased/>
  <w15:docId w15:val="{41152A35-FF98-4ABA-88C2-DDE86C0BF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83F"/>
    <w:rPr>
      <w:rFonts w:ascii="Times New Roman" w:hAnsi="Times New Roman"/>
      <w:sz w:val="24"/>
    </w:rPr>
  </w:style>
  <w:style w:type="paragraph" w:styleId="Heading1">
    <w:name w:val="heading 1"/>
    <w:basedOn w:val="Normal"/>
    <w:next w:val="Normal"/>
    <w:link w:val="Heading1Char"/>
    <w:uiPriority w:val="9"/>
    <w:qFormat/>
    <w:rsid w:val="00ED14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42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D1427"/>
    <w:rPr>
      <w:color w:val="0563C1" w:themeColor="hyperlink"/>
      <w:u w:val="single"/>
    </w:rPr>
  </w:style>
  <w:style w:type="character" w:styleId="UnresolvedMention">
    <w:name w:val="Unresolved Mention"/>
    <w:basedOn w:val="DefaultParagraphFont"/>
    <w:uiPriority w:val="99"/>
    <w:semiHidden/>
    <w:unhideWhenUsed/>
    <w:rsid w:val="00ED1427"/>
    <w:rPr>
      <w:color w:val="605E5C"/>
      <w:shd w:val="clear" w:color="auto" w:fill="E1DFDD"/>
    </w:rPr>
  </w:style>
  <w:style w:type="paragraph" w:styleId="TOCHeading">
    <w:name w:val="TOC Heading"/>
    <w:basedOn w:val="Heading1"/>
    <w:next w:val="Normal"/>
    <w:uiPriority w:val="39"/>
    <w:unhideWhenUsed/>
    <w:qFormat/>
    <w:rsid w:val="00CF0A0F"/>
    <w:pPr>
      <w:outlineLvl w:val="9"/>
    </w:pPr>
  </w:style>
  <w:style w:type="paragraph" w:styleId="TOC1">
    <w:name w:val="toc 1"/>
    <w:basedOn w:val="Normal"/>
    <w:next w:val="Normal"/>
    <w:autoRedefine/>
    <w:uiPriority w:val="39"/>
    <w:unhideWhenUsed/>
    <w:rsid w:val="00CF0A0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67716">
      <w:bodyDiv w:val="1"/>
      <w:marLeft w:val="0"/>
      <w:marRight w:val="0"/>
      <w:marTop w:val="0"/>
      <w:marBottom w:val="0"/>
      <w:divBdr>
        <w:top w:val="none" w:sz="0" w:space="0" w:color="auto"/>
        <w:left w:val="none" w:sz="0" w:space="0" w:color="auto"/>
        <w:bottom w:val="none" w:sz="0" w:space="0" w:color="auto"/>
        <w:right w:val="none" w:sz="0" w:space="0" w:color="auto"/>
      </w:divBdr>
    </w:div>
    <w:div w:id="389961697">
      <w:bodyDiv w:val="1"/>
      <w:marLeft w:val="0"/>
      <w:marRight w:val="0"/>
      <w:marTop w:val="0"/>
      <w:marBottom w:val="0"/>
      <w:divBdr>
        <w:top w:val="none" w:sz="0" w:space="0" w:color="auto"/>
        <w:left w:val="none" w:sz="0" w:space="0" w:color="auto"/>
        <w:bottom w:val="none" w:sz="0" w:space="0" w:color="auto"/>
        <w:right w:val="none" w:sz="0" w:space="0" w:color="auto"/>
      </w:divBdr>
    </w:div>
    <w:div w:id="469371679">
      <w:bodyDiv w:val="1"/>
      <w:marLeft w:val="0"/>
      <w:marRight w:val="0"/>
      <w:marTop w:val="0"/>
      <w:marBottom w:val="0"/>
      <w:divBdr>
        <w:top w:val="none" w:sz="0" w:space="0" w:color="auto"/>
        <w:left w:val="none" w:sz="0" w:space="0" w:color="auto"/>
        <w:bottom w:val="none" w:sz="0" w:space="0" w:color="auto"/>
        <w:right w:val="none" w:sz="0" w:space="0" w:color="auto"/>
      </w:divBdr>
    </w:div>
    <w:div w:id="589197018">
      <w:bodyDiv w:val="1"/>
      <w:marLeft w:val="0"/>
      <w:marRight w:val="0"/>
      <w:marTop w:val="0"/>
      <w:marBottom w:val="0"/>
      <w:divBdr>
        <w:top w:val="none" w:sz="0" w:space="0" w:color="auto"/>
        <w:left w:val="none" w:sz="0" w:space="0" w:color="auto"/>
        <w:bottom w:val="none" w:sz="0" w:space="0" w:color="auto"/>
        <w:right w:val="none" w:sz="0" w:space="0" w:color="auto"/>
      </w:divBdr>
      <w:divsChild>
        <w:div w:id="699402155">
          <w:marLeft w:val="0"/>
          <w:marRight w:val="0"/>
          <w:marTop w:val="0"/>
          <w:marBottom w:val="0"/>
          <w:divBdr>
            <w:top w:val="single" w:sz="2" w:space="0" w:color="auto"/>
            <w:left w:val="single" w:sz="2" w:space="0" w:color="auto"/>
            <w:bottom w:val="single" w:sz="6" w:space="0" w:color="auto"/>
            <w:right w:val="single" w:sz="2" w:space="0" w:color="auto"/>
          </w:divBdr>
          <w:divsChild>
            <w:div w:id="303316961">
              <w:marLeft w:val="0"/>
              <w:marRight w:val="0"/>
              <w:marTop w:val="100"/>
              <w:marBottom w:val="100"/>
              <w:divBdr>
                <w:top w:val="single" w:sz="2" w:space="0" w:color="D9D9E3"/>
                <w:left w:val="single" w:sz="2" w:space="0" w:color="D9D9E3"/>
                <w:bottom w:val="single" w:sz="2" w:space="0" w:color="D9D9E3"/>
                <w:right w:val="single" w:sz="2" w:space="0" w:color="D9D9E3"/>
              </w:divBdr>
              <w:divsChild>
                <w:div w:id="1274052400">
                  <w:marLeft w:val="0"/>
                  <w:marRight w:val="0"/>
                  <w:marTop w:val="0"/>
                  <w:marBottom w:val="0"/>
                  <w:divBdr>
                    <w:top w:val="single" w:sz="2" w:space="0" w:color="D9D9E3"/>
                    <w:left w:val="single" w:sz="2" w:space="0" w:color="D9D9E3"/>
                    <w:bottom w:val="single" w:sz="2" w:space="0" w:color="D9D9E3"/>
                    <w:right w:val="single" w:sz="2" w:space="0" w:color="D9D9E3"/>
                  </w:divBdr>
                  <w:divsChild>
                    <w:div w:id="784269541">
                      <w:marLeft w:val="0"/>
                      <w:marRight w:val="0"/>
                      <w:marTop w:val="0"/>
                      <w:marBottom w:val="0"/>
                      <w:divBdr>
                        <w:top w:val="single" w:sz="2" w:space="0" w:color="D9D9E3"/>
                        <w:left w:val="single" w:sz="2" w:space="0" w:color="D9D9E3"/>
                        <w:bottom w:val="single" w:sz="2" w:space="0" w:color="D9D9E3"/>
                        <w:right w:val="single" w:sz="2" w:space="0" w:color="D9D9E3"/>
                      </w:divBdr>
                      <w:divsChild>
                        <w:div w:id="780955216">
                          <w:marLeft w:val="0"/>
                          <w:marRight w:val="0"/>
                          <w:marTop w:val="0"/>
                          <w:marBottom w:val="0"/>
                          <w:divBdr>
                            <w:top w:val="single" w:sz="2" w:space="0" w:color="D9D9E3"/>
                            <w:left w:val="single" w:sz="2" w:space="0" w:color="D9D9E3"/>
                            <w:bottom w:val="single" w:sz="2" w:space="0" w:color="D9D9E3"/>
                            <w:right w:val="single" w:sz="2" w:space="0" w:color="D9D9E3"/>
                          </w:divBdr>
                          <w:divsChild>
                            <w:div w:id="21463843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26633967">
      <w:bodyDiv w:val="1"/>
      <w:marLeft w:val="0"/>
      <w:marRight w:val="0"/>
      <w:marTop w:val="0"/>
      <w:marBottom w:val="0"/>
      <w:divBdr>
        <w:top w:val="none" w:sz="0" w:space="0" w:color="auto"/>
        <w:left w:val="none" w:sz="0" w:space="0" w:color="auto"/>
        <w:bottom w:val="none" w:sz="0" w:space="0" w:color="auto"/>
        <w:right w:val="none" w:sz="0" w:space="0" w:color="auto"/>
      </w:divBdr>
      <w:divsChild>
        <w:div w:id="1321739638">
          <w:marLeft w:val="0"/>
          <w:marRight w:val="0"/>
          <w:marTop w:val="0"/>
          <w:marBottom w:val="0"/>
          <w:divBdr>
            <w:top w:val="single" w:sz="2" w:space="0" w:color="auto"/>
            <w:left w:val="single" w:sz="2" w:space="0" w:color="auto"/>
            <w:bottom w:val="single" w:sz="6" w:space="0" w:color="auto"/>
            <w:right w:val="single" w:sz="2" w:space="0" w:color="auto"/>
          </w:divBdr>
          <w:divsChild>
            <w:div w:id="712391820">
              <w:marLeft w:val="0"/>
              <w:marRight w:val="0"/>
              <w:marTop w:val="100"/>
              <w:marBottom w:val="100"/>
              <w:divBdr>
                <w:top w:val="single" w:sz="2" w:space="0" w:color="D9D9E3"/>
                <w:left w:val="single" w:sz="2" w:space="0" w:color="D9D9E3"/>
                <w:bottom w:val="single" w:sz="2" w:space="0" w:color="D9D9E3"/>
                <w:right w:val="single" w:sz="2" w:space="0" w:color="D9D9E3"/>
              </w:divBdr>
              <w:divsChild>
                <w:div w:id="362561088">
                  <w:marLeft w:val="0"/>
                  <w:marRight w:val="0"/>
                  <w:marTop w:val="0"/>
                  <w:marBottom w:val="0"/>
                  <w:divBdr>
                    <w:top w:val="single" w:sz="2" w:space="0" w:color="D9D9E3"/>
                    <w:left w:val="single" w:sz="2" w:space="0" w:color="D9D9E3"/>
                    <w:bottom w:val="single" w:sz="2" w:space="0" w:color="D9D9E3"/>
                    <w:right w:val="single" w:sz="2" w:space="0" w:color="D9D9E3"/>
                  </w:divBdr>
                  <w:divsChild>
                    <w:div w:id="103156537">
                      <w:marLeft w:val="0"/>
                      <w:marRight w:val="0"/>
                      <w:marTop w:val="0"/>
                      <w:marBottom w:val="0"/>
                      <w:divBdr>
                        <w:top w:val="single" w:sz="2" w:space="0" w:color="D9D9E3"/>
                        <w:left w:val="single" w:sz="2" w:space="0" w:color="D9D9E3"/>
                        <w:bottom w:val="single" w:sz="2" w:space="0" w:color="D9D9E3"/>
                        <w:right w:val="single" w:sz="2" w:space="0" w:color="D9D9E3"/>
                      </w:divBdr>
                      <w:divsChild>
                        <w:div w:id="1921283310">
                          <w:marLeft w:val="0"/>
                          <w:marRight w:val="0"/>
                          <w:marTop w:val="0"/>
                          <w:marBottom w:val="0"/>
                          <w:divBdr>
                            <w:top w:val="single" w:sz="2" w:space="0" w:color="D9D9E3"/>
                            <w:left w:val="single" w:sz="2" w:space="0" w:color="D9D9E3"/>
                            <w:bottom w:val="single" w:sz="2" w:space="0" w:color="D9D9E3"/>
                            <w:right w:val="single" w:sz="2" w:space="0" w:color="D9D9E3"/>
                          </w:divBdr>
                          <w:divsChild>
                            <w:div w:id="3401631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26054707">
      <w:bodyDiv w:val="1"/>
      <w:marLeft w:val="0"/>
      <w:marRight w:val="0"/>
      <w:marTop w:val="0"/>
      <w:marBottom w:val="0"/>
      <w:divBdr>
        <w:top w:val="none" w:sz="0" w:space="0" w:color="auto"/>
        <w:left w:val="none" w:sz="0" w:space="0" w:color="auto"/>
        <w:bottom w:val="none" w:sz="0" w:space="0" w:color="auto"/>
        <w:right w:val="none" w:sz="0" w:space="0" w:color="auto"/>
      </w:divBdr>
    </w:div>
    <w:div w:id="1223902169">
      <w:bodyDiv w:val="1"/>
      <w:marLeft w:val="0"/>
      <w:marRight w:val="0"/>
      <w:marTop w:val="0"/>
      <w:marBottom w:val="0"/>
      <w:divBdr>
        <w:top w:val="none" w:sz="0" w:space="0" w:color="auto"/>
        <w:left w:val="none" w:sz="0" w:space="0" w:color="auto"/>
        <w:bottom w:val="none" w:sz="0" w:space="0" w:color="auto"/>
        <w:right w:val="none" w:sz="0" w:space="0" w:color="auto"/>
      </w:divBdr>
    </w:div>
    <w:div w:id="1828939527">
      <w:bodyDiv w:val="1"/>
      <w:marLeft w:val="0"/>
      <w:marRight w:val="0"/>
      <w:marTop w:val="0"/>
      <w:marBottom w:val="0"/>
      <w:divBdr>
        <w:top w:val="none" w:sz="0" w:space="0" w:color="auto"/>
        <w:left w:val="none" w:sz="0" w:space="0" w:color="auto"/>
        <w:bottom w:val="none" w:sz="0" w:space="0" w:color="auto"/>
        <w:right w:val="none" w:sz="0" w:space="0" w:color="auto"/>
      </w:divBdr>
    </w:div>
    <w:div w:id="2006082702">
      <w:bodyDiv w:val="1"/>
      <w:marLeft w:val="0"/>
      <w:marRight w:val="0"/>
      <w:marTop w:val="0"/>
      <w:marBottom w:val="0"/>
      <w:divBdr>
        <w:top w:val="none" w:sz="0" w:space="0" w:color="auto"/>
        <w:left w:val="none" w:sz="0" w:space="0" w:color="auto"/>
        <w:bottom w:val="none" w:sz="0" w:space="0" w:color="auto"/>
        <w:right w:val="none" w:sz="0" w:space="0" w:color="auto"/>
      </w:divBdr>
    </w:div>
    <w:div w:id="2094278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rd.com/research" TargetMode="Externa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gov.uk/guidance/enhanced-sentinel-surveillance-system-ess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shingles-herpes-zoster-vaccine-eligibility-and-implementation" TargetMode="External"/><Relationship Id="rId5" Type="http://schemas.openxmlformats.org/officeDocument/2006/relationships/settings" Target="settings.xml"/><Relationship Id="rId10" Type="http://schemas.openxmlformats.org/officeDocument/2006/relationships/hyperlink" Target="https://www.nhs.uk/conditions/vaccinations/shingles-vaccine/" TargetMode="External"/><Relationship Id="rId4" Type="http://schemas.openxmlformats.org/officeDocument/2006/relationships/styles" Target="styles.xml"/><Relationship Id="rId9" Type="http://schemas.openxmlformats.org/officeDocument/2006/relationships/hyperlink" Target="https://www.ncbi.nlm.nih.gov/pubmed/1852831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name: Dr Aishat Bakre                                    Student number:1920973                              Student name Shabeena Akhtar                                     Module title: Introduction to public health                                               Module code: LCSH4004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016F63-1DB6-4402-9B1D-E27DF3ED0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8</Pages>
  <Words>1271</Words>
  <Characters>7248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Rafia Saleem</dc:creator>
  <cp:keywords/>
  <dc:description/>
  <cp:lastModifiedBy>Rafia Saleem</cp:lastModifiedBy>
  <cp:revision>16</cp:revision>
  <dcterms:created xsi:type="dcterms:W3CDTF">2023-03-09T14:28:00Z</dcterms:created>
  <dcterms:modified xsi:type="dcterms:W3CDTF">2023-03-09T18:20:00Z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17ac56a3-74ff-489d-aad1-369f031014fd</vt:lpwstr>
  </property>
</Properties>
</file>