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EFBCA9" w14:textId="77777777" w:rsidR="007B5903" w:rsidRDefault="007B5903" w:rsidP="007B5903">
      <w:pPr>
        <w:spacing w:line="240" w:lineRule="auto"/>
        <w:rPr>
          <w:rFonts w:ascii="Calibri" w:eastAsia="Times New Roman" w:hAnsi="Calibri" w:cs="Calibri"/>
          <w:color w:val="000000"/>
          <w:lang w:eastAsia="en-GB"/>
        </w:rPr>
      </w:pPr>
    </w:p>
    <w:p w14:paraId="0D25885F" w14:textId="77777777" w:rsidR="007B5903" w:rsidRDefault="007B5903" w:rsidP="007B5903">
      <w:pPr>
        <w:spacing w:line="240" w:lineRule="auto"/>
        <w:rPr>
          <w:rFonts w:ascii="Calibri" w:eastAsia="Times New Roman" w:hAnsi="Calibri" w:cs="Calibri"/>
          <w:color w:val="000000"/>
          <w:lang w:eastAsia="en-GB"/>
        </w:rPr>
      </w:pPr>
    </w:p>
    <w:p w14:paraId="73ED6A58"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The aim of employment regulation is to regulate the relationship between an employer and an employee </w:t>
      </w:r>
      <w:r w:rsidRPr="0072433F">
        <w:rPr>
          <w:rFonts w:ascii="Calibri" w:eastAsia="Times New Roman" w:hAnsi="Calibri" w:cs="Calibri"/>
          <w:color w:val="000000"/>
          <w:highlight w:val="green"/>
          <w:lang w:eastAsia="en-GB"/>
        </w:rPr>
        <w:t>(Daniels, 2022).</w:t>
      </w:r>
      <w:r w:rsidRPr="0072433F">
        <w:rPr>
          <w:rFonts w:ascii="Calibri" w:eastAsia="Times New Roman" w:hAnsi="Calibri" w:cs="Calibri"/>
          <w:color w:val="000000"/>
          <w:lang w:eastAsia="en-GB"/>
        </w:rPr>
        <w:t xml:space="preserve"> It guarantees the rights of employees and helps to promote a healthy relationship between an employer and its workers, protecting both parties </w:t>
      </w:r>
      <w:r w:rsidRPr="0072433F">
        <w:rPr>
          <w:rFonts w:ascii="Calibri" w:eastAsia="Times New Roman" w:hAnsi="Calibri" w:cs="Calibri"/>
          <w:color w:val="000000"/>
          <w:highlight w:val="green"/>
          <w:lang w:eastAsia="en-GB"/>
        </w:rPr>
        <w:t>(Factorial HR, 2022).</w:t>
      </w:r>
      <w:r w:rsidRPr="0072433F">
        <w:rPr>
          <w:rFonts w:ascii="Calibri" w:eastAsia="Times New Roman" w:hAnsi="Calibri" w:cs="Calibri"/>
          <w:color w:val="000000"/>
          <w:lang w:eastAsia="en-GB"/>
        </w:rPr>
        <w:t xml:space="preserve"> Employers naturally wield a fair amount of power, as they play a large part in the financial security of their employees and so regulation of the employment relationship can help to protect an employee from abuse, unsatisfactory working conditions and unfair pay</w:t>
      </w:r>
      <w:r>
        <w:rPr>
          <w:rFonts w:ascii="Calibri" w:eastAsia="Times New Roman" w:hAnsi="Calibri" w:cs="Calibri"/>
          <w:color w:val="000000"/>
          <w:lang w:eastAsia="en-GB"/>
        </w:rPr>
        <w:t xml:space="preserve"> </w:t>
      </w:r>
      <w:r w:rsidRPr="006F303A">
        <w:rPr>
          <w:rFonts w:ascii="Calibri" w:eastAsia="Times New Roman" w:hAnsi="Calibri" w:cs="Calibri"/>
          <w:color w:val="000000"/>
          <w:highlight w:val="green"/>
          <w:lang w:eastAsia="en-GB"/>
        </w:rPr>
        <w:t>(CIPD, 2022).</w:t>
      </w:r>
      <w:r w:rsidRPr="0072433F">
        <w:rPr>
          <w:rFonts w:ascii="Calibri" w:eastAsia="Times New Roman" w:hAnsi="Calibri" w:cs="Calibri"/>
          <w:color w:val="000000"/>
          <w:lang w:eastAsia="en-GB"/>
        </w:rPr>
        <w:t xml:space="preserve"> In addition to this, many minority groups have historically lacked proper protection, however, employment regulation has helped to improve this socio-economic inequality by promoting fair practices and introducing equality law </w:t>
      </w:r>
      <w:r w:rsidRPr="00456331">
        <w:rPr>
          <w:rFonts w:ascii="Calibri" w:eastAsia="Times New Roman" w:hAnsi="Calibri" w:cs="Calibri"/>
          <w:color w:val="000000"/>
          <w:highlight w:val="green"/>
          <w:lang w:eastAsia="en-GB"/>
        </w:rPr>
        <w:t>(CIPD, 2022).</w:t>
      </w:r>
    </w:p>
    <w:p w14:paraId="761596E5"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Comprehensive and good quality employment law can also encourage more workers to reside and work within the UK and also helps to retain the workers we currently have. However, many argue that the UK’s high volume of employment law can actually prove a hindrance in regards to our competitive stance internationally</w:t>
      </w:r>
      <w:r>
        <w:rPr>
          <w:rFonts w:ascii="Calibri" w:eastAsia="Times New Roman" w:hAnsi="Calibri" w:cs="Calibri"/>
          <w:color w:val="000000"/>
          <w:lang w:eastAsia="en-GB"/>
        </w:rPr>
        <w:t xml:space="preserve"> </w:t>
      </w:r>
      <w:r w:rsidRPr="00367EFF">
        <w:rPr>
          <w:rFonts w:ascii="Calibri" w:eastAsia="Times New Roman" w:hAnsi="Calibri" w:cs="Calibri"/>
          <w:color w:val="000000"/>
          <w:highlight w:val="green"/>
          <w:lang w:eastAsia="en-GB"/>
        </w:rPr>
        <w:t>(CIPD, 2017).</w:t>
      </w:r>
      <w:r w:rsidRPr="0072433F">
        <w:rPr>
          <w:rFonts w:ascii="Calibri" w:eastAsia="Times New Roman" w:hAnsi="Calibri" w:cs="Calibri"/>
          <w:color w:val="000000"/>
          <w:lang w:eastAsia="en-GB"/>
        </w:rPr>
        <w:t xml:space="preserve"> Along with this, employment regulation can also prove to be a costly maintenance for a business which has a high amount of employees, or similarly, a complex and nuanced area of law which smaller, less experienced firms may struggle to keep up to date with</w:t>
      </w:r>
      <w:r>
        <w:rPr>
          <w:rFonts w:ascii="Calibri" w:eastAsia="Times New Roman" w:hAnsi="Calibri" w:cs="Calibri"/>
          <w:color w:val="000000"/>
          <w:lang w:eastAsia="en-GB"/>
        </w:rPr>
        <w:t xml:space="preserve"> </w:t>
      </w:r>
      <w:r w:rsidRPr="00367EFF">
        <w:rPr>
          <w:rFonts w:ascii="Calibri" w:eastAsia="Times New Roman" w:hAnsi="Calibri" w:cs="Calibri"/>
          <w:color w:val="000000"/>
          <w:highlight w:val="green"/>
          <w:lang w:eastAsia="en-GB"/>
        </w:rPr>
        <w:t>(CIPD, 2017).</w:t>
      </w:r>
      <w:r w:rsidRPr="0072433F">
        <w:rPr>
          <w:rFonts w:ascii="Calibri" w:eastAsia="Times New Roman" w:hAnsi="Calibri" w:cs="Calibri"/>
          <w:color w:val="000000"/>
          <w:lang w:eastAsia="en-GB"/>
        </w:rPr>
        <w:t xml:space="preserve"> This is regulation is enforced through 3 different types of law: Common Law, Statuary Law and European Law </w:t>
      </w:r>
      <w:r w:rsidRPr="0072433F">
        <w:rPr>
          <w:rFonts w:ascii="Calibri" w:eastAsia="Times New Roman" w:hAnsi="Calibri" w:cs="Calibri"/>
          <w:color w:val="000000"/>
          <w:highlight w:val="green"/>
          <w:lang w:eastAsia="en-GB"/>
        </w:rPr>
        <w:t>(Daniels, 2022). </w:t>
      </w:r>
    </w:p>
    <w:p w14:paraId="354AC2CF" w14:textId="77777777" w:rsidR="007B5903" w:rsidRDefault="007B5903" w:rsidP="007B5903">
      <w:pPr>
        <w:spacing w:line="240" w:lineRule="auto"/>
        <w:rPr>
          <w:rFonts w:ascii="Calibri" w:eastAsia="Times New Roman" w:hAnsi="Calibri" w:cs="Calibri"/>
          <w:color w:val="000000"/>
          <w:highlight w:val="green"/>
          <w:lang w:eastAsia="en-GB"/>
        </w:rPr>
      </w:pPr>
      <w:r w:rsidRPr="00C6790A">
        <w:rPr>
          <w:rFonts w:ascii="Calibri" w:eastAsia="Times New Roman" w:hAnsi="Calibri" w:cs="Calibri"/>
          <w:color w:val="000000"/>
          <w:highlight w:val="yellow"/>
          <w:lang w:eastAsia="en-GB"/>
        </w:rPr>
        <w:t>Essential to the protection of Employment Regulation are the tribunal and courts system which enforces it.</w:t>
      </w:r>
      <w:r w:rsidRPr="0072433F">
        <w:rPr>
          <w:rFonts w:ascii="Calibri" w:eastAsia="Times New Roman" w:hAnsi="Calibri" w:cs="Calibri"/>
          <w:color w:val="000000"/>
          <w:lang w:eastAsia="en-GB"/>
        </w:rPr>
        <w:t xml:space="preserve"> This system provides employees a process by which they can fairly raise grievances and seek compensation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 xml:space="preserve">Although there are cases in which criminal courts get involved, the majority of cases will be heard in civil courts </w:t>
      </w:r>
      <w:r w:rsidRPr="0072433F">
        <w:rPr>
          <w:rFonts w:ascii="Calibri" w:eastAsia="Times New Roman" w:hAnsi="Calibri" w:cs="Calibri"/>
          <w:color w:val="000000"/>
          <w:highlight w:val="green"/>
          <w:lang w:eastAsia="en-GB"/>
        </w:rPr>
        <w:t xml:space="preserve">(CIPD, 2021). </w:t>
      </w:r>
      <w:r w:rsidRPr="0072433F">
        <w:rPr>
          <w:rFonts w:ascii="Calibri" w:eastAsia="Times New Roman" w:hAnsi="Calibri" w:cs="Calibri"/>
          <w:color w:val="000000"/>
          <w:lang w:eastAsia="en-GB"/>
        </w:rPr>
        <w:t xml:space="preserve">Cases can be taken to County Courts and High Courts when a party has been accused of committing a criminal offence such as a breach of contract or negligence and the claimant is seeking damages above £15,000, or £50,000 in personal injury cases. </w:t>
      </w:r>
      <w:r w:rsidRPr="0072433F">
        <w:rPr>
          <w:rFonts w:ascii="Calibri" w:eastAsia="Times New Roman" w:hAnsi="Calibri" w:cs="Calibri"/>
          <w:color w:val="000000"/>
          <w:highlight w:val="green"/>
          <w:lang w:eastAsia="en-GB"/>
        </w:rPr>
        <w:t xml:space="preserve">(CIPD, 2021). </w:t>
      </w:r>
    </w:p>
    <w:p w14:paraId="10203D2B" w14:textId="77777777" w:rsidR="007B5903" w:rsidRDefault="007B5903" w:rsidP="007B5903">
      <w:p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However, the majority of cases will be heard at an Employment Tribunal, after early conciliation has failed. This is when the Claimant submits an ET1 form within 3 months of the incident occurring, the employer will then respond via an ET3 form within 28 days </w:t>
      </w:r>
      <w:r w:rsidRPr="00C9603B">
        <w:rPr>
          <w:rFonts w:ascii="Calibri" w:eastAsia="Times New Roman" w:hAnsi="Calibri" w:cs="Calibri"/>
          <w:color w:val="000000"/>
          <w:highlight w:val="green"/>
          <w:lang w:eastAsia="en-GB"/>
        </w:rPr>
        <w:t xml:space="preserve">(Daniels, 2022). </w:t>
      </w:r>
      <w:r>
        <w:rPr>
          <w:rFonts w:ascii="Calibri" w:eastAsia="Times New Roman" w:hAnsi="Calibri" w:cs="Calibri"/>
          <w:color w:val="000000"/>
          <w:lang w:eastAsia="en-GB"/>
        </w:rPr>
        <w:t xml:space="preserve">Not responding will strip the employer of its right to take part in the case </w:t>
      </w:r>
      <w:r w:rsidRPr="00C9603B">
        <w:rPr>
          <w:rFonts w:ascii="Calibri" w:eastAsia="Times New Roman" w:hAnsi="Calibri" w:cs="Calibri"/>
          <w:color w:val="000000"/>
          <w:highlight w:val="green"/>
          <w:lang w:eastAsia="en-GB"/>
        </w:rPr>
        <w:t xml:space="preserve">(Daniels, 2022). </w:t>
      </w:r>
      <w:r>
        <w:rPr>
          <w:rFonts w:ascii="Calibri" w:eastAsia="Times New Roman" w:hAnsi="Calibri" w:cs="Calibri"/>
          <w:color w:val="000000"/>
          <w:lang w:eastAsia="en-GB"/>
        </w:rPr>
        <w:t xml:space="preserve">In some cases the next step is a preliminary hearing which considers factors which may be preventing a full hearing from taking place </w:t>
      </w:r>
      <w:r w:rsidRPr="00C9603B">
        <w:rPr>
          <w:rFonts w:ascii="Calibri" w:eastAsia="Times New Roman" w:hAnsi="Calibri" w:cs="Calibri"/>
          <w:color w:val="000000"/>
          <w:highlight w:val="green"/>
          <w:lang w:eastAsia="en-GB"/>
        </w:rPr>
        <w:t xml:space="preserve">(Daniels, 2022). </w:t>
      </w:r>
      <w:r>
        <w:rPr>
          <w:rFonts w:ascii="Calibri" w:eastAsia="Times New Roman" w:hAnsi="Calibri" w:cs="Calibri"/>
          <w:color w:val="000000"/>
          <w:lang w:eastAsia="en-GB"/>
        </w:rPr>
        <w:t xml:space="preserve">At the full hearing, evidence is presented via a ‘bundle’ and witnesses are heard. A majority verdict will then be heard and the judgement provided in writing </w:t>
      </w:r>
      <w:r w:rsidRPr="00C9603B">
        <w:rPr>
          <w:rFonts w:ascii="Calibri" w:eastAsia="Times New Roman" w:hAnsi="Calibri" w:cs="Calibri"/>
          <w:color w:val="000000"/>
          <w:highlight w:val="green"/>
          <w:lang w:eastAsia="en-GB"/>
        </w:rPr>
        <w:t xml:space="preserve">(Daniels, 2022). </w:t>
      </w:r>
      <w:r>
        <w:rPr>
          <w:rFonts w:ascii="Calibri" w:eastAsia="Times New Roman" w:hAnsi="Calibri" w:cs="Calibri"/>
          <w:color w:val="000000"/>
          <w:lang w:eastAsia="en-GB"/>
        </w:rPr>
        <w:t>This will often include a remedy such as:</w:t>
      </w:r>
    </w:p>
    <w:p w14:paraId="3FD7566A" w14:textId="77777777" w:rsidR="007B5903" w:rsidRDefault="007B5903" w:rsidP="007B5903">
      <w:pPr>
        <w:pStyle w:val="ListParagraph"/>
        <w:numPr>
          <w:ilvl w:val="0"/>
          <w:numId w:val="2"/>
        </w:num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Reinstatement</w:t>
      </w:r>
    </w:p>
    <w:p w14:paraId="431AF866" w14:textId="77777777" w:rsidR="007B5903" w:rsidRDefault="007B5903" w:rsidP="007B5903">
      <w:pPr>
        <w:pStyle w:val="ListParagraph"/>
        <w:numPr>
          <w:ilvl w:val="0"/>
          <w:numId w:val="2"/>
        </w:num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Re-engagement</w:t>
      </w:r>
    </w:p>
    <w:p w14:paraId="7CB83D5D" w14:textId="77777777" w:rsidR="007B5903" w:rsidRDefault="007B5903" w:rsidP="007B5903">
      <w:pPr>
        <w:pStyle w:val="ListParagraph"/>
        <w:numPr>
          <w:ilvl w:val="0"/>
          <w:numId w:val="2"/>
        </w:num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Compensation </w:t>
      </w:r>
    </w:p>
    <w:p w14:paraId="43171098" w14:textId="77777777" w:rsidR="007B5903" w:rsidRPr="00C9603B" w:rsidRDefault="007B5903" w:rsidP="007B5903">
      <w:pPr>
        <w:spacing w:line="240" w:lineRule="auto"/>
        <w:rPr>
          <w:rFonts w:ascii="Calibri" w:eastAsia="Times New Roman" w:hAnsi="Calibri" w:cs="Calibri"/>
          <w:color w:val="000000"/>
          <w:highlight w:val="green"/>
          <w:lang w:eastAsia="en-GB"/>
        </w:rPr>
      </w:pPr>
      <w:r w:rsidRPr="00C9603B">
        <w:rPr>
          <w:rFonts w:ascii="Calibri" w:eastAsia="Times New Roman" w:hAnsi="Calibri" w:cs="Calibri"/>
          <w:color w:val="000000"/>
          <w:highlight w:val="green"/>
          <w:lang w:eastAsia="en-GB"/>
        </w:rPr>
        <w:t>(Daniels, 2022)</w:t>
      </w:r>
    </w:p>
    <w:p w14:paraId="66E48224"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Tribunals are where the majority of employment related cases are heard, however if either party is not satisfied with the outcome of the hearing they can bring their case to the Employment Appeal Tribunal within 42 days, but only when there has been an apparent error of law or perverse judgement </w:t>
      </w:r>
      <w:r w:rsidRPr="0072433F">
        <w:rPr>
          <w:rFonts w:ascii="Calibri" w:eastAsia="Times New Roman" w:hAnsi="Calibri" w:cs="Calibri"/>
          <w:color w:val="000000"/>
          <w:highlight w:val="green"/>
          <w:lang w:eastAsia="en-GB"/>
        </w:rPr>
        <w:t xml:space="preserve">(CIPD, 2021). </w:t>
      </w:r>
      <w:r w:rsidRPr="0072433F">
        <w:rPr>
          <w:rFonts w:ascii="Calibri" w:eastAsia="Times New Roman" w:hAnsi="Calibri" w:cs="Calibri"/>
          <w:color w:val="000000"/>
          <w:lang w:eastAsia="en-GB"/>
        </w:rPr>
        <w:t xml:space="preserve">Alternatively, they can request a review from the original tribunal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 xml:space="preserve">Once a decision has been made by this court, either party can then appeal that decision to the Court of Appeal, which is fairly rare due to the high costs involved </w:t>
      </w:r>
      <w:r w:rsidRPr="0072433F">
        <w:rPr>
          <w:rFonts w:ascii="Calibri" w:eastAsia="Times New Roman" w:hAnsi="Calibri" w:cs="Calibri"/>
          <w:color w:val="000000"/>
          <w:highlight w:val="green"/>
          <w:lang w:eastAsia="en-GB"/>
        </w:rPr>
        <w:t xml:space="preserve">(CIPD, 2021). </w:t>
      </w:r>
      <w:r w:rsidRPr="0072433F">
        <w:rPr>
          <w:rFonts w:ascii="Calibri" w:eastAsia="Times New Roman" w:hAnsi="Calibri" w:cs="Calibri"/>
          <w:color w:val="000000"/>
          <w:lang w:eastAsia="en-GB"/>
        </w:rPr>
        <w:t>This can lead to cases being overturned and the original decision by the employment tribunal being reinstated. </w:t>
      </w:r>
    </w:p>
    <w:p w14:paraId="676180A2"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lastRenderedPageBreak/>
        <w:t xml:space="preserve">In exceptional circumstances, the claimant or defendant can take their case to the Supreme Court, however this only happens when the case is of significant national importance </w:t>
      </w:r>
      <w:r w:rsidRPr="0072433F">
        <w:rPr>
          <w:rFonts w:ascii="Calibri" w:eastAsia="Times New Roman" w:hAnsi="Calibri" w:cs="Calibri"/>
          <w:color w:val="000000"/>
          <w:highlight w:val="green"/>
          <w:lang w:eastAsia="en-GB"/>
        </w:rPr>
        <w:t xml:space="preserve">(CIPD, 2021). </w:t>
      </w:r>
      <w:r w:rsidRPr="0072433F">
        <w:rPr>
          <w:rFonts w:ascii="Calibri" w:eastAsia="Times New Roman" w:hAnsi="Calibri" w:cs="Calibri"/>
          <w:color w:val="000000"/>
          <w:lang w:eastAsia="en-GB"/>
        </w:rPr>
        <w:t xml:space="preserve">For example, if a ruling would have wide ranging implications for organisations across the UK. The European Court of Justice no longer has jurisdiction over the UK, however, past rulings still remain good law for most UK courts and can only be overturned by the Supreme Court </w:t>
      </w:r>
      <w:r w:rsidRPr="0072433F">
        <w:rPr>
          <w:rFonts w:ascii="Calibri" w:eastAsia="Times New Roman" w:hAnsi="Calibri" w:cs="Calibri"/>
          <w:color w:val="000000"/>
          <w:highlight w:val="green"/>
          <w:lang w:eastAsia="en-GB"/>
        </w:rPr>
        <w:t>(CIPD, 2021).</w:t>
      </w:r>
    </w:p>
    <w:p w14:paraId="2290B3B9"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Although many cases are settled via the above systems, many are settled both before and during proceedings through a variety of methods. This includes mediation which is offered to every single claimant and defendant at the start of the tribunal process and is called early conciliation, where ACAS will facilitate talks between yourself and your employer to try and come to an agreement without going to tribunal </w:t>
      </w:r>
      <w:r w:rsidRPr="0072433F">
        <w:rPr>
          <w:rFonts w:ascii="Calibri" w:eastAsia="Times New Roman" w:hAnsi="Calibri" w:cs="Calibri"/>
          <w:color w:val="000000"/>
          <w:highlight w:val="green"/>
          <w:lang w:eastAsia="en-GB"/>
        </w:rPr>
        <w:t xml:space="preserve">(ACAS, 2022). </w:t>
      </w:r>
      <w:r w:rsidRPr="0072433F">
        <w:rPr>
          <w:rFonts w:ascii="Calibri" w:eastAsia="Times New Roman" w:hAnsi="Calibri" w:cs="Calibri"/>
          <w:color w:val="000000"/>
          <w:lang w:eastAsia="en-GB"/>
        </w:rPr>
        <w:t>This isn’t compulsory but either party needs to refuse the service or participate in it in order for the case to move forwards. The service is free and can lead to reduced costs for both the claimant and respondent</w:t>
      </w:r>
      <w:r w:rsidRPr="0072433F">
        <w:rPr>
          <w:rFonts w:ascii="Calibri" w:eastAsia="Times New Roman" w:hAnsi="Calibri" w:cs="Calibri"/>
          <w:color w:val="000000"/>
          <w:highlight w:val="green"/>
          <w:lang w:eastAsia="en-GB"/>
        </w:rPr>
        <w:t xml:space="preserve"> (ACAS, 2022). </w:t>
      </w:r>
      <w:r w:rsidRPr="0072433F">
        <w:rPr>
          <w:rFonts w:ascii="Calibri" w:eastAsia="Times New Roman" w:hAnsi="Calibri" w:cs="Calibri"/>
          <w:color w:val="000000"/>
          <w:lang w:eastAsia="en-GB"/>
        </w:rPr>
        <w:t xml:space="preserve">It can also result in outcomes that are not possible in an employment tribunal, such as a reference for employment and can include a financial settlement too </w:t>
      </w:r>
      <w:r w:rsidRPr="0072433F">
        <w:rPr>
          <w:rFonts w:ascii="Calibri" w:eastAsia="Times New Roman" w:hAnsi="Calibri" w:cs="Calibri"/>
          <w:color w:val="000000"/>
          <w:highlight w:val="green"/>
          <w:lang w:eastAsia="en-GB"/>
        </w:rPr>
        <w:t xml:space="preserve">(ACAS, 2022). </w:t>
      </w:r>
      <w:r w:rsidRPr="0072433F">
        <w:rPr>
          <w:rFonts w:ascii="Calibri" w:eastAsia="Times New Roman" w:hAnsi="Calibri" w:cs="Calibri"/>
          <w:color w:val="000000"/>
          <w:lang w:eastAsia="en-GB"/>
        </w:rPr>
        <w:t xml:space="preserve">Once early conciliation begins, the parties have 6 weeks to reach an agreement and so the 3 months less a day rule for bringing a tribunal claim is extended whilst this conciliation process takes place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If a settlement is reached, it is finalised in written form through what is known as the COT3 form.  </w:t>
      </w:r>
    </w:p>
    <w:p w14:paraId="244B9720" w14:textId="77777777" w:rsidR="007B5903"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If Early Conciliation fails, or is not sought in the first place, then each party has the option to settle outside of the employment tribunal once it starts. This voluntary process can result in a legally binding contract which amicably ends the contract of employment on agreed terms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The discussions that take place as part of this process are done, in most circumstances, ‘without prejudice’ - meaning they’re off the record and so can’t be used in court as part of a claim</w:t>
      </w:r>
      <w:r>
        <w:rPr>
          <w:rFonts w:ascii="Calibri" w:eastAsia="Times New Roman" w:hAnsi="Calibri" w:cs="Calibri"/>
          <w:color w:val="000000"/>
          <w:lang w:eastAsia="en-GB"/>
        </w:rPr>
        <w:t xml:space="preserve"> </w:t>
      </w:r>
      <w:r w:rsidRPr="00EB291C">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As this agreement is a legally binding contract, legal counsel needs to be sought by the parties signing it</w:t>
      </w:r>
      <w:r>
        <w:rPr>
          <w:rFonts w:ascii="Calibri" w:eastAsia="Times New Roman" w:hAnsi="Calibri" w:cs="Calibri"/>
          <w:color w:val="000000"/>
          <w:lang w:eastAsia="en-GB"/>
        </w:rPr>
        <w:t xml:space="preserve"> </w:t>
      </w:r>
      <w:r w:rsidRPr="00EB291C">
        <w:rPr>
          <w:rFonts w:ascii="Calibri" w:eastAsia="Times New Roman" w:hAnsi="Calibri" w:cs="Calibri"/>
          <w:color w:val="000000"/>
          <w:highlight w:val="green"/>
          <w:lang w:eastAsia="en-GB"/>
        </w:rPr>
        <w:t xml:space="preserve">(ACAS, 2022). </w:t>
      </w:r>
      <w:r w:rsidRPr="0072433F">
        <w:rPr>
          <w:rFonts w:ascii="Calibri" w:eastAsia="Times New Roman" w:hAnsi="Calibri" w:cs="Calibri"/>
          <w:color w:val="000000"/>
          <w:lang w:eastAsia="en-GB"/>
        </w:rPr>
        <w:t>This means that the organisation, who is facilitating the agreement, will often pay for the claimant’s legal fees so that the process can be finalised. </w:t>
      </w:r>
      <w:r>
        <w:rPr>
          <w:rFonts w:ascii="Calibri" w:eastAsia="Times New Roman" w:hAnsi="Calibri" w:cs="Calibri"/>
          <w:color w:val="000000"/>
          <w:lang w:eastAsia="en-GB"/>
        </w:rPr>
        <w:t xml:space="preserve">In some cases, where a judge deems it appropriate, judicial mediation will be offered before a case reaches the hearing </w:t>
      </w:r>
      <w:r w:rsidRPr="00EB291C">
        <w:rPr>
          <w:rFonts w:ascii="Calibri" w:eastAsia="Times New Roman" w:hAnsi="Calibri" w:cs="Calibri"/>
          <w:color w:val="000000"/>
          <w:highlight w:val="green"/>
          <w:lang w:eastAsia="en-GB"/>
        </w:rPr>
        <w:t>(Daniels, 2022).</w:t>
      </w:r>
      <w:r>
        <w:rPr>
          <w:rFonts w:ascii="Calibri" w:eastAsia="Times New Roman" w:hAnsi="Calibri" w:cs="Calibri"/>
          <w:color w:val="000000"/>
          <w:lang w:eastAsia="en-GB"/>
        </w:rPr>
        <w:t xml:space="preserve"> In this circumstance an Employment Judge will oversee mediation between the two parties, not offering any opinions but instead encouraging the two to reach a settlement. If successful, the claim does not proceed to a hearing. </w:t>
      </w:r>
    </w:p>
    <w:p w14:paraId="02F17514"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Charlotte and Madeleine should take into consideration the Equality Act 2010 whe</w:t>
      </w:r>
      <w:r>
        <w:rPr>
          <w:rFonts w:ascii="Calibri" w:eastAsia="Times New Roman" w:hAnsi="Calibri" w:cs="Calibri"/>
          <w:color w:val="000000"/>
          <w:lang w:eastAsia="en-GB"/>
        </w:rPr>
        <w:t>n making</w:t>
      </w:r>
      <w:r w:rsidRPr="0072433F">
        <w:rPr>
          <w:rFonts w:ascii="Calibri" w:eastAsia="Times New Roman" w:hAnsi="Calibri" w:cs="Calibri"/>
          <w:color w:val="000000"/>
          <w:lang w:eastAsia="en-GB"/>
        </w:rPr>
        <w:t xml:space="preserve"> recruitment and selection</w:t>
      </w:r>
      <w:r>
        <w:rPr>
          <w:rFonts w:ascii="Calibri" w:eastAsia="Times New Roman" w:hAnsi="Calibri" w:cs="Calibri"/>
          <w:color w:val="000000"/>
          <w:lang w:eastAsia="en-GB"/>
        </w:rPr>
        <w:t xml:space="preserve"> decisions as t</w:t>
      </w:r>
      <w:r w:rsidRPr="0072433F">
        <w:rPr>
          <w:rFonts w:ascii="Calibri" w:eastAsia="Times New Roman" w:hAnsi="Calibri" w:cs="Calibri"/>
          <w:color w:val="000000"/>
          <w:lang w:eastAsia="en-GB"/>
        </w:rPr>
        <w:t xml:space="preserve">his act protects 4 groups of people in the employment relationship: Employees, Workers, Job Applicants and Ex-employees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The act protects 9 c</w:t>
      </w:r>
      <w:r>
        <w:rPr>
          <w:rFonts w:ascii="Calibri" w:eastAsia="Times New Roman" w:hAnsi="Calibri" w:cs="Calibri"/>
          <w:color w:val="000000"/>
          <w:lang w:eastAsia="en-GB"/>
        </w:rPr>
        <w:t xml:space="preserve">haracteristics for these groups, </w:t>
      </w:r>
      <w:r w:rsidRPr="0072433F">
        <w:rPr>
          <w:rFonts w:ascii="Calibri" w:eastAsia="Times New Roman" w:hAnsi="Calibri" w:cs="Calibri"/>
          <w:color w:val="000000"/>
          <w:lang w:eastAsia="en-GB"/>
        </w:rPr>
        <w:t>includ</w:t>
      </w:r>
      <w:r>
        <w:rPr>
          <w:rFonts w:ascii="Calibri" w:eastAsia="Times New Roman" w:hAnsi="Calibri" w:cs="Calibri"/>
          <w:color w:val="000000"/>
          <w:lang w:eastAsia="en-GB"/>
        </w:rPr>
        <w:t>ing</w:t>
      </w:r>
      <w:r w:rsidRPr="0072433F">
        <w:rPr>
          <w:rFonts w:ascii="Calibri" w:eastAsia="Times New Roman" w:hAnsi="Calibri" w:cs="Calibri"/>
          <w:color w:val="000000"/>
          <w:lang w:eastAsia="en-GB"/>
        </w:rPr>
        <w:t xml:space="preserve"> </w:t>
      </w:r>
      <w:r w:rsidRPr="0072433F">
        <w:rPr>
          <w:rFonts w:ascii="Calibri" w:eastAsia="Times New Roman" w:hAnsi="Calibri" w:cs="Calibri"/>
          <w:i/>
          <w:iCs/>
          <w:color w:val="000000"/>
          <w:lang w:eastAsia="en-GB"/>
        </w:rPr>
        <w:t>Age</w:t>
      </w:r>
      <w:r w:rsidRPr="0072433F">
        <w:rPr>
          <w:rFonts w:ascii="Calibri" w:eastAsia="Times New Roman" w:hAnsi="Calibri" w:cs="Calibri"/>
          <w:color w:val="000000"/>
          <w:lang w:eastAsia="en-GB"/>
        </w:rPr>
        <w:t>, Disability, Gender reassignment, Marriage &amp; Civil Partnership, Pregnancy &amp; Maternity, Race, Religion &amp; Belief,</w:t>
      </w:r>
      <w:r w:rsidRPr="0072433F">
        <w:rPr>
          <w:rFonts w:ascii="Calibri" w:eastAsia="Times New Roman" w:hAnsi="Calibri" w:cs="Calibri"/>
          <w:i/>
          <w:color w:val="000000"/>
          <w:lang w:eastAsia="en-GB"/>
        </w:rPr>
        <w:t xml:space="preserve"> Sex</w:t>
      </w:r>
      <w:r w:rsidRPr="0072433F">
        <w:rPr>
          <w:rFonts w:ascii="Calibri" w:eastAsia="Times New Roman" w:hAnsi="Calibri" w:cs="Calibri"/>
          <w:color w:val="000000"/>
          <w:lang w:eastAsia="en-GB"/>
        </w:rPr>
        <w:t xml:space="preserve"> and Sexual Orientation</w:t>
      </w:r>
      <w:r>
        <w:rPr>
          <w:rFonts w:ascii="Calibri" w:eastAsia="Times New Roman" w:hAnsi="Calibri" w:cs="Calibri"/>
          <w:color w:val="000000"/>
          <w:lang w:eastAsia="en-GB"/>
        </w:rPr>
        <w:t xml:space="preserve"> </w:t>
      </w:r>
      <w:r w:rsidRPr="00E11021">
        <w:rPr>
          <w:rFonts w:ascii="Calibri" w:eastAsia="Times New Roman" w:hAnsi="Calibri" w:cs="Calibri"/>
          <w:color w:val="000000"/>
          <w:highlight w:val="green"/>
          <w:lang w:eastAsia="en-GB"/>
        </w:rPr>
        <w:t>(CIPD, 2022).</w:t>
      </w:r>
      <w:r w:rsidRPr="0072433F">
        <w:rPr>
          <w:rFonts w:ascii="Calibri" w:eastAsia="Times New Roman" w:hAnsi="Calibri" w:cs="Calibri"/>
          <w:color w:val="000000"/>
          <w:lang w:eastAsia="en-GB"/>
        </w:rPr>
        <w:t xml:space="preserve"> As such, discrimination arising from these characteristics is strictly prohibited by the act and can result in legal ramifications if not followed</w:t>
      </w:r>
      <w:r>
        <w:rPr>
          <w:rFonts w:ascii="Calibri" w:eastAsia="Times New Roman" w:hAnsi="Calibri" w:cs="Calibri"/>
          <w:color w:val="000000"/>
          <w:lang w:eastAsia="en-GB"/>
        </w:rPr>
        <w:t xml:space="preserve"> </w:t>
      </w:r>
      <w:r w:rsidRPr="00C6790A">
        <w:rPr>
          <w:rFonts w:ascii="Calibri" w:eastAsia="Times New Roman" w:hAnsi="Calibri" w:cs="Calibri"/>
          <w:color w:val="000000"/>
          <w:highlight w:val="green"/>
          <w:lang w:eastAsia="en-GB"/>
        </w:rPr>
        <w:t>(Daniels, 2022). </w:t>
      </w:r>
    </w:p>
    <w:p w14:paraId="04253A90"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According to Section 13 </w:t>
      </w:r>
      <w:proofErr w:type="spellStart"/>
      <w:r w:rsidRPr="0072433F">
        <w:rPr>
          <w:rFonts w:ascii="Calibri" w:eastAsia="Times New Roman" w:hAnsi="Calibri" w:cs="Calibri"/>
          <w:color w:val="000000"/>
          <w:lang w:eastAsia="en-GB"/>
        </w:rPr>
        <w:t>EqA</w:t>
      </w:r>
      <w:proofErr w:type="spellEnd"/>
      <w:r w:rsidRPr="0072433F">
        <w:rPr>
          <w:rFonts w:ascii="Calibri" w:eastAsia="Times New Roman" w:hAnsi="Calibri" w:cs="Calibri"/>
          <w:color w:val="000000"/>
          <w:lang w:eastAsia="en-GB"/>
        </w:rPr>
        <w:t xml:space="preserve"> 2010, </w:t>
      </w:r>
      <w:r>
        <w:rPr>
          <w:rFonts w:ascii="Calibri" w:eastAsia="Times New Roman" w:hAnsi="Calibri" w:cs="Calibri"/>
          <w:color w:val="000000"/>
          <w:lang w:eastAsia="en-GB"/>
        </w:rPr>
        <w:t xml:space="preserve">there are a variety of discrimination types, </w:t>
      </w:r>
      <w:r w:rsidRPr="0072433F">
        <w:rPr>
          <w:rFonts w:ascii="Calibri" w:eastAsia="Times New Roman" w:hAnsi="Calibri" w:cs="Calibri"/>
          <w:color w:val="000000"/>
          <w:lang w:eastAsia="en-GB"/>
        </w:rPr>
        <w:t xml:space="preserve">these can include: direct discrimination, associative discrimination, perceptive discrimination, in-direct discrimination and discrimination arising from disability </w:t>
      </w:r>
      <w:r w:rsidRPr="0072433F">
        <w:rPr>
          <w:rFonts w:ascii="Calibri" w:eastAsia="Times New Roman" w:hAnsi="Calibri" w:cs="Calibri"/>
          <w:color w:val="000000"/>
          <w:highlight w:val="green"/>
          <w:lang w:eastAsia="en-GB"/>
        </w:rPr>
        <w:t xml:space="preserve">(Daniels, 2022). </w:t>
      </w:r>
      <w:r>
        <w:rPr>
          <w:rFonts w:ascii="Calibri" w:eastAsia="Times New Roman" w:hAnsi="Calibri" w:cs="Calibri"/>
          <w:color w:val="000000"/>
          <w:lang w:eastAsia="en-GB"/>
        </w:rPr>
        <w:t>In addition to this</w:t>
      </w:r>
      <w:r w:rsidRPr="0072433F">
        <w:rPr>
          <w:rFonts w:ascii="Calibri" w:eastAsia="Times New Roman" w:hAnsi="Calibri" w:cs="Calibri"/>
          <w:color w:val="000000"/>
          <w:lang w:eastAsia="en-GB"/>
        </w:rPr>
        <w:t>, an employer should, if possible, make reasonable adjustments to assist a</w:t>
      </w:r>
      <w:r>
        <w:rPr>
          <w:rFonts w:ascii="Calibri" w:eastAsia="Times New Roman" w:hAnsi="Calibri" w:cs="Calibri"/>
          <w:color w:val="000000"/>
          <w:lang w:eastAsia="en-GB"/>
        </w:rPr>
        <w:t xml:space="preserve"> job applicant at interview if the applicant suffers from a disability </w:t>
      </w:r>
      <w:r w:rsidRPr="0072433F">
        <w:rPr>
          <w:rFonts w:ascii="Calibri" w:eastAsia="Times New Roman" w:hAnsi="Calibri" w:cs="Calibri"/>
          <w:color w:val="000000"/>
          <w:highlight w:val="green"/>
          <w:lang w:eastAsia="en-GB"/>
        </w:rPr>
        <w:t>(CIPD, 2022). </w:t>
      </w:r>
    </w:p>
    <w:p w14:paraId="234465EE"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Harassment is also covered by the act </w:t>
      </w:r>
      <w:r w:rsidRPr="0072433F">
        <w:rPr>
          <w:rFonts w:ascii="Calibri" w:eastAsia="Times New Roman" w:hAnsi="Calibri" w:cs="Calibri"/>
          <w:color w:val="000000"/>
          <w:highlight w:val="green"/>
          <w:lang w:eastAsia="en-GB"/>
        </w:rPr>
        <w:t xml:space="preserve">(Section 26 </w:t>
      </w:r>
      <w:proofErr w:type="spellStart"/>
      <w:r w:rsidRPr="0072433F">
        <w:rPr>
          <w:rFonts w:ascii="Calibri" w:eastAsia="Times New Roman" w:hAnsi="Calibri" w:cs="Calibri"/>
          <w:color w:val="000000"/>
          <w:highlight w:val="green"/>
          <w:lang w:eastAsia="en-GB"/>
        </w:rPr>
        <w:t>EqA</w:t>
      </w:r>
      <w:proofErr w:type="spellEnd"/>
      <w:r w:rsidRPr="0072433F">
        <w:rPr>
          <w:rFonts w:ascii="Calibri" w:eastAsia="Times New Roman" w:hAnsi="Calibri" w:cs="Calibri"/>
          <w:color w:val="000000"/>
          <w:highlight w:val="green"/>
          <w:lang w:eastAsia="en-GB"/>
        </w:rPr>
        <w:t xml:space="preserve"> 2010) (Daniels, 2022). </w:t>
      </w:r>
      <w:r w:rsidRPr="0072433F">
        <w:rPr>
          <w:rFonts w:ascii="Calibri" w:eastAsia="Times New Roman" w:hAnsi="Calibri" w:cs="Calibri"/>
          <w:color w:val="000000"/>
          <w:lang w:eastAsia="en-GB"/>
        </w:rPr>
        <w:t xml:space="preserve">The intention of the harassment is also irrelevant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highlight w:val="yellow"/>
          <w:lang w:eastAsia="en-GB"/>
        </w:rPr>
        <w:t>Victimisation occurs when an employer treats an employee less favourably because they have</w:t>
      </w:r>
      <w:r w:rsidRPr="00405FA1">
        <w:rPr>
          <w:rFonts w:ascii="Calibri" w:eastAsia="Times New Roman" w:hAnsi="Calibri" w:cs="Calibri"/>
          <w:color w:val="000000"/>
          <w:highlight w:val="yellow"/>
          <w:lang w:eastAsia="en-GB"/>
        </w:rPr>
        <w:t xml:space="preserve"> exercised</w:t>
      </w:r>
      <w:r w:rsidRPr="0072433F">
        <w:rPr>
          <w:rFonts w:ascii="Calibri" w:eastAsia="Times New Roman" w:hAnsi="Calibri" w:cs="Calibri"/>
          <w:color w:val="000000"/>
          <w:highlight w:val="yellow"/>
          <w:lang w:eastAsia="en-GB"/>
        </w:rPr>
        <w:t xml:space="preserve"> one of their rights under the Equality Act 2010</w:t>
      </w:r>
      <w:r w:rsidRPr="0072433F">
        <w:rPr>
          <w:rFonts w:ascii="Calibri" w:eastAsia="Times New Roman" w:hAnsi="Calibri" w:cs="Calibri"/>
          <w:color w:val="000000"/>
          <w:lang w:eastAsia="en-GB"/>
        </w:rPr>
        <w:t xml:space="preserve"> </w:t>
      </w:r>
      <w:r w:rsidRPr="0072433F">
        <w:rPr>
          <w:rFonts w:ascii="Calibri" w:eastAsia="Times New Roman" w:hAnsi="Calibri" w:cs="Calibri"/>
          <w:color w:val="000000"/>
          <w:highlight w:val="green"/>
          <w:lang w:eastAsia="en-GB"/>
        </w:rPr>
        <w:t>(Daniels, 2022). </w:t>
      </w:r>
    </w:p>
    <w:p w14:paraId="12072E1A" w14:textId="77777777" w:rsidR="007B5903" w:rsidRDefault="007B5903" w:rsidP="007B5903">
      <w:pPr>
        <w:spacing w:line="240" w:lineRule="auto"/>
        <w:rPr>
          <w:rFonts w:ascii="Calibri" w:eastAsia="Times New Roman" w:hAnsi="Calibri" w:cs="Calibri"/>
          <w:color w:val="000000"/>
          <w:lang w:eastAsia="en-GB"/>
        </w:rPr>
      </w:pPr>
      <w:r w:rsidRPr="0072433F">
        <w:rPr>
          <w:rFonts w:ascii="Calibri" w:eastAsia="Times New Roman" w:hAnsi="Calibri" w:cs="Calibri"/>
          <w:color w:val="000000"/>
          <w:lang w:eastAsia="en-GB"/>
        </w:rPr>
        <w:t xml:space="preserve">In consideration of the above information and existing case law, I would advise that Charlotte and Madeleine's decision to recruit solely based on age and sex would constitute direct </w:t>
      </w:r>
      <w:r>
        <w:rPr>
          <w:rFonts w:ascii="Calibri" w:eastAsia="Times New Roman" w:hAnsi="Calibri" w:cs="Calibri"/>
          <w:color w:val="000000"/>
          <w:lang w:eastAsia="en-GB"/>
        </w:rPr>
        <w:t xml:space="preserve">&amp; indirect </w:t>
      </w:r>
      <w:r w:rsidRPr="0072433F">
        <w:rPr>
          <w:rFonts w:ascii="Calibri" w:eastAsia="Times New Roman" w:hAnsi="Calibri" w:cs="Calibri"/>
          <w:color w:val="000000"/>
          <w:lang w:eastAsia="en-GB"/>
        </w:rPr>
        <w:t>discrimination and would also make them liable</w:t>
      </w:r>
      <w:r>
        <w:rPr>
          <w:rFonts w:ascii="Calibri" w:eastAsia="Times New Roman" w:hAnsi="Calibri" w:cs="Calibri"/>
          <w:color w:val="000000"/>
          <w:lang w:eastAsia="en-GB"/>
        </w:rPr>
        <w:t xml:space="preserve">. </w:t>
      </w:r>
      <w:r w:rsidRPr="0072433F">
        <w:rPr>
          <w:rFonts w:ascii="Calibri" w:eastAsia="Times New Roman" w:hAnsi="Calibri" w:cs="Calibri"/>
          <w:color w:val="000000"/>
          <w:lang w:eastAsia="en-GB"/>
        </w:rPr>
        <w:t xml:space="preserve">Charlotte and Madeleine should consider the </w:t>
      </w:r>
      <w:r w:rsidRPr="0072433F">
        <w:rPr>
          <w:rFonts w:ascii="Calibri" w:eastAsia="Times New Roman" w:hAnsi="Calibri" w:cs="Calibri"/>
          <w:color w:val="000000"/>
          <w:lang w:eastAsia="en-GB"/>
        </w:rPr>
        <w:lastRenderedPageBreak/>
        <w:t xml:space="preserve">tribunal decision of Cunningham v BMS Sales LTD (2007) where the claimant was awarded £5,000 because the organisation asked inappropriate questions regarding age during the recruitment process, such as their date of birth. Discrimination based on sex is automatically unfair according to the Equality Act 2010, and therefore is unlawful </w:t>
      </w:r>
      <w:r w:rsidRPr="0072433F">
        <w:rPr>
          <w:rFonts w:ascii="Calibri" w:eastAsia="Times New Roman" w:hAnsi="Calibri" w:cs="Calibri"/>
          <w:color w:val="000000"/>
          <w:highlight w:val="green"/>
          <w:lang w:eastAsia="en-GB"/>
        </w:rPr>
        <w:t>(Daniels, 2022). </w:t>
      </w:r>
      <w:r>
        <w:rPr>
          <w:rFonts w:ascii="Calibri" w:eastAsia="Times New Roman" w:hAnsi="Calibri" w:cs="Calibri"/>
          <w:color w:val="000000"/>
          <w:lang w:eastAsia="en-GB"/>
        </w:rPr>
        <w:t>Not changing their approach could lead to applicants, as was as employees, seeking damages through an employment tribunal, awards can be made as per the following:</w:t>
      </w:r>
    </w:p>
    <w:p w14:paraId="38804D16" w14:textId="77777777" w:rsidR="007B5903" w:rsidRPr="00FA3D86" w:rsidRDefault="007B5903" w:rsidP="007B5903">
      <w:pPr>
        <w:pStyle w:val="ListParagraph"/>
        <w:numPr>
          <w:ilvl w:val="0"/>
          <w:numId w:val="1"/>
        </w:numPr>
        <w:spacing w:line="240" w:lineRule="auto"/>
        <w:rPr>
          <w:rFonts w:eastAsia="Times New Roman" w:cstheme="minorHAnsi"/>
          <w:szCs w:val="24"/>
          <w:lang w:eastAsia="en-GB"/>
        </w:rPr>
      </w:pPr>
      <w:r w:rsidRPr="00FA3D86">
        <w:rPr>
          <w:rFonts w:eastAsia="Times New Roman" w:cstheme="minorHAnsi"/>
          <w:szCs w:val="24"/>
          <w:lang w:eastAsia="en-GB"/>
        </w:rPr>
        <w:t xml:space="preserve">Lower band: £1,100 - £11,200 </w:t>
      </w:r>
    </w:p>
    <w:p w14:paraId="2D1A1894" w14:textId="77777777" w:rsidR="007B5903" w:rsidRPr="00FA3D86" w:rsidRDefault="007B5903" w:rsidP="007B5903">
      <w:pPr>
        <w:pStyle w:val="ListParagraph"/>
        <w:numPr>
          <w:ilvl w:val="0"/>
          <w:numId w:val="1"/>
        </w:numPr>
        <w:spacing w:line="240" w:lineRule="auto"/>
        <w:rPr>
          <w:rFonts w:eastAsia="Times New Roman" w:cstheme="minorHAnsi"/>
          <w:szCs w:val="24"/>
          <w:lang w:eastAsia="en-GB"/>
        </w:rPr>
      </w:pPr>
      <w:r w:rsidRPr="00FA3D86">
        <w:rPr>
          <w:rFonts w:eastAsia="Times New Roman" w:cstheme="minorHAnsi"/>
          <w:szCs w:val="24"/>
          <w:lang w:eastAsia="en-GB"/>
        </w:rPr>
        <w:t xml:space="preserve">Middle band: £11,200 - £33,700  </w:t>
      </w:r>
    </w:p>
    <w:p w14:paraId="5D2D9DCF" w14:textId="77777777" w:rsidR="007B5903" w:rsidRPr="00FA3D86" w:rsidRDefault="007B5903" w:rsidP="007B5903">
      <w:pPr>
        <w:pStyle w:val="ListParagraph"/>
        <w:numPr>
          <w:ilvl w:val="0"/>
          <w:numId w:val="1"/>
        </w:numPr>
        <w:spacing w:line="240" w:lineRule="auto"/>
        <w:rPr>
          <w:rFonts w:eastAsia="Times New Roman" w:cstheme="minorHAnsi"/>
          <w:szCs w:val="24"/>
          <w:lang w:eastAsia="en-GB"/>
        </w:rPr>
      </w:pPr>
      <w:r w:rsidRPr="00FA3D86">
        <w:rPr>
          <w:rFonts w:eastAsia="Times New Roman" w:cstheme="minorHAnsi"/>
          <w:szCs w:val="24"/>
          <w:lang w:eastAsia="en-GB"/>
        </w:rPr>
        <w:t xml:space="preserve">Upper band: £33,700 </w:t>
      </w:r>
      <w:r>
        <w:rPr>
          <w:rFonts w:eastAsia="Times New Roman" w:cstheme="minorHAnsi"/>
          <w:szCs w:val="24"/>
          <w:lang w:eastAsia="en-GB"/>
        </w:rPr>
        <w:t>-</w:t>
      </w:r>
      <w:r w:rsidRPr="00FA3D86">
        <w:rPr>
          <w:rFonts w:eastAsia="Times New Roman" w:cstheme="minorHAnsi"/>
          <w:szCs w:val="24"/>
          <w:lang w:eastAsia="en-GB"/>
        </w:rPr>
        <w:t xml:space="preserve"> £56,200</w:t>
      </w:r>
    </w:p>
    <w:p w14:paraId="3A0C094F" w14:textId="77777777" w:rsidR="007B5903" w:rsidRPr="00FA3D86" w:rsidRDefault="007B5903" w:rsidP="007B5903">
      <w:pPr>
        <w:pStyle w:val="ListParagraph"/>
        <w:numPr>
          <w:ilvl w:val="0"/>
          <w:numId w:val="1"/>
        </w:numPr>
        <w:spacing w:line="240" w:lineRule="auto"/>
        <w:rPr>
          <w:rFonts w:eastAsia="Times New Roman" w:cstheme="minorHAnsi"/>
          <w:szCs w:val="24"/>
          <w:lang w:eastAsia="en-GB"/>
        </w:rPr>
      </w:pPr>
      <w:r w:rsidRPr="00FA3D86">
        <w:rPr>
          <w:rFonts w:eastAsia="Times New Roman" w:cstheme="minorHAnsi"/>
          <w:szCs w:val="24"/>
          <w:lang w:eastAsia="en-GB"/>
        </w:rPr>
        <w:t>Exceptional: &lt; £56,200</w:t>
      </w:r>
    </w:p>
    <w:p w14:paraId="7ACDDFE1"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 xml:space="preserve">Equal pay legislation in this instance relates to the fair pay between a man and a woman doing a job that is like, equivalent or of equal value </w:t>
      </w:r>
      <w:r w:rsidRPr="007B5903">
        <w:rPr>
          <w:rFonts w:ascii="Calibri" w:eastAsia="Times New Roman" w:hAnsi="Calibri" w:cs="Calibri"/>
          <w:color w:val="000000"/>
          <w:highlight w:val="green"/>
          <w:lang w:eastAsia="en-GB"/>
        </w:rPr>
        <w:t xml:space="preserve">(CIPD, 2022). </w:t>
      </w:r>
      <w:r w:rsidRPr="007B5903">
        <w:rPr>
          <w:rFonts w:ascii="Calibri" w:eastAsia="Times New Roman" w:hAnsi="Calibri" w:cs="Calibri"/>
          <w:color w:val="000000"/>
          <w:lang w:eastAsia="en-GB"/>
        </w:rPr>
        <w:t>However, equal pay is also protected in relation to any other protected characteristic outlined in the Equality Act 2010</w:t>
      </w:r>
      <w:r w:rsidRPr="007B5903">
        <w:rPr>
          <w:rFonts w:ascii="Calibri" w:eastAsia="Times New Roman" w:hAnsi="Calibri" w:cs="Calibri"/>
          <w:color w:val="000000"/>
          <w:highlight w:val="green"/>
          <w:lang w:eastAsia="en-GB"/>
        </w:rPr>
        <w:t xml:space="preserve"> (CIPD, 2022). </w:t>
      </w:r>
      <w:r w:rsidRPr="007B5903">
        <w:rPr>
          <w:rFonts w:ascii="Calibri" w:eastAsia="Times New Roman" w:hAnsi="Calibri" w:cs="Calibri"/>
          <w:color w:val="000000"/>
          <w:lang w:eastAsia="en-GB"/>
        </w:rPr>
        <w:t xml:space="preserve">Like work refers to two similar roles. Equivalent work is work that is rated at a similar score to another through an analytical job evaluation tool. Work of equal value refers to two separate, very different jobs that require the same level of skill </w:t>
      </w:r>
      <w:r w:rsidRPr="007B5903">
        <w:rPr>
          <w:rFonts w:ascii="Calibri" w:eastAsia="Times New Roman" w:hAnsi="Calibri" w:cs="Calibri"/>
          <w:color w:val="000000"/>
          <w:highlight w:val="green"/>
          <w:lang w:eastAsia="en-GB"/>
        </w:rPr>
        <w:t xml:space="preserve">(Daniels, 2022). </w:t>
      </w:r>
      <w:r w:rsidRPr="007B5903">
        <w:rPr>
          <w:rFonts w:ascii="Calibri" w:eastAsia="Times New Roman" w:hAnsi="Calibri" w:cs="Calibri"/>
          <w:color w:val="000000"/>
          <w:lang w:eastAsia="en-GB"/>
        </w:rPr>
        <w:t xml:space="preserve">In this circumstance, Cat has chosen to use Kit as a comparator as he is a current employee and a member of the opposite sex </w:t>
      </w:r>
      <w:r w:rsidRPr="007B5903">
        <w:rPr>
          <w:rFonts w:ascii="Calibri" w:eastAsia="Times New Roman" w:hAnsi="Calibri" w:cs="Calibri"/>
          <w:color w:val="000000"/>
          <w:highlight w:val="green"/>
          <w:lang w:eastAsia="en-GB"/>
        </w:rPr>
        <w:t xml:space="preserve">(Daniels, 2022). </w:t>
      </w:r>
      <w:r w:rsidRPr="007B5903">
        <w:rPr>
          <w:rFonts w:ascii="Calibri" w:eastAsia="Times New Roman" w:hAnsi="Calibri" w:cs="Calibri"/>
          <w:color w:val="000000"/>
          <w:lang w:eastAsia="en-GB"/>
        </w:rPr>
        <w:t xml:space="preserve">As Cat carries out the same job as Kit, this sort of claim would come under ‘like work’. In order to defend such a claim, Charlotte would have to prove that there are </w:t>
      </w:r>
      <w:r w:rsidRPr="007B5903">
        <w:rPr>
          <w:rFonts w:ascii="Calibri" w:eastAsia="Times New Roman" w:hAnsi="Calibri" w:cs="Calibri"/>
          <w:color w:val="000000"/>
          <w:highlight w:val="yellow"/>
          <w:lang w:eastAsia="en-GB"/>
        </w:rPr>
        <w:t xml:space="preserve">reasonable grounds </w:t>
      </w:r>
      <w:r w:rsidRPr="007B5903">
        <w:rPr>
          <w:rFonts w:ascii="Calibri" w:eastAsia="Times New Roman" w:hAnsi="Calibri" w:cs="Calibri"/>
          <w:color w:val="000000"/>
          <w:lang w:eastAsia="en-GB"/>
        </w:rPr>
        <w:t xml:space="preserve">for the difference in salary, in this case such a defence would likely revolve around a difference in experience </w:t>
      </w:r>
      <w:r w:rsidRPr="007B5903">
        <w:rPr>
          <w:rFonts w:ascii="Calibri" w:eastAsia="Times New Roman" w:hAnsi="Calibri" w:cs="Calibri"/>
          <w:color w:val="000000"/>
          <w:highlight w:val="green"/>
          <w:lang w:eastAsia="en-GB"/>
        </w:rPr>
        <w:t xml:space="preserve">(Daniels, 2022). </w:t>
      </w:r>
      <w:r w:rsidRPr="007B5903">
        <w:rPr>
          <w:rFonts w:ascii="Calibri" w:eastAsia="Times New Roman" w:hAnsi="Calibri" w:cs="Calibri"/>
          <w:color w:val="000000"/>
          <w:lang w:eastAsia="en-GB"/>
        </w:rPr>
        <w:t xml:space="preserve">However, if this argument is to be made there would have to be sufficient evidence that this same rule is applied throughout the business as clarified in </w:t>
      </w:r>
      <w:commentRangeStart w:id="0"/>
      <w:r w:rsidRPr="007B5903">
        <w:rPr>
          <w:rFonts w:ascii="Calibri" w:eastAsia="Times New Roman" w:hAnsi="Calibri" w:cs="Calibri"/>
          <w:color w:val="000000"/>
          <w:lang w:eastAsia="en-GB"/>
        </w:rPr>
        <w:t xml:space="preserve">Cadman v </w:t>
      </w:r>
      <w:r w:rsidRPr="007B5903">
        <w:rPr>
          <w:rFonts w:ascii="Calibri" w:eastAsia="Times New Roman" w:hAnsi="Calibri" w:cs="Calibri"/>
          <w:color w:val="000000"/>
          <w:highlight w:val="green"/>
          <w:lang w:eastAsia="en-GB"/>
        </w:rPr>
        <w:t>Health and Safety Executive (2006)</w:t>
      </w:r>
      <w:r w:rsidRPr="007B5903">
        <w:rPr>
          <w:rFonts w:ascii="Calibri" w:eastAsia="Times New Roman" w:hAnsi="Calibri" w:cs="Calibri"/>
          <w:color w:val="000000"/>
          <w:lang w:eastAsia="en-GB"/>
        </w:rPr>
        <w:t xml:space="preserve"> where the court ruled that experience-based differences in pay were just, if they were applied throughout the organisation fairly. </w:t>
      </w:r>
      <w:commentRangeEnd w:id="0"/>
      <w:r>
        <w:rPr>
          <w:rStyle w:val="CommentReference"/>
        </w:rPr>
        <w:commentReference w:id="0"/>
      </w:r>
      <w:r w:rsidRPr="007B5903">
        <w:rPr>
          <w:rFonts w:ascii="Calibri" w:eastAsia="Times New Roman" w:hAnsi="Calibri" w:cs="Calibri"/>
          <w:color w:val="000000"/>
          <w:lang w:eastAsia="en-GB"/>
        </w:rPr>
        <w:t>Other defences could include collective bargaining, red circling and location however this is unlikely to be relevant in this cas</w:t>
      </w:r>
      <w:r w:rsidRPr="007B5903">
        <w:rPr>
          <w:rFonts w:ascii="Calibri" w:eastAsia="Times New Roman" w:hAnsi="Calibri" w:cs="Calibri"/>
          <w:color w:val="000000"/>
          <w:highlight w:val="green"/>
          <w:lang w:eastAsia="en-GB"/>
        </w:rPr>
        <w:t>e (Daniels, 2022). </w:t>
      </w:r>
    </w:p>
    <w:p w14:paraId="4712C62E"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If there is no difference in experience, and the two employees carry out the same work at the same standard, then I’d advise Charlotte to raise Cat’s salary in line with Kit’s to avoid legal proceedings which would likely result in a negative outcome for the business. Employees who win equal pay claims can seek back pay, including interest, which could prove more costly than agreeing to pay Cat the same rate as Kit from the date she raised the concern. </w:t>
      </w:r>
    </w:p>
    <w:p w14:paraId="3649ADE6"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commentRangeStart w:id="1"/>
      <w:r w:rsidRPr="007B5903">
        <w:rPr>
          <w:rFonts w:ascii="Calibri" w:eastAsia="Times New Roman" w:hAnsi="Calibri" w:cs="Calibri"/>
          <w:color w:val="000000"/>
          <w:lang w:eastAsia="en-GB"/>
        </w:rPr>
        <w:t xml:space="preserve">Charlotte may find it useful to carry out an equal pay review within the business. </w:t>
      </w:r>
      <w:commentRangeStart w:id="2"/>
      <w:r w:rsidRPr="007B5903">
        <w:rPr>
          <w:rFonts w:ascii="Calibri" w:eastAsia="Times New Roman" w:hAnsi="Calibri" w:cs="Calibri"/>
          <w:color w:val="000000"/>
          <w:lang w:eastAsia="en-GB"/>
        </w:rPr>
        <w:t xml:space="preserve">This would ensure that each job within the business has an ethical, just pay rate and can limit the chances of </w:t>
      </w:r>
      <w:commentRangeEnd w:id="2"/>
      <w:r>
        <w:rPr>
          <w:rStyle w:val="CommentReference"/>
        </w:rPr>
        <w:commentReference w:id="2"/>
      </w:r>
      <w:r w:rsidRPr="007B5903">
        <w:rPr>
          <w:rFonts w:ascii="Calibri" w:eastAsia="Times New Roman" w:hAnsi="Calibri" w:cs="Calibri"/>
          <w:color w:val="000000"/>
          <w:lang w:eastAsia="en-GB"/>
        </w:rPr>
        <w:t xml:space="preserve">repercussions </w:t>
      </w:r>
      <w:r w:rsidRPr="007B5903">
        <w:rPr>
          <w:rFonts w:ascii="Calibri" w:eastAsia="Times New Roman" w:hAnsi="Calibri" w:cs="Calibri"/>
          <w:color w:val="000000"/>
          <w:highlight w:val="green"/>
          <w:lang w:eastAsia="en-GB"/>
        </w:rPr>
        <w:t xml:space="preserve">(CIPD, 2022). </w:t>
      </w:r>
      <w:r w:rsidRPr="007B5903">
        <w:rPr>
          <w:rFonts w:ascii="Calibri" w:eastAsia="Times New Roman" w:hAnsi="Calibri" w:cs="Calibri"/>
          <w:color w:val="000000"/>
          <w:lang w:eastAsia="en-GB"/>
        </w:rPr>
        <w:t>It also helps to prove that fair processes have been put in place to deal with equal pay queries.  </w:t>
      </w:r>
      <w:commentRangeEnd w:id="1"/>
      <w:r>
        <w:rPr>
          <w:rStyle w:val="CommentReference"/>
        </w:rPr>
        <w:commentReference w:id="1"/>
      </w:r>
    </w:p>
    <w:p w14:paraId="43A12C91"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 xml:space="preserve">Charlotte and Madeleine need to take into account existing regulation regarding redundancy as failure to do so can result in legal consequences for the business and directly impact its image as an employer </w:t>
      </w:r>
      <w:r w:rsidRPr="007B5903">
        <w:rPr>
          <w:rFonts w:ascii="Calibri" w:eastAsia="Times New Roman" w:hAnsi="Calibri" w:cs="Calibri"/>
          <w:color w:val="000000"/>
          <w:shd w:val="clear" w:color="auto" w:fill="B6D7A8"/>
          <w:lang w:eastAsia="en-GB"/>
        </w:rPr>
        <w:t xml:space="preserve">(Daniels, 2022). </w:t>
      </w:r>
      <w:r w:rsidRPr="007B5903">
        <w:rPr>
          <w:rFonts w:ascii="Calibri" w:eastAsia="Times New Roman" w:hAnsi="Calibri" w:cs="Calibri"/>
          <w:color w:val="000000"/>
          <w:lang w:eastAsia="en-GB"/>
        </w:rPr>
        <w:t>Dismissals are considered redundancies if they fall into one of three categories: the business is no longer operating under the premise by which the employee was employed; the employer is closing down a location where part of the business operates; the employees are no longer required as the work they carry out is expected to cease</w:t>
      </w:r>
      <w:r w:rsidRPr="007B5903">
        <w:rPr>
          <w:rFonts w:ascii="Calibri" w:eastAsia="Times New Roman" w:hAnsi="Calibri" w:cs="Calibri"/>
          <w:color w:val="000000"/>
          <w:shd w:val="clear" w:color="auto" w:fill="B6D7A8"/>
          <w:lang w:eastAsia="en-GB"/>
        </w:rPr>
        <w:t xml:space="preserve"> (ACAS, 2023).</w:t>
      </w:r>
      <w:r w:rsidRPr="007B5903">
        <w:rPr>
          <w:rFonts w:ascii="Calibri" w:eastAsia="Times New Roman" w:hAnsi="Calibri" w:cs="Calibri"/>
          <w:color w:val="000000"/>
          <w:lang w:eastAsia="en-GB"/>
        </w:rPr>
        <w:t xml:space="preserve"> Before redundancy can take place Charlotte and Madeleine should consider alternative options such as seeking another premises which is available at a lower rate.</w:t>
      </w:r>
      <w:r w:rsidRPr="007B5903">
        <w:rPr>
          <w:rFonts w:ascii="Calibri" w:eastAsia="Times New Roman" w:hAnsi="Calibri" w:cs="Calibri"/>
          <w:color w:val="000000"/>
          <w:shd w:val="clear" w:color="auto" w:fill="FF9900"/>
          <w:lang w:eastAsia="en-GB"/>
        </w:rPr>
        <w:t xml:space="preserve"> If redundancy is to take place, then consultation needs to be carried out with employees.</w:t>
      </w:r>
      <w:r w:rsidRPr="007B5903">
        <w:rPr>
          <w:rFonts w:ascii="Calibri" w:eastAsia="Times New Roman" w:hAnsi="Calibri" w:cs="Calibri"/>
          <w:color w:val="000000"/>
          <w:lang w:eastAsia="en-GB"/>
        </w:rPr>
        <w:t xml:space="preserve"> As the number of employees falls below 20 there is no statutory timeframe and they do not need to be consulted collectively</w:t>
      </w:r>
      <w:r w:rsidRPr="007B5903">
        <w:rPr>
          <w:rFonts w:ascii="Calibri" w:eastAsia="Times New Roman" w:hAnsi="Calibri" w:cs="Calibri"/>
          <w:color w:val="000000"/>
          <w:shd w:val="clear" w:color="auto" w:fill="FFFF00"/>
          <w:lang w:eastAsia="en-GB"/>
        </w:rPr>
        <w:t xml:space="preserve"> (TULCRA)</w:t>
      </w:r>
      <w:r w:rsidRPr="007B5903">
        <w:rPr>
          <w:rFonts w:ascii="Calibri" w:eastAsia="Times New Roman" w:hAnsi="Calibri" w:cs="Calibri"/>
          <w:color w:val="000000"/>
          <w:lang w:eastAsia="en-GB"/>
        </w:rPr>
        <w:t xml:space="preserve">, however the employee(s) still need to be meaningfully consulted before they’re notified of their dismissal. The consultation must provide certain information including the reason for dismissal, how many redundancies are taking place and the job types affected, the method of selection, the procedure being </w:t>
      </w:r>
      <w:r w:rsidRPr="007B5903">
        <w:rPr>
          <w:rFonts w:ascii="Calibri" w:eastAsia="Times New Roman" w:hAnsi="Calibri" w:cs="Calibri"/>
          <w:color w:val="000000"/>
          <w:lang w:eastAsia="en-GB"/>
        </w:rPr>
        <w:lastRenderedPageBreak/>
        <w:t xml:space="preserve">followed and the method for calculating redundancy payments </w:t>
      </w:r>
      <w:r w:rsidRPr="007B5903">
        <w:rPr>
          <w:rFonts w:ascii="Calibri" w:eastAsia="Times New Roman" w:hAnsi="Calibri" w:cs="Calibri"/>
          <w:color w:val="000000"/>
          <w:shd w:val="clear" w:color="auto" w:fill="B6D7A8"/>
          <w:lang w:eastAsia="en-GB"/>
        </w:rPr>
        <w:t>(CIPD, 2022).</w:t>
      </w:r>
      <w:r w:rsidRPr="007B5903">
        <w:rPr>
          <w:rFonts w:ascii="Calibri" w:eastAsia="Times New Roman" w:hAnsi="Calibri" w:cs="Calibri"/>
          <w:color w:val="000000"/>
          <w:lang w:eastAsia="en-GB"/>
        </w:rPr>
        <w:t xml:space="preserve">  </w:t>
      </w:r>
      <w:r w:rsidRPr="007B5903">
        <w:rPr>
          <w:rFonts w:ascii="Calibri" w:eastAsia="Times New Roman" w:hAnsi="Calibri" w:cs="Calibri"/>
          <w:color w:val="000000"/>
          <w:shd w:val="clear" w:color="auto" w:fill="FF9900"/>
          <w:lang w:eastAsia="en-GB"/>
        </w:rPr>
        <w:t xml:space="preserve">Failure to consult employees can lead to the award of compensation totalling up to 90 </w:t>
      </w:r>
      <w:proofErr w:type="spellStart"/>
      <w:r w:rsidRPr="007B5903">
        <w:rPr>
          <w:rFonts w:ascii="Calibri" w:eastAsia="Times New Roman" w:hAnsi="Calibri" w:cs="Calibri"/>
          <w:color w:val="000000"/>
          <w:shd w:val="clear" w:color="auto" w:fill="FF9900"/>
          <w:lang w:eastAsia="en-GB"/>
        </w:rPr>
        <w:t>days</w:t>
      </w:r>
      <w:proofErr w:type="spellEnd"/>
      <w:r w:rsidRPr="007B5903">
        <w:rPr>
          <w:rFonts w:ascii="Calibri" w:eastAsia="Times New Roman" w:hAnsi="Calibri" w:cs="Calibri"/>
          <w:color w:val="000000"/>
          <w:shd w:val="clear" w:color="auto" w:fill="FF9900"/>
          <w:lang w:eastAsia="en-GB"/>
        </w:rPr>
        <w:t xml:space="preserve"> pay </w:t>
      </w:r>
      <w:r w:rsidRPr="007B5903">
        <w:rPr>
          <w:rFonts w:ascii="Calibri" w:eastAsia="Times New Roman" w:hAnsi="Calibri" w:cs="Calibri"/>
          <w:color w:val="000000"/>
          <w:shd w:val="clear" w:color="auto" w:fill="B6D7A8"/>
          <w:lang w:eastAsia="en-GB"/>
        </w:rPr>
        <w:t>(CIPD, 2022). </w:t>
      </w:r>
    </w:p>
    <w:p w14:paraId="1937929E"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shd w:val="clear" w:color="auto" w:fill="FF9900"/>
          <w:lang w:eastAsia="en-GB"/>
        </w:rPr>
        <w:t>The managers also need to consider their selection for redundancy.</w:t>
      </w:r>
      <w:r w:rsidRPr="007B5903">
        <w:rPr>
          <w:rFonts w:ascii="Calibri" w:eastAsia="Times New Roman" w:hAnsi="Calibri" w:cs="Calibri"/>
          <w:color w:val="000000"/>
          <w:lang w:eastAsia="en-GB"/>
        </w:rPr>
        <w:t xml:space="preserve"> In this case, their premises is closing and so all affected employees are being made redundant, therefore a selection process is not needed.</w:t>
      </w:r>
      <w:r w:rsidRPr="007B5903">
        <w:rPr>
          <w:rFonts w:ascii="Calibri" w:eastAsia="Times New Roman" w:hAnsi="Calibri" w:cs="Calibri"/>
          <w:color w:val="000000"/>
          <w:highlight w:val="yellow"/>
          <w:lang w:eastAsia="en-GB"/>
        </w:rPr>
        <w:t xml:space="preserve"> If a selection process were needed </w:t>
      </w:r>
      <w:r w:rsidRPr="00B45346">
        <w:rPr>
          <w:rStyle w:val="CommentReference"/>
          <w:highlight w:val="yellow"/>
        </w:rPr>
        <w:annotationRef/>
      </w:r>
      <w:r w:rsidRPr="007B5903">
        <w:rPr>
          <w:rFonts w:ascii="Calibri" w:eastAsia="Times New Roman" w:hAnsi="Calibri" w:cs="Calibri"/>
          <w:color w:val="000000"/>
          <w:highlight w:val="yellow"/>
          <w:lang w:eastAsia="en-GB"/>
        </w:rPr>
        <w:t>it should be based on objective criteria like attendance &amp; disciplinary records, skills and performance</w:t>
      </w:r>
      <w:r w:rsidRPr="007B5903">
        <w:rPr>
          <w:rFonts w:ascii="Calibri" w:eastAsia="Times New Roman" w:hAnsi="Calibri" w:cs="Calibri"/>
          <w:color w:val="000000"/>
          <w:lang w:eastAsia="en-GB"/>
        </w:rPr>
        <w:t xml:space="preserve"> </w:t>
      </w:r>
      <w:r w:rsidRPr="007B5903">
        <w:rPr>
          <w:rFonts w:ascii="Calibri" w:eastAsia="Times New Roman" w:hAnsi="Calibri" w:cs="Calibri"/>
          <w:color w:val="000000"/>
          <w:highlight w:val="magenta"/>
          <w:lang w:eastAsia="en-GB"/>
        </w:rPr>
        <w:t>(CIPD, 2022).</w:t>
      </w:r>
      <w:r w:rsidRPr="007B5903">
        <w:rPr>
          <w:rFonts w:ascii="Calibri" w:eastAsia="Times New Roman" w:hAnsi="Calibri" w:cs="Calibri"/>
          <w:color w:val="000000"/>
          <w:lang w:eastAsia="en-GB"/>
        </w:rPr>
        <w:t xml:space="preserve"> Alternative employment also needs to be considered by the employer </w:t>
      </w:r>
      <w:commentRangeStart w:id="3"/>
      <w:r w:rsidRPr="007B5903">
        <w:rPr>
          <w:rFonts w:ascii="Calibri" w:eastAsia="Times New Roman" w:hAnsi="Calibri" w:cs="Calibri"/>
          <w:color w:val="000000"/>
          <w:lang w:eastAsia="en-GB"/>
        </w:rPr>
        <w:t xml:space="preserve">for each employee it intends to make redundant, such as moving the sales assistants to a different </w:t>
      </w:r>
      <w:commentRangeStart w:id="4"/>
      <w:r w:rsidRPr="007B5903">
        <w:rPr>
          <w:rFonts w:ascii="Calibri" w:eastAsia="Times New Roman" w:hAnsi="Calibri" w:cs="Calibri"/>
          <w:color w:val="000000"/>
          <w:lang w:eastAsia="en-GB"/>
        </w:rPr>
        <w:t xml:space="preserve">restaurant </w:t>
      </w:r>
      <w:commentRangeEnd w:id="4"/>
      <w:r>
        <w:rPr>
          <w:rStyle w:val="CommentReference"/>
        </w:rPr>
        <w:commentReference w:id="4"/>
      </w:r>
      <w:commentRangeEnd w:id="3"/>
      <w:r>
        <w:rPr>
          <w:rStyle w:val="CommentReference"/>
        </w:rPr>
        <w:commentReference w:id="3"/>
      </w:r>
      <w:r w:rsidRPr="007B5903">
        <w:rPr>
          <w:rFonts w:ascii="Calibri" w:eastAsia="Times New Roman" w:hAnsi="Calibri" w:cs="Calibri"/>
          <w:color w:val="000000"/>
          <w:shd w:val="clear" w:color="auto" w:fill="B6D7A8"/>
          <w:lang w:eastAsia="en-GB"/>
        </w:rPr>
        <w:t>(Daniels, 2022).</w:t>
      </w:r>
      <w:r w:rsidRPr="007B5903">
        <w:rPr>
          <w:rFonts w:ascii="Calibri" w:eastAsia="Times New Roman" w:hAnsi="Calibri" w:cs="Calibri"/>
          <w:color w:val="000000"/>
          <w:lang w:eastAsia="en-GB"/>
        </w:rPr>
        <w:t> </w:t>
      </w:r>
    </w:p>
    <w:p w14:paraId="04006602" w14:textId="77777777" w:rsidR="007B5903" w:rsidRPr="007B5903" w:rsidRDefault="007B5903" w:rsidP="007B5903">
      <w:pPr>
        <w:pStyle w:val="ListParagraph"/>
        <w:numPr>
          <w:ilvl w:val="0"/>
          <w:numId w:val="1"/>
        </w:numPr>
        <w:spacing w:line="240" w:lineRule="auto"/>
        <w:rPr>
          <w:rFonts w:ascii="Calibri" w:eastAsia="Times New Roman" w:hAnsi="Calibri" w:cs="Calibri"/>
          <w:color w:val="000000"/>
          <w:lang w:eastAsia="en-GB"/>
        </w:rPr>
      </w:pPr>
      <w:r w:rsidRPr="007B5903">
        <w:rPr>
          <w:rFonts w:ascii="Calibri" w:eastAsia="Times New Roman" w:hAnsi="Calibri" w:cs="Calibri"/>
          <w:color w:val="000000"/>
          <w:lang w:eastAsia="en-GB"/>
        </w:rPr>
        <w:t xml:space="preserve">Once consultation has taken place, employees need to be notified of their dismissal and informed of their redundancy payment, notice and holiday entitlement. Employees with continuous service exceeding 2 years are entitled to paid time off to find suitable alternative employment, with the statutory rate for this being 40% of a week's pay, and so provisions need to be made for Angelica and Saffron to take this </w:t>
      </w:r>
      <w:r w:rsidRPr="007B5903">
        <w:rPr>
          <w:rFonts w:ascii="Calibri" w:eastAsia="Times New Roman" w:hAnsi="Calibri" w:cs="Calibri"/>
          <w:color w:val="000000"/>
          <w:shd w:val="clear" w:color="auto" w:fill="B6D7A8"/>
          <w:lang w:eastAsia="en-GB"/>
        </w:rPr>
        <w:t>(Daniels, 2022).</w:t>
      </w:r>
      <w:r w:rsidRPr="007B5903">
        <w:rPr>
          <w:rFonts w:ascii="Calibri" w:eastAsia="Times New Roman" w:hAnsi="Calibri" w:cs="Calibri"/>
          <w:color w:val="000000"/>
          <w:lang w:eastAsia="en-GB"/>
        </w:rPr>
        <w:t xml:space="preserve"> </w:t>
      </w:r>
    </w:p>
    <w:p w14:paraId="1E560D75"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 xml:space="preserve">Employees with 2 years’ service are also entitled to statutory rates of redundancy </w:t>
      </w:r>
      <w:r w:rsidRPr="007B5903">
        <w:rPr>
          <w:rFonts w:ascii="Calibri" w:eastAsia="Times New Roman" w:hAnsi="Calibri" w:cs="Calibri"/>
          <w:color w:val="000000"/>
          <w:highlight w:val="yellow"/>
          <w:lang w:eastAsia="en-GB"/>
        </w:rPr>
        <w:t>pay &amp; notice</w:t>
      </w:r>
      <w:r w:rsidRPr="007B5903">
        <w:rPr>
          <w:rFonts w:ascii="Calibri" w:eastAsia="Times New Roman" w:hAnsi="Calibri" w:cs="Calibri"/>
          <w:color w:val="000000"/>
          <w:lang w:eastAsia="en-GB"/>
        </w:rPr>
        <w:t xml:space="preserve">, the amount being dependent on length of service and age </w:t>
      </w:r>
      <w:r w:rsidRPr="007B5903">
        <w:rPr>
          <w:rFonts w:ascii="Calibri" w:eastAsia="Times New Roman" w:hAnsi="Calibri" w:cs="Calibri"/>
          <w:color w:val="000000"/>
          <w:shd w:val="clear" w:color="auto" w:fill="B6D7A8"/>
          <w:lang w:eastAsia="en-GB"/>
        </w:rPr>
        <w:t>(ACAS, 2023).</w:t>
      </w:r>
      <w:r w:rsidRPr="007B5903">
        <w:rPr>
          <w:rFonts w:ascii="Calibri" w:eastAsia="Times New Roman" w:hAnsi="Calibri" w:cs="Calibri"/>
          <w:color w:val="000000"/>
          <w:lang w:eastAsia="en-GB"/>
        </w:rPr>
        <w:t xml:space="preserve"> They will also be entitled to their holiday pay. The maximum statutory weekly pay is £643 with the total statutory payment not exceeding £19,290 </w:t>
      </w:r>
      <w:r w:rsidRPr="007B5903">
        <w:rPr>
          <w:rFonts w:ascii="Calibri" w:eastAsia="Times New Roman" w:hAnsi="Calibri" w:cs="Calibri"/>
          <w:color w:val="000000"/>
          <w:shd w:val="clear" w:color="auto" w:fill="B6D7A8"/>
          <w:lang w:eastAsia="en-GB"/>
        </w:rPr>
        <w:t>(ACAS, 2023).</w:t>
      </w:r>
      <w:r w:rsidRPr="007B5903">
        <w:rPr>
          <w:rFonts w:ascii="Calibri" w:eastAsia="Times New Roman" w:hAnsi="Calibri" w:cs="Calibri"/>
          <w:color w:val="000000"/>
          <w:lang w:eastAsia="en-GB"/>
        </w:rPr>
        <w:t xml:space="preserve">  </w:t>
      </w:r>
    </w:p>
    <w:p w14:paraId="664EF3DB" w14:textId="77777777" w:rsidR="007B5903" w:rsidRPr="007B5903" w:rsidRDefault="007B5903" w:rsidP="007B5903">
      <w:pPr>
        <w:pStyle w:val="ListParagraph"/>
        <w:numPr>
          <w:ilvl w:val="0"/>
          <w:numId w:val="1"/>
        </w:numPr>
        <w:spacing w:line="240" w:lineRule="auto"/>
        <w:rPr>
          <w:rFonts w:ascii="Calibri" w:eastAsia="Times New Roman" w:hAnsi="Calibri" w:cs="Calibri"/>
          <w:color w:val="000000"/>
          <w:lang w:eastAsia="en-GB"/>
        </w:rPr>
      </w:pPr>
      <w:r w:rsidRPr="007B5903">
        <w:rPr>
          <w:rFonts w:ascii="Calibri" w:eastAsia="Times New Roman" w:hAnsi="Calibri" w:cs="Calibri"/>
          <w:color w:val="000000"/>
          <w:lang w:eastAsia="en-GB"/>
        </w:rPr>
        <w:t xml:space="preserve">As a result, the terms stipulated in the contracts of both Angelica and Saffron do not meet statutory rates and </w:t>
      </w:r>
      <w:r w:rsidRPr="007B5903">
        <w:rPr>
          <w:rFonts w:ascii="Calibri" w:eastAsia="Times New Roman" w:hAnsi="Calibri" w:cs="Calibri"/>
          <w:color w:val="000000"/>
          <w:shd w:val="clear" w:color="auto" w:fill="FF9900"/>
          <w:lang w:eastAsia="en-GB"/>
        </w:rPr>
        <w:t xml:space="preserve">so I’d advise that the planned redundancy payments are reviewed. </w:t>
      </w:r>
      <w:r w:rsidRPr="007B5903">
        <w:rPr>
          <w:rFonts w:ascii="Calibri" w:eastAsia="Times New Roman" w:hAnsi="Calibri" w:cs="Calibri"/>
          <w:color w:val="000000"/>
          <w:lang w:eastAsia="en-GB"/>
        </w:rPr>
        <w:t xml:space="preserve">Being 53 years old and having worked 8 years’ service, Angelica is entitled to a payment totalling no more than £7,716 </w:t>
      </w:r>
      <w:r w:rsidRPr="007B5903">
        <w:rPr>
          <w:rFonts w:ascii="Calibri" w:eastAsia="Times New Roman" w:hAnsi="Calibri" w:cs="Calibri"/>
          <w:color w:val="000000"/>
          <w:shd w:val="clear" w:color="auto" w:fill="B6D7A8"/>
          <w:lang w:eastAsia="en-GB"/>
        </w:rPr>
        <w:t xml:space="preserve">(ACAS, 2023). </w:t>
      </w:r>
      <w:r w:rsidRPr="007B5903">
        <w:rPr>
          <w:rFonts w:ascii="Calibri" w:eastAsia="Times New Roman" w:hAnsi="Calibri" w:cs="Calibri"/>
          <w:color w:val="000000"/>
          <w:lang w:eastAsia="en-GB"/>
        </w:rPr>
        <w:t xml:space="preserve">Saffron is entitled to £1,750 as she has worked for the company for 5 years and is 30 years old </w:t>
      </w:r>
      <w:r w:rsidRPr="007B5903">
        <w:rPr>
          <w:rFonts w:ascii="Calibri" w:eastAsia="Times New Roman" w:hAnsi="Calibri" w:cs="Calibri"/>
          <w:color w:val="000000"/>
          <w:shd w:val="clear" w:color="auto" w:fill="B6D7A8"/>
          <w:lang w:eastAsia="en-GB"/>
        </w:rPr>
        <w:t xml:space="preserve">(ACAS, 2023). </w:t>
      </w:r>
      <w:r w:rsidRPr="007B5903">
        <w:rPr>
          <w:rFonts w:ascii="Calibri" w:eastAsia="Times New Roman" w:hAnsi="Calibri" w:cs="Calibri"/>
          <w:color w:val="000000"/>
          <w:lang w:eastAsia="en-GB"/>
        </w:rPr>
        <w:t xml:space="preserve"> </w:t>
      </w:r>
      <w:commentRangeStart w:id="5"/>
      <w:r w:rsidRPr="007B5903">
        <w:rPr>
          <w:rFonts w:ascii="Calibri" w:eastAsia="Times New Roman" w:hAnsi="Calibri" w:cs="Calibri"/>
          <w:color w:val="000000"/>
          <w:lang w:eastAsia="en-GB"/>
        </w:rPr>
        <w:t xml:space="preserve">If they fail to make the necessary redundancy payments then their approach simply does not adhere to current legislation and the employees could challenge the redundancy and seek compensation via employment tribunal (Citizens Advice, 2023). </w:t>
      </w:r>
      <w:commentRangeEnd w:id="5"/>
      <w:r>
        <w:rPr>
          <w:rStyle w:val="CommentReference"/>
        </w:rPr>
        <w:commentReference w:id="5"/>
      </w:r>
    </w:p>
    <w:p w14:paraId="7DEDF4CB"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The 4 staff who are a mix of 18 and 19 year olds have all completed &gt; 2 years’ service, so they’re not entitled to any statutory redundancy payments (Daniels, 2022). Therefore the current terms of their contracts in regards to this are sufficient.</w:t>
      </w:r>
    </w:p>
    <w:p w14:paraId="2CD50097"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 xml:space="preserve">The Transfer of Undertakings (Protection of Employment) Regulations 2006 (TUPE) is the law by which the process of a transfer of employees, from one entity to another, is regulated. As a result, Charlotte and Madeleine need to pay attention to the provisions provided within this legislation. The law protects employees under an umbrella of scenarios including the transfer of an economic entity which retains its identity, the basis of the merger of Crumbly Cakes </w:t>
      </w:r>
      <w:commentRangeStart w:id="6"/>
      <w:r w:rsidRPr="007B5903">
        <w:rPr>
          <w:rFonts w:ascii="Calibri" w:eastAsia="Times New Roman" w:hAnsi="Calibri" w:cs="Calibri"/>
          <w:color w:val="000000"/>
          <w:highlight w:val="green"/>
          <w:lang w:eastAsia="en-GB"/>
        </w:rPr>
        <w:t>(Daniels, 2022).</w:t>
      </w:r>
      <w:r w:rsidRPr="007B5903">
        <w:rPr>
          <w:rFonts w:ascii="Calibri" w:eastAsia="Times New Roman" w:hAnsi="Calibri" w:cs="Calibri"/>
          <w:color w:val="000000"/>
          <w:highlight w:val="green"/>
          <w:shd w:val="clear" w:color="auto" w:fill="FFFF00"/>
          <w:lang w:eastAsia="en-GB"/>
        </w:rPr>
        <w:t xml:space="preserve"> </w:t>
      </w:r>
      <w:commentRangeEnd w:id="6"/>
      <w:r w:rsidRPr="001E1FFE">
        <w:rPr>
          <w:rStyle w:val="CommentReference"/>
          <w:highlight w:val="green"/>
        </w:rPr>
        <w:commentReference w:id="6"/>
      </w:r>
      <w:r w:rsidRPr="007B5903">
        <w:rPr>
          <w:rFonts w:ascii="Calibri" w:eastAsia="Times New Roman" w:hAnsi="Calibri" w:cs="Calibri"/>
          <w:color w:val="000000"/>
          <w:shd w:val="clear" w:color="auto" w:fill="FFFF00"/>
          <w:lang w:eastAsia="en-GB"/>
        </w:rPr>
        <w:t>The law does not apply to one off scenarios.</w:t>
      </w:r>
      <w:r w:rsidRPr="007B5903">
        <w:rPr>
          <w:rFonts w:ascii="Calibri" w:eastAsia="Times New Roman" w:hAnsi="Calibri" w:cs="Calibri"/>
          <w:color w:val="000000"/>
          <w:lang w:eastAsia="en-GB"/>
        </w:rPr>
        <w:t xml:space="preserve"> TUPE law only applies to those who are directly involved with the transfer and these employees have the right to refuse the transfer and resign - this does not affect their ability to claim constructive dismissal </w:t>
      </w:r>
      <w:r w:rsidRPr="007B5903">
        <w:rPr>
          <w:rFonts w:ascii="Calibri" w:eastAsia="Times New Roman" w:hAnsi="Calibri" w:cs="Calibri"/>
          <w:color w:val="000000"/>
          <w:highlight w:val="green"/>
          <w:lang w:eastAsia="en-GB"/>
        </w:rPr>
        <w:t xml:space="preserve">(Daniels, 2022). </w:t>
      </w:r>
      <w:r w:rsidRPr="007B5903">
        <w:rPr>
          <w:rFonts w:ascii="Calibri" w:eastAsia="Times New Roman" w:hAnsi="Calibri" w:cs="Calibri"/>
          <w:color w:val="000000"/>
          <w:lang w:eastAsia="en-GB"/>
        </w:rPr>
        <w:t xml:space="preserve">Any dismissal of an employee as a result of the transfer is unfair and those with minimum 2 years’ service will be able to claim unfair dismissal as a result of this </w:t>
      </w:r>
      <w:r w:rsidRPr="007B5903">
        <w:rPr>
          <w:rFonts w:ascii="Calibri" w:eastAsia="Times New Roman" w:hAnsi="Calibri" w:cs="Calibri"/>
          <w:color w:val="000000"/>
          <w:highlight w:val="green"/>
          <w:lang w:eastAsia="en-GB"/>
        </w:rPr>
        <w:t xml:space="preserve">(Daniels, 2022). </w:t>
      </w:r>
      <w:r w:rsidRPr="007B5903">
        <w:rPr>
          <w:rFonts w:ascii="Calibri" w:eastAsia="Times New Roman" w:hAnsi="Calibri" w:cs="Calibri"/>
          <w:color w:val="000000"/>
          <w:lang w:eastAsia="en-GB"/>
        </w:rPr>
        <w:t xml:space="preserve">Charlotte and Madeleine can only make a dismissal or change to an employee’s contract on an Economic, Technical or Organisational (ETO) basis. This was reflected in the Whitehouse v Chas A Blatchford &amp; Sons Ltd (1999) case where the hospital successfully dismissed an employee on the basis of cost savings. If the T&amp;Cs mark an improvement, and they proceed with harmonising these terms, then special consideration should be made to ensure that these new T&amp;Cs will not put any particular group at a disadvantage. This would ensure that they protect themselves from discrimination claims </w:t>
      </w:r>
      <w:r w:rsidRPr="007B5903">
        <w:rPr>
          <w:rFonts w:ascii="Calibri" w:eastAsia="Times New Roman" w:hAnsi="Calibri" w:cs="Calibri"/>
          <w:color w:val="000000"/>
          <w:highlight w:val="green"/>
          <w:lang w:eastAsia="en-GB"/>
        </w:rPr>
        <w:t>(ACAS, 2021). </w:t>
      </w:r>
    </w:p>
    <w:p w14:paraId="0284699D" w14:textId="77777777" w:rsidR="007B5903" w:rsidRPr="007B5903" w:rsidRDefault="007B5903" w:rsidP="007B5903">
      <w:pPr>
        <w:pStyle w:val="ListParagraph"/>
        <w:numPr>
          <w:ilvl w:val="0"/>
          <w:numId w:val="1"/>
        </w:numPr>
        <w:spacing w:line="240" w:lineRule="auto"/>
        <w:rPr>
          <w:rFonts w:ascii="Times New Roman" w:eastAsia="Times New Roman" w:hAnsi="Times New Roman" w:cs="Times New Roman"/>
          <w:sz w:val="24"/>
          <w:szCs w:val="24"/>
          <w:lang w:eastAsia="en-GB"/>
        </w:rPr>
      </w:pPr>
      <w:r w:rsidRPr="007B5903">
        <w:rPr>
          <w:rFonts w:ascii="Calibri" w:eastAsia="Times New Roman" w:hAnsi="Calibri" w:cs="Calibri"/>
          <w:color w:val="000000"/>
          <w:lang w:eastAsia="en-GB"/>
        </w:rPr>
        <w:t xml:space="preserve">Employees involved need to be consulted and must be provided with certain information via their union/employee representatives, including: the reason for the transfer and that one is taking place, the implications this has to the employees, the measures that both the current </w:t>
      </w:r>
      <w:r w:rsidRPr="007B5903">
        <w:rPr>
          <w:rFonts w:ascii="Calibri" w:eastAsia="Times New Roman" w:hAnsi="Calibri" w:cs="Calibri"/>
          <w:color w:val="000000"/>
          <w:lang w:eastAsia="en-GB"/>
        </w:rPr>
        <w:lastRenderedPageBreak/>
        <w:t xml:space="preserve">employer and new employer are going to take in relation to the employees </w:t>
      </w:r>
      <w:r w:rsidRPr="007B5903">
        <w:rPr>
          <w:rFonts w:ascii="Calibri" w:eastAsia="Times New Roman" w:hAnsi="Calibri" w:cs="Calibri"/>
          <w:color w:val="000000"/>
          <w:highlight w:val="green"/>
          <w:lang w:eastAsia="en-GB"/>
        </w:rPr>
        <w:t>(Daniels, 2022).</w:t>
      </w:r>
      <w:r w:rsidRPr="007B5903">
        <w:rPr>
          <w:rFonts w:ascii="Calibri" w:eastAsia="Times New Roman" w:hAnsi="Calibri" w:cs="Calibri"/>
          <w:color w:val="000000"/>
          <w:lang w:eastAsia="en-GB"/>
        </w:rPr>
        <w:t xml:space="preserve"> Madeleine and Charlotte need to ensure they comply with this and carry out a consultation </w:t>
      </w:r>
      <w:r w:rsidRPr="007B5903">
        <w:rPr>
          <w:rFonts w:ascii="Calibri" w:eastAsia="Times New Roman" w:hAnsi="Calibri" w:cs="Calibri"/>
          <w:color w:val="000000"/>
          <w:highlight w:val="green"/>
          <w:lang w:eastAsia="en-GB"/>
        </w:rPr>
        <w:t xml:space="preserve">(ACAS, 2021). </w:t>
      </w:r>
      <w:r w:rsidRPr="007B5903">
        <w:rPr>
          <w:rFonts w:ascii="Calibri" w:eastAsia="Times New Roman" w:hAnsi="Calibri" w:cs="Calibri"/>
          <w:color w:val="000000"/>
          <w:lang w:eastAsia="en-GB"/>
        </w:rPr>
        <w:t xml:space="preserve">Failing to consult employees adequately will result in financial compensation being awarded to those affected, this can total 13 weeks’ pay. </w:t>
      </w:r>
      <w:r w:rsidRPr="007B5903">
        <w:rPr>
          <w:rFonts w:ascii="Calibri" w:eastAsia="Times New Roman" w:hAnsi="Calibri" w:cs="Calibri"/>
          <w:color w:val="000000"/>
          <w:highlight w:val="green"/>
          <w:lang w:eastAsia="en-GB"/>
        </w:rPr>
        <w:t>(Daniels, 2022). </w:t>
      </w:r>
    </w:p>
    <w:p w14:paraId="2CD46DD3"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 xml:space="preserve">As outlined in the Employee Rights Act 1996, Charlotte and Madeleine need to provide employees with an itemised pay statement providing the following information: gross salary; elements of variable pay; deductions from gross salary; net salary; amount and method of part payments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 xml:space="preserve">If pay is dependent on hours then the amount of hours worked also needs to be stated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 xml:space="preserve">Failure to provide an itemised pay statement can lead to an employee applying to an employment tribunal which would declare the needed particulars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 xml:space="preserve">The managers also need to ensure they comply with the National Minimum Wage Act 1998. This law provides a minimum hourly rate of pay to workers under 23, the National Living Wage (NLW) was introduced in 2016 and applies to those aged over 23 </w:t>
      </w:r>
      <w:r w:rsidRPr="0072433F">
        <w:rPr>
          <w:rFonts w:ascii="Calibri" w:eastAsia="Times New Roman" w:hAnsi="Calibri" w:cs="Calibri"/>
          <w:color w:val="000000"/>
          <w:highlight w:val="green"/>
          <w:lang w:eastAsia="en-GB"/>
        </w:rPr>
        <w:t>(</w:t>
      </w:r>
      <w:r>
        <w:rPr>
          <w:rFonts w:ascii="Calibri" w:eastAsia="Times New Roman" w:hAnsi="Calibri" w:cs="Calibri"/>
          <w:color w:val="000000"/>
          <w:highlight w:val="green"/>
          <w:lang w:eastAsia="en-GB"/>
        </w:rPr>
        <w:t>ACAS, 2023</w:t>
      </w:r>
      <w:r w:rsidRPr="0072433F">
        <w:rPr>
          <w:rFonts w:ascii="Calibri" w:eastAsia="Times New Roman" w:hAnsi="Calibri" w:cs="Calibri"/>
          <w:color w:val="000000"/>
          <w:highlight w:val="green"/>
          <w:lang w:eastAsia="en-GB"/>
        </w:rPr>
        <w:t xml:space="preserve">). </w:t>
      </w:r>
      <w:r w:rsidRPr="0072433F">
        <w:rPr>
          <w:rFonts w:ascii="Calibri" w:eastAsia="Times New Roman" w:hAnsi="Calibri" w:cs="Calibri"/>
          <w:color w:val="000000"/>
          <w:lang w:eastAsia="en-GB"/>
        </w:rPr>
        <w:t>The current rates of pay are: </w:t>
      </w:r>
    </w:p>
    <w:p w14:paraId="6C85FD8F" w14:textId="77777777" w:rsidR="007B5903" w:rsidRPr="0072433F" w:rsidRDefault="007B5903" w:rsidP="007B5903">
      <w:pPr>
        <w:numPr>
          <w:ilvl w:val="0"/>
          <w:numId w:val="3"/>
        </w:numPr>
        <w:spacing w:after="0" w:line="240" w:lineRule="auto"/>
        <w:textAlignment w:val="baseline"/>
        <w:rPr>
          <w:rFonts w:ascii="Calibri" w:eastAsia="Times New Roman" w:hAnsi="Calibri" w:cs="Calibri"/>
          <w:color w:val="000000"/>
          <w:lang w:eastAsia="en-GB"/>
        </w:rPr>
      </w:pPr>
      <w:r w:rsidRPr="0072433F">
        <w:rPr>
          <w:rFonts w:ascii="Calibri" w:eastAsia="Times New Roman" w:hAnsi="Calibri" w:cs="Calibri"/>
          <w:color w:val="000000"/>
          <w:lang w:eastAsia="en-GB"/>
        </w:rPr>
        <w:t>£10.42 per hour (</w:t>
      </w:r>
      <w:proofErr w:type="spellStart"/>
      <w:r w:rsidRPr="0072433F">
        <w:rPr>
          <w:rFonts w:ascii="Calibri" w:eastAsia="Times New Roman" w:hAnsi="Calibri" w:cs="Calibri"/>
          <w:color w:val="000000"/>
          <w:lang w:eastAsia="en-GB"/>
        </w:rPr>
        <w:t>ph</w:t>
      </w:r>
      <w:proofErr w:type="spellEnd"/>
      <w:r w:rsidRPr="0072433F">
        <w:rPr>
          <w:rFonts w:ascii="Calibri" w:eastAsia="Times New Roman" w:hAnsi="Calibri" w:cs="Calibri"/>
          <w:color w:val="000000"/>
          <w:lang w:eastAsia="en-GB"/>
        </w:rPr>
        <w:t>), aged 23+ </w:t>
      </w:r>
    </w:p>
    <w:p w14:paraId="6B5D59D9" w14:textId="77777777" w:rsidR="007B5903" w:rsidRPr="0072433F" w:rsidRDefault="007B5903" w:rsidP="007B5903">
      <w:pPr>
        <w:numPr>
          <w:ilvl w:val="0"/>
          <w:numId w:val="3"/>
        </w:numPr>
        <w:spacing w:after="0" w:line="240" w:lineRule="auto"/>
        <w:textAlignment w:val="baseline"/>
        <w:rPr>
          <w:rFonts w:ascii="Calibri" w:eastAsia="Times New Roman" w:hAnsi="Calibri" w:cs="Calibri"/>
          <w:color w:val="000000"/>
          <w:lang w:eastAsia="en-GB"/>
        </w:rPr>
      </w:pPr>
      <w:r w:rsidRPr="0072433F">
        <w:rPr>
          <w:rFonts w:ascii="Calibri" w:eastAsia="Times New Roman" w:hAnsi="Calibri" w:cs="Calibri"/>
          <w:color w:val="000000"/>
          <w:lang w:eastAsia="en-GB"/>
        </w:rPr>
        <w:t xml:space="preserve">£10.18 </w:t>
      </w:r>
      <w:proofErr w:type="spellStart"/>
      <w:r w:rsidRPr="0072433F">
        <w:rPr>
          <w:rFonts w:ascii="Calibri" w:eastAsia="Times New Roman" w:hAnsi="Calibri" w:cs="Calibri"/>
          <w:color w:val="000000"/>
          <w:lang w:eastAsia="en-GB"/>
        </w:rPr>
        <w:t>ph</w:t>
      </w:r>
      <w:proofErr w:type="spellEnd"/>
      <w:r w:rsidRPr="0072433F">
        <w:rPr>
          <w:rFonts w:ascii="Calibri" w:eastAsia="Times New Roman" w:hAnsi="Calibri" w:cs="Calibri"/>
          <w:color w:val="000000"/>
          <w:lang w:eastAsia="en-GB"/>
        </w:rPr>
        <w:t>, aged 21-22</w:t>
      </w:r>
    </w:p>
    <w:p w14:paraId="774CC042" w14:textId="77777777" w:rsidR="007B5903" w:rsidRPr="0072433F" w:rsidRDefault="007B5903" w:rsidP="007B5903">
      <w:pPr>
        <w:numPr>
          <w:ilvl w:val="0"/>
          <w:numId w:val="3"/>
        </w:numPr>
        <w:spacing w:after="0" w:line="240" w:lineRule="auto"/>
        <w:textAlignment w:val="baseline"/>
        <w:rPr>
          <w:rFonts w:ascii="Calibri" w:eastAsia="Times New Roman" w:hAnsi="Calibri" w:cs="Calibri"/>
          <w:color w:val="000000"/>
          <w:lang w:eastAsia="en-GB"/>
        </w:rPr>
      </w:pPr>
      <w:r w:rsidRPr="0072433F">
        <w:rPr>
          <w:rFonts w:ascii="Calibri" w:eastAsia="Times New Roman" w:hAnsi="Calibri" w:cs="Calibri"/>
          <w:color w:val="000000"/>
          <w:lang w:eastAsia="en-GB"/>
        </w:rPr>
        <w:t xml:space="preserve">£7.49 </w:t>
      </w:r>
      <w:proofErr w:type="spellStart"/>
      <w:r w:rsidRPr="0072433F">
        <w:rPr>
          <w:rFonts w:ascii="Calibri" w:eastAsia="Times New Roman" w:hAnsi="Calibri" w:cs="Calibri"/>
          <w:color w:val="000000"/>
          <w:lang w:eastAsia="en-GB"/>
        </w:rPr>
        <w:t>ph</w:t>
      </w:r>
      <w:proofErr w:type="spellEnd"/>
      <w:r w:rsidRPr="0072433F">
        <w:rPr>
          <w:rFonts w:ascii="Calibri" w:eastAsia="Times New Roman" w:hAnsi="Calibri" w:cs="Calibri"/>
          <w:color w:val="000000"/>
          <w:lang w:eastAsia="en-GB"/>
        </w:rPr>
        <w:t>, aged 18-20</w:t>
      </w:r>
    </w:p>
    <w:p w14:paraId="56788981" w14:textId="77777777" w:rsidR="007B5903" w:rsidRPr="0072433F" w:rsidRDefault="007B5903" w:rsidP="007B5903">
      <w:pPr>
        <w:numPr>
          <w:ilvl w:val="0"/>
          <w:numId w:val="3"/>
        </w:numPr>
        <w:spacing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£5.</w:t>
      </w:r>
      <w:r w:rsidRPr="0072433F">
        <w:rPr>
          <w:rFonts w:ascii="Calibri" w:eastAsia="Times New Roman" w:hAnsi="Calibri" w:cs="Calibri"/>
          <w:color w:val="000000"/>
          <w:lang w:eastAsia="en-GB"/>
        </w:rPr>
        <w:t xml:space="preserve">38 </w:t>
      </w:r>
      <w:proofErr w:type="spellStart"/>
      <w:r w:rsidRPr="0072433F">
        <w:rPr>
          <w:rFonts w:ascii="Calibri" w:eastAsia="Times New Roman" w:hAnsi="Calibri" w:cs="Calibri"/>
          <w:color w:val="000000"/>
          <w:lang w:eastAsia="en-GB"/>
        </w:rPr>
        <w:t>ph</w:t>
      </w:r>
      <w:proofErr w:type="spellEnd"/>
      <w:r w:rsidRPr="0072433F">
        <w:rPr>
          <w:rFonts w:ascii="Calibri" w:eastAsia="Times New Roman" w:hAnsi="Calibri" w:cs="Calibri"/>
          <w:color w:val="000000"/>
          <w:lang w:eastAsia="en-GB"/>
        </w:rPr>
        <w:t>, aged 18 or under &amp; apprentices</w:t>
      </w:r>
    </w:p>
    <w:p w14:paraId="693FF87F"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EA5CCE">
        <w:rPr>
          <w:rFonts w:ascii="Calibri" w:eastAsia="Times New Roman" w:hAnsi="Calibri" w:cs="Calibri"/>
          <w:color w:val="000000"/>
          <w:highlight w:val="green"/>
          <w:lang w:eastAsia="en-GB"/>
        </w:rPr>
        <w:t>(gov.uk)</w:t>
      </w:r>
    </w:p>
    <w:p w14:paraId="562D09C9"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sidRPr="0072433F">
        <w:rPr>
          <w:rFonts w:ascii="Calibri" w:eastAsia="Times New Roman" w:hAnsi="Calibri" w:cs="Calibri"/>
          <w:color w:val="000000"/>
          <w:lang w:eastAsia="en-GB"/>
        </w:rPr>
        <w:t>It's clear then that Charlotte and Madeleine’s approach is unlawful and needs to be reviewed. They either need to bring the pay of their workers in line with the above according to their age, or ensure they are paying everyone a minimum of £10.42 ph. If they introduce rates that are above NMW/NLW</w:t>
      </w:r>
      <w:r>
        <w:rPr>
          <w:rFonts w:ascii="Calibri" w:eastAsia="Times New Roman" w:hAnsi="Calibri" w:cs="Calibri"/>
          <w:color w:val="000000"/>
          <w:lang w:eastAsia="en-GB"/>
        </w:rPr>
        <w:t>,</w:t>
      </w:r>
      <w:r w:rsidRPr="0072433F">
        <w:rPr>
          <w:rFonts w:ascii="Calibri" w:eastAsia="Times New Roman" w:hAnsi="Calibri" w:cs="Calibri"/>
          <w:color w:val="000000"/>
          <w:lang w:eastAsia="en-GB"/>
        </w:rPr>
        <w:t xml:space="preserve"> but vary according to age, this could be deemed discriminate if they cannot justify the reason behind the variation </w:t>
      </w:r>
      <w:r w:rsidRPr="0072433F">
        <w:rPr>
          <w:rFonts w:ascii="Calibri" w:eastAsia="Times New Roman" w:hAnsi="Calibri" w:cs="Calibri"/>
          <w:color w:val="000000"/>
          <w:highlight w:val="green"/>
          <w:lang w:eastAsia="en-GB"/>
        </w:rPr>
        <w:t xml:space="preserve">(Daniels, 2022). </w:t>
      </w:r>
      <w:r w:rsidRPr="0072433F">
        <w:rPr>
          <w:rFonts w:ascii="Calibri" w:eastAsia="Times New Roman" w:hAnsi="Calibri" w:cs="Calibri"/>
          <w:color w:val="000000"/>
          <w:lang w:eastAsia="en-GB"/>
        </w:rPr>
        <w:t xml:space="preserve">If they fail to pay at least the NMW/NLW then a fine of £20,000 per employee could be charged as outlined in the Small Business Enterprise and Employment Act 2015. Employees also have a right to request pay records within the past 3 years </w:t>
      </w:r>
      <w:r w:rsidRPr="0072433F">
        <w:rPr>
          <w:rFonts w:ascii="Calibri" w:eastAsia="Times New Roman" w:hAnsi="Calibri" w:cs="Calibri"/>
          <w:color w:val="000000"/>
          <w:highlight w:val="green"/>
          <w:lang w:eastAsia="en-GB"/>
        </w:rPr>
        <w:t xml:space="preserve">(Daniels, 2022). </w:t>
      </w:r>
      <w:r>
        <w:rPr>
          <w:rFonts w:ascii="Calibri" w:eastAsia="Times New Roman" w:hAnsi="Calibri" w:cs="Calibri"/>
          <w:color w:val="000000"/>
          <w:lang w:eastAsia="en-GB"/>
        </w:rPr>
        <w:t xml:space="preserve">As well as seeking compensation via an employment tribunal, employees can also report their employer to HMRC </w:t>
      </w:r>
      <w:r w:rsidRPr="00EA5CCE">
        <w:rPr>
          <w:rFonts w:ascii="Calibri" w:eastAsia="Times New Roman" w:hAnsi="Calibri" w:cs="Calibri"/>
          <w:color w:val="000000"/>
          <w:highlight w:val="green"/>
          <w:lang w:eastAsia="en-GB"/>
        </w:rPr>
        <w:t>(ACAS, 2023).</w:t>
      </w:r>
      <w:r>
        <w:rPr>
          <w:rFonts w:ascii="Calibri" w:eastAsia="Times New Roman" w:hAnsi="Calibri" w:cs="Calibri"/>
          <w:color w:val="000000"/>
          <w:lang w:eastAsia="en-GB"/>
        </w:rPr>
        <w:t xml:space="preserve"> </w:t>
      </w:r>
      <w:commentRangeStart w:id="7"/>
      <w:r w:rsidRPr="0072433F">
        <w:rPr>
          <w:rFonts w:ascii="Calibri" w:eastAsia="Times New Roman" w:hAnsi="Calibri" w:cs="Calibri"/>
          <w:color w:val="000000"/>
          <w:lang w:eastAsia="en-GB"/>
        </w:rPr>
        <w:t xml:space="preserve">Employers are only required to pay the NMW/NLW when employees are actually working, this does not include provisions in their contract which might require them to be available at certain times or on premises </w:t>
      </w:r>
      <w:commentRangeStart w:id="8"/>
      <w:r w:rsidRPr="0072433F">
        <w:rPr>
          <w:rFonts w:ascii="Calibri" w:eastAsia="Times New Roman" w:hAnsi="Calibri" w:cs="Calibri"/>
          <w:color w:val="000000"/>
          <w:highlight w:val="green"/>
          <w:lang w:eastAsia="en-GB"/>
        </w:rPr>
        <w:t>(Daniels, 2022). </w:t>
      </w:r>
      <w:commentRangeEnd w:id="8"/>
      <w:r w:rsidRPr="001E1FFE">
        <w:rPr>
          <w:rStyle w:val="CommentReference"/>
          <w:highlight w:val="green"/>
        </w:rPr>
        <w:commentReference w:id="8"/>
      </w:r>
      <w:commentRangeEnd w:id="7"/>
      <w:r>
        <w:rPr>
          <w:rStyle w:val="CommentReference"/>
        </w:rPr>
        <w:commentReference w:id="7"/>
      </w:r>
    </w:p>
    <w:p w14:paraId="18DD4235" w14:textId="77777777" w:rsidR="007B5903" w:rsidRDefault="007B5903" w:rsidP="007B5903">
      <w:pPr>
        <w:spacing w:line="240" w:lineRule="auto"/>
        <w:rPr>
          <w:rFonts w:ascii="Calibri" w:eastAsia="Times New Roman" w:hAnsi="Calibri" w:cs="Calibri"/>
          <w:color w:val="000000"/>
          <w:lang w:eastAsia="en-GB"/>
        </w:rPr>
      </w:pPr>
      <w:r>
        <w:rPr>
          <w:rFonts w:eastAsia="Times New Roman" w:cstheme="minorHAnsi"/>
          <w:szCs w:val="24"/>
          <w:lang w:eastAsia="en-GB"/>
        </w:rPr>
        <w:t xml:space="preserve">The Working Time Regulations 1998 founds the basis for employment regulation in regards to the amount of time a worker works </w:t>
      </w:r>
      <w:r w:rsidRPr="00AD356B">
        <w:rPr>
          <w:rFonts w:eastAsia="Times New Roman" w:cstheme="minorHAnsi"/>
          <w:szCs w:val="24"/>
          <w:highlight w:val="green"/>
          <w:lang w:eastAsia="en-GB"/>
        </w:rPr>
        <w:t>(Daniels, 2022).</w:t>
      </w:r>
      <w:r>
        <w:rPr>
          <w:rFonts w:eastAsia="Times New Roman" w:cstheme="minorHAnsi"/>
          <w:szCs w:val="24"/>
          <w:lang w:eastAsia="en-GB"/>
        </w:rPr>
        <w:t xml:space="preserve"> The legislation covers all workers who either have a contract of employment or any other contract where by someone else is expected to carry out work for another person, this excludes those who are self-employed </w:t>
      </w:r>
      <w:r w:rsidRPr="00AD356B">
        <w:rPr>
          <w:rFonts w:eastAsia="Times New Roman" w:cstheme="minorHAnsi"/>
          <w:szCs w:val="24"/>
          <w:highlight w:val="green"/>
          <w:lang w:eastAsia="en-GB"/>
        </w:rPr>
        <w:t>(Daniels, 2022).</w:t>
      </w:r>
      <w:r>
        <w:rPr>
          <w:rFonts w:eastAsia="Times New Roman" w:cstheme="minorHAnsi"/>
          <w:szCs w:val="24"/>
          <w:lang w:eastAsia="en-GB"/>
        </w:rPr>
        <w:t xml:space="preserve"> As part of the provisions within the legislation, workers are entitled to work no more than 48 hrs each week, if they are expected to work more than this they should consent via an opt out form </w:t>
      </w:r>
      <w:r w:rsidRPr="00AD356B">
        <w:rPr>
          <w:rFonts w:eastAsia="Times New Roman" w:cstheme="minorHAnsi"/>
          <w:szCs w:val="24"/>
          <w:highlight w:val="green"/>
          <w:lang w:eastAsia="en-GB"/>
        </w:rPr>
        <w:t>(Daniels, 2022).</w:t>
      </w:r>
      <w:r>
        <w:rPr>
          <w:rFonts w:eastAsia="Times New Roman" w:cstheme="minorHAnsi"/>
          <w:szCs w:val="24"/>
          <w:lang w:eastAsia="en-GB"/>
        </w:rPr>
        <w:t xml:space="preserve"> Workers are also entitled to 5.6 weeks paid leave, including bank holidays, per year; 20 minutes rest if they are working 6 hours or more; 11 hrs rest every 24 hrs and 24 consecutive hours rest every 7 days (or 48 hrs over 14 days). </w:t>
      </w:r>
      <w:r>
        <w:rPr>
          <w:rFonts w:ascii="Calibri" w:eastAsia="Times New Roman" w:hAnsi="Calibri" w:cs="Calibri"/>
          <w:color w:val="000000"/>
          <w:lang w:eastAsia="en-GB"/>
        </w:rPr>
        <w:t xml:space="preserve">For each week of leave taken, workers are entitled to a week’s pay – or average pay (over 52 weeks) if pay is variable </w:t>
      </w:r>
      <w:r w:rsidRPr="00AD356B">
        <w:rPr>
          <w:rFonts w:ascii="Calibri" w:eastAsia="Times New Roman" w:hAnsi="Calibri" w:cs="Calibri"/>
          <w:color w:val="000000"/>
          <w:highlight w:val="green"/>
          <w:lang w:eastAsia="en-GB"/>
        </w:rPr>
        <w:t xml:space="preserve">(Daniels, </w:t>
      </w:r>
      <w:commentRangeStart w:id="9"/>
      <w:r w:rsidRPr="00AD356B">
        <w:rPr>
          <w:rFonts w:ascii="Calibri" w:eastAsia="Times New Roman" w:hAnsi="Calibri" w:cs="Calibri"/>
          <w:color w:val="000000"/>
          <w:highlight w:val="green"/>
          <w:lang w:eastAsia="en-GB"/>
        </w:rPr>
        <w:t>2022</w:t>
      </w:r>
      <w:commentRangeEnd w:id="9"/>
      <w:r w:rsidRPr="00AD356B">
        <w:rPr>
          <w:rStyle w:val="CommentReference"/>
          <w:highlight w:val="green"/>
        </w:rPr>
        <w:commentReference w:id="9"/>
      </w:r>
      <w:r w:rsidRPr="00AD356B">
        <w:rPr>
          <w:rFonts w:ascii="Calibri" w:eastAsia="Times New Roman" w:hAnsi="Calibri" w:cs="Calibri"/>
          <w:color w:val="000000"/>
          <w:highlight w:val="green"/>
          <w:lang w:eastAsia="en-GB"/>
        </w:rPr>
        <w:t>).</w:t>
      </w:r>
      <w:r>
        <w:rPr>
          <w:rFonts w:ascii="Calibri" w:eastAsia="Times New Roman" w:hAnsi="Calibri" w:cs="Calibri"/>
          <w:color w:val="000000"/>
          <w:lang w:eastAsia="en-GB"/>
        </w:rPr>
        <w:t xml:space="preserve"> </w:t>
      </w:r>
    </w:p>
    <w:p w14:paraId="7B41AB17" w14:textId="77777777" w:rsidR="007B5903" w:rsidRDefault="007B5903" w:rsidP="007B5903">
      <w:pPr>
        <w:spacing w:after="24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In consideration of this information, Kit would likely have legal cause for complaint. Firstly, his usual working hours are too long as he should only be working a maximum of 48 hrs a week, unless he has signed </w:t>
      </w:r>
      <w:proofErr w:type="gramStart"/>
      <w:r>
        <w:rPr>
          <w:rFonts w:ascii="Calibri" w:eastAsia="Times New Roman" w:hAnsi="Calibri" w:cs="Calibri"/>
          <w:color w:val="000000"/>
          <w:lang w:eastAsia="en-GB"/>
        </w:rPr>
        <w:t>an opt</w:t>
      </w:r>
      <w:proofErr w:type="gramEnd"/>
      <w:r>
        <w:rPr>
          <w:rFonts w:ascii="Calibri" w:eastAsia="Times New Roman" w:hAnsi="Calibri" w:cs="Calibri"/>
          <w:color w:val="000000"/>
          <w:lang w:eastAsia="en-GB"/>
        </w:rPr>
        <w:t xml:space="preserve"> out. He is also entitled to at least a 20 minute break every day. He has sufficient rest between shifts and has sufficient breaks every week according to his usual schedule, however, when he is covering the supervisor Charlotte and Madeleine need to ensure Kit is getting at least 48 hrs rest every fortnight. Kit is also entitled to 5.6 weeks paid leave including bank holidays. If Charlotte and Madeleine fail to make the above provisions after Kit has raised the complaint, Kit could successfully claim compensation via an Employment Tribunal or repo</w:t>
      </w:r>
      <w:commentRangeStart w:id="10"/>
      <w:r>
        <w:rPr>
          <w:rFonts w:ascii="Calibri" w:eastAsia="Times New Roman" w:hAnsi="Calibri" w:cs="Calibri"/>
          <w:color w:val="000000"/>
          <w:lang w:eastAsia="en-GB"/>
        </w:rPr>
        <w:t xml:space="preserve">rt it to the Health and Safety </w:t>
      </w:r>
      <w:r>
        <w:rPr>
          <w:rFonts w:ascii="Calibri" w:eastAsia="Times New Roman" w:hAnsi="Calibri" w:cs="Calibri"/>
          <w:color w:val="000000"/>
          <w:lang w:eastAsia="en-GB"/>
        </w:rPr>
        <w:lastRenderedPageBreak/>
        <w:t xml:space="preserve">Executive or the local authority </w:t>
      </w:r>
      <w:r w:rsidRPr="00AD356B">
        <w:rPr>
          <w:rFonts w:ascii="Calibri" w:eastAsia="Times New Roman" w:hAnsi="Calibri" w:cs="Calibri"/>
          <w:color w:val="000000"/>
          <w:highlight w:val="green"/>
          <w:lang w:eastAsia="en-GB"/>
        </w:rPr>
        <w:t xml:space="preserve">(ACAS, 2023). </w:t>
      </w:r>
      <w:commentRangeEnd w:id="10"/>
      <w:r w:rsidRPr="00AD356B">
        <w:rPr>
          <w:rStyle w:val="CommentReference"/>
          <w:highlight w:val="green"/>
        </w:rPr>
        <w:commentReference w:id="10"/>
      </w:r>
      <w:r>
        <w:rPr>
          <w:rFonts w:ascii="Calibri" w:eastAsia="Times New Roman" w:hAnsi="Calibri" w:cs="Calibri"/>
          <w:color w:val="000000"/>
          <w:lang w:eastAsia="en-GB"/>
        </w:rPr>
        <w:t xml:space="preserve">This could result in a prohibition notice or fine as well as payment awarded at tribunal </w:t>
      </w:r>
      <w:r w:rsidRPr="00AD356B">
        <w:rPr>
          <w:rFonts w:ascii="Calibri" w:eastAsia="Times New Roman" w:hAnsi="Calibri" w:cs="Calibri"/>
          <w:color w:val="000000"/>
          <w:highlight w:val="green"/>
          <w:lang w:eastAsia="en-GB"/>
        </w:rPr>
        <w:t>(ACAS, 2023).</w:t>
      </w:r>
      <w:r>
        <w:rPr>
          <w:rFonts w:ascii="Calibri" w:eastAsia="Times New Roman" w:hAnsi="Calibri" w:cs="Calibri"/>
          <w:color w:val="000000"/>
          <w:lang w:eastAsia="en-GB"/>
        </w:rPr>
        <w:t xml:space="preserve"> </w:t>
      </w:r>
    </w:p>
    <w:p w14:paraId="214D8845" w14:textId="77777777" w:rsidR="007B5903" w:rsidRPr="00AC1D41" w:rsidRDefault="007B5903" w:rsidP="007B5903">
      <w:pPr>
        <w:pStyle w:val="Nornal"/>
        <w:jc w:val="both"/>
        <w:rPr>
          <w:rFonts w:asciiTheme="minorHAnsi" w:hAnsiTheme="minorHAnsi" w:cstheme="minorHAnsi"/>
        </w:rPr>
      </w:pPr>
      <w:r>
        <w:rPr>
          <w:rFonts w:asciiTheme="minorHAnsi" w:hAnsiTheme="minorHAnsi" w:cstheme="minorHAnsi"/>
        </w:rPr>
        <w:t>Charlotte and Madeleine need to ensure they comply with existing legislation concerning maternity rights, making the needed provisions for Coco and other employees. I have provided a summary of these rights below:</w:t>
      </w:r>
    </w:p>
    <w:p w14:paraId="36717CBC" w14:textId="77777777" w:rsidR="007B5903" w:rsidRDefault="007B5903" w:rsidP="007B5903">
      <w:pPr>
        <w:pStyle w:val="Nornal"/>
        <w:jc w:val="both"/>
        <w:rPr>
          <w:rFonts w:asciiTheme="minorHAnsi" w:hAnsiTheme="minorHAnsi" w:cstheme="minorHAnsi"/>
        </w:rPr>
      </w:pPr>
      <w:r>
        <w:rPr>
          <w:rFonts w:asciiTheme="minorHAnsi" w:hAnsiTheme="minorHAnsi" w:cstheme="minorHAnsi"/>
        </w:rPr>
        <w:t>Maternity &amp; Adoption Rights:</w:t>
      </w:r>
    </w:p>
    <w:p w14:paraId="3ACAFE95" w14:textId="77777777" w:rsidR="007B5903" w:rsidRDefault="007B5903" w:rsidP="007B5903">
      <w:pPr>
        <w:pStyle w:val="Nornal"/>
        <w:jc w:val="both"/>
        <w:rPr>
          <w:rFonts w:asciiTheme="minorHAnsi" w:hAnsiTheme="minorHAnsi" w:cstheme="minorHAnsi"/>
        </w:rPr>
      </w:pPr>
      <w:r>
        <w:rPr>
          <w:rFonts w:asciiTheme="minorHAnsi" w:hAnsiTheme="minorHAnsi" w:cstheme="minorHAnsi"/>
        </w:rPr>
        <w:t xml:space="preserve">Prior to leave: </w:t>
      </w:r>
    </w:p>
    <w:p w14:paraId="18955C25" w14:textId="77777777" w:rsidR="007B5903" w:rsidRDefault="007B5903" w:rsidP="007B5903">
      <w:pPr>
        <w:pStyle w:val="Nornal"/>
        <w:numPr>
          <w:ilvl w:val="0"/>
          <w:numId w:val="4"/>
        </w:numPr>
        <w:rPr>
          <w:rFonts w:asciiTheme="minorHAnsi" w:hAnsiTheme="minorHAnsi" w:cstheme="minorHAnsi"/>
        </w:rPr>
      </w:pPr>
      <w:r>
        <w:rPr>
          <w:rFonts w:asciiTheme="minorHAnsi" w:hAnsiTheme="minorHAnsi" w:cstheme="minorHAnsi"/>
        </w:rPr>
        <w:t>Entitled to paid time off for antenatal appointments.</w:t>
      </w:r>
    </w:p>
    <w:p w14:paraId="34FCABE4" w14:textId="77777777" w:rsidR="007B5903" w:rsidRDefault="007B5903" w:rsidP="007B5903">
      <w:pPr>
        <w:pStyle w:val="Nornal"/>
        <w:numPr>
          <w:ilvl w:val="0"/>
          <w:numId w:val="4"/>
        </w:numPr>
        <w:rPr>
          <w:rFonts w:asciiTheme="minorHAnsi" w:hAnsiTheme="minorHAnsi" w:cstheme="minorHAnsi"/>
        </w:rPr>
      </w:pPr>
      <w:r>
        <w:rPr>
          <w:rFonts w:asciiTheme="minorHAnsi" w:hAnsiTheme="minorHAnsi" w:cstheme="minorHAnsi"/>
        </w:rPr>
        <w:t>Risk assessment for Maternity.</w:t>
      </w:r>
    </w:p>
    <w:p w14:paraId="5C5B295C" w14:textId="77777777" w:rsidR="007B5903" w:rsidRDefault="007B5903" w:rsidP="007B5903">
      <w:pPr>
        <w:pStyle w:val="Nornal"/>
        <w:numPr>
          <w:ilvl w:val="0"/>
          <w:numId w:val="4"/>
        </w:numPr>
        <w:rPr>
          <w:rFonts w:asciiTheme="minorHAnsi" w:hAnsiTheme="minorHAnsi" w:cstheme="minorHAnsi"/>
        </w:rPr>
      </w:pPr>
      <w:r>
        <w:rPr>
          <w:rFonts w:asciiTheme="minorHAnsi" w:eastAsia="Times New Roman" w:hAnsiTheme="minorHAnsi" w:cstheme="minorHAnsi"/>
          <w:szCs w:val="24"/>
          <w:lang w:eastAsia="en-GB"/>
        </w:rPr>
        <w:t>Paid time off for 5 pre-adoption appointments for primary adopter.</w:t>
      </w:r>
    </w:p>
    <w:p w14:paraId="304E9EF7" w14:textId="77777777" w:rsidR="007B5903" w:rsidRDefault="007B5903" w:rsidP="007B5903">
      <w:pPr>
        <w:pStyle w:val="Nornal"/>
        <w:rPr>
          <w:rFonts w:asciiTheme="minorHAnsi" w:hAnsiTheme="minorHAnsi" w:cstheme="minorHAnsi"/>
        </w:rPr>
      </w:pPr>
      <w:r>
        <w:rPr>
          <w:rFonts w:asciiTheme="minorHAnsi" w:hAnsiTheme="minorHAnsi" w:cstheme="minorHAnsi"/>
        </w:rPr>
        <w:t>Leave and Pay:</w:t>
      </w:r>
    </w:p>
    <w:p w14:paraId="53353CD3" w14:textId="77777777" w:rsidR="007B5903" w:rsidRDefault="007B5903" w:rsidP="007B5903">
      <w:pPr>
        <w:pStyle w:val="Nornal"/>
        <w:numPr>
          <w:ilvl w:val="0"/>
          <w:numId w:val="4"/>
        </w:numPr>
        <w:rPr>
          <w:rFonts w:asciiTheme="minorHAnsi" w:hAnsiTheme="minorHAnsi" w:cstheme="minorHAnsi"/>
        </w:rPr>
      </w:pPr>
      <w:r>
        <w:rPr>
          <w:rFonts w:asciiTheme="minorHAnsi" w:hAnsiTheme="minorHAnsi" w:cstheme="minorHAnsi"/>
        </w:rPr>
        <w:t xml:space="preserve">No qualifying period for Statutory Maternity Leave (SML) &amp; Statutory Adoption Leave (SAL). </w:t>
      </w:r>
    </w:p>
    <w:p w14:paraId="3C6B555A" w14:textId="77777777" w:rsidR="007B5903" w:rsidRPr="00913CFE" w:rsidRDefault="007B5903" w:rsidP="007B5903">
      <w:pPr>
        <w:pStyle w:val="Nornal"/>
        <w:numPr>
          <w:ilvl w:val="0"/>
          <w:numId w:val="4"/>
        </w:numPr>
        <w:rPr>
          <w:rFonts w:asciiTheme="minorHAnsi" w:hAnsiTheme="minorHAnsi" w:cstheme="minorHAnsi"/>
        </w:rPr>
      </w:pPr>
      <w:r>
        <w:rPr>
          <w:rFonts w:asciiTheme="minorHAnsi" w:hAnsiTheme="minorHAnsi" w:cstheme="minorHAnsi"/>
        </w:rPr>
        <w:t>To receive Statutory Maternity Pay (SMP) there must be 26 weeks continuous employment before the 15</w:t>
      </w:r>
      <w:r w:rsidRPr="00462157">
        <w:rPr>
          <w:rFonts w:asciiTheme="minorHAnsi" w:hAnsiTheme="minorHAnsi" w:cstheme="minorHAnsi"/>
          <w:vertAlign w:val="superscript"/>
        </w:rPr>
        <w:t>th</w:t>
      </w:r>
      <w:r>
        <w:rPr>
          <w:rFonts w:asciiTheme="minorHAnsi" w:hAnsiTheme="minorHAnsi" w:cstheme="minorHAnsi"/>
        </w:rPr>
        <w:t xml:space="preserve"> week before Expected Week of Confinement (EWC).</w:t>
      </w:r>
      <w:r w:rsidRPr="002570FF">
        <w:rPr>
          <w:rFonts w:asciiTheme="minorHAnsi" w:hAnsiTheme="minorHAnsi" w:cstheme="minorHAnsi"/>
        </w:rPr>
        <w:t xml:space="preserve"> </w:t>
      </w:r>
      <w:r>
        <w:rPr>
          <w:rFonts w:asciiTheme="minorHAnsi" w:hAnsiTheme="minorHAnsi" w:cstheme="minorHAnsi"/>
        </w:rPr>
        <w:t>To receive Statutory Adoption Pay (SAP) there must be 26 weeks continuous employment before the 15</w:t>
      </w:r>
      <w:r w:rsidRPr="00462157">
        <w:rPr>
          <w:rFonts w:asciiTheme="minorHAnsi" w:hAnsiTheme="minorHAnsi" w:cstheme="minorHAnsi"/>
          <w:vertAlign w:val="superscript"/>
        </w:rPr>
        <w:t>th</w:t>
      </w:r>
      <w:r>
        <w:rPr>
          <w:rFonts w:asciiTheme="minorHAnsi" w:hAnsiTheme="minorHAnsi" w:cstheme="minorHAnsi"/>
        </w:rPr>
        <w:t xml:space="preserve"> week before date of adoption. Mu</w:t>
      </w:r>
      <w:r w:rsidRPr="00462157">
        <w:rPr>
          <w:rFonts w:asciiTheme="minorHAnsi" w:hAnsiTheme="minorHAnsi" w:cstheme="minorHAnsi"/>
        </w:rPr>
        <w:t>st earn an average of £123 a week to qualify for SMP</w:t>
      </w:r>
      <w:r>
        <w:rPr>
          <w:rFonts w:asciiTheme="minorHAnsi" w:hAnsiTheme="minorHAnsi" w:cstheme="minorHAnsi"/>
        </w:rPr>
        <w:t xml:space="preserve">. </w:t>
      </w:r>
      <w:r w:rsidRPr="00462157">
        <w:rPr>
          <w:rFonts w:asciiTheme="minorHAnsi" w:hAnsiTheme="minorHAnsi" w:cstheme="minorHAnsi"/>
        </w:rPr>
        <w:t>If</w:t>
      </w:r>
      <w:r>
        <w:rPr>
          <w:rFonts w:asciiTheme="minorHAnsi" w:hAnsiTheme="minorHAnsi" w:cstheme="minorHAnsi"/>
        </w:rPr>
        <w:t xml:space="preserve"> earns &lt; £123 or doesn’t</w:t>
      </w:r>
      <w:r w:rsidRPr="00462157">
        <w:rPr>
          <w:rFonts w:asciiTheme="minorHAnsi" w:hAnsiTheme="minorHAnsi" w:cstheme="minorHAnsi"/>
        </w:rPr>
        <w:t xml:space="preserve"> meet</w:t>
      </w:r>
      <w:r>
        <w:rPr>
          <w:rFonts w:asciiTheme="minorHAnsi" w:hAnsiTheme="minorHAnsi" w:cstheme="minorHAnsi"/>
        </w:rPr>
        <w:t xml:space="preserve"> </w:t>
      </w:r>
      <w:r w:rsidRPr="00462157">
        <w:rPr>
          <w:rFonts w:asciiTheme="minorHAnsi" w:hAnsiTheme="minorHAnsi" w:cstheme="minorHAnsi"/>
        </w:rPr>
        <w:t>qualifying period</w:t>
      </w:r>
      <w:r>
        <w:rPr>
          <w:rFonts w:asciiTheme="minorHAnsi" w:hAnsiTheme="minorHAnsi" w:cstheme="minorHAnsi"/>
        </w:rPr>
        <w:t>,</w:t>
      </w:r>
      <w:r w:rsidRPr="00462157">
        <w:rPr>
          <w:rFonts w:asciiTheme="minorHAnsi" w:hAnsiTheme="minorHAnsi" w:cstheme="minorHAnsi"/>
        </w:rPr>
        <w:t xml:space="preserve"> </w:t>
      </w:r>
      <w:r>
        <w:rPr>
          <w:rFonts w:asciiTheme="minorHAnsi" w:hAnsiTheme="minorHAnsi" w:cstheme="minorHAnsi"/>
        </w:rPr>
        <w:t xml:space="preserve">then they’re </w:t>
      </w:r>
      <w:r w:rsidRPr="00462157">
        <w:rPr>
          <w:rFonts w:asciiTheme="minorHAnsi" w:hAnsiTheme="minorHAnsi" w:cstheme="minorHAnsi"/>
        </w:rPr>
        <w:t>entitled to Maternity Allowance</w:t>
      </w:r>
      <w:r>
        <w:rPr>
          <w:rFonts w:asciiTheme="minorHAnsi" w:hAnsiTheme="minorHAnsi" w:cstheme="minorHAnsi"/>
        </w:rPr>
        <w:t>/Income support for adoptions.</w:t>
      </w:r>
    </w:p>
    <w:p w14:paraId="7CB62A58" w14:textId="77777777" w:rsidR="007B5903" w:rsidRPr="00913CFE"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sidRPr="00913CFE">
        <w:rPr>
          <w:rFonts w:asciiTheme="minorHAnsi" w:hAnsiTheme="minorHAnsi" w:cstheme="minorHAnsi"/>
        </w:rPr>
        <w:t>E</w:t>
      </w:r>
      <w:r>
        <w:rPr>
          <w:rFonts w:asciiTheme="minorHAnsi" w:hAnsiTheme="minorHAnsi" w:cstheme="minorHAnsi"/>
        </w:rPr>
        <w:t>ntitled to 26</w:t>
      </w:r>
      <w:r w:rsidRPr="00913CFE">
        <w:rPr>
          <w:rFonts w:asciiTheme="minorHAnsi" w:hAnsiTheme="minorHAnsi" w:cstheme="minorHAnsi"/>
        </w:rPr>
        <w:t xml:space="preserve"> weeks Ordinary Maternity Leave (O</w:t>
      </w:r>
      <w:r>
        <w:rPr>
          <w:rFonts w:asciiTheme="minorHAnsi" w:hAnsiTheme="minorHAnsi" w:cstheme="minorHAnsi"/>
        </w:rPr>
        <w:t xml:space="preserve">ML)/Ordinary Adoption Leave (OAL). Leave cannot be taken earlier than 11 weeks prior to EWC unless baby is born early, or 14 days prior to placement for adoptions. </w:t>
      </w:r>
    </w:p>
    <w:p w14:paraId="73836B33" w14:textId="77777777" w:rsidR="007B5903" w:rsidRPr="00CB5A31"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Pr>
          <w:rFonts w:asciiTheme="minorHAnsi" w:hAnsiTheme="minorHAnsi" w:cstheme="minorHAnsi"/>
        </w:rPr>
        <w:t xml:space="preserve">First 2 weeks of OML &amp; OAL is compulsory. The first 6 weeks of OML/OAL consist of 90% pay followed by 20 weeks SMP/SAP. </w:t>
      </w:r>
    </w:p>
    <w:p w14:paraId="13B47FD6" w14:textId="77777777" w:rsidR="007B5903" w:rsidRPr="00913CFE"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Pr>
          <w:rFonts w:asciiTheme="minorHAnsi" w:hAnsiTheme="minorHAnsi" w:cstheme="minorHAnsi"/>
        </w:rPr>
        <w:t>Entitled to</w:t>
      </w:r>
      <w:r w:rsidRPr="00913CFE">
        <w:rPr>
          <w:rFonts w:asciiTheme="minorHAnsi" w:hAnsiTheme="minorHAnsi" w:cstheme="minorHAnsi"/>
        </w:rPr>
        <w:t xml:space="preserve"> </w:t>
      </w:r>
      <w:r>
        <w:rPr>
          <w:rFonts w:asciiTheme="minorHAnsi" w:hAnsiTheme="minorHAnsi" w:cstheme="minorHAnsi"/>
        </w:rPr>
        <w:t xml:space="preserve">26 weeks </w:t>
      </w:r>
      <w:r w:rsidRPr="00913CFE">
        <w:rPr>
          <w:rFonts w:asciiTheme="minorHAnsi" w:hAnsiTheme="minorHAnsi" w:cstheme="minorHAnsi"/>
        </w:rPr>
        <w:t>Additional Maternity Leave</w:t>
      </w:r>
      <w:r>
        <w:rPr>
          <w:rFonts w:asciiTheme="minorHAnsi" w:hAnsiTheme="minorHAnsi" w:cstheme="minorHAnsi"/>
        </w:rPr>
        <w:t xml:space="preserve"> (AML)/Additional Adoption Leave (AAL)</w:t>
      </w:r>
      <w:r w:rsidRPr="00913CFE">
        <w:rPr>
          <w:rFonts w:asciiTheme="minorHAnsi" w:hAnsiTheme="minorHAnsi" w:cstheme="minorHAnsi"/>
        </w:rPr>
        <w:t>.</w:t>
      </w:r>
      <w:r>
        <w:rPr>
          <w:rFonts w:asciiTheme="minorHAnsi" w:hAnsiTheme="minorHAnsi" w:cstheme="minorHAnsi"/>
        </w:rPr>
        <w:t xml:space="preserve"> First 13 weeks consist of SMP/SAP, last 13 weeks are unpaid.  </w:t>
      </w:r>
    </w:p>
    <w:p w14:paraId="0E98F569" w14:textId="77777777" w:rsidR="007B5903" w:rsidRPr="002570FF"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Pr>
          <w:rFonts w:asciiTheme="minorHAnsi" w:hAnsiTheme="minorHAnsi" w:cstheme="minorHAnsi"/>
        </w:rPr>
        <w:t xml:space="preserve">Annual leave is accrued during OML, AML, </w:t>
      </w:r>
      <w:proofErr w:type="gramStart"/>
      <w:r>
        <w:rPr>
          <w:rFonts w:asciiTheme="minorHAnsi" w:hAnsiTheme="minorHAnsi" w:cstheme="minorHAnsi"/>
        </w:rPr>
        <w:t>OAL</w:t>
      </w:r>
      <w:proofErr w:type="gramEnd"/>
      <w:r>
        <w:rPr>
          <w:rFonts w:asciiTheme="minorHAnsi" w:hAnsiTheme="minorHAnsi" w:cstheme="minorHAnsi"/>
        </w:rPr>
        <w:t xml:space="preserve"> &amp; AAL. </w:t>
      </w:r>
    </w:p>
    <w:p w14:paraId="1D0B6742" w14:textId="77777777" w:rsidR="007B5903" w:rsidRDefault="007B5903" w:rsidP="007B5903">
      <w:pPr>
        <w:pStyle w:val="Nornal"/>
        <w:spacing w:after="240" w:line="240" w:lineRule="auto"/>
        <w:rPr>
          <w:rFonts w:asciiTheme="minorHAnsi" w:hAnsiTheme="minorHAnsi" w:cstheme="minorHAnsi"/>
        </w:rPr>
      </w:pPr>
      <w:r>
        <w:rPr>
          <w:rFonts w:asciiTheme="minorHAnsi" w:hAnsiTheme="minorHAnsi" w:cstheme="minorHAnsi"/>
        </w:rPr>
        <w:t>Return to Work:</w:t>
      </w:r>
    </w:p>
    <w:p w14:paraId="59850599" w14:textId="77777777" w:rsidR="007B5903" w:rsidRPr="002570FF"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Pr>
          <w:rFonts w:asciiTheme="minorHAnsi" w:hAnsiTheme="minorHAnsi" w:cstheme="minorHAnsi"/>
        </w:rPr>
        <w:t>If they return after OML/AML, they are entitled to return to their original post. After AML/AAL, they have the right to return to their original post if practical, if not then must be offered suitable alternative with same T&amp;Cs.</w:t>
      </w:r>
    </w:p>
    <w:p w14:paraId="5F34A861" w14:textId="77777777" w:rsidR="007B5903" w:rsidRPr="00462A2F"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Pr>
          <w:rFonts w:asciiTheme="minorHAnsi" w:hAnsiTheme="minorHAnsi" w:cstheme="minorHAnsi"/>
        </w:rPr>
        <w:t xml:space="preserve">Entitled to 10 keep in touch days. </w:t>
      </w:r>
    </w:p>
    <w:p w14:paraId="022C7D5D" w14:textId="77777777" w:rsidR="007B5903" w:rsidRDefault="007B5903" w:rsidP="007B5903">
      <w:pPr>
        <w:pStyle w:val="Nornal"/>
        <w:spacing w:after="240" w:line="240" w:lineRule="auto"/>
        <w:rPr>
          <w:rFonts w:asciiTheme="minorHAnsi" w:hAnsiTheme="minorHAnsi" w:cstheme="minorHAnsi"/>
        </w:rPr>
      </w:pPr>
      <w:r>
        <w:rPr>
          <w:rFonts w:asciiTheme="minorHAnsi" w:hAnsiTheme="minorHAnsi" w:cstheme="minorHAnsi"/>
        </w:rPr>
        <w:t xml:space="preserve">Paternity Rights: </w:t>
      </w:r>
    </w:p>
    <w:p w14:paraId="7FD21061" w14:textId="77777777" w:rsidR="007B5903" w:rsidRDefault="007B5903" w:rsidP="007B5903">
      <w:pPr>
        <w:pStyle w:val="Nornal"/>
        <w:spacing w:after="240" w:line="240" w:lineRule="auto"/>
        <w:rPr>
          <w:rFonts w:asciiTheme="minorHAnsi" w:hAnsiTheme="minorHAnsi" w:cstheme="minorHAnsi"/>
        </w:rPr>
      </w:pPr>
      <w:r>
        <w:rPr>
          <w:rFonts w:asciiTheme="minorHAnsi" w:hAnsiTheme="minorHAnsi" w:cstheme="minorHAnsi"/>
        </w:rPr>
        <w:t xml:space="preserve">Prior to Leave: </w:t>
      </w:r>
    </w:p>
    <w:p w14:paraId="38CB50E7" w14:textId="77777777" w:rsidR="007B5903" w:rsidRDefault="007B5903" w:rsidP="007B5903">
      <w:pPr>
        <w:pStyle w:val="Nornal"/>
        <w:numPr>
          <w:ilvl w:val="0"/>
          <w:numId w:val="4"/>
        </w:numPr>
        <w:spacing w:after="240" w:line="240" w:lineRule="auto"/>
        <w:rPr>
          <w:rFonts w:asciiTheme="minorHAnsi" w:hAnsiTheme="minorHAnsi" w:cstheme="minorHAnsi"/>
        </w:rPr>
      </w:pPr>
      <w:r>
        <w:rPr>
          <w:rFonts w:asciiTheme="minorHAnsi" w:hAnsiTheme="minorHAnsi" w:cstheme="minorHAnsi"/>
        </w:rPr>
        <w:t>Entitled to 2 unpaid antenatal/adoption appointments</w:t>
      </w:r>
    </w:p>
    <w:p w14:paraId="6AEB7B77" w14:textId="77777777" w:rsidR="007B5903" w:rsidRDefault="007B5903" w:rsidP="007B5903">
      <w:pPr>
        <w:pStyle w:val="Nornal"/>
        <w:spacing w:after="240" w:line="240" w:lineRule="auto"/>
        <w:rPr>
          <w:rFonts w:asciiTheme="minorHAnsi" w:hAnsiTheme="minorHAnsi" w:cstheme="minorHAnsi"/>
        </w:rPr>
      </w:pPr>
      <w:r>
        <w:rPr>
          <w:rFonts w:asciiTheme="minorHAnsi" w:hAnsiTheme="minorHAnsi" w:cstheme="minorHAnsi"/>
        </w:rPr>
        <w:lastRenderedPageBreak/>
        <w:t>Leave and Pay:</w:t>
      </w:r>
    </w:p>
    <w:p w14:paraId="66EC845B" w14:textId="77777777" w:rsidR="007B5903" w:rsidRDefault="007B5903" w:rsidP="007B5903">
      <w:pPr>
        <w:pStyle w:val="Nornal"/>
        <w:numPr>
          <w:ilvl w:val="0"/>
          <w:numId w:val="4"/>
        </w:numPr>
        <w:rPr>
          <w:rFonts w:asciiTheme="minorHAnsi" w:hAnsiTheme="minorHAnsi" w:cstheme="minorHAnsi"/>
        </w:rPr>
      </w:pPr>
      <w:r>
        <w:rPr>
          <w:rFonts w:asciiTheme="minorHAnsi" w:hAnsiTheme="minorHAnsi" w:cstheme="minorHAnsi"/>
        </w:rPr>
        <w:t xml:space="preserve">No qualifying period for Statutory Paternity Leave (SPL) which consists of 1 week or maximum 2 weeks consecutive leave. </w:t>
      </w:r>
    </w:p>
    <w:p w14:paraId="1A9E8847" w14:textId="77777777" w:rsidR="007B5903" w:rsidRDefault="007B5903" w:rsidP="007B5903">
      <w:pPr>
        <w:pStyle w:val="Nornal"/>
        <w:numPr>
          <w:ilvl w:val="0"/>
          <w:numId w:val="4"/>
        </w:numPr>
        <w:spacing w:after="240" w:line="240" w:lineRule="auto"/>
        <w:rPr>
          <w:rFonts w:asciiTheme="minorHAnsi" w:hAnsiTheme="minorHAnsi" w:cstheme="minorHAnsi"/>
        </w:rPr>
      </w:pPr>
      <w:r>
        <w:rPr>
          <w:rFonts w:asciiTheme="minorHAnsi" w:hAnsiTheme="minorHAnsi" w:cstheme="minorHAnsi"/>
        </w:rPr>
        <w:t>To receive Statutory Paternity Pay (SPP) there must be 26 weeks continuous employment before the 15</w:t>
      </w:r>
      <w:r w:rsidRPr="00462157">
        <w:rPr>
          <w:rFonts w:asciiTheme="minorHAnsi" w:hAnsiTheme="minorHAnsi" w:cstheme="minorHAnsi"/>
          <w:vertAlign w:val="superscript"/>
        </w:rPr>
        <w:t>th</w:t>
      </w:r>
      <w:r>
        <w:rPr>
          <w:rFonts w:asciiTheme="minorHAnsi" w:hAnsiTheme="minorHAnsi" w:cstheme="minorHAnsi"/>
        </w:rPr>
        <w:t xml:space="preserve"> week before Expected Week of Confinement (EWC). Must be spouse, civil partner or partner and earn at least average of £123 per week to receive SPP. SPP consists of £172.48 or 90% pay, whichever is lower. </w:t>
      </w:r>
    </w:p>
    <w:p w14:paraId="4EDED0E0" w14:textId="77777777" w:rsidR="007B5903" w:rsidRDefault="007B5903" w:rsidP="007B5903">
      <w:pPr>
        <w:pStyle w:val="Nornal"/>
        <w:numPr>
          <w:ilvl w:val="0"/>
          <w:numId w:val="4"/>
        </w:numPr>
        <w:spacing w:after="240" w:line="240" w:lineRule="auto"/>
        <w:rPr>
          <w:rFonts w:asciiTheme="minorHAnsi" w:hAnsiTheme="minorHAnsi" w:cstheme="minorHAnsi"/>
        </w:rPr>
      </w:pPr>
      <w:r>
        <w:rPr>
          <w:rFonts w:asciiTheme="minorHAnsi" w:hAnsiTheme="minorHAnsi" w:cstheme="minorHAnsi"/>
        </w:rPr>
        <w:t>Paternity Leave must be taken within 56 days of the birth of the child/placement day.</w:t>
      </w:r>
    </w:p>
    <w:p w14:paraId="55000D59" w14:textId="77777777" w:rsidR="007B5903" w:rsidRPr="00CB5A31" w:rsidRDefault="007B5903" w:rsidP="007B5903">
      <w:pPr>
        <w:pStyle w:val="Nornal"/>
        <w:spacing w:after="240" w:line="240" w:lineRule="auto"/>
        <w:rPr>
          <w:rFonts w:ascii="Times New Roman" w:eastAsia="Times New Roman" w:hAnsi="Times New Roman" w:cs="Times New Roman"/>
          <w:sz w:val="24"/>
          <w:szCs w:val="24"/>
          <w:lang w:eastAsia="en-GB"/>
        </w:rPr>
      </w:pPr>
      <w:r>
        <w:rPr>
          <w:rFonts w:asciiTheme="minorHAnsi" w:hAnsiTheme="minorHAnsi" w:cstheme="minorHAnsi"/>
        </w:rPr>
        <w:t xml:space="preserve">Return to Work: </w:t>
      </w:r>
    </w:p>
    <w:p w14:paraId="7E0CDF5A" w14:textId="77777777" w:rsidR="007B5903" w:rsidRPr="00AC4AE1" w:rsidRDefault="007B5903" w:rsidP="007B5903">
      <w:pPr>
        <w:pStyle w:val="Nornal"/>
        <w:numPr>
          <w:ilvl w:val="0"/>
          <w:numId w:val="4"/>
        </w:numPr>
        <w:spacing w:after="240" w:line="240" w:lineRule="auto"/>
        <w:rPr>
          <w:rFonts w:ascii="Times New Roman" w:eastAsia="Times New Roman" w:hAnsi="Times New Roman" w:cs="Times New Roman"/>
          <w:sz w:val="24"/>
          <w:szCs w:val="24"/>
          <w:lang w:eastAsia="en-GB"/>
        </w:rPr>
      </w:pPr>
      <w:r>
        <w:rPr>
          <w:rFonts w:asciiTheme="minorHAnsi" w:eastAsia="Times New Roman" w:hAnsiTheme="minorHAnsi" w:cstheme="minorHAnsi"/>
          <w:szCs w:val="24"/>
          <w:lang w:eastAsia="en-GB"/>
        </w:rPr>
        <w:t>Entitled to return to the same post</w:t>
      </w:r>
    </w:p>
    <w:p w14:paraId="4EE17F99" w14:textId="77777777" w:rsidR="007B5903" w:rsidRPr="00AC1D41" w:rsidRDefault="007B5903" w:rsidP="007B5903">
      <w:pPr>
        <w:pStyle w:val="Nornal"/>
        <w:spacing w:after="240" w:line="240" w:lineRule="auto"/>
        <w:rPr>
          <w:rFonts w:ascii="Times New Roman" w:eastAsia="Times New Roman" w:hAnsi="Times New Roman" w:cs="Times New Roman"/>
          <w:sz w:val="24"/>
          <w:szCs w:val="24"/>
          <w:lang w:eastAsia="en-GB"/>
        </w:rPr>
      </w:pPr>
      <w:r w:rsidRPr="00AD356B">
        <w:rPr>
          <w:rFonts w:asciiTheme="minorHAnsi" w:eastAsia="Times New Roman" w:hAnsiTheme="minorHAnsi" w:cstheme="minorHAnsi"/>
          <w:szCs w:val="24"/>
          <w:highlight w:val="green"/>
          <w:lang w:eastAsia="en-GB"/>
        </w:rPr>
        <w:t>(Daniels, 2022) (gov.uk) (ACAS, 2023)</w:t>
      </w:r>
    </w:p>
    <w:p w14:paraId="3BE8ECD2" w14:textId="77777777" w:rsidR="007B5903" w:rsidRDefault="007B5903" w:rsidP="007B5903">
      <w:pPr>
        <w:pStyle w:val="Nornal"/>
        <w:spacing w:after="240" w:line="240" w:lineRule="auto"/>
        <w:rPr>
          <w:rFonts w:asciiTheme="minorHAnsi" w:eastAsia="Times New Roman" w:hAnsiTheme="minorHAnsi" w:cstheme="minorHAnsi"/>
          <w:szCs w:val="24"/>
          <w:lang w:eastAsia="en-GB"/>
        </w:rPr>
      </w:pPr>
      <w:r>
        <w:rPr>
          <w:rFonts w:asciiTheme="minorHAnsi" w:eastAsia="Times New Roman" w:hAnsiTheme="minorHAnsi" w:cstheme="minorHAnsi"/>
          <w:szCs w:val="24"/>
          <w:lang w:eastAsia="en-GB"/>
        </w:rPr>
        <w:t xml:space="preserve">If Charlotte and Madeleine do not adhere to the above rights, Coco could successfully seek legal remedy through an employment tribunal on the basis of discrimination linked to </w:t>
      </w:r>
      <w:commentRangeStart w:id="11"/>
      <w:r>
        <w:rPr>
          <w:rFonts w:asciiTheme="minorHAnsi" w:eastAsia="Times New Roman" w:hAnsiTheme="minorHAnsi" w:cstheme="minorHAnsi"/>
          <w:szCs w:val="24"/>
          <w:lang w:eastAsia="en-GB"/>
        </w:rPr>
        <w:t xml:space="preserve">maternity/pregnancy where she could </w:t>
      </w:r>
      <w:commentRangeEnd w:id="11"/>
      <w:r>
        <w:rPr>
          <w:rStyle w:val="CommentReference"/>
          <w:rFonts w:asciiTheme="minorHAnsi" w:hAnsiTheme="minorHAnsi" w:cstheme="minorBidi"/>
        </w:rPr>
        <w:commentReference w:id="11"/>
      </w:r>
      <w:r>
        <w:rPr>
          <w:rFonts w:asciiTheme="minorHAnsi" w:eastAsia="Times New Roman" w:hAnsiTheme="minorHAnsi" w:cstheme="minorHAnsi"/>
          <w:szCs w:val="24"/>
          <w:lang w:eastAsia="en-GB"/>
        </w:rPr>
        <w:t xml:space="preserve">seek compensation as this is a protected characteristic under the Equality Act 2010. This could include what she would’ve received through SMP &amp; antenatal appointments plus additional damages including injury to feelings (Daniels, 2022). As Coco does not seem to be aware of her maternity rights, these should be communicated to her as soon as possible. </w:t>
      </w:r>
    </w:p>
    <w:p w14:paraId="71D1FEC4" w14:textId="77777777" w:rsidR="007B5903" w:rsidRDefault="007B5903" w:rsidP="007B5903">
      <w:pPr>
        <w:pStyle w:val="Nornal"/>
        <w:rPr>
          <w:rFonts w:asciiTheme="minorHAnsi" w:hAnsiTheme="minorHAnsi" w:cstheme="minorHAnsi"/>
        </w:rPr>
      </w:pPr>
      <w:r>
        <w:rPr>
          <w:rFonts w:asciiTheme="minorHAnsi" w:hAnsiTheme="minorHAnsi" w:cstheme="minorHAnsi"/>
        </w:rPr>
        <w:t xml:space="preserve">According to the Flexible Working Regulations 2014, any employee has the right to request a statutory flexible working request after 26 weeks continuous service, so long as they haven’t made a request in the past year </w:t>
      </w:r>
      <w:r w:rsidRPr="00AD356B">
        <w:rPr>
          <w:rFonts w:asciiTheme="minorHAnsi" w:hAnsiTheme="minorHAnsi" w:cstheme="minorHAnsi"/>
          <w:highlight w:val="green"/>
        </w:rPr>
        <w:t>(CIPD, 2022)</w:t>
      </w:r>
      <w:r>
        <w:rPr>
          <w:rFonts w:asciiTheme="minorHAnsi" w:hAnsiTheme="minorHAnsi" w:cstheme="minorHAnsi"/>
        </w:rPr>
        <w:t xml:space="preserve">. The request can include changes to hours worked, times they work or location of their post </w:t>
      </w:r>
      <w:r w:rsidRPr="00AD356B">
        <w:rPr>
          <w:rFonts w:asciiTheme="minorHAnsi" w:hAnsiTheme="minorHAnsi" w:cstheme="minorHAnsi"/>
          <w:highlight w:val="green"/>
        </w:rPr>
        <w:t>(Daniels, 2022)</w:t>
      </w:r>
      <w:r>
        <w:rPr>
          <w:rFonts w:asciiTheme="minorHAnsi" w:hAnsiTheme="minorHAnsi" w:cstheme="minorHAnsi"/>
        </w:rPr>
        <w:t xml:space="preserve">. The request must include the following information: </w:t>
      </w:r>
    </w:p>
    <w:p w14:paraId="2027942D"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Date of application</w:t>
      </w:r>
    </w:p>
    <w:p w14:paraId="296C3646"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Nature of the change</w:t>
      </w:r>
    </w:p>
    <w:p w14:paraId="376AF08D"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 xml:space="preserve">Date of affect </w:t>
      </w:r>
    </w:p>
    <w:p w14:paraId="1C9B11E3"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How this’ll impact the business and what can be done to mitigate this</w:t>
      </w:r>
    </w:p>
    <w:p w14:paraId="040A01F1"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If they’ve made a request before and when</w:t>
      </w:r>
    </w:p>
    <w:p w14:paraId="0EF9312D"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That it’s a statutory request</w:t>
      </w:r>
    </w:p>
    <w:p w14:paraId="08E04EC9" w14:textId="77777777" w:rsidR="007B5903" w:rsidRPr="00AD356B" w:rsidRDefault="007B5903" w:rsidP="007B5903">
      <w:pPr>
        <w:pStyle w:val="Nornal"/>
        <w:spacing w:after="0"/>
        <w:rPr>
          <w:rFonts w:asciiTheme="minorHAnsi" w:hAnsiTheme="minorHAnsi" w:cstheme="minorHAnsi"/>
          <w:highlight w:val="green"/>
        </w:rPr>
      </w:pPr>
      <w:r w:rsidRPr="00AD356B">
        <w:rPr>
          <w:rFonts w:asciiTheme="minorHAnsi" w:hAnsiTheme="minorHAnsi" w:cstheme="minorHAnsi"/>
          <w:highlight w:val="green"/>
        </w:rPr>
        <w:t>(CIPD, 2022)</w:t>
      </w:r>
    </w:p>
    <w:p w14:paraId="203B3AC8" w14:textId="77777777" w:rsidR="007B5903" w:rsidRDefault="007B5903" w:rsidP="007B5903">
      <w:pPr>
        <w:pStyle w:val="Nornal"/>
        <w:spacing w:after="0"/>
        <w:rPr>
          <w:rFonts w:asciiTheme="minorHAnsi" w:hAnsiTheme="minorHAnsi" w:cstheme="minorHAnsi"/>
        </w:rPr>
      </w:pPr>
      <w:r>
        <w:rPr>
          <w:rFonts w:asciiTheme="minorHAnsi" w:hAnsiTheme="minorHAnsi" w:cstheme="minorHAnsi"/>
        </w:rPr>
        <w:t xml:space="preserve">An employer doesn’t have to grant the request but this must be due to a reason set out in the legislation, such as: </w:t>
      </w:r>
    </w:p>
    <w:p w14:paraId="1B4AC241"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Will cause additional costs</w:t>
      </w:r>
    </w:p>
    <w:p w14:paraId="1E0B08EA"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Will affect their ability to meet demand</w:t>
      </w:r>
    </w:p>
    <w:p w14:paraId="2861AF8F"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Unable to recruit staff to fill vacant hours</w:t>
      </w:r>
    </w:p>
    <w:p w14:paraId="4698BD6B"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Granting the request will affect quality of goods/service</w:t>
      </w:r>
    </w:p>
    <w:p w14:paraId="6CA77BBF"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 xml:space="preserve">Performance will be impacted </w:t>
      </w:r>
    </w:p>
    <w:p w14:paraId="70435255"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Low demand during requested working hours</w:t>
      </w:r>
    </w:p>
    <w:p w14:paraId="61BA8222" w14:textId="77777777" w:rsidR="007B5903" w:rsidRPr="00AD356B" w:rsidRDefault="007B5903" w:rsidP="007B5903">
      <w:pPr>
        <w:pStyle w:val="Nornal"/>
        <w:spacing w:after="0"/>
        <w:rPr>
          <w:rFonts w:asciiTheme="minorHAnsi" w:hAnsiTheme="minorHAnsi" w:cstheme="minorHAnsi"/>
          <w:highlight w:val="green"/>
        </w:rPr>
      </w:pPr>
      <w:r w:rsidRPr="00AD356B">
        <w:rPr>
          <w:rFonts w:asciiTheme="minorHAnsi" w:hAnsiTheme="minorHAnsi" w:cstheme="minorHAnsi"/>
          <w:highlight w:val="green"/>
        </w:rPr>
        <w:t>(ACAS, 2020)</w:t>
      </w:r>
    </w:p>
    <w:p w14:paraId="4B1F4AE9" w14:textId="77777777" w:rsidR="007B5903" w:rsidRDefault="007B5903" w:rsidP="007B5903">
      <w:pPr>
        <w:pStyle w:val="Nornal"/>
        <w:spacing w:after="0"/>
        <w:rPr>
          <w:rFonts w:asciiTheme="minorHAnsi" w:hAnsiTheme="minorHAnsi" w:cstheme="minorHAnsi"/>
        </w:rPr>
      </w:pPr>
      <w:r>
        <w:rPr>
          <w:rFonts w:asciiTheme="minorHAnsi" w:hAnsiTheme="minorHAnsi" w:cstheme="minorHAnsi"/>
        </w:rPr>
        <w:t xml:space="preserve">After the request is received, a meeting should be called between the employee and employer </w:t>
      </w:r>
      <w:r w:rsidRPr="00AD356B">
        <w:rPr>
          <w:rFonts w:asciiTheme="minorHAnsi" w:hAnsiTheme="minorHAnsi" w:cstheme="minorHAnsi"/>
          <w:highlight w:val="green"/>
        </w:rPr>
        <w:t xml:space="preserve">(Daniels, 2022). </w:t>
      </w:r>
      <w:r>
        <w:rPr>
          <w:rFonts w:asciiTheme="minorHAnsi" w:hAnsiTheme="minorHAnsi" w:cstheme="minorHAnsi"/>
        </w:rPr>
        <w:t xml:space="preserve">If the employer chooses to refuse the request, the employee can appeal </w:t>
      </w:r>
      <w:r w:rsidRPr="00AD356B">
        <w:rPr>
          <w:rFonts w:asciiTheme="minorHAnsi" w:hAnsiTheme="minorHAnsi" w:cstheme="minorHAnsi"/>
          <w:highlight w:val="green"/>
        </w:rPr>
        <w:t xml:space="preserve">(Daniels, 2022). </w:t>
      </w:r>
      <w:r>
        <w:rPr>
          <w:rFonts w:asciiTheme="minorHAnsi" w:hAnsiTheme="minorHAnsi" w:cstheme="minorHAnsi"/>
        </w:rPr>
        <w:t xml:space="preserve">If an appeal is made, a meeting must be called and the employee is entitled to have a union representative/employee present. If the employee is unhappy with the outcome, they can refer the </w:t>
      </w:r>
      <w:r>
        <w:rPr>
          <w:rFonts w:asciiTheme="minorHAnsi" w:hAnsiTheme="minorHAnsi" w:cstheme="minorHAnsi"/>
        </w:rPr>
        <w:lastRenderedPageBreak/>
        <w:t>matter to an Employment Tribunal. If the employer has dealt with the request inappropriately the tribunal can:</w:t>
      </w:r>
    </w:p>
    <w:p w14:paraId="0A89B074"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Award compensation – up to eight weeks pay</w:t>
      </w:r>
    </w:p>
    <w:p w14:paraId="5F430384" w14:textId="77777777" w:rsidR="007B5903" w:rsidRDefault="007B5903" w:rsidP="007B5903">
      <w:pPr>
        <w:pStyle w:val="Nornal"/>
        <w:numPr>
          <w:ilvl w:val="0"/>
          <w:numId w:val="5"/>
        </w:numPr>
        <w:spacing w:after="0"/>
        <w:rPr>
          <w:rFonts w:asciiTheme="minorHAnsi" w:hAnsiTheme="minorHAnsi" w:cstheme="minorHAnsi"/>
        </w:rPr>
      </w:pPr>
      <w:r>
        <w:rPr>
          <w:rFonts w:asciiTheme="minorHAnsi" w:hAnsiTheme="minorHAnsi" w:cstheme="minorHAnsi"/>
        </w:rPr>
        <w:t xml:space="preserve">Force the employer to review its decision </w:t>
      </w:r>
    </w:p>
    <w:p w14:paraId="28EAD3B1" w14:textId="77777777" w:rsidR="007B5903" w:rsidRDefault="007B5903" w:rsidP="007B5903">
      <w:pPr>
        <w:pStyle w:val="Nornal"/>
        <w:spacing w:after="0"/>
        <w:rPr>
          <w:rFonts w:asciiTheme="minorHAnsi" w:hAnsiTheme="minorHAnsi" w:cstheme="minorHAnsi"/>
        </w:rPr>
      </w:pPr>
      <w:r w:rsidRPr="00AD356B">
        <w:rPr>
          <w:rFonts w:asciiTheme="minorHAnsi" w:hAnsiTheme="minorHAnsi" w:cstheme="minorHAnsi"/>
          <w:highlight w:val="green"/>
        </w:rPr>
        <w:t>(Daniels, 2022)</w:t>
      </w:r>
    </w:p>
    <w:p w14:paraId="53C806FD" w14:textId="77777777" w:rsidR="007B5903" w:rsidRDefault="007B5903" w:rsidP="007B5903">
      <w:pPr>
        <w:pStyle w:val="Nornal"/>
        <w:spacing w:after="0"/>
        <w:rPr>
          <w:rFonts w:asciiTheme="minorHAnsi" w:hAnsiTheme="minorHAnsi" w:cstheme="minorHAnsi"/>
        </w:rPr>
      </w:pPr>
      <w:r>
        <w:rPr>
          <w:rFonts w:asciiTheme="minorHAnsi" w:hAnsiTheme="minorHAnsi" w:cstheme="minorHAnsi"/>
        </w:rPr>
        <w:t xml:space="preserve">Consequently, Charlotte and Madeleine should handle this request with more care. They need to review why this request isn’t viable for the company. If they cannot provide a reason that is provided within the legislation, they should grant the request. If they can, they must provide this reason in writing to Chelsea and inform her of her right to appeal </w:t>
      </w:r>
      <w:r w:rsidRPr="00AD356B">
        <w:rPr>
          <w:rFonts w:asciiTheme="minorHAnsi" w:hAnsiTheme="minorHAnsi" w:cstheme="minorHAnsi"/>
          <w:highlight w:val="green"/>
        </w:rPr>
        <w:t>(Daniels, 2022).</w:t>
      </w:r>
      <w:r>
        <w:rPr>
          <w:rFonts w:asciiTheme="minorHAnsi" w:hAnsiTheme="minorHAnsi" w:cstheme="minorHAnsi"/>
        </w:rPr>
        <w:t xml:space="preserve"> As the right to request flexible working is a statutory right, Charlotte should not state that the company ‘doesn’t do it’ and that Chelsea should seek alternative employment. They should instead focus on legal reasons behind the decision. Not doing so could lead to an unfair dismissal claim and/or a claim based on discrimination </w:t>
      </w:r>
      <w:r w:rsidRPr="00AD356B">
        <w:rPr>
          <w:rFonts w:asciiTheme="minorHAnsi" w:hAnsiTheme="minorHAnsi" w:cstheme="minorHAnsi"/>
          <w:highlight w:val="green"/>
        </w:rPr>
        <w:t>(CIPD, 2022).</w:t>
      </w:r>
    </w:p>
    <w:p w14:paraId="3BC10202" w14:textId="77777777" w:rsidR="00835017" w:rsidRDefault="00835017">
      <w:bookmarkStart w:id="12" w:name="_GoBack"/>
      <w:bookmarkEnd w:id="12"/>
    </w:p>
    <w:sectPr w:rsidR="008350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Maxwell, Kameron" w:date="2023-04-17T14:12:00Z" w:initials="MK">
    <w:p w14:paraId="551D1D2A" w14:textId="77777777" w:rsidR="007B5903" w:rsidRDefault="007B5903" w:rsidP="007B5903">
      <w:pPr>
        <w:pStyle w:val="CommentText"/>
      </w:pPr>
      <w:r>
        <w:rPr>
          <w:rStyle w:val="CommentReference"/>
        </w:rPr>
        <w:annotationRef/>
      </w:r>
      <w:r>
        <w:rPr>
          <w:rFonts w:ascii="Arial" w:hAnsi="Arial" w:cs="Arial"/>
          <w:color w:val="444746"/>
          <w:spacing w:val="3"/>
          <w:sz w:val="21"/>
          <w:szCs w:val="21"/>
          <w:shd w:val="clear" w:color="auto" w:fill="FFFFFF"/>
        </w:rPr>
        <w:t>Contextualise</w:t>
      </w:r>
    </w:p>
  </w:comment>
  <w:comment w:id="2" w:author="Maxwell, Kameron" w:date="2023-04-22T14:24:00Z" w:initials="MK">
    <w:p w14:paraId="58F4ABEC" w14:textId="77777777" w:rsidR="007B5903" w:rsidRDefault="007B5903" w:rsidP="007B5903">
      <w:pPr>
        <w:pStyle w:val="CommentText"/>
      </w:pPr>
      <w:r>
        <w:rPr>
          <w:rStyle w:val="CommentReference"/>
        </w:rPr>
        <w:annotationRef/>
      </w:r>
      <w:r w:rsidRPr="0072433F">
        <w:rPr>
          <w:rFonts w:ascii="Calibri" w:eastAsia="Times New Roman" w:hAnsi="Calibri" w:cs="Calibri"/>
          <w:color w:val="000000"/>
          <w:highlight w:val="yellow"/>
          <w:lang w:eastAsia="en-GB"/>
        </w:rPr>
        <w:t xml:space="preserve">This can be done through an analytical process which breaks each </w:t>
      </w:r>
      <w:r>
        <w:rPr>
          <w:rFonts w:ascii="Calibri" w:eastAsia="Times New Roman" w:hAnsi="Calibri" w:cs="Calibri"/>
          <w:color w:val="000000"/>
          <w:highlight w:val="yellow"/>
          <w:lang w:eastAsia="en-GB"/>
        </w:rPr>
        <w:t>role</w:t>
      </w:r>
      <w:r w:rsidRPr="0072433F">
        <w:rPr>
          <w:rFonts w:ascii="Calibri" w:eastAsia="Times New Roman" w:hAnsi="Calibri" w:cs="Calibri"/>
          <w:color w:val="000000"/>
          <w:highlight w:val="yellow"/>
          <w:lang w:eastAsia="en-GB"/>
        </w:rPr>
        <w:t xml:space="preserve"> down into components which can be scored and compared to c</w:t>
      </w:r>
      <w:r w:rsidRPr="0072433F">
        <w:rPr>
          <w:rFonts w:ascii="Calibri" w:eastAsia="Times New Roman" w:hAnsi="Calibri" w:cs="Calibri"/>
          <w:color w:val="000000"/>
          <w:lang w:eastAsia="en-GB"/>
        </w:rPr>
        <w:t xml:space="preserve">omponents of other roles </w:t>
      </w:r>
      <w:r w:rsidRPr="0072433F">
        <w:rPr>
          <w:rFonts w:ascii="Calibri" w:eastAsia="Times New Roman" w:hAnsi="Calibri" w:cs="Calibri"/>
          <w:color w:val="000000"/>
          <w:highlight w:val="green"/>
          <w:lang w:eastAsia="en-GB"/>
        </w:rPr>
        <w:t>(Daniels, 2022).</w:t>
      </w:r>
    </w:p>
  </w:comment>
  <w:comment w:id="1" w:author="Maxwell, Kameron" w:date="2023-04-17T14:11:00Z" w:initials="MK">
    <w:p w14:paraId="3D746A81" w14:textId="77777777" w:rsidR="007B5903" w:rsidRDefault="007B5903" w:rsidP="007B5903">
      <w:pPr>
        <w:pStyle w:val="CommentText"/>
      </w:pPr>
      <w:r>
        <w:rPr>
          <w:rStyle w:val="CommentReference"/>
        </w:rPr>
        <w:annotationRef/>
      </w:r>
      <w:r>
        <w:rPr>
          <w:rFonts w:ascii="Arial" w:hAnsi="Arial" w:cs="Arial"/>
          <w:color w:val="444746"/>
          <w:spacing w:val="3"/>
          <w:sz w:val="21"/>
          <w:szCs w:val="21"/>
          <w:shd w:val="clear" w:color="auto" w:fill="FFFFFF"/>
        </w:rPr>
        <w:t>Include more case law within answer</w:t>
      </w:r>
    </w:p>
  </w:comment>
  <w:comment w:id="4" w:author="Maxwell, Kameron" w:date="2023-04-17T14:10:00Z" w:initials="MK">
    <w:p w14:paraId="3626B4AD" w14:textId="77777777" w:rsidR="007B5903" w:rsidRDefault="007B5903" w:rsidP="007B5903">
      <w:pPr>
        <w:pStyle w:val="CommentText"/>
      </w:pPr>
      <w:r>
        <w:rPr>
          <w:rStyle w:val="CommentReference"/>
        </w:rPr>
        <w:annotationRef/>
      </w:r>
      <w:r>
        <w:rPr>
          <w:rFonts w:ascii="Arial" w:hAnsi="Arial" w:cs="Arial"/>
          <w:color w:val="444746"/>
          <w:spacing w:val="3"/>
          <w:sz w:val="21"/>
          <w:szCs w:val="21"/>
          <w:shd w:val="clear" w:color="auto" w:fill="FFFFFF"/>
        </w:rPr>
        <w:t>In this case, Charlotte and Madeleine could consider moving the sales assistants to restaurants which are still open, cutting costs and helping to limit damage to company morale.</w:t>
      </w:r>
    </w:p>
  </w:comment>
  <w:comment w:id="3" w:author="Maxwell, Kameron" w:date="2023-04-19T13:46:00Z" w:initials="MK">
    <w:p w14:paraId="05EE1436" w14:textId="77777777" w:rsidR="007B5903" w:rsidRDefault="007B5903" w:rsidP="007B5903">
      <w:pPr>
        <w:pStyle w:val="CommentText"/>
      </w:pPr>
      <w:r>
        <w:rPr>
          <w:rStyle w:val="CommentReference"/>
        </w:rPr>
        <w:annotationRef/>
      </w:r>
      <w:r>
        <w:t>Change to suitable alt?</w:t>
      </w:r>
    </w:p>
  </w:comment>
  <w:comment w:id="5" w:author="Maxwell, Kameron" w:date="2023-04-19T13:52:00Z" w:initials="MK">
    <w:p w14:paraId="198A1A69" w14:textId="77777777" w:rsidR="007B5903" w:rsidRDefault="007B5903" w:rsidP="007B5903">
      <w:pPr>
        <w:pStyle w:val="CommentText"/>
      </w:pPr>
      <w:r>
        <w:rPr>
          <w:rStyle w:val="CommentReference"/>
        </w:rPr>
        <w:annotationRef/>
      </w:r>
      <w:r>
        <w:t>Talk about specific costs</w:t>
      </w:r>
    </w:p>
  </w:comment>
  <w:comment w:id="6" w:author="Maxwell, Kameron" w:date="2023-04-18T09:14:00Z" w:initials="MK">
    <w:p w14:paraId="6223E9DC" w14:textId="77777777" w:rsidR="007B5903" w:rsidRDefault="007B5903" w:rsidP="007B5903">
      <w:pPr>
        <w:pStyle w:val="CommentText"/>
      </w:pPr>
      <w:r>
        <w:rPr>
          <w:rStyle w:val="CommentReference"/>
        </w:rPr>
        <w:annotationRef/>
      </w:r>
      <w:r w:rsidRPr="0072433F">
        <w:rPr>
          <w:rFonts w:ascii="Calibri" w:eastAsia="Times New Roman" w:hAnsi="Calibri" w:cs="Calibri"/>
          <w:color w:val="000000"/>
          <w:lang w:eastAsia="en-GB"/>
        </w:rPr>
        <w:t>Outsourcing, second + generation outsourcing, and insourcing</w:t>
      </w:r>
    </w:p>
  </w:comment>
  <w:comment w:id="8" w:author="Maxwell, Kameron" w:date="2023-04-18T09:13:00Z" w:initials="MK">
    <w:p w14:paraId="16CF9436" w14:textId="77777777" w:rsidR="007B5903" w:rsidRPr="0072433F" w:rsidRDefault="007B5903" w:rsidP="007B5903">
      <w:pPr>
        <w:spacing w:line="240" w:lineRule="auto"/>
        <w:rPr>
          <w:rFonts w:ascii="Times New Roman" w:eastAsia="Times New Roman" w:hAnsi="Times New Roman" w:cs="Times New Roman"/>
          <w:sz w:val="24"/>
          <w:szCs w:val="24"/>
          <w:lang w:eastAsia="en-GB"/>
        </w:rPr>
      </w:pPr>
      <w:r>
        <w:rPr>
          <w:rStyle w:val="CommentReference"/>
        </w:rPr>
        <w:annotationRef/>
      </w:r>
      <w:r w:rsidRPr="0072433F">
        <w:rPr>
          <w:rFonts w:ascii="Calibri" w:eastAsia="Times New Roman" w:hAnsi="Calibri" w:cs="Calibri"/>
          <w:color w:val="000000"/>
          <w:lang w:eastAsia="en-GB"/>
        </w:rPr>
        <w:t>Workers are also entitled to Statutory Sick Pay (SSP) if they have been sick for 4 or more days and earn the lower limit i.e. National Insurance contribution limit (Daniels, 2022). SSP can be paid for up to 28 weeks within a 12 month timeframe. </w:t>
      </w:r>
    </w:p>
    <w:p w14:paraId="347595B0" w14:textId="77777777" w:rsidR="007B5903" w:rsidRDefault="007B5903" w:rsidP="007B5903">
      <w:pPr>
        <w:pStyle w:val="CommentText"/>
      </w:pPr>
    </w:p>
  </w:comment>
  <w:comment w:id="7" w:author="Maxwell, Kameron" w:date="2023-04-19T14:05:00Z" w:initials="MK">
    <w:p w14:paraId="1DFC5203" w14:textId="77777777" w:rsidR="007B5903" w:rsidRDefault="007B5903" w:rsidP="007B5903">
      <w:pPr>
        <w:pStyle w:val="CommentText"/>
      </w:pPr>
      <w:r>
        <w:rPr>
          <w:rStyle w:val="CommentReference"/>
        </w:rPr>
        <w:annotationRef/>
      </w:r>
      <w:r>
        <w:t>Work time – possibly remove?</w:t>
      </w:r>
    </w:p>
  </w:comment>
  <w:comment w:id="9" w:author="Maxwell, Kameron" w:date="2023-04-21T22:13:00Z" w:initials="MK">
    <w:p w14:paraId="73E30518" w14:textId="77777777" w:rsidR="007B5903" w:rsidRDefault="007B5903" w:rsidP="007B5903">
      <w:pPr>
        <w:pStyle w:val="CommentText"/>
      </w:pPr>
      <w:r>
        <w:rPr>
          <w:rStyle w:val="CommentReference"/>
        </w:rPr>
        <w:annotationRef/>
      </w:r>
      <w:r>
        <w:t>Provide advice including info about remedies</w:t>
      </w:r>
    </w:p>
  </w:comment>
  <w:comment w:id="10" w:author="Maxwell, Kameron" w:date="2023-04-24T13:48:00Z" w:initials="MK">
    <w:p w14:paraId="674758E9" w14:textId="77777777" w:rsidR="007B5903" w:rsidRDefault="007B5903" w:rsidP="007B5903">
      <w:pPr>
        <w:pStyle w:val="CommentText"/>
      </w:pPr>
      <w:r>
        <w:rPr>
          <w:rStyle w:val="CommentReference"/>
        </w:rPr>
        <w:annotationRef/>
      </w:r>
      <w:r>
        <w:t>Prohibition notice and fine</w:t>
      </w:r>
    </w:p>
  </w:comment>
  <w:comment w:id="11" w:author="Maxwell, Kameron" w:date="2023-04-24T13:52:00Z" w:initials="MK">
    <w:p w14:paraId="372AD1C4" w14:textId="77777777" w:rsidR="007B5903" w:rsidRDefault="007B5903" w:rsidP="007B5903">
      <w:pPr>
        <w:pStyle w:val="CommentText"/>
      </w:pPr>
      <w:r>
        <w:rPr>
          <w:rStyle w:val="CommentReference"/>
        </w:rPr>
        <w:annotationRef/>
      </w:r>
      <w:r>
        <w:t xml:space="preserve">Protected characteristic under </w:t>
      </w:r>
      <w:proofErr w:type="spellStart"/>
      <w:r>
        <w:t>discrim</w:t>
      </w:r>
      <w:proofErr w:type="spellEnd"/>
      <w:r>
        <w:t xml:space="preserve"> law/equality act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51D1D2A" w15:done="1"/>
  <w15:commentEx w15:paraId="58F4ABEC" w15:done="0"/>
  <w15:commentEx w15:paraId="3D746A81" w15:done="0"/>
  <w15:commentEx w15:paraId="3626B4AD" w15:done="1"/>
  <w15:commentEx w15:paraId="05EE1436" w15:done="1"/>
  <w15:commentEx w15:paraId="198A1A69" w15:done="1"/>
  <w15:commentEx w15:paraId="6223E9DC" w15:done="1"/>
  <w15:commentEx w15:paraId="347595B0" w15:done="1"/>
  <w15:commentEx w15:paraId="1DFC5203" w15:done="1"/>
  <w15:commentEx w15:paraId="73E30518" w15:done="0"/>
  <w15:commentEx w15:paraId="674758E9" w15:done="1"/>
  <w15:commentEx w15:paraId="372AD1C4" w15:done="1"/>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B459E7"/>
    <w:multiLevelType w:val="hybridMultilevel"/>
    <w:tmpl w:val="473EA952"/>
    <w:lvl w:ilvl="0" w:tplc="2B12DD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B34C0"/>
    <w:multiLevelType w:val="multilevel"/>
    <w:tmpl w:val="DA1C0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F4557E"/>
    <w:multiLevelType w:val="hybridMultilevel"/>
    <w:tmpl w:val="60226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7428B6"/>
    <w:multiLevelType w:val="hybridMultilevel"/>
    <w:tmpl w:val="04765BB8"/>
    <w:lvl w:ilvl="0" w:tplc="79821184">
      <w:numFmt w:val="bullet"/>
      <w:lvlText w:val="-"/>
      <w:lvlJc w:val="left"/>
      <w:pPr>
        <w:ind w:left="720" w:hanging="360"/>
      </w:pPr>
      <w:rPr>
        <w:rFonts w:ascii="Calibri" w:eastAsia="Times New Roman"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1D137E"/>
    <w:multiLevelType w:val="hybridMultilevel"/>
    <w:tmpl w:val="31726080"/>
    <w:lvl w:ilvl="0" w:tplc="79821184">
      <w:numFmt w:val="bullet"/>
      <w:lvlText w:val="-"/>
      <w:lvlJc w:val="left"/>
      <w:pPr>
        <w:ind w:left="720" w:hanging="360"/>
      </w:pPr>
      <w:rPr>
        <w:rFonts w:ascii="Calibri" w:eastAsia="Times New Roman"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xwell, Kameron">
    <w15:presenceInfo w15:providerId="AD" w15:userId="S-1-5-21-1791201449-2072700295-2849167231-59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5903"/>
    <w:rsid w:val="007B5903"/>
    <w:rsid w:val="00835017"/>
    <w:rsid w:val="00AB150E"/>
    <w:rsid w:val="00E02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F5B9C"/>
  <w15:chartTrackingRefBased/>
  <w15:docId w15:val="{94BD627C-9E85-4130-B495-69C3AF3EF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59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B5903"/>
    <w:rPr>
      <w:sz w:val="16"/>
      <w:szCs w:val="16"/>
    </w:rPr>
  </w:style>
  <w:style w:type="paragraph" w:styleId="CommentText">
    <w:name w:val="annotation text"/>
    <w:basedOn w:val="Normal"/>
    <w:link w:val="CommentTextChar"/>
    <w:uiPriority w:val="99"/>
    <w:semiHidden/>
    <w:unhideWhenUsed/>
    <w:rsid w:val="007B5903"/>
    <w:pPr>
      <w:spacing w:line="240" w:lineRule="auto"/>
    </w:pPr>
    <w:rPr>
      <w:sz w:val="20"/>
      <w:szCs w:val="20"/>
    </w:rPr>
  </w:style>
  <w:style w:type="character" w:customStyle="1" w:styleId="CommentTextChar">
    <w:name w:val="Comment Text Char"/>
    <w:basedOn w:val="DefaultParagraphFont"/>
    <w:link w:val="CommentText"/>
    <w:uiPriority w:val="99"/>
    <w:semiHidden/>
    <w:rsid w:val="007B5903"/>
    <w:rPr>
      <w:sz w:val="20"/>
      <w:szCs w:val="20"/>
    </w:rPr>
  </w:style>
  <w:style w:type="paragraph" w:styleId="BalloonText">
    <w:name w:val="Balloon Text"/>
    <w:basedOn w:val="Normal"/>
    <w:link w:val="BalloonTextChar"/>
    <w:uiPriority w:val="99"/>
    <w:semiHidden/>
    <w:unhideWhenUsed/>
    <w:rsid w:val="007B59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903"/>
    <w:rPr>
      <w:rFonts w:ascii="Segoe UI" w:hAnsi="Segoe UI" w:cs="Segoe UI"/>
      <w:sz w:val="18"/>
      <w:szCs w:val="18"/>
    </w:rPr>
  </w:style>
  <w:style w:type="paragraph" w:styleId="ListParagraph">
    <w:name w:val="List Paragraph"/>
    <w:basedOn w:val="Normal"/>
    <w:uiPriority w:val="34"/>
    <w:qFormat/>
    <w:rsid w:val="007B5903"/>
    <w:pPr>
      <w:ind w:left="720"/>
      <w:contextualSpacing/>
    </w:pPr>
  </w:style>
  <w:style w:type="paragraph" w:customStyle="1" w:styleId="Nornal">
    <w:name w:val="Nornal"/>
    <w:basedOn w:val="Normal"/>
    <w:link w:val="NornalChar"/>
    <w:qFormat/>
    <w:rsid w:val="007B5903"/>
    <w:pPr>
      <w:spacing w:line="264" w:lineRule="auto"/>
    </w:pPr>
    <w:rPr>
      <w:rFonts w:ascii="Arial" w:hAnsi="Arial" w:cs="Arial"/>
    </w:rPr>
  </w:style>
  <w:style w:type="character" w:customStyle="1" w:styleId="NornalChar">
    <w:name w:val="Nornal Char"/>
    <w:basedOn w:val="DefaultParagraphFont"/>
    <w:link w:val="Nornal"/>
    <w:rsid w:val="007B5903"/>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3904</Words>
  <Characters>22253</Characters>
  <Application>Microsoft Office Word</Application>
  <DocSecurity>0</DocSecurity>
  <Lines>185</Lines>
  <Paragraphs>52</Paragraphs>
  <ScaleCrop>false</ScaleCrop>
  <Company>pcc</Company>
  <LinksUpToDate>false</LinksUpToDate>
  <CharactersWithSpaces>26105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Kameron</dc:creator>
  <cp:keywords/>
  <dc:description/>
  <cp:lastModifiedBy>Maxwell, Kameron</cp:lastModifiedBy>
  <cp:revision>1</cp:revision>
  <dcterms:created xsi:type="dcterms:W3CDTF">2023-04-24T20:02:00Z</dcterms:created>
  <dcterms:modified xsi:type="dcterms:W3CDTF">2023-04-24T20:04:00Z</dcterms:modified>
</cp:coreProperties>
</file>