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D625F" w14:textId="77777777" w:rsidR="00091C1C" w:rsidRDefault="00091C1C" w:rsidP="00091C1C">
      <w:pPr>
        <w:spacing w:after="220"/>
        <w:ind w:right="1438"/>
        <w:jc w:val="right"/>
      </w:pPr>
      <w:r>
        <w:rPr>
          <w:noProof/>
          <w:lang w:bidi="ar-SA"/>
        </w:rPr>
        <w:drawing>
          <wp:inline distT="0" distB="0" distL="0" distR="0" wp14:anchorId="3DBBF488" wp14:editId="6EA0E28A">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p>
    <w:p w14:paraId="77A3C268" w14:textId="77777777" w:rsidR="00091C1C" w:rsidRDefault="00091C1C" w:rsidP="00091C1C">
      <w:pPr>
        <w:spacing w:after="273"/>
        <w:ind w:right="5"/>
        <w:jc w:val="center"/>
      </w:pPr>
    </w:p>
    <w:p w14:paraId="6065FF33" w14:textId="77777777" w:rsidR="00091C1C" w:rsidRDefault="00091C1C" w:rsidP="00091C1C">
      <w:pPr>
        <w:spacing w:after="274"/>
      </w:pPr>
    </w:p>
    <w:p w14:paraId="43FC2543" w14:textId="77777777" w:rsidR="00091C1C" w:rsidRDefault="00091C1C" w:rsidP="00091C1C">
      <w:pPr>
        <w:spacing w:after="276"/>
        <w:jc w:val="center"/>
      </w:pPr>
    </w:p>
    <w:p w14:paraId="3B2E5E19" w14:textId="77777777" w:rsidR="00091C1C" w:rsidRPr="002A2E98" w:rsidRDefault="00091C1C" w:rsidP="00091C1C">
      <w:pPr>
        <w:spacing w:after="274"/>
        <w:ind w:left="2716" w:firstLine="93"/>
        <w:rPr>
          <w:rFonts w:ascii="Arial" w:hAnsi="Arial" w:cs="Arial"/>
          <w:sz w:val="24"/>
          <w:szCs w:val="24"/>
        </w:rPr>
      </w:pPr>
      <w:proofErr w:type="spellStart"/>
      <w:r w:rsidRPr="002A2E98">
        <w:rPr>
          <w:rFonts w:ascii="Arial" w:eastAsia="Times New Roman" w:hAnsi="Arial" w:cs="Arial"/>
          <w:b/>
          <w:sz w:val="24"/>
          <w:szCs w:val="24"/>
        </w:rPr>
        <w:t>Programme</w:t>
      </w:r>
      <w:proofErr w:type="spellEnd"/>
      <w:r w:rsidRPr="002A2E98">
        <w:rPr>
          <w:rFonts w:ascii="Arial" w:eastAsia="Times New Roman" w:hAnsi="Arial" w:cs="Arial"/>
          <w:b/>
          <w:sz w:val="24"/>
          <w:szCs w:val="24"/>
        </w:rPr>
        <w:t>: Master of Business Administration</w:t>
      </w:r>
    </w:p>
    <w:p w14:paraId="7CDCA7FD" w14:textId="7F9EECDA" w:rsidR="00091C1C" w:rsidRPr="002A2E98" w:rsidRDefault="00091C1C" w:rsidP="00091C1C">
      <w:pPr>
        <w:spacing w:after="274"/>
        <w:ind w:left="2809"/>
        <w:rPr>
          <w:rFonts w:ascii="Arial" w:hAnsi="Arial" w:cs="Arial"/>
          <w:sz w:val="24"/>
          <w:szCs w:val="24"/>
        </w:rPr>
      </w:pPr>
      <w:r w:rsidRPr="002A2E98">
        <w:rPr>
          <w:rFonts w:ascii="Arial" w:eastAsia="Times New Roman" w:hAnsi="Arial" w:cs="Arial"/>
          <w:b/>
          <w:sz w:val="24"/>
          <w:szCs w:val="24"/>
        </w:rPr>
        <w:t>Module:</w:t>
      </w:r>
      <w:r w:rsidR="00547056">
        <w:rPr>
          <w:rFonts w:ascii="Arial" w:eastAsia="Times New Roman" w:hAnsi="Arial" w:cs="Arial"/>
          <w:b/>
          <w:sz w:val="24"/>
          <w:szCs w:val="24"/>
        </w:rPr>
        <w:t xml:space="preserve"> </w:t>
      </w:r>
      <w:r w:rsidR="00547056" w:rsidRPr="00547056">
        <w:rPr>
          <w:rFonts w:ascii="Arial" w:eastAsia="Times New Roman" w:hAnsi="Arial" w:cs="Arial"/>
          <w:b/>
          <w:sz w:val="24"/>
          <w:szCs w:val="24"/>
        </w:rPr>
        <w:t>Strategic Management</w:t>
      </w:r>
    </w:p>
    <w:p w14:paraId="38259CFB" w14:textId="77777777" w:rsidR="00091C1C" w:rsidRPr="002A2E98" w:rsidRDefault="00091C1C" w:rsidP="00091C1C">
      <w:pPr>
        <w:spacing w:after="274"/>
        <w:ind w:left="2099" w:right="66" w:firstLine="710"/>
        <w:rPr>
          <w:rFonts w:ascii="Arial" w:hAnsi="Arial" w:cs="Arial"/>
          <w:sz w:val="24"/>
          <w:szCs w:val="24"/>
        </w:rPr>
      </w:pPr>
      <w:r w:rsidRPr="002A2E98">
        <w:rPr>
          <w:rFonts w:ascii="Arial" w:eastAsia="Times New Roman" w:hAnsi="Arial" w:cs="Arial"/>
          <w:b/>
          <w:sz w:val="24"/>
          <w:szCs w:val="24"/>
        </w:rPr>
        <w:t xml:space="preserve">Module code: </w:t>
      </w:r>
      <w:r w:rsidRPr="000F1EFB">
        <w:rPr>
          <w:rFonts w:ascii="Arial" w:hAnsi="Arial" w:cs="Arial"/>
          <w:b/>
          <w:bCs/>
          <w:sz w:val="24"/>
          <w:szCs w:val="24"/>
        </w:rPr>
        <w:t>LCMB70</w:t>
      </w:r>
      <w:r w:rsidR="00EF7E1F">
        <w:rPr>
          <w:rFonts w:ascii="Arial" w:hAnsi="Arial" w:cs="Arial"/>
          <w:b/>
          <w:bCs/>
          <w:sz w:val="24"/>
          <w:szCs w:val="24"/>
        </w:rPr>
        <w:t>03</w:t>
      </w:r>
    </w:p>
    <w:p w14:paraId="16041DA1" w14:textId="4914E514" w:rsidR="00091C1C" w:rsidRPr="007C52EE" w:rsidRDefault="00547056" w:rsidP="00091C1C">
      <w:pPr>
        <w:spacing w:after="274"/>
        <w:ind w:left="2099" w:right="65" w:firstLine="710"/>
        <w:rPr>
          <w:rFonts w:ascii="Times New Roman" w:eastAsia="Times New Roman" w:hAnsi="Times New Roman" w:cs="Times New Roman"/>
          <w:b/>
          <w:sz w:val="28"/>
          <w:lang w:val="en-GB"/>
        </w:rPr>
      </w:pPr>
      <w:r w:rsidRPr="002A2E98">
        <w:rPr>
          <w:rFonts w:ascii="Arial" w:eastAsia="Times New Roman" w:hAnsi="Arial" w:cs="Arial"/>
          <w:b/>
          <w:sz w:val="24"/>
          <w:szCs w:val="24"/>
        </w:rPr>
        <w:t>Title:</w:t>
      </w:r>
      <w:r w:rsidR="00091C1C" w:rsidRPr="002A2E98">
        <w:rPr>
          <w:rFonts w:ascii="Arial" w:eastAsia="Times New Roman" w:hAnsi="Arial" w:cs="Arial"/>
          <w:b/>
          <w:sz w:val="24"/>
          <w:szCs w:val="24"/>
        </w:rPr>
        <w:t xml:space="preserve"> </w:t>
      </w:r>
      <w:r w:rsidRPr="00547056">
        <w:rPr>
          <w:rFonts w:ascii="Arial" w:eastAsia="Times New Roman" w:hAnsi="Arial" w:cs="Arial"/>
          <w:b/>
          <w:sz w:val="24"/>
          <w:szCs w:val="24"/>
        </w:rPr>
        <w:t>Assessment component - Individual report</w:t>
      </w:r>
    </w:p>
    <w:p w14:paraId="36F1782A" w14:textId="77777777" w:rsidR="00091C1C" w:rsidRPr="002A2E98" w:rsidRDefault="00091C1C" w:rsidP="00091C1C">
      <w:pPr>
        <w:spacing w:after="274"/>
        <w:ind w:left="2089" w:right="62" w:firstLine="720"/>
        <w:rPr>
          <w:rFonts w:ascii="Arial" w:hAnsi="Arial" w:cs="Arial"/>
          <w:sz w:val="24"/>
          <w:szCs w:val="24"/>
        </w:rPr>
      </w:pPr>
      <w:r w:rsidRPr="002A2E98">
        <w:rPr>
          <w:rFonts w:ascii="Arial" w:eastAsia="Times New Roman" w:hAnsi="Arial" w:cs="Arial"/>
          <w:b/>
          <w:sz w:val="24"/>
          <w:szCs w:val="24"/>
        </w:rPr>
        <w:t xml:space="preserve">Word count: </w:t>
      </w:r>
      <w:r>
        <w:rPr>
          <w:rFonts w:ascii="Arial" w:eastAsia="Times New Roman" w:hAnsi="Arial" w:cs="Arial"/>
          <w:b/>
          <w:sz w:val="24"/>
          <w:szCs w:val="24"/>
        </w:rPr>
        <w:t>5</w:t>
      </w:r>
      <w:r w:rsidR="00EA5F4D">
        <w:rPr>
          <w:rFonts w:ascii="Arial" w:eastAsia="Times New Roman" w:hAnsi="Arial" w:cs="Arial"/>
          <w:b/>
          <w:sz w:val="24"/>
          <w:szCs w:val="24"/>
        </w:rPr>
        <w:t>459</w:t>
      </w:r>
    </w:p>
    <w:p w14:paraId="689BB274" w14:textId="6113BEC5" w:rsidR="00091C1C" w:rsidRPr="002A2E98" w:rsidRDefault="00547056" w:rsidP="00091C1C">
      <w:pPr>
        <w:spacing w:after="165" w:line="352" w:lineRule="auto"/>
        <w:ind w:left="2835" w:right="2836"/>
        <w:rPr>
          <w:rFonts w:ascii="Arial" w:eastAsia="Arial" w:hAnsi="Arial" w:cs="Arial"/>
          <w:b/>
          <w:sz w:val="24"/>
          <w:szCs w:val="24"/>
        </w:rPr>
      </w:pPr>
      <w:r w:rsidRPr="002A2E98">
        <w:rPr>
          <w:rFonts w:ascii="Arial" w:eastAsia="Arial" w:hAnsi="Arial" w:cs="Arial"/>
          <w:b/>
          <w:sz w:val="24"/>
          <w:szCs w:val="24"/>
        </w:rPr>
        <w:t>Lecturer:</w:t>
      </w:r>
      <w:r w:rsidR="00091C1C" w:rsidRPr="002A2E98">
        <w:rPr>
          <w:rFonts w:ascii="Arial" w:eastAsia="Arial" w:hAnsi="Arial" w:cs="Arial"/>
          <w:b/>
          <w:sz w:val="24"/>
          <w:szCs w:val="24"/>
        </w:rPr>
        <w:t xml:space="preserve"> </w:t>
      </w:r>
      <w:proofErr w:type="spellStart"/>
      <w:r w:rsidRPr="00547056">
        <w:rPr>
          <w:rFonts w:ascii="Arial" w:eastAsia="Arial" w:hAnsi="Arial" w:cs="Arial"/>
          <w:b/>
          <w:sz w:val="24"/>
          <w:szCs w:val="24"/>
        </w:rPr>
        <w:t>Zulf</w:t>
      </w:r>
      <w:proofErr w:type="spellEnd"/>
      <w:r w:rsidRPr="00547056">
        <w:rPr>
          <w:rFonts w:ascii="Arial" w:eastAsia="Arial" w:hAnsi="Arial" w:cs="Arial"/>
          <w:b/>
          <w:sz w:val="24"/>
          <w:szCs w:val="24"/>
        </w:rPr>
        <w:t xml:space="preserve"> Khan</w:t>
      </w:r>
    </w:p>
    <w:p w14:paraId="381A0C1E" w14:textId="22BA3BA1" w:rsidR="00091C1C" w:rsidRPr="002A2E98" w:rsidRDefault="00091C1C" w:rsidP="00091C1C">
      <w:pPr>
        <w:spacing w:after="165" w:line="352" w:lineRule="auto"/>
        <w:ind w:left="2835" w:right="2836"/>
        <w:rPr>
          <w:rFonts w:ascii="Arial" w:hAnsi="Arial" w:cs="Arial"/>
          <w:sz w:val="24"/>
          <w:szCs w:val="24"/>
        </w:rPr>
      </w:pPr>
      <w:r w:rsidRPr="002A2E98">
        <w:rPr>
          <w:rFonts w:ascii="Arial" w:eastAsia="Times New Roman" w:hAnsi="Arial" w:cs="Arial"/>
          <w:b/>
          <w:sz w:val="24"/>
          <w:szCs w:val="24"/>
        </w:rPr>
        <w:t xml:space="preserve">Student </w:t>
      </w:r>
      <w:r w:rsidR="00547056" w:rsidRPr="002A2E98">
        <w:rPr>
          <w:rFonts w:ascii="Arial" w:eastAsia="Times New Roman" w:hAnsi="Arial" w:cs="Arial"/>
          <w:b/>
          <w:sz w:val="24"/>
          <w:szCs w:val="24"/>
        </w:rPr>
        <w:t>Name:</w:t>
      </w:r>
      <w:r w:rsidR="00547056">
        <w:rPr>
          <w:rFonts w:ascii="Arial" w:eastAsia="Times New Roman" w:hAnsi="Arial" w:cs="Arial"/>
          <w:b/>
          <w:sz w:val="24"/>
          <w:szCs w:val="24"/>
        </w:rPr>
        <w:t xml:space="preserve"> Tarikul Islam Tarek</w:t>
      </w:r>
    </w:p>
    <w:p w14:paraId="5A4FBE07" w14:textId="352A1FD5" w:rsidR="00091C1C" w:rsidRPr="002A2E98" w:rsidRDefault="00091C1C" w:rsidP="00091C1C">
      <w:pPr>
        <w:spacing w:after="274"/>
        <w:ind w:left="2125" w:right="62" w:firstLine="710"/>
        <w:rPr>
          <w:rFonts w:ascii="Arial" w:hAnsi="Arial" w:cs="Arial"/>
          <w:sz w:val="24"/>
          <w:szCs w:val="24"/>
        </w:rPr>
      </w:pPr>
      <w:r w:rsidRPr="002A2E98">
        <w:rPr>
          <w:rFonts w:ascii="Arial" w:eastAsia="Times New Roman" w:hAnsi="Arial" w:cs="Arial"/>
          <w:b/>
          <w:sz w:val="24"/>
          <w:szCs w:val="24"/>
        </w:rPr>
        <w:t>Student ID:</w:t>
      </w:r>
      <w:r w:rsidR="00547056">
        <w:rPr>
          <w:rFonts w:ascii="Arial" w:eastAsia="Times New Roman" w:hAnsi="Arial" w:cs="Arial"/>
          <w:b/>
          <w:sz w:val="24"/>
          <w:szCs w:val="24"/>
        </w:rPr>
        <w:t xml:space="preserve"> 2435183</w:t>
      </w:r>
    </w:p>
    <w:p w14:paraId="4039F84C" w14:textId="5E93CC38" w:rsidR="00091C1C" w:rsidRPr="002A2E98" w:rsidRDefault="00091C1C" w:rsidP="00091C1C">
      <w:pPr>
        <w:spacing w:after="274"/>
        <w:ind w:left="2125" w:right="62" w:firstLine="710"/>
        <w:rPr>
          <w:rFonts w:ascii="Arial" w:hAnsi="Arial" w:cs="Arial"/>
          <w:sz w:val="24"/>
          <w:szCs w:val="24"/>
        </w:rPr>
      </w:pPr>
      <w:r w:rsidRPr="002A2E98">
        <w:rPr>
          <w:rFonts w:ascii="Arial" w:eastAsia="Times New Roman" w:hAnsi="Arial" w:cs="Arial"/>
          <w:b/>
          <w:sz w:val="24"/>
          <w:szCs w:val="24"/>
        </w:rPr>
        <w:t>Submission Date</w:t>
      </w:r>
      <w:r w:rsidR="00547056">
        <w:rPr>
          <w:rFonts w:ascii="Arial" w:eastAsia="Times New Roman" w:hAnsi="Arial" w:cs="Arial"/>
          <w:b/>
          <w:sz w:val="24"/>
          <w:szCs w:val="24"/>
        </w:rPr>
        <w:t>: 31-03-2</w:t>
      </w:r>
      <w:r w:rsidR="00F45BE3">
        <w:rPr>
          <w:rFonts w:ascii="Arial" w:eastAsia="Times New Roman" w:hAnsi="Arial" w:cs="Arial"/>
          <w:b/>
          <w:sz w:val="24"/>
          <w:szCs w:val="24"/>
        </w:rPr>
        <w:t>02</w:t>
      </w:r>
      <w:r w:rsidR="00547056">
        <w:rPr>
          <w:rFonts w:ascii="Arial" w:eastAsia="Times New Roman" w:hAnsi="Arial" w:cs="Arial"/>
          <w:b/>
          <w:sz w:val="24"/>
          <w:szCs w:val="24"/>
        </w:rPr>
        <w:t>6</w:t>
      </w:r>
    </w:p>
    <w:p w14:paraId="0AF748B7" w14:textId="77777777" w:rsidR="00091C1C" w:rsidRDefault="00091C1C" w:rsidP="00091C1C">
      <w:pPr>
        <w:rPr>
          <w:rFonts w:ascii="Arial" w:hAnsi="Arial" w:cs="Arial"/>
          <w:b/>
          <w:bCs/>
          <w:sz w:val="24"/>
          <w:szCs w:val="24"/>
        </w:rPr>
      </w:pPr>
      <w:r>
        <w:rPr>
          <w:rFonts w:ascii="Arial" w:hAnsi="Arial" w:cs="Arial"/>
          <w:b/>
          <w:bCs/>
          <w:sz w:val="24"/>
          <w:szCs w:val="24"/>
        </w:rPr>
        <w:br w:type="page"/>
      </w:r>
    </w:p>
    <w:p w14:paraId="4BAD446F" w14:textId="77777777" w:rsidR="00091C1C" w:rsidRPr="00587A94" w:rsidRDefault="00091C1C" w:rsidP="00091C1C">
      <w:pPr>
        <w:jc w:val="center"/>
        <w:rPr>
          <w:rFonts w:ascii="Arial" w:hAnsi="Arial" w:cs="Arial"/>
          <w:b/>
          <w:bCs/>
          <w:sz w:val="24"/>
          <w:szCs w:val="24"/>
        </w:rPr>
      </w:pPr>
      <w:r w:rsidRPr="00587A94">
        <w:rPr>
          <w:rFonts w:ascii="Arial" w:hAnsi="Arial" w:cs="Arial"/>
          <w:b/>
          <w:bCs/>
          <w:sz w:val="24"/>
          <w:szCs w:val="24"/>
        </w:rPr>
        <w:lastRenderedPageBreak/>
        <w:t>Table of Contents</w:t>
      </w:r>
    </w:p>
    <w:p w14:paraId="512739C1" w14:textId="77777777" w:rsidR="00091C1C" w:rsidRPr="00587A94" w:rsidRDefault="00091C1C" w:rsidP="00091C1C">
      <w:pPr>
        <w:rPr>
          <w:rFonts w:ascii="Arial" w:hAnsi="Arial" w:cs="Arial"/>
          <w:sz w:val="24"/>
          <w:szCs w:val="24"/>
        </w:rPr>
      </w:pPr>
      <w:r w:rsidRPr="00587A94">
        <w:rPr>
          <w:rFonts w:ascii="Arial" w:hAnsi="Arial" w:cs="Arial"/>
          <w:sz w:val="24"/>
          <w:szCs w:val="24"/>
        </w:rPr>
        <w:t xml:space="preserve">Section 1: </w:t>
      </w:r>
      <w:proofErr w:type="spellStart"/>
      <w:r w:rsidRPr="00587A94">
        <w:rPr>
          <w:rFonts w:ascii="Arial" w:hAnsi="Arial" w:cs="Arial"/>
          <w:sz w:val="24"/>
          <w:szCs w:val="24"/>
        </w:rPr>
        <w:t>Organisational</w:t>
      </w:r>
      <w:proofErr w:type="spellEnd"/>
      <w:r w:rsidRPr="00587A94">
        <w:rPr>
          <w:rFonts w:ascii="Arial" w:hAnsi="Arial" w:cs="Arial"/>
          <w:sz w:val="24"/>
          <w:szCs w:val="24"/>
        </w:rPr>
        <w:t xml:space="preserve"> Context and Strategic Analysis</w:t>
      </w:r>
    </w:p>
    <w:p w14:paraId="68DF7C60" w14:textId="77777777" w:rsidR="00091C1C" w:rsidRPr="00587A94" w:rsidRDefault="00091C1C" w:rsidP="00091C1C">
      <w:pPr>
        <w:numPr>
          <w:ilvl w:val="0"/>
          <w:numId w:val="1"/>
        </w:numPr>
        <w:rPr>
          <w:rFonts w:ascii="Arial" w:hAnsi="Arial" w:cs="Arial"/>
          <w:sz w:val="24"/>
          <w:szCs w:val="24"/>
        </w:rPr>
      </w:pPr>
      <w:proofErr w:type="spellStart"/>
      <w:r w:rsidRPr="00587A94">
        <w:rPr>
          <w:rFonts w:ascii="Arial" w:hAnsi="Arial" w:cs="Arial"/>
          <w:sz w:val="24"/>
          <w:szCs w:val="24"/>
        </w:rPr>
        <w:t>Organisational</w:t>
      </w:r>
      <w:proofErr w:type="spellEnd"/>
      <w:r w:rsidRPr="00587A94">
        <w:rPr>
          <w:rFonts w:ascii="Arial" w:hAnsi="Arial" w:cs="Arial"/>
          <w:sz w:val="24"/>
          <w:szCs w:val="24"/>
        </w:rPr>
        <w:t xml:space="preserve"> Context and Overview</w:t>
      </w:r>
      <w:r>
        <w:rPr>
          <w:rFonts w:ascii="Arial" w:hAnsi="Arial" w:cs="Arial"/>
          <w:sz w:val="24"/>
          <w:szCs w:val="24"/>
        </w:rPr>
        <w:t>………………………………</w:t>
      </w:r>
      <w:r w:rsidR="000A79CF">
        <w:rPr>
          <w:rFonts w:ascii="Arial" w:hAnsi="Arial" w:cs="Arial"/>
          <w:sz w:val="24"/>
          <w:szCs w:val="24"/>
        </w:rPr>
        <w:t xml:space="preserve"> 3-4</w:t>
      </w:r>
      <w:r w:rsidRPr="00587A94">
        <w:rPr>
          <w:rFonts w:ascii="Arial" w:hAnsi="Arial" w:cs="Arial"/>
          <w:sz w:val="24"/>
          <w:szCs w:val="24"/>
        </w:rPr>
        <w:br/>
      </w:r>
    </w:p>
    <w:p w14:paraId="60B351DB" w14:textId="77777777" w:rsidR="00091C1C" w:rsidRPr="00587A94" w:rsidRDefault="00091C1C" w:rsidP="00091C1C">
      <w:pPr>
        <w:numPr>
          <w:ilvl w:val="0"/>
          <w:numId w:val="1"/>
        </w:numPr>
        <w:rPr>
          <w:rFonts w:ascii="Arial" w:hAnsi="Arial" w:cs="Arial"/>
          <w:sz w:val="24"/>
          <w:szCs w:val="24"/>
        </w:rPr>
      </w:pPr>
      <w:r w:rsidRPr="00587A94">
        <w:rPr>
          <w:rFonts w:ascii="Arial" w:hAnsi="Arial" w:cs="Arial"/>
          <w:sz w:val="24"/>
          <w:szCs w:val="24"/>
        </w:rPr>
        <w:t>External and Internal Environment Analysis</w:t>
      </w:r>
      <w:r>
        <w:rPr>
          <w:rFonts w:ascii="Arial" w:hAnsi="Arial" w:cs="Arial"/>
          <w:sz w:val="24"/>
          <w:szCs w:val="24"/>
        </w:rPr>
        <w:t>……………………….</w:t>
      </w:r>
      <w:r w:rsidR="000A79CF">
        <w:rPr>
          <w:rFonts w:ascii="Arial" w:hAnsi="Arial" w:cs="Arial"/>
          <w:sz w:val="24"/>
          <w:szCs w:val="24"/>
        </w:rPr>
        <w:t xml:space="preserve"> 4-</w:t>
      </w:r>
      <w:r w:rsidR="00862733">
        <w:rPr>
          <w:rFonts w:ascii="Arial" w:hAnsi="Arial" w:cs="Arial"/>
          <w:sz w:val="24"/>
          <w:szCs w:val="24"/>
        </w:rPr>
        <w:t>11</w:t>
      </w:r>
      <w:r w:rsidRPr="00587A94">
        <w:rPr>
          <w:rFonts w:ascii="Arial" w:hAnsi="Arial" w:cs="Arial"/>
          <w:sz w:val="24"/>
          <w:szCs w:val="24"/>
        </w:rPr>
        <w:br/>
      </w:r>
    </w:p>
    <w:p w14:paraId="5A581660" w14:textId="77777777" w:rsidR="00091C1C" w:rsidRDefault="00091C1C" w:rsidP="00091C1C">
      <w:pPr>
        <w:numPr>
          <w:ilvl w:val="0"/>
          <w:numId w:val="1"/>
        </w:numPr>
        <w:rPr>
          <w:rFonts w:ascii="Arial" w:hAnsi="Arial" w:cs="Arial"/>
          <w:sz w:val="24"/>
          <w:szCs w:val="24"/>
        </w:rPr>
      </w:pPr>
      <w:r w:rsidRPr="00587A94">
        <w:rPr>
          <w:rFonts w:ascii="Arial" w:hAnsi="Arial" w:cs="Arial"/>
          <w:sz w:val="24"/>
          <w:szCs w:val="24"/>
        </w:rPr>
        <w:t>CSR and Sustainability Objectives</w:t>
      </w:r>
      <w:r>
        <w:rPr>
          <w:rFonts w:ascii="Arial" w:hAnsi="Arial" w:cs="Arial"/>
          <w:sz w:val="24"/>
          <w:szCs w:val="24"/>
        </w:rPr>
        <w:t>………………………………….</w:t>
      </w:r>
      <w:r w:rsidR="00862733">
        <w:rPr>
          <w:rFonts w:ascii="Arial" w:hAnsi="Arial" w:cs="Arial"/>
          <w:sz w:val="24"/>
          <w:szCs w:val="24"/>
        </w:rPr>
        <w:t xml:space="preserve"> 12</w:t>
      </w:r>
    </w:p>
    <w:p w14:paraId="005F3639" w14:textId="77777777" w:rsidR="00862733" w:rsidRPr="00587A94" w:rsidRDefault="00862733" w:rsidP="00862733">
      <w:pPr>
        <w:ind w:left="720"/>
        <w:rPr>
          <w:rFonts w:ascii="Arial" w:hAnsi="Arial" w:cs="Arial"/>
          <w:sz w:val="24"/>
          <w:szCs w:val="24"/>
        </w:rPr>
      </w:pPr>
    </w:p>
    <w:p w14:paraId="5FAFD7E9" w14:textId="77777777" w:rsidR="00091C1C" w:rsidRPr="00587A94" w:rsidRDefault="00091C1C" w:rsidP="00091C1C">
      <w:pPr>
        <w:numPr>
          <w:ilvl w:val="0"/>
          <w:numId w:val="1"/>
        </w:numPr>
        <w:rPr>
          <w:rFonts w:ascii="Arial" w:hAnsi="Arial" w:cs="Arial"/>
          <w:sz w:val="24"/>
          <w:szCs w:val="24"/>
        </w:rPr>
      </w:pPr>
      <w:r w:rsidRPr="00587A94">
        <w:rPr>
          <w:rFonts w:ascii="Arial" w:hAnsi="Arial" w:cs="Arial"/>
          <w:sz w:val="24"/>
          <w:szCs w:val="24"/>
        </w:rPr>
        <w:t>Comprehensive and Holistic View: Balanced Scorecard</w:t>
      </w:r>
      <w:r>
        <w:rPr>
          <w:rFonts w:ascii="Arial" w:hAnsi="Arial" w:cs="Arial"/>
          <w:sz w:val="24"/>
          <w:szCs w:val="24"/>
        </w:rPr>
        <w:t>…………</w:t>
      </w:r>
      <w:r w:rsidR="00862733">
        <w:rPr>
          <w:rFonts w:ascii="Arial" w:hAnsi="Arial" w:cs="Arial"/>
          <w:sz w:val="24"/>
          <w:szCs w:val="24"/>
        </w:rPr>
        <w:t xml:space="preserve"> 13-14</w:t>
      </w:r>
      <w:r w:rsidRPr="00587A94">
        <w:rPr>
          <w:rFonts w:ascii="Arial" w:hAnsi="Arial" w:cs="Arial"/>
          <w:sz w:val="24"/>
          <w:szCs w:val="24"/>
        </w:rPr>
        <w:br/>
      </w:r>
    </w:p>
    <w:p w14:paraId="77FAF01E" w14:textId="77777777" w:rsidR="00091C1C" w:rsidRPr="00587A94" w:rsidRDefault="00091C1C" w:rsidP="00091C1C">
      <w:pPr>
        <w:numPr>
          <w:ilvl w:val="0"/>
          <w:numId w:val="1"/>
        </w:numPr>
        <w:rPr>
          <w:rFonts w:ascii="Arial" w:hAnsi="Arial" w:cs="Arial"/>
          <w:sz w:val="24"/>
          <w:szCs w:val="24"/>
        </w:rPr>
      </w:pPr>
      <w:r w:rsidRPr="00587A94">
        <w:rPr>
          <w:rFonts w:ascii="Arial" w:hAnsi="Arial" w:cs="Arial"/>
          <w:sz w:val="24"/>
          <w:szCs w:val="24"/>
        </w:rPr>
        <w:t>Strategic Choices and Implementation</w:t>
      </w:r>
      <w:r>
        <w:rPr>
          <w:rFonts w:ascii="Arial" w:hAnsi="Arial" w:cs="Arial"/>
          <w:sz w:val="24"/>
          <w:szCs w:val="24"/>
        </w:rPr>
        <w:t>…………………………</w:t>
      </w:r>
      <w:proofErr w:type="gramStart"/>
      <w:r>
        <w:rPr>
          <w:rFonts w:ascii="Arial" w:hAnsi="Arial" w:cs="Arial"/>
          <w:sz w:val="24"/>
          <w:szCs w:val="24"/>
        </w:rPr>
        <w:t>…..</w:t>
      </w:r>
      <w:proofErr w:type="gramEnd"/>
      <w:r w:rsidR="00862733">
        <w:rPr>
          <w:rFonts w:ascii="Arial" w:hAnsi="Arial" w:cs="Arial"/>
          <w:sz w:val="24"/>
          <w:szCs w:val="24"/>
        </w:rPr>
        <w:t xml:space="preserve"> 15-16</w:t>
      </w:r>
      <w:r w:rsidRPr="00587A94">
        <w:rPr>
          <w:rFonts w:ascii="Arial" w:hAnsi="Arial" w:cs="Arial"/>
          <w:sz w:val="24"/>
          <w:szCs w:val="24"/>
        </w:rPr>
        <w:br/>
      </w:r>
    </w:p>
    <w:p w14:paraId="70DA9B64" w14:textId="77777777" w:rsidR="00091C1C" w:rsidRPr="00587A94" w:rsidRDefault="00091C1C" w:rsidP="00091C1C">
      <w:pPr>
        <w:numPr>
          <w:ilvl w:val="0"/>
          <w:numId w:val="1"/>
        </w:numPr>
        <w:rPr>
          <w:rFonts w:ascii="Arial" w:hAnsi="Arial" w:cs="Arial"/>
          <w:sz w:val="24"/>
          <w:szCs w:val="24"/>
        </w:rPr>
      </w:pPr>
      <w:r w:rsidRPr="00587A94">
        <w:rPr>
          <w:rFonts w:ascii="Arial" w:hAnsi="Arial" w:cs="Arial"/>
          <w:sz w:val="24"/>
          <w:szCs w:val="24"/>
        </w:rPr>
        <w:t>Strategic Evaluation and Recommendations</w:t>
      </w:r>
      <w:r>
        <w:rPr>
          <w:rFonts w:ascii="Arial" w:hAnsi="Arial" w:cs="Arial"/>
          <w:sz w:val="24"/>
          <w:szCs w:val="24"/>
        </w:rPr>
        <w:t>………………………</w:t>
      </w:r>
      <w:r w:rsidR="00862733">
        <w:rPr>
          <w:rFonts w:ascii="Arial" w:hAnsi="Arial" w:cs="Arial"/>
          <w:sz w:val="24"/>
          <w:szCs w:val="24"/>
        </w:rPr>
        <w:t xml:space="preserve"> 16-19</w:t>
      </w:r>
      <w:r w:rsidRPr="00587A94">
        <w:rPr>
          <w:rFonts w:ascii="Arial" w:hAnsi="Arial" w:cs="Arial"/>
          <w:sz w:val="24"/>
          <w:szCs w:val="24"/>
        </w:rPr>
        <w:br/>
      </w:r>
    </w:p>
    <w:p w14:paraId="0D884C22" w14:textId="77777777" w:rsidR="00091C1C" w:rsidRPr="00587A94" w:rsidRDefault="00091C1C" w:rsidP="00091C1C">
      <w:pPr>
        <w:rPr>
          <w:rFonts w:ascii="Arial" w:hAnsi="Arial" w:cs="Arial"/>
          <w:sz w:val="24"/>
          <w:szCs w:val="24"/>
        </w:rPr>
      </w:pPr>
      <w:r w:rsidRPr="00587A94">
        <w:rPr>
          <w:rFonts w:ascii="Arial" w:hAnsi="Arial" w:cs="Arial"/>
          <w:sz w:val="24"/>
          <w:szCs w:val="24"/>
        </w:rPr>
        <w:t>Section 2: Reflective Account</w:t>
      </w:r>
    </w:p>
    <w:p w14:paraId="40DD711E" w14:textId="77777777" w:rsidR="00091C1C" w:rsidRPr="00587A94" w:rsidRDefault="00091C1C" w:rsidP="00091C1C">
      <w:pPr>
        <w:ind w:left="720"/>
        <w:rPr>
          <w:rFonts w:ascii="Arial" w:hAnsi="Arial" w:cs="Arial"/>
          <w:sz w:val="24"/>
          <w:szCs w:val="24"/>
        </w:rPr>
      </w:pPr>
      <w:r w:rsidRPr="00587A94">
        <w:rPr>
          <w:rFonts w:ascii="Arial" w:hAnsi="Arial" w:cs="Arial"/>
          <w:sz w:val="24"/>
          <w:szCs w:val="24"/>
        </w:rPr>
        <w:t xml:space="preserve">Reflective Analysis (Gibbs Reflective </w:t>
      </w:r>
      <w:proofErr w:type="gramStart"/>
      <w:r w:rsidRPr="00587A94">
        <w:rPr>
          <w:rFonts w:ascii="Arial" w:hAnsi="Arial" w:cs="Arial"/>
          <w:sz w:val="24"/>
          <w:szCs w:val="24"/>
        </w:rPr>
        <w:t>Cycle)</w:t>
      </w:r>
      <w:r>
        <w:rPr>
          <w:rFonts w:ascii="Arial" w:hAnsi="Arial" w:cs="Arial"/>
          <w:sz w:val="24"/>
          <w:szCs w:val="24"/>
        </w:rPr>
        <w:t>…</w:t>
      </w:r>
      <w:proofErr w:type="gramEnd"/>
      <w:r>
        <w:rPr>
          <w:rFonts w:ascii="Arial" w:hAnsi="Arial" w:cs="Arial"/>
          <w:sz w:val="24"/>
          <w:szCs w:val="24"/>
        </w:rPr>
        <w:t>…………………….</w:t>
      </w:r>
      <w:r w:rsidR="00862733">
        <w:rPr>
          <w:rFonts w:ascii="Arial" w:hAnsi="Arial" w:cs="Arial"/>
          <w:sz w:val="24"/>
          <w:szCs w:val="24"/>
        </w:rPr>
        <w:t xml:space="preserve"> 19-22</w:t>
      </w:r>
    </w:p>
    <w:p w14:paraId="0A4971A8" w14:textId="77777777" w:rsidR="00091C1C" w:rsidRPr="00587A94" w:rsidRDefault="00091C1C" w:rsidP="00091C1C">
      <w:pPr>
        <w:rPr>
          <w:rFonts w:ascii="Arial" w:hAnsi="Arial" w:cs="Arial"/>
          <w:sz w:val="24"/>
          <w:szCs w:val="24"/>
        </w:rPr>
      </w:pPr>
      <w:r w:rsidRPr="00587A94">
        <w:rPr>
          <w:rFonts w:ascii="Arial" w:hAnsi="Arial" w:cs="Arial"/>
          <w:sz w:val="24"/>
          <w:szCs w:val="24"/>
        </w:rPr>
        <w:t>References</w:t>
      </w:r>
      <w:r>
        <w:rPr>
          <w:rFonts w:ascii="Arial" w:hAnsi="Arial" w:cs="Arial"/>
          <w:sz w:val="24"/>
          <w:szCs w:val="24"/>
        </w:rPr>
        <w:t>…………………………………………………………………</w:t>
      </w:r>
      <w:proofErr w:type="gramStart"/>
      <w:r>
        <w:rPr>
          <w:rFonts w:ascii="Arial" w:hAnsi="Arial" w:cs="Arial"/>
          <w:sz w:val="24"/>
          <w:szCs w:val="24"/>
        </w:rPr>
        <w:t>…..</w:t>
      </w:r>
      <w:proofErr w:type="gramEnd"/>
      <w:r w:rsidR="00862733">
        <w:rPr>
          <w:rFonts w:ascii="Arial" w:hAnsi="Arial" w:cs="Arial"/>
          <w:sz w:val="24"/>
          <w:szCs w:val="24"/>
        </w:rPr>
        <w:t>23-28</w:t>
      </w:r>
    </w:p>
    <w:p w14:paraId="3E99E0C5" w14:textId="77777777" w:rsidR="00091C1C" w:rsidRDefault="00091C1C" w:rsidP="00091C1C">
      <w:pPr>
        <w:rPr>
          <w:rFonts w:ascii="Arial" w:hAnsi="Arial" w:cs="Arial"/>
          <w:b/>
          <w:bCs/>
          <w:sz w:val="24"/>
          <w:szCs w:val="24"/>
        </w:rPr>
      </w:pPr>
      <w:r>
        <w:rPr>
          <w:rFonts w:ascii="Arial" w:hAnsi="Arial" w:cs="Arial"/>
          <w:b/>
          <w:bCs/>
          <w:sz w:val="24"/>
          <w:szCs w:val="24"/>
        </w:rPr>
        <w:br w:type="page"/>
      </w:r>
    </w:p>
    <w:p w14:paraId="3050BBE3" w14:textId="77777777" w:rsidR="00091C1C" w:rsidRPr="00814D58" w:rsidRDefault="00091C1C" w:rsidP="00091C1C">
      <w:pPr>
        <w:spacing w:line="360" w:lineRule="auto"/>
        <w:jc w:val="both"/>
        <w:rPr>
          <w:rFonts w:ascii="Arial" w:hAnsi="Arial" w:cs="Arial"/>
          <w:b/>
          <w:bCs/>
          <w:sz w:val="24"/>
          <w:szCs w:val="24"/>
        </w:rPr>
      </w:pPr>
      <w:r w:rsidRPr="00814D58">
        <w:rPr>
          <w:rFonts w:ascii="Arial" w:hAnsi="Arial" w:cs="Arial"/>
          <w:b/>
          <w:bCs/>
          <w:sz w:val="24"/>
          <w:szCs w:val="24"/>
        </w:rPr>
        <w:lastRenderedPageBreak/>
        <w:t>Section 1</w:t>
      </w:r>
    </w:p>
    <w:p w14:paraId="2444B089" w14:textId="77777777" w:rsidR="00091C1C" w:rsidRPr="00814D58" w:rsidRDefault="00091C1C" w:rsidP="00091C1C">
      <w:pPr>
        <w:spacing w:line="360" w:lineRule="auto"/>
        <w:jc w:val="both"/>
        <w:rPr>
          <w:rFonts w:ascii="Arial" w:hAnsi="Arial" w:cs="Arial"/>
          <w:b/>
          <w:bCs/>
          <w:sz w:val="24"/>
          <w:szCs w:val="24"/>
        </w:rPr>
      </w:pPr>
      <w:r w:rsidRPr="00814D58">
        <w:rPr>
          <w:rFonts w:ascii="Arial" w:hAnsi="Arial" w:cs="Arial"/>
          <w:b/>
          <w:bCs/>
          <w:sz w:val="24"/>
          <w:szCs w:val="24"/>
        </w:rPr>
        <w:t xml:space="preserve">1. </w:t>
      </w:r>
      <w:proofErr w:type="spellStart"/>
      <w:r w:rsidRPr="00814D58">
        <w:rPr>
          <w:rFonts w:ascii="Arial" w:hAnsi="Arial" w:cs="Arial"/>
          <w:b/>
          <w:bCs/>
          <w:sz w:val="24"/>
          <w:szCs w:val="24"/>
        </w:rPr>
        <w:t>Organisational</w:t>
      </w:r>
      <w:proofErr w:type="spellEnd"/>
      <w:r w:rsidRPr="00814D58">
        <w:rPr>
          <w:rFonts w:ascii="Arial" w:hAnsi="Arial" w:cs="Arial"/>
          <w:b/>
          <w:bCs/>
          <w:sz w:val="24"/>
          <w:szCs w:val="24"/>
        </w:rPr>
        <w:t xml:space="preserve"> Context and Overview</w:t>
      </w:r>
    </w:p>
    <w:p w14:paraId="7A352CAA"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IKEA is a global furniture retailer and the largest in the world, which started as a small mail-order company in 1943 and is now operating in more than 60 countries, with over 460 stores (Inter IKEA Group, 2024). The name of the company is an acronym of the initials of the founder and the farm and village he had been brought up in, which are </w:t>
      </w:r>
      <w:proofErr w:type="spellStart"/>
      <w:r w:rsidRPr="00C723A3">
        <w:rPr>
          <w:rFonts w:ascii="Arial" w:hAnsi="Arial" w:cs="Arial"/>
          <w:sz w:val="24"/>
          <w:szCs w:val="24"/>
        </w:rPr>
        <w:t>Elmtaryd</w:t>
      </w:r>
      <w:proofErr w:type="spellEnd"/>
      <w:r w:rsidRPr="00C723A3">
        <w:rPr>
          <w:rFonts w:ascii="Arial" w:hAnsi="Arial" w:cs="Arial"/>
          <w:sz w:val="24"/>
          <w:szCs w:val="24"/>
        </w:rPr>
        <w:t xml:space="preserve"> and </w:t>
      </w:r>
      <w:proofErr w:type="spellStart"/>
      <w:r w:rsidRPr="00C723A3">
        <w:rPr>
          <w:rFonts w:ascii="Arial" w:hAnsi="Arial" w:cs="Arial"/>
          <w:sz w:val="24"/>
          <w:szCs w:val="24"/>
        </w:rPr>
        <w:t>Agunnaryd</w:t>
      </w:r>
      <w:proofErr w:type="spellEnd"/>
      <w:r w:rsidRPr="00C723A3">
        <w:rPr>
          <w:rFonts w:ascii="Arial" w:hAnsi="Arial" w:cs="Arial"/>
          <w:sz w:val="24"/>
          <w:szCs w:val="24"/>
        </w:rPr>
        <w:t xml:space="preserve"> (</w:t>
      </w:r>
      <w:proofErr w:type="spellStart"/>
      <w:r w:rsidRPr="00C723A3">
        <w:rPr>
          <w:rFonts w:ascii="Arial" w:hAnsi="Arial" w:cs="Arial"/>
          <w:sz w:val="24"/>
          <w:szCs w:val="24"/>
        </w:rPr>
        <w:t>Torekull</w:t>
      </w:r>
      <w:proofErr w:type="spellEnd"/>
      <w:r w:rsidRPr="00C723A3">
        <w:rPr>
          <w:rFonts w:ascii="Arial" w:hAnsi="Arial" w:cs="Arial"/>
          <w:sz w:val="24"/>
          <w:szCs w:val="24"/>
        </w:rPr>
        <w:t>, 2012). The entrepreneurial spirit of Kamprad was based on the democratic premise that properly designed functional home furnishing ought to be available to the largest audience as opposed to being exclusive to the wealthy (</w:t>
      </w:r>
      <w:proofErr w:type="spellStart"/>
      <w:r w:rsidRPr="00C723A3">
        <w:rPr>
          <w:rFonts w:ascii="Arial" w:hAnsi="Arial" w:cs="Arial"/>
          <w:sz w:val="24"/>
          <w:szCs w:val="24"/>
        </w:rPr>
        <w:t>Dahlvig</w:t>
      </w:r>
      <w:proofErr w:type="spellEnd"/>
      <w:r w:rsidRPr="00C723A3">
        <w:rPr>
          <w:rFonts w:ascii="Arial" w:hAnsi="Arial" w:cs="Arial"/>
          <w:sz w:val="24"/>
          <w:szCs w:val="24"/>
        </w:rPr>
        <w:t>, 2012). The rise of the company as a rural Swedish company to the worldwide retail giant shows the exemplifying nature of its strategic consistency, as the foundation and value proposition of this company do not differ significantly even though the market has changed dramatically within eight decades.</w:t>
      </w:r>
    </w:p>
    <w:p w14:paraId="64FF7F19"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mission of IKEA is to provide a large array of well-designed functional home furnishing products at low prices that will make most people afford it (IKEA, 2024). Its vision is to help in making a better everyday life </w:t>
      </w:r>
      <w:proofErr w:type="gramStart"/>
      <w:r w:rsidRPr="00C723A3">
        <w:rPr>
          <w:rFonts w:ascii="Arial" w:hAnsi="Arial" w:cs="Arial"/>
          <w:sz w:val="24"/>
          <w:szCs w:val="24"/>
        </w:rPr>
        <w:t>to</w:t>
      </w:r>
      <w:proofErr w:type="gramEnd"/>
      <w:r w:rsidRPr="00C723A3">
        <w:rPr>
          <w:rFonts w:ascii="Arial" w:hAnsi="Arial" w:cs="Arial"/>
          <w:sz w:val="24"/>
          <w:szCs w:val="24"/>
        </w:rPr>
        <w:t xml:space="preserve"> </w:t>
      </w:r>
      <w:proofErr w:type="gramStart"/>
      <w:r w:rsidRPr="00C723A3">
        <w:rPr>
          <w:rFonts w:ascii="Arial" w:hAnsi="Arial" w:cs="Arial"/>
          <w:sz w:val="24"/>
          <w:szCs w:val="24"/>
        </w:rPr>
        <w:t>the many</w:t>
      </w:r>
      <w:proofErr w:type="gramEnd"/>
      <w:r w:rsidRPr="00C723A3">
        <w:rPr>
          <w:rFonts w:ascii="Arial" w:hAnsi="Arial" w:cs="Arial"/>
          <w:sz w:val="24"/>
          <w:szCs w:val="24"/>
        </w:rPr>
        <w:t xml:space="preserve"> people (Jonsson and Foss, 2011). This vision permeates </w:t>
      </w:r>
      <w:proofErr w:type="gramStart"/>
      <w:r w:rsidRPr="00C723A3">
        <w:rPr>
          <w:rFonts w:ascii="Arial" w:hAnsi="Arial" w:cs="Arial"/>
          <w:sz w:val="24"/>
          <w:szCs w:val="24"/>
        </w:rPr>
        <w:t>all of</w:t>
      </w:r>
      <w:proofErr w:type="gramEnd"/>
      <w:r w:rsidRPr="00C723A3">
        <w:rPr>
          <w:rFonts w:ascii="Arial" w:hAnsi="Arial" w:cs="Arial"/>
          <w:sz w:val="24"/>
          <w:szCs w:val="24"/>
        </w:rPr>
        <w:t xml:space="preserve"> its strategic choices including in product design and supply chain management and serves as what Collins and Porras (1996) define as a core ideology </w:t>
      </w:r>
      <w:proofErr w:type="gramStart"/>
      <w:r w:rsidRPr="00C723A3">
        <w:rPr>
          <w:rFonts w:ascii="Arial" w:hAnsi="Arial" w:cs="Arial"/>
          <w:sz w:val="24"/>
          <w:szCs w:val="24"/>
        </w:rPr>
        <w:t>that is guiding</w:t>
      </w:r>
      <w:proofErr w:type="gramEnd"/>
      <w:r w:rsidRPr="00C723A3">
        <w:rPr>
          <w:rFonts w:ascii="Arial" w:hAnsi="Arial" w:cs="Arial"/>
          <w:sz w:val="24"/>
          <w:szCs w:val="24"/>
        </w:rPr>
        <w:t xml:space="preserve"> </w:t>
      </w:r>
      <w:proofErr w:type="spellStart"/>
      <w:r w:rsidRPr="00C723A3">
        <w:rPr>
          <w:rFonts w:ascii="Arial" w:hAnsi="Arial" w:cs="Arial"/>
          <w:sz w:val="24"/>
          <w:szCs w:val="24"/>
        </w:rPr>
        <w:t>organisational</w:t>
      </w:r>
      <w:proofErr w:type="spellEnd"/>
      <w:r w:rsidRPr="00C723A3">
        <w:rPr>
          <w:rFonts w:ascii="Arial" w:hAnsi="Arial" w:cs="Arial"/>
          <w:sz w:val="24"/>
          <w:szCs w:val="24"/>
        </w:rPr>
        <w:t xml:space="preserve"> </w:t>
      </w:r>
      <w:proofErr w:type="spellStart"/>
      <w:r w:rsidRPr="00C723A3">
        <w:rPr>
          <w:rFonts w:ascii="Arial" w:hAnsi="Arial" w:cs="Arial"/>
          <w:sz w:val="24"/>
          <w:szCs w:val="24"/>
        </w:rPr>
        <w:t>behaviour</w:t>
      </w:r>
      <w:proofErr w:type="spellEnd"/>
      <w:r w:rsidRPr="00C723A3">
        <w:rPr>
          <w:rFonts w:ascii="Arial" w:hAnsi="Arial" w:cs="Arial"/>
          <w:sz w:val="24"/>
          <w:szCs w:val="24"/>
        </w:rPr>
        <w:t xml:space="preserve"> in a wide range of cultural and market settings.</w:t>
      </w:r>
    </w:p>
    <w:p w14:paraId="38BBE056"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business model implemented by IKEA is unique and vertical. It is a mixture of flat </w:t>
      </w:r>
      <w:proofErr w:type="gramStart"/>
      <w:r w:rsidRPr="00C723A3">
        <w:rPr>
          <w:rFonts w:ascii="Arial" w:hAnsi="Arial" w:cs="Arial"/>
          <w:sz w:val="24"/>
          <w:szCs w:val="24"/>
        </w:rPr>
        <w:t>pack</w:t>
      </w:r>
      <w:proofErr w:type="gramEnd"/>
      <w:r w:rsidRPr="00C723A3">
        <w:rPr>
          <w:rFonts w:ascii="Arial" w:hAnsi="Arial" w:cs="Arial"/>
          <w:sz w:val="24"/>
          <w:szCs w:val="24"/>
        </w:rPr>
        <w:t xml:space="preserve">, </w:t>
      </w:r>
      <w:proofErr w:type="spellStart"/>
      <w:r w:rsidRPr="00C723A3">
        <w:rPr>
          <w:rFonts w:ascii="Arial" w:hAnsi="Arial" w:cs="Arial"/>
          <w:sz w:val="24"/>
          <w:szCs w:val="24"/>
        </w:rPr>
        <w:t>self assembly</w:t>
      </w:r>
      <w:proofErr w:type="spellEnd"/>
      <w:r w:rsidRPr="00C723A3">
        <w:rPr>
          <w:rFonts w:ascii="Arial" w:hAnsi="Arial" w:cs="Arial"/>
          <w:sz w:val="24"/>
          <w:szCs w:val="24"/>
        </w:rPr>
        <w:t xml:space="preserve"> furniture, huge warehouses of large format retail stores, and a cost-efficient supply chain comprising of an estimated 1,600 suppliers in 50 countries (Hultman et al., 2012). The model shifts some activities of the value-chain, the assembly and delivery to the customer and hence costs are minimized by a significant margin </w:t>
      </w:r>
      <w:proofErr w:type="gramStart"/>
      <w:r w:rsidRPr="00C723A3">
        <w:rPr>
          <w:rFonts w:ascii="Arial" w:hAnsi="Arial" w:cs="Arial"/>
          <w:sz w:val="24"/>
          <w:szCs w:val="24"/>
        </w:rPr>
        <w:t>( Normann</w:t>
      </w:r>
      <w:proofErr w:type="gramEnd"/>
      <w:r w:rsidRPr="00C723A3">
        <w:rPr>
          <w:rFonts w:ascii="Arial" w:hAnsi="Arial" w:cs="Arial"/>
          <w:sz w:val="24"/>
          <w:szCs w:val="24"/>
        </w:rPr>
        <w:t xml:space="preserve"> and Ramirez, 1993). It is this co-creation of value that Prahalad and Ramaswamy (2004) describe as a radical change in the shift away of firms-centric value generation to customer-centric. In FY2023, the company had </w:t>
      </w:r>
      <w:proofErr w:type="gramStart"/>
      <w:r w:rsidRPr="00C723A3">
        <w:rPr>
          <w:rFonts w:ascii="Arial" w:hAnsi="Arial" w:cs="Arial"/>
          <w:sz w:val="24"/>
          <w:szCs w:val="24"/>
        </w:rPr>
        <w:t>a revenue</w:t>
      </w:r>
      <w:proofErr w:type="gramEnd"/>
      <w:r w:rsidRPr="00C723A3">
        <w:rPr>
          <w:rFonts w:ascii="Arial" w:hAnsi="Arial" w:cs="Arial"/>
          <w:sz w:val="24"/>
          <w:szCs w:val="24"/>
        </w:rPr>
        <w:t xml:space="preserve"> of over EUR47 billion (Inter IKEA Group, 2024).</w:t>
      </w:r>
    </w:p>
    <w:p w14:paraId="1A9A1F8E" w14:textId="77777777" w:rsidR="00D56C60"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furniture and home furnishings sector </w:t>
      </w:r>
      <w:proofErr w:type="gramStart"/>
      <w:r w:rsidRPr="00C723A3">
        <w:rPr>
          <w:rFonts w:ascii="Arial" w:hAnsi="Arial" w:cs="Arial"/>
          <w:sz w:val="24"/>
          <w:szCs w:val="24"/>
        </w:rPr>
        <w:t>is</w:t>
      </w:r>
      <w:proofErr w:type="gramEnd"/>
      <w:r w:rsidRPr="00C723A3">
        <w:rPr>
          <w:rFonts w:ascii="Arial" w:hAnsi="Arial" w:cs="Arial"/>
          <w:sz w:val="24"/>
          <w:szCs w:val="24"/>
        </w:rPr>
        <w:t xml:space="preserve"> the most competitive with a global value of about 750 billion in size (Statista, 2024). </w:t>
      </w:r>
    </w:p>
    <w:p w14:paraId="25B95C09" w14:textId="77777777" w:rsidR="00D56C60" w:rsidRDefault="00D56C60" w:rsidP="00091C1C">
      <w:pPr>
        <w:spacing w:line="360" w:lineRule="auto"/>
        <w:jc w:val="both"/>
        <w:rPr>
          <w:rFonts w:ascii="Arial" w:hAnsi="Arial" w:cs="Arial"/>
          <w:sz w:val="24"/>
          <w:szCs w:val="24"/>
        </w:rPr>
      </w:pPr>
      <w:r>
        <w:rPr>
          <w:rFonts w:ascii="Arial" w:hAnsi="Arial" w:cs="Arial"/>
          <w:noProof/>
          <w:sz w:val="24"/>
          <w:szCs w:val="24"/>
          <w:lang w:bidi="ar-SA"/>
        </w:rPr>
        <w:lastRenderedPageBreak/>
        <w:drawing>
          <wp:inline distT="0" distB="0" distL="0" distR="0" wp14:anchorId="2D1FBFDF" wp14:editId="36108BAE">
            <wp:extent cx="5731510" cy="2902030"/>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1510" cy="2902030"/>
                    </a:xfrm>
                    <a:prstGeom prst="rect">
                      <a:avLst/>
                    </a:prstGeom>
                    <a:noFill/>
                    <a:ln w="9525">
                      <a:noFill/>
                      <a:miter lim="800000"/>
                      <a:headEnd/>
                      <a:tailEnd/>
                    </a:ln>
                  </pic:spPr>
                </pic:pic>
              </a:graphicData>
            </a:graphic>
          </wp:inline>
        </w:drawing>
      </w:r>
    </w:p>
    <w:p w14:paraId="530C89C1"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most prominent competitors of IKEA are Wayfair (leader in e-commerce), Ashley Furniture (the leader in the US, producer-seller), Natori (the market leader in Japan), and premium players such as Restoration Hardware. IKEA is driving the competitive situation to its limit, with global market </w:t>
      </w:r>
      <w:proofErr w:type="spellStart"/>
      <w:r w:rsidRPr="00C723A3">
        <w:rPr>
          <w:rFonts w:ascii="Arial" w:hAnsi="Arial" w:cs="Arial"/>
          <w:sz w:val="24"/>
          <w:szCs w:val="24"/>
        </w:rPr>
        <w:t>market</w:t>
      </w:r>
      <w:proofErr w:type="spellEnd"/>
      <w:r w:rsidRPr="00C723A3">
        <w:rPr>
          <w:rFonts w:ascii="Arial" w:hAnsi="Arial" w:cs="Arial"/>
          <w:sz w:val="24"/>
          <w:szCs w:val="24"/>
        </w:rPr>
        <w:t xml:space="preserve"> leader in terms of revenue based on unmatched brand recognition, economies of scale and uniquely integrated value proposition of affordable, Scandinavian design aesthetic and experiential retail format (Jonsson and Foss, 2011). Moreover, the ability to act within various price ranges and retain a consistent brand identity which IKEA has managed to achieve is a strategic achievement that has not been reached by many retailers in the global market (Kapferer, 2012).</w:t>
      </w:r>
    </w:p>
    <w:p w14:paraId="230D8BB4" w14:textId="77777777" w:rsidR="004715E8"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2.0 External and Internal Environment Analysis.</w:t>
      </w:r>
    </w:p>
    <w:p w14:paraId="59B54305" w14:textId="77777777" w:rsidR="004715E8" w:rsidRPr="004715E8" w:rsidRDefault="004715E8" w:rsidP="004715E8">
      <w:pPr>
        <w:spacing w:line="360" w:lineRule="auto"/>
        <w:jc w:val="both"/>
        <w:rPr>
          <w:rFonts w:ascii="Arial" w:hAnsi="Arial" w:cs="Arial"/>
          <w:b/>
          <w:bCs/>
          <w:sz w:val="24"/>
          <w:szCs w:val="24"/>
        </w:rPr>
      </w:pPr>
      <w:r w:rsidRPr="004715E8">
        <w:rPr>
          <w:rFonts w:ascii="Arial" w:hAnsi="Arial" w:cs="Arial"/>
          <w:b/>
          <w:bCs/>
          <w:sz w:val="24"/>
          <w:szCs w:val="24"/>
        </w:rPr>
        <w:t>Table 1: Key Competitors of IKEA in the Global Home Furnishings Market</w:t>
      </w:r>
    </w:p>
    <w:tbl>
      <w:tblPr>
        <w:tblStyle w:val="LightShading1"/>
        <w:tblW w:w="9165" w:type="dxa"/>
        <w:tblLook w:val="04A0" w:firstRow="1" w:lastRow="0" w:firstColumn="1" w:lastColumn="0" w:noHBand="0" w:noVBand="1"/>
      </w:tblPr>
      <w:tblGrid>
        <w:gridCol w:w="1432"/>
        <w:gridCol w:w="1529"/>
        <w:gridCol w:w="2022"/>
        <w:gridCol w:w="2108"/>
        <w:gridCol w:w="2151"/>
      </w:tblGrid>
      <w:tr w:rsidR="004715E8" w:rsidRPr="004715E8" w14:paraId="648AA0BA" w14:textId="77777777" w:rsidTr="004715E8">
        <w:trPr>
          <w:cnfStyle w:val="100000000000" w:firstRow="1" w:lastRow="0" w:firstColumn="0" w:lastColumn="0" w:oddVBand="0" w:evenVBand="0" w:oddHBand="0" w:evenHBand="0" w:firstRowFirstColumn="0" w:firstRowLastColumn="0" w:lastRowFirstColumn="0" w:lastRowLastColumn="0"/>
          <w:trHeight w:val="158"/>
        </w:trPr>
        <w:tc>
          <w:tcPr>
            <w:cnfStyle w:val="001000000000" w:firstRow="0" w:lastRow="0" w:firstColumn="1" w:lastColumn="0" w:oddVBand="0" w:evenVBand="0" w:oddHBand="0" w:evenHBand="0" w:firstRowFirstColumn="0" w:firstRowLastColumn="0" w:lastRowFirstColumn="0" w:lastRowLastColumn="0"/>
            <w:tcW w:w="0" w:type="auto"/>
            <w:noWrap/>
            <w:hideMark/>
          </w:tcPr>
          <w:p w14:paraId="19D8ED5C" w14:textId="77777777" w:rsidR="004715E8" w:rsidRPr="004715E8" w:rsidRDefault="004715E8" w:rsidP="004715E8">
            <w:pPr>
              <w:spacing w:before="480" w:after="480"/>
              <w:jc w:val="center"/>
              <w:rPr>
                <w:rFonts w:ascii="Arial" w:eastAsia="Times New Roman" w:hAnsi="Arial" w:cs="Arial"/>
                <w:color w:val="2E2B29"/>
                <w:szCs w:val="21"/>
                <w:lang w:bidi="ar-SA"/>
              </w:rPr>
            </w:pPr>
            <w:r w:rsidRPr="004715E8">
              <w:rPr>
                <w:rFonts w:ascii="Arial" w:eastAsia="Times New Roman" w:hAnsi="Arial" w:cs="Arial"/>
                <w:color w:val="2E2B29"/>
                <w:szCs w:val="21"/>
                <w:lang w:bidi="ar-SA"/>
              </w:rPr>
              <w:t>Competitor</w:t>
            </w:r>
          </w:p>
        </w:tc>
        <w:tc>
          <w:tcPr>
            <w:tcW w:w="1536" w:type="dxa"/>
            <w:noWrap/>
            <w:hideMark/>
          </w:tcPr>
          <w:p w14:paraId="3216B465" w14:textId="77777777" w:rsidR="004715E8" w:rsidRPr="004715E8" w:rsidRDefault="004715E8" w:rsidP="004715E8">
            <w:pPr>
              <w:spacing w:before="480" w:after="48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Core Market Position</w:t>
            </w:r>
          </w:p>
        </w:tc>
        <w:tc>
          <w:tcPr>
            <w:tcW w:w="2032" w:type="dxa"/>
            <w:noWrap/>
            <w:hideMark/>
          </w:tcPr>
          <w:p w14:paraId="2C135598" w14:textId="77777777" w:rsidR="004715E8" w:rsidRPr="004715E8" w:rsidRDefault="004715E8" w:rsidP="004715E8">
            <w:pPr>
              <w:spacing w:before="480" w:after="48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Main Strengths</w:t>
            </w:r>
          </w:p>
        </w:tc>
        <w:tc>
          <w:tcPr>
            <w:tcW w:w="2119" w:type="dxa"/>
            <w:noWrap/>
            <w:hideMark/>
          </w:tcPr>
          <w:p w14:paraId="7CC765F5" w14:textId="77777777" w:rsidR="004715E8" w:rsidRPr="004715E8" w:rsidRDefault="004715E8" w:rsidP="004715E8">
            <w:pPr>
              <w:spacing w:before="480" w:after="48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Main Weaknesses Compared to IKEA</w:t>
            </w:r>
          </w:p>
        </w:tc>
        <w:tc>
          <w:tcPr>
            <w:tcW w:w="2162" w:type="dxa"/>
            <w:noWrap/>
            <w:hideMark/>
          </w:tcPr>
          <w:p w14:paraId="089F5B9F" w14:textId="77777777" w:rsidR="004715E8" w:rsidRPr="004715E8" w:rsidRDefault="004715E8" w:rsidP="004715E8">
            <w:pPr>
              <w:spacing w:before="480" w:after="480"/>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Strategic Relevance to IKEA</w:t>
            </w:r>
          </w:p>
        </w:tc>
      </w:tr>
      <w:tr w:rsidR="004715E8" w:rsidRPr="004715E8" w14:paraId="107759D4" w14:textId="77777777" w:rsidTr="004715E8">
        <w:trPr>
          <w:cnfStyle w:val="000000100000" w:firstRow="0" w:lastRow="0" w:firstColumn="0" w:lastColumn="0" w:oddVBand="0" w:evenVBand="0" w:oddHBand="1" w:evenHBand="0" w:firstRowFirstColumn="0" w:firstRowLastColumn="0" w:lastRowFirstColumn="0" w:lastRowLastColumn="0"/>
          <w:trHeight w:val="158"/>
        </w:trPr>
        <w:tc>
          <w:tcPr>
            <w:cnfStyle w:val="001000000000" w:firstRow="0" w:lastRow="0" w:firstColumn="1" w:lastColumn="0" w:oddVBand="0" w:evenVBand="0" w:oddHBand="0" w:evenHBand="0" w:firstRowFirstColumn="0" w:firstRowLastColumn="0" w:lastRowFirstColumn="0" w:lastRowLastColumn="0"/>
            <w:tcW w:w="0" w:type="auto"/>
            <w:hideMark/>
          </w:tcPr>
          <w:p w14:paraId="3544E1BA" w14:textId="77777777" w:rsidR="004715E8" w:rsidRPr="004715E8" w:rsidRDefault="004715E8" w:rsidP="004715E8">
            <w:pPr>
              <w:spacing w:before="480" w:after="480"/>
              <w:rPr>
                <w:rFonts w:ascii="Arial" w:eastAsia="Times New Roman" w:hAnsi="Arial" w:cs="Arial"/>
                <w:color w:val="2E2B29"/>
                <w:szCs w:val="21"/>
                <w:lang w:bidi="ar-SA"/>
              </w:rPr>
            </w:pPr>
            <w:r w:rsidRPr="004715E8">
              <w:rPr>
                <w:rFonts w:ascii="Arial" w:eastAsia="Times New Roman" w:hAnsi="Arial" w:cs="Arial"/>
                <w:color w:val="2E2B29"/>
                <w:szCs w:val="21"/>
                <w:lang w:bidi="ar-SA"/>
              </w:rPr>
              <w:t>Wayfair</w:t>
            </w:r>
          </w:p>
        </w:tc>
        <w:tc>
          <w:tcPr>
            <w:tcW w:w="1536" w:type="dxa"/>
            <w:hideMark/>
          </w:tcPr>
          <w:p w14:paraId="2E947476"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 xml:space="preserve">Online-only home furnishings </w:t>
            </w:r>
            <w:r w:rsidRPr="004715E8">
              <w:rPr>
                <w:rFonts w:ascii="Arial" w:eastAsia="Times New Roman" w:hAnsi="Arial" w:cs="Arial"/>
                <w:color w:val="2E2B29"/>
                <w:szCs w:val="21"/>
                <w:lang w:bidi="ar-SA"/>
              </w:rPr>
              <w:lastRenderedPageBreak/>
              <w:t>retailer</w:t>
            </w:r>
          </w:p>
        </w:tc>
        <w:tc>
          <w:tcPr>
            <w:tcW w:w="2032" w:type="dxa"/>
            <w:hideMark/>
          </w:tcPr>
          <w:p w14:paraId="1044AF2F"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lastRenderedPageBreak/>
              <w:t xml:space="preserve">Strong e-commerce platform, wide assortment, data-driven </w:t>
            </w:r>
            <w:proofErr w:type="spellStart"/>
            <w:r w:rsidRPr="004715E8">
              <w:rPr>
                <w:rFonts w:ascii="Arial" w:eastAsia="Times New Roman" w:hAnsi="Arial" w:cs="Arial"/>
                <w:color w:val="2E2B29"/>
                <w:szCs w:val="21"/>
                <w:lang w:bidi="ar-SA"/>
              </w:rPr>
              <w:lastRenderedPageBreak/>
              <w:t>personalisation</w:t>
            </w:r>
            <w:proofErr w:type="spellEnd"/>
            <w:r w:rsidRPr="004715E8">
              <w:rPr>
                <w:rFonts w:ascii="Arial" w:eastAsia="Times New Roman" w:hAnsi="Arial" w:cs="Arial"/>
                <w:color w:val="2E2B29"/>
                <w:szCs w:val="21"/>
                <w:lang w:bidi="ar-SA"/>
              </w:rPr>
              <w:t>, fast digital innovation</w:t>
            </w:r>
          </w:p>
        </w:tc>
        <w:tc>
          <w:tcPr>
            <w:tcW w:w="2119" w:type="dxa"/>
            <w:hideMark/>
          </w:tcPr>
          <w:p w14:paraId="36014929"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lastRenderedPageBreak/>
              <w:t xml:space="preserve">Limited physical retail presence, lower experiential engagement, weaker brand </w:t>
            </w:r>
            <w:r w:rsidRPr="004715E8">
              <w:rPr>
                <w:rFonts w:ascii="Arial" w:eastAsia="Times New Roman" w:hAnsi="Arial" w:cs="Arial"/>
                <w:color w:val="2E2B29"/>
                <w:szCs w:val="21"/>
                <w:lang w:bidi="ar-SA"/>
              </w:rPr>
              <w:lastRenderedPageBreak/>
              <w:t>heritage than IKEA</w:t>
            </w:r>
          </w:p>
        </w:tc>
        <w:tc>
          <w:tcPr>
            <w:tcW w:w="2162" w:type="dxa"/>
            <w:hideMark/>
          </w:tcPr>
          <w:p w14:paraId="6A606E60"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lastRenderedPageBreak/>
              <w:t xml:space="preserve">Major threat in digital retail and omnichannel </w:t>
            </w:r>
            <w:r w:rsidRPr="004715E8">
              <w:rPr>
                <w:rFonts w:ascii="Arial" w:eastAsia="Times New Roman" w:hAnsi="Arial" w:cs="Arial"/>
                <w:color w:val="2E2B29"/>
                <w:szCs w:val="21"/>
                <w:lang w:bidi="ar-SA"/>
              </w:rPr>
              <w:lastRenderedPageBreak/>
              <w:t>competition</w:t>
            </w:r>
          </w:p>
        </w:tc>
      </w:tr>
      <w:tr w:rsidR="004715E8" w:rsidRPr="004715E8" w14:paraId="460E7CBE" w14:textId="77777777" w:rsidTr="004715E8">
        <w:trPr>
          <w:trHeight w:val="158"/>
        </w:trPr>
        <w:tc>
          <w:tcPr>
            <w:cnfStyle w:val="001000000000" w:firstRow="0" w:lastRow="0" w:firstColumn="1" w:lastColumn="0" w:oddVBand="0" w:evenVBand="0" w:oddHBand="0" w:evenHBand="0" w:firstRowFirstColumn="0" w:firstRowLastColumn="0" w:lastRowFirstColumn="0" w:lastRowLastColumn="0"/>
            <w:tcW w:w="0" w:type="auto"/>
            <w:hideMark/>
          </w:tcPr>
          <w:p w14:paraId="4DBDE4A5" w14:textId="77777777" w:rsidR="004715E8" w:rsidRPr="004715E8" w:rsidRDefault="004715E8" w:rsidP="004715E8">
            <w:pPr>
              <w:spacing w:before="480" w:after="480"/>
              <w:rPr>
                <w:rFonts w:ascii="Arial" w:eastAsia="Times New Roman" w:hAnsi="Arial" w:cs="Arial"/>
                <w:color w:val="2E2B29"/>
                <w:szCs w:val="21"/>
                <w:lang w:bidi="ar-SA"/>
              </w:rPr>
            </w:pPr>
            <w:r w:rsidRPr="004715E8">
              <w:rPr>
                <w:rFonts w:ascii="Arial" w:eastAsia="Times New Roman" w:hAnsi="Arial" w:cs="Arial"/>
                <w:color w:val="2E2B29"/>
                <w:szCs w:val="21"/>
                <w:lang w:bidi="ar-SA"/>
              </w:rPr>
              <w:lastRenderedPageBreak/>
              <w:t>Ashley Furniture</w:t>
            </w:r>
          </w:p>
        </w:tc>
        <w:tc>
          <w:tcPr>
            <w:tcW w:w="1536" w:type="dxa"/>
            <w:hideMark/>
          </w:tcPr>
          <w:p w14:paraId="08F9647D"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Mass-market furniture manufacturer and retailer, especially strong in the US</w:t>
            </w:r>
          </w:p>
        </w:tc>
        <w:tc>
          <w:tcPr>
            <w:tcW w:w="2032" w:type="dxa"/>
            <w:hideMark/>
          </w:tcPr>
          <w:p w14:paraId="6290BB04"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Large manufacturing base, strong US distribution network, wide product availability</w:t>
            </w:r>
          </w:p>
        </w:tc>
        <w:tc>
          <w:tcPr>
            <w:tcW w:w="2119" w:type="dxa"/>
            <w:hideMark/>
          </w:tcPr>
          <w:p w14:paraId="65637DB7"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Less distinctive global brand identity, lower experiential retail differentiation</w:t>
            </w:r>
          </w:p>
        </w:tc>
        <w:tc>
          <w:tcPr>
            <w:tcW w:w="2162" w:type="dxa"/>
            <w:hideMark/>
          </w:tcPr>
          <w:p w14:paraId="34DAB996"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Important competitor in affordable furniture and large-scale retail</w:t>
            </w:r>
          </w:p>
        </w:tc>
      </w:tr>
      <w:tr w:rsidR="004715E8" w:rsidRPr="004715E8" w14:paraId="225E679A" w14:textId="77777777" w:rsidTr="004715E8">
        <w:trPr>
          <w:cnfStyle w:val="000000100000" w:firstRow="0" w:lastRow="0" w:firstColumn="0" w:lastColumn="0" w:oddVBand="0" w:evenVBand="0" w:oddHBand="1" w:evenHBand="0" w:firstRowFirstColumn="0" w:firstRowLastColumn="0" w:lastRowFirstColumn="0" w:lastRowLastColumn="0"/>
          <w:trHeight w:val="158"/>
        </w:trPr>
        <w:tc>
          <w:tcPr>
            <w:cnfStyle w:val="001000000000" w:firstRow="0" w:lastRow="0" w:firstColumn="1" w:lastColumn="0" w:oddVBand="0" w:evenVBand="0" w:oddHBand="0" w:evenHBand="0" w:firstRowFirstColumn="0" w:firstRowLastColumn="0" w:lastRowFirstColumn="0" w:lastRowLastColumn="0"/>
            <w:tcW w:w="0" w:type="auto"/>
            <w:hideMark/>
          </w:tcPr>
          <w:p w14:paraId="34D46947" w14:textId="77777777" w:rsidR="004715E8" w:rsidRPr="004715E8" w:rsidRDefault="004715E8" w:rsidP="004715E8">
            <w:pPr>
              <w:spacing w:before="480" w:after="480"/>
              <w:rPr>
                <w:rFonts w:ascii="Arial" w:eastAsia="Times New Roman" w:hAnsi="Arial" w:cs="Arial"/>
                <w:color w:val="2E2B29"/>
                <w:szCs w:val="21"/>
                <w:lang w:bidi="ar-SA"/>
              </w:rPr>
            </w:pPr>
            <w:proofErr w:type="spellStart"/>
            <w:r w:rsidRPr="004715E8">
              <w:rPr>
                <w:rFonts w:ascii="Arial" w:eastAsia="Times New Roman" w:hAnsi="Arial" w:cs="Arial"/>
                <w:color w:val="2E2B29"/>
                <w:szCs w:val="21"/>
                <w:lang w:bidi="ar-SA"/>
              </w:rPr>
              <w:t>Nitori</w:t>
            </w:r>
            <w:proofErr w:type="spellEnd"/>
          </w:p>
        </w:tc>
        <w:tc>
          <w:tcPr>
            <w:tcW w:w="1536" w:type="dxa"/>
            <w:hideMark/>
          </w:tcPr>
          <w:p w14:paraId="53D7A3FB"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Dominant Japanese furniture and home accessories retailer</w:t>
            </w:r>
          </w:p>
        </w:tc>
        <w:tc>
          <w:tcPr>
            <w:tcW w:w="2032" w:type="dxa"/>
            <w:hideMark/>
          </w:tcPr>
          <w:p w14:paraId="12BAB033"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 xml:space="preserve">Strong </w:t>
            </w:r>
            <w:proofErr w:type="spellStart"/>
            <w:r w:rsidRPr="004715E8">
              <w:rPr>
                <w:rFonts w:ascii="Arial" w:eastAsia="Times New Roman" w:hAnsi="Arial" w:cs="Arial"/>
                <w:color w:val="2E2B29"/>
                <w:szCs w:val="21"/>
                <w:lang w:bidi="ar-SA"/>
              </w:rPr>
              <w:t>localisation</w:t>
            </w:r>
            <w:proofErr w:type="spellEnd"/>
            <w:r w:rsidRPr="004715E8">
              <w:rPr>
                <w:rFonts w:ascii="Arial" w:eastAsia="Times New Roman" w:hAnsi="Arial" w:cs="Arial"/>
                <w:color w:val="2E2B29"/>
                <w:szCs w:val="21"/>
                <w:lang w:bidi="ar-SA"/>
              </w:rPr>
              <w:t xml:space="preserve"> in Japan and Asia, efficient sourcing, affordability</w:t>
            </w:r>
          </w:p>
        </w:tc>
        <w:tc>
          <w:tcPr>
            <w:tcW w:w="2119" w:type="dxa"/>
            <w:hideMark/>
          </w:tcPr>
          <w:p w14:paraId="1F064A1A"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Less global scale and weaker international brand recognition than IKEA</w:t>
            </w:r>
          </w:p>
        </w:tc>
        <w:tc>
          <w:tcPr>
            <w:tcW w:w="2162" w:type="dxa"/>
            <w:hideMark/>
          </w:tcPr>
          <w:p w14:paraId="4F559C6A"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Strong regional competitor, especially in Asian markets</w:t>
            </w:r>
          </w:p>
        </w:tc>
      </w:tr>
      <w:tr w:rsidR="004715E8" w:rsidRPr="004715E8" w14:paraId="0F410765" w14:textId="77777777" w:rsidTr="004715E8">
        <w:trPr>
          <w:trHeight w:val="158"/>
        </w:trPr>
        <w:tc>
          <w:tcPr>
            <w:cnfStyle w:val="001000000000" w:firstRow="0" w:lastRow="0" w:firstColumn="1" w:lastColumn="0" w:oddVBand="0" w:evenVBand="0" w:oddHBand="0" w:evenHBand="0" w:firstRowFirstColumn="0" w:firstRowLastColumn="0" w:lastRowFirstColumn="0" w:lastRowLastColumn="0"/>
            <w:tcW w:w="0" w:type="auto"/>
            <w:hideMark/>
          </w:tcPr>
          <w:p w14:paraId="1AB9314D" w14:textId="77777777" w:rsidR="004715E8" w:rsidRPr="004715E8" w:rsidRDefault="004715E8" w:rsidP="004715E8">
            <w:pPr>
              <w:spacing w:before="480" w:after="480"/>
              <w:rPr>
                <w:rFonts w:ascii="Arial" w:eastAsia="Times New Roman" w:hAnsi="Arial" w:cs="Arial"/>
                <w:color w:val="2E2B29"/>
                <w:szCs w:val="21"/>
                <w:lang w:bidi="ar-SA"/>
              </w:rPr>
            </w:pPr>
            <w:r w:rsidRPr="004715E8">
              <w:rPr>
                <w:rFonts w:ascii="Arial" w:eastAsia="Times New Roman" w:hAnsi="Arial" w:cs="Arial"/>
                <w:color w:val="2E2B29"/>
                <w:szCs w:val="21"/>
                <w:lang w:bidi="ar-SA"/>
              </w:rPr>
              <w:t>Restoration Hardware (RH)</w:t>
            </w:r>
          </w:p>
        </w:tc>
        <w:tc>
          <w:tcPr>
            <w:tcW w:w="1536" w:type="dxa"/>
            <w:hideMark/>
          </w:tcPr>
          <w:p w14:paraId="4DA50CD8"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Premium home furnishings and lifestyle brand</w:t>
            </w:r>
          </w:p>
        </w:tc>
        <w:tc>
          <w:tcPr>
            <w:tcW w:w="2032" w:type="dxa"/>
            <w:hideMark/>
          </w:tcPr>
          <w:p w14:paraId="4FEAAB4F"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Premium positioning, luxury brand image, high-margin business model</w:t>
            </w:r>
          </w:p>
        </w:tc>
        <w:tc>
          <w:tcPr>
            <w:tcW w:w="2119" w:type="dxa"/>
            <w:hideMark/>
          </w:tcPr>
          <w:p w14:paraId="78BAE4AA"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Higher prices, narrower target market, less accessible to mass consumers</w:t>
            </w:r>
          </w:p>
        </w:tc>
        <w:tc>
          <w:tcPr>
            <w:tcW w:w="2162" w:type="dxa"/>
            <w:hideMark/>
          </w:tcPr>
          <w:p w14:paraId="34E34E56"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Competes indirectly by attracting higher-income segments</w:t>
            </w:r>
          </w:p>
        </w:tc>
      </w:tr>
      <w:tr w:rsidR="004715E8" w:rsidRPr="004715E8" w14:paraId="2DF2DD34" w14:textId="77777777" w:rsidTr="004715E8">
        <w:trPr>
          <w:cnfStyle w:val="000000100000" w:firstRow="0" w:lastRow="0" w:firstColumn="0" w:lastColumn="0" w:oddVBand="0" w:evenVBand="0" w:oddHBand="1" w:evenHBand="0" w:firstRowFirstColumn="0" w:firstRowLastColumn="0" w:lastRowFirstColumn="0" w:lastRowLastColumn="0"/>
          <w:trHeight w:val="158"/>
        </w:trPr>
        <w:tc>
          <w:tcPr>
            <w:cnfStyle w:val="001000000000" w:firstRow="0" w:lastRow="0" w:firstColumn="1" w:lastColumn="0" w:oddVBand="0" w:evenVBand="0" w:oddHBand="0" w:evenHBand="0" w:firstRowFirstColumn="0" w:firstRowLastColumn="0" w:lastRowFirstColumn="0" w:lastRowLastColumn="0"/>
            <w:tcW w:w="0" w:type="auto"/>
            <w:hideMark/>
          </w:tcPr>
          <w:p w14:paraId="4CC5727A" w14:textId="77777777" w:rsidR="004715E8" w:rsidRPr="004715E8" w:rsidRDefault="004715E8" w:rsidP="004715E8">
            <w:pPr>
              <w:spacing w:before="480" w:after="480"/>
              <w:rPr>
                <w:rFonts w:ascii="Arial" w:eastAsia="Times New Roman" w:hAnsi="Arial" w:cs="Arial"/>
                <w:color w:val="2E2B29"/>
                <w:szCs w:val="21"/>
                <w:lang w:bidi="ar-SA"/>
              </w:rPr>
            </w:pPr>
            <w:r w:rsidRPr="004715E8">
              <w:rPr>
                <w:rFonts w:ascii="Arial" w:eastAsia="Times New Roman" w:hAnsi="Arial" w:cs="Arial"/>
                <w:color w:val="2E2B29"/>
                <w:szCs w:val="21"/>
                <w:lang w:bidi="ar-SA"/>
              </w:rPr>
              <w:t>Amazon Home</w:t>
            </w:r>
          </w:p>
        </w:tc>
        <w:tc>
          <w:tcPr>
            <w:tcW w:w="1536" w:type="dxa"/>
            <w:hideMark/>
          </w:tcPr>
          <w:p w14:paraId="4DC5826B"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Broad online marketplace for furniture and home products</w:t>
            </w:r>
          </w:p>
        </w:tc>
        <w:tc>
          <w:tcPr>
            <w:tcW w:w="2032" w:type="dxa"/>
            <w:hideMark/>
          </w:tcPr>
          <w:p w14:paraId="2D292361"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Convenience, logistics capability, huge customer base, price transparency</w:t>
            </w:r>
          </w:p>
        </w:tc>
        <w:tc>
          <w:tcPr>
            <w:tcW w:w="2119" w:type="dxa"/>
            <w:hideMark/>
          </w:tcPr>
          <w:p w14:paraId="1E3F1848"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Limited curated showroom experience, inconsistent product quality across sellers</w:t>
            </w:r>
          </w:p>
        </w:tc>
        <w:tc>
          <w:tcPr>
            <w:tcW w:w="2162" w:type="dxa"/>
            <w:hideMark/>
          </w:tcPr>
          <w:p w14:paraId="7593460A" w14:textId="77777777" w:rsidR="004715E8" w:rsidRPr="004715E8" w:rsidRDefault="004715E8" w:rsidP="004715E8">
            <w:pPr>
              <w:spacing w:before="480" w:after="48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Growing competitive threat in online furniture sales</w:t>
            </w:r>
          </w:p>
        </w:tc>
      </w:tr>
      <w:tr w:rsidR="004715E8" w:rsidRPr="004715E8" w14:paraId="2E5FC2C3" w14:textId="77777777" w:rsidTr="004715E8">
        <w:trPr>
          <w:trHeight w:val="1856"/>
        </w:trPr>
        <w:tc>
          <w:tcPr>
            <w:cnfStyle w:val="001000000000" w:firstRow="0" w:lastRow="0" w:firstColumn="1" w:lastColumn="0" w:oddVBand="0" w:evenVBand="0" w:oddHBand="0" w:evenHBand="0" w:firstRowFirstColumn="0" w:firstRowLastColumn="0" w:lastRowFirstColumn="0" w:lastRowLastColumn="0"/>
            <w:tcW w:w="0" w:type="auto"/>
            <w:hideMark/>
          </w:tcPr>
          <w:p w14:paraId="591CD933" w14:textId="77777777" w:rsidR="004715E8" w:rsidRPr="004715E8" w:rsidRDefault="004715E8" w:rsidP="004715E8">
            <w:pPr>
              <w:spacing w:before="480" w:after="480"/>
              <w:rPr>
                <w:rFonts w:ascii="Arial" w:eastAsia="Times New Roman" w:hAnsi="Arial" w:cs="Arial"/>
                <w:color w:val="2E2B29"/>
                <w:szCs w:val="21"/>
                <w:lang w:bidi="ar-SA"/>
              </w:rPr>
            </w:pPr>
            <w:r w:rsidRPr="004715E8">
              <w:rPr>
                <w:rFonts w:ascii="Arial" w:eastAsia="Times New Roman" w:hAnsi="Arial" w:cs="Arial"/>
                <w:color w:val="2E2B29"/>
                <w:szCs w:val="21"/>
                <w:lang w:bidi="ar-SA"/>
              </w:rPr>
              <w:t>JYSK</w:t>
            </w:r>
          </w:p>
        </w:tc>
        <w:tc>
          <w:tcPr>
            <w:tcW w:w="1536" w:type="dxa"/>
            <w:hideMark/>
          </w:tcPr>
          <w:p w14:paraId="42C5540A"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Scandinavian home retail competitor with strong European presence</w:t>
            </w:r>
          </w:p>
        </w:tc>
        <w:tc>
          <w:tcPr>
            <w:tcW w:w="2032" w:type="dxa"/>
            <w:hideMark/>
          </w:tcPr>
          <w:p w14:paraId="2735EDA8"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Similar Nordic appeal, affordable pricing, strong presence in Europe</w:t>
            </w:r>
          </w:p>
        </w:tc>
        <w:tc>
          <w:tcPr>
            <w:tcW w:w="2119" w:type="dxa"/>
            <w:hideMark/>
          </w:tcPr>
          <w:p w14:paraId="5AEB20B1"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Smaller scale, less iconic global brand, narrower experiential retail format</w:t>
            </w:r>
          </w:p>
        </w:tc>
        <w:tc>
          <w:tcPr>
            <w:tcW w:w="2162" w:type="dxa"/>
            <w:hideMark/>
          </w:tcPr>
          <w:p w14:paraId="09521E44" w14:textId="77777777" w:rsidR="004715E8" w:rsidRPr="004715E8" w:rsidRDefault="004715E8" w:rsidP="004715E8">
            <w:pPr>
              <w:spacing w:before="480" w:after="48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E2B29"/>
                <w:szCs w:val="21"/>
                <w:lang w:bidi="ar-SA"/>
              </w:rPr>
            </w:pPr>
            <w:r w:rsidRPr="004715E8">
              <w:rPr>
                <w:rFonts w:ascii="Arial" w:eastAsia="Times New Roman" w:hAnsi="Arial" w:cs="Arial"/>
                <w:color w:val="2E2B29"/>
                <w:szCs w:val="21"/>
                <w:lang w:bidi="ar-SA"/>
              </w:rPr>
              <w:t>Direct competitor in value-oriented European furniture retail</w:t>
            </w:r>
          </w:p>
        </w:tc>
      </w:tr>
    </w:tbl>
    <w:p w14:paraId="2ABF8530" w14:textId="77777777" w:rsidR="004715E8" w:rsidRDefault="004715E8" w:rsidP="004715E8">
      <w:pPr>
        <w:spacing w:line="360" w:lineRule="auto"/>
        <w:jc w:val="both"/>
        <w:rPr>
          <w:rFonts w:ascii="Arial" w:hAnsi="Arial" w:cs="Arial"/>
          <w:b/>
          <w:bCs/>
          <w:sz w:val="24"/>
          <w:szCs w:val="24"/>
        </w:rPr>
      </w:pPr>
    </w:p>
    <w:p w14:paraId="10654DD2" w14:textId="77777777" w:rsidR="004715E8" w:rsidRPr="004715E8" w:rsidRDefault="004715E8" w:rsidP="004715E8">
      <w:pPr>
        <w:spacing w:line="360" w:lineRule="auto"/>
        <w:jc w:val="both"/>
        <w:rPr>
          <w:rFonts w:ascii="Arial" w:hAnsi="Arial" w:cs="Arial"/>
          <w:b/>
          <w:bCs/>
          <w:sz w:val="24"/>
          <w:szCs w:val="24"/>
        </w:rPr>
      </w:pPr>
      <w:r w:rsidRPr="004715E8">
        <w:rPr>
          <w:rFonts w:ascii="Arial" w:hAnsi="Arial" w:cs="Arial"/>
          <w:b/>
          <w:bCs/>
          <w:sz w:val="24"/>
          <w:szCs w:val="24"/>
        </w:rPr>
        <w:lastRenderedPageBreak/>
        <w:t>Source: Adapted from Grant (2021), Inter IKEA Group (2024), Statista (2024), McKinsey (2022).</w:t>
      </w:r>
    </w:p>
    <w:p w14:paraId="19671A6D" w14:textId="77777777" w:rsidR="004715E8" w:rsidRPr="00C723A3" w:rsidRDefault="004715E8" w:rsidP="00091C1C">
      <w:pPr>
        <w:spacing w:line="360" w:lineRule="auto"/>
        <w:jc w:val="both"/>
        <w:rPr>
          <w:rFonts w:ascii="Arial" w:hAnsi="Arial" w:cs="Arial"/>
          <w:b/>
          <w:bCs/>
          <w:sz w:val="24"/>
          <w:szCs w:val="24"/>
        </w:rPr>
      </w:pPr>
    </w:p>
    <w:p w14:paraId="236D96B9"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2.1 External Environment: PESTEL Analysis.</w:t>
      </w:r>
    </w:p>
    <w:p w14:paraId="3E3C09DA" w14:textId="77777777" w:rsidR="00C57A5D" w:rsidRDefault="00C57A5D" w:rsidP="00091C1C">
      <w:pPr>
        <w:spacing w:line="360" w:lineRule="auto"/>
        <w:jc w:val="both"/>
        <w:rPr>
          <w:rFonts w:ascii="Arial" w:hAnsi="Arial" w:cs="Arial"/>
          <w:sz w:val="24"/>
          <w:szCs w:val="24"/>
        </w:rPr>
      </w:pPr>
      <w:r w:rsidRPr="00C57A5D">
        <w:rPr>
          <w:rFonts w:ascii="Arial" w:hAnsi="Arial" w:cs="Arial"/>
          <w:sz w:val="24"/>
          <w:szCs w:val="24"/>
        </w:rPr>
        <w:t xml:space="preserve">A PESTEL is a methodological approach to the analysis of macro-environmental forces that affect the strategic environment of IKEA (Johnson, Whittington and Scholes, 2017). According to Porter (2008), political, </w:t>
      </w:r>
      <w:proofErr w:type="spellStart"/>
      <w:r w:rsidRPr="00C57A5D">
        <w:rPr>
          <w:rFonts w:ascii="Arial" w:hAnsi="Arial" w:cs="Arial"/>
          <w:sz w:val="24"/>
          <w:szCs w:val="24"/>
        </w:rPr>
        <w:t>economical</w:t>
      </w:r>
      <w:proofErr w:type="spellEnd"/>
      <w:r w:rsidRPr="00C57A5D">
        <w:rPr>
          <w:rFonts w:ascii="Arial" w:hAnsi="Arial" w:cs="Arial"/>
          <w:sz w:val="24"/>
          <w:szCs w:val="24"/>
        </w:rPr>
        <w:t xml:space="preserve">, social cultural, technological, environmental, and legal forces determine the profitability of industries and strategic positioning. This analysis will allow IKEA to foresee challenges and opportunities, fit the strategies with the macro trends, and remain competitive in the long run. The operations are greatly influenced by political factors. In 2022, IKEA had to evacuate after geopolitical tensions such as US-China trade quarrels and Russia-Ukraine conflict caused it to shut down 17 stores and impacted 15,000 employees (BBC News, 2022). The UK supply chains have been affected as well by Brexit due to complications </w:t>
      </w:r>
      <w:proofErr w:type="gramStart"/>
      <w:r w:rsidRPr="00C57A5D">
        <w:rPr>
          <w:rFonts w:ascii="Arial" w:hAnsi="Arial" w:cs="Arial"/>
          <w:sz w:val="24"/>
          <w:szCs w:val="24"/>
        </w:rPr>
        <w:t>at</w:t>
      </w:r>
      <w:proofErr w:type="gramEnd"/>
      <w:r w:rsidRPr="00C57A5D">
        <w:rPr>
          <w:rFonts w:ascii="Arial" w:hAnsi="Arial" w:cs="Arial"/>
          <w:sz w:val="24"/>
          <w:szCs w:val="24"/>
        </w:rPr>
        <w:t xml:space="preserve"> customs (Lowe, 2023). Various regulatory requirements in more than 60 markets such as safety, </w:t>
      </w:r>
      <w:proofErr w:type="spellStart"/>
      <w:r w:rsidRPr="00C57A5D">
        <w:rPr>
          <w:rFonts w:ascii="Arial" w:hAnsi="Arial" w:cs="Arial"/>
          <w:sz w:val="24"/>
          <w:szCs w:val="24"/>
        </w:rPr>
        <w:t>labour</w:t>
      </w:r>
      <w:proofErr w:type="spellEnd"/>
      <w:r w:rsidRPr="00C57A5D">
        <w:rPr>
          <w:rFonts w:ascii="Arial" w:hAnsi="Arial" w:cs="Arial"/>
          <w:sz w:val="24"/>
          <w:szCs w:val="24"/>
        </w:rPr>
        <w:t xml:space="preserve"> and tariffs require strategic agility (Verbeke, 2013). The increase in nationalism and protectionism is also a threat to global </w:t>
      </w:r>
      <w:proofErr w:type="gramStart"/>
      <w:r w:rsidRPr="00C57A5D">
        <w:rPr>
          <w:rFonts w:ascii="Arial" w:hAnsi="Arial" w:cs="Arial"/>
          <w:sz w:val="24"/>
          <w:szCs w:val="24"/>
        </w:rPr>
        <w:t>sourcing</w:t>
      </w:r>
      <w:proofErr w:type="gramEnd"/>
      <w:r w:rsidRPr="00C57A5D">
        <w:rPr>
          <w:rFonts w:ascii="Arial" w:hAnsi="Arial" w:cs="Arial"/>
          <w:sz w:val="24"/>
          <w:szCs w:val="24"/>
        </w:rPr>
        <w:t xml:space="preserve">, which promotes </w:t>
      </w:r>
      <w:proofErr w:type="spellStart"/>
      <w:r w:rsidRPr="00C57A5D">
        <w:rPr>
          <w:rFonts w:ascii="Arial" w:hAnsi="Arial" w:cs="Arial"/>
          <w:sz w:val="24"/>
          <w:szCs w:val="24"/>
        </w:rPr>
        <w:t>regionalisation</w:t>
      </w:r>
      <w:proofErr w:type="spellEnd"/>
      <w:r w:rsidRPr="00C57A5D">
        <w:rPr>
          <w:rFonts w:ascii="Arial" w:hAnsi="Arial" w:cs="Arial"/>
          <w:sz w:val="24"/>
          <w:szCs w:val="24"/>
        </w:rPr>
        <w:t xml:space="preserve"> (Ghemawat, 2017). </w:t>
      </w:r>
    </w:p>
    <w:p w14:paraId="2052D773" w14:textId="77777777" w:rsidR="004C0105" w:rsidRDefault="00C57A5D" w:rsidP="00091C1C">
      <w:pPr>
        <w:spacing w:line="360" w:lineRule="auto"/>
        <w:jc w:val="both"/>
        <w:rPr>
          <w:rFonts w:ascii="Arial" w:hAnsi="Arial" w:cs="Arial"/>
          <w:sz w:val="24"/>
          <w:szCs w:val="24"/>
        </w:rPr>
      </w:pPr>
      <w:r w:rsidRPr="00C57A5D">
        <w:rPr>
          <w:rFonts w:ascii="Arial" w:hAnsi="Arial" w:cs="Arial"/>
          <w:sz w:val="24"/>
          <w:szCs w:val="24"/>
        </w:rPr>
        <w:t xml:space="preserve">There are economic factors that have risks and opportunities. </w:t>
      </w:r>
      <w:proofErr w:type="gramStart"/>
      <w:r w:rsidRPr="00C57A5D">
        <w:rPr>
          <w:rFonts w:ascii="Arial" w:hAnsi="Arial" w:cs="Arial"/>
          <w:sz w:val="24"/>
          <w:szCs w:val="24"/>
        </w:rPr>
        <w:t>The 2022</w:t>
      </w:r>
      <w:proofErr w:type="gramEnd"/>
      <w:r w:rsidRPr="00C57A5D">
        <w:rPr>
          <w:rFonts w:ascii="Arial" w:hAnsi="Arial" w:cs="Arial"/>
          <w:sz w:val="24"/>
          <w:szCs w:val="24"/>
        </w:rPr>
        <w:t xml:space="preserve">-2023 inflation raised the costs of logistics and materials, triggering the average rise in prices by 9% (Reuters, 2022). Nevertheless, customers tend to move towards IKEA in times of recession, which shows that they are price-sensitive (Porter, 1985). The volatility in the exchange rate impacts on profitability and this necessitates hedging measures (Rugman and Collinson, 2012). The pandemic housing boom initially increased </w:t>
      </w:r>
      <w:proofErr w:type="gramStart"/>
      <w:r w:rsidRPr="00C57A5D">
        <w:rPr>
          <w:rFonts w:ascii="Arial" w:hAnsi="Arial" w:cs="Arial"/>
          <w:sz w:val="24"/>
          <w:szCs w:val="24"/>
        </w:rPr>
        <w:t>the demand</w:t>
      </w:r>
      <w:proofErr w:type="gramEnd"/>
      <w:r w:rsidRPr="00C57A5D">
        <w:rPr>
          <w:rFonts w:ascii="Arial" w:hAnsi="Arial" w:cs="Arial"/>
          <w:sz w:val="24"/>
          <w:szCs w:val="24"/>
        </w:rPr>
        <w:t xml:space="preserve"> but after some time, increase was curtailed due to increasing </w:t>
      </w:r>
      <w:proofErr w:type="gramStart"/>
      <w:r w:rsidRPr="00C57A5D">
        <w:rPr>
          <w:rFonts w:ascii="Arial" w:hAnsi="Arial" w:cs="Arial"/>
          <w:sz w:val="24"/>
          <w:szCs w:val="24"/>
        </w:rPr>
        <w:t>interests</w:t>
      </w:r>
      <w:proofErr w:type="gramEnd"/>
      <w:r w:rsidRPr="00C57A5D">
        <w:rPr>
          <w:rFonts w:ascii="Arial" w:hAnsi="Arial" w:cs="Arial"/>
          <w:sz w:val="24"/>
          <w:szCs w:val="24"/>
        </w:rPr>
        <w:t xml:space="preserve"> rates (Financial Times, 2023). </w:t>
      </w:r>
    </w:p>
    <w:p w14:paraId="252015CB" w14:textId="77777777" w:rsidR="00D56C60" w:rsidRDefault="00D56C60" w:rsidP="00091C1C">
      <w:pPr>
        <w:spacing w:line="360" w:lineRule="auto"/>
        <w:jc w:val="both"/>
        <w:rPr>
          <w:rFonts w:ascii="Arial" w:hAnsi="Arial" w:cs="Arial"/>
          <w:sz w:val="24"/>
          <w:szCs w:val="24"/>
        </w:rPr>
      </w:pPr>
      <w:r>
        <w:rPr>
          <w:rFonts w:ascii="Arial" w:hAnsi="Arial" w:cs="Arial"/>
          <w:noProof/>
          <w:sz w:val="24"/>
          <w:szCs w:val="24"/>
          <w:lang w:bidi="ar-SA"/>
        </w:rPr>
        <w:lastRenderedPageBreak/>
        <w:drawing>
          <wp:inline distT="0" distB="0" distL="0" distR="0" wp14:anchorId="33CB587F" wp14:editId="1B0EC227">
            <wp:extent cx="5731510" cy="3992231"/>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1510" cy="3992231"/>
                    </a:xfrm>
                    <a:prstGeom prst="rect">
                      <a:avLst/>
                    </a:prstGeom>
                    <a:noFill/>
                    <a:ln w="9525">
                      <a:noFill/>
                      <a:miter lim="800000"/>
                      <a:headEnd/>
                      <a:tailEnd/>
                    </a:ln>
                  </pic:spPr>
                </pic:pic>
              </a:graphicData>
            </a:graphic>
          </wp:inline>
        </w:drawing>
      </w:r>
    </w:p>
    <w:p w14:paraId="5AF0DD5E" w14:textId="77777777" w:rsidR="004C0105" w:rsidRDefault="00C57A5D" w:rsidP="00091C1C">
      <w:pPr>
        <w:spacing w:line="360" w:lineRule="auto"/>
        <w:jc w:val="both"/>
        <w:rPr>
          <w:rFonts w:ascii="Arial" w:hAnsi="Arial" w:cs="Arial"/>
          <w:sz w:val="24"/>
          <w:szCs w:val="24"/>
        </w:rPr>
      </w:pPr>
      <w:r w:rsidRPr="00C57A5D">
        <w:rPr>
          <w:rFonts w:ascii="Arial" w:hAnsi="Arial" w:cs="Arial"/>
          <w:sz w:val="24"/>
          <w:szCs w:val="24"/>
        </w:rPr>
        <w:t xml:space="preserve">The social cultural trends have also become more </w:t>
      </w:r>
      <w:proofErr w:type="spellStart"/>
      <w:r w:rsidRPr="00C57A5D">
        <w:rPr>
          <w:rFonts w:ascii="Arial" w:hAnsi="Arial" w:cs="Arial"/>
          <w:sz w:val="24"/>
          <w:szCs w:val="24"/>
        </w:rPr>
        <w:t>favourable</w:t>
      </w:r>
      <w:proofErr w:type="spellEnd"/>
      <w:r w:rsidRPr="00C57A5D">
        <w:rPr>
          <w:rFonts w:ascii="Arial" w:hAnsi="Arial" w:cs="Arial"/>
          <w:sz w:val="24"/>
          <w:szCs w:val="24"/>
        </w:rPr>
        <w:t xml:space="preserve">. Opting to </w:t>
      </w:r>
      <w:proofErr w:type="spellStart"/>
      <w:r w:rsidRPr="00C57A5D">
        <w:rPr>
          <w:rFonts w:ascii="Arial" w:hAnsi="Arial" w:cs="Arial"/>
          <w:sz w:val="24"/>
          <w:szCs w:val="24"/>
        </w:rPr>
        <w:t>urbanise</w:t>
      </w:r>
      <w:proofErr w:type="spellEnd"/>
      <w:r w:rsidRPr="00C57A5D">
        <w:rPr>
          <w:rFonts w:ascii="Arial" w:hAnsi="Arial" w:cs="Arial"/>
          <w:sz w:val="24"/>
          <w:szCs w:val="24"/>
        </w:rPr>
        <w:t xml:space="preserve">, especially in the emerging markets, necessitates the demand of affordable furniture that has a low space requirement (Bartlett and Beamish, 2018). The trend towards sustainability, minimalism and experience consumption is within the design philosophy of IKEA. Product adaptation is needed due to demographic changes, such as the decrease in the number of households and the ageing population (Hultman et al., 2012). The homebody economy that emerged </w:t>
      </w:r>
      <w:proofErr w:type="gramStart"/>
      <w:r w:rsidRPr="00C57A5D">
        <w:rPr>
          <w:rFonts w:ascii="Arial" w:hAnsi="Arial" w:cs="Arial"/>
          <w:sz w:val="24"/>
          <w:szCs w:val="24"/>
        </w:rPr>
        <w:t>as a result of</w:t>
      </w:r>
      <w:proofErr w:type="gramEnd"/>
      <w:r w:rsidRPr="00C57A5D">
        <w:rPr>
          <w:rFonts w:ascii="Arial" w:hAnsi="Arial" w:cs="Arial"/>
          <w:sz w:val="24"/>
          <w:szCs w:val="24"/>
        </w:rPr>
        <w:t xml:space="preserve"> the pandemic boosted the demand of products that are home-oriented (McKinsey, 2022). </w:t>
      </w:r>
    </w:p>
    <w:p w14:paraId="65694A12" w14:textId="77777777" w:rsidR="004C0105" w:rsidRDefault="00C57A5D" w:rsidP="00091C1C">
      <w:pPr>
        <w:spacing w:line="360" w:lineRule="auto"/>
        <w:jc w:val="both"/>
        <w:rPr>
          <w:rFonts w:ascii="Arial" w:hAnsi="Arial" w:cs="Arial"/>
          <w:sz w:val="24"/>
          <w:szCs w:val="24"/>
        </w:rPr>
      </w:pPr>
      <w:r w:rsidRPr="00C57A5D">
        <w:rPr>
          <w:rFonts w:ascii="Arial" w:hAnsi="Arial" w:cs="Arial"/>
          <w:sz w:val="24"/>
          <w:szCs w:val="24"/>
        </w:rPr>
        <w:t xml:space="preserve">Transformation is brought about by technological factors. Online sales increased 73 percent in 2020 as e-commerce boomed (Inter IKEA Group, 2021). Some of the areas of investments are augmented reality, AI-driven forecasting, and automation (Davenport and </w:t>
      </w:r>
      <w:proofErr w:type="spellStart"/>
      <w:r w:rsidRPr="00C57A5D">
        <w:rPr>
          <w:rFonts w:ascii="Arial" w:hAnsi="Arial" w:cs="Arial"/>
          <w:sz w:val="24"/>
          <w:szCs w:val="24"/>
        </w:rPr>
        <w:t>Ronanki</w:t>
      </w:r>
      <w:proofErr w:type="spellEnd"/>
      <w:r w:rsidRPr="00C57A5D">
        <w:rPr>
          <w:rFonts w:ascii="Arial" w:hAnsi="Arial" w:cs="Arial"/>
          <w:sz w:val="24"/>
          <w:szCs w:val="24"/>
        </w:rPr>
        <w:t xml:space="preserve">, 2018). The company should continue to be innovative in the face of digital competitors such as Wayfair. Generative AI provides competitive advantages in the future (Brynjolfsson and McAfee, 2017). </w:t>
      </w:r>
    </w:p>
    <w:p w14:paraId="134B7619" w14:textId="77777777" w:rsidR="004C0105" w:rsidRDefault="00C57A5D" w:rsidP="00091C1C">
      <w:pPr>
        <w:spacing w:line="360" w:lineRule="auto"/>
        <w:jc w:val="both"/>
        <w:rPr>
          <w:rFonts w:ascii="Arial" w:hAnsi="Arial" w:cs="Arial"/>
          <w:sz w:val="24"/>
          <w:szCs w:val="24"/>
        </w:rPr>
      </w:pPr>
      <w:r w:rsidRPr="00C57A5D">
        <w:rPr>
          <w:rFonts w:ascii="Arial" w:hAnsi="Arial" w:cs="Arial"/>
          <w:sz w:val="24"/>
          <w:szCs w:val="24"/>
        </w:rPr>
        <w:t xml:space="preserve">The environmental factor plays a significant role. The operations are influenced by policies such as the EU Green Deal and producer responsibility (Elkington, 2018). </w:t>
      </w:r>
      <w:r w:rsidRPr="00C57A5D">
        <w:rPr>
          <w:rFonts w:ascii="Arial" w:hAnsi="Arial" w:cs="Arial"/>
          <w:sz w:val="24"/>
          <w:szCs w:val="24"/>
        </w:rPr>
        <w:lastRenderedPageBreak/>
        <w:t xml:space="preserve">Sustainability and carbon neutrality mean proceeds put a strain on consumers. The reporting of scope 3 emissions makes suppliers more accountable (GHG Protocol, 2023). </w:t>
      </w:r>
    </w:p>
    <w:p w14:paraId="50FE6397" w14:textId="77777777" w:rsidR="00C57A5D" w:rsidRDefault="00C57A5D" w:rsidP="00091C1C">
      <w:pPr>
        <w:spacing w:line="360" w:lineRule="auto"/>
        <w:jc w:val="both"/>
        <w:rPr>
          <w:rFonts w:ascii="Arial" w:hAnsi="Arial" w:cs="Arial"/>
          <w:sz w:val="24"/>
          <w:szCs w:val="24"/>
        </w:rPr>
      </w:pPr>
      <w:r w:rsidRPr="00C57A5D">
        <w:rPr>
          <w:rFonts w:ascii="Arial" w:hAnsi="Arial" w:cs="Arial"/>
          <w:sz w:val="24"/>
          <w:szCs w:val="24"/>
        </w:rPr>
        <w:t xml:space="preserve">The legal considerations are GDPR, product liability, </w:t>
      </w:r>
      <w:proofErr w:type="spellStart"/>
      <w:r w:rsidRPr="00C57A5D">
        <w:rPr>
          <w:rFonts w:ascii="Arial" w:hAnsi="Arial" w:cs="Arial"/>
          <w:sz w:val="24"/>
          <w:szCs w:val="24"/>
        </w:rPr>
        <w:t>labour</w:t>
      </w:r>
      <w:proofErr w:type="spellEnd"/>
      <w:r w:rsidRPr="00C57A5D">
        <w:rPr>
          <w:rFonts w:ascii="Arial" w:hAnsi="Arial" w:cs="Arial"/>
          <w:sz w:val="24"/>
          <w:szCs w:val="24"/>
        </w:rPr>
        <w:t xml:space="preserve"> legislation, and intellectual property. </w:t>
      </w:r>
      <w:proofErr w:type="spellStart"/>
      <w:r w:rsidRPr="00C57A5D">
        <w:rPr>
          <w:rFonts w:ascii="Arial" w:hAnsi="Arial" w:cs="Arial"/>
          <w:sz w:val="24"/>
          <w:szCs w:val="24"/>
        </w:rPr>
        <w:t>Interogo</w:t>
      </w:r>
      <w:proofErr w:type="spellEnd"/>
      <w:r w:rsidRPr="00C57A5D">
        <w:rPr>
          <w:rFonts w:ascii="Arial" w:hAnsi="Arial" w:cs="Arial"/>
          <w:sz w:val="24"/>
          <w:szCs w:val="24"/>
        </w:rPr>
        <w:t xml:space="preserve"> Foundation has been facing scrutiny in tax (Bartlett and Beamish, 2018). The changing legislation on consumer protection, such as repair right, entails lifecycle and design changes (European Commission, 2023). All these dynamics support the importance of an adaptive strategy, resilient supply chains and constant innovation throughout operations.</w:t>
      </w:r>
    </w:p>
    <w:p w14:paraId="4A3F6EC6"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2.2 Strategic Challenges and Critical Success Factors.</w:t>
      </w:r>
    </w:p>
    <w:p w14:paraId="7E897060"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Based on the external analysis, IKEA strategic success factors are keeping the price leadership and controlling the cost inflation, implementing a successful digital transformation, being proactive in responding to sustainability imperatives, and overcoming geopolitical issues (Grant, 2021). The main strategic issues are the rise in online competition, vulnerabilities in supply chains revealed in the pandemic, and the choice between global </w:t>
      </w:r>
      <w:proofErr w:type="spellStart"/>
      <w:r w:rsidRPr="00C723A3">
        <w:rPr>
          <w:rFonts w:ascii="Arial" w:hAnsi="Arial" w:cs="Arial"/>
          <w:sz w:val="24"/>
          <w:szCs w:val="24"/>
        </w:rPr>
        <w:t>standardisation</w:t>
      </w:r>
      <w:proofErr w:type="spellEnd"/>
      <w:r w:rsidRPr="00C723A3">
        <w:rPr>
          <w:rFonts w:ascii="Arial" w:hAnsi="Arial" w:cs="Arial"/>
          <w:sz w:val="24"/>
          <w:szCs w:val="24"/>
        </w:rPr>
        <w:t xml:space="preserve"> and local </w:t>
      </w:r>
      <w:proofErr w:type="gramStart"/>
      <w:r w:rsidRPr="00C723A3">
        <w:rPr>
          <w:rFonts w:ascii="Arial" w:hAnsi="Arial" w:cs="Arial"/>
          <w:sz w:val="24"/>
          <w:szCs w:val="24"/>
        </w:rPr>
        <w:t>responsiveness</w:t>
      </w:r>
      <w:proofErr w:type="gramEnd"/>
      <w:r w:rsidRPr="00C723A3">
        <w:rPr>
          <w:rFonts w:ascii="Arial" w:hAnsi="Arial" w:cs="Arial"/>
          <w:sz w:val="24"/>
          <w:szCs w:val="24"/>
        </w:rPr>
        <w:t xml:space="preserve"> the classic </w:t>
      </w:r>
      <w:proofErr w:type="spellStart"/>
      <w:r w:rsidRPr="00C723A3">
        <w:rPr>
          <w:rFonts w:ascii="Arial" w:hAnsi="Arial" w:cs="Arial"/>
          <w:sz w:val="24"/>
          <w:szCs w:val="24"/>
        </w:rPr>
        <w:t>integrationresponsiveness</w:t>
      </w:r>
      <w:proofErr w:type="spellEnd"/>
      <w:r w:rsidRPr="00C723A3">
        <w:rPr>
          <w:rFonts w:ascii="Arial" w:hAnsi="Arial" w:cs="Arial"/>
          <w:sz w:val="24"/>
          <w:szCs w:val="24"/>
        </w:rPr>
        <w:t xml:space="preserve"> dilemma introduced by Prahalad and </w:t>
      </w:r>
      <w:proofErr w:type="spellStart"/>
      <w:r w:rsidRPr="00C723A3">
        <w:rPr>
          <w:rFonts w:ascii="Arial" w:hAnsi="Arial" w:cs="Arial"/>
          <w:sz w:val="24"/>
          <w:szCs w:val="24"/>
        </w:rPr>
        <w:t>Doz</w:t>
      </w:r>
      <w:proofErr w:type="spellEnd"/>
      <w:r w:rsidRPr="00C723A3">
        <w:rPr>
          <w:rFonts w:ascii="Arial" w:hAnsi="Arial" w:cs="Arial"/>
          <w:sz w:val="24"/>
          <w:szCs w:val="24"/>
        </w:rPr>
        <w:t xml:space="preserve"> (1987). Also, recruiting and retaining talent in an ever more competitive </w:t>
      </w:r>
      <w:proofErr w:type="spellStart"/>
      <w:r w:rsidRPr="00C723A3">
        <w:rPr>
          <w:rFonts w:ascii="Arial" w:hAnsi="Arial" w:cs="Arial"/>
          <w:sz w:val="24"/>
          <w:szCs w:val="24"/>
        </w:rPr>
        <w:t>labour</w:t>
      </w:r>
      <w:proofErr w:type="spellEnd"/>
      <w:r w:rsidRPr="00C723A3">
        <w:rPr>
          <w:rFonts w:ascii="Arial" w:hAnsi="Arial" w:cs="Arial"/>
          <w:sz w:val="24"/>
          <w:szCs w:val="24"/>
        </w:rPr>
        <w:t xml:space="preserve"> market is also an emerging issue, especially in store-based jobs where employee engagement is a direct determinant of the customer experience (Pfeffer, 2018). All these are indicators of why a powerful approach must be taken that incorporates both </w:t>
      </w:r>
      <w:proofErr w:type="gramStart"/>
      <w:r w:rsidRPr="00C723A3">
        <w:rPr>
          <w:rFonts w:ascii="Arial" w:hAnsi="Arial" w:cs="Arial"/>
          <w:sz w:val="24"/>
          <w:szCs w:val="24"/>
        </w:rPr>
        <w:t>the operational</w:t>
      </w:r>
      <w:proofErr w:type="gramEnd"/>
      <w:r w:rsidRPr="00C723A3">
        <w:rPr>
          <w:rFonts w:ascii="Arial" w:hAnsi="Arial" w:cs="Arial"/>
          <w:sz w:val="24"/>
          <w:szCs w:val="24"/>
        </w:rPr>
        <w:t xml:space="preserve"> efficiency and market responsiveness.</w:t>
      </w:r>
    </w:p>
    <w:p w14:paraId="79A919E5" w14:textId="77777777" w:rsidR="00091C1C"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 xml:space="preserve">2.3 Internal Environment Analysis </w:t>
      </w:r>
    </w:p>
    <w:p w14:paraId="67534C51"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The internal environment analysis involves the analysis of the internal environment of an organization where a firm operates.</w:t>
      </w:r>
    </w:p>
    <w:p w14:paraId="01A3AF73"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internal environment of IKEA depicts an impressive nexus of resources and capabilities that support </w:t>
      </w:r>
      <w:proofErr w:type="gramStart"/>
      <w:r w:rsidRPr="00C723A3">
        <w:rPr>
          <w:rFonts w:ascii="Arial" w:hAnsi="Arial" w:cs="Arial"/>
          <w:sz w:val="24"/>
          <w:szCs w:val="24"/>
        </w:rPr>
        <w:t>the competitive</w:t>
      </w:r>
      <w:proofErr w:type="gramEnd"/>
      <w:r w:rsidRPr="00C723A3">
        <w:rPr>
          <w:rFonts w:ascii="Arial" w:hAnsi="Arial" w:cs="Arial"/>
          <w:sz w:val="24"/>
          <w:szCs w:val="24"/>
        </w:rPr>
        <w:t xml:space="preserve"> positioning. By using the resource-based view, (Wernerfelt, 1984; Barney, 1991) these resources can be classified in terms of tangible, intangible and human capital.</w:t>
      </w:r>
    </w:p>
    <w:p w14:paraId="7F8E7117"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tangible resources include the sheer network of stores across the world, massive real estate asset base through Ingka Investments, vertical supply chain </w:t>
      </w:r>
      <w:r w:rsidRPr="00C723A3">
        <w:rPr>
          <w:rFonts w:ascii="Arial" w:hAnsi="Arial" w:cs="Arial"/>
          <w:sz w:val="24"/>
          <w:szCs w:val="24"/>
        </w:rPr>
        <w:lastRenderedPageBreak/>
        <w:t xml:space="preserve">system, and huge financial base that allows long-term strategic investment without short-term shareholder demands based on its distinctive foundation-based ownership system (Jonsson and Foss, 2011). The property portfolio on its own is a huge strategic strength, which has prime retail locations within major </w:t>
      </w:r>
      <w:proofErr w:type="gramStart"/>
      <w:r w:rsidRPr="00C723A3">
        <w:rPr>
          <w:rFonts w:ascii="Arial" w:hAnsi="Arial" w:cs="Arial"/>
          <w:sz w:val="24"/>
          <w:szCs w:val="24"/>
        </w:rPr>
        <w:t>cities</w:t>
      </w:r>
      <w:proofErr w:type="gramEnd"/>
      <w:r w:rsidRPr="00C723A3">
        <w:rPr>
          <w:rFonts w:ascii="Arial" w:hAnsi="Arial" w:cs="Arial"/>
          <w:sz w:val="24"/>
          <w:szCs w:val="24"/>
        </w:rPr>
        <w:t xml:space="preserve"> and which would be expensive and time consuming by competitors to duplicate.</w:t>
      </w:r>
    </w:p>
    <w:p w14:paraId="169586E8" w14:textId="77777777" w:rsidR="00091C1C"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intangible resources include a globally known brand with a valuation of about 18.8 billion dollars (Brand Finance, 2024), the proprietary design competencies based on the principle of the Democratic Design the balance between form, functionality, quality, sustainability, and cost-effectiveness, and unique </w:t>
      </w:r>
      <w:proofErr w:type="spellStart"/>
      <w:r w:rsidRPr="00C723A3">
        <w:rPr>
          <w:rFonts w:ascii="Arial" w:hAnsi="Arial" w:cs="Arial"/>
          <w:sz w:val="24"/>
          <w:szCs w:val="24"/>
        </w:rPr>
        <w:t>organisational</w:t>
      </w:r>
      <w:proofErr w:type="spellEnd"/>
      <w:r w:rsidRPr="00C723A3">
        <w:rPr>
          <w:rFonts w:ascii="Arial" w:hAnsi="Arial" w:cs="Arial"/>
          <w:sz w:val="24"/>
          <w:szCs w:val="24"/>
        </w:rPr>
        <w:t xml:space="preserve"> culture based on the principles of cost-consciousness, egalitarianism, and entrepreneurship (</w:t>
      </w:r>
      <w:proofErr w:type="spellStart"/>
      <w:r w:rsidRPr="00C723A3">
        <w:rPr>
          <w:rFonts w:ascii="Arial" w:hAnsi="Arial" w:cs="Arial"/>
          <w:sz w:val="24"/>
          <w:szCs w:val="24"/>
        </w:rPr>
        <w:t>Dahlvig</w:t>
      </w:r>
      <w:proofErr w:type="spellEnd"/>
      <w:r w:rsidRPr="00C723A3">
        <w:rPr>
          <w:rFonts w:ascii="Arial" w:hAnsi="Arial" w:cs="Arial"/>
          <w:sz w:val="24"/>
          <w:szCs w:val="24"/>
        </w:rPr>
        <w:t xml:space="preserve">, 2012). The dimensions of culture are paramount since </w:t>
      </w:r>
      <w:proofErr w:type="spellStart"/>
      <w:r w:rsidRPr="00C723A3">
        <w:rPr>
          <w:rFonts w:ascii="Arial" w:hAnsi="Arial" w:cs="Arial"/>
          <w:sz w:val="24"/>
          <w:szCs w:val="24"/>
        </w:rPr>
        <w:t>organisational</w:t>
      </w:r>
      <w:proofErr w:type="spellEnd"/>
      <w:r w:rsidRPr="00C723A3">
        <w:rPr>
          <w:rFonts w:ascii="Arial" w:hAnsi="Arial" w:cs="Arial"/>
          <w:sz w:val="24"/>
          <w:szCs w:val="24"/>
        </w:rPr>
        <w:t xml:space="preserve"> culture may be the source of a sustained competitive advantage when valuable, rare, and socially complex as Barney (1986) claims.</w:t>
      </w:r>
    </w:p>
    <w:p w14:paraId="01652191" w14:textId="77777777" w:rsidR="00D56C60" w:rsidRPr="00C723A3" w:rsidRDefault="00D56C60" w:rsidP="00091C1C">
      <w:pPr>
        <w:spacing w:line="360" w:lineRule="auto"/>
        <w:jc w:val="both"/>
        <w:rPr>
          <w:rFonts w:ascii="Arial" w:hAnsi="Arial" w:cs="Arial"/>
          <w:sz w:val="24"/>
          <w:szCs w:val="24"/>
        </w:rPr>
      </w:pPr>
      <w:r>
        <w:rPr>
          <w:rFonts w:ascii="Arial" w:hAnsi="Arial" w:cs="Arial"/>
          <w:noProof/>
          <w:sz w:val="24"/>
          <w:szCs w:val="24"/>
          <w:lang w:bidi="ar-SA"/>
        </w:rPr>
        <w:drawing>
          <wp:inline distT="0" distB="0" distL="0" distR="0" wp14:anchorId="203B069F" wp14:editId="1379BAEF">
            <wp:extent cx="5731510" cy="4011152"/>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731510" cy="4011152"/>
                    </a:xfrm>
                    <a:prstGeom prst="rect">
                      <a:avLst/>
                    </a:prstGeom>
                    <a:noFill/>
                    <a:ln w="9525">
                      <a:noFill/>
                      <a:miter lim="800000"/>
                      <a:headEnd/>
                      <a:tailEnd/>
                    </a:ln>
                  </pic:spPr>
                </pic:pic>
              </a:graphicData>
            </a:graphic>
          </wp:inline>
        </w:drawing>
      </w:r>
    </w:p>
    <w:p w14:paraId="1FC55C65"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IKEA has human capital capabilities in terms of investment in employee development through </w:t>
      </w:r>
      <w:proofErr w:type="gramStart"/>
      <w:r w:rsidRPr="00C723A3">
        <w:rPr>
          <w:rFonts w:ascii="Arial" w:hAnsi="Arial" w:cs="Arial"/>
          <w:sz w:val="24"/>
          <w:szCs w:val="24"/>
        </w:rPr>
        <w:t>the IKEA</w:t>
      </w:r>
      <w:proofErr w:type="gramEnd"/>
      <w:r w:rsidRPr="00C723A3">
        <w:rPr>
          <w:rFonts w:ascii="Arial" w:hAnsi="Arial" w:cs="Arial"/>
          <w:sz w:val="24"/>
          <w:szCs w:val="24"/>
        </w:rPr>
        <w:t xml:space="preserve"> University and high commitment to diversity and inclusion. Although these efforts have been made, there are still challenges of workforce engagement in the </w:t>
      </w:r>
      <w:proofErr w:type="gramStart"/>
      <w:r w:rsidRPr="00C723A3">
        <w:rPr>
          <w:rFonts w:ascii="Arial" w:hAnsi="Arial" w:cs="Arial"/>
          <w:sz w:val="24"/>
          <w:szCs w:val="24"/>
        </w:rPr>
        <w:t>ever competitive</w:t>
      </w:r>
      <w:proofErr w:type="gramEnd"/>
      <w:r w:rsidRPr="00C723A3">
        <w:rPr>
          <w:rFonts w:ascii="Arial" w:hAnsi="Arial" w:cs="Arial"/>
          <w:sz w:val="24"/>
          <w:szCs w:val="24"/>
        </w:rPr>
        <w:t xml:space="preserve"> </w:t>
      </w:r>
      <w:proofErr w:type="spellStart"/>
      <w:r w:rsidRPr="00C723A3">
        <w:rPr>
          <w:rFonts w:ascii="Arial" w:hAnsi="Arial" w:cs="Arial"/>
          <w:sz w:val="24"/>
          <w:szCs w:val="24"/>
        </w:rPr>
        <w:t>labour</w:t>
      </w:r>
      <w:proofErr w:type="spellEnd"/>
      <w:r w:rsidRPr="00C723A3">
        <w:rPr>
          <w:rFonts w:ascii="Arial" w:hAnsi="Arial" w:cs="Arial"/>
          <w:sz w:val="24"/>
          <w:szCs w:val="24"/>
        </w:rPr>
        <w:t xml:space="preserve"> market (Barney and Hesterly, </w:t>
      </w:r>
      <w:r w:rsidRPr="00C723A3">
        <w:rPr>
          <w:rFonts w:ascii="Arial" w:hAnsi="Arial" w:cs="Arial"/>
          <w:sz w:val="24"/>
          <w:szCs w:val="24"/>
        </w:rPr>
        <w:lastRenderedPageBreak/>
        <w:t>2019). IKEA has about 231000 co-workers spread across the world and its HR practices such as flat hierarchies, decision making based on consensus, and alignment of values are observed to show Swedish culture (Hofstede, Hofstede and Minkov, 2010).</w:t>
      </w:r>
    </w:p>
    <w:p w14:paraId="71764251"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2.4 VRIO Framework Analysis</w:t>
      </w:r>
    </w:p>
    <w:p w14:paraId="60DB0889" w14:textId="77777777" w:rsidR="00091C1C" w:rsidRPr="00814D58" w:rsidRDefault="00091C1C" w:rsidP="00091C1C">
      <w:pPr>
        <w:spacing w:line="360" w:lineRule="auto"/>
        <w:jc w:val="both"/>
        <w:rPr>
          <w:rFonts w:ascii="Arial" w:hAnsi="Arial" w:cs="Arial"/>
          <w:sz w:val="24"/>
          <w:szCs w:val="24"/>
        </w:rPr>
      </w:pPr>
      <w:r w:rsidRPr="00C723A3">
        <w:rPr>
          <w:rFonts w:ascii="Arial" w:hAnsi="Arial" w:cs="Arial"/>
          <w:sz w:val="24"/>
          <w:szCs w:val="24"/>
        </w:rPr>
        <w:t>The VRIO framework (Barney, 1991) examines the presence of sustainable competitive advantage in the resources of IKEA.</w:t>
      </w:r>
    </w:p>
    <w:tbl>
      <w:tblPr>
        <w:tblStyle w:val="TableGrid"/>
        <w:tblW w:w="0" w:type="auto"/>
        <w:tblLook w:val="04A0" w:firstRow="1" w:lastRow="0" w:firstColumn="1" w:lastColumn="0" w:noHBand="0" w:noVBand="1"/>
      </w:tblPr>
      <w:tblGrid>
        <w:gridCol w:w="2667"/>
        <w:gridCol w:w="1151"/>
        <w:gridCol w:w="1070"/>
        <w:gridCol w:w="1148"/>
        <w:gridCol w:w="1503"/>
        <w:gridCol w:w="1703"/>
      </w:tblGrid>
      <w:tr w:rsidR="00091C1C" w:rsidRPr="00814D58" w14:paraId="775EE4B4" w14:textId="77777777" w:rsidTr="00ED4ABF">
        <w:tc>
          <w:tcPr>
            <w:tcW w:w="0" w:type="auto"/>
            <w:hideMark/>
          </w:tcPr>
          <w:p w14:paraId="4DE34F9A"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Resource/Capability</w:t>
            </w:r>
          </w:p>
        </w:tc>
        <w:tc>
          <w:tcPr>
            <w:tcW w:w="0" w:type="auto"/>
            <w:hideMark/>
          </w:tcPr>
          <w:p w14:paraId="2471AD00"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Valuable</w:t>
            </w:r>
          </w:p>
        </w:tc>
        <w:tc>
          <w:tcPr>
            <w:tcW w:w="0" w:type="auto"/>
            <w:hideMark/>
          </w:tcPr>
          <w:p w14:paraId="38069B9D"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Rare</w:t>
            </w:r>
          </w:p>
        </w:tc>
        <w:tc>
          <w:tcPr>
            <w:tcW w:w="0" w:type="auto"/>
            <w:hideMark/>
          </w:tcPr>
          <w:p w14:paraId="708C9BDE"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Costly to Imitate</w:t>
            </w:r>
          </w:p>
        </w:tc>
        <w:tc>
          <w:tcPr>
            <w:tcW w:w="0" w:type="auto"/>
            <w:hideMark/>
          </w:tcPr>
          <w:p w14:paraId="5D447893" w14:textId="77777777" w:rsidR="00091C1C" w:rsidRPr="00814D58" w:rsidRDefault="00091C1C" w:rsidP="00ED4ABF">
            <w:pPr>
              <w:spacing w:after="160" w:line="360" w:lineRule="auto"/>
              <w:jc w:val="both"/>
              <w:rPr>
                <w:rFonts w:ascii="Arial" w:hAnsi="Arial" w:cs="Arial"/>
                <w:sz w:val="24"/>
                <w:szCs w:val="24"/>
              </w:rPr>
            </w:pPr>
            <w:proofErr w:type="spellStart"/>
            <w:r w:rsidRPr="00814D58">
              <w:rPr>
                <w:rFonts w:ascii="Arial" w:hAnsi="Arial" w:cs="Arial"/>
                <w:sz w:val="24"/>
                <w:szCs w:val="24"/>
              </w:rPr>
              <w:t>Organised</w:t>
            </w:r>
            <w:proofErr w:type="spellEnd"/>
            <w:r w:rsidRPr="00814D58">
              <w:rPr>
                <w:rFonts w:ascii="Arial" w:hAnsi="Arial" w:cs="Arial"/>
                <w:sz w:val="24"/>
                <w:szCs w:val="24"/>
              </w:rPr>
              <w:t xml:space="preserve"> to Exploit</w:t>
            </w:r>
          </w:p>
        </w:tc>
        <w:tc>
          <w:tcPr>
            <w:tcW w:w="0" w:type="auto"/>
            <w:hideMark/>
          </w:tcPr>
          <w:p w14:paraId="26D29305"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Competitive Implication</w:t>
            </w:r>
          </w:p>
        </w:tc>
      </w:tr>
      <w:tr w:rsidR="00091C1C" w:rsidRPr="00814D58" w14:paraId="0AC4CBAC" w14:textId="77777777" w:rsidTr="00ED4ABF">
        <w:tc>
          <w:tcPr>
            <w:tcW w:w="0" w:type="auto"/>
            <w:hideMark/>
          </w:tcPr>
          <w:p w14:paraId="0E78CEF2"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Brand equity and reputation</w:t>
            </w:r>
          </w:p>
        </w:tc>
        <w:tc>
          <w:tcPr>
            <w:tcW w:w="0" w:type="auto"/>
            <w:hideMark/>
          </w:tcPr>
          <w:p w14:paraId="4BA7CFA3"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7FD5831E"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3D140D1C"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4547C4B6"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6D525647"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Sustained competitive advantage</w:t>
            </w:r>
          </w:p>
        </w:tc>
      </w:tr>
      <w:tr w:rsidR="00091C1C" w:rsidRPr="00814D58" w14:paraId="6F29DD64" w14:textId="77777777" w:rsidTr="00ED4ABF">
        <w:tc>
          <w:tcPr>
            <w:tcW w:w="0" w:type="auto"/>
            <w:hideMark/>
          </w:tcPr>
          <w:p w14:paraId="3AC62BEC"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Flat-pack business model &amp; supply chain integration</w:t>
            </w:r>
          </w:p>
        </w:tc>
        <w:tc>
          <w:tcPr>
            <w:tcW w:w="0" w:type="auto"/>
            <w:hideMark/>
          </w:tcPr>
          <w:p w14:paraId="5F8FDD8A"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2D32EB0C"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15700520"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05816755"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5065DF07"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Sustained competitive advantage</w:t>
            </w:r>
          </w:p>
        </w:tc>
      </w:tr>
      <w:tr w:rsidR="00091C1C" w:rsidRPr="00814D58" w14:paraId="7166028F" w14:textId="77777777" w:rsidTr="00ED4ABF">
        <w:tc>
          <w:tcPr>
            <w:tcW w:w="0" w:type="auto"/>
            <w:hideMark/>
          </w:tcPr>
          <w:p w14:paraId="341F3AF7"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Democratic Design capability</w:t>
            </w:r>
          </w:p>
        </w:tc>
        <w:tc>
          <w:tcPr>
            <w:tcW w:w="0" w:type="auto"/>
            <w:hideMark/>
          </w:tcPr>
          <w:p w14:paraId="2D25F677"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246CF9D1"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03B87E74"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Partially</w:t>
            </w:r>
          </w:p>
        </w:tc>
        <w:tc>
          <w:tcPr>
            <w:tcW w:w="0" w:type="auto"/>
            <w:hideMark/>
          </w:tcPr>
          <w:p w14:paraId="57D7CC1B"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0CBE08D8"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Temporary to sustained advantage</w:t>
            </w:r>
          </w:p>
        </w:tc>
      </w:tr>
      <w:tr w:rsidR="00091C1C" w:rsidRPr="00814D58" w14:paraId="618124B0" w14:textId="77777777" w:rsidTr="00ED4ABF">
        <w:tc>
          <w:tcPr>
            <w:tcW w:w="0" w:type="auto"/>
            <w:hideMark/>
          </w:tcPr>
          <w:p w14:paraId="717D1BB6"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Foundation ownership structure</w:t>
            </w:r>
          </w:p>
        </w:tc>
        <w:tc>
          <w:tcPr>
            <w:tcW w:w="0" w:type="auto"/>
            <w:hideMark/>
          </w:tcPr>
          <w:p w14:paraId="679D0761"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0E311498"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0BEFC478"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0850DA62"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20D68A37"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Sustained competitive advantage</w:t>
            </w:r>
          </w:p>
        </w:tc>
      </w:tr>
      <w:tr w:rsidR="00091C1C" w:rsidRPr="00814D58" w14:paraId="161D3D52" w14:textId="77777777" w:rsidTr="00ED4ABF">
        <w:tc>
          <w:tcPr>
            <w:tcW w:w="0" w:type="auto"/>
            <w:hideMark/>
          </w:tcPr>
          <w:p w14:paraId="3269636F"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Global store network &amp; experiential retail</w:t>
            </w:r>
          </w:p>
        </w:tc>
        <w:tc>
          <w:tcPr>
            <w:tcW w:w="0" w:type="auto"/>
            <w:hideMark/>
          </w:tcPr>
          <w:p w14:paraId="10185798"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10E51386"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Partially</w:t>
            </w:r>
          </w:p>
        </w:tc>
        <w:tc>
          <w:tcPr>
            <w:tcW w:w="0" w:type="auto"/>
            <w:hideMark/>
          </w:tcPr>
          <w:p w14:paraId="3F2AC316"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668B00CD"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7DAAA231"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Sustained competitive advantage</w:t>
            </w:r>
          </w:p>
        </w:tc>
      </w:tr>
      <w:tr w:rsidR="00091C1C" w:rsidRPr="00814D58" w14:paraId="1FEDC4ED" w14:textId="77777777" w:rsidTr="00ED4ABF">
        <w:tc>
          <w:tcPr>
            <w:tcW w:w="0" w:type="auto"/>
            <w:hideMark/>
          </w:tcPr>
          <w:p w14:paraId="7AC62EA7"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E-commerce capabilities</w:t>
            </w:r>
          </w:p>
        </w:tc>
        <w:tc>
          <w:tcPr>
            <w:tcW w:w="0" w:type="auto"/>
            <w:hideMark/>
          </w:tcPr>
          <w:p w14:paraId="1FF8C1E5"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Yes</w:t>
            </w:r>
          </w:p>
        </w:tc>
        <w:tc>
          <w:tcPr>
            <w:tcW w:w="0" w:type="auto"/>
            <w:hideMark/>
          </w:tcPr>
          <w:p w14:paraId="2533202C"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No</w:t>
            </w:r>
          </w:p>
        </w:tc>
        <w:tc>
          <w:tcPr>
            <w:tcW w:w="0" w:type="auto"/>
            <w:hideMark/>
          </w:tcPr>
          <w:p w14:paraId="3565F161"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No</w:t>
            </w:r>
          </w:p>
        </w:tc>
        <w:tc>
          <w:tcPr>
            <w:tcW w:w="0" w:type="auto"/>
            <w:hideMark/>
          </w:tcPr>
          <w:p w14:paraId="22E9F553"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Developing</w:t>
            </w:r>
          </w:p>
        </w:tc>
        <w:tc>
          <w:tcPr>
            <w:tcW w:w="0" w:type="auto"/>
            <w:hideMark/>
          </w:tcPr>
          <w:p w14:paraId="047537E3" w14:textId="77777777" w:rsidR="00091C1C" w:rsidRPr="00814D58" w:rsidRDefault="00091C1C" w:rsidP="00ED4ABF">
            <w:pPr>
              <w:spacing w:after="160" w:line="360" w:lineRule="auto"/>
              <w:jc w:val="both"/>
              <w:rPr>
                <w:rFonts w:ascii="Arial" w:hAnsi="Arial" w:cs="Arial"/>
                <w:sz w:val="24"/>
                <w:szCs w:val="24"/>
              </w:rPr>
            </w:pPr>
            <w:r w:rsidRPr="00814D58">
              <w:rPr>
                <w:rFonts w:ascii="Arial" w:hAnsi="Arial" w:cs="Arial"/>
                <w:sz w:val="24"/>
                <w:szCs w:val="24"/>
              </w:rPr>
              <w:t>Competitive parity</w:t>
            </w:r>
          </w:p>
        </w:tc>
      </w:tr>
    </w:tbl>
    <w:p w14:paraId="7FA87A2E" w14:textId="77777777" w:rsidR="00196421" w:rsidRDefault="004715E8" w:rsidP="00196421">
      <w:pPr>
        <w:spacing w:line="360" w:lineRule="auto"/>
        <w:jc w:val="center"/>
        <w:rPr>
          <w:rFonts w:ascii="Arial" w:hAnsi="Arial" w:cs="Arial"/>
          <w:sz w:val="24"/>
          <w:szCs w:val="24"/>
        </w:rPr>
      </w:pPr>
      <w:r>
        <w:rPr>
          <w:rFonts w:ascii="Arial" w:hAnsi="Arial" w:cs="Arial"/>
          <w:sz w:val="24"/>
          <w:szCs w:val="24"/>
        </w:rPr>
        <w:t>Table 2</w:t>
      </w:r>
      <w:r w:rsidR="00196421" w:rsidRPr="00196421">
        <w:rPr>
          <w:rFonts w:ascii="Arial" w:hAnsi="Arial" w:cs="Arial"/>
          <w:sz w:val="24"/>
          <w:szCs w:val="24"/>
        </w:rPr>
        <w:t>. VRIO analysis of IKEA’s key resources</w:t>
      </w:r>
    </w:p>
    <w:p w14:paraId="7D643EDA" w14:textId="77777777" w:rsidR="00196421" w:rsidRDefault="00196421" w:rsidP="00091C1C">
      <w:pPr>
        <w:spacing w:line="360" w:lineRule="auto"/>
        <w:jc w:val="both"/>
        <w:rPr>
          <w:rFonts w:ascii="Arial" w:hAnsi="Arial" w:cs="Arial"/>
          <w:sz w:val="24"/>
          <w:szCs w:val="24"/>
        </w:rPr>
      </w:pPr>
    </w:p>
    <w:p w14:paraId="09CC330D"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lastRenderedPageBreak/>
        <w:t xml:space="preserve">The brand equity of IKEA is in accordance </w:t>
      </w:r>
      <w:proofErr w:type="gramStart"/>
      <w:r w:rsidRPr="00C723A3">
        <w:rPr>
          <w:rFonts w:ascii="Arial" w:hAnsi="Arial" w:cs="Arial"/>
          <w:sz w:val="24"/>
          <w:szCs w:val="24"/>
        </w:rPr>
        <w:t>to</w:t>
      </w:r>
      <w:proofErr w:type="gramEnd"/>
      <w:r w:rsidRPr="00C723A3">
        <w:rPr>
          <w:rFonts w:ascii="Arial" w:hAnsi="Arial" w:cs="Arial"/>
          <w:sz w:val="24"/>
          <w:szCs w:val="24"/>
        </w:rPr>
        <w:t xml:space="preserve"> VRIO requirements. Created </w:t>
      </w:r>
      <w:proofErr w:type="gramStart"/>
      <w:r w:rsidRPr="00C723A3">
        <w:rPr>
          <w:rFonts w:ascii="Arial" w:hAnsi="Arial" w:cs="Arial"/>
          <w:sz w:val="24"/>
          <w:szCs w:val="24"/>
        </w:rPr>
        <w:t>during the course of</w:t>
      </w:r>
      <w:proofErr w:type="gramEnd"/>
      <w:r w:rsidRPr="00C723A3">
        <w:rPr>
          <w:rFonts w:ascii="Arial" w:hAnsi="Arial" w:cs="Arial"/>
          <w:sz w:val="24"/>
          <w:szCs w:val="24"/>
        </w:rPr>
        <w:t xml:space="preserve"> eight decades, it is linked to low costs, Scandinavian design, and unusual customer experience that is impossible to recreate by competitors (Barney and Hesterly, 2019). The flat-pack concept is worth it, because it saves logistics expenses by the order of 40 percent compared to the cost of assembling furniture delivery, is not common in such thorough integration, and demands basic business model redesign to emulate (Normann and Ramirez, 1993). The non-hostile takeover immunity and </w:t>
      </w:r>
      <w:proofErr w:type="gramStart"/>
      <w:r w:rsidRPr="00C723A3">
        <w:rPr>
          <w:rFonts w:ascii="Arial" w:hAnsi="Arial" w:cs="Arial"/>
          <w:sz w:val="24"/>
          <w:szCs w:val="24"/>
        </w:rPr>
        <w:t>short term</w:t>
      </w:r>
      <w:proofErr w:type="gramEnd"/>
      <w:r w:rsidRPr="00C723A3">
        <w:rPr>
          <w:rFonts w:ascii="Arial" w:hAnsi="Arial" w:cs="Arial"/>
          <w:sz w:val="24"/>
          <w:szCs w:val="24"/>
        </w:rPr>
        <w:t xml:space="preserve"> pressure of the stock market illustrated by the foundation-based ownership structure through the </w:t>
      </w:r>
      <w:proofErr w:type="spellStart"/>
      <w:r w:rsidRPr="00C723A3">
        <w:rPr>
          <w:rFonts w:ascii="Arial" w:hAnsi="Arial" w:cs="Arial"/>
          <w:sz w:val="24"/>
          <w:szCs w:val="24"/>
        </w:rPr>
        <w:t>Stichting</w:t>
      </w:r>
      <w:proofErr w:type="spellEnd"/>
      <w:r w:rsidRPr="00C723A3">
        <w:rPr>
          <w:rFonts w:ascii="Arial" w:hAnsi="Arial" w:cs="Arial"/>
          <w:sz w:val="24"/>
          <w:szCs w:val="24"/>
        </w:rPr>
        <w:t xml:space="preserve"> INGKA Foundation allows the strategic investment to be made long-term (Jonsson and Foss, 2011). On the other hand, the e-commerce capabilities of IKEA, as useful as they are, do not provide competitive advantage but create a level of competition currently with its digital-native competitors such as Wayfair, which have superior online infrastructure (Grant, 2021). According to McKinsey (2022), online sales of furniture will cover a larger than 30 percent of the world market by the year 2027, so there is an urgent need to develop digital capabilities.</w:t>
      </w:r>
    </w:p>
    <w:p w14:paraId="79CF24F4"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2.5 Internal Strengths and Competitive Advantage.</w:t>
      </w:r>
    </w:p>
    <w:p w14:paraId="1AC99D6D"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internal strengths of IKEA are a source of competitive advantage that stems out of core competencies, which are the collective skills of learning and coordination that help the </w:t>
      </w:r>
      <w:proofErr w:type="spellStart"/>
      <w:r w:rsidRPr="00C723A3">
        <w:rPr>
          <w:rFonts w:ascii="Arial" w:hAnsi="Arial" w:cs="Arial"/>
          <w:sz w:val="24"/>
          <w:szCs w:val="24"/>
        </w:rPr>
        <w:t>organisation</w:t>
      </w:r>
      <w:proofErr w:type="spellEnd"/>
      <w:r w:rsidRPr="00C723A3">
        <w:rPr>
          <w:rFonts w:ascii="Arial" w:hAnsi="Arial" w:cs="Arial"/>
          <w:sz w:val="24"/>
          <w:szCs w:val="24"/>
        </w:rPr>
        <w:t xml:space="preserve"> to create unique customer value (Prahalad and Hamel, 1990). IKEA already has a core competency that involves the cost, design and functionality </w:t>
      </w:r>
      <w:proofErr w:type="spellStart"/>
      <w:r w:rsidRPr="00C723A3">
        <w:rPr>
          <w:rFonts w:ascii="Arial" w:hAnsi="Arial" w:cs="Arial"/>
          <w:sz w:val="24"/>
          <w:szCs w:val="24"/>
        </w:rPr>
        <w:t>optimisation</w:t>
      </w:r>
      <w:proofErr w:type="spellEnd"/>
      <w:r w:rsidRPr="00C723A3">
        <w:rPr>
          <w:rFonts w:ascii="Arial" w:hAnsi="Arial" w:cs="Arial"/>
          <w:sz w:val="24"/>
          <w:szCs w:val="24"/>
        </w:rPr>
        <w:t xml:space="preserve"> that is achieved at the same time, which is </w:t>
      </w:r>
      <w:proofErr w:type="spellStart"/>
      <w:r w:rsidRPr="00C723A3">
        <w:rPr>
          <w:rFonts w:ascii="Arial" w:hAnsi="Arial" w:cs="Arial"/>
          <w:sz w:val="24"/>
          <w:szCs w:val="24"/>
        </w:rPr>
        <w:t>internalised</w:t>
      </w:r>
      <w:proofErr w:type="spellEnd"/>
      <w:r w:rsidRPr="00C723A3">
        <w:rPr>
          <w:rFonts w:ascii="Arial" w:hAnsi="Arial" w:cs="Arial"/>
          <w:sz w:val="24"/>
          <w:szCs w:val="24"/>
        </w:rPr>
        <w:t xml:space="preserve"> in </w:t>
      </w:r>
      <w:proofErr w:type="spellStart"/>
      <w:r w:rsidRPr="00C723A3">
        <w:rPr>
          <w:rFonts w:ascii="Arial" w:hAnsi="Arial" w:cs="Arial"/>
          <w:sz w:val="24"/>
          <w:szCs w:val="24"/>
        </w:rPr>
        <w:t>organisational</w:t>
      </w:r>
      <w:proofErr w:type="spellEnd"/>
      <w:r w:rsidRPr="00C723A3">
        <w:rPr>
          <w:rFonts w:ascii="Arial" w:hAnsi="Arial" w:cs="Arial"/>
          <w:sz w:val="24"/>
          <w:szCs w:val="24"/>
        </w:rPr>
        <w:t xml:space="preserve"> routines, supplier relations and design processes that have been developed over decades, which is </w:t>
      </w:r>
      <w:proofErr w:type="gramStart"/>
      <w:r w:rsidRPr="00C723A3">
        <w:rPr>
          <w:rFonts w:ascii="Arial" w:hAnsi="Arial" w:cs="Arial"/>
          <w:sz w:val="24"/>
          <w:szCs w:val="24"/>
        </w:rPr>
        <w:t>a path</w:t>
      </w:r>
      <w:proofErr w:type="gramEnd"/>
      <w:r w:rsidRPr="00C723A3">
        <w:rPr>
          <w:rFonts w:ascii="Arial" w:hAnsi="Arial" w:cs="Arial"/>
          <w:sz w:val="24"/>
          <w:szCs w:val="24"/>
        </w:rPr>
        <w:t xml:space="preserve">-dependence (Teece, Pisano and </w:t>
      </w:r>
      <w:proofErr w:type="spellStart"/>
      <w:r w:rsidRPr="00C723A3">
        <w:rPr>
          <w:rFonts w:ascii="Arial" w:hAnsi="Arial" w:cs="Arial"/>
          <w:sz w:val="24"/>
          <w:szCs w:val="24"/>
        </w:rPr>
        <w:t>Shuen</w:t>
      </w:r>
      <w:proofErr w:type="spellEnd"/>
      <w:r w:rsidRPr="00C723A3">
        <w:rPr>
          <w:rFonts w:ascii="Arial" w:hAnsi="Arial" w:cs="Arial"/>
          <w:sz w:val="24"/>
          <w:szCs w:val="24"/>
        </w:rPr>
        <w:t xml:space="preserve">, 1997). In line with the RBV, the key resources that </w:t>
      </w:r>
      <w:proofErr w:type="gramStart"/>
      <w:r w:rsidRPr="00C723A3">
        <w:rPr>
          <w:rFonts w:ascii="Arial" w:hAnsi="Arial" w:cs="Arial"/>
          <w:sz w:val="24"/>
          <w:szCs w:val="24"/>
        </w:rPr>
        <w:t>have the ability to</w:t>
      </w:r>
      <w:proofErr w:type="gramEnd"/>
      <w:r w:rsidRPr="00C723A3">
        <w:rPr>
          <w:rFonts w:ascii="Arial" w:hAnsi="Arial" w:cs="Arial"/>
          <w:sz w:val="24"/>
          <w:szCs w:val="24"/>
        </w:rPr>
        <w:t xml:space="preserve"> generate sustained competitive advantage include those that are robust, scarce, inimitable, and non-substitutable (Barney, 1991). The interdependency of IKEA generates a casual ambiguity in its resources, and it is hard to imitate (Lippman and </w:t>
      </w:r>
      <w:proofErr w:type="spellStart"/>
      <w:r w:rsidRPr="00C723A3">
        <w:rPr>
          <w:rFonts w:ascii="Arial" w:hAnsi="Arial" w:cs="Arial"/>
          <w:sz w:val="24"/>
          <w:szCs w:val="24"/>
        </w:rPr>
        <w:t>Rumelt</w:t>
      </w:r>
      <w:proofErr w:type="spellEnd"/>
      <w:r w:rsidRPr="00C723A3">
        <w:rPr>
          <w:rFonts w:ascii="Arial" w:hAnsi="Arial" w:cs="Arial"/>
          <w:sz w:val="24"/>
          <w:szCs w:val="24"/>
        </w:rPr>
        <w:t xml:space="preserve">, 1982). Further, resource interdependence brings about asset mass efficiencies in which the stock of resources </w:t>
      </w:r>
      <w:proofErr w:type="gramStart"/>
      <w:r w:rsidRPr="00C723A3">
        <w:rPr>
          <w:rFonts w:ascii="Arial" w:hAnsi="Arial" w:cs="Arial"/>
          <w:sz w:val="24"/>
          <w:szCs w:val="24"/>
        </w:rPr>
        <w:t>is able to</w:t>
      </w:r>
      <w:proofErr w:type="gramEnd"/>
      <w:r w:rsidRPr="00C723A3">
        <w:rPr>
          <w:rFonts w:ascii="Arial" w:hAnsi="Arial" w:cs="Arial"/>
          <w:sz w:val="24"/>
          <w:szCs w:val="24"/>
        </w:rPr>
        <w:t xml:space="preserve"> accumulate other resources in such a way as that it becomes a self-sustaining cycle of competitive advantages (Dierickx and Cool, 1989).</w:t>
      </w:r>
    </w:p>
    <w:p w14:paraId="43A930F2" w14:textId="77777777" w:rsidR="00862733" w:rsidRDefault="00862733" w:rsidP="00091C1C">
      <w:pPr>
        <w:spacing w:line="360" w:lineRule="auto"/>
        <w:jc w:val="both"/>
        <w:rPr>
          <w:rFonts w:ascii="Arial" w:hAnsi="Arial" w:cs="Arial"/>
          <w:b/>
          <w:bCs/>
          <w:sz w:val="24"/>
          <w:szCs w:val="24"/>
        </w:rPr>
      </w:pPr>
    </w:p>
    <w:p w14:paraId="4CC77F4B"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lastRenderedPageBreak/>
        <w:t>3.0 CSR and Sustainability Objectives.</w:t>
      </w:r>
    </w:p>
    <w:p w14:paraId="1C6B2FBF"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The corporate social responsibility (CSR) strategy of IKEA, which is expressed through the framework of People and Planet Positive, is one of the most ambitious sustainability commitments in the retail industry (IKEA, 2024). This approach is designed in three pillars of encouraging healthy and sustainable living, circular and climate-positive operations, and fair and inclusive business practices (Elkington, 2018).</w:t>
      </w:r>
    </w:p>
    <w:p w14:paraId="57138183"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Major initiatives in this framework involve the pledge by IKEA to be climate positive in the year 2030 by cutting down on the number of greenhouse gases emitted by its value chain than what it generates in its entire value chain. In 2023, the amount of money invested in renewable energy by IKEA reached more than EUR2.5 billion, with the company possessing about 575,000 solar panels and 547 wind turbines worldwide (Inter IKEA Group, 2024). Also, 98 percent of IKEA wood is sourced more sustainably (FSC-certified or recycled), and the company has removed single-use plastics in its product range (IKEA Sustainability Report, 2023). IKEA is determined to employ all renewable and recycled materials by 2030, which, in case it comes to fruition, would completely reshape its supply chain, materials sourcing, and product design processes.</w:t>
      </w:r>
    </w:p>
    <w:p w14:paraId="225C513D"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Nevertheless, critical analysis reveals contradictions between IKEA sustainability rhetoric and the high volume and </w:t>
      </w:r>
      <w:proofErr w:type="gramStart"/>
      <w:r w:rsidRPr="00C723A3">
        <w:rPr>
          <w:rFonts w:ascii="Arial" w:hAnsi="Arial" w:cs="Arial"/>
          <w:sz w:val="24"/>
          <w:szCs w:val="24"/>
        </w:rPr>
        <w:t>low cost</w:t>
      </w:r>
      <w:proofErr w:type="gramEnd"/>
      <w:r w:rsidRPr="00C723A3">
        <w:rPr>
          <w:rFonts w:ascii="Arial" w:hAnsi="Arial" w:cs="Arial"/>
          <w:sz w:val="24"/>
          <w:szCs w:val="24"/>
        </w:rPr>
        <w:t xml:space="preserve"> business concept. Mass production of cheap products, as Carroll and Shabana (2010) contend, can be rather contradictory to the principles of the circular economy. Critics observe that the low price of IKEA products may promote disposable and non-durable </w:t>
      </w:r>
      <w:proofErr w:type="spellStart"/>
      <w:r w:rsidRPr="00C723A3">
        <w:rPr>
          <w:rFonts w:ascii="Arial" w:hAnsi="Arial" w:cs="Arial"/>
          <w:sz w:val="24"/>
          <w:szCs w:val="24"/>
        </w:rPr>
        <w:t>behaviour</w:t>
      </w:r>
      <w:proofErr w:type="spellEnd"/>
      <w:r w:rsidRPr="00C723A3">
        <w:rPr>
          <w:rFonts w:ascii="Arial" w:hAnsi="Arial" w:cs="Arial"/>
          <w:sz w:val="24"/>
          <w:szCs w:val="24"/>
        </w:rPr>
        <w:t xml:space="preserve"> over lifespan (</w:t>
      </w:r>
      <w:proofErr w:type="spellStart"/>
      <w:r w:rsidRPr="00C723A3">
        <w:rPr>
          <w:rFonts w:ascii="Arial" w:hAnsi="Arial" w:cs="Arial"/>
          <w:sz w:val="24"/>
          <w:szCs w:val="24"/>
        </w:rPr>
        <w:t>Bocken</w:t>
      </w:r>
      <w:proofErr w:type="spellEnd"/>
      <w:r w:rsidRPr="00C723A3">
        <w:rPr>
          <w:rFonts w:ascii="Arial" w:hAnsi="Arial" w:cs="Arial"/>
          <w:sz w:val="24"/>
          <w:szCs w:val="24"/>
        </w:rPr>
        <w:t xml:space="preserve"> et al., 2016). IKEA has reacted with efforts like Buy Back &amp; Resell </w:t>
      </w:r>
      <w:proofErr w:type="spellStart"/>
      <w:r w:rsidRPr="00C723A3">
        <w:rPr>
          <w:rFonts w:ascii="Arial" w:hAnsi="Arial" w:cs="Arial"/>
          <w:sz w:val="24"/>
          <w:szCs w:val="24"/>
        </w:rPr>
        <w:t>programme</w:t>
      </w:r>
      <w:proofErr w:type="spellEnd"/>
      <w:r w:rsidRPr="00C723A3">
        <w:rPr>
          <w:rFonts w:ascii="Arial" w:hAnsi="Arial" w:cs="Arial"/>
          <w:sz w:val="24"/>
          <w:szCs w:val="24"/>
        </w:rPr>
        <w:t xml:space="preserve"> and furniture leasing pilot, but the volume of these circular efforts is minimal compared to the volume of sales. These </w:t>
      </w:r>
      <w:proofErr w:type="gramStart"/>
      <w:r w:rsidRPr="00C723A3">
        <w:rPr>
          <w:rFonts w:ascii="Arial" w:hAnsi="Arial" w:cs="Arial"/>
          <w:sz w:val="24"/>
          <w:szCs w:val="24"/>
        </w:rPr>
        <w:t>problems</w:t>
      </w:r>
      <w:proofErr w:type="gramEnd"/>
      <w:r w:rsidRPr="00C723A3">
        <w:rPr>
          <w:rFonts w:ascii="Arial" w:hAnsi="Arial" w:cs="Arial"/>
          <w:sz w:val="24"/>
          <w:szCs w:val="24"/>
        </w:rPr>
        <w:t xml:space="preserve"> notwithstanding, the CSR strategy at IKEA is well compatible with its overall business goals. A sustainable innovation will minimize material expenses, renewable energy investments will </w:t>
      </w:r>
      <w:proofErr w:type="gramStart"/>
      <w:r w:rsidRPr="00C723A3">
        <w:rPr>
          <w:rFonts w:ascii="Arial" w:hAnsi="Arial" w:cs="Arial"/>
          <w:sz w:val="24"/>
          <w:szCs w:val="24"/>
        </w:rPr>
        <w:t>insure</w:t>
      </w:r>
      <w:proofErr w:type="gramEnd"/>
      <w:r w:rsidRPr="00C723A3">
        <w:rPr>
          <w:rFonts w:ascii="Arial" w:hAnsi="Arial" w:cs="Arial"/>
          <w:sz w:val="24"/>
          <w:szCs w:val="24"/>
        </w:rPr>
        <w:t xml:space="preserve"> against the fluctuation of fossil fuel prices, and robust environmental credentials are having an impact on consumer purchases, especially among millennials and Generation Z (Porter and Kramer, 2011). This is the triple bottom line of Elkington (1997) which involves economic, social and environmental performance.</w:t>
      </w:r>
    </w:p>
    <w:p w14:paraId="4AA5520C" w14:textId="77777777" w:rsidR="00091C1C" w:rsidRPr="00814D58" w:rsidRDefault="00091C1C" w:rsidP="00091C1C">
      <w:pPr>
        <w:spacing w:line="360" w:lineRule="auto"/>
        <w:jc w:val="both"/>
        <w:rPr>
          <w:rFonts w:ascii="Arial" w:hAnsi="Arial" w:cs="Arial"/>
          <w:b/>
          <w:bCs/>
          <w:sz w:val="24"/>
          <w:szCs w:val="24"/>
        </w:rPr>
      </w:pPr>
      <w:r w:rsidRPr="00814D58">
        <w:rPr>
          <w:rFonts w:ascii="Arial" w:hAnsi="Arial" w:cs="Arial"/>
          <w:b/>
          <w:bCs/>
          <w:sz w:val="24"/>
          <w:szCs w:val="24"/>
        </w:rPr>
        <w:lastRenderedPageBreak/>
        <w:t>4. Comprehensive and Holistic View: Balanced Scorecard</w:t>
      </w:r>
    </w:p>
    <w:p w14:paraId="43497BBD" w14:textId="77777777" w:rsidR="004C0105" w:rsidRPr="004C0105" w:rsidRDefault="004C0105" w:rsidP="004C0105">
      <w:pPr>
        <w:spacing w:line="360" w:lineRule="auto"/>
        <w:jc w:val="both"/>
        <w:rPr>
          <w:rFonts w:ascii="Arial" w:hAnsi="Arial" w:cs="Arial"/>
          <w:sz w:val="24"/>
          <w:szCs w:val="24"/>
        </w:rPr>
      </w:pPr>
      <w:r w:rsidRPr="004C0105">
        <w:rPr>
          <w:rFonts w:ascii="Arial" w:hAnsi="Arial" w:cs="Arial"/>
          <w:sz w:val="24"/>
          <w:szCs w:val="24"/>
        </w:rPr>
        <w:t>Kaplan and Norton (1992) developed Balanced Scorecard which is a multidimensional performance measurement model that goes beyond financial measurements, making it possible to holistically analyze the process of IKEA strategy implementation. It converts IKEA mission and strategy into four perspectives with measurable goals, which include financial, customer, internal business processes, and learning and growth (Kaplan and Norton, 1996).</w:t>
      </w:r>
    </w:p>
    <w:p w14:paraId="751CD248" w14:textId="77777777" w:rsidR="004C0105" w:rsidRPr="004C0105" w:rsidRDefault="004C0105" w:rsidP="004C0105">
      <w:pPr>
        <w:spacing w:line="360" w:lineRule="auto"/>
        <w:jc w:val="both"/>
        <w:rPr>
          <w:rFonts w:ascii="Arial" w:hAnsi="Arial" w:cs="Arial"/>
          <w:sz w:val="24"/>
          <w:szCs w:val="24"/>
        </w:rPr>
      </w:pPr>
      <w:r w:rsidRPr="004C0105">
        <w:rPr>
          <w:rFonts w:ascii="Arial" w:hAnsi="Arial" w:cs="Arial"/>
          <w:sz w:val="24"/>
          <w:szCs w:val="24"/>
        </w:rPr>
        <w:t xml:space="preserve">Financial perspective is concerned with the sustainable increase in revenues and low prices. The key performance indicators will be the rise in </w:t>
      </w:r>
      <w:proofErr w:type="gramStart"/>
      <w:r w:rsidRPr="004C0105">
        <w:rPr>
          <w:rFonts w:ascii="Arial" w:hAnsi="Arial" w:cs="Arial"/>
          <w:sz w:val="24"/>
          <w:szCs w:val="24"/>
        </w:rPr>
        <w:t>revenue</w:t>
      </w:r>
      <w:proofErr w:type="gramEnd"/>
      <w:r w:rsidRPr="004C0105">
        <w:rPr>
          <w:rFonts w:ascii="Arial" w:hAnsi="Arial" w:cs="Arial"/>
          <w:sz w:val="24"/>
          <w:szCs w:val="24"/>
        </w:rPr>
        <w:t xml:space="preserve"> 5-7 percent per year, the operating </w:t>
      </w:r>
      <w:proofErr w:type="gramStart"/>
      <w:r w:rsidRPr="004C0105">
        <w:rPr>
          <w:rFonts w:ascii="Arial" w:hAnsi="Arial" w:cs="Arial"/>
          <w:sz w:val="24"/>
          <w:szCs w:val="24"/>
        </w:rPr>
        <w:t>margin</w:t>
      </w:r>
      <w:proofErr w:type="gramEnd"/>
      <w:r w:rsidRPr="004C0105">
        <w:rPr>
          <w:rFonts w:ascii="Arial" w:hAnsi="Arial" w:cs="Arial"/>
          <w:sz w:val="24"/>
          <w:szCs w:val="24"/>
        </w:rPr>
        <w:t xml:space="preserve"> 10-12 percent, and the return on capital employed. The FY2023 revenues recorded by IKEA amounted to EUR47.6 billion, which indicates the preservation of profitability (Inter IKEA Group, 2024). This goal is supported by cost </w:t>
      </w:r>
      <w:proofErr w:type="spellStart"/>
      <w:r w:rsidRPr="004C0105">
        <w:rPr>
          <w:rFonts w:ascii="Arial" w:hAnsi="Arial" w:cs="Arial"/>
          <w:sz w:val="24"/>
          <w:szCs w:val="24"/>
        </w:rPr>
        <w:t>minimisation</w:t>
      </w:r>
      <w:proofErr w:type="spellEnd"/>
      <w:r w:rsidRPr="004C0105">
        <w:rPr>
          <w:rFonts w:ascii="Arial" w:hAnsi="Arial" w:cs="Arial"/>
          <w:sz w:val="24"/>
          <w:szCs w:val="24"/>
        </w:rPr>
        <w:t xml:space="preserve"> with the help of nearshoring and economies of scale. The ownership structure of a foundation allows it to reinvest EUR 1.5 billion per year in sustainability instead of the profit </w:t>
      </w:r>
      <w:proofErr w:type="spellStart"/>
      <w:r w:rsidRPr="004C0105">
        <w:rPr>
          <w:rFonts w:ascii="Arial" w:hAnsi="Arial" w:cs="Arial"/>
          <w:sz w:val="24"/>
          <w:szCs w:val="24"/>
        </w:rPr>
        <w:t>maximisation</w:t>
      </w:r>
      <w:proofErr w:type="spellEnd"/>
      <w:r w:rsidRPr="004C0105">
        <w:rPr>
          <w:rFonts w:ascii="Arial" w:hAnsi="Arial" w:cs="Arial"/>
          <w:sz w:val="24"/>
          <w:szCs w:val="24"/>
        </w:rPr>
        <w:t xml:space="preserve"> on a short-term basis (Niven, 2014).</w:t>
      </w:r>
    </w:p>
    <w:p w14:paraId="6DBBFF14" w14:textId="77777777" w:rsidR="004C0105" w:rsidRPr="004C0105" w:rsidRDefault="004C0105" w:rsidP="004C0105">
      <w:pPr>
        <w:spacing w:line="360" w:lineRule="auto"/>
        <w:jc w:val="both"/>
        <w:rPr>
          <w:rFonts w:ascii="Arial" w:hAnsi="Arial" w:cs="Arial"/>
          <w:sz w:val="24"/>
          <w:szCs w:val="24"/>
        </w:rPr>
      </w:pPr>
      <w:r w:rsidRPr="004C0105">
        <w:rPr>
          <w:rFonts w:ascii="Arial" w:hAnsi="Arial" w:cs="Arial"/>
          <w:sz w:val="24"/>
          <w:szCs w:val="24"/>
        </w:rPr>
        <w:t xml:space="preserve">Customer perspective puts an emphasis on satisfaction, availability, and omnichannel experience. KPIs </w:t>
      </w:r>
      <w:proofErr w:type="gramStart"/>
      <w:r w:rsidRPr="004C0105">
        <w:rPr>
          <w:rFonts w:ascii="Arial" w:hAnsi="Arial" w:cs="Arial"/>
          <w:sz w:val="24"/>
          <w:szCs w:val="24"/>
        </w:rPr>
        <w:t>are</w:t>
      </w:r>
      <w:proofErr w:type="gramEnd"/>
      <w:r w:rsidRPr="004C0105">
        <w:rPr>
          <w:rFonts w:ascii="Arial" w:hAnsi="Arial" w:cs="Arial"/>
          <w:sz w:val="24"/>
          <w:szCs w:val="24"/>
        </w:rPr>
        <w:t xml:space="preserve"> Net Promoter Score of over 50, the penetration of online sales to 30 percent by 2025, and footfall in stores. Showrooms and services are the elements in retail that make IKEA stand out </w:t>
      </w:r>
      <w:proofErr w:type="gramStart"/>
      <w:r w:rsidRPr="004C0105">
        <w:rPr>
          <w:rFonts w:ascii="Arial" w:hAnsi="Arial" w:cs="Arial"/>
          <w:sz w:val="24"/>
          <w:szCs w:val="24"/>
        </w:rPr>
        <w:t>of</w:t>
      </w:r>
      <w:proofErr w:type="gramEnd"/>
      <w:r w:rsidRPr="004C0105">
        <w:rPr>
          <w:rFonts w:ascii="Arial" w:hAnsi="Arial" w:cs="Arial"/>
          <w:sz w:val="24"/>
          <w:szCs w:val="24"/>
        </w:rPr>
        <w:t xml:space="preserve"> digital competitors.</w:t>
      </w:r>
    </w:p>
    <w:p w14:paraId="603583E5" w14:textId="77777777" w:rsidR="004C0105" w:rsidRPr="004C0105" w:rsidRDefault="004C0105" w:rsidP="004C0105">
      <w:pPr>
        <w:spacing w:line="360" w:lineRule="auto"/>
        <w:jc w:val="both"/>
        <w:rPr>
          <w:rFonts w:ascii="Arial" w:hAnsi="Arial" w:cs="Arial"/>
          <w:sz w:val="24"/>
          <w:szCs w:val="24"/>
        </w:rPr>
      </w:pPr>
      <w:r w:rsidRPr="004C0105">
        <w:rPr>
          <w:rFonts w:ascii="Arial" w:hAnsi="Arial" w:cs="Arial"/>
          <w:sz w:val="24"/>
          <w:szCs w:val="24"/>
        </w:rPr>
        <w:t>Internal business processes are related to efficiency of supply chain, speed of innovation and integration of sustainability. The KPIs are inventory turnover, circular product targets, and supplier compliance rates. Integration between design and manufacturing coordination and retail operates at a greater efficiency through vertical integration (Kaplan and Norton, 1992).</w:t>
      </w:r>
    </w:p>
    <w:p w14:paraId="0011DC1C" w14:textId="77777777" w:rsidR="004C0105" w:rsidRDefault="004C0105" w:rsidP="004C0105">
      <w:pPr>
        <w:spacing w:line="360" w:lineRule="auto"/>
        <w:jc w:val="both"/>
        <w:rPr>
          <w:rFonts w:ascii="Arial" w:hAnsi="Arial" w:cs="Arial"/>
          <w:sz w:val="24"/>
          <w:szCs w:val="24"/>
        </w:rPr>
      </w:pPr>
      <w:r w:rsidRPr="004C0105">
        <w:rPr>
          <w:rFonts w:ascii="Arial" w:hAnsi="Arial" w:cs="Arial"/>
          <w:sz w:val="24"/>
          <w:szCs w:val="24"/>
        </w:rPr>
        <w:t xml:space="preserve">The learning and growth perspective is focused on the development of the workforce, the culture of innovation, and the digital transformation. KPIs consist of above 70 percent employee engagement, training investment in respect to revenue and internal promotion. IKEA also spends on employee development, internal talent pipeline, and digital aptitude, and </w:t>
      </w:r>
      <w:proofErr w:type="gramStart"/>
      <w:r w:rsidRPr="004C0105">
        <w:rPr>
          <w:rFonts w:ascii="Arial" w:hAnsi="Arial" w:cs="Arial"/>
          <w:sz w:val="24"/>
          <w:szCs w:val="24"/>
        </w:rPr>
        <w:t>embraces</w:t>
      </w:r>
      <w:proofErr w:type="gramEnd"/>
      <w:r w:rsidRPr="004C0105">
        <w:rPr>
          <w:rFonts w:ascii="Arial" w:hAnsi="Arial" w:cs="Arial"/>
          <w:sz w:val="24"/>
          <w:szCs w:val="24"/>
        </w:rPr>
        <w:t xml:space="preserve"> diversity, inclusion, and living wage promises, which supports the human capital as a long-term performance energy (Niven, 2014). This is further sustained to provide strategic coherence, flexibility and </w:t>
      </w:r>
      <w:r w:rsidRPr="004C0105">
        <w:rPr>
          <w:rFonts w:ascii="Arial" w:hAnsi="Arial" w:cs="Arial"/>
          <w:sz w:val="24"/>
          <w:szCs w:val="24"/>
        </w:rPr>
        <w:lastRenderedPageBreak/>
        <w:t>sustained competitive edge in ever changing global markets in which overall operations efficiency and innovation are vital success factors.</w:t>
      </w:r>
    </w:p>
    <w:p w14:paraId="4835D193" w14:textId="77777777" w:rsidR="00E23964" w:rsidRPr="00E23964" w:rsidRDefault="00E23964" w:rsidP="004C0105">
      <w:pPr>
        <w:spacing w:line="360" w:lineRule="auto"/>
        <w:jc w:val="both"/>
        <w:rPr>
          <w:rFonts w:ascii="Arial" w:hAnsi="Arial" w:cs="Arial"/>
          <w:b/>
          <w:bCs/>
          <w:sz w:val="24"/>
          <w:szCs w:val="24"/>
        </w:rPr>
      </w:pPr>
      <w:r w:rsidRPr="00E23964">
        <w:rPr>
          <w:rFonts w:ascii="Arial" w:hAnsi="Arial" w:cs="Arial"/>
          <w:b/>
          <w:bCs/>
          <w:sz w:val="24"/>
          <w:szCs w:val="24"/>
        </w:rPr>
        <w:t>Table 3: Balanced Scorecard for IKEA</w:t>
      </w:r>
    </w:p>
    <w:tbl>
      <w:tblPr>
        <w:tblW w:w="10165" w:type="dxa"/>
        <w:tblInd w:w="-56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241"/>
        <w:gridCol w:w="2103"/>
        <w:gridCol w:w="2411"/>
        <w:gridCol w:w="2180"/>
        <w:gridCol w:w="2230"/>
      </w:tblGrid>
      <w:tr w:rsidR="00E23964" w14:paraId="50342859" w14:textId="77777777" w:rsidTr="00E23964">
        <w:trPr>
          <w:tblHeader/>
        </w:trPr>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53B5BF1B" w14:textId="77777777" w:rsidR="00E23964" w:rsidRDefault="00E23964">
            <w:pPr>
              <w:spacing w:before="480" w:after="480"/>
              <w:jc w:val="center"/>
              <w:rPr>
                <w:b/>
                <w:bCs/>
                <w:sz w:val="21"/>
                <w:szCs w:val="21"/>
              </w:rPr>
            </w:pPr>
            <w:r>
              <w:rPr>
                <w:b/>
                <w:bCs/>
                <w:sz w:val="21"/>
                <w:szCs w:val="21"/>
              </w:rPr>
              <w:t>Perspective</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7E7159F4" w14:textId="77777777" w:rsidR="00E23964" w:rsidRDefault="00E23964">
            <w:pPr>
              <w:spacing w:before="480" w:after="480"/>
              <w:jc w:val="center"/>
              <w:rPr>
                <w:b/>
                <w:bCs/>
                <w:sz w:val="21"/>
                <w:szCs w:val="21"/>
              </w:rPr>
            </w:pPr>
            <w:r>
              <w:rPr>
                <w:b/>
                <w:bCs/>
                <w:sz w:val="21"/>
                <w:szCs w:val="21"/>
              </w:rPr>
              <w:t>Strategic Objective</w:t>
            </w:r>
          </w:p>
        </w:tc>
        <w:tc>
          <w:tcPr>
            <w:tcW w:w="2411" w:type="dxa"/>
            <w:tcBorders>
              <w:top w:val="single" w:sz="2" w:space="0" w:color="E5E7EB"/>
              <w:left w:val="single" w:sz="2" w:space="0" w:color="E5E7EB"/>
              <w:bottom w:val="single" w:sz="2" w:space="0" w:color="E5E7EB"/>
              <w:right w:val="single" w:sz="2" w:space="0" w:color="E5E7EB"/>
            </w:tcBorders>
            <w:noWrap/>
            <w:vAlign w:val="bottom"/>
            <w:hideMark/>
          </w:tcPr>
          <w:p w14:paraId="5D94DC1A" w14:textId="77777777" w:rsidR="00E23964" w:rsidRDefault="00E23964">
            <w:pPr>
              <w:spacing w:before="480" w:after="480"/>
              <w:jc w:val="center"/>
              <w:rPr>
                <w:b/>
                <w:bCs/>
                <w:sz w:val="21"/>
                <w:szCs w:val="21"/>
              </w:rPr>
            </w:pPr>
            <w:r>
              <w:rPr>
                <w:b/>
                <w:bCs/>
                <w:sz w:val="21"/>
                <w:szCs w:val="21"/>
              </w:rPr>
              <w:t>Key Performance Indicators (KPIs)</w:t>
            </w:r>
          </w:p>
        </w:tc>
        <w:tc>
          <w:tcPr>
            <w:tcW w:w="2180" w:type="dxa"/>
            <w:tcBorders>
              <w:top w:val="single" w:sz="2" w:space="0" w:color="E5E7EB"/>
              <w:left w:val="single" w:sz="2" w:space="0" w:color="E5E7EB"/>
              <w:bottom w:val="single" w:sz="2" w:space="0" w:color="E5E7EB"/>
              <w:right w:val="single" w:sz="2" w:space="0" w:color="E5E7EB"/>
            </w:tcBorders>
            <w:noWrap/>
            <w:vAlign w:val="bottom"/>
            <w:hideMark/>
          </w:tcPr>
          <w:p w14:paraId="32CCB207" w14:textId="77777777" w:rsidR="00E23964" w:rsidRDefault="00E23964">
            <w:pPr>
              <w:spacing w:before="480" w:after="480"/>
              <w:jc w:val="center"/>
              <w:rPr>
                <w:b/>
                <w:bCs/>
                <w:sz w:val="21"/>
                <w:szCs w:val="21"/>
              </w:rPr>
            </w:pPr>
            <w:r>
              <w:rPr>
                <w:b/>
                <w:bCs/>
                <w:sz w:val="21"/>
                <w:szCs w:val="21"/>
              </w:rPr>
              <w:t>Indicative Targets</w:t>
            </w:r>
          </w:p>
        </w:tc>
        <w:tc>
          <w:tcPr>
            <w:tcW w:w="2230" w:type="dxa"/>
            <w:tcBorders>
              <w:top w:val="single" w:sz="2" w:space="0" w:color="E5E7EB"/>
              <w:left w:val="single" w:sz="2" w:space="0" w:color="E5E7EB"/>
              <w:bottom w:val="single" w:sz="2" w:space="0" w:color="E5E7EB"/>
              <w:right w:val="single" w:sz="2" w:space="0" w:color="E5E7EB"/>
            </w:tcBorders>
            <w:noWrap/>
            <w:vAlign w:val="bottom"/>
            <w:hideMark/>
          </w:tcPr>
          <w:p w14:paraId="71D6958D" w14:textId="77777777" w:rsidR="00E23964" w:rsidRDefault="00E23964">
            <w:pPr>
              <w:spacing w:before="480" w:after="480"/>
              <w:jc w:val="center"/>
              <w:rPr>
                <w:b/>
                <w:bCs/>
                <w:sz w:val="21"/>
                <w:szCs w:val="21"/>
              </w:rPr>
            </w:pPr>
            <w:r>
              <w:rPr>
                <w:b/>
                <w:bCs/>
                <w:sz w:val="21"/>
                <w:szCs w:val="21"/>
              </w:rPr>
              <w:t>Strategic Initiatives</w:t>
            </w:r>
          </w:p>
        </w:tc>
      </w:tr>
      <w:tr w:rsidR="00E23964" w14:paraId="5450C273" w14:textId="77777777" w:rsidTr="00E23964">
        <w:tc>
          <w:tcPr>
            <w:tcW w:w="0" w:type="auto"/>
            <w:tcBorders>
              <w:top w:val="single" w:sz="2" w:space="0" w:color="E5E7EB"/>
              <w:left w:val="single" w:sz="2" w:space="0" w:color="E5E7EB"/>
              <w:bottom w:val="single" w:sz="2" w:space="0" w:color="E5E7EB"/>
              <w:right w:val="single" w:sz="2" w:space="0" w:color="E5E7EB"/>
            </w:tcBorders>
            <w:vAlign w:val="bottom"/>
            <w:hideMark/>
          </w:tcPr>
          <w:p w14:paraId="7BFCCE59" w14:textId="77777777" w:rsidR="00E23964" w:rsidRDefault="00E23964">
            <w:pPr>
              <w:spacing w:before="480" w:after="480"/>
              <w:rPr>
                <w:sz w:val="21"/>
                <w:szCs w:val="21"/>
              </w:rPr>
            </w:pPr>
            <w:r>
              <w:rPr>
                <w:sz w:val="21"/>
                <w:szCs w:val="21"/>
              </w:rPr>
              <w:t>Financial</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C851B61" w14:textId="77777777" w:rsidR="00E23964" w:rsidRDefault="00E23964">
            <w:pPr>
              <w:spacing w:before="480" w:after="480"/>
              <w:rPr>
                <w:sz w:val="21"/>
                <w:szCs w:val="21"/>
              </w:rPr>
            </w:pPr>
            <w:r>
              <w:rPr>
                <w:sz w:val="21"/>
                <w:szCs w:val="21"/>
              </w:rPr>
              <w:t>Sustain profitable growth while maintaining low prices</w:t>
            </w:r>
          </w:p>
        </w:tc>
        <w:tc>
          <w:tcPr>
            <w:tcW w:w="2411" w:type="dxa"/>
            <w:tcBorders>
              <w:top w:val="single" w:sz="2" w:space="0" w:color="E5E7EB"/>
              <w:left w:val="single" w:sz="2" w:space="0" w:color="E5E7EB"/>
              <w:bottom w:val="single" w:sz="2" w:space="0" w:color="E5E7EB"/>
              <w:right w:val="single" w:sz="2" w:space="0" w:color="E5E7EB"/>
            </w:tcBorders>
            <w:vAlign w:val="bottom"/>
            <w:hideMark/>
          </w:tcPr>
          <w:p w14:paraId="09781336" w14:textId="77777777" w:rsidR="00E23964" w:rsidRDefault="00E23964">
            <w:pPr>
              <w:spacing w:before="480" w:after="480"/>
              <w:rPr>
                <w:sz w:val="21"/>
                <w:szCs w:val="21"/>
              </w:rPr>
            </w:pPr>
            <w:r>
              <w:rPr>
                <w:sz w:val="21"/>
                <w:szCs w:val="21"/>
              </w:rPr>
              <w:t>Revenue growth, operating margin, return on capital employed</w:t>
            </w:r>
          </w:p>
        </w:tc>
        <w:tc>
          <w:tcPr>
            <w:tcW w:w="2180" w:type="dxa"/>
            <w:tcBorders>
              <w:top w:val="single" w:sz="2" w:space="0" w:color="E5E7EB"/>
              <w:left w:val="single" w:sz="2" w:space="0" w:color="E5E7EB"/>
              <w:bottom w:val="single" w:sz="2" w:space="0" w:color="E5E7EB"/>
              <w:right w:val="single" w:sz="2" w:space="0" w:color="E5E7EB"/>
            </w:tcBorders>
            <w:vAlign w:val="bottom"/>
            <w:hideMark/>
          </w:tcPr>
          <w:p w14:paraId="5E85B038" w14:textId="77777777" w:rsidR="00E23964" w:rsidRDefault="00E23964">
            <w:pPr>
              <w:spacing w:before="480" w:after="480"/>
              <w:rPr>
                <w:sz w:val="21"/>
                <w:szCs w:val="21"/>
              </w:rPr>
            </w:pPr>
            <w:r>
              <w:rPr>
                <w:sz w:val="21"/>
                <w:szCs w:val="21"/>
              </w:rPr>
              <w:t>Revenue growth 5–7%; operating margin 10–12%</w:t>
            </w:r>
          </w:p>
        </w:tc>
        <w:tc>
          <w:tcPr>
            <w:tcW w:w="2230" w:type="dxa"/>
            <w:tcBorders>
              <w:top w:val="single" w:sz="2" w:space="0" w:color="E5E7EB"/>
              <w:left w:val="single" w:sz="2" w:space="0" w:color="E5E7EB"/>
              <w:bottom w:val="single" w:sz="2" w:space="0" w:color="E5E7EB"/>
              <w:right w:val="single" w:sz="2" w:space="0" w:color="E5E7EB"/>
            </w:tcBorders>
            <w:vAlign w:val="bottom"/>
            <w:hideMark/>
          </w:tcPr>
          <w:p w14:paraId="49C637A0" w14:textId="77777777" w:rsidR="00E23964" w:rsidRDefault="00E23964">
            <w:pPr>
              <w:spacing w:before="480" w:after="480"/>
              <w:rPr>
                <w:sz w:val="21"/>
                <w:szCs w:val="21"/>
              </w:rPr>
            </w:pPr>
            <w:r>
              <w:rPr>
                <w:sz w:val="21"/>
                <w:szCs w:val="21"/>
              </w:rPr>
              <w:t xml:space="preserve">Cost </w:t>
            </w:r>
            <w:proofErr w:type="spellStart"/>
            <w:r>
              <w:rPr>
                <w:sz w:val="21"/>
                <w:szCs w:val="21"/>
              </w:rPr>
              <w:t>optimisation</w:t>
            </w:r>
            <w:proofErr w:type="spellEnd"/>
            <w:r>
              <w:rPr>
                <w:sz w:val="21"/>
                <w:szCs w:val="21"/>
              </w:rPr>
              <w:t>, nearshoring, economies of scale, reinvestment in sustainability</w:t>
            </w:r>
          </w:p>
        </w:tc>
      </w:tr>
      <w:tr w:rsidR="00E23964" w14:paraId="0DEFFE77" w14:textId="77777777" w:rsidTr="00E23964">
        <w:tc>
          <w:tcPr>
            <w:tcW w:w="0" w:type="auto"/>
            <w:tcBorders>
              <w:top w:val="single" w:sz="2" w:space="0" w:color="E5E7EB"/>
              <w:left w:val="single" w:sz="2" w:space="0" w:color="E5E7EB"/>
              <w:bottom w:val="single" w:sz="2" w:space="0" w:color="E5E7EB"/>
              <w:right w:val="single" w:sz="2" w:space="0" w:color="E5E7EB"/>
            </w:tcBorders>
            <w:vAlign w:val="bottom"/>
            <w:hideMark/>
          </w:tcPr>
          <w:p w14:paraId="3940A100" w14:textId="77777777" w:rsidR="00E23964" w:rsidRDefault="00E23964">
            <w:pPr>
              <w:spacing w:before="480" w:after="480"/>
              <w:rPr>
                <w:sz w:val="21"/>
                <w:szCs w:val="21"/>
              </w:rPr>
            </w:pPr>
            <w:r>
              <w:rPr>
                <w:sz w:val="21"/>
                <w:szCs w:val="21"/>
              </w:rPr>
              <w:t>Customer</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F6D5410" w14:textId="77777777" w:rsidR="00E23964" w:rsidRDefault="00E23964">
            <w:pPr>
              <w:spacing w:before="480" w:after="480"/>
              <w:rPr>
                <w:sz w:val="21"/>
                <w:szCs w:val="21"/>
              </w:rPr>
            </w:pPr>
            <w:r>
              <w:rPr>
                <w:sz w:val="21"/>
                <w:szCs w:val="21"/>
              </w:rPr>
              <w:t>Improve satisfaction, accessibility, and omnichannel experience</w:t>
            </w:r>
          </w:p>
        </w:tc>
        <w:tc>
          <w:tcPr>
            <w:tcW w:w="2411" w:type="dxa"/>
            <w:tcBorders>
              <w:top w:val="single" w:sz="2" w:space="0" w:color="E5E7EB"/>
              <w:left w:val="single" w:sz="2" w:space="0" w:color="E5E7EB"/>
              <w:bottom w:val="single" w:sz="2" w:space="0" w:color="E5E7EB"/>
              <w:right w:val="single" w:sz="2" w:space="0" w:color="E5E7EB"/>
            </w:tcBorders>
            <w:vAlign w:val="bottom"/>
            <w:hideMark/>
          </w:tcPr>
          <w:p w14:paraId="203EEC91" w14:textId="77777777" w:rsidR="00E23964" w:rsidRDefault="00E23964">
            <w:pPr>
              <w:spacing w:before="480" w:after="480"/>
              <w:rPr>
                <w:sz w:val="21"/>
                <w:szCs w:val="21"/>
              </w:rPr>
            </w:pPr>
            <w:r>
              <w:rPr>
                <w:sz w:val="21"/>
                <w:szCs w:val="21"/>
              </w:rPr>
              <w:t>Net Promoter Score, online sales penetration, store footfall</w:t>
            </w:r>
          </w:p>
        </w:tc>
        <w:tc>
          <w:tcPr>
            <w:tcW w:w="2180" w:type="dxa"/>
            <w:tcBorders>
              <w:top w:val="single" w:sz="2" w:space="0" w:color="E5E7EB"/>
              <w:left w:val="single" w:sz="2" w:space="0" w:color="E5E7EB"/>
              <w:bottom w:val="single" w:sz="2" w:space="0" w:color="E5E7EB"/>
              <w:right w:val="single" w:sz="2" w:space="0" w:color="E5E7EB"/>
            </w:tcBorders>
            <w:vAlign w:val="bottom"/>
            <w:hideMark/>
          </w:tcPr>
          <w:p w14:paraId="290628CE" w14:textId="77777777" w:rsidR="00E23964" w:rsidRDefault="00E23964">
            <w:pPr>
              <w:spacing w:before="480" w:after="480"/>
              <w:rPr>
                <w:sz w:val="21"/>
                <w:szCs w:val="21"/>
              </w:rPr>
            </w:pPr>
            <w:r>
              <w:rPr>
                <w:sz w:val="21"/>
                <w:szCs w:val="21"/>
              </w:rPr>
              <w:t>NPS &gt;50; online sales 30% by 2025</w:t>
            </w:r>
          </w:p>
        </w:tc>
        <w:tc>
          <w:tcPr>
            <w:tcW w:w="2230" w:type="dxa"/>
            <w:tcBorders>
              <w:top w:val="single" w:sz="2" w:space="0" w:color="E5E7EB"/>
              <w:left w:val="single" w:sz="2" w:space="0" w:color="E5E7EB"/>
              <w:bottom w:val="single" w:sz="2" w:space="0" w:color="E5E7EB"/>
              <w:right w:val="single" w:sz="2" w:space="0" w:color="E5E7EB"/>
            </w:tcBorders>
            <w:vAlign w:val="bottom"/>
            <w:hideMark/>
          </w:tcPr>
          <w:p w14:paraId="6C582E2A" w14:textId="77777777" w:rsidR="00E23964" w:rsidRDefault="00E23964">
            <w:pPr>
              <w:spacing w:before="480" w:after="480"/>
              <w:rPr>
                <w:sz w:val="21"/>
                <w:szCs w:val="21"/>
              </w:rPr>
            </w:pPr>
            <w:r>
              <w:rPr>
                <w:sz w:val="21"/>
                <w:szCs w:val="21"/>
              </w:rPr>
              <w:t>Urban-format stores, IKEA app enhancement, AR-supported shopping</w:t>
            </w:r>
          </w:p>
        </w:tc>
      </w:tr>
      <w:tr w:rsidR="00E23964" w14:paraId="60E9497F" w14:textId="77777777" w:rsidTr="00E23964">
        <w:tc>
          <w:tcPr>
            <w:tcW w:w="0" w:type="auto"/>
            <w:tcBorders>
              <w:top w:val="single" w:sz="2" w:space="0" w:color="E5E7EB"/>
              <w:left w:val="single" w:sz="2" w:space="0" w:color="E5E7EB"/>
              <w:bottom w:val="single" w:sz="2" w:space="0" w:color="E5E7EB"/>
              <w:right w:val="single" w:sz="2" w:space="0" w:color="E5E7EB"/>
            </w:tcBorders>
            <w:vAlign w:val="bottom"/>
            <w:hideMark/>
          </w:tcPr>
          <w:p w14:paraId="4B01E2C9" w14:textId="77777777" w:rsidR="00E23964" w:rsidRDefault="00E23964">
            <w:pPr>
              <w:spacing w:before="480" w:after="480"/>
              <w:rPr>
                <w:sz w:val="21"/>
                <w:szCs w:val="21"/>
              </w:rPr>
            </w:pPr>
            <w:r>
              <w:rPr>
                <w:sz w:val="21"/>
                <w:szCs w:val="21"/>
              </w:rPr>
              <w:t>Internal Business Processes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26624C5" w14:textId="77777777" w:rsidR="00E23964" w:rsidRDefault="00E23964">
            <w:pPr>
              <w:spacing w:before="480" w:after="480"/>
              <w:rPr>
                <w:sz w:val="21"/>
                <w:szCs w:val="21"/>
              </w:rPr>
            </w:pPr>
            <w:r>
              <w:rPr>
                <w:sz w:val="21"/>
                <w:szCs w:val="21"/>
              </w:rPr>
              <w:t>Increase efficiency, innovation, and sustainability integration</w:t>
            </w:r>
          </w:p>
        </w:tc>
        <w:tc>
          <w:tcPr>
            <w:tcW w:w="2411" w:type="dxa"/>
            <w:tcBorders>
              <w:top w:val="single" w:sz="2" w:space="0" w:color="E5E7EB"/>
              <w:left w:val="single" w:sz="2" w:space="0" w:color="E5E7EB"/>
              <w:bottom w:val="single" w:sz="2" w:space="0" w:color="E5E7EB"/>
              <w:right w:val="single" w:sz="2" w:space="0" w:color="E5E7EB"/>
            </w:tcBorders>
            <w:vAlign w:val="bottom"/>
            <w:hideMark/>
          </w:tcPr>
          <w:p w14:paraId="439D54AF" w14:textId="77777777" w:rsidR="00E23964" w:rsidRDefault="00E23964">
            <w:pPr>
              <w:spacing w:before="480" w:after="480"/>
              <w:rPr>
                <w:sz w:val="21"/>
                <w:szCs w:val="21"/>
              </w:rPr>
            </w:pPr>
            <w:r>
              <w:rPr>
                <w:sz w:val="21"/>
                <w:szCs w:val="21"/>
              </w:rPr>
              <w:t>Inventory turnover, circular product percentage, supplier compliance</w:t>
            </w:r>
          </w:p>
        </w:tc>
        <w:tc>
          <w:tcPr>
            <w:tcW w:w="2180" w:type="dxa"/>
            <w:tcBorders>
              <w:top w:val="single" w:sz="2" w:space="0" w:color="E5E7EB"/>
              <w:left w:val="single" w:sz="2" w:space="0" w:color="E5E7EB"/>
              <w:bottom w:val="single" w:sz="2" w:space="0" w:color="E5E7EB"/>
              <w:right w:val="single" w:sz="2" w:space="0" w:color="E5E7EB"/>
            </w:tcBorders>
            <w:vAlign w:val="bottom"/>
            <w:hideMark/>
          </w:tcPr>
          <w:p w14:paraId="05C6A37B" w14:textId="77777777" w:rsidR="00E23964" w:rsidRDefault="00E23964">
            <w:pPr>
              <w:spacing w:before="480" w:after="480"/>
              <w:rPr>
                <w:sz w:val="21"/>
                <w:szCs w:val="21"/>
              </w:rPr>
            </w:pPr>
            <w:r>
              <w:rPr>
                <w:sz w:val="21"/>
                <w:szCs w:val="21"/>
              </w:rPr>
              <w:t>Inventory turnover 8x; 100% circular products by 2030</w:t>
            </w:r>
          </w:p>
        </w:tc>
        <w:tc>
          <w:tcPr>
            <w:tcW w:w="2230" w:type="dxa"/>
            <w:tcBorders>
              <w:top w:val="single" w:sz="2" w:space="0" w:color="E5E7EB"/>
              <w:left w:val="single" w:sz="2" w:space="0" w:color="E5E7EB"/>
              <w:bottom w:val="single" w:sz="2" w:space="0" w:color="E5E7EB"/>
              <w:right w:val="single" w:sz="2" w:space="0" w:color="E5E7EB"/>
            </w:tcBorders>
            <w:vAlign w:val="bottom"/>
            <w:hideMark/>
          </w:tcPr>
          <w:p w14:paraId="307A5A5C" w14:textId="77777777" w:rsidR="00E23964" w:rsidRDefault="00E23964">
            <w:pPr>
              <w:spacing w:before="480" w:after="480"/>
              <w:rPr>
                <w:sz w:val="21"/>
                <w:szCs w:val="21"/>
              </w:rPr>
            </w:pPr>
            <w:r>
              <w:rPr>
                <w:sz w:val="21"/>
                <w:szCs w:val="21"/>
              </w:rPr>
              <w:t xml:space="preserve">AI forecasting, automated fulfilment </w:t>
            </w:r>
            <w:proofErr w:type="spellStart"/>
            <w:r>
              <w:rPr>
                <w:sz w:val="21"/>
                <w:szCs w:val="21"/>
              </w:rPr>
              <w:t>centres</w:t>
            </w:r>
            <w:proofErr w:type="spellEnd"/>
            <w:r>
              <w:rPr>
                <w:sz w:val="21"/>
                <w:szCs w:val="21"/>
              </w:rPr>
              <w:t>, blockchain-based traceability</w:t>
            </w:r>
          </w:p>
        </w:tc>
      </w:tr>
      <w:tr w:rsidR="00E23964" w14:paraId="5A3E5D6E" w14:textId="77777777" w:rsidTr="00E23964">
        <w:tc>
          <w:tcPr>
            <w:tcW w:w="0" w:type="auto"/>
            <w:tcBorders>
              <w:top w:val="single" w:sz="2" w:space="0" w:color="E5E7EB"/>
              <w:left w:val="single" w:sz="2" w:space="0" w:color="E5E7EB"/>
              <w:bottom w:val="single" w:sz="2" w:space="0" w:color="E5E7EB"/>
              <w:right w:val="single" w:sz="2" w:space="0" w:color="E5E7EB"/>
            </w:tcBorders>
            <w:vAlign w:val="bottom"/>
            <w:hideMark/>
          </w:tcPr>
          <w:p w14:paraId="70B57150" w14:textId="77777777" w:rsidR="00E23964" w:rsidRDefault="00E23964">
            <w:pPr>
              <w:spacing w:before="480" w:after="480"/>
              <w:rPr>
                <w:sz w:val="21"/>
                <w:szCs w:val="21"/>
              </w:rPr>
            </w:pPr>
            <w:r>
              <w:rPr>
                <w:sz w:val="21"/>
                <w:szCs w:val="21"/>
              </w:rPr>
              <w:t>Learning and Growth</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7BC904A4" w14:textId="77777777" w:rsidR="00E23964" w:rsidRDefault="00E23964">
            <w:pPr>
              <w:spacing w:before="480" w:after="480"/>
              <w:rPr>
                <w:sz w:val="21"/>
                <w:szCs w:val="21"/>
              </w:rPr>
            </w:pPr>
            <w:proofErr w:type="gramStart"/>
            <w:r>
              <w:rPr>
                <w:sz w:val="21"/>
                <w:szCs w:val="21"/>
              </w:rPr>
              <w:t>Strengthen</w:t>
            </w:r>
            <w:proofErr w:type="gramEnd"/>
            <w:r>
              <w:rPr>
                <w:sz w:val="21"/>
                <w:szCs w:val="21"/>
              </w:rPr>
              <w:t xml:space="preserve"> workforce capability, innovation culture, and digital readiness</w:t>
            </w:r>
          </w:p>
        </w:tc>
        <w:tc>
          <w:tcPr>
            <w:tcW w:w="2411" w:type="dxa"/>
            <w:tcBorders>
              <w:top w:val="single" w:sz="2" w:space="0" w:color="E5E7EB"/>
              <w:left w:val="single" w:sz="2" w:space="0" w:color="E5E7EB"/>
              <w:bottom w:val="single" w:sz="2" w:space="0" w:color="E5E7EB"/>
              <w:right w:val="single" w:sz="2" w:space="0" w:color="E5E7EB"/>
            </w:tcBorders>
            <w:vAlign w:val="bottom"/>
            <w:hideMark/>
          </w:tcPr>
          <w:p w14:paraId="69C40E12" w14:textId="77777777" w:rsidR="00E23964" w:rsidRDefault="00E23964">
            <w:pPr>
              <w:spacing w:before="480" w:after="480"/>
              <w:rPr>
                <w:sz w:val="21"/>
                <w:szCs w:val="21"/>
              </w:rPr>
            </w:pPr>
            <w:r>
              <w:rPr>
                <w:sz w:val="21"/>
                <w:szCs w:val="21"/>
              </w:rPr>
              <w:t>Employee engagement, internal promotion rate, training investment</w:t>
            </w:r>
          </w:p>
        </w:tc>
        <w:tc>
          <w:tcPr>
            <w:tcW w:w="2180" w:type="dxa"/>
            <w:tcBorders>
              <w:top w:val="single" w:sz="2" w:space="0" w:color="E5E7EB"/>
              <w:left w:val="single" w:sz="2" w:space="0" w:color="E5E7EB"/>
              <w:bottom w:val="single" w:sz="2" w:space="0" w:color="E5E7EB"/>
              <w:right w:val="single" w:sz="2" w:space="0" w:color="E5E7EB"/>
            </w:tcBorders>
            <w:vAlign w:val="bottom"/>
            <w:hideMark/>
          </w:tcPr>
          <w:p w14:paraId="215CCA8B" w14:textId="77777777" w:rsidR="00E23964" w:rsidRDefault="00E23964">
            <w:pPr>
              <w:spacing w:before="480" w:after="480"/>
              <w:rPr>
                <w:sz w:val="21"/>
                <w:szCs w:val="21"/>
              </w:rPr>
            </w:pPr>
            <w:r>
              <w:rPr>
                <w:sz w:val="21"/>
                <w:szCs w:val="21"/>
              </w:rPr>
              <w:t>Employee engagement &gt;70%</w:t>
            </w:r>
          </w:p>
        </w:tc>
        <w:tc>
          <w:tcPr>
            <w:tcW w:w="2230" w:type="dxa"/>
            <w:tcBorders>
              <w:top w:val="single" w:sz="2" w:space="0" w:color="E5E7EB"/>
              <w:left w:val="single" w:sz="2" w:space="0" w:color="E5E7EB"/>
              <w:bottom w:val="single" w:sz="2" w:space="0" w:color="E5E7EB"/>
              <w:right w:val="single" w:sz="2" w:space="0" w:color="E5E7EB"/>
            </w:tcBorders>
            <w:vAlign w:val="bottom"/>
            <w:hideMark/>
          </w:tcPr>
          <w:p w14:paraId="7FD2EF96" w14:textId="77777777" w:rsidR="00E23964" w:rsidRDefault="00E23964">
            <w:pPr>
              <w:spacing w:before="480" w:after="480"/>
              <w:rPr>
                <w:sz w:val="21"/>
                <w:szCs w:val="21"/>
              </w:rPr>
            </w:pPr>
            <w:r>
              <w:rPr>
                <w:sz w:val="21"/>
                <w:szCs w:val="21"/>
              </w:rPr>
              <w:t>IKEA University, diversity and inclusion initiatives, digital skills development</w:t>
            </w:r>
          </w:p>
        </w:tc>
      </w:tr>
    </w:tbl>
    <w:p w14:paraId="25931C41" w14:textId="77777777" w:rsidR="004715E8" w:rsidRPr="00814D58" w:rsidRDefault="00E23964" w:rsidP="00091C1C">
      <w:pPr>
        <w:spacing w:line="360" w:lineRule="auto"/>
        <w:jc w:val="both"/>
        <w:rPr>
          <w:rFonts w:ascii="Arial" w:hAnsi="Arial" w:cs="Arial"/>
          <w:sz w:val="24"/>
          <w:szCs w:val="24"/>
        </w:rPr>
      </w:pPr>
      <w:r w:rsidRPr="00E23964">
        <w:rPr>
          <w:rFonts w:ascii="Arial" w:hAnsi="Arial" w:cs="Arial"/>
          <w:sz w:val="24"/>
          <w:szCs w:val="24"/>
        </w:rPr>
        <w:t>Source: Adapted from Kaplan and Norton (1992; 1996), Niven (2014), Inter IKEA Group (2024).</w:t>
      </w:r>
    </w:p>
    <w:p w14:paraId="17AFB48B" w14:textId="77777777" w:rsidR="00862733" w:rsidRDefault="00862733">
      <w:pPr>
        <w:rPr>
          <w:rFonts w:ascii="Arial" w:hAnsi="Arial" w:cs="Arial"/>
          <w:b/>
          <w:bCs/>
          <w:sz w:val="24"/>
          <w:szCs w:val="24"/>
        </w:rPr>
      </w:pPr>
      <w:r>
        <w:rPr>
          <w:rFonts w:ascii="Arial" w:hAnsi="Arial" w:cs="Arial"/>
          <w:b/>
          <w:bCs/>
          <w:sz w:val="24"/>
          <w:szCs w:val="24"/>
        </w:rPr>
        <w:br w:type="page"/>
      </w:r>
    </w:p>
    <w:p w14:paraId="4AAE048C"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lastRenderedPageBreak/>
        <w:t>5.0 Strategic Choices and Implementation.</w:t>
      </w:r>
    </w:p>
    <w:p w14:paraId="10F156B7"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5.1 Business-Level Strategy</w:t>
      </w:r>
    </w:p>
    <w:p w14:paraId="15985485"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Using the generic strategies framework introduced by Porter (1985), IKEA follows a wide variety of cost leadership </w:t>
      </w:r>
      <w:proofErr w:type="gramStart"/>
      <w:r w:rsidRPr="00C723A3">
        <w:rPr>
          <w:rFonts w:ascii="Arial" w:hAnsi="Arial" w:cs="Arial"/>
          <w:sz w:val="24"/>
          <w:szCs w:val="24"/>
        </w:rPr>
        <w:t>strategy</w:t>
      </w:r>
      <w:proofErr w:type="gramEnd"/>
      <w:r w:rsidRPr="00C723A3">
        <w:rPr>
          <w:rFonts w:ascii="Arial" w:hAnsi="Arial" w:cs="Arial"/>
          <w:sz w:val="24"/>
          <w:szCs w:val="24"/>
        </w:rPr>
        <w:t xml:space="preserve"> with some elements of differentiation commonly referred to as a best-cost provider strategy or integrated cost leadership/differentiation strategy (Thompson et al., 2020). The flat-pack design, the global sourcing, the economies of scale, and the customer co-creation of value through </w:t>
      </w:r>
      <w:proofErr w:type="gramStart"/>
      <w:r w:rsidRPr="00C723A3">
        <w:rPr>
          <w:rFonts w:ascii="Arial" w:hAnsi="Arial" w:cs="Arial"/>
          <w:sz w:val="24"/>
          <w:szCs w:val="24"/>
        </w:rPr>
        <w:t>the self</w:t>
      </w:r>
      <w:proofErr w:type="gramEnd"/>
      <w:r w:rsidRPr="00C723A3">
        <w:rPr>
          <w:rFonts w:ascii="Arial" w:hAnsi="Arial" w:cs="Arial"/>
          <w:sz w:val="24"/>
          <w:szCs w:val="24"/>
        </w:rPr>
        <w:t>-assembly and self-service help to establish the cost leadership. The distinction is achieved due to unique Scandinavian design aesthetics, experience store format and extensive room-showcase merchandising that gives customers inspiration and lowers the perceived risk of purchase.</w:t>
      </w:r>
    </w:p>
    <w:p w14:paraId="0FEF21F9"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Another option would be pure differentiation on high-quality and environmentally friendly furnishings. This, however, would go against the </w:t>
      </w:r>
      <w:proofErr w:type="spellStart"/>
      <w:r w:rsidRPr="00C723A3">
        <w:rPr>
          <w:rFonts w:ascii="Arial" w:hAnsi="Arial" w:cs="Arial"/>
          <w:sz w:val="24"/>
          <w:szCs w:val="24"/>
        </w:rPr>
        <w:t>democratising</w:t>
      </w:r>
      <w:proofErr w:type="spellEnd"/>
      <w:r w:rsidRPr="00C723A3">
        <w:rPr>
          <w:rFonts w:ascii="Arial" w:hAnsi="Arial" w:cs="Arial"/>
          <w:sz w:val="24"/>
          <w:szCs w:val="24"/>
        </w:rPr>
        <w:t xml:space="preserve"> mission of IKEA and disaffiliate its main customers. The suggested alternative is to continue with the integrated cost leadership/differentiation strategy and increase the differentiation aspect by maintaining better sustainability credentials and digital innovation, which have a larger role in consumer choice and are more justifiable than cost benefits on their own (Bowman and Faulkner, 1997). This is consistent with Bowman (1998) strategy clock model, which allows the hybrid position that is based on low price and differentiation as sustainable in case it is underlined by distinctive </w:t>
      </w:r>
      <w:proofErr w:type="spellStart"/>
      <w:r w:rsidRPr="00C723A3">
        <w:rPr>
          <w:rFonts w:ascii="Arial" w:hAnsi="Arial" w:cs="Arial"/>
          <w:sz w:val="24"/>
          <w:szCs w:val="24"/>
        </w:rPr>
        <w:t>organisational</w:t>
      </w:r>
      <w:proofErr w:type="spellEnd"/>
      <w:r w:rsidRPr="00C723A3">
        <w:rPr>
          <w:rFonts w:ascii="Arial" w:hAnsi="Arial" w:cs="Arial"/>
          <w:sz w:val="24"/>
          <w:szCs w:val="24"/>
        </w:rPr>
        <w:t xml:space="preserve"> competences.</w:t>
      </w:r>
    </w:p>
    <w:p w14:paraId="63F71503"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5.2 Corporate-Level Strategy</w:t>
      </w:r>
    </w:p>
    <w:p w14:paraId="18EDFFD7"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On the corporate level, IKEA engages in </w:t>
      </w:r>
      <w:proofErr w:type="gramStart"/>
      <w:r w:rsidRPr="00C723A3">
        <w:rPr>
          <w:rFonts w:ascii="Arial" w:hAnsi="Arial" w:cs="Arial"/>
          <w:sz w:val="24"/>
          <w:szCs w:val="24"/>
        </w:rPr>
        <w:t>other</w:t>
      </w:r>
      <w:proofErr w:type="gramEnd"/>
      <w:r w:rsidRPr="00C723A3">
        <w:rPr>
          <w:rFonts w:ascii="Arial" w:hAnsi="Arial" w:cs="Arial"/>
          <w:sz w:val="24"/>
          <w:szCs w:val="24"/>
        </w:rPr>
        <w:t xml:space="preserve"> diversification and globalization. Diversification is comprised of the food services (IKEA Food makes around EUR 2.3 billion a year) and smart home technology and finance services in some markets (Ansoff, 1987). The international expansion focuses on the emerging markets, with the intense investment in India, South America, and Southeast Asia.</w:t>
      </w:r>
    </w:p>
    <w:p w14:paraId="7D7C9638"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IKEA should focus on penetrating the high-growth existing markets (India, China) than on new geographies but should diversify into home services, including interior design consultancy, home furnishing subscriptions, and similar. Ansoff (1957) suggested that market penetration and product development was less risky </w:t>
      </w:r>
      <w:r w:rsidRPr="00C723A3">
        <w:rPr>
          <w:rFonts w:ascii="Arial" w:hAnsi="Arial" w:cs="Arial"/>
          <w:sz w:val="24"/>
          <w:szCs w:val="24"/>
        </w:rPr>
        <w:lastRenderedPageBreak/>
        <w:t>compared to market development and service diversification utilizes already existing brand equity and customer relationship. Home services are rated at more than 600 billion worldwide (IBISWorld, 2024), giving IKEA an opportunity to extend its revenue naturally.</w:t>
      </w:r>
    </w:p>
    <w:p w14:paraId="2F9BEE9C"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5.3 Change Management</w:t>
      </w:r>
    </w:p>
    <w:p w14:paraId="0C1DB1B7"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The strategic change management of IKEA has worked in certain aspects and failed in others. This process of transitioning an </w:t>
      </w:r>
      <w:proofErr w:type="spellStart"/>
      <w:r w:rsidRPr="00C723A3">
        <w:rPr>
          <w:rFonts w:ascii="Arial" w:hAnsi="Arial" w:cs="Arial"/>
          <w:sz w:val="24"/>
          <w:szCs w:val="24"/>
        </w:rPr>
        <w:t>organisation</w:t>
      </w:r>
      <w:proofErr w:type="spellEnd"/>
      <w:r w:rsidRPr="00C723A3">
        <w:rPr>
          <w:rFonts w:ascii="Arial" w:hAnsi="Arial" w:cs="Arial"/>
          <w:sz w:val="24"/>
          <w:szCs w:val="24"/>
        </w:rPr>
        <w:t xml:space="preserve"> that was founder-led into a professionally managed </w:t>
      </w:r>
      <w:proofErr w:type="spellStart"/>
      <w:r w:rsidRPr="00C723A3">
        <w:rPr>
          <w:rFonts w:ascii="Arial" w:hAnsi="Arial" w:cs="Arial"/>
          <w:sz w:val="24"/>
          <w:szCs w:val="24"/>
        </w:rPr>
        <w:t>organisation</w:t>
      </w:r>
      <w:proofErr w:type="spellEnd"/>
      <w:r w:rsidRPr="00C723A3">
        <w:rPr>
          <w:rFonts w:ascii="Arial" w:hAnsi="Arial" w:cs="Arial"/>
          <w:sz w:val="24"/>
          <w:szCs w:val="24"/>
        </w:rPr>
        <w:t xml:space="preserve"> was a gradual and successful process that showed the principles of urgency, forming a guiding coalition and ingraining change in the culture as practiced among Kotter (1996). The coronavirus stimulated the digitalization of IKEA as it demonstrated a quick readiness to increase the e-commerce activity. Nevertheless, exit out of Russia was fast necessitating mass operational alteration in the face of severe insecurity (Lewin, 1951).</w:t>
      </w:r>
    </w:p>
    <w:p w14:paraId="6A376131"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IKEA has a good </w:t>
      </w:r>
      <w:proofErr w:type="spellStart"/>
      <w:r w:rsidRPr="00C723A3">
        <w:rPr>
          <w:rFonts w:ascii="Arial" w:hAnsi="Arial" w:cs="Arial"/>
          <w:sz w:val="24"/>
          <w:szCs w:val="24"/>
        </w:rPr>
        <w:t>organisational</w:t>
      </w:r>
      <w:proofErr w:type="spellEnd"/>
      <w:r w:rsidRPr="00C723A3">
        <w:rPr>
          <w:rFonts w:ascii="Arial" w:hAnsi="Arial" w:cs="Arial"/>
          <w:sz w:val="24"/>
          <w:szCs w:val="24"/>
        </w:rPr>
        <w:t xml:space="preserve"> culture which is mostly an </w:t>
      </w:r>
      <w:proofErr w:type="gramStart"/>
      <w:r w:rsidRPr="00C723A3">
        <w:rPr>
          <w:rFonts w:ascii="Arial" w:hAnsi="Arial" w:cs="Arial"/>
          <w:sz w:val="24"/>
          <w:szCs w:val="24"/>
        </w:rPr>
        <w:t>advantage, but</w:t>
      </w:r>
      <w:proofErr w:type="gramEnd"/>
      <w:r w:rsidRPr="00C723A3">
        <w:rPr>
          <w:rFonts w:ascii="Arial" w:hAnsi="Arial" w:cs="Arial"/>
          <w:sz w:val="24"/>
          <w:szCs w:val="24"/>
        </w:rPr>
        <w:t xml:space="preserve"> may pose a change resistance (IKEA has a good </w:t>
      </w:r>
      <w:proofErr w:type="spellStart"/>
      <w:r w:rsidRPr="00C723A3">
        <w:rPr>
          <w:rFonts w:ascii="Arial" w:hAnsi="Arial" w:cs="Arial"/>
          <w:sz w:val="24"/>
          <w:szCs w:val="24"/>
        </w:rPr>
        <w:t>organisational</w:t>
      </w:r>
      <w:proofErr w:type="spellEnd"/>
      <w:r w:rsidRPr="00C723A3">
        <w:rPr>
          <w:rFonts w:ascii="Arial" w:hAnsi="Arial" w:cs="Arial"/>
          <w:sz w:val="24"/>
          <w:szCs w:val="24"/>
        </w:rPr>
        <w:t xml:space="preserve"> culture), as Handy (1993) classifies it as cultural web rigidity. The cultural web model created by Johnson (1992) points to the fact that the extensive use of the physical store experience by IKEA through the stories, symbols, and rituals inherent in the company can become an obstacle to the adoption of a fully digital-first approach. This is one of the key changes that management should focus on balancing store-centric advantages with omnichannel innovation.</w:t>
      </w:r>
    </w:p>
    <w:p w14:paraId="699878FA" w14:textId="77777777" w:rsidR="00091C1C" w:rsidRPr="006A6321" w:rsidRDefault="00091C1C" w:rsidP="00091C1C">
      <w:pPr>
        <w:spacing w:line="360" w:lineRule="auto"/>
        <w:jc w:val="both"/>
        <w:rPr>
          <w:rFonts w:ascii="Arial" w:hAnsi="Arial" w:cs="Arial"/>
          <w:b/>
          <w:bCs/>
          <w:sz w:val="24"/>
          <w:szCs w:val="24"/>
        </w:rPr>
      </w:pPr>
      <w:r w:rsidRPr="006A6321">
        <w:rPr>
          <w:rFonts w:ascii="Arial" w:hAnsi="Arial" w:cs="Arial"/>
          <w:b/>
          <w:bCs/>
          <w:sz w:val="24"/>
          <w:szCs w:val="24"/>
        </w:rPr>
        <w:t>6. Strategic Evaluation and Recommendations</w:t>
      </w:r>
    </w:p>
    <w:p w14:paraId="19660968" w14:textId="77777777" w:rsidR="00091C1C" w:rsidRPr="006A6321" w:rsidRDefault="00091C1C" w:rsidP="00091C1C">
      <w:pPr>
        <w:spacing w:line="360" w:lineRule="auto"/>
        <w:jc w:val="both"/>
        <w:rPr>
          <w:rFonts w:ascii="Arial" w:hAnsi="Arial" w:cs="Arial"/>
          <w:b/>
          <w:bCs/>
          <w:sz w:val="24"/>
          <w:szCs w:val="24"/>
        </w:rPr>
      </w:pPr>
      <w:r w:rsidRPr="006A6321">
        <w:rPr>
          <w:rFonts w:ascii="Arial" w:hAnsi="Arial" w:cs="Arial"/>
          <w:b/>
          <w:bCs/>
          <w:sz w:val="24"/>
          <w:szCs w:val="24"/>
        </w:rPr>
        <w:t>6.1 SWOT Analysis</w:t>
      </w:r>
    </w:p>
    <w:tbl>
      <w:tblPr>
        <w:tblStyle w:val="TableGrid"/>
        <w:tblW w:w="0" w:type="auto"/>
        <w:tblLook w:val="04A0" w:firstRow="1" w:lastRow="0" w:firstColumn="1" w:lastColumn="0" w:noHBand="0" w:noVBand="1"/>
      </w:tblPr>
      <w:tblGrid>
        <w:gridCol w:w="4496"/>
        <w:gridCol w:w="4746"/>
      </w:tblGrid>
      <w:tr w:rsidR="00091C1C" w:rsidRPr="006A6321" w14:paraId="437EB7A9" w14:textId="77777777" w:rsidTr="00ED4ABF">
        <w:tc>
          <w:tcPr>
            <w:tcW w:w="0" w:type="auto"/>
            <w:hideMark/>
          </w:tcPr>
          <w:p w14:paraId="7A83948C"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t>Strengths</w:t>
            </w:r>
          </w:p>
        </w:tc>
        <w:tc>
          <w:tcPr>
            <w:tcW w:w="0" w:type="auto"/>
            <w:hideMark/>
          </w:tcPr>
          <w:p w14:paraId="24E6C0C9"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t>Weaknesses</w:t>
            </w:r>
          </w:p>
        </w:tc>
      </w:tr>
      <w:tr w:rsidR="00091C1C" w:rsidRPr="006A6321" w14:paraId="20A1B4BB" w14:textId="77777777" w:rsidTr="00ED4ABF">
        <w:tc>
          <w:tcPr>
            <w:tcW w:w="0" w:type="auto"/>
            <w:hideMark/>
          </w:tcPr>
          <w:p w14:paraId="6F58A3A9"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t>Global brand recognition; cost-efficient supply chain; unique business model; foundation ownership enabling long-term investment; strong sustainability commitments</w:t>
            </w:r>
          </w:p>
        </w:tc>
        <w:tc>
          <w:tcPr>
            <w:tcW w:w="0" w:type="auto"/>
            <w:hideMark/>
          </w:tcPr>
          <w:p w14:paraId="368B7F5C"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t>E-commerce infrastructure lag versus digital-native competitors; quality perception challenges; supply chain over-reliance on certain geographies; limited premium market presence</w:t>
            </w:r>
          </w:p>
        </w:tc>
      </w:tr>
    </w:tbl>
    <w:p w14:paraId="769F2845" w14:textId="77777777" w:rsidR="00091C1C" w:rsidRPr="006A6321" w:rsidRDefault="00091C1C" w:rsidP="00091C1C">
      <w:pPr>
        <w:spacing w:line="360" w:lineRule="auto"/>
        <w:jc w:val="both"/>
        <w:rPr>
          <w:rFonts w:ascii="Arial" w:hAnsi="Arial" w:cs="Arial"/>
          <w:vanish/>
          <w:sz w:val="24"/>
          <w:szCs w:val="24"/>
        </w:rPr>
      </w:pPr>
    </w:p>
    <w:tbl>
      <w:tblPr>
        <w:tblStyle w:val="TableGrid"/>
        <w:tblW w:w="0" w:type="auto"/>
        <w:tblLook w:val="04A0" w:firstRow="1" w:lastRow="0" w:firstColumn="1" w:lastColumn="0" w:noHBand="0" w:noVBand="1"/>
      </w:tblPr>
      <w:tblGrid>
        <w:gridCol w:w="4534"/>
        <w:gridCol w:w="4708"/>
      </w:tblGrid>
      <w:tr w:rsidR="00091C1C" w:rsidRPr="006A6321" w14:paraId="7E0A23EB" w14:textId="77777777" w:rsidTr="00ED4ABF">
        <w:tc>
          <w:tcPr>
            <w:tcW w:w="0" w:type="auto"/>
            <w:hideMark/>
          </w:tcPr>
          <w:p w14:paraId="52D8E410"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t>Opportunities</w:t>
            </w:r>
          </w:p>
        </w:tc>
        <w:tc>
          <w:tcPr>
            <w:tcW w:w="0" w:type="auto"/>
            <w:hideMark/>
          </w:tcPr>
          <w:p w14:paraId="65B22389"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t>Threats</w:t>
            </w:r>
          </w:p>
        </w:tc>
      </w:tr>
      <w:tr w:rsidR="00091C1C" w:rsidRPr="006A6321" w14:paraId="3A33C523" w14:textId="77777777" w:rsidTr="00ED4ABF">
        <w:tc>
          <w:tcPr>
            <w:tcW w:w="0" w:type="auto"/>
            <w:hideMark/>
          </w:tcPr>
          <w:p w14:paraId="6610F6D0"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lastRenderedPageBreak/>
              <w:t>Emerging market expansion (India, Africa); circular economy and product-as-service models; smart home technology integration; urban format store expansion</w:t>
            </w:r>
          </w:p>
        </w:tc>
        <w:tc>
          <w:tcPr>
            <w:tcW w:w="0" w:type="auto"/>
            <w:hideMark/>
          </w:tcPr>
          <w:p w14:paraId="33D980ED" w14:textId="77777777" w:rsidR="00091C1C" w:rsidRPr="006A6321" w:rsidRDefault="00091C1C" w:rsidP="00ED4ABF">
            <w:pPr>
              <w:spacing w:after="160" w:line="360" w:lineRule="auto"/>
              <w:jc w:val="both"/>
              <w:rPr>
                <w:rFonts w:ascii="Arial" w:hAnsi="Arial" w:cs="Arial"/>
                <w:sz w:val="24"/>
                <w:szCs w:val="24"/>
              </w:rPr>
            </w:pPr>
            <w:r w:rsidRPr="006A6321">
              <w:rPr>
                <w:rFonts w:ascii="Arial" w:hAnsi="Arial" w:cs="Arial"/>
                <w:sz w:val="24"/>
                <w:szCs w:val="24"/>
              </w:rPr>
              <w:t>Intensifying online competition; geopolitical instability disrupting supply chains; raw material cost inflation; changing consumer preferences toward experience over ownership</w:t>
            </w:r>
          </w:p>
        </w:tc>
      </w:tr>
    </w:tbl>
    <w:p w14:paraId="6F1E9CAA" w14:textId="77777777" w:rsidR="00091C1C" w:rsidRPr="00C723A3" w:rsidRDefault="00E23964" w:rsidP="00196421">
      <w:pPr>
        <w:spacing w:line="360" w:lineRule="auto"/>
        <w:jc w:val="center"/>
        <w:rPr>
          <w:rFonts w:ascii="Arial" w:hAnsi="Arial" w:cs="Arial"/>
          <w:sz w:val="24"/>
          <w:szCs w:val="24"/>
        </w:rPr>
      </w:pPr>
      <w:r>
        <w:rPr>
          <w:rFonts w:ascii="Arial" w:hAnsi="Arial" w:cs="Arial"/>
          <w:sz w:val="24"/>
          <w:szCs w:val="24"/>
        </w:rPr>
        <w:t>Table 4</w:t>
      </w:r>
      <w:r w:rsidR="00196421" w:rsidRPr="00196421">
        <w:rPr>
          <w:rFonts w:ascii="Arial" w:hAnsi="Arial" w:cs="Arial"/>
          <w:sz w:val="24"/>
          <w:szCs w:val="24"/>
        </w:rPr>
        <w:t>. SWOT summary for IKEA</w:t>
      </w:r>
    </w:p>
    <w:p w14:paraId="046D1481"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This SWOT analysis shows that there is a strategic fit between the strengths of IKEA and the opportunities available, </w:t>
      </w:r>
      <w:proofErr w:type="gramStart"/>
      <w:r w:rsidRPr="00C723A3">
        <w:rPr>
          <w:rFonts w:ascii="Arial" w:hAnsi="Arial" w:cs="Arial"/>
          <w:sz w:val="24"/>
          <w:szCs w:val="24"/>
        </w:rPr>
        <w:t>and also</w:t>
      </w:r>
      <w:proofErr w:type="gramEnd"/>
      <w:r w:rsidRPr="00C723A3">
        <w:rPr>
          <w:rFonts w:ascii="Arial" w:hAnsi="Arial" w:cs="Arial"/>
          <w:sz w:val="24"/>
          <w:szCs w:val="24"/>
        </w:rPr>
        <w:t xml:space="preserve"> shows the vulnerabilities where weaknesses come into play with the threats, with the most notable being the nexus of limited e-commerce infrastructure and increased online competition (Helms and Nixon, 2010).</w:t>
      </w:r>
    </w:p>
    <w:p w14:paraId="67B85E52"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6.2 BCG Matrix Application</w:t>
      </w:r>
    </w:p>
    <w:p w14:paraId="2707583E" w14:textId="77777777" w:rsidR="00E23964" w:rsidRDefault="00E23964" w:rsidP="00091C1C">
      <w:pPr>
        <w:spacing w:line="360" w:lineRule="auto"/>
        <w:jc w:val="both"/>
        <w:rPr>
          <w:rFonts w:ascii="Arial" w:hAnsi="Arial" w:cs="Arial"/>
          <w:sz w:val="24"/>
          <w:szCs w:val="24"/>
        </w:rPr>
      </w:pPr>
      <w:r w:rsidRPr="00E23964">
        <w:rPr>
          <w:rFonts w:ascii="Arial" w:hAnsi="Arial" w:cs="Arial"/>
          <w:sz w:val="24"/>
          <w:szCs w:val="24"/>
        </w:rPr>
        <w:t xml:space="preserve">Following the application of the BCG Matrix (Henderson, 1979), IKEA core furniture business in the mature Western European markets would portray a Cash Cow, which produces high cash flows at a desired growth at moderate rates. Question Marks are the operations in India and Southeast Asia, and it would need a substantial amount of investment with unpredictable yet possibly high returns. The high growth and rising power in the market make the smart home product range a Star. Dogs may be legacy product lines whose demand is reducing and which </w:t>
      </w:r>
      <w:proofErr w:type="gramStart"/>
      <w:r w:rsidRPr="00E23964">
        <w:rPr>
          <w:rFonts w:ascii="Arial" w:hAnsi="Arial" w:cs="Arial"/>
          <w:sz w:val="24"/>
          <w:szCs w:val="24"/>
        </w:rPr>
        <w:t>are in need of</w:t>
      </w:r>
      <w:proofErr w:type="gramEnd"/>
      <w:r w:rsidRPr="00E23964">
        <w:rPr>
          <w:rFonts w:ascii="Arial" w:hAnsi="Arial" w:cs="Arial"/>
          <w:sz w:val="24"/>
          <w:szCs w:val="24"/>
        </w:rPr>
        <w:t xml:space="preserve"> </w:t>
      </w:r>
      <w:proofErr w:type="spellStart"/>
      <w:r w:rsidRPr="00E23964">
        <w:rPr>
          <w:rFonts w:ascii="Arial" w:hAnsi="Arial" w:cs="Arial"/>
          <w:sz w:val="24"/>
          <w:szCs w:val="24"/>
        </w:rPr>
        <w:t>rationalisation</w:t>
      </w:r>
      <w:proofErr w:type="spellEnd"/>
      <w:r w:rsidRPr="00E23964">
        <w:rPr>
          <w:rFonts w:ascii="Arial" w:hAnsi="Arial" w:cs="Arial"/>
          <w:sz w:val="24"/>
          <w:szCs w:val="24"/>
        </w:rPr>
        <w:t>. Portfolio management is supposed to direct cash flows in the European Cash Cows to develop Question Marks in the emerging markets and maintain Stars in smart home technology (Hambrick, MacMillan and Day, 1982; Henderson, 1979; Lynch, 2021).</w:t>
      </w:r>
    </w:p>
    <w:p w14:paraId="5FD0FDF1"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6.3 Ansoff's Matrix Application</w:t>
      </w:r>
    </w:p>
    <w:p w14:paraId="6FAAE1F6" w14:textId="77777777" w:rsidR="00E23964" w:rsidRDefault="00E23964" w:rsidP="00091C1C">
      <w:pPr>
        <w:spacing w:line="360" w:lineRule="auto"/>
        <w:jc w:val="both"/>
        <w:rPr>
          <w:rFonts w:ascii="Arial" w:hAnsi="Arial" w:cs="Arial"/>
          <w:sz w:val="24"/>
          <w:szCs w:val="24"/>
        </w:rPr>
      </w:pPr>
      <w:r w:rsidRPr="00E23964">
        <w:rPr>
          <w:rFonts w:ascii="Arial" w:hAnsi="Arial" w:cs="Arial"/>
          <w:sz w:val="24"/>
          <w:szCs w:val="24"/>
        </w:rPr>
        <w:t xml:space="preserve">Using the framework of Ansoff (1957), IKEA is practicing market penetration (increasing the share in the already existing market through e-commerce), market development (entering Indian and South American markets), product development (smart home and sustainable material), and selective diversification (home services and food retailing). Although ambitious and strategically consistent considering the financial capacity and brand equity of IKEA, the need to pursue several avenues of growth at once may lead to a strategic watering down and scattering of resources, </w:t>
      </w:r>
      <w:r w:rsidRPr="00E23964">
        <w:rPr>
          <w:rFonts w:ascii="Arial" w:hAnsi="Arial" w:cs="Arial"/>
          <w:sz w:val="24"/>
          <w:szCs w:val="24"/>
        </w:rPr>
        <w:lastRenderedPageBreak/>
        <w:t xml:space="preserve">and should be </w:t>
      </w:r>
      <w:proofErr w:type="spellStart"/>
      <w:r w:rsidRPr="00E23964">
        <w:rPr>
          <w:rFonts w:ascii="Arial" w:hAnsi="Arial" w:cs="Arial"/>
          <w:sz w:val="24"/>
          <w:szCs w:val="24"/>
        </w:rPr>
        <w:t>prioritised</w:t>
      </w:r>
      <w:proofErr w:type="spellEnd"/>
      <w:r w:rsidRPr="00E23964">
        <w:rPr>
          <w:rFonts w:ascii="Arial" w:hAnsi="Arial" w:cs="Arial"/>
          <w:sz w:val="24"/>
          <w:szCs w:val="24"/>
        </w:rPr>
        <w:t xml:space="preserve"> (Lynch, 2021; Ansoff, 1957; Johnson, Whittington and Scholes, 2017).</w:t>
      </w:r>
    </w:p>
    <w:p w14:paraId="09AB8B4A"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6.4 Recommendations</w:t>
      </w:r>
    </w:p>
    <w:p w14:paraId="150B3F2C" w14:textId="77777777" w:rsidR="00E23964" w:rsidRPr="00E23964" w:rsidRDefault="00E23964" w:rsidP="00E23964">
      <w:pPr>
        <w:spacing w:line="360" w:lineRule="auto"/>
        <w:jc w:val="both"/>
        <w:rPr>
          <w:rFonts w:ascii="Arial" w:hAnsi="Arial" w:cs="Arial"/>
          <w:sz w:val="24"/>
          <w:szCs w:val="24"/>
        </w:rPr>
      </w:pPr>
      <w:r w:rsidRPr="00E23964">
        <w:rPr>
          <w:rFonts w:ascii="Arial" w:hAnsi="Arial" w:cs="Arial"/>
          <w:sz w:val="24"/>
          <w:szCs w:val="24"/>
        </w:rPr>
        <w:t xml:space="preserve">Recommendation 1: Rapid e-commerce and omnichannel change. Investment by IKEA in AI-based </w:t>
      </w:r>
      <w:proofErr w:type="spellStart"/>
      <w:r w:rsidRPr="00E23964">
        <w:rPr>
          <w:rFonts w:ascii="Arial" w:hAnsi="Arial" w:cs="Arial"/>
          <w:sz w:val="24"/>
          <w:szCs w:val="24"/>
        </w:rPr>
        <w:t>personalisation</w:t>
      </w:r>
      <w:proofErr w:type="spellEnd"/>
      <w:r w:rsidRPr="00E23964">
        <w:rPr>
          <w:rFonts w:ascii="Arial" w:hAnsi="Arial" w:cs="Arial"/>
          <w:sz w:val="24"/>
          <w:szCs w:val="24"/>
        </w:rPr>
        <w:t xml:space="preserve">, </w:t>
      </w:r>
      <w:proofErr w:type="spellStart"/>
      <w:r w:rsidRPr="00E23964">
        <w:rPr>
          <w:rFonts w:ascii="Arial" w:hAnsi="Arial" w:cs="Arial"/>
          <w:sz w:val="24"/>
          <w:szCs w:val="24"/>
        </w:rPr>
        <w:t>optimisation</w:t>
      </w:r>
      <w:proofErr w:type="spellEnd"/>
      <w:r w:rsidRPr="00E23964">
        <w:rPr>
          <w:rFonts w:ascii="Arial" w:hAnsi="Arial" w:cs="Arial"/>
          <w:sz w:val="24"/>
          <w:szCs w:val="24"/>
        </w:rPr>
        <w:t xml:space="preserve"> of last-mile delivery, and virtual showroom should amount to EUR2-3 billion over five years (Bharadwaj et al., 2013; Teece, 2010; McKinsey, 2022). This counteracts major competitive weaknesses as established in the VRIO analysis and reacts to the irredeemable changes in </w:t>
      </w:r>
      <w:proofErr w:type="gramStart"/>
      <w:r w:rsidRPr="00E23964">
        <w:rPr>
          <w:rFonts w:ascii="Arial" w:hAnsi="Arial" w:cs="Arial"/>
          <w:sz w:val="24"/>
          <w:szCs w:val="24"/>
        </w:rPr>
        <w:t>the consumer</w:t>
      </w:r>
      <w:proofErr w:type="gramEnd"/>
      <w:r w:rsidRPr="00E23964">
        <w:rPr>
          <w:rFonts w:ascii="Arial" w:hAnsi="Arial" w:cs="Arial"/>
          <w:sz w:val="24"/>
          <w:szCs w:val="24"/>
        </w:rPr>
        <w:t xml:space="preserve"> </w:t>
      </w:r>
      <w:proofErr w:type="spellStart"/>
      <w:r w:rsidRPr="00E23964">
        <w:rPr>
          <w:rFonts w:ascii="Arial" w:hAnsi="Arial" w:cs="Arial"/>
          <w:sz w:val="24"/>
          <w:szCs w:val="24"/>
        </w:rPr>
        <w:t>behaviour</w:t>
      </w:r>
      <w:proofErr w:type="spellEnd"/>
      <w:r w:rsidRPr="00E23964">
        <w:rPr>
          <w:rFonts w:ascii="Arial" w:hAnsi="Arial" w:cs="Arial"/>
          <w:sz w:val="24"/>
          <w:szCs w:val="24"/>
        </w:rPr>
        <w:t xml:space="preserve"> (Teece, 2010; Bharadwaj et al., 2013; Grant, 2021). Such retailers as John Lewis set standards on how to integrate the physical and digital experience (Slack and Brandon-Jones, 2022; Rothaermel, 2021).</w:t>
      </w:r>
    </w:p>
    <w:p w14:paraId="6B8331AE" w14:textId="77777777" w:rsidR="00E23964" w:rsidRPr="00E23964" w:rsidRDefault="00E23964" w:rsidP="00E23964">
      <w:pPr>
        <w:spacing w:line="360" w:lineRule="auto"/>
        <w:jc w:val="both"/>
        <w:rPr>
          <w:rFonts w:ascii="Arial" w:hAnsi="Arial" w:cs="Arial"/>
          <w:sz w:val="24"/>
          <w:szCs w:val="24"/>
        </w:rPr>
      </w:pPr>
      <w:r w:rsidRPr="00E23964">
        <w:rPr>
          <w:rFonts w:ascii="Arial" w:hAnsi="Arial" w:cs="Arial"/>
          <w:sz w:val="24"/>
          <w:szCs w:val="24"/>
        </w:rPr>
        <w:t xml:space="preserve">Recommendation 2: Scaling the initiatives of the circular economy. IKEA ought to increase its buy-back and resell </w:t>
      </w:r>
      <w:proofErr w:type="spellStart"/>
      <w:r w:rsidRPr="00E23964">
        <w:rPr>
          <w:rFonts w:ascii="Arial" w:hAnsi="Arial" w:cs="Arial"/>
          <w:sz w:val="24"/>
          <w:szCs w:val="24"/>
        </w:rPr>
        <w:t>programme</w:t>
      </w:r>
      <w:proofErr w:type="spellEnd"/>
      <w:r w:rsidRPr="00E23964">
        <w:rPr>
          <w:rFonts w:ascii="Arial" w:hAnsi="Arial" w:cs="Arial"/>
          <w:sz w:val="24"/>
          <w:szCs w:val="24"/>
        </w:rPr>
        <w:t xml:space="preserve"> in other countries and launch furniture-as-a-service subscription </w:t>
      </w:r>
      <w:proofErr w:type="spellStart"/>
      <w:r w:rsidRPr="00E23964">
        <w:rPr>
          <w:rFonts w:ascii="Arial" w:hAnsi="Arial" w:cs="Arial"/>
          <w:sz w:val="24"/>
          <w:szCs w:val="24"/>
        </w:rPr>
        <w:t>programmes</w:t>
      </w:r>
      <w:proofErr w:type="spellEnd"/>
      <w:r w:rsidRPr="00E23964">
        <w:rPr>
          <w:rFonts w:ascii="Arial" w:hAnsi="Arial" w:cs="Arial"/>
          <w:sz w:val="24"/>
          <w:szCs w:val="24"/>
        </w:rPr>
        <w:t xml:space="preserve"> (</w:t>
      </w:r>
      <w:proofErr w:type="spellStart"/>
      <w:r w:rsidRPr="00E23964">
        <w:rPr>
          <w:rFonts w:ascii="Arial" w:hAnsi="Arial" w:cs="Arial"/>
          <w:sz w:val="24"/>
          <w:szCs w:val="24"/>
        </w:rPr>
        <w:t>Bocken</w:t>
      </w:r>
      <w:proofErr w:type="spellEnd"/>
      <w:r w:rsidRPr="00E23964">
        <w:rPr>
          <w:rFonts w:ascii="Arial" w:hAnsi="Arial" w:cs="Arial"/>
          <w:sz w:val="24"/>
          <w:szCs w:val="24"/>
        </w:rPr>
        <w:t xml:space="preserve"> et al., 2016; Johnson, Christensen and Kagermann, 2008). This helps in countering the criticisms of the high-volume model, generates recurrent revenue and is consistent with the expectations of the stakeholders (</w:t>
      </w:r>
      <w:proofErr w:type="spellStart"/>
      <w:r w:rsidRPr="00E23964">
        <w:rPr>
          <w:rFonts w:ascii="Arial" w:hAnsi="Arial" w:cs="Arial"/>
          <w:sz w:val="24"/>
          <w:szCs w:val="24"/>
        </w:rPr>
        <w:t>Bocken</w:t>
      </w:r>
      <w:proofErr w:type="spellEnd"/>
      <w:r w:rsidRPr="00E23964">
        <w:rPr>
          <w:rFonts w:ascii="Arial" w:hAnsi="Arial" w:cs="Arial"/>
          <w:sz w:val="24"/>
          <w:szCs w:val="24"/>
        </w:rPr>
        <w:t xml:space="preserve"> et al., 2016; Carroll and Shabana, 2010; Porter and Kramer, 2011). The subscription model in such areas as automotive (Volvo) and technology (Apple) is possible (Johnson, Christensen and Kagermann, 2008; Teece, 2010).</w:t>
      </w:r>
    </w:p>
    <w:p w14:paraId="2315D0FB" w14:textId="77777777" w:rsidR="00E23964" w:rsidRPr="00E23964" w:rsidRDefault="00E23964" w:rsidP="00E23964">
      <w:pPr>
        <w:spacing w:line="360" w:lineRule="auto"/>
        <w:jc w:val="both"/>
        <w:rPr>
          <w:rFonts w:ascii="Arial" w:hAnsi="Arial" w:cs="Arial"/>
          <w:sz w:val="24"/>
          <w:szCs w:val="24"/>
        </w:rPr>
      </w:pPr>
      <w:r w:rsidRPr="00E23964">
        <w:rPr>
          <w:rFonts w:ascii="Arial" w:hAnsi="Arial" w:cs="Arial"/>
          <w:sz w:val="24"/>
          <w:szCs w:val="24"/>
        </w:rPr>
        <w:t xml:space="preserve">Recommendation 3: Intensify the emerging market </w:t>
      </w:r>
      <w:proofErr w:type="spellStart"/>
      <w:r w:rsidRPr="00E23964">
        <w:rPr>
          <w:rFonts w:ascii="Arial" w:hAnsi="Arial" w:cs="Arial"/>
          <w:sz w:val="24"/>
          <w:szCs w:val="24"/>
        </w:rPr>
        <w:t>localisation</w:t>
      </w:r>
      <w:proofErr w:type="spellEnd"/>
      <w:r w:rsidRPr="00E23964">
        <w:rPr>
          <w:rFonts w:ascii="Arial" w:hAnsi="Arial" w:cs="Arial"/>
          <w:sz w:val="24"/>
          <w:szCs w:val="24"/>
        </w:rPr>
        <w:t xml:space="preserve">. Instead of imitating an unchanging </w:t>
      </w:r>
      <w:proofErr w:type="spellStart"/>
      <w:r w:rsidRPr="00E23964">
        <w:rPr>
          <w:rFonts w:ascii="Arial" w:hAnsi="Arial" w:cs="Arial"/>
          <w:sz w:val="24"/>
          <w:szCs w:val="24"/>
        </w:rPr>
        <w:t>standardisation</w:t>
      </w:r>
      <w:proofErr w:type="spellEnd"/>
      <w:r w:rsidRPr="00E23964">
        <w:rPr>
          <w:rFonts w:ascii="Arial" w:hAnsi="Arial" w:cs="Arial"/>
          <w:sz w:val="24"/>
          <w:szCs w:val="24"/>
        </w:rPr>
        <w:t xml:space="preserve"> store, IKEA ought to employ transnational approach in the Indian and Chinese markets, where the products are </w:t>
      </w:r>
      <w:proofErr w:type="spellStart"/>
      <w:r w:rsidRPr="00E23964">
        <w:rPr>
          <w:rFonts w:ascii="Arial" w:hAnsi="Arial" w:cs="Arial"/>
          <w:sz w:val="24"/>
          <w:szCs w:val="24"/>
        </w:rPr>
        <w:t>localised</w:t>
      </w:r>
      <w:proofErr w:type="spellEnd"/>
      <w:r w:rsidRPr="00E23964">
        <w:rPr>
          <w:rFonts w:ascii="Arial" w:hAnsi="Arial" w:cs="Arial"/>
          <w:sz w:val="24"/>
          <w:szCs w:val="24"/>
        </w:rPr>
        <w:t xml:space="preserve">, smaller stores, and joint ventures with local delivery systems (Bartlett and Ghoshal, 1989; Bartlett and Beamish, 2018; Verbeke, 2013). </w:t>
      </w:r>
      <w:proofErr w:type="spellStart"/>
      <w:r w:rsidRPr="00E23964">
        <w:rPr>
          <w:rFonts w:ascii="Arial" w:hAnsi="Arial" w:cs="Arial"/>
          <w:sz w:val="24"/>
          <w:szCs w:val="24"/>
        </w:rPr>
        <w:t>Localisation</w:t>
      </w:r>
      <w:proofErr w:type="spellEnd"/>
      <w:r w:rsidRPr="00E23964">
        <w:rPr>
          <w:rFonts w:ascii="Arial" w:hAnsi="Arial" w:cs="Arial"/>
          <w:sz w:val="24"/>
          <w:szCs w:val="24"/>
        </w:rPr>
        <w:t xml:space="preserve"> is essential as the failure of Western retailers who do not take local taste into consideration has been experienced (Rugman and Collinson, 2012; Burt, Johansson and Thelander, 2011). The success of IKEA in India, such as low-cost products and products related to India, such as masala dabba spice boxes, can be used as a model to expand its business in India (Inter IKEA Group, 2024; Bartlett and Beamish, 2018).</w:t>
      </w:r>
    </w:p>
    <w:p w14:paraId="16FEEEE6" w14:textId="77777777" w:rsidR="00E23964" w:rsidRPr="00E23964" w:rsidRDefault="00E23964" w:rsidP="00E23964">
      <w:pPr>
        <w:spacing w:line="360" w:lineRule="auto"/>
        <w:jc w:val="both"/>
        <w:rPr>
          <w:rFonts w:ascii="Arial" w:hAnsi="Arial" w:cs="Arial"/>
          <w:sz w:val="24"/>
          <w:szCs w:val="24"/>
        </w:rPr>
      </w:pPr>
      <w:r w:rsidRPr="00E23964">
        <w:rPr>
          <w:rFonts w:ascii="Arial" w:hAnsi="Arial" w:cs="Arial"/>
          <w:sz w:val="24"/>
          <w:szCs w:val="24"/>
        </w:rPr>
        <w:t xml:space="preserve">The rationale behind these recommendations is that the dynamic capabilities framework (Teece, Pisano and </w:t>
      </w:r>
      <w:proofErr w:type="spellStart"/>
      <w:r w:rsidRPr="00E23964">
        <w:rPr>
          <w:rFonts w:ascii="Arial" w:hAnsi="Arial" w:cs="Arial"/>
          <w:sz w:val="24"/>
          <w:szCs w:val="24"/>
        </w:rPr>
        <w:t>Shuen</w:t>
      </w:r>
      <w:proofErr w:type="spellEnd"/>
      <w:r w:rsidRPr="00E23964">
        <w:rPr>
          <w:rFonts w:ascii="Arial" w:hAnsi="Arial" w:cs="Arial"/>
          <w:sz w:val="24"/>
          <w:szCs w:val="24"/>
        </w:rPr>
        <w:t xml:space="preserve">, 1997) argues that sustainable advantage entails the sensing of opportunity, taking advantage of them by investing and </w:t>
      </w:r>
      <w:r w:rsidRPr="00E23964">
        <w:rPr>
          <w:rFonts w:ascii="Arial" w:hAnsi="Arial" w:cs="Arial"/>
          <w:sz w:val="24"/>
          <w:szCs w:val="24"/>
        </w:rPr>
        <w:lastRenderedPageBreak/>
        <w:t xml:space="preserve">transforming </w:t>
      </w:r>
      <w:proofErr w:type="spellStart"/>
      <w:r w:rsidRPr="00E23964">
        <w:rPr>
          <w:rFonts w:ascii="Arial" w:hAnsi="Arial" w:cs="Arial"/>
          <w:sz w:val="24"/>
          <w:szCs w:val="24"/>
        </w:rPr>
        <w:t>organisational</w:t>
      </w:r>
      <w:proofErr w:type="spellEnd"/>
      <w:r w:rsidRPr="00E23964">
        <w:rPr>
          <w:rFonts w:ascii="Arial" w:hAnsi="Arial" w:cs="Arial"/>
          <w:sz w:val="24"/>
          <w:szCs w:val="24"/>
        </w:rPr>
        <w:t xml:space="preserve"> capabilities (Teece, Pisano and </w:t>
      </w:r>
      <w:proofErr w:type="spellStart"/>
      <w:r w:rsidRPr="00E23964">
        <w:rPr>
          <w:rFonts w:ascii="Arial" w:hAnsi="Arial" w:cs="Arial"/>
          <w:sz w:val="24"/>
          <w:szCs w:val="24"/>
        </w:rPr>
        <w:t>Shuen</w:t>
      </w:r>
      <w:proofErr w:type="spellEnd"/>
      <w:r w:rsidRPr="00E23964">
        <w:rPr>
          <w:rFonts w:ascii="Arial" w:hAnsi="Arial" w:cs="Arial"/>
          <w:sz w:val="24"/>
          <w:szCs w:val="24"/>
        </w:rPr>
        <w:t>, 1997; Teece, 2010; Eisenhardt and Martin, 2000). The financial capabilities and ownership foundation-based structure allow IKEA a long-term and patient investment on such transformational programs (Jonsson and Foss, 2011; Grant, 2021).</w:t>
      </w:r>
    </w:p>
    <w:p w14:paraId="4D1FAC7E" w14:textId="77777777" w:rsidR="00091C1C" w:rsidRPr="00814D58" w:rsidRDefault="00091C1C" w:rsidP="00091C1C">
      <w:pPr>
        <w:spacing w:line="360" w:lineRule="auto"/>
        <w:jc w:val="both"/>
        <w:rPr>
          <w:rFonts w:ascii="Arial" w:hAnsi="Arial" w:cs="Arial"/>
          <w:b/>
          <w:bCs/>
          <w:sz w:val="24"/>
          <w:szCs w:val="24"/>
        </w:rPr>
      </w:pPr>
      <w:r w:rsidRPr="00814D58">
        <w:rPr>
          <w:rFonts w:ascii="Arial" w:hAnsi="Arial" w:cs="Arial"/>
          <w:b/>
          <w:bCs/>
          <w:sz w:val="24"/>
          <w:szCs w:val="24"/>
        </w:rPr>
        <w:t>Section 2: Reflective Account</w:t>
      </w:r>
    </w:p>
    <w:p w14:paraId="53294DCA"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Reflective Analysis Gibbs Reflective Cycle.</w:t>
      </w:r>
    </w:p>
    <w:p w14:paraId="729A2D6C" w14:textId="77777777" w:rsidR="00091C1C" w:rsidRPr="00C723A3" w:rsidRDefault="00091C1C" w:rsidP="00E23964">
      <w:pPr>
        <w:tabs>
          <w:tab w:val="left" w:pos="3570"/>
        </w:tabs>
        <w:spacing w:line="360" w:lineRule="auto"/>
        <w:jc w:val="both"/>
        <w:rPr>
          <w:rFonts w:ascii="Arial" w:hAnsi="Arial" w:cs="Arial"/>
          <w:b/>
          <w:bCs/>
          <w:sz w:val="24"/>
          <w:szCs w:val="24"/>
        </w:rPr>
      </w:pPr>
      <w:r w:rsidRPr="00C723A3">
        <w:rPr>
          <w:rFonts w:ascii="Arial" w:hAnsi="Arial" w:cs="Arial"/>
          <w:b/>
          <w:bCs/>
          <w:sz w:val="24"/>
          <w:szCs w:val="24"/>
        </w:rPr>
        <w:t>Description</w:t>
      </w:r>
      <w:r w:rsidR="00E23964">
        <w:rPr>
          <w:rFonts w:ascii="Arial" w:hAnsi="Arial" w:cs="Arial"/>
          <w:b/>
          <w:bCs/>
          <w:sz w:val="24"/>
          <w:szCs w:val="24"/>
        </w:rPr>
        <w:tab/>
      </w:r>
    </w:p>
    <w:p w14:paraId="1FCD8FC8"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This reflective report discusses the procedure that I undertook during the research, analysis and preparation of the strategic management analysis of IKEA. The task I had to undertake was to choose an </w:t>
      </w:r>
      <w:proofErr w:type="spellStart"/>
      <w:r w:rsidRPr="00C723A3">
        <w:rPr>
          <w:rFonts w:ascii="Arial" w:hAnsi="Arial" w:cs="Arial"/>
          <w:sz w:val="24"/>
          <w:szCs w:val="24"/>
        </w:rPr>
        <w:t>organisation</w:t>
      </w:r>
      <w:proofErr w:type="spellEnd"/>
      <w:r w:rsidRPr="00C723A3">
        <w:rPr>
          <w:rFonts w:ascii="Arial" w:hAnsi="Arial" w:cs="Arial"/>
          <w:sz w:val="24"/>
          <w:szCs w:val="24"/>
        </w:rPr>
        <w:t xml:space="preserve"> and to critically analyze its strategic positioning using theoretical frameworks that were already in existence. IKEA was selected </w:t>
      </w:r>
      <w:proofErr w:type="gramStart"/>
      <w:r w:rsidRPr="00C723A3">
        <w:rPr>
          <w:rFonts w:ascii="Arial" w:hAnsi="Arial" w:cs="Arial"/>
          <w:sz w:val="24"/>
          <w:szCs w:val="24"/>
        </w:rPr>
        <w:t>as it is</w:t>
      </w:r>
      <w:proofErr w:type="gramEnd"/>
      <w:r w:rsidRPr="00C723A3">
        <w:rPr>
          <w:rFonts w:ascii="Arial" w:hAnsi="Arial" w:cs="Arial"/>
          <w:sz w:val="24"/>
          <w:szCs w:val="24"/>
        </w:rPr>
        <w:t xml:space="preserve"> a globally recognized company, it has a unique business concept, and the strategic material is rich. The development of the research took </w:t>
      </w:r>
      <w:proofErr w:type="gramStart"/>
      <w:r w:rsidRPr="00C723A3">
        <w:rPr>
          <w:rFonts w:ascii="Arial" w:hAnsi="Arial" w:cs="Arial"/>
          <w:sz w:val="24"/>
          <w:szCs w:val="24"/>
        </w:rPr>
        <w:t>a number of</w:t>
      </w:r>
      <w:proofErr w:type="gramEnd"/>
      <w:r w:rsidRPr="00C723A3">
        <w:rPr>
          <w:rFonts w:ascii="Arial" w:hAnsi="Arial" w:cs="Arial"/>
          <w:sz w:val="24"/>
          <w:szCs w:val="24"/>
        </w:rPr>
        <w:t xml:space="preserve"> weeks during which a lot of work with scholarly literature, business reports, industry studies, and media was conducted. My approach and strategy were designed in such a way that I initially learned the requirements of the assignment, followed by collecting information in an organized manner, theoretical frameworks, and analysis of findings into a well-</w:t>
      </w:r>
      <w:proofErr w:type="spellStart"/>
      <w:r w:rsidRPr="00C723A3">
        <w:rPr>
          <w:rFonts w:ascii="Arial" w:hAnsi="Arial" w:cs="Arial"/>
          <w:sz w:val="24"/>
          <w:szCs w:val="24"/>
        </w:rPr>
        <w:t>organised</w:t>
      </w:r>
      <w:proofErr w:type="spellEnd"/>
      <w:r w:rsidRPr="00C723A3">
        <w:rPr>
          <w:rFonts w:ascii="Arial" w:hAnsi="Arial" w:cs="Arial"/>
          <w:sz w:val="24"/>
          <w:szCs w:val="24"/>
        </w:rPr>
        <w:t xml:space="preserve"> analytical narrative.</w:t>
      </w:r>
    </w:p>
    <w:p w14:paraId="2C11B5C3"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Feelings</w:t>
      </w:r>
    </w:p>
    <w:p w14:paraId="3E76C5F8"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I was at first excited and nervous. The scope of the assignment, which was the external analysis, internal assessment, CSR evaluation, balanced scorecard application, strategic options, and evaluation, was initially daunting. I was eager to use theoretical models </w:t>
      </w:r>
      <w:proofErr w:type="gramStart"/>
      <w:r w:rsidRPr="00C723A3">
        <w:rPr>
          <w:rFonts w:ascii="Arial" w:hAnsi="Arial" w:cs="Arial"/>
          <w:sz w:val="24"/>
          <w:szCs w:val="24"/>
        </w:rPr>
        <w:t>to</w:t>
      </w:r>
      <w:proofErr w:type="gramEnd"/>
      <w:r w:rsidRPr="00C723A3">
        <w:rPr>
          <w:rFonts w:ascii="Arial" w:hAnsi="Arial" w:cs="Arial"/>
          <w:sz w:val="24"/>
          <w:szCs w:val="24"/>
        </w:rPr>
        <w:t xml:space="preserve"> a real </w:t>
      </w:r>
      <w:proofErr w:type="spellStart"/>
      <w:r w:rsidRPr="00C723A3">
        <w:rPr>
          <w:rFonts w:ascii="Arial" w:hAnsi="Arial" w:cs="Arial"/>
          <w:sz w:val="24"/>
          <w:szCs w:val="24"/>
        </w:rPr>
        <w:t>organisation</w:t>
      </w:r>
      <w:proofErr w:type="spellEnd"/>
      <w:r w:rsidRPr="00C723A3">
        <w:rPr>
          <w:rFonts w:ascii="Arial" w:hAnsi="Arial" w:cs="Arial"/>
          <w:sz w:val="24"/>
          <w:szCs w:val="24"/>
        </w:rPr>
        <w:t xml:space="preserve"> but feared the level of critical analysis that was required in this status of learning. I felt increasingly confident as I continued because more links between the various frameworks began to emerge, such as how the VRIO analysis of the ownership structure at IKEA directly fed into my perception of its capacity to make long-term investments in sustainability. Nonetheless, my frustration was also closely associated with the cases when I was trying to </w:t>
      </w:r>
      <w:proofErr w:type="gramStart"/>
      <w:r w:rsidRPr="00C723A3">
        <w:rPr>
          <w:rFonts w:ascii="Arial" w:hAnsi="Arial" w:cs="Arial"/>
          <w:sz w:val="24"/>
          <w:szCs w:val="24"/>
        </w:rPr>
        <w:t>compare and contrast</w:t>
      </w:r>
      <w:proofErr w:type="gramEnd"/>
      <w:r w:rsidRPr="00C723A3">
        <w:rPr>
          <w:rFonts w:ascii="Arial" w:hAnsi="Arial" w:cs="Arial"/>
          <w:sz w:val="24"/>
          <w:szCs w:val="24"/>
        </w:rPr>
        <w:t xml:space="preserve"> the information about IKEA financial results obtained in different sources because of its internal ownership and poor publicity.</w:t>
      </w:r>
    </w:p>
    <w:p w14:paraId="6D95838C"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Evaluation</w:t>
      </w:r>
    </w:p>
    <w:p w14:paraId="1BE48481" w14:textId="77777777" w:rsidR="00091C1C" w:rsidRPr="00C723A3" w:rsidRDefault="00091C1C" w:rsidP="00091C1C">
      <w:pPr>
        <w:spacing w:line="360" w:lineRule="auto"/>
        <w:jc w:val="both"/>
        <w:rPr>
          <w:rFonts w:ascii="Arial" w:hAnsi="Arial" w:cs="Arial"/>
          <w:sz w:val="24"/>
          <w:szCs w:val="24"/>
        </w:rPr>
      </w:pPr>
      <w:proofErr w:type="gramStart"/>
      <w:r w:rsidRPr="00C723A3">
        <w:rPr>
          <w:rFonts w:ascii="Arial" w:hAnsi="Arial" w:cs="Arial"/>
          <w:sz w:val="24"/>
          <w:szCs w:val="24"/>
        </w:rPr>
        <w:lastRenderedPageBreak/>
        <w:t>A number of</w:t>
      </w:r>
      <w:proofErr w:type="gramEnd"/>
      <w:r w:rsidRPr="00C723A3">
        <w:rPr>
          <w:rFonts w:ascii="Arial" w:hAnsi="Arial" w:cs="Arial"/>
          <w:sz w:val="24"/>
          <w:szCs w:val="24"/>
        </w:rPr>
        <w:t xml:space="preserve"> things about the process were positive. A systematic method of the PESTEL analysis, addressing the factors individually and systematically, and trying to find IKEA-specific evidence, provided a comprehensive external analysis. The VRIO framework was especially eye-opening, as it went beyond the superficial identification of resources to critically assess which ones qualify as truly sustained competitive advantage, the difference between the brand equity (sustained competitive advantage) and the e-commerce capabilities (competitive parity) of IKEA became something that has greatly influenced my future recommendations. The combination of several frameworks, of which are PESTEL, VRIO, Balanced Scorecard, SWOT, BCG, and Ansoff, Matrix allowed me to construct a multi-dimensional approach instead of a unidimensional one.</w:t>
      </w:r>
    </w:p>
    <w:p w14:paraId="28BBF90B"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Nonetheless, some things were problematic. I struggled to be </w:t>
      </w:r>
      <w:proofErr w:type="gramStart"/>
      <w:r w:rsidRPr="00C723A3">
        <w:rPr>
          <w:rFonts w:ascii="Arial" w:hAnsi="Arial" w:cs="Arial"/>
          <w:sz w:val="24"/>
          <w:szCs w:val="24"/>
        </w:rPr>
        <w:t>actually critical</w:t>
      </w:r>
      <w:proofErr w:type="gramEnd"/>
      <w:r w:rsidRPr="00C723A3">
        <w:rPr>
          <w:rFonts w:ascii="Arial" w:hAnsi="Arial" w:cs="Arial"/>
          <w:sz w:val="24"/>
          <w:szCs w:val="24"/>
        </w:rPr>
        <w:t xml:space="preserve"> instead of just proposing descriptions of IKEA strategies in a positive manner. Moon (2004) points out that in reflective practice, one </w:t>
      </w:r>
      <w:proofErr w:type="gramStart"/>
      <w:r w:rsidRPr="00C723A3">
        <w:rPr>
          <w:rFonts w:ascii="Arial" w:hAnsi="Arial" w:cs="Arial"/>
          <w:sz w:val="24"/>
          <w:szCs w:val="24"/>
        </w:rPr>
        <w:t>has to</w:t>
      </w:r>
      <w:proofErr w:type="gramEnd"/>
      <w:r w:rsidRPr="00C723A3">
        <w:rPr>
          <w:rFonts w:ascii="Arial" w:hAnsi="Arial" w:cs="Arial"/>
          <w:sz w:val="24"/>
          <w:szCs w:val="24"/>
        </w:rPr>
        <w:t xml:space="preserve"> accept limitations and uncertainties, and I acknowledge that my preliminary drafts were not critical enough, especially on the sustainability assertions of IKEA. Vision was also implemented through revision where I introduced critical views like the conflict between IKEA high-volume consumption model and its objective of a circular economy (</w:t>
      </w:r>
      <w:proofErr w:type="spellStart"/>
      <w:r w:rsidRPr="00C723A3">
        <w:rPr>
          <w:rFonts w:ascii="Arial" w:hAnsi="Arial" w:cs="Arial"/>
          <w:sz w:val="24"/>
          <w:szCs w:val="24"/>
        </w:rPr>
        <w:t>Bocken</w:t>
      </w:r>
      <w:proofErr w:type="spellEnd"/>
      <w:r w:rsidRPr="00C723A3">
        <w:rPr>
          <w:rFonts w:ascii="Arial" w:hAnsi="Arial" w:cs="Arial"/>
          <w:sz w:val="24"/>
          <w:szCs w:val="24"/>
        </w:rPr>
        <w:t xml:space="preserve"> et al., 2016). Also, the need to control the number of words used in six substantive subsections and still ensure the depth of the analysis necessitated hard choices about </w:t>
      </w:r>
      <w:proofErr w:type="spellStart"/>
      <w:r w:rsidRPr="00C723A3">
        <w:rPr>
          <w:rFonts w:ascii="Arial" w:hAnsi="Arial" w:cs="Arial"/>
          <w:sz w:val="24"/>
          <w:szCs w:val="24"/>
        </w:rPr>
        <w:t>prioritisation</w:t>
      </w:r>
      <w:proofErr w:type="spellEnd"/>
      <w:r w:rsidRPr="00C723A3">
        <w:rPr>
          <w:rFonts w:ascii="Arial" w:hAnsi="Arial" w:cs="Arial"/>
          <w:sz w:val="24"/>
          <w:szCs w:val="24"/>
        </w:rPr>
        <w:t xml:space="preserve"> that tested my skills in differentiating between critical analysis and non-essential information.</w:t>
      </w:r>
    </w:p>
    <w:p w14:paraId="4E4DECF8"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Analysis</w:t>
      </w:r>
    </w:p>
    <w:p w14:paraId="1E88B4FF"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Analytically, one can reflect upon the learning process and draw </w:t>
      </w:r>
      <w:proofErr w:type="gramStart"/>
      <w:r w:rsidRPr="00C723A3">
        <w:rPr>
          <w:rFonts w:ascii="Arial" w:hAnsi="Arial" w:cs="Arial"/>
          <w:sz w:val="24"/>
          <w:szCs w:val="24"/>
        </w:rPr>
        <w:t>a number of</w:t>
      </w:r>
      <w:proofErr w:type="gramEnd"/>
      <w:r w:rsidRPr="00C723A3">
        <w:rPr>
          <w:rFonts w:ascii="Arial" w:hAnsi="Arial" w:cs="Arial"/>
          <w:sz w:val="24"/>
          <w:szCs w:val="24"/>
        </w:rPr>
        <w:t xml:space="preserve"> insights. To begin with, the exercise helped to strengthen the taxonomy of learning proposed by Bloom (1956) because I have advanced in the hierarchy of knowledge and comprehension of strategic frameworks to application, analysis, and evaluation. The mere fact that the VRIO framework exists is one </w:t>
      </w:r>
      <w:proofErr w:type="gramStart"/>
      <w:r w:rsidRPr="00C723A3">
        <w:rPr>
          <w:rFonts w:ascii="Arial" w:hAnsi="Arial" w:cs="Arial"/>
          <w:sz w:val="24"/>
          <w:szCs w:val="24"/>
        </w:rPr>
        <w:t>thing, but</w:t>
      </w:r>
      <w:proofErr w:type="gramEnd"/>
      <w:r w:rsidRPr="00C723A3">
        <w:rPr>
          <w:rFonts w:ascii="Arial" w:hAnsi="Arial" w:cs="Arial"/>
          <w:sz w:val="24"/>
          <w:szCs w:val="24"/>
        </w:rPr>
        <w:t xml:space="preserve"> critically applying it to pinpoint the exact mechanisms that allow IKEA to make its flat-pack model have cause-and-effect ambiguity by its competitors is another one. Second, the research procedure emphasized the significance of triangulating sources obtaining the cross-referencing of academic literature in corporate reports and independent industry </w:t>
      </w:r>
      <w:r w:rsidRPr="00C723A3">
        <w:rPr>
          <w:rFonts w:ascii="Arial" w:hAnsi="Arial" w:cs="Arial"/>
          <w:sz w:val="24"/>
          <w:szCs w:val="24"/>
        </w:rPr>
        <w:lastRenderedPageBreak/>
        <w:t xml:space="preserve">analyses to come up with strong conclusions (Saunders, Lewis and Thornhill, 2019). Third, I </w:t>
      </w:r>
      <w:proofErr w:type="spellStart"/>
      <w:r w:rsidRPr="00C723A3">
        <w:rPr>
          <w:rFonts w:ascii="Arial" w:hAnsi="Arial" w:cs="Arial"/>
          <w:sz w:val="24"/>
          <w:szCs w:val="24"/>
        </w:rPr>
        <w:t>realised</w:t>
      </w:r>
      <w:proofErr w:type="spellEnd"/>
      <w:r w:rsidRPr="00C723A3">
        <w:rPr>
          <w:rFonts w:ascii="Arial" w:hAnsi="Arial" w:cs="Arial"/>
          <w:sz w:val="24"/>
          <w:szCs w:val="24"/>
        </w:rPr>
        <w:t xml:space="preserve"> the inter-relationship among strategic frameworks. External analysis helped me to be familiar with strategic issues, internal analysis showed that it was possible to overcome these issues, and the strategic analysis combined these two aspects and offered recommendations that could be implemented. Such holistic thinking parallels the integrative thinking that Mintzberg (1994) claims is the key to successful strategic management.</w:t>
      </w:r>
    </w:p>
    <w:p w14:paraId="7D945860"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I was also able to recognize the aspect of a descriptive over an evaluative writer, which is one of the pitfalls Cottrell (2017) identifies. The process of revision and critical self-evaluation helped me to formulate better evaluative arguments, such as whether the integrated cost leadership/differentiation strategy used by IKEA is </w:t>
      </w:r>
      <w:proofErr w:type="gramStart"/>
      <w:r w:rsidRPr="00C723A3">
        <w:rPr>
          <w:rFonts w:ascii="Arial" w:hAnsi="Arial" w:cs="Arial"/>
          <w:sz w:val="24"/>
          <w:szCs w:val="24"/>
        </w:rPr>
        <w:t>really sustainable</w:t>
      </w:r>
      <w:proofErr w:type="gramEnd"/>
      <w:r w:rsidRPr="00C723A3">
        <w:rPr>
          <w:rFonts w:ascii="Arial" w:hAnsi="Arial" w:cs="Arial"/>
          <w:sz w:val="24"/>
          <w:szCs w:val="24"/>
        </w:rPr>
        <w:t xml:space="preserve"> or whether competitive convergence will ultimately compel me to make a more decisive strategic positioning decision (Porter, 1985).</w:t>
      </w:r>
    </w:p>
    <w:p w14:paraId="3F0F4E7D"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Conclusion</w:t>
      </w:r>
    </w:p>
    <w:p w14:paraId="4942F5BD"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In this experience, I </w:t>
      </w:r>
      <w:proofErr w:type="gramStart"/>
      <w:r w:rsidRPr="00C723A3">
        <w:rPr>
          <w:rFonts w:ascii="Arial" w:hAnsi="Arial" w:cs="Arial"/>
          <w:sz w:val="24"/>
          <w:szCs w:val="24"/>
        </w:rPr>
        <w:t>am able to</w:t>
      </w:r>
      <w:proofErr w:type="gramEnd"/>
      <w:r w:rsidRPr="00C723A3">
        <w:rPr>
          <w:rFonts w:ascii="Arial" w:hAnsi="Arial" w:cs="Arial"/>
          <w:sz w:val="24"/>
          <w:szCs w:val="24"/>
        </w:rPr>
        <w:t xml:space="preserve"> conclude that strategic analysis needs systematic </w:t>
      </w:r>
      <w:proofErr w:type="spellStart"/>
      <w:r w:rsidRPr="00C723A3">
        <w:rPr>
          <w:rFonts w:ascii="Arial" w:hAnsi="Arial" w:cs="Arial"/>
          <w:sz w:val="24"/>
          <w:szCs w:val="24"/>
        </w:rPr>
        <w:t>rigour</w:t>
      </w:r>
      <w:proofErr w:type="spellEnd"/>
      <w:r w:rsidRPr="00C723A3">
        <w:rPr>
          <w:rFonts w:ascii="Arial" w:hAnsi="Arial" w:cs="Arial"/>
          <w:sz w:val="24"/>
          <w:szCs w:val="24"/>
        </w:rPr>
        <w:t xml:space="preserve"> in addition to creative synthesis. The rigorous use of structures brings structure and depth of analysis, but true strategic intelligence comes by the links between structures and critical challenge of assumptions. I also come up to the conclusion that good academic writing at this level needs to be revised several times - my final paper was much more critical and analytically advanced in its nature than my preliminary drafts, which confirms Kolb (1984) seeing the process of learning as cyclic, rather than linear. In addition, I have come to understand that strategic frameworks are not useful in the sense that they are mechanically applied, but in the quality of thought that they invoke and questions they provoke the analyst to answer.</w:t>
      </w:r>
    </w:p>
    <w:p w14:paraId="28DA35D1" w14:textId="77777777" w:rsidR="00091C1C" w:rsidRPr="00C723A3" w:rsidRDefault="00091C1C" w:rsidP="00091C1C">
      <w:pPr>
        <w:spacing w:line="360" w:lineRule="auto"/>
        <w:jc w:val="both"/>
        <w:rPr>
          <w:rFonts w:ascii="Arial" w:hAnsi="Arial" w:cs="Arial"/>
          <w:b/>
          <w:bCs/>
          <w:sz w:val="24"/>
          <w:szCs w:val="24"/>
        </w:rPr>
      </w:pPr>
      <w:r w:rsidRPr="00C723A3">
        <w:rPr>
          <w:rFonts w:ascii="Arial" w:hAnsi="Arial" w:cs="Arial"/>
          <w:b/>
          <w:bCs/>
          <w:sz w:val="24"/>
          <w:szCs w:val="24"/>
        </w:rPr>
        <w:t>Action Plan</w:t>
      </w:r>
    </w:p>
    <w:p w14:paraId="564F6AD1" w14:textId="77777777" w:rsidR="00091C1C" w:rsidRPr="00C723A3" w:rsidRDefault="00091C1C" w:rsidP="00091C1C">
      <w:pPr>
        <w:spacing w:line="360" w:lineRule="auto"/>
        <w:jc w:val="both"/>
        <w:rPr>
          <w:rFonts w:ascii="Arial" w:hAnsi="Arial" w:cs="Arial"/>
          <w:sz w:val="24"/>
          <w:szCs w:val="24"/>
        </w:rPr>
      </w:pPr>
      <w:r w:rsidRPr="00C723A3">
        <w:rPr>
          <w:rFonts w:ascii="Arial" w:hAnsi="Arial" w:cs="Arial"/>
          <w:sz w:val="24"/>
          <w:szCs w:val="24"/>
        </w:rPr>
        <w:t xml:space="preserve">To make a better strategic analysis in the future, I will make </w:t>
      </w:r>
      <w:proofErr w:type="gramStart"/>
      <w:r w:rsidRPr="00C723A3">
        <w:rPr>
          <w:rFonts w:ascii="Arial" w:hAnsi="Arial" w:cs="Arial"/>
          <w:sz w:val="24"/>
          <w:szCs w:val="24"/>
        </w:rPr>
        <w:t>a number of</w:t>
      </w:r>
      <w:proofErr w:type="gramEnd"/>
      <w:r w:rsidRPr="00C723A3">
        <w:rPr>
          <w:rFonts w:ascii="Arial" w:hAnsi="Arial" w:cs="Arial"/>
          <w:sz w:val="24"/>
          <w:szCs w:val="24"/>
        </w:rPr>
        <w:t xml:space="preserve"> improvements. The first step I will undertake is to initiate the critical evaluation sooner into the process instead of considering it as a revision task, and therefore, I will instruct </w:t>
      </w:r>
      <w:proofErr w:type="spellStart"/>
      <w:r w:rsidRPr="00C723A3">
        <w:rPr>
          <w:rFonts w:ascii="Arial" w:hAnsi="Arial" w:cs="Arial"/>
          <w:sz w:val="24"/>
          <w:szCs w:val="24"/>
        </w:rPr>
        <w:t>evaluatory</w:t>
      </w:r>
      <w:proofErr w:type="spellEnd"/>
      <w:r w:rsidRPr="00C723A3">
        <w:rPr>
          <w:rFonts w:ascii="Arial" w:hAnsi="Arial" w:cs="Arial"/>
          <w:sz w:val="24"/>
          <w:szCs w:val="24"/>
        </w:rPr>
        <w:t xml:space="preserve"> questions into my preliminary research plan. Second, I will use more varied </w:t>
      </w:r>
      <w:proofErr w:type="gramStart"/>
      <w:r w:rsidRPr="00C723A3">
        <w:rPr>
          <w:rFonts w:ascii="Arial" w:hAnsi="Arial" w:cs="Arial"/>
          <w:sz w:val="24"/>
          <w:szCs w:val="24"/>
        </w:rPr>
        <w:t>sources</w:t>
      </w:r>
      <w:proofErr w:type="gramEnd"/>
      <w:r w:rsidRPr="00C723A3">
        <w:rPr>
          <w:rFonts w:ascii="Arial" w:hAnsi="Arial" w:cs="Arial"/>
          <w:sz w:val="24"/>
          <w:szCs w:val="24"/>
        </w:rPr>
        <w:t xml:space="preserve"> especially industry practitioner opinions and critical academic commentary to enhance the triangulation of evidence. Third, I will spend more time during synthesis stage because I found that linking insights between </w:t>
      </w:r>
      <w:r w:rsidRPr="00C723A3">
        <w:rPr>
          <w:rFonts w:ascii="Arial" w:hAnsi="Arial" w:cs="Arial"/>
          <w:sz w:val="24"/>
          <w:szCs w:val="24"/>
        </w:rPr>
        <w:lastRenderedPageBreak/>
        <w:t>various analytical frameworks to be the place where the best strategic lessons could be learned. Lastly, I will build my reflective practice by keeping an analytical journal of the project in the future, which includes an analytical decision and any insight gained during the project work, not re-creating them afterwards (Schon, 1983). Not only will this help to enhance the quality of future analysis but will further enhance my growth as a reflective strategic thinker and one who is able to navigate the complexity and ambiguity that mark the modern business landscapes.</w:t>
      </w:r>
      <w:r w:rsidRPr="00C723A3">
        <w:rPr>
          <w:rFonts w:ascii="Arial" w:hAnsi="Arial" w:cs="Arial"/>
          <w:sz w:val="24"/>
          <w:szCs w:val="24"/>
        </w:rPr>
        <w:br w:type="page"/>
      </w:r>
    </w:p>
    <w:p w14:paraId="3FC1B03D" w14:textId="77777777" w:rsidR="00091C1C" w:rsidRPr="00814D58" w:rsidRDefault="00091C1C" w:rsidP="00091C1C">
      <w:pPr>
        <w:spacing w:line="360" w:lineRule="auto"/>
        <w:rPr>
          <w:rFonts w:ascii="Arial" w:hAnsi="Arial" w:cs="Arial"/>
          <w:b/>
          <w:bCs/>
          <w:sz w:val="24"/>
          <w:szCs w:val="24"/>
        </w:rPr>
      </w:pPr>
      <w:r w:rsidRPr="00814D58">
        <w:rPr>
          <w:rFonts w:ascii="Arial" w:hAnsi="Arial" w:cs="Arial"/>
          <w:b/>
          <w:bCs/>
          <w:sz w:val="24"/>
          <w:szCs w:val="24"/>
        </w:rPr>
        <w:lastRenderedPageBreak/>
        <w:t>References</w:t>
      </w:r>
    </w:p>
    <w:p w14:paraId="0492E59C"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Ansoff, H.I. (1957) 'Strategies for diversification', </w:t>
      </w:r>
      <w:r w:rsidRPr="00814D58">
        <w:rPr>
          <w:rFonts w:ascii="Arial" w:hAnsi="Arial" w:cs="Arial"/>
          <w:i/>
          <w:iCs/>
          <w:sz w:val="24"/>
          <w:szCs w:val="24"/>
        </w:rPr>
        <w:t>Harvard Business Review</w:t>
      </w:r>
      <w:r w:rsidRPr="00814D58">
        <w:rPr>
          <w:rFonts w:ascii="Arial" w:hAnsi="Arial" w:cs="Arial"/>
          <w:sz w:val="24"/>
          <w:szCs w:val="24"/>
        </w:rPr>
        <w:t>, 35(5), pp. 113–124.</w:t>
      </w:r>
    </w:p>
    <w:p w14:paraId="127F5629"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Barney, J.B. (1986) 'Organizational culture: can it be a source of sustained competitive advantage?', </w:t>
      </w:r>
      <w:r w:rsidRPr="00814D58">
        <w:rPr>
          <w:rFonts w:ascii="Arial" w:hAnsi="Arial" w:cs="Arial"/>
          <w:i/>
          <w:iCs/>
          <w:sz w:val="24"/>
          <w:szCs w:val="24"/>
        </w:rPr>
        <w:t>Academy of Management Review</w:t>
      </w:r>
      <w:r w:rsidRPr="00814D58">
        <w:rPr>
          <w:rFonts w:ascii="Arial" w:hAnsi="Arial" w:cs="Arial"/>
          <w:sz w:val="24"/>
          <w:szCs w:val="24"/>
        </w:rPr>
        <w:t>, 11(3), pp. 656–665.</w:t>
      </w:r>
    </w:p>
    <w:p w14:paraId="3A19171F"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Barney, J.B. (1991) 'Firm resources and sustained competitive advantage', </w:t>
      </w:r>
      <w:r w:rsidRPr="00814D58">
        <w:rPr>
          <w:rFonts w:ascii="Arial" w:hAnsi="Arial" w:cs="Arial"/>
          <w:i/>
          <w:iCs/>
          <w:sz w:val="24"/>
          <w:szCs w:val="24"/>
        </w:rPr>
        <w:t>Journal of Management</w:t>
      </w:r>
      <w:r w:rsidRPr="00814D58">
        <w:rPr>
          <w:rFonts w:ascii="Arial" w:hAnsi="Arial" w:cs="Arial"/>
          <w:sz w:val="24"/>
          <w:szCs w:val="24"/>
        </w:rPr>
        <w:t>, 17(1), pp. 99–120.</w:t>
      </w:r>
    </w:p>
    <w:p w14:paraId="6F98CAE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Barney, J.B. and Hesterly, W.S. (2019) </w:t>
      </w:r>
      <w:r w:rsidRPr="00814D58">
        <w:rPr>
          <w:rFonts w:ascii="Arial" w:hAnsi="Arial" w:cs="Arial"/>
          <w:i/>
          <w:iCs/>
          <w:sz w:val="24"/>
          <w:szCs w:val="24"/>
        </w:rPr>
        <w:t>Strategic management and competitive advantage: concepts and cases</w:t>
      </w:r>
      <w:r w:rsidRPr="00814D58">
        <w:rPr>
          <w:rFonts w:ascii="Arial" w:hAnsi="Arial" w:cs="Arial"/>
          <w:sz w:val="24"/>
          <w:szCs w:val="24"/>
        </w:rPr>
        <w:t xml:space="preserve">. 6th </w:t>
      </w:r>
      <w:proofErr w:type="spellStart"/>
      <w:r w:rsidRPr="00814D58">
        <w:rPr>
          <w:rFonts w:ascii="Arial" w:hAnsi="Arial" w:cs="Arial"/>
          <w:sz w:val="24"/>
          <w:szCs w:val="24"/>
        </w:rPr>
        <w:t>edn</w:t>
      </w:r>
      <w:proofErr w:type="spellEnd"/>
      <w:r w:rsidRPr="00814D58">
        <w:rPr>
          <w:rFonts w:ascii="Arial" w:hAnsi="Arial" w:cs="Arial"/>
          <w:sz w:val="24"/>
          <w:szCs w:val="24"/>
        </w:rPr>
        <w:t>. Harlow: Pearson.</w:t>
      </w:r>
    </w:p>
    <w:p w14:paraId="53AC635F"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Bartlett, C.A. and Beamish, P.W. (2018) </w:t>
      </w:r>
      <w:r w:rsidRPr="00814D58">
        <w:rPr>
          <w:rFonts w:ascii="Arial" w:hAnsi="Arial" w:cs="Arial"/>
          <w:i/>
          <w:iCs/>
          <w:sz w:val="24"/>
          <w:szCs w:val="24"/>
        </w:rPr>
        <w:t>Transnational management: text and cases in cross-border management</w:t>
      </w:r>
      <w:r w:rsidRPr="00814D58">
        <w:rPr>
          <w:rFonts w:ascii="Arial" w:hAnsi="Arial" w:cs="Arial"/>
          <w:sz w:val="24"/>
          <w:szCs w:val="24"/>
        </w:rPr>
        <w:t xml:space="preserve">. 8th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Cambridge: Cambridge University Press.</w:t>
      </w:r>
    </w:p>
    <w:p w14:paraId="176D0590"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Bartlett, C.A. and Ghoshal, S. (1989) </w:t>
      </w:r>
      <w:r w:rsidRPr="00814D58">
        <w:rPr>
          <w:rFonts w:ascii="Arial" w:hAnsi="Arial" w:cs="Arial"/>
          <w:i/>
          <w:iCs/>
          <w:sz w:val="24"/>
          <w:szCs w:val="24"/>
        </w:rPr>
        <w:t>Managing across borders: the transnational solution</w:t>
      </w:r>
      <w:r w:rsidRPr="00814D58">
        <w:rPr>
          <w:rFonts w:ascii="Arial" w:hAnsi="Arial" w:cs="Arial"/>
          <w:sz w:val="24"/>
          <w:szCs w:val="24"/>
        </w:rPr>
        <w:t>. Boston: Harvard Business School Press.</w:t>
      </w:r>
    </w:p>
    <w:p w14:paraId="4C7B14D1"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BBC News (2022) </w:t>
      </w:r>
      <w:r w:rsidRPr="00814D58">
        <w:rPr>
          <w:rFonts w:ascii="Arial" w:hAnsi="Arial" w:cs="Arial"/>
          <w:i/>
          <w:iCs/>
          <w:sz w:val="24"/>
          <w:szCs w:val="24"/>
        </w:rPr>
        <w:t>IKEA closes all stores in Russia</w:t>
      </w:r>
      <w:r w:rsidRPr="00814D58">
        <w:rPr>
          <w:rFonts w:ascii="Arial" w:hAnsi="Arial" w:cs="Arial"/>
          <w:sz w:val="24"/>
          <w:szCs w:val="24"/>
        </w:rPr>
        <w:t>, 4 March. Available at: </w:t>
      </w:r>
      <w:hyperlink r:id="rId11" w:history="1">
        <w:r w:rsidRPr="00814D58">
          <w:rPr>
            <w:rStyle w:val="Hyperlink"/>
            <w:rFonts w:ascii="Arial" w:hAnsi="Arial" w:cs="Arial"/>
            <w:sz w:val="24"/>
            <w:szCs w:val="24"/>
          </w:rPr>
          <w:t>https://www.bbc.co.uk/news/business-60613</w:t>
        </w:r>
      </w:hyperlink>
      <w:r w:rsidRPr="00814D58">
        <w:rPr>
          <w:rFonts w:ascii="Arial" w:hAnsi="Arial" w:cs="Arial"/>
          <w:sz w:val="24"/>
          <w:szCs w:val="24"/>
        </w:rPr>
        <w:t> (Accessed: 15 March 2025).</w:t>
      </w:r>
    </w:p>
    <w:p w14:paraId="28DA75E9"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Bloom, B.S. (1956) </w:t>
      </w:r>
      <w:r w:rsidRPr="00814D58">
        <w:rPr>
          <w:rFonts w:ascii="Arial" w:hAnsi="Arial" w:cs="Arial"/>
          <w:i/>
          <w:iCs/>
          <w:sz w:val="24"/>
          <w:szCs w:val="24"/>
        </w:rPr>
        <w:t>Taxonomy of educational objectives</w:t>
      </w:r>
      <w:r w:rsidRPr="00814D58">
        <w:rPr>
          <w:rFonts w:ascii="Arial" w:hAnsi="Arial" w:cs="Arial"/>
          <w:sz w:val="24"/>
          <w:szCs w:val="24"/>
        </w:rPr>
        <w:t>. New York: David McKay.</w:t>
      </w:r>
    </w:p>
    <w:p w14:paraId="5FEA3945" w14:textId="77777777" w:rsidR="00091C1C" w:rsidRPr="00814D58" w:rsidRDefault="00091C1C" w:rsidP="00091C1C">
      <w:pPr>
        <w:spacing w:line="360" w:lineRule="auto"/>
        <w:rPr>
          <w:rFonts w:ascii="Arial" w:hAnsi="Arial" w:cs="Arial"/>
          <w:sz w:val="24"/>
          <w:szCs w:val="24"/>
        </w:rPr>
      </w:pPr>
      <w:proofErr w:type="spellStart"/>
      <w:r w:rsidRPr="00814D58">
        <w:rPr>
          <w:rFonts w:ascii="Arial" w:hAnsi="Arial" w:cs="Arial"/>
          <w:sz w:val="24"/>
          <w:szCs w:val="24"/>
        </w:rPr>
        <w:t>Bocken</w:t>
      </w:r>
      <w:proofErr w:type="spellEnd"/>
      <w:r w:rsidRPr="00814D58">
        <w:rPr>
          <w:rFonts w:ascii="Arial" w:hAnsi="Arial" w:cs="Arial"/>
          <w:sz w:val="24"/>
          <w:szCs w:val="24"/>
        </w:rPr>
        <w:t>, N.M.P. et al. (2016) 'Product design and business model strategies for a circular economy', </w:t>
      </w:r>
      <w:r w:rsidRPr="00814D58">
        <w:rPr>
          <w:rFonts w:ascii="Arial" w:hAnsi="Arial" w:cs="Arial"/>
          <w:i/>
          <w:iCs/>
          <w:sz w:val="24"/>
          <w:szCs w:val="24"/>
        </w:rPr>
        <w:t>Journal of Industrial and Production Engineering</w:t>
      </w:r>
      <w:r w:rsidRPr="00814D58">
        <w:rPr>
          <w:rFonts w:ascii="Arial" w:hAnsi="Arial" w:cs="Arial"/>
          <w:sz w:val="24"/>
          <w:szCs w:val="24"/>
        </w:rPr>
        <w:t>, 33(5), pp. 308–320.</w:t>
      </w:r>
    </w:p>
    <w:p w14:paraId="37A3ECCD"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Bowman, C. (1998) 'Strategy in practice', </w:t>
      </w:r>
      <w:r w:rsidRPr="00814D58">
        <w:rPr>
          <w:rFonts w:ascii="Arial" w:hAnsi="Arial" w:cs="Arial"/>
          <w:i/>
          <w:iCs/>
          <w:sz w:val="24"/>
          <w:szCs w:val="24"/>
        </w:rPr>
        <w:t>European Management Journal</w:t>
      </w:r>
      <w:r w:rsidRPr="00814D58">
        <w:rPr>
          <w:rFonts w:ascii="Arial" w:hAnsi="Arial" w:cs="Arial"/>
          <w:sz w:val="24"/>
          <w:szCs w:val="24"/>
        </w:rPr>
        <w:t>, 16(1), pp. 28–36.</w:t>
      </w:r>
    </w:p>
    <w:p w14:paraId="26C03B0F"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Bowman, C. and Faulkner, D. (1997) </w:t>
      </w:r>
      <w:r w:rsidRPr="00814D58">
        <w:rPr>
          <w:rFonts w:ascii="Arial" w:hAnsi="Arial" w:cs="Arial"/>
          <w:i/>
          <w:iCs/>
          <w:sz w:val="24"/>
          <w:szCs w:val="24"/>
        </w:rPr>
        <w:t>Competitive and corporate strategy</w:t>
      </w:r>
      <w:r w:rsidRPr="00814D58">
        <w:rPr>
          <w:rFonts w:ascii="Arial" w:hAnsi="Arial" w:cs="Arial"/>
          <w:sz w:val="24"/>
          <w:szCs w:val="24"/>
        </w:rPr>
        <w:t>. London: Irwin.</w:t>
      </w:r>
    </w:p>
    <w:p w14:paraId="37A665F9"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Brand Finance (2024) </w:t>
      </w:r>
      <w:r w:rsidRPr="00814D58">
        <w:rPr>
          <w:rFonts w:ascii="Arial" w:hAnsi="Arial" w:cs="Arial"/>
          <w:i/>
          <w:iCs/>
          <w:sz w:val="24"/>
          <w:szCs w:val="24"/>
        </w:rPr>
        <w:t>Global 500 brand ranking</w:t>
      </w:r>
      <w:r w:rsidRPr="00814D58">
        <w:rPr>
          <w:rFonts w:ascii="Arial" w:hAnsi="Arial" w:cs="Arial"/>
          <w:sz w:val="24"/>
          <w:szCs w:val="24"/>
        </w:rPr>
        <w:t>. London: Brand Finance.</w:t>
      </w:r>
    </w:p>
    <w:p w14:paraId="05A2CBCA"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Brynjolfsson, E. and McAfee, A. (2017) </w:t>
      </w:r>
      <w:r w:rsidRPr="00814D58">
        <w:rPr>
          <w:rFonts w:ascii="Arial" w:hAnsi="Arial" w:cs="Arial"/>
          <w:i/>
          <w:iCs/>
          <w:sz w:val="24"/>
          <w:szCs w:val="24"/>
        </w:rPr>
        <w:t>Machine, platform, crowd: harnessing our digital future</w:t>
      </w:r>
      <w:r w:rsidRPr="00814D58">
        <w:rPr>
          <w:rFonts w:ascii="Arial" w:hAnsi="Arial" w:cs="Arial"/>
          <w:sz w:val="24"/>
          <w:szCs w:val="24"/>
        </w:rPr>
        <w:t>. New York: Norton.</w:t>
      </w:r>
    </w:p>
    <w:p w14:paraId="5170BF0D"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lastRenderedPageBreak/>
        <w:t>Carroll, A.B. and Shabana, K.M. (2010) 'The business case for corporate social responsibility: a review of concepts, research and practice', </w:t>
      </w:r>
      <w:r w:rsidRPr="00814D58">
        <w:rPr>
          <w:rFonts w:ascii="Arial" w:hAnsi="Arial" w:cs="Arial"/>
          <w:i/>
          <w:iCs/>
          <w:sz w:val="24"/>
          <w:szCs w:val="24"/>
        </w:rPr>
        <w:t>International Journal of Management Reviews</w:t>
      </w:r>
      <w:r w:rsidRPr="00814D58">
        <w:rPr>
          <w:rFonts w:ascii="Arial" w:hAnsi="Arial" w:cs="Arial"/>
          <w:sz w:val="24"/>
          <w:szCs w:val="24"/>
        </w:rPr>
        <w:t>, 12(1), pp. 85–105.</w:t>
      </w:r>
    </w:p>
    <w:p w14:paraId="6D5E382D"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Christensen, C.M. (1997) </w:t>
      </w:r>
      <w:r w:rsidRPr="00814D58">
        <w:rPr>
          <w:rFonts w:ascii="Arial" w:hAnsi="Arial" w:cs="Arial"/>
          <w:i/>
          <w:iCs/>
          <w:sz w:val="24"/>
          <w:szCs w:val="24"/>
        </w:rPr>
        <w:t>The innovator's dilemma</w:t>
      </w:r>
      <w:r w:rsidRPr="00814D58">
        <w:rPr>
          <w:rFonts w:ascii="Arial" w:hAnsi="Arial" w:cs="Arial"/>
          <w:sz w:val="24"/>
          <w:szCs w:val="24"/>
        </w:rPr>
        <w:t>. Boston: Harvard Business School Press.</w:t>
      </w:r>
    </w:p>
    <w:p w14:paraId="529E0A1C"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Collins, J.C. and Porras, J.I. (1996) 'Building your company's vision', </w:t>
      </w:r>
      <w:r w:rsidRPr="00814D58">
        <w:rPr>
          <w:rFonts w:ascii="Arial" w:hAnsi="Arial" w:cs="Arial"/>
          <w:i/>
          <w:iCs/>
          <w:sz w:val="24"/>
          <w:szCs w:val="24"/>
        </w:rPr>
        <w:t>Harvard Business Review</w:t>
      </w:r>
      <w:r w:rsidRPr="00814D58">
        <w:rPr>
          <w:rFonts w:ascii="Arial" w:hAnsi="Arial" w:cs="Arial"/>
          <w:sz w:val="24"/>
          <w:szCs w:val="24"/>
        </w:rPr>
        <w:t>, 74(5), pp. 65–77.</w:t>
      </w:r>
    </w:p>
    <w:p w14:paraId="13F6C671"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Cottrell, S. (2017) </w:t>
      </w:r>
      <w:r w:rsidRPr="00814D58">
        <w:rPr>
          <w:rFonts w:ascii="Arial" w:hAnsi="Arial" w:cs="Arial"/>
          <w:i/>
          <w:iCs/>
          <w:sz w:val="24"/>
          <w:szCs w:val="24"/>
        </w:rPr>
        <w:t>Critical thinking skills</w:t>
      </w:r>
      <w:r w:rsidRPr="00814D58">
        <w:rPr>
          <w:rFonts w:ascii="Arial" w:hAnsi="Arial" w:cs="Arial"/>
          <w:sz w:val="24"/>
          <w:szCs w:val="24"/>
        </w:rPr>
        <w:t xml:space="preserve">. 3rd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London: Red Globe Press.</w:t>
      </w:r>
    </w:p>
    <w:p w14:paraId="7D279099" w14:textId="77777777" w:rsidR="00091C1C" w:rsidRPr="00814D58" w:rsidRDefault="00091C1C" w:rsidP="00091C1C">
      <w:pPr>
        <w:spacing w:line="360" w:lineRule="auto"/>
        <w:rPr>
          <w:rFonts w:ascii="Arial" w:hAnsi="Arial" w:cs="Arial"/>
          <w:sz w:val="24"/>
          <w:szCs w:val="24"/>
        </w:rPr>
      </w:pPr>
      <w:proofErr w:type="spellStart"/>
      <w:r w:rsidRPr="00814D58">
        <w:rPr>
          <w:rFonts w:ascii="Arial" w:hAnsi="Arial" w:cs="Arial"/>
          <w:sz w:val="24"/>
          <w:szCs w:val="24"/>
        </w:rPr>
        <w:t>Dahlvig</w:t>
      </w:r>
      <w:proofErr w:type="spellEnd"/>
      <w:r w:rsidRPr="00814D58">
        <w:rPr>
          <w:rFonts w:ascii="Arial" w:hAnsi="Arial" w:cs="Arial"/>
          <w:sz w:val="24"/>
          <w:szCs w:val="24"/>
        </w:rPr>
        <w:t>, A. (2012) </w:t>
      </w:r>
      <w:r w:rsidRPr="00814D58">
        <w:rPr>
          <w:rFonts w:ascii="Arial" w:hAnsi="Arial" w:cs="Arial"/>
          <w:i/>
          <w:iCs/>
          <w:sz w:val="24"/>
          <w:szCs w:val="24"/>
        </w:rPr>
        <w:t xml:space="preserve">The IKEA edge: building global growth and social </w:t>
      </w:r>
      <w:proofErr w:type="gramStart"/>
      <w:r w:rsidRPr="00814D58">
        <w:rPr>
          <w:rFonts w:ascii="Arial" w:hAnsi="Arial" w:cs="Arial"/>
          <w:i/>
          <w:iCs/>
          <w:sz w:val="24"/>
          <w:szCs w:val="24"/>
        </w:rPr>
        <w:t>good</w:t>
      </w:r>
      <w:proofErr w:type="gramEnd"/>
      <w:r w:rsidRPr="00814D58">
        <w:rPr>
          <w:rFonts w:ascii="Arial" w:hAnsi="Arial" w:cs="Arial"/>
          <w:i/>
          <w:iCs/>
          <w:sz w:val="24"/>
          <w:szCs w:val="24"/>
        </w:rPr>
        <w:t xml:space="preserve"> at the world's most iconic home store</w:t>
      </w:r>
      <w:r w:rsidRPr="00814D58">
        <w:rPr>
          <w:rFonts w:ascii="Arial" w:hAnsi="Arial" w:cs="Arial"/>
          <w:sz w:val="24"/>
          <w:szCs w:val="24"/>
        </w:rPr>
        <w:t>. New York: McGraw-Hill.</w:t>
      </w:r>
    </w:p>
    <w:p w14:paraId="71E33C95"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 xml:space="preserve">Davenport, T.H. and </w:t>
      </w:r>
      <w:proofErr w:type="spellStart"/>
      <w:r w:rsidRPr="00814D58">
        <w:rPr>
          <w:rFonts w:ascii="Arial" w:hAnsi="Arial" w:cs="Arial"/>
          <w:sz w:val="24"/>
          <w:szCs w:val="24"/>
        </w:rPr>
        <w:t>Ronanki</w:t>
      </w:r>
      <w:proofErr w:type="spellEnd"/>
      <w:r w:rsidRPr="00814D58">
        <w:rPr>
          <w:rFonts w:ascii="Arial" w:hAnsi="Arial" w:cs="Arial"/>
          <w:sz w:val="24"/>
          <w:szCs w:val="24"/>
        </w:rPr>
        <w:t>, R. (2018) 'Artificial intelligence for the real world', </w:t>
      </w:r>
      <w:r w:rsidRPr="00814D58">
        <w:rPr>
          <w:rFonts w:ascii="Arial" w:hAnsi="Arial" w:cs="Arial"/>
          <w:i/>
          <w:iCs/>
          <w:sz w:val="24"/>
          <w:szCs w:val="24"/>
        </w:rPr>
        <w:t>Harvard Business Review</w:t>
      </w:r>
      <w:r w:rsidRPr="00814D58">
        <w:rPr>
          <w:rFonts w:ascii="Arial" w:hAnsi="Arial" w:cs="Arial"/>
          <w:sz w:val="24"/>
          <w:szCs w:val="24"/>
        </w:rPr>
        <w:t>, 96(1), pp. 108–116.</w:t>
      </w:r>
    </w:p>
    <w:p w14:paraId="35981BD6"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Dierickx, I. and Cool, K. (1989) 'Asset stock accumulation and sustainability of competitive advantage', </w:t>
      </w:r>
      <w:r w:rsidRPr="00814D58">
        <w:rPr>
          <w:rFonts w:ascii="Arial" w:hAnsi="Arial" w:cs="Arial"/>
          <w:i/>
          <w:iCs/>
          <w:sz w:val="24"/>
          <w:szCs w:val="24"/>
        </w:rPr>
        <w:t>Management Science</w:t>
      </w:r>
      <w:r w:rsidRPr="00814D58">
        <w:rPr>
          <w:rFonts w:ascii="Arial" w:hAnsi="Arial" w:cs="Arial"/>
          <w:sz w:val="24"/>
          <w:szCs w:val="24"/>
        </w:rPr>
        <w:t>, 35(12), pp. 1504–1511.</w:t>
      </w:r>
    </w:p>
    <w:p w14:paraId="2770B66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Elkington, J. (1997) </w:t>
      </w:r>
      <w:r w:rsidRPr="00814D58">
        <w:rPr>
          <w:rFonts w:ascii="Arial" w:hAnsi="Arial" w:cs="Arial"/>
          <w:i/>
          <w:iCs/>
          <w:sz w:val="24"/>
          <w:szCs w:val="24"/>
        </w:rPr>
        <w:t>Cannibals with forks: the triple bottom line of 21st century business</w:t>
      </w:r>
      <w:r w:rsidRPr="00814D58">
        <w:rPr>
          <w:rFonts w:ascii="Arial" w:hAnsi="Arial" w:cs="Arial"/>
          <w:sz w:val="24"/>
          <w:szCs w:val="24"/>
        </w:rPr>
        <w:t>. Oxford: Capstone.</w:t>
      </w:r>
    </w:p>
    <w:p w14:paraId="2A11BF0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Elkington, J. (2018) 'Green swans: regenerative capitalism and the future', </w:t>
      </w:r>
      <w:proofErr w:type="spellStart"/>
      <w:r w:rsidRPr="00814D58">
        <w:rPr>
          <w:rFonts w:ascii="Arial" w:hAnsi="Arial" w:cs="Arial"/>
          <w:i/>
          <w:iCs/>
          <w:sz w:val="24"/>
          <w:szCs w:val="24"/>
        </w:rPr>
        <w:t>GreenBiz</w:t>
      </w:r>
      <w:proofErr w:type="spellEnd"/>
      <w:r w:rsidRPr="00814D58">
        <w:rPr>
          <w:rFonts w:ascii="Arial" w:hAnsi="Arial" w:cs="Arial"/>
          <w:sz w:val="24"/>
          <w:szCs w:val="24"/>
        </w:rPr>
        <w:t>, 10 September.</w:t>
      </w:r>
    </w:p>
    <w:p w14:paraId="05DAE2FD"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European Commission (2023) </w:t>
      </w:r>
      <w:r w:rsidRPr="00814D58">
        <w:rPr>
          <w:rFonts w:ascii="Arial" w:hAnsi="Arial" w:cs="Arial"/>
          <w:i/>
          <w:iCs/>
          <w:sz w:val="24"/>
          <w:szCs w:val="24"/>
        </w:rPr>
        <w:t>Right to repair directive proposal</w:t>
      </w:r>
      <w:r w:rsidRPr="00814D58">
        <w:rPr>
          <w:rFonts w:ascii="Arial" w:hAnsi="Arial" w:cs="Arial"/>
          <w:sz w:val="24"/>
          <w:szCs w:val="24"/>
        </w:rPr>
        <w:t>. Brussels: European Commission.</w:t>
      </w:r>
    </w:p>
    <w:p w14:paraId="3942BD28"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Financial Times (2023) 'Housing market cooling dampens home furnishing demand', </w:t>
      </w:r>
      <w:r w:rsidRPr="00814D58">
        <w:rPr>
          <w:rFonts w:ascii="Arial" w:hAnsi="Arial" w:cs="Arial"/>
          <w:i/>
          <w:iCs/>
          <w:sz w:val="24"/>
          <w:szCs w:val="24"/>
        </w:rPr>
        <w:t>Financial Times</w:t>
      </w:r>
      <w:r w:rsidRPr="00814D58">
        <w:rPr>
          <w:rFonts w:ascii="Arial" w:hAnsi="Arial" w:cs="Arial"/>
          <w:sz w:val="24"/>
          <w:szCs w:val="24"/>
        </w:rPr>
        <w:t>, 18 July.</w:t>
      </w:r>
    </w:p>
    <w:p w14:paraId="505F78AE"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Ghemawat, P. (2017) </w:t>
      </w:r>
      <w:r w:rsidRPr="00814D58">
        <w:rPr>
          <w:rFonts w:ascii="Arial" w:hAnsi="Arial" w:cs="Arial"/>
          <w:i/>
          <w:iCs/>
          <w:sz w:val="24"/>
          <w:szCs w:val="24"/>
        </w:rPr>
        <w:t>The new global road map: enduring strategies for turbulent times</w:t>
      </w:r>
      <w:r w:rsidRPr="00814D58">
        <w:rPr>
          <w:rFonts w:ascii="Arial" w:hAnsi="Arial" w:cs="Arial"/>
          <w:sz w:val="24"/>
          <w:szCs w:val="24"/>
        </w:rPr>
        <w:t>. Boston: Harvard Business Review Press.</w:t>
      </w:r>
    </w:p>
    <w:p w14:paraId="79A57A2F"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GHG Protocol (2023) </w:t>
      </w:r>
      <w:r w:rsidRPr="00814D58">
        <w:rPr>
          <w:rFonts w:ascii="Arial" w:hAnsi="Arial" w:cs="Arial"/>
          <w:i/>
          <w:iCs/>
          <w:sz w:val="24"/>
          <w:szCs w:val="24"/>
        </w:rPr>
        <w:t>Corporate value chain (Scope 3) accounting and reporting standard</w:t>
      </w:r>
      <w:r w:rsidRPr="00814D58">
        <w:rPr>
          <w:rFonts w:ascii="Arial" w:hAnsi="Arial" w:cs="Arial"/>
          <w:sz w:val="24"/>
          <w:szCs w:val="24"/>
        </w:rPr>
        <w:t>. Washington, DC: World Resources Institute.</w:t>
      </w:r>
    </w:p>
    <w:p w14:paraId="5C4D4825"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Grant, R.M. (2021) </w:t>
      </w:r>
      <w:r w:rsidRPr="00814D58">
        <w:rPr>
          <w:rFonts w:ascii="Arial" w:hAnsi="Arial" w:cs="Arial"/>
          <w:i/>
          <w:iCs/>
          <w:sz w:val="24"/>
          <w:szCs w:val="24"/>
        </w:rPr>
        <w:t>Contemporary strategy analysis</w:t>
      </w:r>
      <w:r w:rsidRPr="00814D58">
        <w:rPr>
          <w:rFonts w:ascii="Arial" w:hAnsi="Arial" w:cs="Arial"/>
          <w:sz w:val="24"/>
          <w:szCs w:val="24"/>
        </w:rPr>
        <w:t xml:space="preserve">. 11th </w:t>
      </w:r>
      <w:proofErr w:type="spellStart"/>
      <w:r w:rsidRPr="00814D58">
        <w:rPr>
          <w:rFonts w:ascii="Arial" w:hAnsi="Arial" w:cs="Arial"/>
          <w:sz w:val="24"/>
          <w:szCs w:val="24"/>
        </w:rPr>
        <w:t>edn</w:t>
      </w:r>
      <w:proofErr w:type="spellEnd"/>
      <w:r w:rsidRPr="00814D58">
        <w:rPr>
          <w:rFonts w:ascii="Arial" w:hAnsi="Arial" w:cs="Arial"/>
          <w:sz w:val="24"/>
          <w:szCs w:val="24"/>
        </w:rPr>
        <w:t>. Hoboken: Wiley.</w:t>
      </w:r>
    </w:p>
    <w:p w14:paraId="1BD5A30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lastRenderedPageBreak/>
        <w:t>Hambrick, D.C., MacMillan, I.C. and Day, D.L. (1982) 'Strategic attributes and performance in the BCG matrix', </w:t>
      </w:r>
      <w:r w:rsidRPr="00814D58">
        <w:rPr>
          <w:rFonts w:ascii="Arial" w:hAnsi="Arial" w:cs="Arial"/>
          <w:i/>
          <w:iCs/>
          <w:sz w:val="24"/>
          <w:szCs w:val="24"/>
        </w:rPr>
        <w:t>Academy of Management Journal</w:t>
      </w:r>
      <w:r w:rsidRPr="00814D58">
        <w:rPr>
          <w:rFonts w:ascii="Arial" w:hAnsi="Arial" w:cs="Arial"/>
          <w:sz w:val="24"/>
          <w:szCs w:val="24"/>
        </w:rPr>
        <w:t>, 25(3), pp. 510–531.</w:t>
      </w:r>
    </w:p>
    <w:p w14:paraId="6DDB6F52"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Handy, C. (1993) </w:t>
      </w:r>
      <w:r w:rsidRPr="00814D58">
        <w:rPr>
          <w:rFonts w:ascii="Arial" w:hAnsi="Arial" w:cs="Arial"/>
          <w:i/>
          <w:iCs/>
          <w:sz w:val="24"/>
          <w:szCs w:val="24"/>
        </w:rPr>
        <w:t>Understanding organizations</w:t>
      </w:r>
      <w:r w:rsidRPr="00814D58">
        <w:rPr>
          <w:rFonts w:ascii="Arial" w:hAnsi="Arial" w:cs="Arial"/>
          <w:sz w:val="24"/>
          <w:szCs w:val="24"/>
        </w:rPr>
        <w:t xml:space="preserve">. 4th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London: Penguin.</w:t>
      </w:r>
    </w:p>
    <w:p w14:paraId="164A96B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Helms, M.M. and Nixon, J. (2010) 'Exploring SWOT analysis – where are we now?', </w:t>
      </w:r>
      <w:r w:rsidRPr="00814D58">
        <w:rPr>
          <w:rFonts w:ascii="Arial" w:hAnsi="Arial" w:cs="Arial"/>
          <w:i/>
          <w:iCs/>
          <w:sz w:val="24"/>
          <w:szCs w:val="24"/>
        </w:rPr>
        <w:t>Journal of Strategy and Management</w:t>
      </w:r>
      <w:r w:rsidRPr="00814D58">
        <w:rPr>
          <w:rFonts w:ascii="Arial" w:hAnsi="Arial" w:cs="Arial"/>
          <w:sz w:val="24"/>
          <w:szCs w:val="24"/>
        </w:rPr>
        <w:t>, 3(3), pp. 215–251.</w:t>
      </w:r>
    </w:p>
    <w:p w14:paraId="468418E2"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Henderson, B.D. (1979) </w:t>
      </w:r>
      <w:r w:rsidRPr="00814D58">
        <w:rPr>
          <w:rFonts w:ascii="Arial" w:hAnsi="Arial" w:cs="Arial"/>
          <w:i/>
          <w:iCs/>
          <w:sz w:val="24"/>
          <w:szCs w:val="24"/>
        </w:rPr>
        <w:t>Henderson on corporate strategy</w:t>
      </w:r>
      <w:r w:rsidRPr="00814D58">
        <w:rPr>
          <w:rFonts w:ascii="Arial" w:hAnsi="Arial" w:cs="Arial"/>
          <w:sz w:val="24"/>
          <w:szCs w:val="24"/>
        </w:rPr>
        <w:t>. Cambridge, MA: Abt Books.</w:t>
      </w:r>
    </w:p>
    <w:p w14:paraId="54BB775C"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Hofstede, G., Hofstede, G.J. and Minkov, M. (2010) </w:t>
      </w:r>
      <w:r w:rsidRPr="00814D58">
        <w:rPr>
          <w:rFonts w:ascii="Arial" w:hAnsi="Arial" w:cs="Arial"/>
          <w:i/>
          <w:iCs/>
          <w:sz w:val="24"/>
          <w:szCs w:val="24"/>
        </w:rPr>
        <w:t>Cultures and organizations: software of the mind</w:t>
      </w:r>
      <w:r w:rsidRPr="00814D58">
        <w:rPr>
          <w:rFonts w:ascii="Arial" w:hAnsi="Arial" w:cs="Arial"/>
          <w:sz w:val="24"/>
          <w:szCs w:val="24"/>
        </w:rPr>
        <w:t xml:space="preserve">. 3rd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New York: McGraw-Hill.</w:t>
      </w:r>
    </w:p>
    <w:p w14:paraId="36DED56C"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Hultman, J. et al. (2012) 'The IKEA phenomenon: product design, global supply chains, and the retail experience', </w:t>
      </w:r>
      <w:r w:rsidRPr="00814D58">
        <w:rPr>
          <w:rFonts w:ascii="Arial" w:hAnsi="Arial" w:cs="Arial"/>
          <w:i/>
          <w:iCs/>
          <w:sz w:val="24"/>
          <w:szCs w:val="24"/>
        </w:rPr>
        <w:t>International Journal of Retail &amp; Distribution Management</w:t>
      </w:r>
      <w:r w:rsidRPr="00814D58">
        <w:rPr>
          <w:rFonts w:ascii="Arial" w:hAnsi="Arial" w:cs="Arial"/>
          <w:sz w:val="24"/>
          <w:szCs w:val="24"/>
        </w:rPr>
        <w:t>, 40(11), pp. 845–860.</w:t>
      </w:r>
    </w:p>
    <w:p w14:paraId="1DAE5146"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IBISWorld (2024) </w:t>
      </w:r>
      <w:r w:rsidRPr="00814D58">
        <w:rPr>
          <w:rFonts w:ascii="Arial" w:hAnsi="Arial" w:cs="Arial"/>
          <w:i/>
          <w:iCs/>
          <w:sz w:val="24"/>
          <w:szCs w:val="24"/>
        </w:rPr>
        <w:t>Home services market report</w:t>
      </w:r>
      <w:r w:rsidRPr="00814D58">
        <w:rPr>
          <w:rFonts w:ascii="Arial" w:hAnsi="Arial" w:cs="Arial"/>
          <w:sz w:val="24"/>
          <w:szCs w:val="24"/>
        </w:rPr>
        <w:t>. Melbourne: IBISWorld.</w:t>
      </w:r>
    </w:p>
    <w:p w14:paraId="4370B762"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IKEA (2024) </w:t>
      </w:r>
      <w:r w:rsidRPr="00814D58">
        <w:rPr>
          <w:rFonts w:ascii="Arial" w:hAnsi="Arial" w:cs="Arial"/>
          <w:i/>
          <w:iCs/>
          <w:sz w:val="24"/>
          <w:szCs w:val="24"/>
        </w:rPr>
        <w:t>About IKEA</w:t>
      </w:r>
      <w:r w:rsidRPr="00814D58">
        <w:rPr>
          <w:rFonts w:ascii="Arial" w:hAnsi="Arial" w:cs="Arial"/>
          <w:sz w:val="24"/>
          <w:szCs w:val="24"/>
        </w:rPr>
        <w:t>. Available at: </w:t>
      </w:r>
      <w:hyperlink r:id="rId12" w:history="1">
        <w:r w:rsidRPr="00814D58">
          <w:rPr>
            <w:rStyle w:val="Hyperlink"/>
            <w:rFonts w:ascii="Arial" w:hAnsi="Arial" w:cs="Arial"/>
            <w:sz w:val="24"/>
            <w:szCs w:val="24"/>
          </w:rPr>
          <w:t>https://www.ikea.com/gb/en/this-is-ikea/</w:t>
        </w:r>
      </w:hyperlink>
      <w:r w:rsidRPr="00814D58">
        <w:rPr>
          <w:rFonts w:ascii="Arial" w:hAnsi="Arial" w:cs="Arial"/>
          <w:sz w:val="24"/>
          <w:szCs w:val="24"/>
        </w:rPr>
        <w:t> (Accessed: 15 March 2025).</w:t>
      </w:r>
    </w:p>
    <w:p w14:paraId="5637F2F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IKEA Sustainability Report (2023) </w:t>
      </w:r>
      <w:r w:rsidRPr="00814D58">
        <w:rPr>
          <w:rFonts w:ascii="Arial" w:hAnsi="Arial" w:cs="Arial"/>
          <w:i/>
          <w:iCs/>
          <w:sz w:val="24"/>
          <w:szCs w:val="24"/>
        </w:rPr>
        <w:t>People &amp; planet positive</w:t>
      </w:r>
      <w:r w:rsidRPr="00814D58">
        <w:rPr>
          <w:rFonts w:ascii="Arial" w:hAnsi="Arial" w:cs="Arial"/>
          <w:sz w:val="24"/>
          <w:szCs w:val="24"/>
        </w:rPr>
        <w:t>. Leiden: Inter IKEA Group.</w:t>
      </w:r>
    </w:p>
    <w:p w14:paraId="3B7172D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Inter IKEA Group (2021) </w:t>
      </w:r>
      <w:r w:rsidRPr="00814D58">
        <w:rPr>
          <w:rFonts w:ascii="Arial" w:hAnsi="Arial" w:cs="Arial"/>
          <w:i/>
          <w:iCs/>
          <w:sz w:val="24"/>
          <w:szCs w:val="24"/>
        </w:rPr>
        <w:t>Annual report FY2020</w:t>
      </w:r>
      <w:r w:rsidRPr="00814D58">
        <w:rPr>
          <w:rFonts w:ascii="Arial" w:hAnsi="Arial" w:cs="Arial"/>
          <w:sz w:val="24"/>
          <w:szCs w:val="24"/>
        </w:rPr>
        <w:t>. Leiden: Inter IKEA Group.</w:t>
      </w:r>
    </w:p>
    <w:p w14:paraId="0A50161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Inter IKEA Group (2024) </w:t>
      </w:r>
      <w:r w:rsidRPr="00814D58">
        <w:rPr>
          <w:rFonts w:ascii="Arial" w:hAnsi="Arial" w:cs="Arial"/>
          <w:i/>
          <w:iCs/>
          <w:sz w:val="24"/>
          <w:szCs w:val="24"/>
        </w:rPr>
        <w:t>Annual summary FY2023</w:t>
      </w:r>
      <w:r w:rsidRPr="00814D58">
        <w:rPr>
          <w:rFonts w:ascii="Arial" w:hAnsi="Arial" w:cs="Arial"/>
          <w:sz w:val="24"/>
          <w:szCs w:val="24"/>
        </w:rPr>
        <w:t>. Leiden: Inter IKEA Group.</w:t>
      </w:r>
    </w:p>
    <w:p w14:paraId="3D6B9A90"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Johnson, G. (1992) 'Managing strategic change: strategy, culture and action', </w:t>
      </w:r>
      <w:r w:rsidRPr="00814D58">
        <w:rPr>
          <w:rFonts w:ascii="Arial" w:hAnsi="Arial" w:cs="Arial"/>
          <w:i/>
          <w:iCs/>
          <w:sz w:val="24"/>
          <w:szCs w:val="24"/>
        </w:rPr>
        <w:t>Long Range Planning</w:t>
      </w:r>
      <w:r w:rsidRPr="00814D58">
        <w:rPr>
          <w:rFonts w:ascii="Arial" w:hAnsi="Arial" w:cs="Arial"/>
          <w:sz w:val="24"/>
          <w:szCs w:val="24"/>
        </w:rPr>
        <w:t>, 25(1), pp. 28–36.</w:t>
      </w:r>
    </w:p>
    <w:p w14:paraId="641560F9"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Johnson, G., Whittington, R. and Scholes, K. (2017) </w:t>
      </w:r>
      <w:r w:rsidRPr="00814D58">
        <w:rPr>
          <w:rFonts w:ascii="Arial" w:hAnsi="Arial" w:cs="Arial"/>
          <w:i/>
          <w:iCs/>
          <w:sz w:val="24"/>
          <w:szCs w:val="24"/>
        </w:rPr>
        <w:t>Exploring strategy: text and cases</w:t>
      </w:r>
      <w:r w:rsidRPr="00814D58">
        <w:rPr>
          <w:rFonts w:ascii="Arial" w:hAnsi="Arial" w:cs="Arial"/>
          <w:sz w:val="24"/>
          <w:szCs w:val="24"/>
        </w:rPr>
        <w:t xml:space="preserve">. 11th </w:t>
      </w:r>
      <w:proofErr w:type="spellStart"/>
      <w:r w:rsidRPr="00814D58">
        <w:rPr>
          <w:rFonts w:ascii="Arial" w:hAnsi="Arial" w:cs="Arial"/>
          <w:sz w:val="24"/>
          <w:szCs w:val="24"/>
        </w:rPr>
        <w:t>edn</w:t>
      </w:r>
      <w:proofErr w:type="spellEnd"/>
      <w:r w:rsidRPr="00814D58">
        <w:rPr>
          <w:rFonts w:ascii="Arial" w:hAnsi="Arial" w:cs="Arial"/>
          <w:sz w:val="24"/>
          <w:szCs w:val="24"/>
        </w:rPr>
        <w:t>. Harlow: Pearson.</w:t>
      </w:r>
    </w:p>
    <w:p w14:paraId="2336286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Jonsson, A. and Foss, N.J. (2011) 'International expansion through flexible replication: learning from the internationalization experience of IKEA', </w:t>
      </w:r>
      <w:r w:rsidRPr="00814D58">
        <w:rPr>
          <w:rFonts w:ascii="Arial" w:hAnsi="Arial" w:cs="Arial"/>
          <w:i/>
          <w:iCs/>
          <w:sz w:val="24"/>
          <w:szCs w:val="24"/>
        </w:rPr>
        <w:t>Journal of International Business Studies</w:t>
      </w:r>
      <w:r w:rsidRPr="00814D58">
        <w:rPr>
          <w:rFonts w:ascii="Arial" w:hAnsi="Arial" w:cs="Arial"/>
          <w:sz w:val="24"/>
          <w:szCs w:val="24"/>
        </w:rPr>
        <w:t>, 42(9), pp. 1079–1102.</w:t>
      </w:r>
    </w:p>
    <w:p w14:paraId="6FB9634A"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lastRenderedPageBreak/>
        <w:t>Kaplan, R.S. and Norton, D.P. (1992) 'The balanced scorecard: measures that drive performance', </w:t>
      </w:r>
      <w:r w:rsidRPr="00814D58">
        <w:rPr>
          <w:rFonts w:ascii="Arial" w:hAnsi="Arial" w:cs="Arial"/>
          <w:i/>
          <w:iCs/>
          <w:sz w:val="24"/>
          <w:szCs w:val="24"/>
        </w:rPr>
        <w:t>Harvard Business Review</w:t>
      </w:r>
      <w:r w:rsidRPr="00814D58">
        <w:rPr>
          <w:rFonts w:ascii="Arial" w:hAnsi="Arial" w:cs="Arial"/>
          <w:sz w:val="24"/>
          <w:szCs w:val="24"/>
        </w:rPr>
        <w:t>, 70(1), pp. 71–79.</w:t>
      </w:r>
    </w:p>
    <w:p w14:paraId="36230698"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Kaplan, R.S. and Norton, D.P. (1996) </w:t>
      </w:r>
      <w:r w:rsidRPr="00814D58">
        <w:rPr>
          <w:rFonts w:ascii="Arial" w:hAnsi="Arial" w:cs="Arial"/>
          <w:i/>
          <w:iCs/>
          <w:sz w:val="24"/>
          <w:szCs w:val="24"/>
        </w:rPr>
        <w:t>The balanced scorecard: translating strategy into action</w:t>
      </w:r>
      <w:r w:rsidRPr="00814D58">
        <w:rPr>
          <w:rFonts w:ascii="Arial" w:hAnsi="Arial" w:cs="Arial"/>
          <w:sz w:val="24"/>
          <w:szCs w:val="24"/>
        </w:rPr>
        <w:t>. Boston: Harvard Business School Press.</w:t>
      </w:r>
    </w:p>
    <w:p w14:paraId="78C0C0A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Kapferer, J.N. (2012) </w:t>
      </w:r>
      <w:r w:rsidRPr="00814D58">
        <w:rPr>
          <w:rFonts w:ascii="Arial" w:hAnsi="Arial" w:cs="Arial"/>
          <w:i/>
          <w:iCs/>
          <w:sz w:val="24"/>
          <w:szCs w:val="24"/>
        </w:rPr>
        <w:t>The new strategic brand management</w:t>
      </w:r>
      <w:r w:rsidRPr="00814D58">
        <w:rPr>
          <w:rFonts w:ascii="Arial" w:hAnsi="Arial" w:cs="Arial"/>
          <w:sz w:val="24"/>
          <w:szCs w:val="24"/>
        </w:rPr>
        <w:t xml:space="preserve">. 5th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London: Kogan Page.</w:t>
      </w:r>
    </w:p>
    <w:p w14:paraId="15AC5CF4"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Kay, J. (1993) </w:t>
      </w:r>
      <w:r w:rsidRPr="00814D58">
        <w:rPr>
          <w:rFonts w:ascii="Arial" w:hAnsi="Arial" w:cs="Arial"/>
          <w:i/>
          <w:iCs/>
          <w:sz w:val="24"/>
          <w:szCs w:val="24"/>
        </w:rPr>
        <w:t>Foundations of corporate success</w:t>
      </w:r>
      <w:r w:rsidRPr="00814D58">
        <w:rPr>
          <w:rFonts w:ascii="Arial" w:hAnsi="Arial" w:cs="Arial"/>
          <w:sz w:val="24"/>
          <w:szCs w:val="24"/>
        </w:rPr>
        <w:t>. Oxford: Oxford University Press.</w:t>
      </w:r>
    </w:p>
    <w:p w14:paraId="1076C7CC"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Kolb, D.A. (1984) </w:t>
      </w:r>
      <w:r w:rsidRPr="00814D58">
        <w:rPr>
          <w:rFonts w:ascii="Arial" w:hAnsi="Arial" w:cs="Arial"/>
          <w:i/>
          <w:iCs/>
          <w:sz w:val="24"/>
          <w:szCs w:val="24"/>
        </w:rPr>
        <w:t>Experiential learning: experience as the source of learning and development</w:t>
      </w:r>
      <w:r w:rsidRPr="00814D58">
        <w:rPr>
          <w:rFonts w:ascii="Arial" w:hAnsi="Arial" w:cs="Arial"/>
          <w:sz w:val="24"/>
          <w:szCs w:val="24"/>
        </w:rPr>
        <w:t>. Englewood Cliffs: Prentice Hall.</w:t>
      </w:r>
    </w:p>
    <w:p w14:paraId="37DB97B4"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Kotter, J.P. (1996) </w:t>
      </w:r>
      <w:r w:rsidRPr="00814D58">
        <w:rPr>
          <w:rFonts w:ascii="Arial" w:hAnsi="Arial" w:cs="Arial"/>
          <w:i/>
          <w:iCs/>
          <w:sz w:val="24"/>
          <w:szCs w:val="24"/>
        </w:rPr>
        <w:t>Leading change</w:t>
      </w:r>
      <w:r w:rsidRPr="00814D58">
        <w:rPr>
          <w:rFonts w:ascii="Arial" w:hAnsi="Arial" w:cs="Arial"/>
          <w:sz w:val="24"/>
          <w:szCs w:val="24"/>
        </w:rPr>
        <w:t>. Boston: Harvard Business School Press.</w:t>
      </w:r>
    </w:p>
    <w:p w14:paraId="7E57AFE0"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Lewin, K. (1951) </w:t>
      </w:r>
      <w:r w:rsidRPr="00814D58">
        <w:rPr>
          <w:rFonts w:ascii="Arial" w:hAnsi="Arial" w:cs="Arial"/>
          <w:i/>
          <w:iCs/>
          <w:sz w:val="24"/>
          <w:szCs w:val="24"/>
        </w:rPr>
        <w:t>Field theory in social science</w:t>
      </w:r>
      <w:r w:rsidRPr="00814D58">
        <w:rPr>
          <w:rFonts w:ascii="Arial" w:hAnsi="Arial" w:cs="Arial"/>
          <w:sz w:val="24"/>
          <w:szCs w:val="24"/>
        </w:rPr>
        <w:t>. New York: Harper &amp; Row.</w:t>
      </w:r>
    </w:p>
    <w:p w14:paraId="05031C44"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 xml:space="preserve">Lippman, S.A. and </w:t>
      </w:r>
      <w:proofErr w:type="spellStart"/>
      <w:r w:rsidRPr="00814D58">
        <w:rPr>
          <w:rFonts w:ascii="Arial" w:hAnsi="Arial" w:cs="Arial"/>
          <w:sz w:val="24"/>
          <w:szCs w:val="24"/>
        </w:rPr>
        <w:t>Rumelt</w:t>
      </w:r>
      <w:proofErr w:type="spellEnd"/>
      <w:r w:rsidRPr="00814D58">
        <w:rPr>
          <w:rFonts w:ascii="Arial" w:hAnsi="Arial" w:cs="Arial"/>
          <w:sz w:val="24"/>
          <w:szCs w:val="24"/>
        </w:rPr>
        <w:t>, R.P. (1982) 'Uncertain imitability: an analysis of interfirm differences in efficiency under competition', </w:t>
      </w:r>
      <w:r w:rsidRPr="00814D58">
        <w:rPr>
          <w:rFonts w:ascii="Arial" w:hAnsi="Arial" w:cs="Arial"/>
          <w:i/>
          <w:iCs/>
          <w:sz w:val="24"/>
          <w:szCs w:val="24"/>
        </w:rPr>
        <w:t>Bell Journal of Economics</w:t>
      </w:r>
      <w:r w:rsidRPr="00814D58">
        <w:rPr>
          <w:rFonts w:ascii="Arial" w:hAnsi="Arial" w:cs="Arial"/>
          <w:sz w:val="24"/>
          <w:szCs w:val="24"/>
        </w:rPr>
        <w:t>, 13(2), pp. 418–438.</w:t>
      </w:r>
    </w:p>
    <w:p w14:paraId="636001CA"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Lowe, S. (2023) 'Brexit and supply chain disruption in UK retail', </w:t>
      </w:r>
      <w:r w:rsidRPr="00814D58">
        <w:rPr>
          <w:rFonts w:ascii="Arial" w:hAnsi="Arial" w:cs="Arial"/>
          <w:i/>
          <w:iCs/>
          <w:sz w:val="24"/>
          <w:szCs w:val="24"/>
        </w:rPr>
        <w:t>The Guardian</w:t>
      </w:r>
      <w:r w:rsidRPr="00814D58">
        <w:rPr>
          <w:rFonts w:ascii="Arial" w:hAnsi="Arial" w:cs="Arial"/>
          <w:sz w:val="24"/>
          <w:szCs w:val="24"/>
        </w:rPr>
        <w:t>, 12 January.</w:t>
      </w:r>
    </w:p>
    <w:p w14:paraId="75319F36"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Lynch, R. (2021) </w:t>
      </w:r>
      <w:r w:rsidRPr="00814D58">
        <w:rPr>
          <w:rFonts w:ascii="Arial" w:hAnsi="Arial" w:cs="Arial"/>
          <w:i/>
          <w:iCs/>
          <w:sz w:val="24"/>
          <w:szCs w:val="24"/>
        </w:rPr>
        <w:t>Strategic management</w:t>
      </w:r>
      <w:r w:rsidRPr="00814D58">
        <w:rPr>
          <w:rFonts w:ascii="Arial" w:hAnsi="Arial" w:cs="Arial"/>
          <w:sz w:val="24"/>
          <w:szCs w:val="24"/>
        </w:rPr>
        <w:t xml:space="preserve">. 9th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Harlow: Pearson.</w:t>
      </w:r>
    </w:p>
    <w:p w14:paraId="0BB5CBFD"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McKinsey (2022) </w:t>
      </w:r>
      <w:r w:rsidRPr="00814D58">
        <w:rPr>
          <w:rFonts w:ascii="Arial" w:hAnsi="Arial" w:cs="Arial"/>
          <w:i/>
          <w:iCs/>
          <w:sz w:val="24"/>
          <w:szCs w:val="24"/>
        </w:rPr>
        <w:t>The state of the home furnishings market</w:t>
      </w:r>
      <w:r w:rsidRPr="00814D58">
        <w:rPr>
          <w:rFonts w:ascii="Arial" w:hAnsi="Arial" w:cs="Arial"/>
          <w:sz w:val="24"/>
          <w:szCs w:val="24"/>
        </w:rPr>
        <w:t>. New York: McKinsey &amp; Company.</w:t>
      </w:r>
    </w:p>
    <w:p w14:paraId="585F55A4"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Mintzberg, H. (1994) </w:t>
      </w:r>
      <w:r w:rsidRPr="00814D58">
        <w:rPr>
          <w:rFonts w:ascii="Arial" w:hAnsi="Arial" w:cs="Arial"/>
          <w:i/>
          <w:iCs/>
          <w:sz w:val="24"/>
          <w:szCs w:val="24"/>
        </w:rPr>
        <w:t>The rise and fall of strategic planning</w:t>
      </w:r>
      <w:r w:rsidRPr="00814D58">
        <w:rPr>
          <w:rFonts w:ascii="Arial" w:hAnsi="Arial" w:cs="Arial"/>
          <w:sz w:val="24"/>
          <w:szCs w:val="24"/>
        </w:rPr>
        <w:t>. New York: Free Press.</w:t>
      </w:r>
    </w:p>
    <w:p w14:paraId="5C655F46"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Moon, J. (2004) </w:t>
      </w:r>
      <w:r w:rsidRPr="00814D58">
        <w:rPr>
          <w:rFonts w:ascii="Arial" w:hAnsi="Arial" w:cs="Arial"/>
          <w:i/>
          <w:iCs/>
          <w:sz w:val="24"/>
          <w:szCs w:val="24"/>
        </w:rPr>
        <w:t>A handbook of reflective and experiential learning</w:t>
      </w:r>
      <w:r w:rsidRPr="00814D58">
        <w:rPr>
          <w:rFonts w:ascii="Arial" w:hAnsi="Arial" w:cs="Arial"/>
          <w:sz w:val="24"/>
          <w:szCs w:val="24"/>
        </w:rPr>
        <w:t>. London: Routledge.</w:t>
      </w:r>
    </w:p>
    <w:p w14:paraId="3804F372"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Niven, P.R. (2014) </w:t>
      </w:r>
      <w:r w:rsidRPr="00814D58">
        <w:rPr>
          <w:rFonts w:ascii="Arial" w:hAnsi="Arial" w:cs="Arial"/>
          <w:i/>
          <w:iCs/>
          <w:sz w:val="24"/>
          <w:szCs w:val="24"/>
        </w:rPr>
        <w:t>Balanced scorecard: step-by-step</w:t>
      </w:r>
      <w:r w:rsidRPr="00814D58">
        <w:rPr>
          <w:rFonts w:ascii="Arial" w:hAnsi="Arial" w:cs="Arial"/>
          <w:sz w:val="24"/>
          <w:szCs w:val="24"/>
        </w:rPr>
        <w:t xml:space="preserve">. 2nd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Hoboken: Wiley.</w:t>
      </w:r>
    </w:p>
    <w:p w14:paraId="30FC2F49"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Normann, R. and Ramírez, R. (1993) 'From value chain to value constellation: designing interactive strategy', </w:t>
      </w:r>
      <w:r w:rsidRPr="00814D58">
        <w:rPr>
          <w:rFonts w:ascii="Arial" w:hAnsi="Arial" w:cs="Arial"/>
          <w:i/>
          <w:iCs/>
          <w:sz w:val="24"/>
          <w:szCs w:val="24"/>
        </w:rPr>
        <w:t>Harvard Business Review</w:t>
      </w:r>
      <w:r w:rsidRPr="00814D58">
        <w:rPr>
          <w:rFonts w:ascii="Arial" w:hAnsi="Arial" w:cs="Arial"/>
          <w:sz w:val="24"/>
          <w:szCs w:val="24"/>
        </w:rPr>
        <w:t>, 71(4), pp. 65–77.</w:t>
      </w:r>
    </w:p>
    <w:p w14:paraId="55AED950"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Pfeffer, J. (2018) </w:t>
      </w:r>
      <w:r w:rsidRPr="00814D58">
        <w:rPr>
          <w:rFonts w:ascii="Arial" w:hAnsi="Arial" w:cs="Arial"/>
          <w:i/>
          <w:iCs/>
          <w:sz w:val="24"/>
          <w:szCs w:val="24"/>
        </w:rPr>
        <w:t>Dying for a paycheck</w:t>
      </w:r>
      <w:r w:rsidRPr="00814D58">
        <w:rPr>
          <w:rFonts w:ascii="Arial" w:hAnsi="Arial" w:cs="Arial"/>
          <w:sz w:val="24"/>
          <w:szCs w:val="24"/>
        </w:rPr>
        <w:t>. New York: HarperCollins.</w:t>
      </w:r>
    </w:p>
    <w:p w14:paraId="2FD3AB14"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lastRenderedPageBreak/>
        <w:t>Porter, M.E. (1985) </w:t>
      </w:r>
      <w:r w:rsidRPr="00814D58">
        <w:rPr>
          <w:rFonts w:ascii="Arial" w:hAnsi="Arial" w:cs="Arial"/>
          <w:i/>
          <w:iCs/>
          <w:sz w:val="24"/>
          <w:szCs w:val="24"/>
        </w:rPr>
        <w:t>Competitive advantage: creating and sustaining superior performance</w:t>
      </w:r>
      <w:r w:rsidRPr="00814D58">
        <w:rPr>
          <w:rFonts w:ascii="Arial" w:hAnsi="Arial" w:cs="Arial"/>
          <w:sz w:val="24"/>
          <w:szCs w:val="24"/>
        </w:rPr>
        <w:t>. New York: Free Press.</w:t>
      </w:r>
    </w:p>
    <w:p w14:paraId="6656F00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Porter, M.E. (2008) 'The five competitive forces that shape strategy', </w:t>
      </w:r>
      <w:r w:rsidRPr="00814D58">
        <w:rPr>
          <w:rFonts w:ascii="Arial" w:hAnsi="Arial" w:cs="Arial"/>
          <w:i/>
          <w:iCs/>
          <w:sz w:val="24"/>
          <w:szCs w:val="24"/>
        </w:rPr>
        <w:t>Harvard Business Review</w:t>
      </w:r>
      <w:r w:rsidRPr="00814D58">
        <w:rPr>
          <w:rFonts w:ascii="Arial" w:hAnsi="Arial" w:cs="Arial"/>
          <w:sz w:val="24"/>
          <w:szCs w:val="24"/>
        </w:rPr>
        <w:t>, 86(1), pp. 78–93.</w:t>
      </w:r>
    </w:p>
    <w:p w14:paraId="3042837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Porter, M.E. and Kramer, M.R. (2011) 'Creating shared value', </w:t>
      </w:r>
      <w:r w:rsidRPr="00814D58">
        <w:rPr>
          <w:rFonts w:ascii="Arial" w:hAnsi="Arial" w:cs="Arial"/>
          <w:i/>
          <w:iCs/>
          <w:sz w:val="24"/>
          <w:szCs w:val="24"/>
        </w:rPr>
        <w:t>Harvard Business Review</w:t>
      </w:r>
      <w:r w:rsidRPr="00814D58">
        <w:rPr>
          <w:rFonts w:ascii="Arial" w:hAnsi="Arial" w:cs="Arial"/>
          <w:sz w:val="24"/>
          <w:szCs w:val="24"/>
        </w:rPr>
        <w:t>, 89(1/2), pp. 62–77.</w:t>
      </w:r>
    </w:p>
    <w:p w14:paraId="02B99CE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 xml:space="preserve">Prahalad, C.K. and </w:t>
      </w:r>
      <w:proofErr w:type="spellStart"/>
      <w:r w:rsidRPr="00814D58">
        <w:rPr>
          <w:rFonts w:ascii="Arial" w:hAnsi="Arial" w:cs="Arial"/>
          <w:sz w:val="24"/>
          <w:szCs w:val="24"/>
        </w:rPr>
        <w:t>Doz</w:t>
      </w:r>
      <w:proofErr w:type="spellEnd"/>
      <w:r w:rsidRPr="00814D58">
        <w:rPr>
          <w:rFonts w:ascii="Arial" w:hAnsi="Arial" w:cs="Arial"/>
          <w:sz w:val="24"/>
          <w:szCs w:val="24"/>
        </w:rPr>
        <w:t>, Y.L. (1987) </w:t>
      </w:r>
      <w:r w:rsidRPr="00814D58">
        <w:rPr>
          <w:rFonts w:ascii="Arial" w:hAnsi="Arial" w:cs="Arial"/>
          <w:i/>
          <w:iCs/>
          <w:sz w:val="24"/>
          <w:szCs w:val="24"/>
        </w:rPr>
        <w:t>The multinational mission: balancing local demands and global vision</w:t>
      </w:r>
      <w:r w:rsidRPr="00814D58">
        <w:rPr>
          <w:rFonts w:ascii="Arial" w:hAnsi="Arial" w:cs="Arial"/>
          <w:sz w:val="24"/>
          <w:szCs w:val="24"/>
        </w:rPr>
        <w:t>. New York: Free Press.</w:t>
      </w:r>
    </w:p>
    <w:p w14:paraId="25C4563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Prahalad, C.K. and Hamel, G. (1990) 'The core competence of the corporation', </w:t>
      </w:r>
      <w:r w:rsidRPr="00814D58">
        <w:rPr>
          <w:rFonts w:ascii="Arial" w:hAnsi="Arial" w:cs="Arial"/>
          <w:i/>
          <w:iCs/>
          <w:sz w:val="24"/>
          <w:szCs w:val="24"/>
        </w:rPr>
        <w:t>Harvard Business Review</w:t>
      </w:r>
      <w:r w:rsidRPr="00814D58">
        <w:rPr>
          <w:rFonts w:ascii="Arial" w:hAnsi="Arial" w:cs="Arial"/>
          <w:sz w:val="24"/>
          <w:szCs w:val="24"/>
        </w:rPr>
        <w:t>, 68(3), pp. 79–91.</w:t>
      </w:r>
    </w:p>
    <w:p w14:paraId="782CDDE3"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Prahalad, C.K. and Ramaswamy, V. (2004) </w:t>
      </w:r>
      <w:r w:rsidRPr="00814D58">
        <w:rPr>
          <w:rFonts w:ascii="Arial" w:hAnsi="Arial" w:cs="Arial"/>
          <w:i/>
          <w:iCs/>
          <w:sz w:val="24"/>
          <w:szCs w:val="24"/>
        </w:rPr>
        <w:t>The future of competition: co-creating unique value with customers</w:t>
      </w:r>
      <w:r w:rsidRPr="00814D58">
        <w:rPr>
          <w:rFonts w:ascii="Arial" w:hAnsi="Arial" w:cs="Arial"/>
          <w:sz w:val="24"/>
          <w:szCs w:val="24"/>
        </w:rPr>
        <w:t>. Boston: Harvard Business School Press.</w:t>
      </w:r>
    </w:p>
    <w:p w14:paraId="6C49571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Reuters (2022) 'IKEA raises prices as supply chain costs soar', </w:t>
      </w:r>
      <w:r w:rsidRPr="00814D58">
        <w:rPr>
          <w:rFonts w:ascii="Arial" w:hAnsi="Arial" w:cs="Arial"/>
          <w:i/>
          <w:iCs/>
          <w:sz w:val="24"/>
          <w:szCs w:val="24"/>
        </w:rPr>
        <w:t>Reuters</w:t>
      </w:r>
      <w:r w:rsidRPr="00814D58">
        <w:rPr>
          <w:rFonts w:ascii="Arial" w:hAnsi="Arial" w:cs="Arial"/>
          <w:sz w:val="24"/>
          <w:szCs w:val="24"/>
        </w:rPr>
        <w:t>, 23 June.</w:t>
      </w:r>
    </w:p>
    <w:p w14:paraId="549F9A92"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Rugman, A.M. and Collinson, S. (2012) </w:t>
      </w:r>
      <w:r w:rsidRPr="00814D58">
        <w:rPr>
          <w:rFonts w:ascii="Arial" w:hAnsi="Arial" w:cs="Arial"/>
          <w:i/>
          <w:iCs/>
          <w:sz w:val="24"/>
          <w:szCs w:val="24"/>
        </w:rPr>
        <w:t>International business</w:t>
      </w:r>
      <w:r w:rsidRPr="00814D58">
        <w:rPr>
          <w:rFonts w:ascii="Arial" w:hAnsi="Arial" w:cs="Arial"/>
          <w:sz w:val="24"/>
          <w:szCs w:val="24"/>
        </w:rPr>
        <w:t xml:space="preserve">. 6th </w:t>
      </w:r>
      <w:proofErr w:type="spellStart"/>
      <w:r w:rsidRPr="00814D58">
        <w:rPr>
          <w:rFonts w:ascii="Arial" w:hAnsi="Arial" w:cs="Arial"/>
          <w:sz w:val="24"/>
          <w:szCs w:val="24"/>
        </w:rPr>
        <w:t>edn</w:t>
      </w:r>
      <w:proofErr w:type="spellEnd"/>
      <w:r w:rsidRPr="00814D58">
        <w:rPr>
          <w:rFonts w:ascii="Arial" w:hAnsi="Arial" w:cs="Arial"/>
          <w:sz w:val="24"/>
          <w:szCs w:val="24"/>
        </w:rPr>
        <w:t>. Harlow: Pearson.</w:t>
      </w:r>
    </w:p>
    <w:p w14:paraId="09F9C54F"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Saunders, M., Lewis, P. and Thornhill, A. (2019) </w:t>
      </w:r>
      <w:r w:rsidRPr="00814D58">
        <w:rPr>
          <w:rFonts w:ascii="Arial" w:hAnsi="Arial" w:cs="Arial"/>
          <w:i/>
          <w:iCs/>
          <w:sz w:val="24"/>
          <w:szCs w:val="24"/>
        </w:rPr>
        <w:t>Research methods for business students</w:t>
      </w:r>
      <w:r w:rsidRPr="00814D58">
        <w:rPr>
          <w:rFonts w:ascii="Arial" w:hAnsi="Arial" w:cs="Arial"/>
          <w:sz w:val="24"/>
          <w:szCs w:val="24"/>
        </w:rPr>
        <w:t xml:space="preserve">. 8th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Harlow: Pearson.</w:t>
      </w:r>
    </w:p>
    <w:p w14:paraId="4E131B40"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Schön, D.A. (1983) </w:t>
      </w:r>
      <w:r w:rsidRPr="00814D58">
        <w:rPr>
          <w:rFonts w:ascii="Arial" w:hAnsi="Arial" w:cs="Arial"/>
          <w:i/>
          <w:iCs/>
          <w:sz w:val="24"/>
          <w:szCs w:val="24"/>
        </w:rPr>
        <w:t>The reflective practitioner: how professionals think in action</w:t>
      </w:r>
      <w:r w:rsidRPr="00814D58">
        <w:rPr>
          <w:rFonts w:ascii="Arial" w:hAnsi="Arial" w:cs="Arial"/>
          <w:sz w:val="24"/>
          <w:szCs w:val="24"/>
        </w:rPr>
        <w:t>. New York: Basic Books.</w:t>
      </w:r>
    </w:p>
    <w:p w14:paraId="4E093EE4"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Statista (2024) </w:t>
      </w:r>
      <w:r w:rsidRPr="00814D58">
        <w:rPr>
          <w:rFonts w:ascii="Arial" w:hAnsi="Arial" w:cs="Arial"/>
          <w:i/>
          <w:iCs/>
          <w:sz w:val="24"/>
          <w:szCs w:val="24"/>
        </w:rPr>
        <w:t>Furniture market worldwide</w:t>
      </w:r>
      <w:r w:rsidRPr="00814D58">
        <w:rPr>
          <w:rFonts w:ascii="Arial" w:hAnsi="Arial" w:cs="Arial"/>
          <w:sz w:val="24"/>
          <w:szCs w:val="24"/>
        </w:rPr>
        <w:t>. Hamburg: Statista.</w:t>
      </w:r>
    </w:p>
    <w:p w14:paraId="53BE8618"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Teece, D.J. (2010) 'Business models, business strategy and innovation', </w:t>
      </w:r>
      <w:r w:rsidRPr="00814D58">
        <w:rPr>
          <w:rFonts w:ascii="Arial" w:hAnsi="Arial" w:cs="Arial"/>
          <w:i/>
          <w:iCs/>
          <w:sz w:val="24"/>
          <w:szCs w:val="24"/>
        </w:rPr>
        <w:t>Long Range Planning</w:t>
      </w:r>
      <w:r w:rsidRPr="00814D58">
        <w:rPr>
          <w:rFonts w:ascii="Arial" w:hAnsi="Arial" w:cs="Arial"/>
          <w:sz w:val="24"/>
          <w:szCs w:val="24"/>
        </w:rPr>
        <w:t>, 43(2-3), pp. 172–194.</w:t>
      </w:r>
    </w:p>
    <w:p w14:paraId="4F2B3BAE"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 xml:space="preserve">Teece, D.J., Pisano, G. and </w:t>
      </w:r>
      <w:proofErr w:type="spellStart"/>
      <w:r w:rsidRPr="00814D58">
        <w:rPr>
          <w:rFonts w:ascii="Arial" w:hAnsi="Arial" w:cs="Arial"/>
          <w:sz w:val="24"/>
          <w:szCs w:val="24"/>
        </w:rPr>
        <w:t>Shuen</w:t>
      </w:r>
      <w:proofErr w:type="spellEnd"/>
      <w:r w:rsidRPr="00814D58">
        <w:rPr>
          <w:rFonts w:ascii="Arial" w:hAnsi="Arial" w:cs="Arial"/>
          <w:sz w:val="24"/>
          <w:szCs w:val="24"/>
        </w:rPr>
        <w:t>, A. (1997) 'Dynamic capabilities and strategic management', </w:t>
      </w:r>
      <w:r w:rsidRPr="00814D58">
        <w:rPr>
          <w:rFonts w:ascii="Arial" w:hAnsi="Arial" w:cs="Arial"/>
          <w:i/>
          <w:iCs/>
          <w:sz w:val="24"/>
          <w:szCs w:val="24"/>
        </w:rPr>
        <w:t>Strategic Management Journal</w:t>
      </w:r>
      <w:r w:rsidRPr="00814D58">
        <w:rPr>
          <w:rFonts w:ascii="Arial" w:hAnsi="Arial" w:cs="Arial"/>
          <w:sz w:val="24"/>
          <w:szCs w:val="24"/>
        </w:rPr>
        <w:t>, 18(7), pp. 509–533.</w:t>
      </w:r>
    </w:p>
    <w:p w14:paraId="489D70CE"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t>Thompson, A.A. et al. (2020) </w:t>
      </w:r>
      <w:r w:rsidRPr="00814D58">
        <w:rPr>
          <w:rFonts w:ascii="Arial" w:hAnsi="Arial" w:cs="Arial"/>
          <w:i/>
          <w:iCs/>
          <w:sz w:val="24"/>
          <w:szCs w:val="24"/>
        </w:rPr>
        <w:t>Crafting and executing strategy</w:t>
      </w:r>
      <w:r w:rsidRPr="00814D58">
        <w:rPr>
          <w:rFonts w:ascii="Arial" w:hAnsi="Arial" w:cs="Arial"/>
          <w:sz w:val="24"/>
          <w:szCs w:val="24"/>
        </w:rPr>
        <w:t xml:space="preserve">. 22nd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New York: McGraw-Hill.</w:t>
      </w:r>
    </w:p>
    <w:p w14:paraId="5AFD6C92" w14:textId="77777777" w:rsidR="00091C1C" w:rsidRPr="00814D58" w:rsidRDefault="00091C1C" w:rsidP="00091C1C">
      <w:pPr>
        <w:spacing w:line="360" w:lineRule="auto"/>
        <w:rPr>
          <w:rFonts w:ascii="Arial" w:hAnsi="Arial" w:cs="Arial"/>
          <w:sz w:val="24"/>
          <w:szCs w:val="24"/>
        </w:rPr>
      </w:pPr>
      <w:proofErr w:type="spellStart"/>
      <w:r w:rsidRPr="00814D58">
        <w:rPr>
          <w:rFonts w:ascii="Arial" w:hAnsi="Arial" w:cs="Arial"/>
          <w:sz w:val="24"/>
          <w:szCs w:val="24"/>
        </w:rPr>
        <w:t>Torekull</w:t>
      </w:r>
      <w:proofErr w:type="spellEnd"/>
      <w:r w:rsidRPr="00814D58">
        <w:rPr>
          <w:rFonts w:ascii="Arial" w:hAnsi="Arial" w:cs="Arial"/>
          <w:sz w:val="24"/>
          <w:szCs w:val="24"/>
        </w:rPr>
        <w:t>, B. (2012) </w:t>
      </w:r>
      <w:r w:rsidRPr="00814D58">
        <w:rPr>
          <w:rFonts w:ascii="Arial" w:hAnsi="Arial" w:cs="Arial"/>
          <w:i/>
          <w:iCs/>
          <w:sz w:val="24"/>
          <w:szCs w:val="24"/>
        </w:rPr>
        <w:t>Leading by design: the IKEA story</w:t>
      </w:r>
      <w:r w:rsidRPr="00814D58">
        <w:rPr>
          <w:rFonts w:ascii="Arial" w:hAnsi="Arial" w:cs="Arial"/>
          <w:sz w:val="24"/>
          <w:szCs w:val="24"/>
        </w:rPr>
        <w:t>. London: HarperCollins.</w:t>
      </w:r>
    </w:p>
    <w:p w14:paraId="473AFFCB" w14:textId="77777777" w:rsidR="00091C1C" w:rsidRPr="00814D58" w:rsidRDefault="00091C1C" w:rsidP="00091C1C">
      <w:pPr>
        <w:spacing w:line="360" w:lineRule="auto"/>
        <w:rPr>
          <w:rFonts w:ascii="Arial" w:hAnsi="Arial" w:cs="Arial"/>
          <w:sz w:val="24"/>
          <w:szCs w:val="24"/>
        </w:rPr>
      </w:pPr>
      <w:r w:rsidRPr="00814D58">
        <w:rPr>
          <w:rFonts w:ascii="Arial" w:hAnsi="Arial" w:cs="Arial"/>
          <w:sz w:val="24"/>
          <w:szCs w:val="24"/>
        </w:rPr>
        <w:lastRenderedPageBreak/>
        <w:t>Verbeke, A. (2013) </w:t>
      </w:r>
      <w:r w:rsidRPr="00814D58">
        <w:rPr>
          <w:rFonts w:ascii="Arial" w:hAnsi="Arial" w:cs="Arial"/>
          <w:i/>
          <w:iCs/>
          <w:sz w:val="24"/>
          <w:szCs w:val="24"/>
        </w:rPr>
        <w:t>International business strategy</w:t>
      </w:r>
      <w:r w:rsidRPr="00814D58">
        <w:rPr>
          <w:rFonts w:ascii="Arial" w:hAnsi="Arial" w:cs="Arial"/>
          <w:sz w:val="24"/>
          <w:szCs w:val="24"/>
        </w:rPr>
        <w:t xml:space="preserve">. 2nd </w:t>
      </w:r>
      <w:proofErr w:type="spellStart"/>
      <w:proofErr w:type="gramStart"/>
      <w:r w:rsidRPr="00814D58">
        <w:rPr>
          <w:rFonts w:ascii="Arial" w:hAnsi="Arial" w:cs="Arial"/>
          <w:sz w:val="24"/>
          <w:szCs w:val="24"/>
        </w:rPr>
        <w:t>edn</w:t>
      </w:r>
      <w:proofErr w:type="spellEnd"/>
      <w:proofErr w:type="gramEnd"/>
      <w:r w:rsidRPr="00814D58">
        <w:rPr>
          <w:rFonts w:ascii="Arial" w:hAnsi="Arial" w:cs="Arial"/>
          <w:sz w:val="24"/>
          <w:szCs w:val="24"/>
        </w:rPr>
        <w:t>. Cambridge: Cambridge University Press.</w:t>
      </w:r>
    </w:p>
    <w:p w14:paraId="3D73F805" w14:textId="77777777" w:rsidR="00091C1C" w:rsidRDefault="00091C1C" w:rsidP="00091C1C">
      <w:pPr>
        <w:spacing w:line="360" w:lineRule="auto"/>
        <w:rPr>
          <w:rFonts w:ascii="Arial" w:hAnsi="Arial" w:cs="Arial"/>
          <w:sz w:val="24"/>
          <w:szCs w:val="24"/>
        </w:rPr>
      </w:pPr>
      <w:r w:rsidRPr="00814D58">
        <w:rPr>
          <w:rFonts w:ascii="Arial" w:hAnsi="Arial" w:cs="Arial"/>
          <w:sz w:val="24"/>
          <w:szCs w:val="24"/>
        </w:rPr>
        <w:t>Wernerfelt, B. (1984) 'A resource-based view of the firm', </w:t>
      </w:r>
      <w:r w:rsidRPr="00814D58">
        <w:rPr>
          <w:rFonts w:ascii="Arial" w:hAnsi="Arial" w:cs="Arial"/>
          <w:i/>
          <w:iCs/>
          <w:sz w:val="24"/>
          <w:szCs w:val="24"/>
        </w:rPr>
        <w:t>Strategic Management Journal</w:t>
      </w:r>
      <w:r w:rsidRPr="00814D58">
        <w:rPr>
          <w:rFonts w:ascii="Arial" w:hAnsi="Arial" w:cs="Arial"/>
          <w:sz w:val="24"/>
          <w:szCs w:val="24"/>
        </w:rPr>
        <w:t>, 5(2), pp. 171–180.</w:t>
      </w:r>
    </w:p>
    <w:p w14:paraId="24FEB986" w14:textId="77777777" w:rsidR="00C64231" w:rsidRPr="00C64231" w:rsidRDefault="00C64231" w:rsidP="00C64231">
      <w:pPr>
        <w:spacing w:line="360" w:lineRule="auto"/>
        <w:rPr>
          <w:rFonts w:ascii="Arial" w:hAnsi="Arial" w:cs="Arial"/>
          <w:sz w:val="24"/>
          <w:szCs w:val="24"/>
        </w:rPr>
      </w:pPr>
      <w:r w:rsidRPr="00C64231">
        <w:rPr>
          <w:rFonts w:ascii="Arial" w:hAnsi="Arial" w:cs="Arial"/>
          <w:sz w:val="24"/>
          <w:szCs w:val="24"/>
        </w:rPr>
        <w:t xml:space="preserve">Bharadwaj, A., El </w:t>
      </w:r>
      <w:proofErr w:type="spellStart"/>
      <w:r w:rsidRPr="00C64231">
        <w:rPr>
          <w:rFonts w:ascii="Arial" w:hAnsi="Arial" w:cs="Arial"/>
          <w:sz w:val="24"/>
          <w:szCs w:val="24"/>
        </w:rPr>
        <w:t>Sawy</w:t>
      </w:r>
      <w:proofErr w:type="spellEnd"/>
      <w:r w:rsidRPr="00C64231">
        <w:rPr>
          <w:rFonts w:ascii="Arial" w:hAnsi="Arial" w:cs="Arial"/>
          <w:sz w:val="24"/>
          <w:szCs w:val="24"/>
        </w:rPr>
        <w:t>, O.A., Pavlou, P.A. and Venkatraman, N. (2013) ‘Digital business strategy: toward a next generation of insights’, </w:t>
      </w:r>
      <w:r w:rsidRPr="00C64231">
        <w:rPr>
          <w:rFonts w:ascii="Arial" w:hAnsi="Arial" w:cs="Arial"/>
          <w:i/>
          <w:iCs/>
          <w:sz w:val="24"/>
          <w:szCs w:val="24"/>
        </w:rPr>
        <w:t>MIS Quarterly</w:t>
      </w:r>
      <w:r w:rsidRPr="00C64231">
        <w:rPr>
          <w:rFonts w:ascii="Arial" w:hAnsi="Arial" w:cs="Arial"/>
          <w:sz w:val="24"/>
          <w:szCs w:val="24"/>
        </w:rPr>
        <w:t>, 37(2), pp. 471–482.</w:t>
      </w:r>
    </w:p>
    <w:p w14:paraId="5B201E1F" w14:textId="77777777" w:rsidR="00C64231" w:rsidRPr="00C64231" w:rsidRDefault="00C64231" w:rsidP="00C64231">
      <w:pPr>
        <w:spacing w:line="360" w:lineRule="auto"/>
        <w:rPr>
          <w:rFonts w:ascii="Arial" w:hAnsi="Arial" w:cs="Arial"/>
          <w:sz w:val="24"/>
          <w:szCs w:val="24"/>
        </w:rPr>
      </w:pPr>
      <w:r w:rsidRPr="00C64231">
        <w:rPr>
          <w:rFonts w:ascii="Arial" w:hAnsi="Arial" w:cs="Arial"/>
          <w:sz w:val="24"/>
          <w:szCs w:val="24"/>
        </w:rPr>
        <w:t>Burt, S., Johansson, U. and Thelander, Å. (</w:t>
      </w:r>
      <w:proofErr w:type="gramStart"/>
      <w:r w:rsidRPr="00C64231">
        <w:rPr>
          <w:rFonts w:ascii="Arial" w:hAnsi="Arial" w:cs="Arial"/>
          <w:sz w:val="24"/>
          <w:szCs w:val="24"/>
        </w:rPr>
        <w:t>2011) ‘</w:t>
      </w:r>
      <w:proofErr w:type="gramEnd"/>
      <w:r w:rsidRPr="00C64231">
        <w:rPr>
          <w:rFonts w:ascii="Arial" w:hAnsi="Arial" w:cs="Arial"/>
          <w:sz w:val="24"/>
          <w:szCs w:val="24"/>
        </w:rPr>
        <w:t>Standardized marketing strategies in retailing? IKEA’s marketing strategies in Sweden, the UK and China’, </w:t>
      </w:r>
      <w:r w:rsidRPr="00C64231">
        <w:rPr>
          <w:rFonts w:ascii="Arial" w:hAnsi="Arial" w:cs="Arial"/>
          <w:i/>
          <w:iCs/>
          <w:sz w:val="24"/>
          <w:szCs w:val="24"/>
        </w:rPr>
        <w:t>Journal of Retailing and Consumer Services</w:t>
      </w:r>
      <w:r w:rsidRPr="00C64231">
        <w:rPr>
          <w:rFonts w:ascii="Arial" w:hAnsi="Arial" w:cs="Arial"/>
          <w:sz w:val="24"/>
          <w:szCs w:val="24"/>
        </w:rPr>
        <w:t>, 18(3), pp. 183–193.</w:t>
      </w:r>
    </w:p>
    <w:p w14:paraId="7A30804C" w14:textId="77777777" w:rsidR="00C64231" w:rsidRPr="00C64231" w:rsidRDefault="00C64231" w:rsidP="00C64231">
      <w:pPr>
        <w:spacing w:line="360" w:lineRule="auto"/>
        <w:rPr>
          <w:rFonts w:ascii="Arial" w:hAnsi="Arial" w:cs="Arial"/>
          <w:sz w:val="24"/>
          <w:szCs w:val="24"/>
        </w:rPr>
      </w:pPr>
      <w:r w:rsidRPr="00C64231">
        <w:rPr>
          <w:rFonts w:ascii="Arial" w:hAnsi="Arial" w:cs="Arial"/>
          <w:sz w:val="24"/>
          <w:szCs w:val="24"/>
        </w:rPr>
        <w:t>Eisenhardt, K.M. and Martin, J.A. (2000) ‘Dynamic capabilities: what are they?’, </w:t>
      </w:r>
      <w:r w:rsidRPr="00C64231">
        <w:rPr>
          <w:rFonts w:ascii="Arial" w:hAnsi="Arial" w:cs="Arial"/>
          <w:i/>
          <w:iCs/>
          <w:sz w:val="24"/>
          <w:szCs w:val="24"/>
        </w:rPr>
        <w:t>Strategic Management Journal</w:t>
      </w:r>
      <w:r w:rsidRPr="00C64231">
        <w:rPr>
          <w:rFonts w:ascii="Arial" w:hAnsi="Arial" w:cs="Arial"/>
          <w:sz w:val="24"/>
          <w:szCs w:val="24"/>
        </w:rPr>
        <w:t>, 21(10–11), pp. 1105–1121.</w:t>
      </w:r>
    </w:p>
    <w:p w14:paraId="31B6D92C" w14:textId="77777777" w:rsidR="00C64231" w:rsidRPr="00C64231" w:rsidRDefault="00C64231" w:rsidP="00C64231">
      <w:pPr>
        <w:spacing w:line="360" w:lineRule="auto"/>
        <w:rPr>
          <w:rFonts w:ascii="Arial" w:hAnsi="Arial" w:cs="Arial"/>
          <w:sz w:val="24"/>
          <w:szCs w:val="24"/>
        </w:rPr>
      </w:pPr>
      <w:r w:rsidRPr="00C64231">
        <w:rPr>
          <w:rFonts w:ascii="Arial" w:hAnsi="Arial" w:cs="Arial"/>
          <w:sz w:val="24"/>
          <w:szCs w:val="24"/>
        </w:rPr>
        <w:t xml:space="preserve">Johnson, M.W., Christensen, C.M. and </w:t>
      </w:r>
      <w:proofErr w:type="spellStart"/>
      <w:r w:rsidRPr="00C64231">
        <w:rPr>
          <w:rFonts w:ascii="Arial" w:hAnsi="Arial" w:cs="Arial"/>
          <w:sz w:val="24"/>
          <w:szCs w:val="24"/>
        </w:rPr>
        <w:t>Kagermann</w:t>
      </w:r>
      <w:proofErr w:type="spellEnd"/>
      <w:r w:rsidRPr="00C64231">
        <w:rPr>
          <w:rFonts w:ascii="Arial" w:hAnsi="Arial" w:cs="Arial"/>
          <w:sz w:val="24"/>
          <w:szCs w:val="24"/>
        </w:rPr>
        <w:t>, H. (2008) ‘Reinventing your business model’, </w:t>
      </w:r>
      <w:r w:rsidRPr="00C64231">
        <w:rPr>
          <w:rFonts w:ascii="Arial" w:hAnsi="Arial" w:cs="Arial"/>
          <w:i/>
          <w:iCs/>
          <w:sz w:val="24"/>
          <w:szCs w:val="24"/>
        </w:rPr>
        <w:t>Harvard Business Review</w:t>
      </w:r>
      <w:r w:rsidRPr="00C64231">
        <w:rPr>
          <w:rFonts w:ascii="Arial" w:hAnsi="Arial" w:cs="Arial"/>
          <w:sz w:val="24"/>
          <w:szCs w:val="24"/>
        </w:rPr>
        <w:t>, 86(12), pp. 50–59.</w:t>
      </w:r>
    </w:p>
    <w:p w14:paraId="4EB646AC" w14:textId="77777777" w:rsidR="00C64231" w:rsidRPr="00C64231" w:rsidRDefault="00C64231" w:rsidP="00C64231">
      <w:pPr>
        <w:spacing w:line="360" w:lineRule="auto"/>
        <w:rPr>
          <w:rFonts w:ascii="Arial" w:hAnsi="Arial" w:cs="Arial"/>
          <w:sz w:val="24"/>
          <w:szCs w:val="24"/>
        </w:rPr>
      </w:pPr>
      <w:r w:rsidRPr="00C64231">
        <w:rPr>
          <w:rFonts w:ascii="Arial" w:hAnsi="Arial" w:cs="Arial"/>
          <w:sz w:val="24"/>
          <w:szCs w:val="24"/>
        </w:rPr>
        <w:t>Rothaermel, F.T. (2021) </w:t>
      </w:r>
      <w:r w:rsidRPr="00C64231">
        <w:rPr>
          <w:rFonts w:ascii="Arial" w:hAnsi="Arial" w:cs="Arial"/>
          <w:i/>
          <w:iCs/>
          <w:sz w:val="24"/>
          <w:szCs w:val="24"/>
        </w:rPr>
        <w:t>Strategic management</w:t>
      </w:r>
      <w:r w:rsidRPr="00C64231">
        <w:rPr>
          <w:rFonts w:ascii="Arial" w:hAnsi="Arial" w:cs="Arial"/>
          <w:sz w:val="24"/>
          <w:szCs w:val="24"/>
        </w:rPr>
        <w:t xml:space="preserve">. 5th </w:t>
      </w:r>
      <w:proofErr w:type="spellStart"/>
      <w:proofErr w:type="gramStart"/>
      <w:r w:rsidRPr="00C64231">
        <w:rPr>
          <w:rFonts w:ascii="Arial" w:hAnsi="Arial" w:cs="Arial"/>
          <w:sz w:val="24"/>
          <w:szCs w:val="24"/>
        </w:rPr>
        <w:t>edn</w:t>
      </w:r>
      <w:proofErr w:type="spellEnd"/>
      <w:proofErr w:type="gramEnd"/>
      <w:r w:rsidRPr="00C64231">
        <w:rPr>
          <w:rFonts w:ascii="Arial" w:hAnsi="Arial" w:cs="Arial"/>
          <w:sz w:val="24"/>
          <w:szCs w:val="24"/>
        </w:rPr>
        <w:t>. New York: McGraw-Hill.</w:t>
      </w:r>
    </w:p>
    <w:p w14:paraId="41C21E95" w14:textId="77777777" w:rsidR="00C64231" w:rsidRPr="00C64231" w:rsidRDefault="00C64231" w:rsidP="00C64231">
      <w:pPr>
        <w:spacing w:line="360" w:lineRule="auto"/>
        <w:rPr>
          <w:rFonts w:ascii="Arial" w:hAnsi="Arial" w:cs="Arial"/>
          <w:sz w:val="24"/>
          <w:szCs w:val="24"/>
        </w:rPr>
      </w:pPr>
      <w:r w:rsidRPr="00C64231">
        <w:rPr>
          <w:rFonts w:ascii="Arial" w:hAnsi="Arial" w:cs="Arial"/>
          <w:sz w:val="24"/>
          <w:szCs w:val="24"/>
        </w:rPr>
        <w:t>Slack, N. and Brandon-Jones, A. (2022) </w:t>
      </w:r>
      <w:r w:rsidRPr="00C64231">
        <w:rPr>
          <w:rFonts w:ascii="Arial" w:hAnsi="Arial" w:cs="Arial"/>
          <w:i/>
          <w:iCs/>
          <w:sz w:val="24"/>
          <w:szCs w:val="24"/>
        </w:rPr>
        <w:t>Operations management</w:t>
      </w:r>
      <w:r w:rsidRPr="00C64231">
        <w:rPr>
          <w:rFonts w:ascii="Arial" w:hAnsi="Arial" w:cs="Arial"/>
          <w:sz w:val="24"/>
          <w:szCs w:val="24"/>
        </w:rPr>
        <w:t xml:space="preserve">. 10th </w:t>
      </w:r>
      <w:proofErr w:type="spellStart"/>
      <w:r w:rsidRPr="00C64231">
        <w:rPr>
          <w:rFonts w:ascii="Arial" w:hAnsi="Arial" w:cs="Arial"/>
          <w:sz w:val="24"/>
          <w:szCs w:val="24"/>
        </w:rPr>
        <w:t>edn</w:t>
      </w:r>
      <w:proofErr w:type="spellEnd"/>
      <w:r w:rsidRPr="00C64231">
        <w:rPr>
          <w:rFonts w:ascii="Arial" w:hAnsi="Arial" w:cs="Arial"/>
          <w:sz w:val="24"/>
          <w:szCs w:val="24"/>
        </w:rPr>
        <w:t>. Harlow: Pearson.</w:t>
      </w:r>
    </w:p>
    <w:p w14:paraId="4F1C1BC3" w14:textId="77777777" w:rsidR="00C64231" w:rsidRPr="00814D58" w:rsidRDefault="00C64231" w:rsidP="00091C1C">
      <w:pPr>
        <w:spacing w:line="360" w:lineRule="auto"/>
        <w:rPr>
          <w:rFonts w:ascii="Arial" w:hAnsi="Arial" w:cs="Arial"/>
          <w:sz w:val="24"/>
          <w:szCs w:val="24"/>
        </w:rPr>
      </w:pPr>
    </w:p>
    <w:p w14:paraId="0461D552" w14:textId="77777777" w:rsidR="00091C1C" w:rsidRPr="00814D58" w:rsidRDefault="00091C1C" w:rsidP="00091C1C">
      <w:pPr>
        <w:spacing w:line="360" w:lineRule="auto"/>
        <w:rPr>
          <w:rFonts w:ascii="Arial" w:hAnsi="Arial" w:cs="Arial"/>
          <w:sz w:val="24"/>
          <w:szCs w:val="24"/>
        </w:rPr>
      </w:pPr>
    </w:p>
    <w:p w14:paraId="38415739" w14:textId="77777777" w:rsidR="002A5174" w:rsidRDefault="002A5174"/>
    <w:sectPr w:rsidR="002A5174" w:rsidSect="00091C1C">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590CB" w14:textId="77777777" w:rsidR="00417C57" w:rsidRDefault="00417C57">
      <w:pPr>
        <w:spacing w:after="0" w:line="240" w:lineRule="auto"/>
      </w:pPr>
      <w:r>
        <w:separator/>
      </w:r>
    </w:p>
  </w:endnote>
  <w:endnote w:type="continuationSeparator" w:id="0">
    <w:p w14:paraId="374C4F1B" w14:textId="77777777" w:rsidR="00417C57" w:rsidRDefault="00417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399745"/>
      <w:docPartObj>
        <w:docPartGallery w:val="Page Numbers (Bottom of Page)"/>
        <w:docPartUnique/>
      </w:docPartObj>
    </w:sdtPr>
    <w:sdtEndPr>
      <w:rPr>
        <w:noProof/>
      </w:rPr>
    </w:sdtEndPr>
    <w:sdtContent>
      <w:p w14:paraId="4B9BF343" w14:textId="77777777" w:rsidR="00091C1C" w:rsidRDefault="002E1D57">
        <w:pPr>
          <w:pStyle w:val="Footer"/>
          <w:jc w:val="center"/>
        </w:pPr>
        <w:r>
          <w:fldChar w:fldCharType="begin"/>
        </w:r>
        <w:r w:rsidR="00091C1C">
          <w:instrText xml:space="preserve"> PAGE   \* MERGEFORMAT </w:instrText>
        </w:r>
        <w:r>
          <w:fldChar w:fldCharType="separate"/>
        </w:r>
        <w:r w:rsidR="00EA5F4D">
          <w:rPr>
            <w:noProof/>
          </w:rPr>
          <w:t>1</w:t>
        </w:r>
        <w:r>
          <w:rPr>
            <w:noProof/>
          </w:rPr>
          <w:fldChar w:fldCharType="end"/>
        </w:r>
      </w:p>
    </w:sdtContent>
  </w:sdt>
  <w:p w14:paraId="38D03D76" w14:textId="77777777" w:rsidR="00091C1C" w:rsidRDefault="00091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B679D" w14:textId="77777777" w:rsidR="00417C57" w:rsidRDefault="00417C57">
      <w:pPr>
        <w:spacing w:after="0" w:line="240" w:lineRule="auto"/>
      </w:pPr>
      <w:r>
        <w:separator/>
      </w:r>
    </w:p>
  </w:footnote>
  <w:footnote w:type="continuationSeparator" w:id="0">
    <w:p w14:paraId="4CC6DABC" w14:textId="77777777" w:rsidR="00417C57" w:rsidRDefault="00417C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9B5A74"/>
    <w:multiLevelType w:val="multilevel"/>
    <w:tmpl w:val="B4604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3927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3B48"/>
    <w:rsid w:val="00091C1C"/>
    <w:rsid w:val="000A79CF"/>
    <w:rsid w:val="00196421"/>
    <w:rsid w:val="002A5174"/>
    <w:rsid w:val="002E1D57"/>
    <w:rsid w:val="003600FB"/>
    <w:rsid w:val="003C67C8"/>
    <w:rsid w:val="00417C57"/>
    <w:rsid w:val="004715E8"/>
    <w:rsid w:val="004C0105"/>
    <w:rsid w:val="00547056"/>
    <w:rsid w:val="00637B46"/>
    <w:rsid w:val="006E3B48"/>
    <w:rsid w:val="00801394"/>
    <w:rsid w:val="00862733"/>
    <w:rsid w:val="00871B2E"/>
    <w:rsid w:val="00954CC6"/>
    <w:rsid w:val="00A72A50"/>
    <w:rsid w:val="00C57A5D"/>
    <w:rsid w:val="00C64231"/>
    <w:rsid w:val="00D56C60"/>
    <w:rsid w:val="00E23964"/>
    <w:rsid w:val="00EA5F4D"/>
    <w:rsid w:val="00EF7E1F"/>
    <w:rsid w:val="00F45BE3"/>
    <w:rsid w:val="00F65A78"/>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45749"/>
  <w15:docId w15:val="{1C150B37-33CB-419B-87E8-DCBFD92BD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C1C"/>
    <w:rPr>
      <w:rFonts w:cs="Vrinda"/>
    </w:rPr>
  </w:style>
  <w:style w:type="paragraph" w:styleId="Heading1">
    <w:name w:val="heading 1"/>
    <w:basedOn w:val="Normal"/>
    <w:next w:val="Normal"/>
    <w:link w:val="Heading1Char"/>
    <w:uiPriority w:val="9"/>
    <w:qFormat/>
    <w:rsid w:val="006E3B48"/>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6E3B48"/>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6E3B48"/>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6E3B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B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B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B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B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B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B48"/>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6E3B48"/>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6E3B48"/>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6E3B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B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B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B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B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B48"/>
    <w:rPr>
      <w:rFonts w:eastAsiaTheme="majorEastAsia" w:cstheme="majorBidi"/>
      <w:color w:val="272727" w:themeColor="text1" w:themeTint="D8"/>
    </w:rPr>
  </w:style>
  <w:style w:type="paragraph" w:styleId="Title">
    <w:name w:val="Title"/>
    <w:basedOn w:val="Normal"/>
    <w:next w:val="Normal"/>
    <w:link w:val="TitleChar"/>
    <w:uiPriority w:val="10"/>
    <w:qFormat/>
    <w:rsid w:val="006E3B48"/>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E3B48"/>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E3B48"/>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E3B48"/>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E3B48"/>
    <w:pPr>
      <w:spacing w:before="160"/>
      <w:jc w:val="center"/>
    </w:pPr>
    <w:rPr>
      <w:i/>
      <w:iCs/>
      <w:color w:val="404040" w:themeColor="text1" w:themeTint="BF"/>
    </w:rPr>
  </w:style>
  <w:style w:type="character" w:customStyle="1" w:styleId="QuoteChar">
    <w:name w:val="Quote Char"/>
    <w:basedOn w:val="DefaultParagraphFont"/>
    <w:link w:val="Quote"/>
    <w:uiPriority w:val="29"/>
    <w:rsid w:val="006E3B48"/>
    <w:rPr>
      <w:rFonts w:cs="Vrinda"/>
      <w:i/>
      <w:iCs/>
      <w:color w:val="404040" w:themeColor="text1" w:themeTint="BF"/>
    </w:rPr>
  </w:style>
  <w:style w:type="paragraph" w:styleId="ListParagraph">
    <w:name w:val="List Paragraph"/>
    <w:basedOn w:val="Normal"/>
    <w:uiPriority w:val="34"/>
    <w:qFormat/>
    <w:rsid w:val="006E3B48"/>
    <w:pPr>
      <w:ind w:left="720"/>
      <w:contextualSpacing/>
    </w:pPr>
  </w:style>
  <w:style w:type="character" w:styleId="IntenseEmphasis">
    <w:name w:val="Intense Emphasis"/>
    <w:basedOn w:val="DefaultParagraphFont"/>
    <w:uiPriority w:val="21"/>
    <w:qFormat/>
    <w:rsid w:val="006E3B48"/>
    <w:rPr>
      <w:i/>
      <w:iCs/>
      <w:color w:val="0F4761" w:themeColor="accent1" w:themeShade="BF"/>
    </w:rPr>
  </w:style>
  <w:style w:type="paragraph" w:styleId="IntenseQuote">
    <w:name w:val="Intense Quote"/>
    <w:basedOn w:val="Normal"/>
    <w:next w:val="Normal"/>
    <w:link w:val="IntenseQuoteChar"/>
    <w:uiPriority w:val="30"/>
    <w:qFormat/>
    <w:rsid w:val="006E3B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B48"/>
    <w:rPr>
      <w:rFonts w:cs="Vrinda"/>
      <w:i/>
      <w:iCs/>
      <w:color w:val="0F4761" w:themeColor="accent1" w:themeShade="BF"/>
    </w:rPr>
  </w:style>
  <w:style w:type="character" w:styleId="IntenseReference">
    <w:name w:val="Intense Reference"/>
    <w:basedOn w:val="DefaultParagraphFont"/>
    <w:uiPriority w:val="32"/>
    <w:qFormat/>
    <w:rsid w:val="006E3B48"/>
    <w:rPr>
      <w:b/>
      <w:bCs/>
      <w:smallCaps/>
      <w:color w:val="0F4761" w:themeColor="accent1" w:themeShade="BF"/>
      <w:spacing w:val="5"/>
    </w:rPr>
  </w:style>
  <w:style w:type="character" w:styleId="Hyperlink">
    <w:name w:val="Hyperlink"/>
    <w:basedOn w:val="DefaultParagraphFont"/>
    <w:uiPriority w:val="99"/>
    <w:unhideWhenUsed/>
    <w:rsid w:val="00091C1C"/>
    <w:rPr>
      <w:color w:val="467886" w:themeColor="hyperlink"/>
      <w:u w:val="single"/>
    </w:rPr>
  </w:style>
  <w:style w:type="table" w:styleId="TableGrid">
    <w:name w:val="Table Grid"/>
    <w:basedOn w:val="TableNormal"/>
    <w:uiPriority w:val="39"/>
    <w:rsid w:val="00091C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091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1C1C"/>
    <w:rPr>
      <w:rFonts w:cs="Vrinda"/>
    </w:rPr>
  </w:style>
  <w:style w:type="paragraph" w:styleId="BalloonText">
    <w:name w:val="Balloon Text"/>
    <w:basedOn w:val="Normal"/>
    <w:link w:val="BalloonTextChar"/>
    <w:uiPriority w:val="99"/>
    <w:semiHidden/>
    <w:unhideWhenUsed/>
    <w:rsid w:val="004715E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715E8"/>
    <w:rPr>
      <w:rFonts w:ascii="Tahoma" w:hAnsi="Tahoma" w:cs="Tahoma"/>
      <w:sz w:val="16"/>
      <w:szCs w:val="20"/>
    </w:rPr>
  </w:style>
  <w:style w:type="table" w:customStyle="1" w:styleId="LightShading1">
    <w:name w:val="Light Shading1"/>
    <w:basedOn w:val="TableNormal"/>
    <w:uiPriority w:val="60"/>
    <w:rsid w:val="004715E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rmalWeb">
    <w:name w:val="Normal (Web)"/>
    <w:basedOn w:val="Normal"/>
    <w:uiPriority w:val="99"/>
    <w:semiHidden/>
    <w:unhideWhenUsed/>
    <w:rsid w:val="00E23964"/>
    <w:pPr>
      <w:spacing w:before="100" w:beforeAutospacing="1" w:after="100" w:afterAutospacing="1" w:line="240" w:lineRule="auto"/>
    </w:pPr>
    <w:rPr>
      <w:rFonts w:ascii="Times New Roman" w:eastAsia="Times New Roman" w:hAnsi="Times New Roman" w:cs="Times New Roman"/>
      <w:sz w:val="24"/>
      <w:szCs w:val="24"/>
      <w:lang w:bidi="ar-SA"/>
    </w:rPr>
  </w:style>
  <w:style w:type="character" w:styleId="Strong">
    <w:name w:val="Strong"/>
    <w:basedOn w:val="DefaultParagraphFont"/>
    <w:uiPriority w:val="22"/>
    <w:qFormat/>
    <w:rsid w:val="00E239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211437">
      <w:bodyDiv w:val="1"/>
      <w:marLeft w:val="0"/>
      <w:marRight w:val="0"/>
      <w:marTop w:val="0"/>
      <w:marBottom w:val="0"/>
      <w:divBdr>
        <w:top w:val="none" w:sz="0" w:space="0" w:color="auto"/>
        <w:left w:val="none" w:sz="0" w:space="0" w:color="auto"/>
        <w:bottom w:val="none" w:sz="0" w:space="0" w:color="auto"/>
        <w:right w:val="none" w:sz="0" w:space="0" w:color="auto"/>
      </w:divBdr>
      <w:divsChild>
        <w:div w:id="5447604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16726777">
      <w:bodyDiv w:val="1"/>
      <w:marLeft w:val="0"/>
      <w:marRight w:val="0"/>
      <w:marTop w:val="0"/>
      <w:marBottom w:val="0"/>
      <w:divBdr>
        <w:top w:val="none" w:sz="0" w:space="0" w:color="auto"/>
        <w:left w:val="none" w:sz="0" w:space="0" w:color="auto"/>
        <w:bottom w:val="none" w:sz="0" w:space="0" w:color="auto"/>
        <w:right w:val="none" w:sz="0" w:space="0" w:color="auto"/>
      </w:divBdr>
    </w:div>
    <w:div w:id="839275613">
      <w:bodyDiv w:val="1"/>
      <w:marLeft w:val="0"/>
      <w:marRight w:val="0"/>
      <w:marTop w:val="0"/>
      <w:marBottom w:val="0"/>
      <w:divBdr>
        <w:top w:val="none" w:sz="0" w:space="0" w:color="auto"/>
        <w:left w:val="none" w:sz="0" w:space="0" w:color="auto"/>
        <w:bottom w:val="none" w:sz="0" w:space="0" w:color="auto"/>
        <w:right w:val="none" w:sz="0" w:space="0" w:color="auto"/>
      </w:divBdr>
    </w:div>
    <w:div w:id="972827038">
      <w:bodyDiv w:val="1"/>
      <w:marLeft w:val="0"/>
      <w:marRight w:val="0"/>
      <w:marTop w:val="0"/>
      <w:marBottom w:val="0"/>
      <w:divBdr>
        <w:top w:val="none" w:sz="0" w:space="0" w:color="auto"/>
        <w:left w:val="none" w:sz="0" w:space="0" w:color="auto"/>
        <w:bottom w:val="none" w:sz="0" w:space="0" w:color="auto"/>
        <w:right w:val="none" w:sz="0" w:space="0" w:color="auto"/>
      </w:divBdr>
    </w:div>
    <w:div w:id="1303541749">
      <w:bodyDiv w:val="1"/>
      <w:marLeft w:val="0"/>
      <w:marRight w:val="0"/>
      <w:marTop w:val="0"/>
      <w:marBottom w:val="0"/>
      <w:divBdr>
        <w:top w:val="none" w:sz="0" w:space="0" w:color="auto"/>
        <w:left w:val="none" w:sz="0" w:space="0" w:color="auto"/>
        <w:bottom w:val="none" w:sz="0" w:space="0" w:color="auto"/>
        <w:right w:val="none" w:sz="0" w:space="0" w:color="auto"/>
      </w:divBdr>
      <w:divsChild>
        <w:div w:id="15723032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32775352">
      <w:bodyDiv w:val="1"/>
      <w:marLeft w:val="0"/>
      <w:marRight w:val="0"/>
      <w:marTop w:val="0"/>
      <w:marBottom w:val="0"/>
      <w:divBdr>
        <w:top w:val="none" w:sz="0" w:space="0" w:color="auto"/>
        <w:left w:val="none" w:sz="0" w:space="0" w:color="auto"/>
        <w:bottom w:val="none" w:sz="0" w:space="0" w:color="auto"/>
        <w:right w:val="none" w:sz="0" w:space="0" w:color="auto"/>
      </w:divBdr>
    </w:div>
    <w:div w:id="1459563015">
      <w:bodyDiv w:val="1"/>
      <w:marLeft w:val="0"/>
      <w:marRight w:val="0"/>
      <w:marTop w:val="0"/>
      <w:marBottom w:val="0"/>
      <w:divBdr>
        <w:top w:val="none" w:sz="0" w:space="0" w:color="auto"/>
        <w:left w:val="none" w:sz="0" w:space="0" w:color="auto"/>
        <w:bottom w:val="none" w:sz="0" w:space="0" w:color="auto"/>
        <w:right w:val="none" w:sz="0" w:space="0" w:color="auto"/>
      </w:divBdr>
    </w:div>
    <w:div w:id="1529445625">
      <w:bodyDiv w:val="1"/>
      <w:marLeft w:val="0"/>
      <w:marRight w:val="0"/>
      <w:marTop w:val="0"/>
      <w:marBottom w:val="0"/>
      <w:divBdr>
        <w:top w:val="none" w:sz="0" w:space="0" w:color="auto"/>
        <w:left w:val="none" w:sz="0" w:space="0" w:color="auto"/>
        <w:bottom w:val="none" w:sz="0" w:space="0" w:color="auto"/>
        <w:right w:val="none" w:sz="0" w:space="0" w:color="auto"/>
      </w:divBdr>
    </w:div>
    <w:div w:id="1571773515">
      <w:bodyDiv w:val="1"/>
      <w:marLeft w:val="0"/>
      <w:marRight w:val="0"/>
      <w:marTop w:val="0"/>
      <w:marBottom w:val="0"/>
      <w:divBdr>
        <w:top w:val="none" w:sz="0" w:space="0" w:color="auto"/>
        <w:left w:val="none" w:sz="0" w:space="0" w:color="auto"/>
        <w:bottom w:val="none" w:sz="0" w:space="0" w:color="auto"/>
        <w:right w:val="none" w:sz="0" w:space="0" w:color="auto"/>
      </w:divBdr>
    </w:div>
    <w:div w:id="1583830517">
      <w:bodyDiv w:val="1"/>
      <w:marLeft w:val="0"/>
      <w:marRight w:val="0"/>
      <w:marTop w:val="0"/>
      <w:marBottom w:val="0"/>
      <w:divBdr>
        <w:top w:val="none" w:sz="0" w:space="0" w:color="auto"/>
        <w:left w:val="none" w:sz="0" w:space="0" w:color="auto"/>
        <w:bottom w:val="none" w:sz="0" w:space="0" w:color="auto"/>
        <w:right w:val="none" w:sz="0" w:space="0" w:color="auto"/>
      </w:divBdr>
    </w:div>
    <w:div w:id="2034989135">
      <w:bodyDiv w:val="1"/>
      <w:marLeft w:val="0"/>
      <w:marRight w:val="0"/>
      <w:marTop w:val="0"/>
      <w:marBottom w:val="0"/>
      <w:divBdr>
        <w:top w:val="none" w:sz="0" w:space="0" w:color="auto"/>
        <w:left w:val="none" w:sz="0" w:space="0" w:color="auto"/>
        <w:bottom w:val="none" w:sz="0" w:space="0" w:color="auto"/>
        <w:right w:val="none" w:sz="0" w:space="0" w:color="auto"/>
      </w:divBdr>
      <w:divsChild>
        <w:div w:id="18111718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kea.com/gb/en/this-is-ike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business-6061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28</Pages>
  <Words>7170</Words>
  <Characters>40871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Tarikul Islam Tarek (2435183)</cp:lastModifiedBy>
  <cp:revision>11</cp:revision>
  <dcterms:created xsi:type="dcterms:W3CDTF">2026-03-05T23:29:00Z</dcterms:created>
  <dcterms:modified xsi:type="dcterms:W3CDTF">2026-03-31T22:38:00Z</dcterms:modified>
</cp:coreProperties>
</file>