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2E36E" w14:textId="561F7392" w:rsidR="0092386E" w:rsidRDefault="49AFB413" w:rsidP="3C41CDFD">
      <w:pPr>
        <w:jc w:val="center"/>
      </w:pPr>
      <w:r>
        <w:rPr>
          <w:noProof/>
        </w:rPr>
        <w:drawing>
          <wp:inline distT="0" distB="0" distL="0" distR="0" wp14:anchorId="07A2736C" wp14:editId="05371942">
            <wp:extent cx="4752975" cy="1895475"/>
            <wp:effectExtent l="0" t="0" r="0" b="0"/>
            <wp:docPr id="156588164" name="drawing">
              <a:extLst xmlns:a="http://schemas.openxmlformats.org/drawingml/2006/main">
                <a:ext uri="{FF2B5EF4-FFF2-40B4-BE49-F238E27FC236}">
                  <a16:creationId xmlns:a16="http://schemas.microsoft.com/office/drawing/2014/main" id="{4320B523-E681-4420-9228-3CB56AE289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88164" name="Picture 156588164"/>
                    <pic:cNvPicPr/>
                  </pic:nvPicPr>
                  <pic:blipFill>
                    <a:blip r:embed="rId7">
                      <a:extLst>
                        <a:ext uri="{28A0092B-C50C-407E-A947-70E740481C1C}">
                          <a14:useLocalDpi xmlns:a14="http://schemas.microsoft.com/office/drawing/2010/main"/>
                        </a:ext>
                      </a:extLst>
                    </a:blip>
                    <a:stretch>
                      <a:fillRect/>
                    </a:stretch>
                  </pic:blipFill>
                  <pic:spPr>
                    <a:xfrm>
                      <a:off x="0" y="0"/>
                      <a:ext cx="4752975" cy="1895475"/>
                    </a:xfrm>
                    <a:prstGeom prst="rect">
                      <a:avLst/>
                    </a:prstGeom>
                  </pic:spPr>
                </pic:pic>
              </a:graphicData>
            </a:graphic>
          </wp:inline>
        </w:drawing>
      </w:r>
    </w:p>
    <w:p w14:paraId="08552A02" w14:textId="130DB209" w:rsidR="0092386E" w:rsidRDefault="0092386E" w:rsidP="00CF75FB"/>
    <w:p w14:paraId="70AE7CB2" w14:textId="3C55B47C" w:rsidR="0092386E" w:rsidRDefault="0092386E" w:rsidP="00CF75FB"/>
    <w:p w14:paraId="6F9BBADE" w14:textId="747836DD" w:rsidR="0092386E" w:rsidRDefault="0092386E" w:rsidP="00CF75FB"/>
    <w:p w14:paraId="14CD868B" w14:textId="1B5BC3B9" w:rsidR="0092386E" w:rsidRDefault="02377EAE" w:rsidP="3C41CDFD">
      <w:pPr>
        <w:spacing w:line="279" w:lineRule="auto"/>
        <w:jc w:val="center"/>
        <w:rPr>
          <w:rFonts w:ascii="Arial Nova" w:eastAsia="Arial Nova" w:hAnsi="Arial Nova" w:cs="Arial Nova"/>
          <w:color w:val="000000" w:themeColor="text1"/>
          <w:sz w:val="52"/>
          <w:szCs w:val="52"/>
        </w:rPr>
      </w:pPr>
      <w:r w:rsidRPr="3C41CDFD">
        <w:rPr>
          <w:rFonts w:ascii="Arial Nova" w:eastAsia="Arial Nova" w:hAnsi="Arial Nova" w:cs="Arial Nova"/>
          <w:color w:val="000000" w:themeColor="text1"/>
          <w:sz w:val="52"/>
          <w:szCs w:val="52"/>
          <w:lang w:val="en-US"/>
        </w:rPr>
        <w:t>Student number: 2245696</w:t>
      </w:r>
    </w:p>
    <w:p w14:paraId="4AB4ED7B" w14:textId="6F22721E" w:rsidR="0092386E" w:rsidRDefault="02377EAE" w:rsidP="3C41CDFD">
      <w:pPr>
        <w:spacing w:line="279" w:lineRule="auto"/>
        <w:jc w:val="center"/>
        <w:rPr>
          <w:rFonts w:ascii="Arial Nova" w:eastAsia="Arial Nova" w:hAnsi="Arial Nova" w:cs="Arial Nova"/>
          <w:color w:val="000000" w:themeColor="text1"/>
          <w:sz w:val="52"/>
          <w:szCs w:val="52"/>
          <w:lang w:val="en-US"/>
        </w:rPr>
      </w:pPr>
      <w:r w:rsidRPr="3C41CDFD">
        <w:rPr>
          <w:rFonts w:ascii="Arial Nova" w:eastAsia="Arial Nova" w:hAnsi="Arial Nova" w:cs="Arial Nova"/>
          <w:color w:val="000000" w:themeColor="text1"/>
          <w:sz w:val="52"/>
          <w:szCs w:val="52"/>
          <w:lang w:val="en-US"/>
        </w:rPr>
        <w:t>Assignment title: Report</w:t>
      </w:r>
    </w:p>
    <w:p w14:paraId="19289B8D" w14:textId="10962C77" w:rsidR="0092386E" w:rsidRDefault="02377EAE" w:rsidP="3C41CDFD">
      <w:pPr>
        <w:spacing w:line="279" w:lineRule="auto"/>
        <w:jc w:val="center"/>
        <w:rPr>
          <w:rFonts w:ascii="Arial Nova" w:eastAsia="Arial Nova" w:hAnsi="Arial Nova" w:cs="Arial Nova"/>
          <w:color w:val="000000" w:themeColor="text1"/>
          <w:sz w:val="52"/>
          <w:szCs w:val="52"/>
        </w:rPr>
      </w:pPr>
      <w:r w:rsidRPr="3C41CDFD">
        <w:rPr>
          <w:rFonts w:ascii="Arial Nova" w:eastAsia="Arial Nova" w:hAnsi="Arial Nova" w:cs="Arial Nova"/>
          <w:color w:val="000000" w:themeColor="text1"/>
          <w:sz w:val="52"/>
          <w:szCs w:val="52"/>
          <w:lang w:val="en-US"/>
        </w:rPr>
        <w:t xml:space="preserve">Assignment number: Component2 </w:t>
      </w:r>
    </w:p>
    <w:p w14:paraId="21986694" w14:textId="7C81C892" w:rsidR="0092386E" w:rsidRDefault="02377EAE" w:rsidP="3C41CDFD">
      <w:pPr>
        <w:spacing w:line="279" w:lineRule="auto"/>
        <w:jc w:val="center"/>
        <w:rPr>
          <w:rFonts w:ascii="Arial Nova" w:eastAsia="Arial Nova" w:hAnsi="Arial Nova" w:cs="Arial Nova"/>
          <w:color w:val="000000" w:themeColor="text1"/>
          <w:sz w:val="52"/>
          <w:szCs w:val="52"/>
        </w:rPr>
      </w:pPr>
      <w:r w:rsidRPr="3C41CDFD">
        <w:rPr>
          <w:rFonts w:ascii="Arial Nova" w:eastAsia="Arial Nova" w:hAnsi="Arial Nova" w:cs="Arial Nova"/>
          <w:color w:val="000000" w:themeColor="text1"/>
          <w:sz w:val="52"/>
          <w:szCs w:val="52"/>
          <w:lang w:val="en-US"/>
        </w:rPr>
        <w:t xml:space="preserve">Module code: </w:t>
      </w:r>
      <w:r w:rsidR="137FF681" w:rsidRPr="3C41CDFD">
        <w:rPr>
          <w:rFonts w:ascii="Arial Nova" w:eastAsia="Arial Nova" w:hAnsi="Arial Nova" w:cs="Arial Nova"/>
          <w:color w:val="000000" w:themeColor="text1"/>
          <w:sz w:val="52"/>
          <w:szCs w:val="52"/>
          <w:lang w:val="en-US"/>
        </w:rPr>
        <w:t>6030</w:t>
      </w:r>
    </w:p>
    <w:p w14:paraId="0418A201" w14:textId="52AD7412" w:rsidR="0092386E" w:rsidRDefault="02377EAE" w:rsidP="3C41CDFD">
      <w:pPr>
        <w:spacing w:line="279" w:lineRule="auto"/>
        <w:jc w:val="center"/>
        <w:rPr>
          <w:rFonts w:ascii="Arial Nova" w:eastAsia="Arial Nova" w:hAnsi="Arial Nova" w:cs="Arial Nova"/>
          <w:color w:val="000000" w:themeColor="text1"/>
          <w:sz w:val="52"/>
          <w:szCs w:val="52"/>
        </w:rPr>
      </w:pPr>
      <w:r w:rsidRPr="3C41CDFD">
        <w:rPr>
          <w:rFonts w:ascii="Arial Nova" w:eastAsia="Arial Nova" w:hAnsi="Arial Nova" w:cs="Arial Nova"/>
          <w:color w:val="000000" w:themeColor="text1"/>
          <w:sz w:val="52"/>
          <w:szCs w:val="52"/>
          <w:lang w:val="en-US"/>
        </w:rPr>
        <w:t>Lecture:</w:t>
      </w:r>
      <w:r w:rsidR="28C9CD6B" w:rsidRPr="3C41CDFD">
        <w:rPr>
          <w:rFonts w:ascii="Arial Nova" w:eastAsia="Arial Nova" w:hAnsi="Arial Nova" w:cs="Arial Nova"/>
          <w:color w:val="1D2125"/>
          <w:sz w:val="52"/>
          <w:szCs w:val="52"/>
          <w:lang w:val="en-US"/>
        </w:rPr>
        <w:t xml:space="preserve"> </w:t>
      </w:r>
      <w:proofErr w:type="spellStart"/>
      <w:r w:rsidR="28C9CD6B" w:rsidRPr="3C41CDFD">
        <w:rPr>
          <w:rFonts w:ascii="Arial Nova" w:eastAsia="Arial Nova" w:hAnsi="Arial Nova" w:cs="Arial Nova"/>
          <w:color w:val="1D2125"/>
          <w:sz w:val="52"/>
          <w:szCs w:val="52"/>
          <w:lang w:val="en-US"/>
        </w:rPr>
        <w:t>Tomy</w:t>
      </w:r>
      <w:proofErr w:type="spellEnd"/>
      <w:r w:rsidR="28C9CD6B" w:rsidRPr="3C41CDFD">
        <w:rPr>
          <w:rFonts w:ascii="Arial Nova" w:eastAsia="Arial Nova" w:hAnsi="Arial Nova" w:cs="Arial Nova"/>
          <w:color w:val="1D2125"/>
          <w:sz w:val="52"/>
          <w:szCs w:val="52"/>
          <w:lang w:val="en-US"/>
        </w:rPr>
        <w:t xml:space="preserve"> </w:t>
      </w:r>
      <w:proofErr w:type="spellStart"/>
      <w:r w:rsidR="28C9CD6B" w:rsidRPr="3C41CDFD">
        <w:rPr>
          <w:rFonts w:ascii="Arial Nova" w:eastAsia="Arial Nova" w:hAnsi="Arial Nova" w:cs="Arial Nova"/>
          <w:color w:val="1D2125"/>
          <w:sz w:val="52"/>
          <w:szCs w:val="52"/>
          <w:lang w:val="en-US"/>
        </w:rPr>
        <w:t>Adattu</w:t>
      </w:r>
      <w:proofErr w:type="spellEnd"/>
      <w:r w:rsidR="28C9CD6B" w:rsidRPr="3C41CDFD">
        <w:rPr>
          <w:rFonts w:ascii="Arial Nova" w:eastAsia="Arial Nova" w:hAnsi="Arial Nova" w:cs="Arial Nova"/>
          <w:color w:val="1D2125"/>
          <w:sz w:val="52"/>
          <w:szCs w:val="52"/>
          <w:lang w:val="en-US"/>
        </w:rPr>
        <w:t xml:space="preserve"> </w:t>
      </w:r>
      <w:proofErr w:type="spellStart"/>
      <w:r w:rsidR="28C9CD6B" w:rsidRPr="3C41CDFD">
        <w:rPr>
          <w:rFonts w:ascii="Arial Nova" w:eastAsia="Arial Nova" w:hAnsi="Arial Nova" w:cs="Arial Nova"/>
          <w:color w:val="1D2125"/>
          <w:sz w:val="52"/>
          <w:szCs w:val="52"/>
          <w:lang w:val="en-US"/>
        </w:rPr>
        <w:t>Chacko</w:t>
      </w:r>
      <w:proofErr w:type="spellEnd"/>
      <w:r w:rsidRPr="3C41CDFD">
        <w:rPr>
          <w:rFonts w:ascii="Arial Nova" w:eastAsia="Arial Nova" w:hAnsi="Arial Nova" w:cs="Arial Nova"/>
          <w:color w:val="000000" w:themeColor="text1"/>
          <w:sz w:val="52"/>
          <w:szCs w:val="52"/>
          <w:lang w:val="en-US"/>
        </w:rPr>
        <w:t xml:space="preserve">  </w:t>
      </w:r>
    </w:p>
    <w:p w14:paraId="4A4207A5" w14:textId="358E3690" w:rsidR="0092386E" w:rsidRDefault="0092386E" w:rsidP="3C41CDFD">
      <w:pPr>
        <w:spacing w:line="279" w:lineRule="auto"/>
        <w:rPr>
          <w:rFonts w:ascii="Arial Nova" w:eastAsia="Arial Nova" w:hAnsi="Arial Nova" w:cs="Arial Nova"/>
          <w:color w:val="000000" w:themeColor="text1"/>
          <w:sz w:val="52"/>
          <w:szCs w:val="52"/>
        </w:rPr>
      </w:pPr>
    </w:p>
    <w:p w14:paraId="02E6D5C3" w14:textId="4876C663" w:rsidR="0092386E" w:rsidRDefault="0092386E" w:rsidP="00CF75FB"/>
    <w:p w14:paraId="4699BAC0" w14:textId="076CC359" w:rsidR="0092386E" w:rsidRDefault="0092386E" w:rsidP="00CF75FB"/>
    <w:p w14:paraId="65F6C089" w14:textId="0541FFDD" w:rsidR="0092386E" w:rsidRDefault="0092386E" w:rsidP="00CF75FB"/>
    <w:p w14:paraId="70AFF8DD" w14:textId="30D67E82" w:rsidR="0092386E" w:rsidRDefault="0092386E" w:rsidP="00CF75FB"/>
    <w:p w14:paraId="61E509D8" w14:textId="61C58359" w:rsidR="0092386E" w:rsidRDefault="0092386E" w:rsidP="00CF75FB"/>
    <w:p w14:paraId="3636A550" w14:textId="38896B55" w:rsidR="0092386E" w:rsidRDefault="0092386E" w:rsidP="00CF75FB"/>
    <w:p w14:paraId="6E453ABA" w14:textId="7834D566" w:rsidR="0092386E" w:rsidRDefault="0092386E" w:rsidP="00CF75FB"/>
    <w:p w14:paraId="2E3FAF33" w14:textId="70AC8F79" w:rsidR="0092386E" w:rsidRDefault="0092386E" w:rsidP="3C41CDFD"/>
    <w:p w14:paraId="0F1E7309" w14:textId="0C581F30" w:rsidR="0092386E" w:rsidRDefault="00CF75FB" w:rsidP="00CF75FB">
      <w:pPr>
        <w:rPr>
          <w:sz w:val="36"/>
          <w:szCs w:val="36"/>
        </w:rPr>
      </w:pPr>
      <w:r w:rsidRPr="34E7EE6F">
        <w:rPr>
          <w:rFonts w:ascii="Arial" w:eastAsia="Arial" w:hAnsi="Arial" w:cs="Arial"/>
          <w:sz w:val="40"/>
          <w:szCs w:val="40"/>
        </w:rPr>
        <w:t>Introduction</w:t>
      </w:r>
    </w:p>
    <w:p w14:paraId="5861D561" w14:textId="5538A6B0" w:rsidR="00F5147D" w:rsidRDefault="522877A8" w:rsidP="6738B21D">
      <w:pPr>
        <w:spacing w:line="360" w:lineRule="auto"/>
        <w:rPr>
          <w:rFonts w:ascii="Arial" w:eastAsia="Arial" w:hAnsi="Arial" w:cs="Arial"/>
          <w:sz w:val="22"/>
          <w:szCs w:val="22"/>
        </w:rPr>
      </w:pPr>
      <w:r w:rsidRPr="6738B21D">
        <w:rPr>
          <w:rFonts w:ascii="Aptos" w:eastAsia="Aptos" w:hAnsi="Aptos" w:cs="Aptos"/>
        </w:rPr>
        <w:t xml:space="preserve"> </w:t>
      </w:r>
      <w:r w:rsidRPr="6738B21D">
        <w:rPr>
          <w:rFonts w:ascii="Arial" w:eastAsia="Arial" w:hAnsi="Arial" w:cs="Arial"/>
          <w:sz w:val="22"/>
          <w:szCs w:val="22"/>
        </w:rPr>
        <w:t>UK Government</w:t>
      </w:r>
      <w:r w:rsidR="6EAC4580" w:rsidRPr="6738B21D">
        <w:rPr>
          <w:rFonts w:ascii="Arial" w:eastAsia="Arial" w:hAnsi="Arial" w:cs="Arial"/>
          <w:sz w:val="22"/>
          <w:szCs w:val="22"/>
        </w:rPr>
        <w:t xml:space="preserve"> (</w:t>
      </w:r>
      <w:r w:rsidRPr="6738B21D">
        <w:rPr>
          <w:rFonts w:ascii="Arial" w:eastAsia="Arial" w:hAnsi="Arial" w:cs="Arial"/>
          <w:sz w:val="22"/>
          <w:szCs w:val="22"/>
        </w:rPr>
        <w:t>2019</w:t>
      </w:r>
      <w:r w:rsidR="302F24A4" w:rsidRPr="6738B21D">
        <w:rPr>
          <w:rFonts w:ascii="Arial" w:eastAsia="Arial" w:hAnsi="Arial" w:cs="Arial"/>
          <w:sz w:val="22"/>
          <w:szCs w:val="22"/>
        </w:rPr>
        <w:t>)</w:t>
      </w:r>
      <w:r w:rsidR="0CCE3A48" w:rsidRPr="6738B21D">
        <w:rPr>
          <w:rFonts w:ascii="Arial" w:eastAsia="Arial" w:hAnsi="Arial" w:cs="Arial"/>
          <w:sz w:val="22"/>
          <w:szCs w:val="22"/>
        </w:rPr>
        <w:t xml:space="preserve"> states that the</w:t>
      </w:r>
      <w:r w:rsidRPr="6738B21D">
        <w:rPr>
          <w:rFonts w:ascii="Arial" w:eastAsia="Arial" w:hAnsi="Arial" w:cs="Arial"/>
          <w:sz w:val="22"/>
          <w:szCs w:val="22"/>
        </w:rPr>
        <w:t xml:space="preserve"> </w:t>
      </w:r>
      <w:r w:rsidR="00F5147D" w:rsidRPr="6738B21D">
        <w:rPr>
          <w:rFonts w:ascii="Arial" w:eastAsia="Arial" w:hAnsi="Arial" w:cs="Arial"/>
          <w:sz w:val="22"/>
          <w:szCs w:val="22"/>
        </w:rPr>
        <w:t>Sustainable development is now a global priority as countries tackle social, environmental, and economic issues. In 2015, the UN launched the Sustainable Development Goals (SDGs) to create a fairer world by addressing problems like poverty, health, climate change, and access to resources. The 17 goals include specific targets for governments and organizations to improve lives worldwide.</w:t>
      </w:r>
    </w:p>
    <w:p w14:paraId="7F5045D3" w14:textId="3C43D8D5" w:rsidR="00855ADC" w:rsidRDefault="00F5147D" w:rsidP="6738B21D">
      <w:pPr>
        <w:spacing w:line="360" w:lineRule="auto"/>
        <w:rPr>
          <w:rFonts w:ascii="Arial" w:eastAsia="Arial" w:hAnsi="Arial" w:cs="Arial"/>
          <w:sz w:val="22"/>
          <w:szCs w:val="22"/>
        </w:rPr>
      </w:pPr>
      <w:r w:rsidRPr="6738B21D">
        <w:rPr>
          <w:rFonts w:ascii="Arial" w:eastAsia="Arial" w:hAnsi="Arial" w:cs="Arial"/>
          <w:sz w:val="22"/>
          <w:szCs w:val="22"/>
        </w:rPr>
        <w:t>This report focuses on two key goals: SDG 3 (Good Health and Well-being) and SDG 6 (Clean Water and Sanitation). These goals are connected because clean water and sanitation directly affect health. The report examines how the UK addresses these goals through policies and initiatives at global, national, and local levels. It also looks at theories explaining health behaviours and water management. Finally, it evaluates challenges and suggests improvements for achieving these Sustainable Development Goals.</w:t>
      </w:r>
    </w:p>
    <w:p w14:paraId="4CA9037F" w14:textId="77777777" w:rsidR="00855ADC" w:rsidRDefault="00855ADC" w:rsidP="6738B21D">
      <w:pPr>
        <w:spacing w:line="360" w:lineRule="auto"/>
        <w:rPr>
          <w:rFonts w:ascii="Arial" w:eastAsia="Arial" w:hAnsi="Arial" w:cs="Arial"/>
          <w:sz w:val="22"/>
          <w:szCs w:val="22"/>
        </w:rPr>
      </w:pPr>
    </w:p>
    <w:p w14:paraId="66D23815" w14:textId="77777777" w:rsidR="00855ADC" w:rsidRDefault="00855ADC" w:rsidP="6738B21D">
      <w:pPr>
        <w:spacing w:line="360" w:lineRule="auto"/>
        <w:rPr>
          <w:rFonts w:ascii="Arial" w:eastAsia="Arial" w:hAnsi="Arial" w:cs="Arial"/>
          <w:sz w:val="22"/>
          <w:szCs w:val="22"/>
        </w:rPr>
      </w:pPr>
    </w:p>
    <w:p w14:paraId="0BF6C5AB" w14:textId="77777777" w:rsidR="00855ADC" w:rsidRDefault="00855ADC" w:rsidP="6738B21D">
      <w:pPr>
        <w:spacing w:line="360" w:lineRule="auto"/>
        <w:rPr>
          <w:rFonts w:ascii="Arial" w:eastAsia="Arial" w:hAnsi="Arial" w:cs="Arial"/>
          <w:sz w:val="22"/>
          <w:szCs w:val="22"/>
        </w:rPr>
      </w:pPr>
    </w:p>
    <w:p w14:paraId="6FD9BD47" w14:textId="77777777" w:rsidR="00507D83" w:rsidRDefault="00507D83" w:rsidP="6738B21D">
      <w:pPr>
        <w:spacing w:line="360" w:lineRule="auto"/>
        <w:rPr>
          <w:rFonts w:ascii="Arial" w:eastAsia="Arial" w:hAnsi="Arial" w:cs="Arial"/>
          <w:sz w:val="22"/>
          <w:szCs w:val="22"/>
        </w:rPr>
      </w:pPr>
    </w:p>
    <w:p w14:paraId="192275D8" w14:textId="7685DD47" w:rsidR="05D20D84" w:rsidRDefault="05D20D84" w:rsidP="6738B21D">
      <w:pPr>
        <w:spacing w:line="360" w:lineRule="auto"/>
        <w:rPr>
          <w:rFonts w:ascii="Arial" w:eastAsia="Arial" w:hAnsi="Arial" w:cs="Arial"/>
          <w:sz w:val="22"/>
          <w:szCs w:val="22"/>
        </w:rPr>
      </w:pPr>
    </w:p>
    <w:p w14:paraId="6B1B1442" w14:textId="4E8DFBDD" w:rsidR="00646185" w:rsidRDefault="00646185" w:rsidP="6738B21D">
      <w:pPr>
        <w:spacing w:line="360" w:lineRule="auto"/>
        <w:rPr>
          <w:rFonts w:ascii="Arial" w:eastAsia="Arial" w:hAnsi="Arial" w:cs="Arial"/>
          <w:sz w:val="22"/>
          <w:szCs w:val="22"/>
        </w:rPr>
      </w:pPr>
    </w:p>
    <w:p w14:paraId="11AF3E75" w14:textId="40730B81" w:rsidR="34E7EE6F" w:rsidRDefault="34E7EE6F" w:rsidP="6738B21D">
      <w:pPr>
        <w:spacing w:line="360" w:lineRule="auto"/>
        <w:rPr>
          <w:rFonts w:ascii="Arial" w:eastAsia="Arial" w:hAnsi="Arial" w:cs="Arial"/>
        </w:rPr>
      </w:pPr>
    </w:p>
    <w:p w14:paraId="2D4CE282" w14:textId="6E0A9A2F" w:rsidR="34E7EE6F" w:rsidRDefault="34E7EE6F"/>
    <w:p w14:paraId="34BA8AD3" w14:textId="5DE82094" w:rsidR="34E7EE6F" w:rsidRDefault="34E7EE6F"/>
    <w:p w14:paraId="5CDE06B9" w14:textId="117BB392" w:rsidR="34E7EE6F" w:rsidRDefault="34E7EE6F"/>
    <w:p w14:paraId="21041469" w14:textId="568C7916" w:rsidR="34E7EE6F" w:rsidRDefault="34E7EE6F"/>
    <w:p w14:paraId="0050A1EC" w14:textId="324D5D28" w:rsidR="34E7EE6F" w:rsidRDefault="34E7EE6F" w:rsidP="34E7EE6F"/>
    <w:p w14:paraId="070003DB" w14:textId="0E611912" w:rsidR="34E7EE6F" w:rsidRDefault="34E7EE6F" w:rsidP="34E7EE6F"/>
    <w:p w14:paraId="0FBEC488" w14:textId="68205634" w:rsidR="00646185" w:rsidRDefault="00646185" w:rsidP="01681569"/>
    <w:p w14:paraId="082F18AE" w14:textId="256EB033" w:rsidR="6738B21D" w:rsidRDefault="6738B21D"/>
    <w:p w14:paraId="1C381D8E" w14:textId="32EFDA73" w:rsidR="6738B21D" w:rsidRDefault="6738B21D"/>
    <w:p w14:paraId="06F30057" w14:textId="2C13F51E" w:rsidR="6738B21D" w:rsidRDefault="6738B21D" w:rsidP="6738B21D"/>
    <w:p w14:paraId="784428C3" w14:textId="04CE865E" w:rsidR="00646185" w:rsidRDefault="08E7FBC0" w:rsidP="01681569">
      <w:pPr>
        <w:spacing w:beforeAutospacing="1" w:afterAutospacing="1" w:line="240" w:lineRule="auto"/>
        <w:rPr>
          <w:rFonts w:ascii="Arial" w:eastAsia="Arial" w:hAnsi="Arial" w:cs="Arial"/>
          <w:color w:val="000000" w:themeColor="text1"/>
          <w:sz w:val="28"/>
          <w:szCs w:val="28"/>
        </w:rPr>
      </w:pPr>
      <w:r w:rsidRPr="27AF9C71">
        <w:rPr>
          <w:rFonts w:ascii="Arial" w:eastAsia="Arial" w:hAnsi="Arial" w:cs="Arial"/>
          <w:color w:val="000000" w:themeColor="text1"/>
          <w:sz w:val="28"/>
          <w:szCs w:val="28"/>
        </w:rPr>
        <w:t xml:space="preserve">Section 1: SDG 3  </w:t>
      </w:r>
      <w:r w:rsidR="20A7D3AD" w:rsidRPr="27AF9C71">
        <w:rPr>
          <w:rFonts w:ascii="Arial" w:eastAsia="Arial" w:hAnsi="Arial" w:cs="Arial"/>
          <w:color w:val="000000" w:themeColor="text1"/>
          <w:sz w:val="28"/>
          <w:szCs w:val="28"/>
        </w:rPr>
        <w:t>(</w:t>
      </w:r>
      <w:r w:rsidRPr="27AF9C71">
        <w:rPr>
          <w:rFonts w:ascii="Arial" w:eastAsia="Arial" w:hAnsi="Arial" w:cs="Arial"/>
          <w:color w:val="000000" w:themeColor="text1"/>
          <w:sz w:val="28"/>
          <w:szCs w:val="28"/>
        </w:rPr>
        <w:t>Good Health and Wellbeing in the UK</w:t>
      </w:r>
      <w:r w:rsidR="2C3B5D1E" w:rsidRPr="27AF9C71">
        <w:rPr>
          <w:rFonts w:ascii="Arial" w:eastAsia="Arial" w:hAnsi="Arial" w:cs="Arial"/>
          <w:color w:val="000000" w:themeColor="text1"/>
          <w:sz w:val="28"/>
          <w:szCs w:val="28"/>
        </w:rPr>
        <w:t>)</w:t>
      </w:r>
    </w:p>
    <w:p w14:paraId="4B390B77" w14:textId="1C4FCCB2" w:rsidR="00646185" w:rsidRDefault="08E7FBC0" w:rsidP="27AF9C71">
      <w:pPr>
        <w:pStyle w:val="ListParagraph"/>
        <w:numPr>
          <w:ilvl w:val="0"/>
          <w:numId w:val="20"/>
        </w:numPr>
        <w:spacing w:beforeAutospacing="1" w:afterAutospacing="1" w:line="240" w:lineRule="auto"/>
        <w:rPr>
          <w:rFonts w:ascii="Arial" w:eastAsia="Arial" w:hAnsi="Arial" w:cs="Arial"/>
          <w:color w:val="000000" w:themeColor="text1"/>
        </w:rPr>
      </w:pPr>
      <w:r w:rsidRPr="27AF9C71">
        <w:rPr>
          <w:rFonts w:ascii="Arial" w:eastAsia="Arial" w:hAnsi="Arial" w:cs="Arial"/>
          <w:color w:val="000000" w:themeColor="text1"/>
        </w:rPr>
        <w:t>Overview of SDG 3</w:t>
      </w:r>
    </w:p>
    <w:p w14:paraId="13CA8064" w14:textId="624CD99E" w:rsidR="00646185" w:rsidRDefault="1A6BFCCF" w:rsidP="3D5E3244">
      <w:pPr>
        <w:spacing w:beforeAutospacing="1" w:afterAutospacing="1" w:line="360" w:lineRule="auto"/>
        <w:rPr>
          <w:rFonts w:ascii="Arial" w:eastAsia="Arial" w:hAnsi="Arial" w:cs="Arial"/>
          <w:color w:val="000000" w:themeColor="text1"/>
          <w:sz w:val="22"/>
          <w:szCs w:val="22"/>
          <w:highlight w:val="yellow"/>
        </w:rPr>
      </w:pPr>
      <w:r w:rsidRPr="6738B21D">
        <w:rPr>
          <w:rFonts w:ascii="Arial" w:eastAsia="Arial" w:hAnsi="Arial" w:cs="Arial"/>
          <w:color w:val="000000" w:themeColor="text1"/>
          <w:sz w:val="22"/>
          <w:szCs w:val="22"/>
        </w:rPr>
        <w:t>According to</w:t>
      </w:r>
      <w:r w:rsidRPr="6738B21D">
        <w:rPr>
          <w:rFonts w:ascii="Arial" w:eastAsia="Arial" w:hAnsi="Arial" w:cs="Arial"/>
          <w:sz w:val="22"/>
          <w:szCs w:val="22"/>
        </w:rPr>
        <w:t xml:space="preserve"> UK Government (2023)</w:t>
      </w:r>
      <w:r w:rsidRPr="6738B21D">
        <w:rPr>
          <w:rFonts w:ascii="Arial" w:eastAsia="Arial" w:hAnsi="Arial" w:cs="Arial"/>
          <w:color w:val="000000" w:themeColor="text1"/>
          <w:sz w:val="22"/>
          <w:szCs w:val="22"/>
        </w:rPr>
        <w:t xml:space="preserve"> </w:t>
      </w:r>
      <w:r w:rsidR="08E7FBC0" w:rsidRPr="6738B21D">
        <w:rPr>
          <w:rFonts w:ascii="Arial" w:eastAsia="Arial" w:hAnsi="Arial" w:cs="Arial"/>
          <w:color w:val="000000" w:themeColor="text1"/>
          <w:sz w:val="22"/>
          <w:szCs w:val="22"/>
        </w:rPr>
        <w:t xml:space="preserve">Sustainable Development Goal </w:t>
      </w:r>
      <w:r w:rsidR="36F5ADAB" w:rsidRPr="6738B21D">
        <w:rPr>
          <w:rFonts w:ascii="Arial" w:eastAsia="Arial" w:hAnsi="Arial" w:cs="Arial"/>
          <w:color w:val="000000" w:themeColor="text1"/>
          <w:sz w:val="22"/>
          <w:szCs w:val="22"/>
        </w:rPr>
        <w:t>SDG3</w:t>
      </w:r>
      <w:r w:rsidR="08E7FBC0" w:rsidRPr="6738B21D">
        <w:rPr>
          <w:rFonts w:ascii="Arial" w:eastAsia="Arial" w:hAnsi="Arial" w:cs="Arial"/>
          <w:color w:val="000000" w:themeColor="text1"/>
          <w:sz w:val="22"/>
          <w:szCs w:val="22"/>
        </w:rPr>
        <w:t xml:space="preserve"> is a cornerstone of the United Nations 2030 Agenda for Sustainable Development. It focuses on ensuring healthy lives and promoting well-being for all at every stage of life. </w:t>
      </w:r>
    </w:p>
    <w:p w14:paraId="53CE1C48" w14:textId="509C6546" w:rsidR="009C08DC" w:rsidRPr="009C08DC" w:rsidRDefault="009C08DC" w:rsidP="6738B21D">
      <w:pPr>
        <w:spacing w:beforeAutospacing="1" w:afterAutospacing="1" w:line="360" w:lineRule="auto"/>
        <w:rPr>
          <w:rFonts w:ascii="Arial" w:eastAsia="Arial" w:hAnsi="Arial" w:cs="Arial"/>
          <w:color w:val="000000" w:themeColor="text1"/>
          <w:sz w:val="22"/>
          <w:szCs w:val="22"/>
        </w:rPr>
      </w:pPr>
      <w:r w:rsidRPr="6738B21D">
        <w:rPr>
          <w:rFonts w:ascii="Arial" w:eastAsia="Arial" w:hAnsi="Arial" w:cs="Arial"/>
          <w:color w:val="000000" w:themeColor="text1"/>
          <w:sz w:val="22"/>
          <w:szCs w:val="22"/>
        </w:rPr>
        <w:t>Health: A dynamic condition of well-being characterized by physical, mental, and social dimensions that satisfy individual and societal needs.</w:t>
      </w:r>
    </w:p>
    <w:p w14:paraId="544C8F56" w14:textId="15CE82F2" w:rsidR="009C08DC" w:rsidRPr="009C08DC" w:rsidRDefault="009C08DC" w:rsidP="6738B21D">
      <w:pPr>
        <w:spacing w:beforeAutospacing="1" w:afterAutospacing="1" w:line="360" w:lineRule="auto"/>
        <w:rPr>
          <w:rFonts w:ascii="Arial" w:eastAsia="Arial" w:hAnsi="Arial" w:cs="Arial"/>
          <w:color w:val="000000" w:themeColor="text1"/>
          <w:sz w:val="22"/>
          <w:szCs w:val="22"/>
        </w:rPr>
      </w:pPr>
      <w:r w:rsidRPr="6738B21D">
        <w:rPr>
          <w:rFonts w:ascii="Arial" w:eastAsia="Arial" w:hAnsi="Arial" w:cs="Arial"/>
          <w:color w:val="000000" w:themeColor="text1"/>
          <w:sz w:val="22"/>
          <w:szCs w:val="22"/>
        </w:rPr>
        <w:t>Wellbeing: The subjective state of being healthy, happy, or prosperous, typically evaluated through various indicators such as emotional, psychological, and social functioning.</w:t>
      </w:r>
    </w:p>
    <w:p w14:paraId="3FC9EC4F" w14:textId="4DA07B61" w:rsidR="00646185" w:rsidRDefault="009C08DC" w:rsidP="6738B21D">
      <w:pPr>
        <w:spacing w:beforeAutospacing="1" w:afterAutospacing="1" w:line="360" w:lineRule="auto"/>
        <w:rPr>
          <w:rFonts w:ascii="Arial" w:eastAsia="Arial" w:hAnsi="Arial" w:cs="Arial"/>
          <w:sz w:val="22"/>
          <w:szCs w:val="22"/>
        </w:rPr>
      </w:pPr>
      <w:r w:rsidRPr="6738B21D">
        <w:rPr>
          <w:rFonts w:ascii="Arial" w:eastAsia="Arial" w:hAnsi="Arial" w:cs="Arial"/>
          <w:color w:val="000000" w:themeColor="text1"/>
          <w:sz w:val="22"/>
          <w:szCs w:val="22"/>
        </w:rPr>
        <w:t>Sustainability: The capacity to maintain or improve ecological, social, and economic systems for present and future generations, often involving the responsible use and conservation of resources</w:t>
      </w:r>
      <w:r w:rsidR="06966568" w:rsidRPr="6738B21D">
        <w:rPr>
          <w:rFonts w:ascii="Arial" w:eastAsia="Arial" w:hAnsi="Arial" w:cs="Arial"/>
          <w:color w:val="000000" w:themeColor="text1"/>
          <w:sz w:val="22"/>
          <w:szCs w:val="22"/>
        </w:rPr>
        <w:t>.</w:t>
      </w:r>
    </w:p>
    <w:p w14:paraId="05873E75" w14:textId="51256399" w:rsidR="00646185" w:rsidRDefault="08E7FBC0" w:rsidP="6738B21D">
      <w:pPr>
        <w:spacing w:beforeAutospacing="1" w:afterAutospacing="1" w:line="360" w:lineRule="auto"/>
        <w:rPr>
          <w:rFonts w:ascii="Arial" w:eastAsia="Arial" w:hAnsi="Arial" w:cs="Arial"/>
          <w:sz w:val="22"/>
          <w:szCs w:val="22"/>
        </w:rPr>
      </w:pPr>
      <w:r w:rsidRPr="6738B21D">
        <w:rPr>
          <w:rFonts w:ascii="Arial" w:eastAsia="Arial" w:hAnsi="Arial" w:cs="Arial"/>
          <w:color w:val="000000" w:themeColor="text1"/>
          <w:sz w:val="22"/>
          <w:szCs w:val="22"/>
        </w:rPr>
        <w:t>This goal covers a wide range of health-related targets, including reducing maternal and child mortality, combating epidemics such as HIV/AIDS, tuberculosis, and other communicable diseases, and addressing the growing burden of non-communicable diseases (NCDs) such as cardiovascular diseases, cancer, diabetes, and chronic respiratory diseases. These diseases account for a large proportion of deaths globally and require long-term prevention and treatment strategies</w:t>
      </w:r>
      <w:r w:rsidR="2D502566" w:rsidRPr="6738B21D">
        <w:rPr>
          <w:rFonts w:ascii="Arial" w:eastAsia="Arial" w:hAnsi="Arial" w:cs="Arial"/>
          <w:color w:val="000000" w:themeColor="text1"/>
          <w:sz w:val="22"/>
          <w:szCs w:val="22"/>
        </w:rPr>
        <w:t xml:space="preserve"> </w:t>
      </w:r>
      <w:r w:rsidR="2D502566" w:rsidRPr="6738B21D">
        <w:rPr>
          <w:rFonts w:ascii="Arial" w:eastAsia="Arial" w:hAnsi="Arial" w:cs="Arial"/>
          <w:sz w:val="22"/>
          <w:szCs w:val="22"/>
        </w:rPr>
        <w:t>(WHO, 2022).</w:t>
      </w:r>
    </w:p>
    <w:p w14:paraId="5A60D088" w14:textId="7A3F5B44" w:rsidR="00646185" w:rsidRDefault="08E7FBC0" w:rsidP="6738B21D">
      <w:pPr>
        <w:spacing w:beforeAutospacing="1" w:afterAutospacing="1" w:line="360" w:lineRule="auto"/>
        <w:rPr>
          <w:rFonts w:ascii="Arial" w:eastAsia="Arial" w:hAnsi="Arial" w:cs="Arial"/>
          <w:sz w:val="22"/>
          <w:szCs w:val="22"/>
        </w:rPr>
      </w:pPr>
      <w:r w:rsidRPr="6738B21D">
        <w:rPr>
          <w:rFonts w:ascii="Arial" w:eastAsia="Arial" w:hAnsi="Arial" w:cs="Arial"/>
          <w:color w:val="000000" w:themeColor="text1"/>
          <w:sz w:val="22"/>
          <w:szCs w:val="22"/>
        </w:rPr>
        <w:t>SDG 3 also emphasizes the importance of universal health coverage, which means that all individuals and communities should have access to the health services they need without suffering financial hardship. This includes access to quality essential healthcare services as well as safe, effective, quality, and affordable medicines and vaccines. Ensuring universal access to healthcare helps improve quality of life and reduces inequalities between different social groups</w:t>
      </w:r>
      <w:r w:rsidR="1B762291" w:rsidRPr="6738B21D">
        <w:rPr>
          <w:rFonts w:ascii="Arial" w:eastAsia="Arial" w:hAnsi="Arial" w:cs="Arial"/>
          <w:color w:val="000000" w:themeColor="text1"/>
          <w:sz w:val="22"/>
          <w:szCs w:val="22"/>
        </w:rPr>
        <w:t xml:space="preserve"> </w:t>
      </w:r>
      <w:r w:rsidR="1B762291" w:rsidRPr="6738B21D">
        <w:rPr>
          <w:rFonts w:ascii="Arial" w:eastAsia="Arial" w:hAnsi="Arial" w:cs="Arial"/>
          <w:sz w:val="22"/>
          <w:szCs w:val="22"/>
        </w:rPr>
        <w:t>(Lunn, Brien and Robinson, 2026).</w:t>
      </w:r>
    </w:p>
    <w:p w14:paraId="1C1133B5" w14:textId="431871C2" w:rsidR="6738B21D" w:rsidRDefault="6738B21D" w:rsidP="6738B21D">
      <w:pPr>
        <w:spacing w:beforeAutospacing="1" w:afterAutospacing="1" w:line="360" w:lineRule="auto"/>
        <w:rPr>
          <w:rFonts w:ascii="Arial" w:eastAsia="Arial" w:hAnsi="Arial" w:cs="Arial"/>
          <w:sz w:val="22"/>
          <w:szCs w:val="22"/>
        </w:rPr>
      </w:pPr>
    </w:p>
    <w:p w14:paraId="74162AFF" w14:textId="656B39BF" w:rsidR="6738B21D" w:rsidRDefault="6738B21D" w:rsidP="6738B21D">
      <w:pPr>
        <w:spacing w:beforeAutospacing="1" w:afterAutospacing="1" w:line="360" w:lineRule="auto"/>
        <w:rPr>
          <w:rFonts w:ascii="Arial" w:eastAsia="Arial" w:hAnsi="Arial" w:cs="Arial"/>
          <w:sz w:val="22"/>
          <w:szCs w:val="22"/>
        </w:rPr>
      </w:pPr>
    </w:p>
    <w:p w14:paraId="347389C4" w14:textId="444A3CC0" w:rsidR="6738B21D" w:rsidRDefault="6738B21D" w:rsidP="6738B21D">
      <w:pPr>
        <w:spacing w:beforeAutospacing="1" w:afterAutospacing="1" w:line="360" w:lineRule="auto"/>
        <w:rPr>
          <w:rFonts w:ascii="Arial" w:eastAsia="Arial" w:hAnsi="Arial" w:cs="Arial"/>
          <w:sz w:val="22"/>
          <w:szCs w:val="22"/>
        </w:rPr>
      </w:pPr>
    </w:p>
    <w:p w14:paraId="7B0527CD" w14:textId="66A0496F" w:rsidR="6738B21D" w:rsidRDefault="6738B21D" w:rsidP="6738B21D">
      <w:pPr>
        <w:spacing w:beforeAutospacing="1" w:afterAutospacing="1" w:line="360" w:lineRule="auto"/>
        <w:rPr>
          <w:rFonts w:ascii="Arial" w:eastAsia="Arial" w:hAnsi="Arial" w:cs="Arial"/>
          <w:sz w:val="22"/>
          <w:szCs w:val="22"/>
        </w:rPr>
      </w:pPr>
    </w:p>
    <w:p w14:paraId="48E63AE9" w14:textId="0BD48D98" w:rsidR="00646185" w:rsidRDefault="08E7FBC0" w:rsidP="3D5E3244">
      <w:pPr>
        <w:pStyle w:val="ListParagraph"/>
        <w:numPr>
          <w:ilvl w:val="0"/>
          <w:numId w:val="19"/>
        </w:numPr>
        <w:spacing w:beforeAutospacing="1" w:afterAutospacing="1" w:line="360" w:lineRule="auto"/>
        <w:rPr>
          <w:rFonts w:ascii="Arial" w:eastAsia="Arial" w:hAnsi="Arial" w:cs="Arial"/>
          <w:color w:val="000000" w:themeColor="text1"/>
          <w:sz w:val="28"/>
          <w:szCs w:val="28"/>
        </w:rPr>
      </w:pPr>
      <w:r w:rsidRPr="3D5E3244">
        <w:rPr>
          <w:rFonts w:ascii="Arial" w:eastAsia="Arial" w:hAnsi="Arial" w:cs="Arial"/>
          <w:color w:val="000000" w:themeColor="text1"/>
          <w:sz w:val="28"/>
          <w:szCs w:val="28"/>
        </w:rPr>
        <w:t>Global, National, and Local Policies and Initiatives</w:t>
      </w:r>
    </w:p>
    <w:p w14:paraId="7974C8C8" w14:textId="2515EB72" w:rsidR="00507D83" w:rsidRDefault="00507D83" w:rsidP="3D5E3244">
      <w:pPr>
        <w:spacing w:beforeAutospacing="1" w:afterAutospacing="1" w:line="360" w:lineRule="auto"/>
        <w:rPr>
          <w:rFonts w:ascii="Arial" w:eastAsia="Arial" w:hAnsi="Arial" w:cs="Arial"/>
          <w:sz w:val="22"/>
          <w:szCs w:val="22"/>
        </w:rPr>
      </w:pPr>
      <w:r w:rsidRPr="3D5E3244">
        <w:rPr>
          <w:rFonts w:ascii="Arial" w:eastAsia="Arial" w:hAnsi="Arial" w:cs="Arial"/>
          <w:color w:val="000000" w:themeColor="text1"/>
          <w:sz w:val="22"/>
          <w:szCs w:val="22"/>
        </w:rPr>
        <w:t>The UK's commitment to SDG 3 is reflected in its participation in global health initiatives and the implementation of national and local policies aimed at improving health outcomes</w:t>
      </w:r>
      <w:r w:rsidR="07028DB5" w:rsidRPr="3D5E3244">
        <w:rPr>
          <w:rFonts w:ascii="Arial" w:eastAsia="Arial" w:hAnsi="Arial" w:cs="Arial"/>
          <w:sz w:val="22"/>
          <w:szCs w:val="22"/>
        </w:rPr>
        <w:t xml:space="preserve"> (Bond ,2022)</w:t>
      </w:r>
    </w:p>
    <w:p w14:paraId="512B352B" w14:textId="0B44F9AE" w:rsidR="00646185" w:rsidRDefault="08E7FBC0" w:rsidP="3D5E3244">
      <w:pPr>
        <w:pStyle w:val="ListParagraph"/>
        <w:numPr>
          <w:ilvl w:val="0"/>
          <w:numId w:val="18"/>
        </w:numPr>
        <w:spacing w:beforeAutospacing="1" w:afterAutospacing="1" w:line="360" w:lineRule="auto"/>
        <w:rPr>
          <w:rFonts w:ascii="Arial" w:eastAsia="Arial" w:hAnsi="Arial" w:cs="Arial"/>
          <w:color w:val="000000" w:themeColor="text1"/>
          <w:sz w:val="28"/>
          <w:szCs w:val="28"/>
        </w:rPr>
      </w:pPr>
      <w:r w:rsidRPr="3D5E3244">
        <w:rPr>
          <w:rFonts w:ascii="Arial" w:eastAsia="Arial" w:hAnsi="Arial" w:cs="Arial"/>
          <w:color w:val="000000" w:themeColor="text1"/>
          <w:sz w:val="28"/>
          <w:szCs w:val="28"/>
        </w:rPr>
        <w:t>Global Policies</w:t>
      </w:r>
    </w:p>
    <w:p w14:paraId="1B45A66A" w14:textId="127D5055" w:rsidR="00646185" w:rsidRDefault="455EEBCE"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sz w:val="22"/>
          <w:szCs w:val="22"/>
        </w:rPr>
        <w:t xml:space="preserve">National Institute for Health and Care Research (2025) states that </w:t>
      </w:r>
      <w:r w:rsidR="08E7FBC0" w:rsidRPr="3D5E3244">
        <w:rPr>
          <w:rFonts w:ascii="Arial" w:eastAsia="Arial" w:hAnsi="Arial" w:cs="Arial"/>
          <w:color w:val="000000" w:themeColor="text1"/>
          <w:sz w:val="22"/>
          <w:szCs w:val="22"/>
        </w:rPr>
        <w:t xml:space="preserve">The UK works closely with international </w:t>
      </w:r>
      <w:proofErr w:type="spellStart"/>
      <w:r w:rsidR="08E7FBC0" w:rsidRPr="3D5E3244">
        <w:rPr>
          <w:rFonts w:ascii="Arial" w:eastAsia="Arial" w:hAnsi="Arial" w:cs="Arial"/>
          <w:color w:val="000000" w:themeColor="text1"/>
          <w:sz w:val="22"/>
          <w:szCs w:val="22"/>
        </w:rPr>
        <w:t>organizations</w:t>
      </w:r>
      <w:proofErr w:type="spellEnd"/>
      <w:r w:rsidR="08E7FBC0" w:rsidRPr="3D5E3244">
        <w:rPr>
          <w:rFonts w:ascii="Arial" w:eastAsia="Arial" w:hAnsi="Arial" w:cs="Arial"/>
          <w:color w:val="000000" w:themeColor="text1"/>
          <w:sz w:val="22"/>
          <w:szCs w:val="22"/>
        </w:rPr>
        <w:t xml:space="preserve"> such as the World Health </w:t>
      </w:r>
      <w:proofErr w:type="spellStart"/>
      <w:r w:rsidR="08E7FBC0" w:rsidRPr="3D5E3244">
        <w:rPr>
          <w:rFonts w:ascii="Arial" w:eastAsia="Arial" w:hAnsi="Arial" w:cs="Arial"/>
          <w:color w:val="000000" w:themeColor="text1"/>
          <w:sz w:val="22"/>
          <w:szCs w:val="22"/>
        </w:rPr>
        <w:t>Organization</w:t>
      </w:r>
      <w:proofErr w:type="spellEnd"/>
      <w:r w:rsidR="08E7FBC0" w:rsidRPr="3D5E3244">
        <w:rPr>
          <w:rFonts w:ascii="Arial" w:eastAsia="Arial" w:hAnsi="Arial" w:cs="Arial"/>
          <w:color w:val="000000" w:themeColor="text1"/>
          <w:sz w:val="22"/>
          <w:szCs w:val="22"/>
        </w:rPr>
        <w:t> to support global health programs. This collaboration includes funding research, providing technical assistance, and supporting international efforts to combat infectious diseases. The UK also contributes financial support to health programs in low- and middle-income countries, helping strengthen healthcare systems and improve access to treatment and vaccines.</w:t>
      </w:r>
    </w:p>
    <w:p w14:paraId="636DADBB" w14:textId="3DFA9D57" w:rsidR="00646185" w:rsidRDefault="08E7FBC0" w:rsidP="3D5E3244">
      <w:pPr>
        <w:pStyle w:val="ListParagraph"/>
        <w:numPr>
          <w:ilvl w:val="0"/>
          <w:numId w:val="17"/>
        </w:num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8"/>
          <w:szCs w:val="28"/>
        </w:rPr>
        <w:t>National Policies</w:t>
      </w:r>
    </w:p>
    <w:p w14:paraId="4018364E" w14:textId="3263843E" w:rsidR="00646185" w:rsidRDefault="08E7FBC0" w:rsidP="3D5E3244">
      <w:pPr>
        <w:spacing w:before="240" w:after="240" w:line="360" w:lineRule="auto"/>
        <w:rPr>
          <w:rFonts w:ascii="Arial" w:eastAsia="Arial" w:hAnsi="Arial" w:cs="Arial"/>
          <w:sz w:val="22"/>
          <w:szCs w:val="22"/>
        </w:rPr>
      </w:pPr>
      <w:r w:rsidRPr="3D5E3244">
        <w:rPr>
          <w:rFonts w:ascii="Arial" w:eastAsia="Arial" w:hAnsi="Arial" w:cs="Arial"/>
          <w:color w:val="000000" w:themeColor="text1"/>
          <w:sz w:val="22"/>
          <w:szCs w:val="22"/>
        </w:rPr>
        <w:t>At the national level, the National Health Service (NHS) is the cornerstone of the UK's healthcare system and plays a central role in achieving SDG 3. The NHS provides healthcare services that are largely free at the point of use, ensuring that people can access medical care regardless of income</w:t>
      </w:r>
      <w:r w:rsidR="65BBF001" w:rsidRPr="3D5E3244">
        <w:rPr>
          <w:rFonts w:ascii="Arial" w:eastAsia="Arial" w:hAnsi="Arial" w:cs="Arial"/>
          <w:color w:val="000000" w:themeColor="text1"/>
          <w:sz w:val="22"/>
          <w:szCs w:val="22"/>
        </w:rPr>
        <w:t xml:space="preserve"> </w:t>
      </w:r>
      <w:r w:rsidR="2532BF1F" w:rsidRPr="3D5E3244">
        <w:rPr>
          <w:rFonts w:ascii="Arial" w:eastAsia="Arial" w:hAnsi="Arial" w:cs="Arial"/>
          <w:sz w:val="22"/>
          <w:szCs w:val="22"/>
        </w:rPr>
        <w:t>(NHS England, 2023).</w:t>
      </w:r>
    </w:p>
    <w:p w14:paraId="73EB1732" w14:textId="73997B77" w:rsidR="00646185" w:rsidRDefault="08E7FBC0" w:rsidP="3D5E3244">
      <w:pPr>
        <w:spacing w:beforeAutospacing="1" w:afterAutospacing="1" w:line="360" w:lineRule="auto"/>
        <w:rPr>
          <w:rFonts w:ascii="Arial" w:eastAsia="Arial" w:hAnsi="Arial" w:cs="Arial"/>
          <w:sz w:val="22"/>
          <w:szCs w:val="22"/>
        </w:rPr>
      </w:pPr>
      <w:r w:rsidRPr="3D5E3244">
        <w:rPr>
          <w:rFonts w:ascii="Arial" w:eastAsia="Arial" w:hAnsi="Arial" w:cs="Arial"/>
          <w:color w:val="000000" w:themeColor="text1"/>
          <w:sz w:val="22"/>
          <w:szCs w:val="22"/>
        </w:rPr>
        <w:t xml:space="preserve">The NHS Long Term Plan outlines several priorities, including improving healthcare outcomes, preventing illnesses, and reducing health inequalities. The plan also focuses on integrated care, digital health technologies, and </w:t>
      </w:r>
      <w:proofErr w:type="spellStart"/>
      <w:r w:rsidRPr="3D5E3244">
        <w:rPr>
          <w:rFonts w:ascii="Arial" w:eastAsia="Arial" w:hAnsi="Arial" w:cs="Arial"/>
          <w:color w:val="000000" w:themeColor="text1"/>
          <w:sz w:val="22"/>
          <w:szCs w:val="22"/>
        </w:rPr>
        <w:t>personalized</w:t>
      </w:r>
      <w:proofErr w:type="spellEnd"/>
      <w:r w:rsidRPr="3D5E3244">
        <w:rPr>
          <w:rFonts w:ascii="Arial" w:eastAsia="Arial" w:hAnsi="Arial" w:cs="Arial"/>
          <w:color w:val="000000" w:themeColor="text1"/>
          <w:sz w:val="22"/>
          <w:szCs w:val="22"/>
        </w:rPr>
        <w:t xml:space="preserve"> medicine. In addition, the UK Health Security Agency plays an important role in health protection, disease prevention, and emergency preparedness</w:t>
      </w:r>
      <w:r w:rsidR="3F3A2D90" w:rsidRPr="3D5E3244">
        <w:rPr>
          <w:rFonts w:ascii="Arial" w:eastAsia="Arial" w:hAnsi="Arial" w:cs="Arial"/>
          <w:color w:val="000000" w:themeColor="text1"/>
          <w:sz w:val="22"/>
          <w:szCs w:val="22"/>
        </w:rPr>
        <w:t xml:space="preserve"> </w:t>
      </w:r>
      <w:r w:rsidR="3F3A2D90" w:rsidRPr="3D5E3244">
        <w:rPr>
          <w:rFonts w:ascii="Arial" w:eastAsia="Arial" w:hAnsi="Arial" w:cs="Arial"/>
          <w:sz w:val="22"/>
          <w:szCs w:val="22"/>
        </w:rPr>
        <w:t>(NHS England, 2019).</w:t>
      </w:r>
    </w:p>
    <w:p w14:paraId="6D8D93ED" w14:textId="10890A13" w:rsidR="00646185" w:rsidRDefault="08E7FBC0" w:rsidP="3D5E3244">
      <w:pPr>
        <w:pStyle w:val="ListParagraph"/>
        <w:numPr>
          <w:ilvl w:val="0"/>
          <w:numId w:val="16"/>
        </w:numPr>
        <w:spacing w:beforeAutospacing="1" w:afterAutospacing="1" w:line="360" w:lineRule="auto"/>
        <w:rPr>
          <w:rFonts w:ascii="Arial" w:eastAsia="Arial" w:hAnsi="Arial" w:cs="Arial"/>
          <w:color w:val="000000" w:themeColor="text1"/>
          <w:sz w:val="28"/>
          <w:szCs w:val="28"/>
        </w:rPr>
      </w:pPr>
      <w:r w:rsidRPr="3D5E3244">
        <w:rPr>
          <w:rFonts w:ascii="Arial" w:eastAsia="Arial" w:hAnsi="Arial" w:cs="Arial"/>
          <w:color w:val="000000" w:themeColor="text1"/>
          <w:sz w:val="28"/>
          <w:szCs w:val="28"/>
        </w:rPr>
        <w:t>Local Initiatives</w:t>
      </w:r>
    </w:p>
    <w:p w14:paraId="6ADB14C6" w14:textId="40152657" w:rsidR="00646185" w:rsidRDefault="7304274E"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sz w:val="22"/>
          <w:szCs w:val="22"/>
        </w:rPr>
        <w:t xml:space="preserve">Base on Local Government Association (2023) </w:t>
      </w:r>
      <w:r w:rsidR="08E7FBC0" w:rsidRPr="3D5E3244">
        <w:rPr>
          <w:rFonts w:ascii="Arial" w:eastAsia="Arial" w:hAnsi="Arial" w:cs="Arial"/>
          <w:color w:val="000000" w:themeColor="text1"/>
          <w:sz w:val="22"/>
          <w:szCs w:val="22"/>
        </w:rPr>
        <w:t xml:space="preserve">Local authorities and community </w:t>
      </w:r>
      <w:proofErr w:type="spellStart"/>
      <w:r w:rsidR="08E7FBC0" w:rsidRPr="3D5E3244">
        <w:rPr>
          <w:rFonts w:ascii="Arial" w:eastAsia="Arial" w:hAnsi="Arial" w:cs="Arial"/>
          <w:color w:val="000000" w:themeColor="text1"/>
          <w:sz w:val="22"/>
          <w:szCs w:val="22"/>
        </w:rPr>
        <w:t>organizations</w:t>
      </w:r>
      <w:proofErr w:type="spellEnd"/>
      <w:r w:rsidR="08E7FBC0" w:rsidRPr="3D5E3244">
        <w:rPr>
          <w:rFonts w:ascii="Arial" w:eastAsia="Arial" w:hAnsi="Arial" w:cs="Arial"/>
          <w:color w:val="000000" w:themeColor="text1"/>
          <w:sz w:val="22"/>
          <w:szCs w:val="22"/>
        </w:rPr>
        <w:t xml:space="preserve"> also play a significant role in addressing health needs within their communities. Many local programs aim to promote healthy lifestyles and provide support for people who may be vulnerable or at risk.</w:t>
      </w:r>
    </w:p>
    <w:p w14:paraId="646CB0ED" w14:textId="185CFFD8" w:rsidR="00646185" w:rsidRDefault="08E7FBC0"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 xml:space="preserve">Examples include smoking cessation services, weight management programs, and mental health support groups. Community health initiatives often focus on prevention, encouraging people to adopt healthier </w:t>
      </w:r>
      <w:r w:rsidR="362FDD01" w:rsidRPr="3D5E3244">
        <w:rPr>
          <w:rFonts w:ascii="Arial" w:eastAsia="Arial" w:hAnsi="Arial" w:cs="Arial"/>
          <w:color w:val="000000" w:themeColor="text1"/>
          <w:sz w:val="22"/>
          <w:szCs w:val="22"/>
        </w:rPr>
        <w:t>behaviours</w:t>
      </w:r>
      <w:r w:rsidRPr="3D5E3244">
        <w:rPr>
          <w:rFonts w:ascii="Arial" w:eastAsia="Arial" w:hAnsi="Arial" w:cs="Arial"/>
          <w:color w:val="000000" w:themeColor="text1"/>
          <w:sz w:val="22"/>
          <w:szCs w:val="22"/>
        </w:rPr>
        <w:t xml:space="preserve"> that can reduce the risk of long-term illnesses</w:t>
      </w:r>
      <w:r w:rsidR="64FB0674" w:rsidRPr="3D5E3244">
        <w:rPr>
          <w:rFonts w:ascii="Arial" w:eastAsia="Arial" w:hAnsi="Arial" w:cs="Arial"/>
          <w:color w:val="000000" w:themeColor="text1"/>
          <w:sz w:val="22"/>
          <w:szCs w:val="22"/>
        </w:rPr>
        <w:t xml:space="preserve"> </w:t>
      </w:r>
      <w:r w:rsidR="64FB0674" w:rsidRPr="3D5E3244">
        <w:rPr>
          <w:rFonts w:ascii="Arial" w:eastAsia="Arial" w:hAnsi="Arial" w:cs="Arial"/>
          <w:sz w:val="22"/>
          <w:szCs w:val="22"/>
        </w:rPr>
        <w:t>(Reading Borough Council, 2024)</w:t>
      </w:r>
    </w:p>
    <w:p w14:paraId="5C4EED0C" w14:textId="6F2D3101" w:rsidR="00646185" w:rsidRDefault="08E7FBC0" w:rsidP="3D5E3244">
      <w:pPr>
        <w:pStyle w:val="ListParagraph"/>
        <w:numPr>
          <w:ilvl w:val="0"/>
          <w:numId w:val="15"/>
        </w:numPr>
        <w:spacing w:beforeAutospacing="1" w:afterAutospacing="1" w:line="360" w:lineRule="auto"/>
        <w:rPr>
          <w:rFonts w:ascii="Arial" w:eastAsia="Arial" w:hAnsi="Arial" w:cs="Arial"/>
          <w:color w:val="000000" w:themeColor="text1"/>
          <w:sz w:val="28"/>
          <w:szCs w:val="28"/>
        </w:rPr>
      </w:pPr>
      <w:r w:rsidRPr="3D5E3244">
        <w:rPr>
          <w:rFonts w:ascii="Arial" w:eastAsia="Arial" w:hAnsi="Arial" w:cs="Arial"/>
          <w:color w:val="000000" w:themeColor="text1"/>
          <w:sz w:val="28"/>
          <w:szCs w:val="28"/>
        </w:rPr>
        <w:t>Use of Theories</w:t>
      </w:r>
    </w:p>
    <w:p w14:paraId="5062F9B0" w14:textId="77E90A2A" w:rsidR="00646185" w:rsidRDefault="08E7FBC0" w:rsidP="34E7EE6F">
      <w:pPr>
        <w:spacing w:beforeAutospacing="1" w:afterAutospacing="1" w:line="360" w:lineRule="auto"/>
        <w:rPr>
          <w:rFonts w:ascii="Arial" w:eastAsia="Arial" w:hAnsi="Arial" w:cs="Arial"/>
          <w:color w:val="000000" w:themeColor="text1"/>
          <w:sz w:val="22"/>
          <w:szCs w:val="22"/>
        </w:rPr>
      </w:pPr>
      <w:r w:rsidRPr="34E7EE6F">
        <w:rPr>
          <w:rFonts w:ascii="Arial" w:eastAsia="Arial" w:hAnsi="Arial" w:cs="Arial"/>
          <w:color w:val="000000" w:themeColor="text1"/>
          <w:sz w:val="22"/>
          <w:szCs w:val="22"/>
        </w:rPr>
        <w:t>Several theories help explain health behaviours and inform the UK’s approach to achieving SDG 3.</w:t>
      </w:r>
    </w:p>
    <w:p w14:paraId="042AC408" w14:textId="2F89EBC8" w:rsidR="3D5E3244" w:rsidRDefault="08E7FBC0" w:rsidP="6738B21D">
      <w:pPr>
        <w:spacing w:beforeAutospacing="1" w:afterAutospacing="1" w:line="360" w:lineRule="auto"/>
        <w:rPr>
          <w:rFonts w:ascii="Arial" w:eastAsia="Arial" w:hAnsi="Arial" w:cs="Arial"/>
          <w:color w:val="000000" w:themeColor="text1"/>
          <w:sz w:val="22"/>
          <w:szCs w:val="22"/>
        </w:rPr>
      </w:pPr>
      <w:r w:rsidRPr="6738B21D">
        <w:rPr>
          <w:rFonts w:ascii="Arial" w:eastAsia="Arial" w:hAnsi="Arial" w:cs="Arial"/>
          <w:color w:val="000000" w:themeColor="text1"/>
          <w:sz w:val="22"/>
          <w:szCs w:val="22"/>
        </w:rPr>
        <w:t>One important concept is the Social Determinants of Health. This theory suggests that health outcomes are strongly influenced by social, economic, and environmental conditions. Factors such as income, education, housing, and employment can all affect a person’s health. Therefore, improving health outcomes requires policies that address these broader social factors</w:t>
      </w:r>
      <w:r w:rsidR="1D77A2ED" w:rsidRPr="6738B21D">
        <w:rPr>
          <w:rFonts w:ascii="Arial" w:eastAsia="Arial" w:hAnsi="Arial" w:cs="Arial"/>
          <w:color w:val="000000" w:themeColor="text1"/>
          <w:sz w:val="22"/>
          <w:szCs w:val="22"/>
        </w:rPr>
        <w:t xml:space="preserve"> </w:t>
      </w:r>
      <w:r w:rsidR="1D77A2ED" w:rsidRPr="6738B21D">
        <w:rPr>
          <w:rFonts w:ascii="Arial" w:eastAsia="Arial" w:hAnsi="Arial" w:cs="Arial"/>
          <w:sz w:val="22"/>
          <w:szCs w:val="22"/>
        </w:rPr>
        <w:t>(Office for Health Improvement and Disparities, 2026).</w:t>
      </w:r>
    </w:p>
    <w:p w14:paraId="54F92137" w14:textId="3B5E40EB" w:rsidR="00646185" w:rsidRDefault="2A82F226"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According to</w:t>
      </w:r>
      <w:r w:rsidRPr="3D5E3244">
        <w:rPr>
          <w:rFonts w:ascii="Arial" w:eastAsia="Arial" w:hAnsi="Arial" w:cs="Arial"/>
          <w:sz w:val="22"/>
          <w:szCs w:val="22"/>
        </w:rPr>
        <w:t xml:space="preserve"> Public Health England (2020)</w:t>
      </w:r>
      <w:r w:rsidRPr="3D5E3244">
        <w:rPr>
          <w:rFonts w:ascii="Arial" w:eastAsia="Arial" w:hAnsi="Arial" w:cs="Arial"/>
          <w:color w:val="000000" w:themeColor="text1"/>
          <w:sz w:val="22"/>
          <w:szCs w:val="22"/>
        </w:rPr>
        <w:t xml:space="preserve"> </w:t>
      </w:r>
      <w:r w:rsidR="08E7FBC0" w:rsidRPr="3D5E3244">
        <w:rPr>
          <w:rFonts w:ascii="Arial" w:eastAsia="Arial" w:hAnsi="Arial" w:cs="Arial"/>
          <w:color w:val="000000" w:themeColor="text1"/>
          <w:sz w:val="22"/>
          <w:szCs w:val="22"/>
        </w:rPr>
        <w:t xml:space="preserve">Another useful framework is the Health Belief Model. This model explains how people make decisions about their health based on their perceptions of risk, severity, benefits, and barriers. For example, if people believe they are at risk of developing a disease, they may be more likely to adopt preventive </w:t>
      </w:r>
      <w:r w:rsidR="66474932" w:rsidRPr="3D5E3244">
        <w:rPr>
          <w:rFonts w:ascii="Arial" w:eastAsia="Arial" w:hAnsi="Arial" w:cs="Arial"/>
          <w:color w:val="000000" w:themeColor="text1"/>
          <w:sz w:val="22"/>
          <w:szCs w:val="22"/>
        </w:rPr>
        <w:t>behaviours</w:t>
      </w:r>
      <w:r w:rsidR="08E7FBC0" w:rsidRPr="3D5E3244">
        <w:rPr>
          <w:rFonts w:ascii="Arial" w:eastAsia="Arial" w:hAnsi="Arial" w:cs="Arial"/>
          <w:color w:val="000000" w:themeColor="text1"/>
          <w:sz w:val="22"/>
          <w:szCs w:val="22"/>
        </w:rPr>
        <w:t xml:space="preserve"> such as exercising regularly or attending health screenings.</w:t>
      </w:r>
    </w:p>
    <w:p w14:paraId="11BDDA43" w14:textId="77E42D31" w:rsidR="00646185" w:rsidRDefault="08E7FBC0"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 xml:space="preserve">Behaviour </w:t>
      </w:r>
      <w:r w:rsidR="4FC5D947" w:rsidRPr="3D5E3244">
        <w:rPr>
          <w:rFonts w:ascii="Arial" w:eastAsia="Arial" w:hAnsi="Arial" w:cs="Arial"/>
          <w:color w:val="000000" w:themeColor="text1"/>
          <w:sz w:val="22"/>
          <w:szCs w:val="22"/>
        </w:rPr>
        <w:t>changes</w:t>
      </w:r>
      <w:r w:rsidRPr="3D5E3244">
        <w:rPr>
          <w:rFonts w:ascii="Arial" w:eastAsia="Arial" w:hAnsi="Arial" w:cs="Arial"/>
          <w:color w:val="000000" w:themeColor="text1"/>
          <w:sz w:val="22"/>
          <w:szCs w:val="22"/>
        </w:rPr>
        <w:t xml:space="preserve"> theories such as the </w:t>
      </w:r>
      <w:proofErr w:type="spellStart"/>
      <w:r w:rsidRPr="3D5E3244">
        <w:rPr>
          <w:rFonts w:ascii="Arial" w:eastAsia="Arial" w:hAnsi="Arial" w:cs="Arial"/>
          <w:color w:val="000000" w:themeColor="text1"/>
          <w:sz w:val="22"/>
          <w:szCs w:val="22"/>
        </w:rPr>
        <w:t>Transtheoretical</w:t>
      </w:r>
      <w:proofErr w:type="spellEnd"/>
      <w:r w:rsidRPr="3D5E3244">
        <w:rPr>
          <w:rFonts w:ascii="Arial" w:eastAsia="Arial" w:hAnsi="Arial" w:cs="Arial"/>
          <w:color w:val="000000" w:themeColor="text1"/>
          <w:sz w:val="22"/>
          <w:szCs w:val="22"/>
        </w:rPr>
        <w:t xml:space="preserve"> Model (also known as the Stages of Change model) also provide insights into how individuals gradually modify their behaviour. These models help policymakers design interventions that match people’s readiness to change their habits</w:t>
      </w:r>
      <w:r w:rsidR="4DF168A9" w:rsidRPr="3D5E3244">
        <w:rPr>
          <w:rFonts w:ascii="Arial" w:eastAsia="Arial" w:hAnsi="Arial" w:cs="Arial"/>
          <w:color w:val="000000" w:themeColor="text1"/>
          <w:sz w:val="22"/>
          <w:szCs w:val="22"/>
        </w:rPr>
        <w:t xml:space="preserve"> </w:t>
      </w:r>
      <w:r w:rsidR="4DF168A9" w:rsidRPr="3D5E3244">
        <w:rPr>
          <w:rFonts w:ascii="Arial" w:eastAsia="Arial" w:hAnsi="Arial" w:cs="Arial"/>
          <w:sz w:val="22"/>
          <w:szCs w:val="22"/>
        </w:rPr>
        <w:t>(UK Government, 2013).</w:t>
      </w:r>
    </w:p>
    <w:p w14:paraId="4AA4AC27" w14:textId="41FB113C" w:rsidR="00646185" w:rsidRDefault="08E7FBC0" w:rsidP="3D5E3244">
      <w:pPr>
        <w:pStyle w:val="ListParagraph"/>
        <w:numPr>
          <w:ilvl w:val="0"/>
          <w:numId w:val="14"/>
        </w:numPr>
        <w:spacing w:beforeAutospacing="1" w:afterAutospacing="1" w:line="360" w:lineRule="auto"/>
        <w:rPr>
          <w:rFonts w:ascii="Arial" w:eastAsia="Arial" w:hAnsi="Arial" w:cs="Arial"/>
          <w:color w:val="000000" w:themeColor="text1"/>
          <w:sz w:val="28"/>
          <w:szCs w:val="28"/>
        </w:rPr>
      </w:pPr>
      <w:r w:rsidRPr="3D5E3244">
        <w:rPr>
          <w:rFonts w:ascii="Arial" w:eastAsia="Arial" w:hAnsi="Arial" w:cs="Arial"/>
          <w:color w:val="000000" w:themeColor="text1"/>
          <w:sz w:val="28"/>
          <w:szCs w:val="28"/>
        </w:rPr>
        <w:t>Critical Evaluation</w:t>
      </w:r>
    </w:p>
    <w:p w14:paraId="1B4D0434" w14:textId="4AFB0567" w:rsidR="00646185" w:rsidRDefault="08E7FBC0" w:rsidP="34E7EE6F">
      <w:pPr>
        <w:spacing w:beforeAutospacing="1" w:afterAutospacing="1" w:line="360" w:lineRule="auto"/>
        <w:rPr>
          <w:rFonts w:ascii="Arial" w:eastAsia="Arial" w:hAnsi="Arial" w:cs="Arial"/>
          <w:color w:val="000000" w:themeColor="text1"/>
          <w:sz w:val="22"/>
          <w:szCs w:val="22"/>
        </w:rPr>
      </w:pPr>
      <w:r w:rsidRPr="34E7EE6F">
        <w:rPr>
          <w:rFonts w:ascii="Arial" w:eastAsia="Arial" w:hAnsi="Arial" w:cs="Arial"/>
          <w:color w:val="000000" w:themeColor="text1"/>
          <w:sz w:val="22"/>
          <w:szCs w:val="22"/>
        </w:rPr>
        <w:t>Although the UK has made considerable progress toward achieving SDG 3, several challenges remain.</w:t>
      </w:r>
    </w:p>
    <w:p w14:paraId="60102278" w14:textId="16D4204E" w:rsidR="00646185" w:rsidRDefault="08E7FBC0" w:rsidP="3D5E3244">
      <w:pPr>
        <w:spacing w:beforeAutospacing="1" w:afterAutospacing="1" w:line="360" w:lineRule="auto"/>
        <w:rPr>
          <w:rFonts w:ascii="Arial" w:eastAsia="Arial" w:hAnsi="Arial" w:cs="Arial"/>
          <w:sz w:val="22"/>
          <w:szCs w:val="22"/>
        </w:rPr>
      </w:pPr>
      <w:r w:rsidRPr="3D5E3244">
        <w:rPr>
          <w:rFonts w:ascii="Arial" w:eastAsia="Arial" w:hAnsi="Arial" w:cs="Arial"/>
          <w:color w:val="000000" w:themeColor="text1"/>
          <w:sz w:val="22"/>
          <w:szCs w:val="22"/>
        </w:rPr>
        <w:t>One major issue is the existence of health inequalities across different socioeconomic groups and regions. People living in deprived areas often experience poorer health outcomes and shorter life expectancy compared with those in more affluent areas. Factors such as poverty, employment opportunities, housing conditions, and access to healthy food can contribute to these disparities</w:t>
      </w:r>
      <w:r w:rsidR="77EC0EAF" w:rsidRPr="3D5E3244">
        <w:rPr>
          <w:rFonts w:ascii="Arial" w:eastAsia="Arial" w:hAnsi="Arial" w:cs="Arial"/>
          <w:color w:val="000000" w:themeColor="text1"/>
          <w:sz w:val="22"/>
          <w:szCs w:val="22"/>
        </w:rPr>
        <w:t xml:space="preserve"> </w:t>
      </w:r>
      <w:r w:rsidR="30F6B0D5" w:rsidRPr="3D5E3244">
        <w:rPr>
          <w:rFonts w:ascii="Arial" w:eastAsia="Arial" w:hAnsi="Arial" w:cs="Arial"/>
          <w:sz w:val="22"/>
          <w:szCs w:val="22"/>
        </w:rPr>
        <w:t>(Health, 2025)</w:t>
      </w:r>
      <w:r w:rsidR="77EC0EAF" w:rsidRPr="3D5E3244">
        <w:rPr>
          <w:rFonts w:ascii="Arial" w:eastAsia="Arial" w:hAnsi="Arial" w:cs="Arial"/>
          <w:sz w:val="22"/>
          <w:szCs w:val="22"/>
        </w:rPr>
        <w:t>.</w:t>
      </w:r>
    </w:p>
    <w:p w14:paraId="7F7D3EB3" w14:textId="7E7A711C" w:rsidR="00646185" w:rsidRDefault="71B4064E"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According to</w:t>
      </w:r>
      <w:r w:rsidRPr="3D5E3244">
        <w:rPr>
          <w:rFonts w:ascii="Arial" w:eastAsia="Arial" w:hAnsi="Arial" w:cs="Arial"/>
          <w:sz w:val="22"/>
          <w:szCs w:val="22"/>
        </w:rPr>
        <w:t xml:space="preserve"> NHS (2023)</w:t>
      </w:r>
      <w:r w:rsidRPr="3D5E3244">
        <w:rPr>
          <w:rFonts w:ascii="Arial" w:eastAsia="Arial" w:hAnsi="Arial" w:cs="Arial"/>
          <w:color w:val="000000" w:themeColor="text1"/>
          <w:sz w:val="22"/>
          <w:szCs w:val="22"/>
        </w:rPr>
        <w:t xml:space="preserve"> </w:t>
      </w:r>
      <w:r w:rsidR="08E7FBC0" w:rsidRPr="3D5E3244">
        <w:rPr>
          <w:rFonts w:ascii="Arial" w:eastAsia="Arial" w:hAnsi="Arial" w:cs="Arial"/>
          <w:color w:val="000000" w:themeColor="text1"/>
          <w:sz w:val="22"/>
          <w:szCs w:val="22"/>
        </w:rPr>
        <w:t xml:space="preserve">Access to healthcare services can also present challenges. While the NHS provides universal healthcare, some individuals may experience long waiting times or difficulty accessing specialist services. These challenges can particularly affect </w:t>
      </w:r>
      <w:proofErr w:type="spellStart"/>
      <w:r w:rsidR="08E7FBC0" w:rsidRPr="3D5E3244">
        <w:rPr>
          <w:rFonts w:ascii="Arial" w:eastAsia="Arial" w:hAnsi="Arial" w:cs="Arial"/>
          <w:color w:val="000000" w:themeColor="text1"/>
          <w:sz w:val="22"/>
          <w:szCs w:val="22"/>
        </w:rPr>
        <w:t>marginalized</w:t>
      </w:r>
      <w:proofErr w:type="spellEnd"/>
      <w:r w:rsidR="08E7FBC0" w:rsidRPr="3D5E3244">
        <w:rPr>
          <w:rFonts w:ascii="Arial" w:eastAsia="Arial" w:hAnsi="Arial" w:cs="Arial"/>
          <w:color w:val="000000" w:themeColor="text1"/>
          <w:sz w:val="22"/>
          <w:szCs w:val="22"/>
        </w:rPr>
        <w:t xml:space="preserve"> populations and those living in rural areas.</w:t>
      </w:r>
    </w:p>
    <w:p w14:paraId="4E5C06D2" w14:textId="0741F9B5" w:rsidR="36F5ADAB" w:rsidRDefault="36F5ADAB" w:rsidP="3D5E3244">
      <w:pPr>
        <w:spacing w:beforeAutospacing="1" w:afterAutospacing="1" w:line="360" w:lineRule="auto"/>
        <w:rPr>
          <w:rFonts w:ascii="Arial" w:eastAsia="Arial" w:hAnsi="Arial" w:cs="Arial"/>
          <w:sz w:val="22"/>
          <w:szCs w:val="22"/>
        </w:rPr>
      </w:pPr>
      <w:r w:rsidRPr="3D5E3244">
        <w:rPr>
          <w:rFonts w:ascii="Arial" w:eastAsia="Arial" w:hAnsi="Arial" w:cs="Arial"/>
          <w:color w:val="000000" w:themeColor="text1"/>
          <w:sz w:val="22"/>
          <w:szCs w:val="22"/>
        </w:rPr>
        <w:t>In addition, the NHS faces increasing pressure due to an aging population, rising healthcare costs, workforce shortages, and growing demand for services. These issues require long-term planning, investment, and innovative approaches to healthcare delivery</w:t>
      </w:r>
      <w:r w:rsidR="1DB47F05" w:rsidRPr="3D5E3244">
        <w:rPr>
          <w:rFonts w:ascii="Arial" w:eastAsia="Arial" w:hAnsi="Arial" w:cs="Arial"/>
          <w:color w:val="000000" w:themeColor="text1"/>
          <w:sz w:val="22"/>
          <w:szCs w:val="22"/>
        </w:rPr>
        <w:t xml:space="preserve"> </w:t>
      </w:r>
      <w:r w:rsidR="1DB47F05" w:rsidRPr="3D5E3244">
        <w:rPr>
          <w:rFonts w:ascii="Arial" w:eastAsia="Arial" w:hAnsi="Arial" w:cs="Arial"/>
          <w:sz w:val="22"/>
          <w:szCs w:val="22"/>
        </w:rPr>
        <w:t>(Age UK, 2024).</w:t>
      </w:r>
    </w:p>
    <w:p w14:paraId="47684AAD" w14:textId="02CEBFB8" w:rsidR="3D5E3244" w:rsidRDefault="3D5E3244" w:rsidP="3D5E3244">
      <w:pPr>
        <w:spacing w:beforeAutospacing="1" w:afterAutospacing="1" w:line="360" w:lineRule="auto"/>
        <w:rPr>
          <w:rFonts w:ascii="Arial" w:eastAsia="Arial" w:hAnsi="Arial" w:cs="Arial"/>
          <w:color w:val="000000" w:themeColor="text1"/>
          <w:sz w:val="22"/>
          <w:szCs w:val="22"/>
        </w:rPr>
      </w:pPr>
    </w:p>
    <w:p w14:paraId="39D55242" w14:textId="3321C640" w:rsidR="3D5E3244" w:rsidRDefault="3D5E3244" w:rsidP="6738B21D">
      <w:pPr>
        <w:spacing w:beforeAutospacing="1" w:afterAutospacing="1" w:line="360" w:lineRule="auto"/>
        <w:rPr>
          <w:rFonts w:ascii="Arial" w:eastAsia="Arial" w:hAnsi="Arial" w:cs="Arial"/>
          <w:color w:val="000000" w:themeColor="text1"/>
          <w:sz w:val="22"/>
          <w:szCs w:val="22"/>
        </w:rPr>
      </w:pPr>
    </w:p>
    <w:p w14:paraId="4B1BDB0C" w14:textId="510D3F37" w:rsidR="00646185" w:rsidRDefault="00646185" w:rsidP="6738B21D">
      <w:pPr>
        <w:spacing w:beforeAutospacing="1" w:afterAutospacing="1" w:line="360" w:lineRule="auto"/>
        <w:rPr>
          <w:rFonts w:ascii="Arial" w:eastAsia="Arial" w:hAnsi="Arial" w:cs="Arial"/>
          <w:color w:val="000000" w:themeColor="text1"/>
          <w:sz w:val="22"/>
          <w:szCs w:val="22"/>
        </w:rPr>
      </w:pPr>
    </w:p>
    <w:p w14:paraId="7F335EF4" w14:textId="74D5C41F" w:rsidR="00646185" w:rsidRDefault="00646185" w:rsidP="6738B21D">
      <w:pPr>
        <w:spacing w:beforeAutospacing="1" w:afterAutospacing="1" w:line="360" w:lineRule="auto"/>
        <w:rPr>
          <w:rFonts w:ascii="Arial" w:eastAsia="Arial" w:hAnsi="Arial" w:cs="Arial"/>
          <w:color w:val="000000" w:themeColor="text1"/>
          <w:sz w:val="22"/>
          <w:szCs w:val="22"/>
        </w:rPr>
      </w:pPr>
    </w:p>
    <w:p w14:paraId="0E25A35C" w14:textId="54BE825E" w:rsidR="00646185" w:rsidRDefault="00646185" w:rsidP="6738B21D">
      <w:pPr>
        <w:spacing w:beforeAutospacing="1" w:afterAutospacing="1" w:line="360" w:lineRule="auto"/>
        <w:rPr>
          <w:rFonts w:ascii="Arial" w:eastAsia="Arial" w:hAnsi="Arial" w:cs="Arial"/>
          <w:color w:val="000000" w:themeColor="text1"/>
          <w:sz w:val="22"/>
          <w:szCs w:val="22"/>
        </w:rPr>
      </w:pPr>
    </w:p>
    <w:p w14:paraId="7EE32917" w14:textId="5081743B" w:rsidR="00646185" w:rsidRDefault="00646185" w:rsidP="6738B21D">
      <w:pPr>
        <w:spacing w:beforeAutospacing="1" w:afterAutospacing="1" w:line="360" w:lineRule="auto"/>
        <w:rPr>
          <w:rFonts w:ascii="Arial" w:eastAsia="Arial" w:hAnsi="Arial" w:cs="Arial"/>
          <w:color w:val="000000" w:themeColor="text1"/>
          <w:sz w:val="22"/>
          <w:szCs w:val="22"/>
        </w:rPr>
      </w:pPr>
    </w:p>
    <w:p w14:paraId="493F36EB" w14:textId="1D11AF40" w:rsidR="00646185" w:rsidRDefault="00646185" w:rsidP="6738B21D">
      <w:pPr>
        <w:spacing w:beforeAutospacing="1" w:afterAutospacing="1" w:line="360" w:lineRule="auto"/>
        <w:rPr>
          <w:rFonts w:ascii="Arial" w:eastAsia="Arial" w:hAnsi="Arial" w:cs="Arial"/>
          <w:color w:val="000000" w:themeColor="text1"/>
          <w:sz w:val="22"/>
          <w:szCs w:val="22"/>
        </w:rPr>
      </w:pPr>
    </w:p>
    <w:p w14:paraId="70CD72C8" w14:textId="6DB6EC63" w:rsidR="00646185" w:rsidRDefault="00646185" w:rsidP="6738B21D">
      <w:pPr>
        <w:spacing w:beforeAutospacing="1" w:afterAutospacing="1" w:line="360" w:lineRule="auto"/>
        <w:rPr>
          <w:rFonts w:ascii="Arial" w:eastAsia="Arial" w:hAnsi="Arial" w:cs="Arial"/>
          <w:color w:val="000000" w:themeColor="text1"/>
          <w:sz w:val="22"/>
          <w:szCs w:val="22"/>
        </w:rPr>
      </w:pPr>
    </w:p>
    <w:p w14:paraId="2DF3047F" w14:textId="4E2C2CA1" w:rsidR="00646185" w:rsidRDefault="00646185" w:rsidP="6738B21D">
      <w:pPr>
        <w:spacing w:beforeAutospacing="1" w:afterAutospacing="1" w:line="360" w:lineRule="auto"/>
        <w:rPr>
          <w:rFonts w:ascii="Arial" w:eastAsia="Arial" w:hAnsi="Arial" w:cs="Arial"/>
          <w:color w:val="000000" w:themeColor="text1"/>
          <w:sz w:val="22"/>
          <w:szCs w:val="22"/>
        </w:rPr>
      </w:pPr>
    </w:p>
    <w:p w14:paraId="3EF948E2" w14:textId="798A0F40" w:rsidR="00646185" w:rsidRDefault="00646185" w:rsidP="6738B21D">
      <w:pPr>
        <w:spacing w:beforeAutospacing="1" w:afterAutospacing="1" w:line="360" w:lineRule="auto"/>
        <w:rPr>
          <w:rFonts w:ascii="Arial" w:eastAsia="Arial" w:hAnsi="Arial" w:cs="Arial"/>
          <w:color w:val="000000" w:themeColor="text1"/>
          <w:sz w:val="22"/>
          <w:szCs w:val="22"/>
        </w:rPr>
      </w:pPr>
    </w:p>
    <w:p w14:paraId="221654EB" w14:textId="2352C8EB" w:rsidR="00646185" w:rsidRDefault="00646185" w:rsidP="6738B21D">
      <w:pPr>
        <w:spacing w:beforeAutospacing="1" w:afterAutospacing="1" w:line="360" w:lineRule="auto"/>
        <w:rPr>
          <w:rFonts w:ascii="Arial" w:eastAsia="Arial" w:hAnsi="Arial" w:cs="Arial"/>
          <w:color w:val="000000" w:themeColor="text1"/>
          <w:sz w:val="22"/>
          <w:szCs w:val="22"/>
        </w:rPr>
      </w:pPr>
    </w:p>
    <w:p w14:paraId="57F4A1B7" w14:textId="2E7ECE69" w:rsidR="00646185" w:rsidRDefault="00646185" w:rsidP="6738B21D">
      <w:pPr>
        <w:spacing w:beforeAutospacing="1" w:afterAutospacing="1" w:line="360" w:lineRule="auto"/>
        <w:rPr>
          <w:rFonts w:ascii="Arial" w:eastAsia="Arial" w:hAnsi="Arial" w:cs="Arial"/>
          <w:color w:val="000000" w:themeColor="text1"/>
          <w:sz w:val="22"/>
          <w:szCs w:val="22"/>
        </w:rPr>
      </w:pPr>
    </w:p>
    <w:p w14:paraId="3D3A471B" w14:textId="3BC1DDEE" w:rsidR="00646185" w:rsidRDefault="00646185" w:rsidP="6738B21D">
      <w:pPr>
        <w:spacing w:beforeAutospacing="1" w:afterAutospacing="1" w:line="360" w:lineRule="auto"/>
        <w:rPr>
          <w:rFonts w:ascii="Arial" w:eastAsia="Arial" w:hAnsi="Arial" w:cs="Arial"/>
          <w:color w:val="000000" w:themeColor="text1"/>
          <w:sz w:val="22"/>
          <w:szCs w:val="22"/>
        </w:rPr>
      </w:pPr>
    </w:p>
    <w:p w14:paraId="3E25E414" w14:textId="46734968" w:rsidR="00646185" w:rsidRDefault="00646185" w:rsidP="6738B21D">
      <w:pPr>
        <w:spacing w:beforeAutospacing="1" w:afterAutospacing="1" w:line="360" w:lineRule="auto"/>
        <w:rPr>
          <w:rFonts w:ascii="Arial" w:eastAsia="Arial" w:hAnsi="Arial" w:cs="Arial"/>
          <w:color w:val="000000" w:themeColor="text1"/>
          <w:sz w:val="22"/>
          <w:szCs w:val="22"/>
        </w:rPr>
      </w:pPr>
    </w:p>
    <w:p w14:paraId="42C3194A" w14:textId="253849B1" w:rsidR="00646185" w:rsidRDefault="00646185" w:rsidP="6738B21D">
      <w:pPr>
        <w:spacing w:beforeAutospacing="1" w:afterAutospacing="1" w:line="360" w:lineRule="auto"/>
        <w:rPr>
          <w:rFonts w:ascii="Arial" w:eastAsia="Arial" w:hAnsi="Arial" w:cs="Arial"/>
          <w:color w:val="000000" w:themeColor="text1"/>
          <w:sz w:val="22"/>
          <w:szCs w:val="22"/>
        </w:rPr>
      </w:pPr>
    </w:p>
    <w:p w14:paraId="516D24DB" w14:textId="48342BC6" w:rsidR="00646185" w:rsidRDefault="00646185" w:rsidP="6738B21D">
      <w:pPr>
        <w:spacing w:beforeAutospacing="1" w:afterAutospacing="1" w:line="360" w:lineRule="auto"/>
        <w:rPr>
          <w:rFonts w:ascii="Arial" w:eastAsia="Arial" w:hAnsi="Arial" w:cs="Arial"/>
          <w:color w:val="000000" w:themeColor="text1"/>
          <w:sz w:val="22"/>
          <w:szCs w:val="22"/>
        </w:rPr>
      </w:pPr>
    </w:p>
    <w:p w14:paraId="31D87544" w14:textId="2C97DC46" w:rsidR="00646185" w:rsidRDefault="00646185" w:rsidP="6738B21D">
      <w:pPr>
        <w:spacing w:beforeAutospacing="1" w:afterAutospacing="1" w:line="360" w:lineRule="auto"/>
        <w:rPr>
          <w:rFonts w:ascii="Arial" w:eastAsia="Arial" w:hAnsi="Arial" w:cs="Arial"/>
          <w:color w:val="000000" w:themeColor="text1"/>
          <w:sz w:val="22"/>
          <w:szCs w:val="22"/>
        </w:rPr>
      </w:pPr>
    </w:p>
    <w:p w14:paraId="55312BCC" w14:textId="58D828F6" w:rsidR="00646185" w:rsidRDefault="08E7FBC0" w:rsidP="6738B21D">
      <w:pPr>
        <w:pStyle w:val="ListParagraph"/>
        <w:numPr>
          <w:ilvl w:val="0"/>
          <w:numId w:val="13"/>
        </w:numPr>
        <w:spacing w:beforeAutospacing="1" w:afterAutospacing="1" w:line="360" w:lineRule="auto"/>
        <w:rPr>
          <w:rFonts w:ascii="Arial" w:eastAsia="Arial" w:hAnsi="Arial" w:cs="Arial"/>
          <w:color w:val="000000" w:themeColor="text1"/>
          <w:sz w:val="28"/>
          <w:szCs w:val="28"/>
        </w:rPr>
      </w:pPr>
      <w:r w:rsidRPr="6738B21D">
        <w:rPr>
          <w:rFonts w:ascii="Arial" w:eastAsia="Arial" w:hAnsi="Arial" w:cs="Arial"/>
          <w:color w:val="000000" w:themeColor="text1"/>
          <w:sz w:val="28"/>
          <w:szCs w:val="28"/>
        </w:rPr>
        <w:t>Recommendations</w:t>
      </w:r>
    </w:p>
    <w:p w14:paraId="0CD18E81" w14:textId="156FB301" w:rsidR="00646185" w:rsidRDefault="08E7FBC0" w:rsidP="34E7EE6F">
      <w:pPr>
        <w:spacing w:beforeAutospacing="1" w:afterAutospacing="1" w:line="360" w:lineRule="auto"/>
        <w:rPr>
          <w:rFonts w:ascii="Arial" w:eastAsia="Arial" w:hAnsi="Arial" w:cs="Arial"/>
          <w:color w:val="000000" w:themeColor="text1"/>
          <w:sz w:val="22"/>
          <w:szCs w:val="22"/>
        </w:rPr>
      </w:pPr>
      <w:r w:rsidRPr="34E7EE6F">
        <w:rPr>
          <w:rFonts w:ascii="Arial" w:eastAsia="Arial" w:hAnsi="Arial" w:cs="Arial"/>
          <w:color w:val="000000" w:themeColor="text1"/>
          <w:sz w:val="22"/>
          <w:szCs w:val="22"/>
        </w:rPr>
        <w:t>To further support progress toward SDG 3 in the UK, several actions could be taken:</w:t>
      </w:r>
    </w:p>
    <w:p w14:paraId="748037B4" w14:textId="3BA86693" w:rsidR="00646185" w:rsidRDefault="08E7FBC0" w:rsidP="34E7EE6F">
      <w:pPr>
        <w:pStyle w:val="ListParagraph"/>
        <w:numPr>
          <w:ilvl w:val="0"/>
          <w:numId w:val="4"/>
        </w:numPr>
        <w:spacing w:beforeAutospacing="1" w:afterAutospacing="1" w:line="360" w:lineRule="auto"/>
        <w:rPr>
          <w:rFonts w:ascii="Arial" w:eastAsia="Arial" w:hAnsi="Arial" w:cs="Arial"/>
          <w:color w:val="000000" w:themeColor="text1"/>
          <w:sz w:val="22"/>
          <w:szCs w:val="22"/>
        </w:rPr>
      </w:pPr>
      <w:r w:rsidRPr="34E7EE6F">
        <w:rPr>
          <w:rFonts w:ascii="Arial" w:eastAsia="Arial" w:hAnsi="Arial" w:cs="Arial"/>
          <w:color w:val="000000" w:themeColor="text1"/>
          <w:sz w:val="22"/>
          <w:szCs w:val="22"/>
        </w:rPr>
        <w:t>Strengthen Primary Care: Increasing investment in primary care services can improve early diagnosis, preventive care, and chronic disease management.</w:t>
      </w:r>
    </w:p>
    <w:p w14:paraId="40EFA7B6" w14:textId="21F3E49B" w:rsidR="00646185" w:rsidRDefault="08E7FBC0" w:rsidP="34E7EE6F">
      <w:pPr>
        <w:pStyle w:val="ListParagraph"/>
        <w:numPr>
          <w:ilvl w:val="0"/>
          <w:numId w:val="4"/>
        </w:numPr>
        <w:spacing w:beforeAutospacing="1" w:afterAutospacing="1" w:line="360" w:lineRule="auto"/>
        <w:rPr>
          <w:rFonts w:ascii="Arial" w:eastAsia="Arial" w:hAnsi="Arial" w:cs="Arial"/>
          <w:color w:val="000000" w:themeColor="text1"/>
          <w:sz w:val="22"/>
          <w:szCs w:val="22"/>
        </w:rPr>
      </w:pPr>
      <w:r w:rsidRPr="34E7EE6F">
        <w:rPr>
          <w:rFonts w:ascii="Arial" w:eastAsia="Arial" w:hAnsi="Arial" w:cs="Arial"/>
          <w:color w:val="000000" w:themeColor="text1"/>
          <w:sz w:val="22"/>
          <w:szCs w:val="22"/>
        </w:rPr>
        <w:t>Address Health Inequalities: Policies should focus on reducing poverty, improving education, and creating healthier living environments to tackle the social determinants of health.</w:t>
      </w:r>
    </w:p>
    <w:p w14:paraId="3BBB024A" w14:textId="6A3730E7" w:rsidR="00646185" w:rsidRDefault="08E7FBC0" w:rsidP="34E7EE6F">
      <w:pPr>
        <w:pStyle w:val="ListParagraph"/>
        <w:numPr>
          <w:ilvl w:val="0"/>
          <w:numId w:val="4"/>
        </w:numPr>
        <w:spacing w:beforeAutospacing="1" w:afterAutospacing="1" w:line="360" w:lineRule="auto"/>
        <w:rPr>
          <w:rFonts w:ascii="Arial" w:eastAsia="Arial" w:hAnsi="Arial" w:cs="Arial"/>
          <w:color w:val="000000" w:themeColor="text1"/>
          <w:sz w:val="22"/>
          <w:szCs w:val="22"/>
        </w:rPr>
      </w:pPr>
      <w:r w:rsidRPr="34E7EE6F">
        <w:rPr>
          <w:rFonts w:ascii="Arial" w:eastAsia="Arial" w:hAnsi="Arial" w:cs="Arial"/>
          <w:color w:val="000000" w:themeColor="text1"/>
          <w:sz w:val="22"/>
          <w:szCs w:val="22"/>
        </w:rPr>
        <w:t>Promote Healthy Lifestyles: Public health campaigns and community programs can encourage healthy eating, regular physical activity, and improved mental wellbeing.</w:t>
      </w:r>
    </w:p>
    <w:p w14:paraId="5F7500C4" w14:textId="58E5AA81" w:rsidR="00646185" w:rsidRDefault="08E7FBC0" w:rsidP="34E7EE6F">
      <w:pPr>
        <w:pStyle w:val="ListParagraph"/>
        <w:numPr>
          <w:ilvl w:val="0"/>
          <w:numId w:val="4"/>
        </w:numPr>
        <w:spacing w:beforeAutospacing="1" w:afterAutospacing="1" w:line="360" w:lineRule="auto"/>
        <w:rPr>
          <w:rFonts w:ascii="Arial" w:eastAsia="Arial" w:hAnsi="Arial" w:cs="Arial"/>
          <w:color w:val="000000" w:themeColor="text1"/>
          <w:sz w:val="22"/>
          <w:szCs w:val="22"/>
        </w:rPr>
      </w:pPr>
      <w:r w:rsidRPr="34E7EE6F">
        <w:rPr>
          <w:rFonts w:ascii="Arial" w:eastAsia="Arial" w:hAnsi="Arial" w:cs="Arial"/>
          <w:color w:val="000000" w:themeColor="text1"/>
          <w:sz w:val="22"/>
          <w:szCs w:val="22"/>
        </w:rPr>
        <w:t>Enhance the Healthcare Workforce: Increasing training opportunities and improving working conditions can help address staff shortages within the healthcare system.</w:t>
      </w:r>
    </w:p>
    <w:p w14:paraId="109AA19E" w14:textId="3020250C" w:rsidR="00646185" w:rsidRDefault="08E7FBC0" w:rsidP="34E7EE6F">
      <w:pPr>
        <w:pStyle w:val="ListParagraph"/>
        <w:numPr>
          <w:ilvl w:val="0"/>
          <w:numId w:val="4"/>
        </w:numPr>
        <w:spacing w:beforeAutospacing="1" w:afterAutospacing="1" w:line="360" w:lineRule="auto"/>
        <w:rPr>
          <w:rFonts w:ascii="Arial" w:eastAsia="Arial" w:hAnsi="Arial" w:cs="Arial"/>
          <w:color w:val="000000" w:themeColor="text1"/>
          <w:sz w:val="22"/>
          <w:szCs w:val="22"/>
        </w:rPr>
      </w:pPr>
      <w:r w:rsidRPr="34E7EE6F">
        <w:rPr>
          <w:rFonts w:ascii="Arial" w:eastAsia="Arial" w:hAnsi="Arial" w:cs="Arial"/>
          <w:color w:val="000000" w:themeColor="text1"/>
          <w:sz w:val="22"/>
          <w:szCs w:val="22"/>
        </w:rPr>
        <w:t>Invest in Research and Innovation: Continued investment in medical research and healthcare technologies will help develop new treatments and improve healthcare delivery.</w:t>
      </w:r>
    </w:p>
    <w:p w14:paraId="044B20AF" w14:textId="7013FA61" w:rsidR="00646185" w:rsidRDefault="08E7FBC0" w:rsidP="34E7EE6F">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Overall, continued collaboration between government institutions, healthcare professionals, and communities will be necessary to ensure that the UK continues to improve health outcomes and progress toward SDG 3.</w:t>
      </w:r>
    </w:p>
    <w:p w14:paraId="3C196FD1" w14:textId="7B304D09" w:rsidR="00CF75FB" w:rsidRDefault="00CF75FB" w:rsidP="3D5E3244">
      <w:pPr>
        <w:spacing w:beforeAutospacing="1" w:afterAutospacing="1" w:line="360" w:lineRule="auto"/>
        <w:rPr>
          <w:rFonts w:ascii="Arial" w:eastAsia="Arial" w:hAnsi="Arial" w:cs="Arial"/>
          <w:color w:val="000000" w:themeColor="text1"/>
          <w:sz w:val="22"/>
          <w:szCs w:val="22"/>
        </w:rPr>
      </w:pPr>
    </w:p>
    <w:p w14:paraId="3A20376B" w14:textId="4598C5FE" w:rsidR="00CF75FB" w:rsidRDefault="00CF75FB" w:rsidP="3D5E3244">
      <w:pPr>
        <w:spacing w:beforeAutospacing="1" w:afterAutospacing="1" w:line="360" w:lineRule="auto"/>
        <w:rPr>
          <w:rFonts w:ascii="Arial" w:eastAsia="Arial" w:hAnsi="Arial" w:cs="Arial"/>
          <w:color w:val="000000" w:themeColor="text1"/>
          <w:sz w:val="22"/>
          <w:szCs w:val="22"/>
        </w:rPr>
      </w:pPr>
    </w:p>
    <w:p w14:paraId="32361265" w14:textId="5A1BB586" w:rsidR="00CF75FB" w:rsidRDefault="00CF75FB" w:rsidP="3D5E3244">
      <w:pPr>
        <w:spacing w:beforeAutospacing="1" w:afterAutospacing="1" w:line="360" w:lineRule="auto"/>
        <w:rPr>
          <w:rFonts w:ascii="Arial" w:eastAsia="Arial" w:hAnsi="Arial" w:cs="Arial"/>
          <w:color w:val="000000" w:themeColor="text1"/>
          <w:sz w:val="22"/>
          <w:szCs w:val="22"/>
        </w:rPr>
      </w:pPr>
    </w:p>
    <w:p w14:paraId="125FFB4B" w14:textId="6DC8D2ED" w:rsidR="00CF75FB" w:rsidRDefault="00CF75FB" w:rsidP="3D5E3244">
      <w:pPr>
        <w:spacing w:beforeAutospacing="1" w:afterAutospacing="1" w:line="360" w:lineRule="auto"/>
        <w:rPr>
          <w:rFonts w:ascii="Arial" w:eastAsia="Arial" w:hAnsi="Arial" w:cs="Arial"/>
          <w:color w:val="000000" w:themeColor="text1"/>
          <w:sz w:val="22"/>
          <w:szCs w:val="22"/>
        </w:rPr>
      </w:pPr>
    </w:p>
    <w:p w14:paraId="42656355" w14:textId="72481808" w:rsidR="00CF75FB" w:rsidRDefault="00CF75FB" w:rsidP="3D5E3244">
      <w:pPr>
        <w:spacing w:beforeAutospacing="1" w:afterAutospacing="1" w:line="360" w:lineRule="auto"/>
        <w:rPr>
          <w:rFonts w:ascii="Arial" w:eastAsia="Arial" w:hAnsi="Arial" w:cs="Arial"/>
          <w:color w:val="000000" w:themeColor="text1"/>
          <w:sz w:val="22"/>
          <w:szCs w:val="22"/>
        </w:rPr>
      </w:pPr>
    </w:p>
    <w:p w14:paraId="2B45354E" w14:textId="1EF21433" w:rsidR="00CF75FB" w:rsidRDefault="00CF75FB" w:rsidP="3D5E3244">
      <w:pPr>
        <w:spacing w:beforeAutospacing="1" w:afterAutospacing="1" w:line="360" w:lineRule="auto"/>
        <w:rPr>
          <w:rFonts w:ascii="Arial" w:eastAsia="Arial" w:hAnsi="Arial" w:cs="Arial"/>
          <w:color w:val="000000" w:themeColor="text1"/>
          <w:sz w:val="22"/>
          <w:szCs w:val="22"/>
        </w:rPr>
      </w:pPr>
    </w:p>
    <w:p w14:paraId="4534B0D8" w14:textId="191F3448" w:rsidR="00CF75FB" w:rsidRDefault="00CF75FB" w:rsidP="3D5E3244">
      <w:pPr>
        <w:spacing w:beforeAutospacing="1" w:afterAutospacing="1" w:line="360" w:lineRule="auto"/>
        <w:rPr>
          <w:rFonts w:ascii="Arial" w:eastAsia="Arial" w:hAnsi="Arial" w:cs="Arial"/>
          <w:color w:val="000000" w:themeColor="text1"/>
          <w:sz w:val="22"/>
          <w:szCs w:val="22"/>
        </w:rPr>
      </w:pPr>
    </w:p>
    <w:p w14:paraId="7878B86F" w14:textId="4D220218" w:rsidR="00CF75FB" w:rsidRDefault="00CF75FB" w:rsidP="3D5E3244">
      <w:pPr>
        <w:spacing w:beforeAutospacing="1" w:afterAutospacing="1" w:line="360" w:lineRule="auto"/>
        <w:rPr>
          <w:rFonts w:ascii="Arial" w:eastAsia="Arial" w:hAnsi="Arial" w:cs="Arial"/>
          <w:color w:val="000000" w:themeColor="text1"/>
          <w:sz w:val="22"/>
          <w:szCs w:val="22"/>
        </w:rPr>
      </w:pPr>
    </w:p>
    <w:p w14:paraId="171D3683" w14:textId="6684E597" w:rsidR="00646185" w:rsidRDefault="00646185" w:rsidP="3D5E3244">
      <w:pPr>
        <w:spacing w:beforeAutospacing="1" w:afterAutospacing="1" w:line="360" w:lineRule="auto"/>
        <w:rPr>
          <w:rFonts w:ascii="Arial" w:eastAsia="Arial" w:hAnsi="Arial" w:cs="Arial"/>
          <w:color w:val="000000" w:themeColor="text1"/>
          <w:sz w:val="32"/>
          <w:szCs w:val="32"/>
        </w:rPr>
      </w:pPr>
    </w:p>
    <w:p w14:paraId="5DBD96D8" w14:textId="0C763143" w:rsidR="00646185" w:rsidRDefault="08E7FBC0" w:rsidP="3D5E3244">
      <w:pPr>
        <w:spacing w:beforeAutospacing="1" w:afterAutospacing="1" w:line="360" w:lineRule="auto"/>
        <w:rPr>
          <w:rFonts w:ascii="Arial" w:eastAsia="Arial" w:hAnsi="Arial" w:cs="Arial"/>
          <w:color w:val="000000" w:themeColor="text1"/>
          <w:sz w:val="28"/>
          <w:szCs w:val="28"/>
        </w:rPr>
      </w:pPr>
      <w:r w:rsidRPr="3D5E3244">
        <w:rPr>
          <w:rFonts w:ascii="Arial" w:eastAsia="Arial" w:hAnsi="Arial" w:cs="Arial"/>
          <w:color w:val="000000" w:themeColor="text1"/>
          <w:sz w:val="28"/>
          <w:szCs w:val="28"/>
        </w:rPr>
        <w:t>Section 2: SDG 6 – Clean Water and Sanitation</w:t>
      </w:r>
    </w:p>
    <w:p w14:paraId="29CF73E9" w14:textId="1DB4050E" w:rsidR="00646185" w:rsidRDefault="08E7FBC0" w:rsidP="3D5E3244">
      <w:pPr>
        <w:pStyle w:val="ListParagraph"/>
        <w:numPr>
          <w:ilvl w:val="0"/>
          <w:numId w:val="9"/>
        </w:numPr>
        <w:spacing w:beforeAutospacing="1" w:afterAutospacing="1" w:line="360" w:lineRule="auto"/>
        <w:rPr>
          <w:rFonts w:ascii="Arial" w:eastAsia="Arial" w:hAnsi="Arial" w:cs="Arial"/>
          <w:color w:val="000000" w:themeColor="text1"/>
          <w:sz w:val="32"/>
          <w:szCs w:val="32"/>
        </w:rPr>
      </w:pPr>
      <w:r w:rsidRPr="3D5E3244">
        <w:rPr>
          <w:rFonts w:ascii="Arial" w:eastAsia="Arial" w:hAnsi="Arial" w:cs="Arial"/>
          <w:color w:val="000000" w:themeColor="text1"/>
        </w:rPr>
        <w:t>Overview of SDG 6</w:t>
      </w:r>
    </w:p>
    <w:p w14:paraId="15774806" w14:textId="4C6E86CD" w:rsidR="00646185" w:rsidRDefault="4DDE60C0" w:rsidP="3D5E3244">
      <w:pPr>
        <w:spacing w:before="240" w:after="240"/>
        <w:rPr>
          <w:rFonts w:ascii="Arial" w:eastAsia="Arial" w:hAnsi="Arial" w:cs="Arial"/>
          <w:color w:val="000000" w:themeColor="text1"/>
          <w:sz w:val="22"/>
          <w:szCs w:val="22"/>
        </w:rPr>
      </w:pPr>
      <w:r w:rsidRPr="3D5E3244">
        <w:rPr>
          <w:rFonts w:ascii="Arial" w:eastAsia="Arial" w:hAnsi="Arial" w:cs="Arial"/>
          <w:sz w:val="22"/>
          <w:szCs w:val="22"/>
        </w:rPr>
        <w:t xml:space="preserve">United Nations (2024) state that </w:t>
      </w:r>
      <w:r w:rsidR="08E7FBC0" w:rsidRPr="3D5E3244">
        <w:rPr>
          <w:rFonts w:ascii="Arial" w:eastAsia="Arial" w:hAnsi="Arial" w:cs="Arial"/>
          <w:color w:val="000000" w:themeColor="text1"/>
          <w:sz w:val="22"/>
          <w:szCs w:val="22"/>
        </w:rPr>
        <w:t>Sustainable Development Goal 6 (SDG6) aims to ensure the availability and sustainable management of water and sanitation for all. Access to clean water and sanitation is essential for human survival and public health. Without safe water and proper sanitation systems, people are at risk of diseases, poor hygiene, and unsafe living conditions.</w:t>
      </w:r>
    </w:p>
    <w:p w14:paraId="0FEF3665" w14:textId="223F8F5E" w:rsidR="00646185" w:rsidRDefault="08E7FBC0"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This goal includes several key targets such as universal and equitable access to safe and affordable drinking water, adequate sanitation and hygiene, improved water quality, increased water-use efficiency, integrated water resource management, and the protection and restoration of water-related ecosystems</w:t>
      </w:r>
      <w:r w:rsidR="3F21A85F" w:rsidRPr="3D5E3244">
        <w:rPr>
          <w:rFonts w:ascii="Arial" w:eastAsia="Arial" w:hAnsi="Arial" w:cs="Arial"/>
          <w:color w:val="000000" w:themeColor="text1"/>
          <w:sz w:val="22"/>
          <w:szCs w:val="22"/>
        </w:rPr>
        <w:t xml:space="preserve"> </w:t>
      </w:r>
      <w:r w:rsidR="3F21A85F" w:rsidRPr="3D5E3244">
        <w:rPr>
          <w:rFonts w:ascii="Arial" w:eastAsia="Arial" w:hAnsi="Arial" w:cs="Arial"/>
          <w:sz w:val="22"/>
          <w:szCs w:val="22"/>
        </w:rPr>
        <w:t>(UNICEF, 2023).</w:t>
      </w:r>
    </w:p>
    <w:p w14:paraId="5465FE8A" w14:textId="0C2C7D4B" w:rsidR="00CF75FB" w:rsidRDefault="4652D506"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SDG6 is crucial not only for human health and wellbeing but also for economic development and environmental sustainability. Access to safe water reduces the spread of diseases and supports healthier communities. In addition, sustainable water management protects ecosystems such as rivers and wetlands, which support biodiversity and environmental balance. Water is also essential for industries like agriculture, manufacturing, and energy production, meaning that responsible water management contributes to economic stability</w:t>
      </w:r>
      <w:r w:rsidR="47088138" w:rsidRPr="3D5E3244">
        <w:rPr>
          <w:rFonts w:ascii="Arial" w:eastAsia="Arial" w:hAnsi="Arial" w:cs="Arial"/>
          <w:sz w:val="22"/>
          <w:szCs w:val="22"/>
        </w:rPr>
        <w:t xml:space="preserve"> (Water.org, 2023).</w:t>
      </w:r>
      <w:r w:rsidR="47088138" w:rsidRPr="3D5E3244">
        <w:rPr>
          <w:rFonts w:ascii="Arial" w:eastAsia="Arial" w:hAnsi="Arial" w:cs="Arial"/>
          <w:color w:val="000000" w:themeColor="text1"/>
          <w:sz w:val="22"/>
          <w:szCs w:val="22"/>
        </w:rPr>
        <w:t xml:space="preserve"> </w:t>
      </w:r>
    </w:p>
    <w:p w14:paraId="432CC55C" w14:textId="6A31AFCB" w:rsidR="00CF75FB" w:rsidRDefault="00CF75FB" w:rsidP="3D5E3244">
      <w:pPr>
        <w:spacing w:beforeAutospacing="1" w:afterAutospacing="1" w:line="360" w:lineRule="auto"/>
        <w:rPr>
          <w:rFonts w:ascii="Arial" w:eastAsia="Arial" w:hAnsi="Arial" w:cs="Arial"/>
          <w:color w:val="000000" w:themeColor="text1"/>
          <w:sz w:val="22"/>
          <w:szCs w:val="22"/>
        </w:rPr>
      </w:pPr>
    </w:p>
    <w:p w14:paraId="7C54479F" w14:textId="3E1CD1D9" w:rsidR="00646185" w:rsidRDefault="08E7FBC0" w:rsidP="3D5E3244">
      <w:pPr>
        <w:pStyle w:val="ListParagraph"/>
        <w:numPr>
          <w:ilvl w:val="0"/>
          <w:numId w:val="8"/>
        </w:numPr>
        <w:spacing w:beforeAutospacing="1" w:afterAutospacing="1" w:line="360" w:lineRule="auto"/>
        <w:rPr>
          <w:rFonts w:ascii="Arial" w:eastAsia="Arial" w:hAnsi="Arial" w:cs="Arial"/>
          <w:color w:val="000000" w:themeColor="text1"/>
          <w:sz w:val="28"/>
          <w:szCs w:val="28"/>
        </w:rPr>
      </w:pPr>
      <w:r w:rsidRPr="3D5E3244">
        <w:rPr>
          <w:rFonts w:ascii="Arial" w:eastAsia="Arial" w:hAnsi="Arial" w:cs="Arial"/>
          <w:color w:val="000000" w:themeColor="text1"/>
          <w:sz w:val="28"/>
          <w:szCs w:val="28"/>
        </w:rPr>
        <w:t>Global, National, and Local Policies and Initiatives</w:t>
      </w:r>
    </w:p>
    <w:p w14:paraId="5C2020D7" w14:textId="41D19B6D" w:rsidR="00646185" w:rsidRDefault="6F9FF7FF" w:rsidP="3D5E3244">
      <w:pPr>
        <w:spacing w:beforeAutospacing="1" w:afterAutospacing="1" w:line="360" w:lineRule="auto"/>
        <w:rPr>
          <w:rFonts w:ascii="Arial" w:eastAsia="Arial" w:hAnsi="Arial" w:cs="Arial"/>
          <w:color w:val="000000" w:themeColor="text1"/>
          <w:sz w:val="22"/>
          <w:szCs w:val="22"/>
        </w:rPr>
      </w:pPr>
      <w:proofErr w:type="spellStart"/>
      <w:r w:rsidRPr="3D5E3244">
        <w:rPr>
          <w:rFonts w:ascii="Arial" w:eastAsia="Arial" w:hAnsi="Arial" w:cs="Arial"/>
          <w:color w:val="000000" w:themeColor="text1"/>
          <w:sz w:val="22"/>
          <w:szCs w:val="22"/>
        </w:rPr>
        <w:t>Acordding</w:t>
      </w:r>
      <w:proofErr w:type="spellEnd"/>
      <w:r w:rsidRPr="3D5E3244">
        <w:rPr>
          <w:rFonts w:ascii="Arial" w:eastAsia="Arial" w:hAnsi="Arial" w:cs="Arial"/>
          <w:color w:val="000000" w:themeColor="text1"/>
          <w:sz w:val="22"/>
          <w:szCs w:val="22"/>
        </w:rPr>
        <w:t xml:space="preserve"> to </w:t>
      </w:r>
      <w:r w:rsidRPr="3D5E3244">
        <w:rPr>
          <w:rFonts w:ascii="Arial" w:eastAsia="Arial" w:hAnsi="Arial" w:cs="Arial"/>
          <w:sz w:val="22"/>
          <w:szCs w:val="22"/>
        </w:rPr>
        <w:t>World Bank (2022)</w:t>
      </w:r>
      <w:r w:rsidR="04D1BA96" w:rsidRPr="3D5E3244">
        <w:rPr>
          <w:rFonts w:ascii="Arial" w:eastAsia="Arial" w:hAnsi="Arial" w:cs="Arial"/>
          <w:sz w:val="22"/>
          <w:szCs w:val="22"/>
        </w:rPr>
        <w:t xml:space="preserve"> </w:t>
      </w:r>
      <w:r w:rsidR="08E7FBC0" w:rsidRPr="3D5E3244">
        <w:rPr>
          <w:rFonts w:ascii="Arial" w:eastAsia="Arial" w:hAnsi="Arial" w:cs="Arial"/>
          <w:color w:val="000000" w:themeColor="text1"/>
          <w:sz w:val="22"/>
          <w:szCs w:val="22"/>
        </w:rPr>
        <w:t xml:space="preserve">At the global level, </w:t>
      </w:r>
      <w:proofErr w:type="spellStart"/>
      <w:r w:rsidR="08E7FBC0" w:rsidRPr="3D5E3244">
        <w:rPr>
          <w:rFonts w:ascii="Arial" w:eastAsia="Arial" w:hAnsi="Arial" w:cs="Arial"/>
          <w:color w:val="000000" w:themeColor="text1"/>
          <w:sz w:val="22"/>
          <w:szCs w:val="22"/>
        </w:rPr>
        <w:t>organizations</w:t>
      </w:r>
      <w:proofErr w:type="spellEnd"/>
      <w:r w:rsidR="08E7FBC0" w:rsidRPr="3D5E3244">
        <w:rPr>
          <w:rFonts w:ascii="Arial" w:eastAsia="Arial" w:hAnsi="Arial" w:cs="Arial"/>
          <w:color w:val="000000" w:themeColor="text1"/>
          <w:sz w:val="22"/>
          <w:szCs w:val="22"/>
        </w:rPr>
        <w:t xml:space="preserve"> such as the United Nations and the World Health </w:t>
      </w:r>
      <w:proofErr w:type="spellStart"/>
      <w:r w:rsidR="08E7FBC0" w:rsidRPr="3D5E3244">
        <w:rPr>
          <w:rFonts w:ascii="Arial" w:eastAsia="Arial" w:hAnsi="Arial" w:cs="Arial"/>
          <w:color w:val="000000" w:themeColor="text1"/>
          <w:sz w:val="22"/>
          <w:szCs w:val="22"/>
        </w:rPr>
        <w:t>Organization</w:t>
      </w:r>
      <w:proofErr w:type="spellEnd"/>
      <w:r w:rsidR="08E7FBC0" w:rsidRPr="3D5E3244">
        <w:rPr>
          <w:rFonts w:ascii="Arial" w:eastAsia="Arial" w:hAnsi="Arial" w:cs="Arial"/>
          <w:color w:val="000000" w:themeColor="text1"/>
          <w:sz w:val="22"/>
          <w:szCs w:val="22"/>
        </w:rPr>
        <w:t xml:space="preserve"> monitor progress toward SDG6 and provide guidance for member states. These </w:t>
      </w:r>
      <w:proofErr w:type="spellStart"/>
      <w:r w:rsidR="08E7FBC0" w:rsidRPr="3D5E3244">
        <w:rPr>
          <w:rFonts w:ascii="Arial" w:eastAsia="Arial" w:hAnsi="Arial" w:cs="Arial"/>
          <w:color w:val="000000" w:themeColor="text1"/>
          <w:sz w:val="22"/>
          <w:szCs w:val="22"/>
        </w:rPr>
        <w:t>organizations</w:t>
      </w:r>
      <w:proofErr w:type="spellEnd"/>
      <w:r w:rsidR="08E7FBC0" w:rsidRPr="3D5E3244">
        <w:rPr>
          <w:rFonts w:ascii="Arial" w:eastAsia="Arial" w:hAnsi="Arial" w:cs="Arial"/>
          <w:color w:val="000000" w:themeColor="text1"/>
          <w:sz w:val="22"/>
          <w:szCs w:val="22"/>
        </w:rPr>
        <w:t xml:space="preserve"> collect data, produce reports, and support countries in developing strategies to improve water and sanitation systems.</w:t>
      </w:r>
    </w:p>
    <w:p w14:paraId="2DFC44CD" w14:textId="2295B77C" w:rsidR="00CF75FB" w:rsidRDefault="08E7FBC0"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 xml:space="preserve">The United Kingdom contributes to these global efforts through international development programs focused on water and sanitation in developing countries. These initiatives may involve funding infrastructure projects, </w:t>
      </w:r>
      <w:r w:rsidR="4652D506" w:rsidRPr="3D5E3244">
        <w:rPr>
          <w:rFonts w:ascii="Arial" w:eastAsia="Arial" w:hAnsi="Arial" w:cs="Arial"/>
          <w:color w:val="000000" w:themeColor="text1"/>
          <w:sz w:val="22"/>
          <w:szCs w:val="22"/>
        </w:rPr>
        <w:t xml:space="preserve">improve </w:t>
      </w:r>
      <w:r w:rsidRPr="3D5E3244">
        <w:rPr>
          <w:rFonts w:ascii="Arial" w:eastAsia="Arial" w:hAnsi="Arial" w:cs="Arial"/>
          <w:color w:val="000000" w:themeColor="text1"/>
          <w:sz w:val="22"/>
          <w:szCs w:val="22"/>
        </w:rPr>
        <w:t xml:space="preserve">sanitation systems, and </w:t>
      </w:r>
      <w:r w:rsidR="3E06C466" w:rsidRPr="3D5E3244">
        <w:rPr>
          <w:rFonts w:ascii="Arial" w:eastAsia="Arial" w:hAnsi="Arial" w:cs="Arial"/>
          <w:color w:val="000000" w:themeColor="text1"/>
          <w:sz w:val="22"/>
          <w:szCs w:val="22"/>
        </w:rPr>
        <w:t>support</w:t>
      </w:r>
      <w:r w:rsidRPr="3D5E3244">
        <w:rPr>
          <w:rFonts w:ascii="Arial" w:eastAsia="Arial" w:hAnsi="Arial" w:cs="Arial"/>
          <w:color w:val="000000" w:themeColor="text1"/>
          <w:sz w:val="22"/>
          <w:szCs w:val="22"/>
        </w:rPr>
        <w:t xml:space="preserve"> community water services</w:t>
      </w:r>
      <w:r w:rsidR="5ACE6398" w:rsidRPr="3D5E3244">
        <w:rPr>
          <w:rFonts w:ascii="Arial" w:eastAsia="Arial" w:hAnsi="Arial" w:cs="Arial"/>
          <w:color w:val="000000" w:themeColor="text1"/>
          <w:sz w:val="22"/>
          <w:szCs w:val="22"/>
        </w:rPr>
        <w:t xml:space="preserve"> </w:t>
      </w:r>
      <w:r w:rsidR="5ACE6398" w:rsidRPr="3D5E3244">
        <w:rPr>
          <w:rFonts w:ascii="Arial" w:eastAsia="Arial" w:hAnsi="Arial" w:cs="Arial"/>
          <w:sz w:val="22"/>
          <w:szCs w:val="22"/>
        </w:rPr>
        <w:t>(WaterAid, 2022).</w:t>
      </w:r>
    </w:p>
    <w:p w14:paraId="3D85BEC6" w14:textId="1DAF9449" w:rsidR="00646185" w:rsidRDefault="00646185" w:rsidP="3D5E3244">
      <w:pPr>
        <w:spacing w:beforeAutospacing="1" w:afterAutospacing="1" w:line="360" w:lineRule="auto"/>
        <w:rPr>
          <w:rFonts w:ascii="Arial" w:eastAsia="Arial" w:hAnsi="Arial" w:cs="Arial"/>
          <w:color w:val="000000" w:themeColor="text1"/>
          <w:sz w:val="22"/>
          <w:szCs w:val="22"/>
        </w:rPr>
      </w:pPr>
    </w:p>
    <w:p w14:paraId="73C53496" w14:textId="333D4504" w:rsidR="00646185" w:rsidRDefault="08E7FBC0" w:rsidP="3D5E3244">
      <w:pPr>
        <w:spacing w:beforeAutospacing="1" w:afterAutospacing="1" w:line="360" w:lineRule="auto"/>
        <w:rPr>
          <w:rFonts w:ascii="Arial" w:eastAsia="Arial" w:hAnsi="Arial" w:cs="Arial"/>
          <w:sz w:val="22"/>
          <w:szCs w:val="22"/>
        </w:rPr>
      </w:pPr>
      <w:r w:rsidRPr="3D5E3244">
        <w:rPr>
          <w:rFonts w:ascii="Arial" w:eastAsia="Arial" w:hAnsi="Arial" w:cs="Arial"/>
          <w:color w:val="000000" w:themeColor="text1"/>
          <w:sz w:val="22"/>
          <w:szCs w:val="22"/>
        </w:rPr>
        <w:t>At the national level, the UK addresses SDG6 through legislation and regulation. One important policy is the Water Framework Directive, which aims to protect and improve the quality of rivers, lakes, groundwater, and coastal waters. The directive requires monitoring of water bodies and encourages sustainable water management practices</w:t>
      </w:r>
      <w:r w:rsidR="017045DA" w:rsidRPr="3D5E3244">
        <w:rPr>
          <w:rFonts w:ascii="Arial" w:eastAsia="Arial" w:hAnsi="Arial" w:cs="Arial"/>
          <w:sz w:val="22"/>
          <w:szCs w:val="22"/>
        </w:rPr>
        <w:t xml:space="preserve"> (Planning Inspectorate, 2024)</w:t>
      </w:r>
    </w:p>
    <w:p w14:paraId="2667F642" w14:textId="39677569" w:rsidR="00646185" w:rsidRDefault="1473FFC9"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sz w:val="22"/>
          <w:szCs w:val="22"/>
        </w:rPr>
        <w:t xml:space="preserve">According Environment Agency (2023) </w:t>
      </w:r>
      <w:r w:rsidR="08E7FBC0" w:rsidRPr="3D5E3244">
        <w:rPr>
          <w:rFonts w:ascii="Arial" w:eastAsia="Arial" w:hAnsi="Arial" w:cs="Arial"/>
          <w:color w:val="000000" w:themeColor="text1"/>
          <w:sz w:val="22"/>
          <w:szCs w:val="22"/>
        </w:rPr>
        <w:t>The Environment Agency plays an important role in monitoring water quality, regulating water abstraction, and enforcing environmental regulations. Water companies provide clean water and sanitation services to households and businesses, ensuring reliable access to safe drinking water.</w:t>
      </w:r>
    </w:p>
    <w:p w14:paraId="44D7BD7E" w14:textId="32C89E31" w:rsidR="00646185" w:rsidRDefault="08E7FBC0" w:rsidP="3D5E3244">
      <w:pPr>
        <w:spacing w:beforeAutospacing="1" w:afterAutospacing="1" w:line="360" w:lineRule="auto"/>
        <w:rPr>
          <w:rFonts w:ascii="Arial" w:eastAsia="Arial" w:hAnsi="Arial" w:cs="Arial"/>
          <w:sz w:val="22"/>
          <w:szCs w:val="22"/>
        </w:rPr>
      </w:pPr>
      <w:r w:rsidRPr="3D5E3244">
        <w:rPr>
          <w:rFonts w:ascii="Arial" w:eastAsia="Arial" w:hAnsi="Arial" w:cs="Arial"/>
          <w:color w:val="000000" w:themeColor="text1"/>
          <w:sz w:val="22"/>
          <w:szCs w:val="22"/>
        </w:rPr>
        <w:t>These companies are regulated by </w:t>
      </w:r>
      <w:proofErr w:type="spellStart"/>
      <w:r w:rsidRPr="3D5E3244">
        <w:rPr>
          <w:rFonts w:ascii="Arial" w:eastAsia="Arial" w:hAnsi="Arial" w:cs="Arial"/>
          <w:color w:val="000000" w:themeColor="text1"/>
          <w:sz w:val="22"/>
          <w:szCs w:val="22"/>
        </w:rPr>
        <w:t>Ofwat</w:t>
      </w:r>
      <w:proofErr w:type="spellEnd"/>
      <w:r w:rsidRPr="3D5E3244">
        <w:rPr>
          <w:rFonts w:ascii="Arial" w:eastAsia="Arial" w:hAnsi="Arial" w:cs="Arial"/>
          <w:color w:val="000000" w:themeColor="text1"/>
          <w:sz w:val="22"/>
          <w:szCs w:val="22"/>
        </w:rPr>
        <w:t>, which sets price limits and monitors company performance in areas such as water quality, leakage, and customer service. In recent years, there have also been investments in improving water infrastructure to reduce leakage and improve treatment processes</w:t>
      </w:r>
      <w:r w:rsidR="40AD3572" w:rsidRPr="3D5E3244">
        <w:rPr>
          <w:rFonts w:ascii="Arial" w:eastAsia="Arial" w:hAnsi="Arial" w:cs="Arial"/>
          <w:color w:val="000000" w:themeColor="text1"/>
          <w:sz w:val="22"/>
          <w:szCs w:val="22"/>
        </w:rPr>
        <w:t xml:space="preserve"> (</w:t>
      </w:r>
      <w:proofErr w:type="spellStart"/>
      <w:r w:rsidR="40AD3572" w:rsidRPr="3D5E3244">
        <w:rPr>
          <w:rFonts w:ascii="Arial" w:eastAsia="Arial" w:hAnsi="Arial" w:cs="Arial"/>
          <w:sz w:val="22"/>
          <w:szCs w:val="22"/>
        </w:rPr>
        <w:t>Ofwat</w:t>
      </w:r>
      <w:proofErr w:type="spellEnd"/>
      <w:r w:rsidR="40AD3572" w:rsidRPr="3D5E3244">
        <w:rPr>
          <w:rFonts w:ascii="Arial" w:eastAsia="Arial" w:hAnsi="Arial" w:cs="Arial"/>
          <w:sz w:val="22"/>
          <w:szCs w:val="22"/>
        </w:rPr>
        <w:t xml:space="preserve"> ,2023)</w:t>
      </w:r>
    </w:p>
    <w:p w14:paraId="087FAC7E" w14:textId="5C7F6189" w:rsidR="42B64E91" w:rsidRDefault="4652D506" w:rsidP="42B64E91">
      <w:pPr>
        <w:spacing w:beforeAutospacing="1" w:afterAutospacing="1" w:line="360" w:lineRule="auto"/>
        <w:rPr>
          <w:rFonts w:ascii="Arial" w:eastAsia="Arial" w:hAnsi="Arial" w:cs="Arial"/>
          <w:sz w:val="22"/>
          <w:szCs w:val="22"/>
        </w:rPr>
      </w:pPr>
      <w:r w:rsidRPr="6738B21D">
        <w:rPr>
          <w:rFonts w:ascii="Arial" w:eastAsia="Arial" w:hAnsi="Arial" w:cs="Arial"/>
          <w:color w:val="000000" w:themeColor="text1"/>
          <w:sz w:val="22"/>
          <w:szCs w:val="22"/>
        </w:rPr>
        <w:t>At the local level, many initiatives promote water conservation and responsible water use. Campaigns encourage the use of water-efficient appliances, rainwater harvesting, and proper disposal of wastewater. Local authorities also manage urban drainage systems and work to reduce pollution within their communities</w:t>
      </w:r>
      <w:r w:rsidR="34B64180" w:rsidRPr="6738B21D">
        <w:rPr>
          <w:rFonts w:ascii="Arial" w:eastAsia="Arial" w:hAnsi="Arial" w:cs="Arial"/>
          <w:color w:val="000000" w:themeColor="text1"/>
          <w:sz w:val="22"/>
          <w:szCs w:val="22"/>
        </w:rPr>
        <w:t xml:space="preserve"> </w:t>
      </w:r>
      <w:r w:rsidR="34B64180" w:rsidRPr="6738B21D">
        <w:rPr>
          <w:rFonts w:ascii="Arial" w:eastAsia="Arial" w:hAnsi="Arial" w:cs="Arial"/>
          <w:sz w:val="22"/>
          <w:szCs w:val="22"/>
        </w:rPr>
        <w:t>(Chartered Institution of Water and Environmental Management, 2022).</w:t>
      </w:r>
    </w:p>
    <w:p w14:paraId="0F4D1288" w14:textId="6DC5D6C1" w:rsidR="00646185" w:rsidRDefault="08E7FBC0" w:rsidP="3D5E3244">
      <w:pPr>
        <w:pStyle w:val="ListParagraph"/>
        <w:numPr>
          <w:ilvl w:val="0"/>
          <w:numId w:val="7"/>
        </w:numPr>
        <w:spacing w:beforeAutospacing="1" w:afterAutospacing="1" w:line="360" w:lineRule="auto"/>
        <w:rPr>
          <w:rFonts w:ascii="Arial" w:eastAsia="Arial" w:hAnsi="Arial" w:cs="Arial"/>
          <w:color w:val="000000" w:themeColor="text1"/>
          <w:sz w:val="28"/>
          <w:szCs w:val="28"/>
        </w:rPr>
      </w:pPr>
      <w:r w:rsidRPr="3D5E3244">
        <w:rPr>
          <w:rFonts w:ascii="Arial" w:eastAsia="Arial" w:hAnsi="Arial" w:cs="Arial"/>
          <w:color w:val="000000" w:themeColor="text1"/>
          <w:sz w:val="28"/>
          <w:szCs w:val="28"/>
        </w:rPr>
        <w:t>Use of Theories</w:t>
      </w:r>
    </w:p>
    <w:p w14:paraId="54F483D0" w14:textId="1E75A3AA" w:rsidR="00646185" w:rsidRDefault="08E7FBC0"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Several theoretical frameworks can help explain the challenges associated with achieving SDG6.</w:t>
      </w:r>
    </w:p>
    <w:p w14:paraId="3D864E1F" w14:textId="53FDE015" w:rsidR="00646185" w:rsidRDefault="08E7FBC0" w:rsidP="6738B21D">
      <w:pPr>
        <w:spacing w:beforeAutospacing="1" w:afterAutospacing="1" w:line="360" w:lineRule="auto"/>
        <w:rPr>
          <w:rFonts w:ascii="Arial" w:eastAsia="Arial" w:hAnsi="Arial" w:cs="Arial"/>
          <w:color w:val="000000" w:themeColor="text1"/>
          <w:sz w:val="22"/>
          <w:szCs w:val="22"/>
        </w:rPr>
      </w:pPr>
      <w:r w:rsidRPr="6738B21D">
        <w:rPr>
          <w:rFonts w:ascii="Arial" w:eastAsia="Arial" w:hAnsi="Arial" w:cs="Arial"/>
          <w:color w:val="000000" w:themeColor="text1"/>
          <w:sz w:val="22"/>
          <w:szCs w:val="22"/>
        </w:rPr>
        <w:t>One important concept is the Tragedy of the Commons, which explains how shared resources can become overused when individuals act in their own self-interest. Water resources such as rivers and lakes are shared by many users, which means they can become polluted or overexploited without proper regulation</w:t>
      </w:r>
      <w:r w:rsidR="6FCBFEBB" w:rsidRPr="6738B21D">
        <w:rPr>
          <w:rFonts w:ascii="Arial" w:eastAsia="Arial" w:hAnsi="Arial" w:cs="Arial"/>
          <w:sz w:val="22"/>
          <w:szCs w:val="22"/>
        </w:rPr>
        <w:t xml:space="preserve"> (Environment Agency, 2023).</w:t>
      </w:r>
    </w:p>
    <w:p w14:paraId="33D1C555" w14:textId="1487455F" w:rsidR="00646185" w:rsidRDefault="5EDB2E8C" w:rsidP="6738B21D">
      <w:pPr>
        <w:spacing w:beforeAutospacing="1" w:afterAutospacing="1" w:line="360" w:lineRule="auto"/>
        <w:rPr>
          <w:rFonts w:ascii="Arial" w:eastAsia="Arial" w:hAnsi="Arial" w:cs="Arial"/>
          <w:color w:val="000000" w:themeColor="text1"/>
          <w:sz w:val="22"/>
          <w:szCs w:val="22"/>
        </w:rPr>
      </w:pPr>
      <w:r w:rsidRPr="6738B21D">
        <w:rPr>
          <w:rFonts w:ascii="Arial" w:eastAsia="Arial" w:hAnsi="Arial" w:cs="Arial"/>
          <w:color w:val="000000" w:themeColor="text1"/>
          <w:sz w:val="22"/>
          <w:szCs w:val="22"/>
        </w:rPr>
        <w:t xml:space="preserve">According to the </w:t>
      </w:r>
      <w:r w:rsidRPr="6738B21D">
        <w:rPr>
          <w:rFonts w:ascii="Arial" w:eastAsia="Arial" w:hAnsi="Arial" w:cs="Arial"/>
          <w:sz w:val="22"/>
          <w:szCs w:val="22"/>
        </w:rPr>
        <w:t xml:space="preserve">Department for Environment, Food &amp; Rural Affairs (DEFRA, 2022), </w:t>
      </w:r>
      <w:r w:rsidR="08E7FBC0" w:rsidRPr="6738B21D">
        <w:rPr>
          <w:rFonts w:ascii="Arial" w:eastAsia="Arial" w:hAnsi="Arial" w:cs="Arial"/>
          <w:color w:val="000000" w:themeColor="text1"/>
          <w:sz w:val="22"/>
          <w:szCs w:val="22"/>
        </w:rPr>
        <w:t>Systems thinking can also be used to understand the connections between water, energy, food production, and environmental systems. For example, agriculture and energy production both require large amounts of water, meaning shortages can affect several sectors simultaneously.</w:t>
      </w:r>
    </w:p>
    <w:p w14:paraId="1E77F1DE" w14:textId="20B82C45" w:rsidR="00646185" w:rsidRDefault="08E7FBC0" w:rsidP="6738B21D">
      <w:pPr>
        <w:spacing w:beforeAutospacing="1" w:afterAutospacing="1" w:line="360" w:lineRule="auto"/>
        <w:rPr>
          <w:rFonts w:ascii="Arial" w:eastAsia="Arial" w:hAnsi="Arial" w:cs="Arial"/>
          <w:color w:val="000000" w:themeColor="text1"/>
          <w:sz w:val="22"/>
          <w:szCs w:val="22"/>
        </w:rPr>
      </w:pPr>
      <w:r w:rsidRPr="6738B21D">
        <w:rPr>
          <w:rFonts w:ascii="Arial" w:eastAsia="Arial" w:hAnsi="Arial" w:cs="Arial"/>
          <w:color w:val="000000" w:themeColor="text1"/>
          <w:sz w:val="22"/>
          <w:szCs w:val="22"/>
        </w:rPr>
        <w:t>In addition, insights from Behavioral Economics help explain how people make decisions about water consumption. Policies such as pricing incentives, public awareness campaigns, and smart water meters can encourage households and businesses to reduce water wast</w:t>
      </w:r>
      <w:r w:rsidR="32419E51" w:rsidRPr="6738B21D">
        <w:rPr>
          <w:rFonts w:ascii="Arial" w:eastAsia="Arial" w:hAnsi="Arial" w:cs="Arial"/>
          <w:color w:val="000000" w:themeColor="text1"/>
          <w:sz w:val="22"/>
          <w:szCs w:val="22"/>
        </w:rPr>
        <w:t xml:space="preserve"> </w:t>
      </w:r>
      <w:r w:rsidR="32419E51" w:rsidRPr="6738B21D">
        <w:rPr>
          <w:rFonts w:ascii="Arial" w:eastAsia="Arial" w:hAnsi="Arial" w:cs="Arial"/>
          <w:sz w:val="22"/>
          <w:szCs w:val="22"/>
        </w:rPr>
        <w:t>(Ofwat, 2021).</w:t>
      </w:r>
    </w:p>
    <w:p w14:paraId="617EAB56" w14:textId="1B976DA7" w:rsidR="00646185" w:rsidRDefault="08E7FBC0" w:rsidP="3D5E3244">
      <w:pPr>
        <w:spacing w:beforeAutospacing="1" w:afterAutospacing="1" w:line="360" w:lineRule="auto"/>
        <w:rPr>
          <w:rFonts w:ascii="Arial" w:eastAsia="Arial" w:hAnsi="Arial" w:cs="Arial"/>
          <w:color w:val="000000" w:themeColor="text1"/>
          <w:sz w:val="28"/>
          <w:szCs w:val="28"/>
        </w:rPr>
      </w:pPr>
      <w:r w:rsidRPr="3D5E3244">
        <w:rPr>
          <w:rFonts w:ascii="Arial" w:eastAsia="Arial" w:hAnsi="Arial" w:cs="Arial"/>
          <w:color w:val="000000" w:themeColor="text1"/>
          <w:sz w:val="28"/>
          <w:szCs w:val="28"/>
        </w:rPr>
        <w:t>Critical Evaluation</w:t>
      </w:r>
    </w:p>
    <w:p w14:paraId="40BFD2FC" w14:textId="03E79690" w:rsidR="00646185" w:rsidRDefault="08E7FBC0"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Although the UK has achieved high levels of access to clean water and sanitation, several challenges remain.</w:t>
      </w:r>
    </w:p>
    <w:p w14:paraId="0D7B1776" w14:textId="02424480" w:rsidR="00646185" w:rsidRDefault="08E7FBC0" w:rsidP="6738B21D">
      <w:pPr>
        <w:spacing w:beforeAutospacing="1" w:afterAutospacing="1" w:line="360" w:lineRule="auto"/>
        <w:rPr>
          <w:rFonts w:ascii="Arial" w:eastAsia="Arial" w:hAnsi="Arial" w:cs="Arial"/>
          <w:color w:val="000000" w:themeColor="text1"/>
          <w:sz w:val="22"/>
          <w:szCs w:val="22"/>
        </w:rPr>
      </w:pPr>
      <w:r w:rsidRPr="6738B21D">
        <w:rPr>
          <w:rFonts w:ascii="Arial" w:eastAsia="Arial" w:hAnsi="Arial" w:cs="Arial"/>
          <w:color w:val="000000" w:themeColor="text1"/>
          <w:sz w:val="22"/>
          <w:szCs w:val="22"/>
        </w:rPr>
        <w:t>Water leakage from aging infrastructure is a significant issue. Many pipes and water systems were installed decades ago and require maintenance or replacement, which leads to water loss before it reaches consumers</w:t>
      </w:r>
      <w:r w:rsidR="737A7848" w:rsidRPr="6738B21D">
        <w:rPr>
          <w:rFonts w:ascii="Arial" w:eastAsia="Arial" w:hAnsi="Arial" w:cs="Arial"/>
          <w:color w:val="000000" w:themeColor="text1"/>
          <w:sz w:val="22"/>
          <w:szCs w:val="22"/>
        </w:rPr>
        <w:t xml:space="preserve"> </w:t>
      </w:r>
      <w:r w:rsidR="737A7848" w:rsidRPr="6738B21D">
        <w:rPr>
          <w:rFonts w:ascii="Arial" w:eastAsia="Arial" w:hAnsi="Arial" w:cs="Arial"/>
          <w:sz w:val="22"/>
          <w:szCs w:val="22"/>
        </w:rPr>
        <w:t>(NAO, 2020).</w:t>
      </w:r>
    </w:p>
    <w:p w14:paraId="39CFE170" w14:textId="6E14408A" w:rsidR="00646185" w:rsidRDefault="67CD278A" w:rsidP="6738B21D">
      <w:pPr>
        <w:spacing w:beforeAutospacing="1" w:afterAutospacing="1" w:line="360" w:lineRule="auto"/>
        <w:rPr>
          <w:rFonts w:ascii="Arial" w:eastAsia="Arial" w:hAnsi="Arial" w:cs="Arial"/>
          <w:color w:val="000000" w:themeColor="text1"/>
          <w:sz w:val="22"/>
          <w:szCs w:val="22"/>
        </w:rPr>
      </w:pPr>
      <w:r w:rsidRPr="6738B21D">
        <w:rPr>
          <w:rFonts w:ascii="Arial" w:eastAsia="Arial" w:hAnsi="Arial" w:cs="Arial"/>
          <w:sz w:val="22"/>
          <w:szCs w:val="22"/>
        </w:rPr>
        <w:t>According to the Water UK 2022, Agricultural</w:t>
      </w:r>
      <w:r w:rsidR="08E7FBC0" w:rsidRPr="6738B21D">
        <w:rPr>
          <w:rFonts w:ascii="Arial" w:eastAsia="Arial" w:hAnsi="Arial" w:cs="Arial"/>
          <w:color w:val="000000" w:themeColor="text1"/>
          <w:sz w:val="22"/>
          <w:szCs w:val="22"/>
        </w:rPr>
        <w:t xml:space="preserve"> runoff and urban pollution also threaten water quality in certain areas. Fertilizers, pesticides, and waste can enter rivers and lakes, </w:t>
      </w:r>
      <w:r w:rsidR="5466389E" w:rsidRPr="6738B21D">
        <w:rPr>
          <w:rFonts w:ascii="Arial" w:eastAsia="Arial" w:hAnsi="Arial" w:cs="Arial"/>
          <w:color w:val="000000" w:themeColor="text1"/>
          <w:sz w:val="22"/>
          <w:szCs w:val="22"/>
        </w:rPr>
        <w:t>harm</w:t>
      </w:r>
      <w:r w:rsidR="08E7FBC0" w:rsidRPr="6738B21D">
        <w:rPr>
          <w:rFonts w:ascii="Arial" w:eastAsia="Arial" w:hAnsi="Arial" w:cs="Arial"/>
          <w:color w:val="000000" w:themeColor="text1"/>
          <w:sz w:val="22"/>
          <w:szCs w:val="22"/>
        </w:rPr>
        <w:t xml:space="preserve"> ecosystems and affecting water safety.</w:t>
      </w:r>
    </w:p>
    <w:p w14:paraId="25FB4328" w14:textId="5F277EAA" w:rsidR="00646185" w:rsidRDefault="08E7FBC0" w:rsidP="6738B21D">
      <w:pPr>
        <w:spacing w:beforeAutospacing="1" w:afterAutospacing="1" w:line="360" w:lineRule="auto"/>
        <w:rPr>
          <w:rFonts w:ascii="Arial" w:eastAsia="Arial" w:hAnsi="Arial" w:cs="Arial"/>
          <w:color w:val="000000" w:themeColor="text1"/>
          <w:sz w:val="36"/>
          <w:szCs w:val="36"/>
        </w:rPr>
      </w:pPr>
      <w:r w:rsidRPr="6738B21D">
        <w:rPr>
          <w:rFonts w:ascii="Arial" w:eastAsia="Arial" w:hAnsi="Arial" w:cs="Arial"/>
          <w:color w:val="000000" w:themeColor="text1"/>
          <w:sz w:val="22"/>
          <w:szCs w:val="22"/>
        </w:rPr>
        <w:t>Another concern is the affordability of water services for low-income households. Even though services are widely available, some households struggle with rising costs. Climate change also increases pressure on water systems by increasing the risk of droughts, floods, and changing rainfall patterns</w:t>
      </w:r>
      <w:r w:rsidR="710F7CE4" w:rsidRPr="6738B21D">
        <w:rPr>
          <w:rFonts w:ascii="Arial" w:eastAsia="Arial" w:hAnsi="Arial" w:cs="Arial"/>
          <w:color w:val="000000" w:themeColor="text1"/>
          <w:sz w:val="22"/>
          <w:szCs w:val="22"/>
        </w:rPr>
        <w:t xml:space="preserve"> (</w:t>
      </w:r>
      <w:r w:rsidR="710F7CE4" w:rsidRPr="6738B21D">
        <w:rPr>
          <w:rFonts w:ascii="Arial" w:eastAsia="Arial" w:hAnsi="Arial" w:cs="Arial"/>
          <w:sz w:val="22"/>
          <w:szCs w:val="22"/>
        </w:rPr>
        <w:t>Consumer Council for Water,2023)</w:t>
      </w:r>
    </w:p>
    <w:p w14:paraId="31F11F6E" w14:textId="4C93D943" w:rsidR="00646185" w:rsidRDefault="00646185" w:rsidP="6738B21D">
      <w:pPr>
        <w:spacing w:beforeAutospacing="1" w:afterAutospacing="1" w:line="360" w:lineRule="auto"/>
        <w:rPr>
          <w:rFonts w:ascii="Arial" w:eastAsia="Arial" w:hAnsi="Arial" w:cs="Arial"/>
          <w:sz w:val="22"/>
          <w:szCs w:val="22"/>
        </w:rPr>
      </w:pPr>
    </w:p>
    <w:p w14:paraId="055DF2FD" w14:textId="25174E4C" w:rsidR="00646185" w:rsidRDefault="00646185" w:rsidP="6738B21D">
      <w:pPr>
        <w:spacing w:beforeAutospacing="1" w:afterAutospacing="1" w:line="360" w:lineRule="auto"/>
        <w:rPr>
          <w:rFonts w:ascii="Arial" w:eastAsia="Arial" w:hAnsi="Arial" w:cs="Arial"/>
          <w:sz w:val="22"/>
          <w:szCs w:val="22"/>
        </w:rPr>
      </w:pPr>
    </w:p>
    <w:p w14:paraId="4FFC53FD" w14:textId="65B38584" w:rsidR="00646185" w:rsidRDefault="00646185" w:rsidP="6738B21D">
      <w:pPr>
        <w:spacing w:beforeAutospacing="1" w:afterAutospacing="1" w:line="360" w:lineRule="auto"/>
        <w:rPr>
          <w:rFonts w:ascii="Arial" w:eastAsia="Arial" w:hAnsi="Arial" w:cs="Arial"/>
          <w:sz w:val="22"/>
          <w:szCs w:val="22"/>
        </w:rPr>
      </w:pPr>
    </w:p>
    <w:p w14:paraId="551FF932" w14:textId="7F70EAEF" w:rsidR="00646185" w:rsidRDefault="00646185" w:rsidP="6738B21D">
      <w:pPr>
        <w:spacing w:beforeAutospacing="1" w:afterAutospacing="1" w:line="360" w:lineRule="auto"/>
        <w:rPr>
          <w:rFonts w:ascii="Arial" w:eastAsia="Arial" w:hAnsi="Arial" w:cs="Arial"/>
          <w:sz w:val="22"/>
          <w:szCs w:val="22"/>
        </w:rPr>
      </w:pPr>
    </w:p>
    <w:p w14:paraId="7E635FEC" w14:textId="54704B22" w:rsidR="00646185" w:rsidRDefault="00646185" w:rsidP="6738B21D">
      <w:pPr>
        <w:spacing w:beforeAutospacing="1" w:afterAutospacing="1" w:line="360" w:lineRule="auto"/>
        <w:rPr>
          <w:rFonts w:ascii="Arial" w:eastAsia="Arial" w:hAnsi="Arial" w:cs="Arial"/>
          <w:sz w:val="22"/>
          <w:szCs w:val="22"/>
        </w:rPr>
      </w:pPr>
    </w:p>
    <w:p w14:paraId="6F7785E7" w14:textId="26C6916A" w:rsidR="00646185" w:rsidRDefault="00646185" w:rsidP="6738B21D">
      <w:pPr>
        <w:spacing w:beforeAutospacing="1" w:afterAutospacing="1" w:line="360" w:lineRule="auto"/>
        <w:rPr>
          <w:rFonts w:ascii="Arial" w:eastAsia="Arial" w:hAnsi="Arial" w:cs="Arial"/>
          <w:sz w:val="22"/>
          <w:szCs w:val="22"/>
        </w:rPr>
      </w:pPr>
    </w:p>
    <w:p w14:paraId="05E20F32" w14:textId="2776E012" w:rsidR="00646185" w:rsidRDefault="00646185" w:rsidP="6738B21D">
      <w:pPr>
        <w:spacing w:beforeAutospacing="1" w:afterAutospacing="1" w:line="360" w:lineRule="auto"/>
        <w:rPr>
          <w:rFonts w:ascii="Arial" w:eastAsia="Arial" w:hAnsi="Arial" w:cs="Arial"/>
          <w:sz w:val="22"/>
          <w:szCs w:val="22"/>
        </w:rPr>
      </w:pPr>
    </w:p>
    <w:p w14:paraId="094E85C4" w14:textId="3FCDCEA2" w:rsidR="00646185" w:rsidRDefault="00646185" w:rsidP="6738B21D">
      <w:pPr>
        <w:spacing w:beforeAutospacing="1" w:afterAutospacing="1" w:line="360" w:lineRule="auto"/>
        <w:rPr>
          <w:rFonts w:ascii="Arial" w:eastAsia="Arial" w:hAnsi="Arial" w:cs="Arial"/>
          <w:sz w:val="22"/>
          <w:szCs w:val="22"/>
        </w:rPr>
      </w:pPr>
    </w:p>
    <w:p w14:paraId="0B88D27F" w14:textId="1DAFEA42" w:rsidR="00646185" w:rsidRDefault="08E7FBC0" w:rsidP="6738B21D">
      <w:pPr>
        <w:spacing w:beforeAutospacing="1" w:afterAutospacing="1" w:line="360" w:lineRule="auto"/>
        <w:rPr>
          <w:rFonts w:ascii="Arial" w:eastAsia="Arial" w:hAnsi="Arial" w:cs="Arial"/>
          <w:color w:val="000000" w:themeColor="text1"/>
          <w:sz w:val="36"/>
          <w:szCs w:val="36"/>
        </w:rPr>
      </w:pPr>
      <w:r w:rsidRPr="6738B21D">
        <w:rPr>
          <w:rFonts w:ascii="Arial" w:eastAsia="Arial" w:hAnsi="Arial" w:cs="Arial"/>
          <w:color w:val="000000" w:themeColor="text1"/>
          <w:sz w:val="36"/>
          <w:szCs w:val="36"/>
        </w:rPr>
        <w:t>Recommendations</w:t>
      </w:r>
    </w:p>
    <w:p w14:paraId="77B21CB6" w14:textId="48560398" w:rsidR="00646185" w:rsidRDefault="08E7FBC0"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To improve progress toward SDG6 in the UK, several steps can be taken:</w:t>
      </w:r>
    </w:p>
    <w:p w14:paraId="1E54B995" w14:textId="3B9D9EEB" w:rsidR="00646185" w:rsidRDefault="08E7FBC0" w:rsidP="3D5E3244">
      <w:pPr>
        <w:pStyle w:val="ListParagraph"/>
        <w:numPr>
          <w:ilvl w:val="0"/>
          <w:numId w:val="10"/>
        </w:num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Increase investment in water infrastructure to reduce leakage and improve treatment systems.</w:t>
      </w:r>
    </w:p>
    <w:p w14:paraId="683364E8" w14:textId="24AB0659" w:rsidR="00646185" w:rsidRDefault="08E7FBC0" w:rsidP="3D5E3244">
      <w:pPr>
        <w:pStyle w:val="ListParagraph"/>
        <w:numPr>
          <w:ilvl w:val="0"/>
          <w:numId w:val="10"/>
        </w:num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Strengthen regulation of water companies to ensure high standards of service and environmental protection.</w:t>
      </w:r>
    </w:p>
    <w:p w14:paraId="58C978EE" w14:textId="56A1FA5C" w:rsidR="00646185" w:rsidRDefault="08E7FBC0" w:rsidP="3D5E3244">
      <w:pPr>
        <w:pStyle w:val="ListParagraph"/>
        <w:numPr>
          <w:ilvl w:val="0"/>
          <w:numId w:val="10"/>
        </w:num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Promote integrated water management that considers environmental, economic, and social factors.</w:t>
      </w:r>
    </w:p>
    <w:p w14:paraId="1D3A95A4" w14:textId="64C9EE12" w:rsidR="00646185" w:rsidRDefault="08E7FBC0" w:rsidP="3D5E3244">
      <w:pPr>
        <w:pStyle w:val="ListParagraph"/>
        <w:numPr>
          <w:ilvl w:val="0"/>
          <w:numId w:val="10"/>
        </w:num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Encourage water conservation through public awareness campaigns and efficient technologies.</w:t>
      </w:r>
    </w:p>
    <w:p w14:paraId="6DD7CB8B" w14:textId="36465410" w:rsidR="00646185" w:rsidRDefault="08E7FBC0" w:rsidP="3D5E3244">
      <w:pPr>
        <w:pStyle w:val="ListParagraph"/>
        <w:numPr>
          <w:ilvl w:val="0"/>
          <w:numId w:val="10"/>
        </w:num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Support low-income households to ensure water services remain affordable.</w:t>
      </w:r>
    </w:p>
    <w:p w14:paraId="4D65E6F4" w14:textId="250DE45C" w:rsidR="00646185" w:rsidRDefault="08E7FBC0" w:rsidP="3D5E3244">
      <w:pPr>
        <w:pStyle w:val="ListParagraph"/>
        <w:numPr>
          <w:ilvl w:val="0"/>
          <w:numId w:val="10"/>
        </w:num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Improve monitoring and reporting to track progress toward SDG6 targets.</w:t>
      </w:r>
    </w:p>
    <w:p w14:paraId="2A0ED1E5" w14:textId="29965228" w:rsidR="00646185" w:rsidRDefault="08E7FBC0" w:rsidP="3D5E3244">
      <w:pPr>
        <w:spacing w:beforeAutospacing="1" w:afterAutospacing="1" w:line="360" w:lineRule="auto"/>
        <w:rPr>
          <w:rFonts w:ascii="Arial" w:eastAsia="Arial" w:hAnsi="Arial" w:cs="Arial"/>
          <w:color w:val="000000" w:themeColor="text1"/>
          <w:sz w:val="22"/>
          <w:szCs w:val="22"/>
        </w:rPr>
      </w:pPr>
      <w:r w:rsidRPr="3D5E3244">
        <w:rPr>
          <w:rFonts w:ascii="Arial" w:eastAsia="Arial" w:hAnsi="Arial" w:cs="Arial"/>
          <w:color w:val="000000" w:themeColor="text1"/>
          <w:sz w:val="22"/>
          <w:szCs w:val="22"/>
        </w:rPr>
        <w:t>Overall, cooperation between government agencies, water companies, and communities will be essential to ensure sustainable water management and continued progress toward SDG6.</w:t>
      </w:r>
    </w:p>
    <w:p w14:paraId="3D1D2D2E" w14:textId="406DA906" w:rsidR="00646185" w:rsidRDefault="00646185" w:rsidP="3D5E3244">
      <w:pPr>
        <w:spacing w:line="360" w:lineRule="auto"/>
        <w:rPr>
          <w:rFonts w:ascii="Arial" w:eastAsia="Arial" w:hAnsi="Arial" w:cs="Arial"/>
          <w:color w:val="000000" w:themeColor="text1"/>
          <w:sz w:val="22"/>
          <w:szCs w:val="22"/>
        </w:rPr>
      </w:pPr>
    </w:p>
    <w:p w14:paraId="29A0BDF7" w14:textId="259B4125" w:rsidR="7E991B3D" w:rsidRDefault="7E991B3D"/>
    <w:p w14:paraId="779CB595" w14:textId="52249C50" w:rsidR="7E991B3D" w:rsidRDefault="7E991B3D"/>
    <w:p w14:paraId="42E8B75F" w14:textId="01C4206B" w:rsidR="7E991B3D" w:rsidRDefault="7E991B3D"/>
    <w:p w14:paraId="7853CE4B" w14:textId="04B9267C" w:rsidR="7E991B3D" w:rsidRDefault="7E991B3D"/>
    <w:p w14:paraId="13773786" w14:textId="256F8825" w:rsidR="7E991B3D" w:rsidRDefault="7E991B3D"/>
    <w:p w14:paraId="166CEFFA" w14:textId="5A381818" w:rsidR="7E991B3D" w:rsidRDefault="7E991B3D"/>
    <w:p w14:paraId="5752543C" w14:textId="575C9A2D" w:rsidR="7E991B3D" w:rsidRDefault="7E991B3D" w:rsidP="7E991B3D"/>
    <w:p w14:paraId="76015EB2" w14:textId="6EB82D17" w:rsidR="00CF75FB" w:rsidRDefault="00CF75FB" w:rsidP="34E7EE6F"/>
    <w:p w14:paraId="16B7FE53" w14:textId="111F3DF7" w:rsidR="00CF75FB" w:rsidRDefault="00CF75FB" w:rsidP="34E7EE6F"/>
    <w:p w14:paraId="779A2860" w14:textId="0F39048E" w:rsidR="00CF75FB" w:rsidRDefault="00CF75FB" w:rsidP="34E7EE6F"/>
    <w:p w14:paraId="52CC56DC" w14:textId="4FCF7E15" w:rsidR="00CF75FB" w:rsidRDefault="00CF75FB" w:rsidP="34E7EE6F"/>
    <w:p w14:paraId="73D87A4E" w14:textId="445993CB" w:rsidR="6738B21D" w:rsidRDefault="6738B21D" w:rsidP="6738B21D">
      <w:pPr>
        <w:rPr>
          <w:rFonts w:ascii="Arial" w:eastAsia="Arial" w:hAnsi="Arial" w:cs="Arial"/>
          <w:sz w:val="40"/>
          <w:szCs w:val="40"/>
        </w:rPr>
      </w:pPr>
    </w:p>
    <w:p w14:paraId="4E21FEB3" w14:textId="69C2CC1C" w:rsidR="00CF75FB" w:rsidRDefault="00CF75FB" w:rsidP="6738B21D">
      <w:pPr>
        <w:rPr>
          <w:rFonts w:ascii="Arial" w:eastAsia="Arial" w:hAnsi="Arial" w:cs="Arial"/>
          <w:sz w:val="40"/>
          <w:szCs w:val="40"/>
        </w:rPr>
      </w:pPr>
      <w:r w:rsidRPr="6738B21D">
        <w:rPr>
          <w:rFonts w:ascii="Arial" w:eastAsia="Arial" w:hAnsi="Arial" w:cs="Arial"/>
          <w:sz w:val="40"/>
          <w:szCs w:val="40"/>
        </w:rPr>
        <w:t xml:space="preserve">Conclusion </w:t>
      </w:r>
    </w:p>
    <w:p w14:paraId="1BA72124" w14:textId="7D3E57E9" w:rsidR="008B6A5C" w:rsidRDefault="008B6A5C" w:rsidP="6738B21D">
      <w:pPr>
        <w:spacing w:line="360" w:lineRule="auto"/>
        <w:rPr>
          <w:rFonts w:ascii="Arial" w:eastAsia="Arial" w:hAnsi="Arial" w:cs="Arial"/>
          <w:sz w:val="22"/>
          <w:szCs w:val="22"/>
        </w:rPr>
      </w:pPr>
      <w:r w:rsidRPr="6738B21D">
        <w:rPr>
          <w:rFonts w:ascii="Arial" w:eastAsia="Arial" w:hAnsi="Arial" w:cs="Arial"/>
          <w:sz w:val="22"/>
          <w:szCs w:val="22"/>
        </w:rPr>
        <w:t>In summary, the Sustainable Development Goals offer a crucial framework for tackling global issues and enhancing life quality worldwide. This report explored SDGs 3 and 6, focusing on their implementation in the UK, where they significantly boost healthier communities and sustainable environmental practices.</w:t>
      </w:r>
    </w:p>
    <w:p w14:paraId="2B94A0D0" w14:textId="1E1A2D76" w:rsidR="008B6A5C" w:rsidRDefault="008B6A5C" w:rsidP="6738B21D">
      <w:pPr>
        <w:spacing w:line="360" w:lineRule="auto"/>
        <w:rPr>
          <w:rFonts w:ascii="Arial" w:eastAsia="Arial" w:hAnsi="Arial" w:cs="Arial"/>
          <w:sz w:val="22"/>
          <w:szCs w:val="22"/>
        </w:rPr>
      </w:pPr>
      <w:r w:rsidRPr="6738B21D">
        <w:rPr>
          <w:rFonts w:ascii="Arial" w:eastAsia="Arial" w:hAnsi="Arial" w:cs="Arial"/>
          <w:sz w:val="22"/>
          <w:szCs w:val="22"/>
        </w:rPr>
        <w:t>The UK has progressed through systems like the NHS and regulations for water quality and sanitation. Policies at various levels have improved healthcare, disease prevention, and water management. However, challenges like health disparities, healthcare pressures, water pollution, and aging infrastructure persist.</w:t>
      </w:r>
    </w:p>
    <w:p w14:paraId="056BEECA" w14:textId="5580BB90" w:rsidR="00CF75FB" w:rsidRDefault="008B6A5C" w:rsidP="6738B21D">
      <w:pPr>
        <w:spacing w:line="360" w:lineRule="auto"/>
        <w:rPr>
          <w:rFonts w:ascii="Arial" w:eastAsia="Arial" w:hAnsi="Arial" w:cs="Arial"/>
          <w:sz w:val="22"/>
          <w:szCs w:val="22"/>
        </w:rPr>
      </w:pPr>
      <w:r w:rsidRPr="6738B21D">
        <w:rPr>
          <w:rFonts w:ascii="Arial" w:eastAsia="Arial" w:hAnsi="Arial" w:cs="Arial"/>
          <w:sz w:val="22"/>
          <w:szCs w:val="22"/>
        </w:rPr>
        <w:t>Overcoming these requires ongoing investment, strong regulation, and collaboration among governments, organizations, and communities. Promoting healthy lifestyles, improving water systems, and reducing inequalities are vital for future progress. Strengthening these efforts ensures long-term sustainable development and supports current and future well-being.</w:t>
      </w:r>
    </w:p>
    <w:p w14:paraId="404E1C22" w14:textId="6DE72F76" w:rsidR="00CF75FB" w:rsidRDefault="00CF75FB" w:rsidP="00CF75FB"/>
    <w:p w14:paraId="1EF0D852" w14:textId="2D155BED" w:rsidR="00CF75FB" w:rsidRDefault="00CF75FB" w:rsidP="00CF75FB"/>
    <w:p w14:paraId="1C1093B6" w14:textId="78EEEAD2" w:rsidR="34E7EE6F" w:rsidRDefault="34E7EE6F"/>
    <w:p w14:paraId="19F264FB" w14:textId="41E409B8" w:rsidR="3D5E3244" w:rsidRDefault="3D5E3244" w:rsidP="3D5E3244"/>
    <w:p w14:paraId="13783C8C" w14:textId="139CE96B" w:rsidR="3D5E3244" w:rsidRDefault="3D5E3244" w:rsidP="3D5E3244"/>
    <w:p w14:paraId="10F2F17E" w14:textId="1C7F6E73" w:rsidR="3D5E3244" w:rsidRDefault="3D5E3244" w:rsidP="3D5E3244"/>
    <w:p w14:paraId="4DD34CA7" w14:textId="2000CD73" w:rsidR="3D5E3244" w:rsidRDefault="3D5E3244" w:rsidP="3D5E3244"/>
    <w:p w14:paraId="6C7E5268" w14:textId="3F072A76" w:rsidR="3D5E3244" w:rsidRDefault="3D5E3244" w:rsidP="3D5E3244"/>
    <w:p w14:paraId="294B2D64" w14:textId="184806DA" w:rsidR="00CF75FB" w:rsidRDefault="00CF75FB" w:rsidP="3C41CDFD"/>
    <w:p w14:paraId="4FB433C8" w14:textId="1EB7EE25" w:rsidR="00CF75FB" w:rsidRDefault="00CF75FB" w:rsidP="6738B21D">
      <w:pPr>
        <w:spacing w:line="360" w:lineRule="auto"/>
        <w:rPr>
          <w:rFonts w:ascii="Arial" w:eastAsia="Arial" w:hAnsi="Arial" w:cs="Arial"/>
          <w:sz w:val="40"/>
          <w:szCs w:val="40"/>
        </w:rPr>
      </w:pPr>
    </w:p>
    <w:p w14:paraId="3CA9D638" w14:textId="101288D8" w:rsidR="00CF75FB" w:rsidRDefault="00CF75FB" w:rsidP="6738B21D">
      <w:pPr>
        <w:spacing w:line="360" w:lineRule="auto"/>
        <w:rPr>
          <w:rFonts w:ascii="Arial" w:eastAsia="Arial" w:hAnsi="Arial" w:cs="Arial"/>
          <w:sz w:val="40"/>
          <w:szCs w:val="40"/>
        </w:rPr>
      </w:pPr>
    </w:p>
    <w:p w14:paraId="1ED1087E" w14:textId="55294398" w:rsidR="00CF75FB" w:rsidRDefault="00CF75FB" w:rsidP="6738B21D">
      <w:pPr>
        <w:spacing w:line="360" w:lineRule="auto"/>
        <w:rPr>
          <w:rFonts w:ascii="Arial" w:eastAsia="Arial" w:hAnsi="Arial" w:cs="Arial"/>
          <w:sz w:val="40"/>
          <w:szCs w:val="40"/>
        </w:rPr>
      </w:pPr>
    </w:p>
    <w:p w14:paraId="4B3065A9" w14:textId="12879B2A"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Age UK (2024) </w:t>
      </w:r>
      <w:r w:rsidRPr="6738B21D">
        <w:rPr>
          <w:rFonts w:ascii="Arial" w:eastAsia="Arial" w:hAnsi="Arial" w:cs="Arial"/>
          <w:i/>
          <w:iCs/>
          <w:sz w:val="22"/>
          <w:szCs w:val="22"/>
        </w:rPr>
        <w:t>State of Health and Care of Older People in England 2024</w:t>
      </w:r>
      <w:r w:rsidRPr="6738B21D">
        <w:rPr>
          <w:rFonts w:ascii="Arial" w:eastAsia="Arial" w:hAnsi="Arial" w:cs="Arial"/>
          <w:sz w:val="22"/>
          <w:szCs w:val="22"/>
        </w:rPr>
        <w:t xml:space="preserve">. Age UK. Available at: </w:t>
      </w:r>
      <w:hyperlink r:id="rId8">
        <w:r w:rsidRPr="6738B21D">
          <w:rPr>
            <w:rStyle w:val="Hyperlink"/>
            <w:rFonts w:ascii="Arial" w:eastAsia="Arial" w:hAnsi="Arial" w:cs="Arial"/>
            <w:sz w:val="22"/>
            <w:szCs w:val="22"/>
          </w:rPr>
          <w:t>https://www.ageuk.org.uk/discover/2024/september/state-of-health-and-care-of-older-people-in-england-2024/</w:t>
        </w:r>
      </w:hyperlink>
      <w:r w:rsidRPr="6738B21D">
        <w:rPr>
          <w:rFonts w:ascii="Arial" w:eastAsia="Arial" w:hAnsi="Arial" w:cs="Arial"/>
          <w:sz w:val="22"/>
          <w:szCs w:val="22"/>
        </w:rPr>
        <w:t xml:space="preserve"> (Accessed: 16 Feb 2026).</w:t>
      </w:r>
    </w:p>
    <w:p w14:paraId="00E2B1B8" w14:textId="2F501597"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Bond (2022) </w:t>
      </w:r>
      <w:r w:rsidRPr="6738B21D">
        <w:rPr>
          <w:rFonts w:ascii="Arial" w:eastAsia="Arial" w:hAnsi="Arial" w:cs="Arial"/>
          <w:i/>
          <w:iCs/>
          <w:sz w:val="22"/>
          <w:szCs w:val="22"/>
        </w:rPr>
        <w:t>The UK’s global contribution to the Sustainable Development Goals: Progress, gaps and recommendations</w:t>
      </w:r>
      <w:r w:rsidRPr="6738B21D">
        <w:rPr>
          <w:rFonts w:ascii="Arial" w:eastAsia="Arial" w:hAnsi="Arial" w:cs="Arial"/>
          <w:sz w:val="22"/>
          <w:szCs w:val="22"/>
        </w:rPr>
        <w:t xml:space="preserve">. London: Bond. Available at: </w:t>
      </w:r>
      <w:hyperlink r:id="rId9">
        <w:r w:rsidRPr="6738B21D">
          <w:rPr>
            <w:rStyle w:val="Hyperlink"/>
            <w:rFonts w:ascii="Arial" w:eastAsia="Arial" w:hAnsi="Arial" w:cs="Arial"/>
            <w:sz w:val="22"/>
            <w:szCs w:val="22"/>
          </w:rPr>
          <w:t>https://actionforglobalhealth.org.uk/wp-content/uploads/2022/07/Bond-SDG-Report-2022.pdf</w:t>
        </w:r>
      </w:hyperlink>
      <w:r w:rsidRPr="6738B21D">
        <w:rPr>
          <w:rFonts w:ascii="Arial" w:eastAsia="Arial" w:hAnsi="Arial" w:cs="Arial"/>
          <w:sz w:val="22"/>
          <w:szCs w:val="22"/>
        </w:rPr>
        <w:t xml:space="preserve"> (Accessed: 11 Feb 2026).</w:t>
      </w:r>
    </w:p>
    <w:p w14:paraId="5032BB97" w14:textId="5468FF9E"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Consumer Council for Water (2023) </w:t>
      </w:r>
      <w:r w:rsidRPr="6738B21D">
        <w:rPr>
          <w:rFonts w:ascii="Arial" w:eastAsia="Arial" w:hAnsi="Arial" w:cs="Arial"/>
          <w:i/>
          <w:iCs/>
          <w:sz w:val="22"/>
          <w:szCs w:val="22"/>
        </w:rPr>
        <w:t>Affordability of water and sewerage services</w:t>
      </w:r>
      <w:r w:rsidRPr="6738B21D">
        <w:rPr>
          <w:rFonts w:ascii="Arial" w:eastAsia="Arial" w:hAnsi="Arial" w:cs="Arial"/>
          <w:sz w:val="22"/>
          <w:szCs w:val="22"/>
        </w:rPr>
        <w:t xml:space="preserve">. Available at: </w:t>
      </w:r>
      <w:hyperlink r:id="rId10">
        <w:r w:rsidRPr="6738B21D">
          <w:rPr>
            <w:rStyle w:val="Hyperlink"/>
            <w:rFonts w:ascii="Arial" w:eastAsia="Arial" w:hAnsi="Arial" w:cs="Arial"/>
            <w:sz w:val="22"/>
            <w:szCs w:val="22"/>
          </w:rPr>
          <w:t>https://www.ccwater.org.uk</w:t>
        </w:r>
      </w:hyperlink>
      <w:r w:rsidRPr="6738B21D">
        <w:rPr>
          <w:rFonts w:ascii="Arial" w:eastAsia="Arial" w:hAnsi="Arial" w:cs="Arial"/>
          <w:sz w:val="22"/>
          <w:szCs w:val="22"/>
        </w:rPr>
        <w:t xml:space="preserve"> (Accessed: 10 March 2026).</w:t>
      </w:r>
    </w:p>
    <w:p w14:paraId="64AE5D70" w14:textId="19F0BDA1"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Department for Environment, Food &amp; Rural Affairs (2022) </w:t>
      </w:r>
      <w:r w:rsidRPr="6738B21D">
        <w:rPr>
          <w:rFonts w:ascii="Arial" w:eastAsia="Arial" w:hAnsi="Arial" w:cs="Arial"/>
          <w:i/>
          <w:iCs/>
          <w:sz w:val="22"/>
          <w:szCs w:val="22"/>
        </w:rPr>
        <w:t>UK water resources and planning policy</w:t>
      </w:r>
      <w:r w:rsidRPr="6738B21D">
        <w:rPr>
          <w:rFonts w:ascii="Arial" w:eastAsia="Arial" w:hAnsi="Arial" w:cs="Arial"/>
          <w:sz w:val="22"/>
          <w:szCs w:val="22"/>
        </w:rPr>
        <w:t xml:space="preserve">. Available at: </w:t>
      </w:r>
      <w:hyperlink r:id="rId11">
        <w:r w:rsidRPr="6738B21D">
          <w:rPr>
            <w:rStyle w:val="Hyperlink"/>
            <w:rFonts w:ascii="Arial" w:eastAsia="Arial" w:hAnsi="Arial" w:cs="Arial"/>
            <w:sz w:val="22"/>
            <w:szCs w:val="22"/>
          </w:rPr>
          <w:t>https://www.gov.uk/government/organisations/defra</w:t>
        </w:r>
      </w:hyperlink>
      <w:r w:rsidRPr="6738B21D">
        <w:rPr>
          <w:rFonts w:ascii="Arial" w:eastAsia="Arial" w:hAnsi="Arial" w:cs="Arial"/>
          <w:sz w:val="22"/>
          <w:szCs w:val="22"/>
        </w:rPr>
        <w:t xml:space="preserve"> (Accessed: 08 March 2026).</w:t>
      </w:r>
    </w:p>
    <w:p w14:paraId="4B4B6755" w14:textId="08167A7B"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Environment Agency (2023) </w:t>
      </w:r>
      <w:r w:rsidRPr="6738B21D">
        <w:rPr>
          <w:rFonts w:ascii="Arial" w:eastAsia="Arial" w:hAnsi="Arial" w:cs="Arial"/>
          <w:i/>
          <w:iCs/>
          <w:sz w:val="22"/>
          <w:szCs w:val="22"/>
        </w:rPr>
        <w:t>State of the environment: water resources in England</w:t>
      </w:r>
      <w:r w:rsidRPr="6738B21D">
        <w:rPr>
          <w:rFonts w:ascii="Arial" w:eastAsia="Arial" w:hAnsi="Arial" w:cs="Arial"/>
          <w:sz w:val="22"/>
          <w:szCs w:val="22"/>
        </w:rPr>
        <w:t xml:space="preserve">. Available at: </w:t>
      </w:r>
      <w:hyperlink r:id="rId12">
        <w:r w:rsidRPr="6738B21D">
          <w:rPr>
            <w:rStyle w:val="Hyperlink"/>
            <w:rFonts w:ascii="Arial" w:eastAsia="Arial" w:hAnsi="Arial" w:cs="Arial"/>
            <w:sz w:val="22"/>
            <w:szCs w:val="22"/>
          </w:rPr>
          <w:t>https://www.gov.uk/government/organisations/environment-agency</w:t>
        </w:r>
      </w:hyperlink>
      <w:r w:rsidRPr="6738B21D">
        <w:rPr>
          <w:rFonts w:ascii="Arial" w:eastAsia="Arial" w:hAnsi="Arial" w:cs="Arial"/>
          <w:sz w:val="22"/>
          <w:szCs w:val="22"/>
        </w:rPr>
        <w:t xml:space="preserve"> (Accessed: 08 March 2026).</w:t>
      </w:r>
    </w:p>
    <w:p w14:paraId="161F32FA" w14:textId="3B7A136A"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Environment Agency (2023) </w:t>
      </w:r>
      <w:r w:rsidRPr="6738B21D">
        <w:rPr>
          <w:rFonts w:ascii="Arial" w:eastAsia="Arial" w:hAnsi="Arial" w:cs="Arial"/>
          <w:i/>
          <w:iCs/>
          <w:sz w:val="22"/>
          <w:szCs w:val="22"/>
        </w:rPr>
        <w:t>Water quality and resources</w:t>
      </w:r>
      <w:r w:rsidRPr="6738B21D">
        <w:rPr>
          <w:rFonts w:ascii="Arial" w:eastAsia="Arial" w:hAnsi="Arial" w:cs="Arial"/>
          <w:sz w:val="22"/>
          <w:szCs w:val="22"/>
        </w:rPr>
        <w:t xml:space="preserve">. Available at: </w:t>
      </w:r>
      <w:hyperlink r:id="rId13">
        <w:r w:rsidRPr="6738B21D">
          <w:rPr>
            <w:rStyle w:val="Hyperlink"/>
            <w:rFonts w:ascii="Arial" w:eastAsia="Arial" w:hAnsi="Arial" w:cs="Arial"/>
            <w:sz w:val="22"/>
            <w:szCs w:val="22"/>
          </w:rPr>
          <w:t>https://www.gov.uk/government/organisations/environment-agency</w:t>
        </w:r>
      </w:hyperlink>
      <w:r w:rsidRPr="6738B21D">
        <w:rPr>
          <w:rFonts w:ascii="Arial" w:eastAsia="Arial" w:hAnsi="Arial" w:cs="Arial"/>
          <w:sz w:val="22"/>
          <w:szCs w:val="22"/>
        </w:rPr>
        <w:t xml:space="preserve"> (Accessed: 26 Feb 2026).</w:t>
      </w:r>
    </w:p>
    <w:p w14:paraId="3A6B1CC4" w14:textId="09AA385E"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Health, P. (2025) </w:t>
      </w:r>
      <w:r w:rsidRPr="6738B21D">
        <w:rPr>
          <w:rFonts w:ascii="Arial" w:eastAsia="Arial" w:hAnsi="Arial" w:cs="Arial"/>
          <w:i/>
          <w:iCs/>
          <w:sz w:val="22"/>
          <w:szCs w:val="22"/>
        </w:rPr>
        <w:t>Healthy life expectancy by national area deprivation, England and Wales</w:t>
      </w:r>
      <w:r w:rsidRPr="6738B21D">
        <w:rPr>
          <w:rFonts w:ascii="Arial" w:eastAsia="Arial" w:hAnsi="Arial" w:cs="Arial"/>
          <w:sz w:val="22"/>
          <w:szCs w:val="22"/>
        </w:rPr>
        <w:t xml:space="preserve">. Available at: </w:t>
      </w:r>
      <w:hyperlink r:id="rId14">
        <w:r w:rsidRPr="6738B21D">
          <w:rPr>
            <w:rStyle w:val="Hyperlink"/>
            <w:rFonts w:ascii="Arial" w:eastAsia="Arial" w:hAnsi="Arial" w:cs="Arial"/>
            <w:sz w:val="22"/>
            <w:szCs w:val="22"/>
          </w:rPr>
          <w:t>https://www.ons.gov.uk/peoplepopulationandcommunity/healthandsocialcare/healthinequalities/bulletins/healthylifeexpectancybynationalareadeprivationenglandandwales/between2013to2015and2020to2022</w:t>
        </w:r>
      </w:hyperlink>
      <w:r w:rsidRPr="6738B21D">
        <w:rPr>
          <w:rFonts w:ascii="Arial" w:eastAsia="Arial" w:hAnsi="Arial" w:cs="Arial"/>
          <w:sz w:val="22"/>
          <w:szCs w:val="22"/>
        </w:rPr>
        <w:t>.</w:t>
      </w:r>
    </w:p>
    <w:p w14:paraId="53B5A1F6" w14:textId="64DC6728"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Local Government Association (2023) </w:t>
      </w:r>
      <w:r w:rsidRPr="6738B21D">
        <w:rPr>
          <w:rFonts w:ascii="Arial" w:eastAsia="Arial" w:hAnsi="Arial" w:cs="Arial"/>
          <w:i/>
          <w:iCs/>
          <w:sz w:val="22"/>
          <w:szCs w:val="22"/>
        </w:rPr>
        <w:t>Councillors’ guide to local authority public health responsibilities</w:t>
      </w:r>
      <w:r w:rsidRPr="6738B21D">
        <w:rPr>
          <w:rFonts w:ascii="Arial" w:eastAsia="Arial" w:hAnsi="Arial" w:cs="Arial"/>
          <w:sz w:val="22"/>
          <w:szCs w:val="22"/>
        </w:rPr>
        <w:t xml:space="preserve">. Available at: </w:t>
      </w:r>
      <w:hyperlink r:id="rId15">
        <w:r w:rsidRPr="6738B21D">
          <w:rPr>
            <w:rStyle w:val="Hyperlink"/>
            <w:rFonts w:ascii="Arial" w:eastAsia="Arial" w:hAnsi="Arial" w:cs="Arial"/>
            <w:sz w:val="22"/>
            <w:szCs w:val="22"/>
          </w:rPr>
          <w:t>https://www2.local.gov.uk/publications/councillors-guide-local-authority-public-health-responsibilities-0</w:t>
        </w:r>
      </w:hyperlink>
      <w:r w:rsidRPr="6738B21D">
        <w:rPr>
          <w:rFonts w:ascii="Arial" w:eastAsia="Arial" w:hAnsi="Arial" w:cs="Arial"/>
          <w:sz w:val="22"/>
          <w:szCs w:val="22"/>
        </w:rPr>
        <w:t xml:space="preserve"> (Accessed: 11 Feb 2026).</w:t>
      </w:r>
    </w:p>
    <w:p w14:paraId="4947499C" w14:textId="1442AC21"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Lunn, J., Brien, P. and Robinson, T. (2026) </w:t>
      </w:r>
      <w:r w:rsidRPr="6738B21D">
        <w:rPr>
          <w:rFonts w:ascii="Arial" w:eastAsia="Arial" w:hAnsi="Arial" w:cs="Arial"/>
          <w:i/>
          <w:iCs/>
          <w:sz w:val="22"/>
          <w:szCs w:val="22"/>
        </w:rPr>
        <w:t>Universal Health Coverage</w:t>
      </w:r>
      <w:r w:rsidRPr="6738B21D">
        <w:rPr>
          <w:rFonts w:ascii="Arial" w:eastAsia="Arial" w:hAnsi="Arial" w:cs="Arial"/>
          <w:sz w:val="22"/>
          <w:szCs w:val="22"/>
        </w:rPr>
        <w:t xml:space="preserve">. House of Commons Library. Available at: </w:t>
      </w:r>
      <w:hyperlink r:id="rId16">
        <w:r w:rsidRPr="6738B21D">
          <w:rPr>
            <w:rStyle w:val="Hyperlink"/>
            <w:rFonts w:ascii="Arial" w:eastAsia="Arial" w:hAnsi="Arial" w:cs="Arial"/>
            <w:sz w:val="22"/>
            <w:szCs w:val="22"/>
          </w:rPr>
          <w:t>https://commonslibrary.parliament.uk/research-briefings/cdp-2019-0180/?utm_source=chatgpt.com</w:t>
        </w:r>
      </w:hyperlink>
      <w:r w:rsidRPr="6738B21D">
        <w:rPr>
          <w:rFonts w:ascii="Arial" w:eastAsia="Arial" w:hAnsi="Arial" w:cs="Arial"/>
          <w:sz w:val="22"/>
          <w:szCs w:val="22"/>
        </w:rPr>
        <w:t xml:space="preserve"> (Accessed: 10 Feb 2026).</w:t>
      </w:r>
    </w:p>
    <w:p w14:paraId="0C236453" w14:textId="3174EA86"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National Audit Office (2020) </w:t>
      </w:r>
      <w:r w:rsidRPr="6738B21D">
        <w:rPr>
          <w:rFonts w:ascii="Arial" w:eastAsia="Arial" w:hAnsi="Arial" w:cs="Arial"/>
          <w:i/>
          <w:iCs/>
          <w:sz w:val="22"/>
          <w:szCs w:val="22"/>
        </w:rPr>
        <w:t>Water supply and demand management</w:t>
      </w:r>
      <w:r w:rsidRPr="6738B21D">
        <w:rPr>
          <w:rFonts w:ascii="Arial" w:eastAsia="Arial" w:hAnsi="Arial" w:cs="Arial"/>
          <w:sz w:val="22"/>
          <w:szCs w:val="22"/>
        </w:rPr>
        <w:t xml:space="preserve">. Available at: </w:t>
      </w:r>
      <w:hyperlink r:id="rId17">
        <w:r w:rsidRPr="6738B21D">
          <w:rPr>
            <w:rStyle w:val="Hyperlink"/>
            <w:rFonts w:ascii="Arial" w:eastAsia="Arial" w:hAnsi="Arial" w:cs="Arial"/>
            <w:sz w:val="22"/>
            <w:szCs w:val="22"/>
          </w:rPr>
          <w:t>https://www.nao.org.uk</w:t>
        </w:r>
      </w:hyperlink>
      <w:r w:rsidRPr="6738B21D">
        <w:rPr>
          <w:rFonts w:ascii="Arial" w:eastAsia="Arial" w:hAnsi="Arial" w:cs="Arial"/>
          <w:sz w:val="22"/>
          <w:szCs w:val="22"/>
        </w:rPr>
        <w:t xml:space="preserve"> (Accessed: 09 March 2026).</w:t>
      </w:r>
    </w:p>
    <w:p w14:paraId="6B259E2F" w14:textId="078B46D5"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National Institute for Health and Care Research (2025) </w:t>
      </w:r>
      <w:r w:rsidRPr="6738B21D">
        <w:rPr>
          <w:rFonts w:ascii="Arial" w:eastAsia="Arial" w:hAnsi="Arial" w:cs="Arial"/>
          <w:i/>
          <w:iCs/>
          <w:sz w:val="22"/>
          <w:szCs w:val="22"/>
        </w:rPr>
        <w:t>UK-LMIC Research Partnership for the UK Public Health Rapid Support Team (UK-PHRST)</w:t>
      </w:r>
      <w:r w:rsidRPr="6738B21D">
        <w:rPr>
          <w:rFonts w:ascii="Arial" w:eastAsia="Arial" w:hAnsi="Arial" w:cs="Arial"/>
          <w:sz w:val="22"/>
          <w:szCs w:val="22"/>
        </w:rPr>
        <w:t xml:space="preserve">. Available at: </w:t>
      </w:r>
      <w:hyperlink r:id="rId18">
        <w:r w:rsidRPr="6738B21D">
          <w:rPr>
            <w:rStyle w:val="Hyperlink"/>
            <w:rFonts w:ascii="Arial" w:eastAsia="Arial" w:hAnsi="Arial" w:cs="Arial"/>
            <w:sz w:val="22"/>
            <w:szCs w:val="22"/>
          </w:rPr>
          <w:t>https://www.nihr.ac.uk/funding/uk-lmic-research-partnership-uk-public-health-rapid-support-team-uk-phrst/2025355</w:t>
        </w:r>
      </w:hyperlink>
      <w:r w:rsidRPr="6738B21D">
        <w:rPr>
          <w:rFonts w:ascii="Arial" w:eastAsia="Arial" w:hAnsi="Arial" w:cs="Arial"/>
          <w:sz w:val="22"/>
          <w:szCs w:val="22"/>
        </w:rPr>
        <w:t xml:space="preserve"> (Accessed: 11 Feb 2026).</w:t>
      </w:r>
    </w:p>
    <w:p w14:paraId="398855B9" w14:textId="60F37F04"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NHS (2023) </w:t>
      </w:r>
      <w:r w:rsidRPr="6738B21D">
        <w:rPr>
          <w:rFonts w:ascii="Arial" w:eastAsia="Arial" w:hAnsi="Arial" w:cs="Arial"/>
          <w:i/>
          <w:iCs/>
          <w:sz w:val="22"/>
          <w:szCs w:val="22"/>
        </w:rPr>
        <w:t>NHS England: A National Framework for NHS – Action on Inclusion Health</w:t>
      </w:r>
      <w:r w:rsidRPr="6738B21D">
        <w:rPr>
          <w:rFonts w:ascii="Arial" w:eastAsia="Arial" w:hAnsi="Arial" w:cs="Arial"/>
          <w:sz w:val="22"/>
          <w:szCs w:val="22"/>
        </w:rPr>
        <w:t xml:space="preserve">. Available at: </w:t>
      </w:r>
      <w:hyperlink r:id="rId19">
        <w:r w:rsidRPr="6738B21D">
          <w:rPr>
            <w:rStyle w:val="Hyperlink"/>
            <w:rFonts w:ascii="Arial" w:eastAsia="Arial" w:hAnsi="Arial" w:cs="Arial"/>
            <w:sz w:val="22"/>
            <w:szCs w:val="22"/>
          </w:rPr>
          <w:t>https://www.england.nhs.uk/long-read/a-national-framework-for-nhs-action-on-inclusion-health/</w:t>
        </w:r>
      </w:hyperlink>
      <w:r w:rsidRPr="6738B21D">
        <w:rPr>
          <w:rFonts w:ascii="Arial" w:eastAsia="Arial" w:hAnsi="Arial" w:cs="Arial"/>
          <w:sz w:val="22"/>
          <w:szCs w:val="22"/>
        </w:rPr>
        <w:t>.</w:t>
      </w:r>
    </w:p>
    <w:p w14:paraId="4B3CCB49" w14:textId="2F4DEE9A"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NHS England (2019) </w:t>
      </w:r>
      <w:r w:rsidRPr="6738B21D">
        <w:rPr>
          <w:rFonts w:ascii="Arial" w:eastAsia="Arial" w:hAnsi="Arial" w:cs="Arial"/>
          <w:i/>
          <w:iCs/>
          <w:sz w:val="22"/>
          <w:szCs w:val="22"/>
        </w:rPr>
        <w:t>Digital transformation — NHS Long Term Plan</w:t>
      </w:r>
      <w:r w:rsidRPr="6738B21D">
        <w:rPr>
          <w:rFonts w:ascii="Arial" w:eastAsia="Arial" w:hAnsi="Arial" w:cs="Arial"/>
          <w:sz w:val="22"/>
          <w:szCs w:val="22"/>
        </w:rPr>
        <w:t xml:space="preserve">. Available at: </w:t>
      </w:r>
      <w:hyperlink r:id="rId20">
        <w:r w:rsidRPr="6738B21D">
          <w:rPr>
            <w:rStyle w:val="Hyperlink"/>
            <w:rFonts w:ascii="Arial" w:eastAsia="Arial" w:hAnsi="Arial" w:cs="Arial"/>
            <w:sz w:val="22"/>
            <w:szCs w:val="22"/>
          </w:rPr>
          <w:t>https://www.longtermplan.nhs.uk/areas-of-work/digital-transformation/</w:t>
        </w:r>
      </w:hyperlink>
      <w:r w:rsidRPr="6738B21D">
        <w:rPr>
          <w:rFonts w:ascii="Arial" w:eastAsia="Arial" w:hAnsi="Arial" w:cs="Arial"/>
          <w:sz w:val="22"/>
          <w:szCs w:val="22"/>
        </w:rPr>
        <w:t xml:space="preserve"> (Accessed: 12 Feb 2026).</w:t>
      </w:r>
    </w:p>
    <w:p w14:paraId="3CCDE3E0" w14:textId="198B1A7A"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NHS England (2023) </w:t>
      </w:r>
      <w:r w:rsidRPr="6738B21D">
        <w:rPr>
          <w:rFonts w:ascii="Arial" w:eastAsia="Arial" w:hAnsi="Arial" w:cs="Arial"/>
          <w:i/>
          <w:iCs/>
          <w:sz w:val="22"/>
          <w:szCs w:val="22"/>
        </w:rPr>
        <w:t>Our approach to reducing healthcare inequalities: Strategic drivers</w:t>
      </w:r>
      <w:r w:rsidRPr="6738B21D">
        <w:rPr>
          <w:rFonts w:ascii="Arial" w:eastAsia="Arial" w:hAnsi="Arial" w:cs="Arial"/>
          <w:sz w:val="22"/>
          <w:szCs w:val="22"/>
        </w:rPr>
        <w:t xml:space="preserve">. Available at: </w:t>
      </w:r>
      <w:hyperlink r:id="rId21">
        <w:r w:rsidRPr="6738B21D">
          <w:rPr>
            <w:rStyle w:val="Hyperlink"/>
            <w:rFonts w:ascii="Arial" w:eastAsia="Arial" w:hAnsi="Arial" w:cs="Arial"/>
            <w:sz w:val="22"/>
            <w:szCs w:val="22"/>
          </w:rPr>
          <w:t>https://www.england.nhs.uk/about/equality/equality-hub/national-healthcare-inequalities-improvement-programme/our-approach-to-reducing-healthcare-inequalities/strategic-drivers/</w:t>
        </w:r>
      </w:hyperlink>
      <w:r w:rsidRPr="6738B21D">
        <w:rPr>
          <w:rFonts w:ascii="Arial" w:eastAsia="Arial" w:hAnsi="Arial" w:cs="Arial"/>
          <w:sz w:val="22"/>
          <w:szCs w:val="22"/>
        </w:rPr>
        <w:t xml:space="preserve"> (Accessed: 12 Feb 2026).</w:t>
      </w:r>
    </w:p>
    <w:p w14:paraId="556F8AAB" w14:textId="5599B3B2"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Office for Health Improvement and Disparities (2026) </w:t>
      </w:r>
      <w:r w:rsidRPr="6738B21D">
        <w:rPr>
          <w:rFonts w:ascii="Arial" w:eastAsia="Arial" w:hAnsi="Arial" w:cs="Arial"/>
          <w:i/>
          <w:iCs/>
          <w:sz w:val="22"/>
          <w:szCs w:val="22"/>
        </w:rPr>
        <w:t>Wider determinants of health: February 2026 update</w:t>
      </w:r>
      <w:r w:rsidRPr="6738B21D">
        <w:rPr>
          <w:rFonts w:ascii="Arial" w:eastAsia="Arial" w:hAnsi="Arial" w:cs="Arial"/>
          <w:sz w:val="22"/>
          <w:szCs w:val="22"/>
        </w:rPr>
        <w:t xml:space="preserve">. London: Office for Health Improvement and Disparities. Available at: </w:t>
      </w:r>
      <w:hyperlink r:id="rId22">
        <w:r w:rsidRPr="6738B21D">
          <w:rPr>
            <w:rStyle w:val="Hyperlink"/>
            <w:rFonts w:ascii="Arial" w:eastAsia="Arial" w:hAnsi="Arial" w:cs="Arial"/>
            <w:sz w:val="22"/>
            <w:szCs w:val="22"/>
          </w:rPr>
          <w:t>https://www.gov.uk/government/statistics/wider-determinants-of-health-february-2026-update</w:t>
        </w:r>
      </w:hyperlink>
      <w:r w:rsidRPr="6738B21D">
        <w:rPr>
          <w:rFonts w:ascii="Arial" w:eastAsia="Arial" w:hAnsi="Arial" w:cs="Arial"/>
          <w:sz w:val="22"/>
          <w:szCs w:val="22"/>
        </w:rPr>
        <w:t xml:space="preserve"> (Accessed: 12 Feb 2026).</w:t>
      </w:r>
    </w:p>
    <w:p w14:paraId="7F57A107" w14:textId="60F4026E"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Ofwat (2021) </w:t>
      </w:r>
      <w:r w:rsidRPr="6738B21D">
        <w:rPr>
          <w:rFonts w:ascii="Arial" w:eastAsia="Arial" w:hAnsi="Arial" w:cs="Arial"/>
          <w:i/>
          <w:iCs/>
          <w:sz w:val="22"/>
          <w:szCs w:val="22"/>
        </w:rPr>
        <w:t>Water meters and customer behaviour report</w:t>
      </w:r>
      <w:r w:rsidRPr="6738B21D">
        <w:rPr>
          <w:rFonts w:ascii="Arial" w:eastAsia="Arial" w:hAnsi="Arial" w:cs="Arial"/>
          <w:sz w:val="22"/>
          <w:szCs w:val="22"/>
        </w:rPr>
        <w:t xml:space="preserve">. Available at: </w:t>
      </w:r>
      <w:hyperlink r:id="rId23">
        <w:r w:rsidRPr="6738B21D">
          <w:rPr>
            <w:rStyle w:val="Hyperlink"/>
            <w:rFonts w:ascii="Arial" w:eastAsia="Arial" w:hAnsi="Arial" w:cs="Arial"/>
            <w:sz w:val="22"/>
            <w:szCs w:val="22"/>
          </w:rPr>
          <w:t>https://www.ofwat.gov.uk</w:t>
        </w:r>
      </w:hyperlink>
      <w:r w:rsidRPr="6738B21D">
        <w:rPr>
          <w:rFonts w:ascii="Arial" w:eastAsia="Arial" w:hAnsi="Arial" w:cs="Arial"/>
          <w:sz w:val="22"/>
          <w:szCs w:val="22"/>
        </w:rPr>
        <w:t xml:space="preserve"> (Accessed: 10 March 2026).</w:t>
      </w:r>
    </w:p>
    <w:p w14:paraId="20E315B1" w14:textId="3DE0DD32"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Ofwat (2023) </w:t>
      </w:r>
      <w:r w:rsidRPr="6738B21D">
        <w:rPr>
          <w:rFonts w:ascii="Arial" w:eastAsia="Arial" w:hAnsi="Arial" w:cs="Arial"/>
          <w:i/>
          <w:iCs/>
          <w:sz w:val="22"/>
          <w:szCs w:val="22"/>
        </w:rPr>
        <w:t>Our role in regulating the water sector</w:t>
      </w:r>
      <w:r w:rsidRPr="6738B21D">
        <w:rPr>
          <w:rFonts w:ascii="Arial" w:eastAsia="Arial" w:hAnsi="Arial" w:cs="Arial"/>
          <w:sz w:val="22"/>
          <w:szCs w:val="22"/>
        </w:rPr>
        <w:t xml:space="preserve">. Available at: </w:t>
      </w:r>
      <w:hyperlink r:id="rId24">
        <w:r w:rsidRPr="6738B21D">
          <w:rPr>
            <w:rStyle w:val="Hyperlink"/>
            <w:rFonts w:ascii="Arial" w:eastAsia="Arial" w:hAnsi="Arial" w:cs="Arial"/>
            <w:sz w:val="22"/>
            <w:szCs w:val="22"/>
          </w:rPr>
          <w:t>https://www.ofwat.gov.uk</w:t>
        </w:r>
      </w:hyperlink>
    </w:p>
    <w:p w14:paraId="1B984AB0" w14:textId="646A116C"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Planning Inspectorate (2024) </w:t>
      </w:r>
      <w:r w:rsidRPr="6738B21D">
        <w:rPr>
          <w:rFonts w:ascii="Arial" w:eastAsia="Arial" w:hAnsi="Arial" w:cs="Arial"/>
          <w:i/>
          <w:iCs/>
          <w:sz w:val="22"/>
          <w:szCs w:val="22"/>
        </w:rPr>
        <w:t>Nationally Significant Infrastructure Projects: Advice on the Water Framework Directive</w:t>
      </w:r>
      <w:r w:rsidRPr="6738B21D">
        <w:rPr>
          <w:rFonts w:ascii="Arial" w:eastAsia="Arial" w:hAnsi="Arial" w:cs="Arial"/>
          <w:sz w:val="22"/>
          <w:szCs w:val="22"/>
        </w:rPr>
        <w:t xml:space="preserve">. Available at: </w:t>
      </w:r>
      <w:hyperlink r:id="rId25">
        <w:r w:rsidRPr="6738B21D">
          <w:rPr>
            <w:rStyle w:val="Hyperlink"/>
            <w:rFonts w:ascii="Arial" w:eastAsia="Arial" w:hAnsi="Arial" w:cs="Arial"/>
            <w:sz w:val="22"/>
            <w:szCs w:val="22"/>
          </w:rPr>
          <w:t>https://www.gov.uk/guidance/nationally-significant-infrastructure-projects-advice-on-the-water-framework-directive</w:t>
        </w:r>
      </w:hyperlink>
      <w:r w:rsidRPr="6738B21D">
        <w:rPr>
          <w:rFonts w:ascii="Arial" w:eastAsia="Arial" w:hAnsi="Arial" w:cs="Arial"/>
          <w:sz w:val="22"/>
          <w:szCs w:val="22"/>
        </w:rPr>
        <w:t>.</w:t>
      </w:r>
    </w:p>
    <w:p w14:paraId="3873F0A9" w14:textId="5E1353BC"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Public Health England (2020) </w:t>
      </w:r>
      <w:r w:rsidRPr="6738B21D">
        <w:rPr>
          <w:rFonts w:ascii="Arial" w:eastAsia="Arial" w:hAnsi="Arial" w:cs="Arial"/>
          <w:i/>
          <w:iCs/>
          <w:sz w:val="22"/>
          <w:szCs w:val="22"/>
        </w:rPr>
        <w:t>Achieving behaviour change: A guide for national government and local partners</w:t>
      </w:r>
      <w:r w:rsidRPr="6738B21D">
        <w:rPr>
          <w:rFonts w:ascii="Arial" w:eastAsia="Arial" w:hAnsi="Arial" w:cs="Arial"/>
          <w:sz w:val="22"/>
          <w:szCs w:val="22"/>
        </w:rPr>
        <w:t xml:space="preserve">. London: Public Health England. Available at: </w:t>
      </w:r>
      <w:hyperlink r:id="rId26">
        <w:r w:rsidRPr="6738B21D">
          <w:rPr>
            <w:rStyle w:val="Hyperlink"/>
            <w:rFonts w:ascii="Arial" w:eastAsia="Arial" w:hAnsi="Arial" w:cs="Arial"/>
            <w:sz w:val="22"/>
            <w:szCs w:val="22"/>
          </w:rPr>
          <w:t>https://www.gov.uk/government/publications/behaviour-change-guide-for-local-government-and-partners</w:t>
        </w:r>
      </w:hyperlink>
      <w:r w:rsidRPr="6738B21D">
        <w:rPr>
          <w:rFonts w:ascii="Arial" w:eastAsia="Arial" w:hAnsi="Arial" w:cs="Arial"/>
          <w:sz w:val="22"/>
          <w:szCs w:val="22"/>
        </w:rPr>
        <w:t xml:space="preserve"> (Accessed: 12 Feb 2026).</w:t>
      </w:r>
    </w:p>
    <w:p w14:paraId="2A2DF875" w14:textId="6A8E0361"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Reading Borough Council (2024) </w:t>
      </w:r>
      <w:r w:rsidRPr="6738B21D">
        <w:rPr>
          <w:rFonts w:ascii="Arial" w:eastAsia="Arial" w:hAnsi="Arial" w:cs="Arial"/>
          <w:i/>
          <w:iCs/>
          <w:sz w:val="22"/>
          <w:szCs w:val="22"/>
        </w:rPr>
        <w:t>Annual Public Health Report 2024</w:t>
      </w:r>
      <w:r w:rsidRPr="6738B21D">
        <w:rPr>
          <w:rFonts w:ascii="Arial" w:eastAsia="Arial" w:hAnsi="Arial" w:cs="Arial"/>
          <w:sz w:val="22"/>
          <w:szCs w:val="22"/>
        </w:rPr>
        <w:t xml:space="preserve">. Reading: Reading Borough Council. Available at: </w:t>
      </w:r>
      <w:hyperlink r:id="rId27">
        <w:r w:rsidRPr="6738B21D">
          <w:rPr>
            <w:rStyle w:val="Hyperlink"/>
            <w:rFonts w:ascii="Arial" w:eastAsia="Arial" w:hAnsi="Arial" w:cs="Arial"/>
            <w:sz w:val="22"/>
            <w:szCs w:val="22"/>
          </w:rPr>
          <w:t>https://www.reading.gov.uk/adult-care/public-health-and-staying-well/annual-public-health-report-2024/</w:t>
        </w:r>
      </w:hyperlink>
      <w:r w:rsidRPr="6738B21D">
        <w:rPr>
          <w:rFonts w:ascii="Arial" w:eastAsia="Arial" w:hAnsi="Arial" w:cs="Arial"/>
          <w:sz w:val="22"/>
          <w:szCs w:val="22"/>
        </w:rPr>
        <w:t xml:space="preserve"> (Accessed: 11 Feb 2026).</w:t>
      </w:r>
    </w:p>
    <w:p w14:paraId="7C00A9E0" w14:textId="307184CE"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UK Government (2013) </w:t>
      </w:r>
      <w:r w:rsidRPr="6738B21D">
        <w:rPr>
          <w:rFonts w:ascii="Arial" w:eastAsia="Arial" w:hAnsi="Arial" w:cs="Arial"/>
          <w:i/>
          <w:iCs/>
          <w:sz w:val="22"/>
          <w:szCs w:val="22"/>
        </w:rPr>
        <w:t>Improving communications about extending working life amongst individuals: Learning from models of behavioural and attitudinal change</w:t>
      </w:r>
      <w:r w:rsidRPr="6738B21D">
        <w:rPr>
          <w:rFonts w:ascii="Arial" w:eastAsia="Arial" w:hAnsi="Arial" w:cs="Arial"/>
          <w:sz w:val="22"/>
          <w:szCs w:val="22"/>
        </w:rPr>
        <w:t xml:space="preserve">. London: Government Social Research. Available at: </w:t>
      </w:r>
      <w:hyperlink r:id="rId28">
        <w:r w:rsidRPr="6738B21D">
          <w:rPr>
            <w:rStyle w:val="Hyperlink"/>
            <w:rFonts w:ascii="Arial" w:eastAsia="Arial" w:hAnsi="Arial" w:cs="Arial"/>
            <w:sz w:val="22"/>
            <w:szCs w:val="22"/>
          </w:rPr>
          <w:t>https://www.gov.uk/government/uploads/system/uploads/attachment_data/file/193404/rrep809.pdf</w:t>
        </w:r>
      </w:hyperlink>
      <w:r w:rsidRPr="6738B21D">
        <w:rPr>
          <w:rFonts w:ascii="Arial" w:eastAsia="Arial" w:hAnsi="Arial" w:cs="Arial"/>
          <w:sz w:val="22"/>
          <w:szCs w:val="22"/>
        </w:rPr>
        <w:t xml:space="preserve"> (Accessed: 10 Feb 2026).</w:t>
      </w:r>
    </w:p>
    <w:p w14:paraId="18533464" w14:textId="59343E46"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UK Government (2019) </w:t>
      </w:r>
      <w:r w:rsidRPr="6738B21D">
        <w:rPr>
          <w:rFonts w:ascii="Arial" w:eastAsia="Arial" w:hAnsi="Arial" w:cs="Arial"/>
          <w:i/>
          <w:iCs/>
          <w:sz w:val="22"/>
          <w:szCs w:val="22"/>
        </w:rPr>
        <w:t>UK’s Voluntary National Review of progress towards the Sustainable Development Goals</w:t>
      </w:r>
      <w:r w:rsidRPr="6738B21D">
        <w:rPr>
          <w:rFonts w:ascii="Arial" w:eastAsia="Arial" w:hAnsi="Arial" w:cs="Arial"/>
          <w:sz w:val="22"/>
          <w:szCs w:val="22"/>
        </w:rPr>
        <w:t xml:space="preserve">. London: UK Government. Available at: </w:t>
      </w:r>
      <w:hyperlink r:id="rId29">
        <w:r w:rsidRPr="6738B21D">
          <w:rPr>
            <w:rStyle w:val="Hyperlink"/>
            <w:rFonts w:ascii="Arial" w:eastAsia="Arial" w:hAnsi="Arial" w:cs="Arial"/>
            <w:sz w:val="22"/>
            <w:szCs w:val="22"/>
          </w:rPr>
          <w:t>https://www.gov.uk/government/publications/uks-voluntary-national-review-of-the-sustainable-development-goals</w:t>
        </w:r>
      </w:hyperlink>
      <w:r w:rsidRPr="6738B21D">
        <w:rPr>
          <w:rFonts w:ascii="Arial" w:eastAsia="Arial" w:hAnsi="Arial" w:cs="Arial"/>
          <w:sz w:val="22"/>
          <w:szCs w:val="22"/>
        </w:rPr>
        <w:t xml:space="preserve"> (Accessed: 15 Feb 2026).</w:t>
      </w:r>
    </w:p>
    <w:p w14:paraId="15555757" w14:textId="22FDA7AB"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UK Government (2023) </w:t>
      </w:r>
      <w:r w:rsidRPr="6738B21D">
        <w:rPr>
          <w:rFonts w:ascii="Arial" w:eastAsia="Arial" w:hAnsi="Arial" w:cs="Arial"/>
          <w:i/>
          <w:iCs/>
          <w:sz w:val="22"/>
          <w:szCs w:val="22"/>
        </w:rPr>
        <w:t>Global Health Framework: Working together towards a healthier world</w:t>
      </w:r>
      <w:r w:rsidRPr="6738B21D">
        <w:rPr>
          <w:rFonts w:ascii="Arial" w:eastAsia="Arial" w:hAnsi="Arial" w:cs="Arial"/>
          <w:sz w:val="22"/>
          <w:szCs w:val="22"/>
        </w:rPr>
        <w:t xml:space="preserve">. London: UK Government. Available at: </w:t>
      </w:r>
      <w:hyperlink r:id="rId30">
        <w:r w:rsidRPr="6738B21D">
          <w:rPr>
            <w:rStyle w:val="Hyperlink"/>
            <w:rFonts w:ascii="Arial" w:eastAsia="Arial" w:hAnsi="Arial" w:cs="Arial"/>
            <w:sz w:val="22"/>
            <w:szCs w:val="22"/>
          </w:rPr>
          <w:t>https://www.gov.uk/government/publications/global-health-framework-working-together-towards-a-healthier-world</w:t>
        </w:r>
      </w:hyperlink>
      <w:r w:rsidRPr="6738B21D">
        <w:rPr>
          <w:rFonts w:ascii="Arial" w:eastAsia="Arial" w:hAnsi="Arial" w:cs="Arial"/>
          <w:sz w:val="22"/>
          <w:szCs w:val="22"/>
        </w:rPr>
        <w:t xml:space="preserve"> (Accessed: 10 Feb 2026).</w:t>
      </w:r>
    </w:p>
    <w:p w14:paraId="71C52401" w14:textId="3FE8408A"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UNICEF (2023) </w:t>
      </w:r>
      <w:r w:rsidRPr="6738B21D">
        <w:rPr>
          <w:rFonts w:ascii="Arial" w:eastAsia="Arial" w:hAnsi="Arial" w:cs="Arial"/>
          <w:i/>
          <w:iCs/>
          <w:sz w:val="22"/>
          <w:szCs w:val="22"/>
        </w:rPr>
        <w:t>Water, sanitation and hygiene (WASH)</w:t>
      </w:r>
      <w:r w:rsidRPr="6738B21D">
        <w:rPr>
          <w:rFonts w:ascii="Arial" w:eastAsia="Arial" w:hAnsi="Arial" w:cs="Arial"/>
          <w:sz w:val="22"/>
          <w:szCs w:val="22"/>
        </w:rPr>
        <w:t xml:space="preserve">. Available at: </w:t>
      </w:r>
      <w:hyperlink r:id="rId31">
        <w:r w:rsidRPr="6738B21D">
          <w:rPr>
            <w:rStyle w:val="Hyperlink"/>
            <w:rFonts w:ascii="Arial" w:eastAsia="Arial" w:hAnsi="Arial" w:cs="Arial"/>
            <w:sz w:val="22"/>
            <w:szCs w:val="22"/>
          </w:rPr>
          <w:t>https://www.unicef.org/wash</w:t>
        </w:r>
      </w:hyperlink>
      <w:r w:rsidRPr="6738B21D">
        <w:rPr>
          <w:rFonts w:ascii="Arial" w:eastAsia="Arial" w:hAnsi="Arial" w:cs="Arial"/>
          <w:sz w:val="22"/>
          <w:szCs w:val="22"/>
        </w:rPr>
        <w:t xml:space="preserve"> (Accessed: 25 Feb 2026).</w:t>
      </w:r>
    </w:p>
    <w:p w14:paraId="7421445F" w14:textId="31643094"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United Nations (2024) </w:t>
      </w:r>
      <w:r w:rsidRPr="6738B21D">
        <w:rPr>
          <w:rFonts w:ascii="Arial" w:eastAsia="Arial" w:hAnsi="Arial" w:cs="Arial"/>
          <w:i/>
          <w:iCs/>
          <w:sz w:val="22"/>
          <w:szCs w:val="22"/>
        </w:rPr>
        <w:t>Goal 6: Ensure access to water and sanitation for all</w:t>
      </w:r>
      <w:r w:rsidRPr="6738B21D">
        <w:rPr>
          <w:rFonts w:ascii="Arial" w:eastAsia="Arial" w:hAnsi="Arial" w:cs="Arial"/>
          <w:sz w:val="22"/>
          <w:szCs w:val="22"/>
        </w:rPr>
        <w:t xml:space="preserve">. Available at: </w:t>
      </w:r>
      <w:hyperlink r:id="rId32">
        <w:r w:rsidRPr="6738B21D">
          <w:rPr>
            <w:rStyle w:val="Hyperlink"/>
            <w:rFonts w:ascii="Arial" w:eastAsia="Arial" w:hAnsi="Arial" w:cs="Arial"/>
            <w:sz w:val="22"/>
            <w:szCs w:val="22"/>
          </w:rPr>
          <w:t>https://sdgs.un.org/goals/goal6</w:t>
        </w:r>
      </w:hyperlink>
      <w:r w:rsidRPr="6738B21D">
        <w:rPr>
          <w:rFonts w:ascii="Arial" w:eastAsia="Arial" w:hAnsi="Arial" w:cs="Arial"/>
          <w:sz w:val="22"/>
          <w:szCs w:val="22"/>
        </w:rPr>
        <w:t xml:space="preserve"> (Accessed: 25 Feb 2026).</w:t>
      </w:r>
    </w:p>
    <w:p w14:paraId="231F1D6D" w14:textId="432CB752"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Water.org (2023) </w:t>
      </w:r>
      <w:r w:rsidRPr="6738B21D">
        <w:rPr>
          <w:rFonts w:ascii="Arial" w:eastAsia="Arial" w:hAnsi="Arial" w:cs="Arial"/>
          <w:i/>
          <w:iCs/>
          <w:sz w:val="22"/>
          <w:szCs w:val="22"/>
        </w:rPr>
        <w:t>Global water crisis: Facts and statistics</w:t>
      </w:r>
      <w:r w:rsidRPr="6738B21D">
        <w:rPr>
          <w:rFonts w:ascii="Arial" w:eastAsia="Arial" w:hAnsi="Arial" w:cs="Arial"/>
          <w:sz w:val="22"/>
          <w:szCs w:val="22"/>
        </w:rPr>
        <w:t xml:space="preserve">. Available at: </w:t>
      </w:r>
      <w:hyperlink r:id="rId33">
        <w:r w:rsidRPr="6738B21D">
          <w:rPr>
            <w:rStyle w:val="Hyperlink"/>
            <w:rFonts w:ascii="Arial" w:eastAsia="Arial" w:hAnsi="Arial" w:cs="Arial"/>
            <w:sz w:val="22"/>
            <w:szCs w:val="22"/>
          </w:rPr>
          <w:t>https://water.org/our-impact/water-crisis/</w:t>
        </w:r>
      </w:hyperlink>
      <w:r w:rsidRPr="6738B21D">
        <w:rPr>
          <w:rFonts w:ascii="Arial" w:eastAsia="Arial" w:hAnsi="Arial" w:cs="Arial"/>
          <w:sz w:val="22"/>
          <w:szCs w:val="22"/>
        </w:rPr>
        <w:t xml:space="preserve"> (Accessed: 27 Feb 2026).</w:t>
      </w:r>
    </w:p>
    <w:p w14:paraId="35884107" w14:textId="4B4E6295"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Water UK (2022) </w:t>
      </w:r>
      <w:r w:rsidRPr="6738B21D">
        <w:rPr>
          <w:rFonts w:ascii="Arial" w:eastAsia="Arial" w:hAnsi="Arial" w:cs="Arial"/>
          <w:i/>
          <w:iCs/>
          <w:sz w:val="22"/>
          <w:szCs w:val="22"/>
        </w:rPr>
        <w:t>Water industry environmental performance report</w:t>
      </w:r>
      <w:r w:rsidRPr="6738B21D">
        <w:rPr>
          <w:rFonts w:ascii="Arial" w:eastAsia="Arial" w:hAnsi="Arial" w:cs="Arial"/>
          <w:sz w:val="22"/>
          <w:szCs w:val="22"/>
        </w:rPr>
        <w:t xml:space="preserve">. Available at: </w:t>
      </w:r>
      <w:hyperlink r:id="rId34">
        <w:r w:rsidRPr="6738B21D">
          <w:rPr>
            <w:rStyle w:val="Hyperlink"/>
            <w:rFonts w:ascii="Arial" w:eastAsia="Arial" w:hAnsi="Arial" w:cs="Arial"/>
            <w:sz w:val="22"/>
            <w:szCs w:val="22"/>
          </w:rPr>
          <w:t>https://www.water.org.uk</w:t>
        </w:r>
      </w:hyperlink>
      <w:r w:rsidRPr="6738B21D">
        <w:rPr>
          <w:rFonts w:ascii="Arial" w:eastAsia="Arial" w:hAnsi="Arial" w:cs="Arial"/>
          <w:sz w:val="22"/>
          <w:szCs w:val="22"/>
        </w:rPr>
        <w:t xml:space="preserve"> (Accessed: 08 March 2026).</w:t>
      </w:r>
    </w:p>
    <w:p w14:paraId="5FE5BE89" w14:textId="1712A52B"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WaterAid (2022) </w:t>
      </w:r>
      <w:r w:rsidRPr="6738B21D">
        <w:rPr>
          <w:rFonts w:ascii="Arial" w:eastAsia="Arial" w:hAnsi="Arial" w:cs="Arial"/>
          <w:i/>
          <w:iCs/>
          <w:sz w:val="22"/>
          <w:szCs w:val="22"/>
        </w:rPr>
        <w:t>Water, sanitation and hygiene: Why it matters</w:t>
      </w:r>
      <w:r w:rsidRPr="6738B21D">
        <w:rPr>
          <w:rFonts w:ascii="Arial" w:eastAsia="Arial" w:hAnsi="Arial" w:cs="Arial"/>
          <w:sz w:val="22"/>
          <w:szCs w:val="22"/>
        </w:rPr>
        <w:t xml:space="preserve">. Available at: </w:t>
      </w:r>
      <w:hyperlink r:id="rId35">
        <w:r w:rsidRPr="6738B21D">
          <w:rPr>
            <w:rStyle w:val="Hyperlink"/>
            <w:rFonts w:ascii="Arial" w:eastAsia="Arial" w:hAnsi="Arial" w:cs="Arial"/>
            <w:sz w:val="22"/>
            <w:szCs w:val="22"/>
          </w:rPr>
          <w:t>https://www.wateraid.org/uk</w:t>
        </w:r>
      </w:hyperlink>
      <w:r w:rsidRPr="6738B21D">
        <w:rPr>
          <w:rFonts w:ascii="Arial" w:eastAsia="Arial" w:hAnsi="Arial" w:cs="Arial"/>
          <w:sz w:val="22"/>
          <w:szCs w:val="22"/>
        </w:rPr>
        <w:t xml:space="preserve"> (Accessed: 27 Feb 2026).</w:t>
      </w:r>
    </w:p>
    <w:p w14:paraId="47000355" w14:textId="5C80AD8B"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WHO (2022) </w:t>
      </w:r>
      <w:r w:rsidRPr="6738B21D">
        <w:rPr>
          <w:rFonts w:ascii="Arial" w:eastAsia="Arial" w:hAnsi="Arial" w:cs="Arial"/>
          <w:i/>
          <w:iCs/>
          <w:sz w:val="22"/>
          <w:szCs w:val="22"/>
        </w:rPr>
        <w:t>Targets of sustainable development goal 3</w:t>
      </w:r>
      <w:r w:rsidRPr="6738B21D">
        <w:rPr>
          <w:rFonts w:ascii="Arial" w:eastAsia="Arial" w:hAnsi="Arial" w:cs="Arial"/>
          <w:sz w:val="22"/>
          <w:szCs w:val="22"/>
        </w:rPr>
        <w:t xml:space="preserve">. World Health Organisation. Available at: </w:t>
      </w:r>
      <w:hyperlink r:id="rId36">
        <w:r w:rsidRPr="6738B21D">
          <w:rPr>
            <w:rStyle w:val="Hyperlink"/>
            <w:rFonts w:ascii="Arial" w:eastAsia="Arial" w:hAnsi="Arial" w:cs="Arial"/>
            <w:sz w:val="22"/>
            <w:szCs w:val="22"/>
          </w:rPr>
          <w:t>https://www.who.int/europe/about-us/our-work/sustainable-development-goals/targets-of-sustainable-development-goal-3</w:t>
        </w:r>
      </w:hyperlink>
      <w:r w:rsidRPr="6738B21D">
        <w:rPr>
          <w:rFonts w:ascii="Arial" w:eastAsia="Arial" w:hAnsi="Arial" w:cs="Arial"/>
          <w:sz w:val="22"/>
          <w:szCs w:val="22"/>
        </w:rPr>
        <w:t xml:space="preserve"> (Accessed: 10 Feb 2026).</w:t>
      </w:r>
    </w:p>
    <w:p w14:paraId="09EED87E" w14:textId="641C614F" w:rsidR="00CF75FB" w:rsidRDefault="3854FCD1" w:rsidP="6738B21D">
      <w:pPr>
        <w:spacing w:before="240" w:after="240" w:line="360" w:lineRule="auto"/>
        <w:rPr>
          <w:rFonts w:ascii="Arial" w:eastAsia="Arial" w:hAnsi="Arial" w:cs="Arial"/>
          <w:sz w:val="22"/>
          <w:szCs w:val="22"/>
        </w:rPr>
      </w:pPr>
      <w:r w:rsidRPr="6738B21D">
        <w:rPr>
          <w:rFonts w:ascii="Arial" w:eastAsia="Arial" w:hAnsi="Arial" w:cs="Arial"/>
          <w:sz w:val="22"/>
          <w:szCs w:val="22"/>
        </w:rPr>
        <w:t xml:space="preserve">World Bank (2022) </w:t>
      </w:r>
      <w:r w:rsidRPr="6738B21D">
        <w:rPr>
          <w:rFonts w:ascii="Arial" w:eastAsia="Arial" w:hAnsi="Arial" w:cs="Arial"/>
          <w:i/>
          <w:iCs/>
          <w:sz w:val="22"/>
          <w:szCs w:val="22"/>
        </w:rPr>
        <w:t>Water: Overview</w:t>
      </w:r>
      <w:r w:rsidRPr="6738B21D">
        <w:rPr>
          <w:rFonts w:ascii="Arial" w:eastAsia="Arial" w:hAnsi="Arial" w:cs="Arial"/>
          <w:sz w:val="22"/>
          <w:szCs w:val="22"/>
        </w:rPr>
        <w:t xml:space="preserve">. Available at: </w:t>
      </w:r>
      <w:hyperlink r:id="rId37">
        <w:r w:rsidRPr="6738B21D">
          <w:rPr>
            <w:rStyle w:val="Hyperlink"/>
            <w:rFonts w:ascii="Arial" w:eastAsia="Arial" w:hAnsi="Arial" w:cs="Arial"/>
            <w:sz w:val="22"/>
            <w:szCs w:val="22"/>
          </w:rPr>
          <w:t>https://www.worldbank.org/en/topic/water</w:t>
        </w:r>
      </w:hyperlink>
      <w:r w:rsidRPr="6738B21D">
        <w:rPr>
          <w:rFonts w:ascii="Arial" w:eastAsia="Arial" w:hAnsi="Arial" w:cs="Arial"/>
          <w:sz w:val="22"/>
          <w:szCs w:val="22"/>
        </w:rPr>
        <w:t xml:space="preserve"> (Accessed: 26 Feb 2026).</w:t>
      </w:r>
    </w:p>
    <w:p w14:paraId="2BFC8E3D" w14:textId="5D328F3C" w:rsidR="00CF75FB" w:rsidRDefault="00CF75FB" w:rsidP="6738B21D">
      <w:pPr>
        <w:spacing w:line="360" w:lineRule="auto"/>
        <w:rPr>
          <w:rFonts w:ascii="Arial" w:eastAsia="Arial" w:hAnsi="Arial" w:cs="Arial"/>
          <w:sz w:val="40"/>
          <w:szCs w:val="40"/>
        </w:rPr>
      </w:pPr>
    </w:p>
    <w:p w14:paraId="5E9180EF" w14:textId="189B63D6" w:rsidR="00CF75FB" w:rsidRDefault="00CF75FB" w:rsidP="3D5E3244">
      <w:pPr>
        <w:spacing w:line="360" w:lineRule="auto"/>
        <w:rPr>
          <w:rFonts w:ascii="Arial" w:eastAsia="Arial" w:hAnsi="Arial" w:cs="Arial"/>
          <w:sz w:val="22"/>
          <w:szCs w:val="22"/>
        </w:rPr>
      </w:pPr>
    </w:p>
    <w:sectPr w:rsidR="00CF75FB">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15513" w14:textId="77777777" w:rsidR="00BE2131" w:rsidRDefault="00BE2131" w:rsidP="00272F52">
      <w:pPr>
        <w:spacing w:after="0" w:line="240" w:lineRule="auto"/>
      </w:pPr>
      <w:r>
        <w:separator/>
      </w:r>
    </w:p>
  </w:endnote>
  <w:endnote w:type="continuationSeparator" w:id="0">
    <w:p w14:paraId="2557FE8F" w14:textId="77777777" w:rsidR="00BE2131" w:rsidRDefault="00BE2131" w:rsidP="00272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C41CDFD" w14:paraId="35A739E8" w14:textId="77777777" w:rsidTr="3C41CDFD">
      <w:trPr>
        <w:trHeight w:val="300"/>
      </w:trPr>
      <w:tc>
        <w:tcPr>
          <w:tcW w:w="3005" w:type="dxa"/>
        </w:tcPr>
        <w:p w14:paraId="32F5C94A" w14:textId="3F15377C" w:rsidR="3C41CDFD" w:rsidRDefault="3C41CDFD" w:rsidP="3C41CDFD">
          <w:pPr>
            <w:pStyle w:val="Header"/>
            <w:ind w:left="-115"/>
          </w:pPr>
        </w:p>
      </w:tc>
      <w:tc>
        <w:tcPr>
          <w:tcW w:w="3005" w:type="dxa"/>
        </w:tcPr>
        <w:p w14:paraId="244581DB" w14:textId="1F8E219B" w:rsidR="3C41CDFD" w:rsidRDefault="3C41CDFD" w:rsidP="3C41CDFD">
          <w:pPr>
            <w:pStyle w:val="Header"/>
            <w:jc w:val="center"/>
          </w:pPr>
        </w:p>
      </w:tc>
      <w:tc>
        <w:tcPr>
          <w:tcW w:w="3005" w:type="dxa"/>
        </w:tcPr>
        <w:p w14:paraId="23F8BEBC" w14:textId="4BB14116" w:rsidR="3C41CDFD" w:rsidRDefault="3C41CDFD" w:rsidP="3C41CDFD">
          <w:pPr>
            <w:pStyle w:val="Header"/>
            <w:ind w:right="-115"/>
            <w:jc w:val="right"/>
          </w:pPr>
        </w:p>
      </w:tc>
    </w:tr>
  </w:tbl>
  <w:p w14:paraId="7FB55B7E" w14:textId="3FC65168" w:rsidR="00272F52" w:rsidRDefault="00272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54E8C" w14:textId="77777777" w:rsidR="00BE2131" w:rsidRDefault="00BE2131" w:rsidP="00272F52">
      <w:pPr>
        <w:spacing w:after="0" w:line="240" w:lineRule="auto"/>
      </w:pPr>
      <w:r>
        <w:separator/>
      </w:r>
    </w:p>
  </w:footnote>
  <w:footnote w:type="continuationSeparator" w:id="0">
    <w:p w14:paraId="5BFD1D97" w14:textId="77777777" w:rsidR="00BE2131" w:rsidRDefault="00BE2131" w:rsidP="00272F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C41CDFD" w14:paraId="29203294" w14:textId="77777777" w:rsidTr="3C41CDFD">
      <w:trPr>
        <w:trHeight w:val="300"/>
      </w:trPr>
      <w:tc>
        <w:tcPr>
          <w:tcW w:w="3005" w:type="dxa"/>
        </w:tcPr>
        <w:p w14:paraId="06CF9404" w14:textId="0C209F9B" w:rsidR="3C41CDFD" w:rsidRDefault="3C41CDFD" w:rsidP="3C41CDFD">
          <w:pPr>
            <w:pStyle w:val="Header"/>
            <w:ind w:left="-115"/>
          </w:pPr>
        </w:p>
      </w:tc>
      <w:tc>
        <w:tcPr>
          <w:tcW w:w="3005" w:type="dxa"/>
        </w:tcPr>
        <w:p w14:paraId="1A7D6D3B" w14:textId="3A4D2597" w:rsidR="3C41CDFD" w:rsidRDefault="3C41CDFD" w:rsidP="3C41CDFD">
          <w:pPr>
            <w:pStyle w:val="Header"/>
            <w:jc w:val="center"/>
          </w:pPr>
        </w:p>
      </w:tc>
      <w:tc>
        <w:tcPr>
          <w:tcW w:w="3005" w:type="dxa"/>
        </w:tcPr>
        <w:p w14:paraId="73B73080" w14:textId="7A968BE8" w:rsidR="3C41CDFD" w:rsidRDefault="3C41CDFD" w:rsidP="3C41CDFD">
          <w:pPr>
            <w:pStyle w:val="Header"/>
            <w:ind w:right="-115"/>
            <w:jc w:val="right"/>
          </w:pPr>
        </w:p>
      </w:tc>
    </w:tr>
  </w:tbl>
  <w:p w14:paraId="5A661222" w14:textId="1B493462" w:rsidR="00272F52" w:rsidRDefault="00272F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7A6E1"/>
    <w:multiLevelType w:val="hybridMultilevel"/>
    <w:tmpl w:val="FFFFFFFF"/>
    <w:lvl w:ilvl="0" w:tplc="49DC0AE0">
      <w:start w:val="1"/>
      <w:numFmt w:val="bullet"/>
      <w:lvlText w:val=""/>
      <w:lvlJc w:val="left"/>
      <w:pPr>
        <w:ind w:left="720" w:hanging="360"/>
      </w:pPr>
      <w:rPr>
        <w:rFonts w:ascii="Symbol" w:hAnsi="Symbol" w:hint="default"/>
      </w:rPr>
    </w:lvl>
    <w:lvl w:ilvl="1" w:tplc="9050DD0E">
      <w:start w:val="1"/>
      <w:numFmt w:val="bullet"/>
      <w:lvlText w:val="o"/>
      <w:lvlJc w:val="left"/>
      <w:pPr>
        <w:ind w:left="1440" w:hanging="360"/>
      </w:pPr>
      <w:rPr>
        <w:rFonts w:ascii="Courier New" w:hAnsi="Courier New" w:hint="default"/>
      </w:rPr>
    </w:lvl>
    <w:lvl w:ilvl="2" w:tplc="0E8EC564">
      <w:start w:val="1"/>
      <w:numFmt w:val="bullet"/>
      <w:lvlText w:val=""/>
      <w:lvlJc w:val="left"/>
      <w:pPr>
        <w:ind w:left="2160" w:hanging="360"/>
      </w:pPr>
      <w:rPr>
        <w:rFonts w:ascii="Wingdings" w:hAnsi="Wingdings" w:hint="default"/>
      </w:rPr>
    </w:lvl>
    <w:lvl w:ilvl="3" w:tplc="3B769782">
      <w:start w:val="1"/>
      <w:numFmt w:val="bullet"/>
      <w:lvlText w:val=""/>
      <w:lvlJc w:val="left"/>
      <w:pPr>
        <w:ind w:left="2880" w:hanging="360"/>
      </w:pPr>
      <w:rPr>
        <w:rFonts w:ascii="Symbol" w:hAnsi="Symbol" w:hint="default"/>
      </w:rPr>
    </w:lvl>
    <w:lvl w:ilvl="4" w:tplc="EE3E778E">
      <w:start w:val="1"/>
      <w:numFmt w:val="bullet"/>
      <w:lvlText w:val="o"/>
      <w:lvlJc w:val="left"/>
      <w:pPr>
        <w:ind w:left="3600" w:hanging="360"/>
      </w:pPr>
      <w:rPr>
        <w:rFonts w:ascii="Courier New" w:hAnsi="Courier New" w:hint="default"/>
      </w:rPr>
    </w:lvl>
    <w:lvl w:ilvl="5" w:tplc="00AABAD8">
      <w:start w:val="1"/>
      <w:numFmt w:val="bullet"/>
      <w:lvlText w:val=""/>
      <w:lvlJc w:val="left"/>
      <w:pPr>
        <w:ind w:left="4320" w:hanging="360"/>
      </w:pPr>
      <w:rPr>
        <w:rFonts w:ascii="Wingdings" w:hAnsi="Wingdings" w:hint="default"/>
      </w:rPr>
    </w:lvl>
    <w:lvl w:ilvl="6" w:tplc="9B3EFEB6">
      <w:start w:val="1"/>
      <w:numFmt w:val="bullet"/>
      <w:lvlText w:val=""/>
      <w:lvlJc w:val="left"/>
      <w:pPr>
        <w:ind w:left="5040" w:hanging="360"/>
      </w:pPr>
      <w:rPr>
        <w:rFonts w:ascii="Symbol" w:hAnsi="Symbol" w:hint="default"/>
      </w:rPr>
    </w:lvl>
    <w:lvl w:ilvl="7" w:tplc="16481334">
      <w:start w:val="1"/>
      <w:numFmt w:val="bullet"/>
      <w:lvlText w:val="o"/>
      <w:lvlJc w:val="left"/>
      <w:pPr>
        <w:ind w:left="5760" w:hanging="360"/>
      </w:pPr>
      <w:rPr>
        <w:rFonts w:ascii="Courier New" w:hAnsi="Courier New" w:hint="default"/>
      </w:rPr>
    </w:lvl>
    <w:lvl w:ilvl="8" w:tplc="1C568216">
      <w:start w:val="1"/>
      <w:numFmt w:val="bullet"/>
      <w:lvlText w:val=""/>
      <w:lvlJc w:val="left"/>
      <w:pPr>
        <w:ind w:left="6480" w:hanging="360"/>
      </w:pPr>
      <w:rPr>
        <w:rFonts w:ascii="Wingdings" w:hAnsi="Wingdings" w:hint="default"/>
      </w:rPr>
    </w:lvl>
  </w:abstractNum>
  <w:abstractNum w:abstractNumId="1" w15:restartNumberingAfterBreak="0">
    <w:nsid w:val="0754B252"/>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BE577A3"/>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2216D6E"/>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5A4B08F"/>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2B56B1CF"/>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2B944E20"/>
    <w:multiLevelType w:val="hybridMultilevel"/>
    <w:tmpl w:val="FFFFFFFF"/>
    <w:lvl w:ilvl="0" w:tplc="21A050D0">
      <w:start w:val="1"/>
      <w:numFmt w:val="bullet"/>
      <w:lvlText w:val=""/>
      <w:lvlJc w:val="left"/>
      <w:pPr>
        <w:ind w:left="720" w:hanging="360"/>
      </w:pPr>
      <w:rPr>
        <w:rFonts w:ascii="Symbol" w:hAnsi="Symbol" w:hint="default"/>
      </w:rPr>
    </w:lvl>
    <w:lvl w:ilvl="1" w:tplc="89EA3EA2">
      <w:start w:val="1"/>
      <w:numFmt w:val="bullet"/>
      <w:lvlText w:val="o"/>
      <w:lvlJc w:val="left"/>
      <w:pPr>
        <w:ind w:left="1440" w:hanging="360"/>
      </w:pPr>
      <w:rPr>
        <w:rFonts w:ascii="Courier New" w:hAnsi="Courier New" w:hint="default"/>
      </w:rPr>
    </w:lvl>
    <w:lvl w:ilvl="2" w:tplc="583EC028">
      <w:start w:val="1"/>
      <w:numFmt w:val="bullet"/>
      <w:lvlText w:val=""/>
      <w:lvlJc w:val="left"/>
      <w:pPr>
        <w:ind w:left="2160" w:hanging="360"/>
      </w:pPr>
      <w:rPr>
        <w:rFonts w:ascii="Wingdings" w:hAnsi="Wingdings" w:hint="default"/>
      </w:rPr>
    </w:lvl>
    <w:lvl w:ilvl="3" w:tplc="4FC2166A">
      <w:start w:val="1"/>
      <w:numFmt w:val="bullet"/>
      <w:lvlText w:val=""/>
      <w:lvlJc w:val="left"/>
      <w:pPr>
        <w:ind w:left="2880" w:hanging="360"/>
      </w:pPr>
      <w:rPr>
        <w:rFonts w:ascii="Symbol" w:hAnsi="Symbol" w:hint="default"/>
      </w:rPr>
    </w:lvl>
    <w:lvl w:ilvl="4" w:tplc="468A77E0">
      <w:start w:val="1"/>
      <w:numFmt w:val="bullet"/>
      <w:lvlText w:val="o"/>
      <w:lvlJc w:val="left"/>
      <w:pPr>
        <w:ind w:left="3600" w:hanging="360"/>
      </w:pPr>
      <w:rPr>
        <w:rFonts w:ascii="Courier New" w:hAnsi="Courier New" w:hint="default"/>
      </w:rPr>
    </w:lvl>
    <w:lvl w:ilvl="5" w:tplc="5B72BBA2">
      <w:start w:val="1"/>
      <w:numFmt w:val="bullet"/>
      <w:lvlText w:val=""/>
      <w:lvlJc w:val="left"/>
      <w:pPr>
        <w:ind w:left="4320" w:hanging="360"/>
      </w:pPr>
      <w:rPr>
        <w:rFonts w:ascii="Wingdings" w:hAnsi="Wingdings" w:hint="default"/>
      </w:rPr>
    </w:lvl>
    <w:lvl w:ilvl="6" w:tplc="B268E398">
      <w:start w:val="1"/>
      <w:numFmt w:val="bullet"/>
      <w:lvlText w:val=""/>
      <w:lvlJc w:val="left"/>
      <w:pPr>
        <w:ind w:left="5040" w:hanging="360"/>
      </w:pPr>
      <w:rPr>
        <w:rFonts w:ascii="Symbol" w:hAnsi="Symbol" w:hint="default"/>
      </w:rPr>
    </w:lvl>
    <w:lvl w:ilvl="7" w:tplc="C0925D08">
      <w:start w:val="1"/>
      <w:numFmt w:val="bullet"/>
      <w:lvlText w:val="o"/>
      <w:lvlJc w:val="left"/>
      <w:pPr>
        <w:ind w:left="5760" w:hanging="360"/>
      </w:pPr>
      <w:rPr>
        <w:rFonts w:ascii="Courier New" w:hAnsi="Courier New" w:hint="default"/>
      </w:rPr>
    </w:lvl>
    <w:lvl w:ilvl="8" w:tplc="59428BA0">
      <w:start w:val="1"/>
      <w:numFmt w:val="bullet"/>
      <w:lvlText w:val=""/>
      <w:lvlJc w:val="left"/>
      <w:pPr>
        <w:ind w:left="6480" w:hanging="360"/>
      </w:pPr>
      <w:rPr>
        <w:rFonts w:ascii="Wingdings" w:hAnsi="Wingdings" w:hint="default"/>
      </w:rPr>
    </w:lvl>
  </w:abstractNum>
  <w:abstractNum w:abstractNumId="7" w15:restartNumberingAfterBreak="0">
    <w:nsid w:val="4CA47A36"/>
    <w:multiLevelType w:val="hybridMultilevel"/>
    <w:tmpl w:val="FFFFFFFF"/>
    <w:lvl w:ilvl="0" w:tplc="52C6E09A">
      <w:start w:val="1"/>
      <w:numFmt w:val="bullet"/>
      <w:lvlText w:val=""/>
      <w:lvlJc w:val="left"/>
      <w:pPr>
        <w:ind w:left="720" w:hanging="360"/>
      </w:pPr>
      <w:rPr>
        <w:rFonts w:ascii="Symbol" w:hAnsi="Symbol" w:hint="default"/>
      </w:rPr>
    </w:lvl>
    <w:lvl w:ilvl="1" w:tplc="23D89A3C">
      <w:start w:val="1"/>
      <w:numFmt w:val="bullet"/>
      <w:lvlText w:val="o"/>
      <w:lvlJc w:val="left"/>
      <w:pPr>
        <w:ind w:left="1440" w:hanging="360"/>
      </w:pPr>
      <w:rPr>
        <w:rFonts w:ascii="Courier New" w:hAnsi="Courier New" w:hint="default"/>
      </w:rPr>
    </w:lvl>
    <w:lvl w:ilvl="2" w:tplc="787C9978">
      <w:start w:val="1"/>
      <w:numFmt w:val="bullet"/>
      <w:lvlText w:val=""/>
      <w:lvlJc w:val="left"/>
      <w:pPr>
        <w:ind w:left="2160" w:hanging="360"/>
      </w:pPr>
      <w:rPr>
        <w:rFonts w:ascii="Wingdings" w:hAnsi="Wingdings" w:hint="default"/>
      </w:rPr>
    </w:lvl>
    <w:lvl w:ilvl="3" w:tplc="3B40810A">
      <w:start w:val="1"/>
      <w:numFmt w:val="bullet"/>
      <w:lvlText w:val=""/>
      <w:lvlJc w:val="left"/>
      <w:pPr>
        <w:ind w:left="2880" w:hanging="360"/>
      </w:pPr>
      <w:rPr>
        <w:rFonts w:ascii="Symbol" w:hAnsi="Symbol" w:hint="default"/>
      </w:rPr>
    </w:lvl>
    <w:lvl w:ilvl="4" w:tplc="F7E01338">
      <w:start w:val="1"/>
      <w:numFmt w:val="bullet"/>
      <w:lvlText w:val="o"/>
      <w:lvlJc w:val="left"/>
      <w:pPr>
        <w:ind w:left="3600" w:hanging="360"/>
      </w:pPr>
      <w:rPr>
        <w:rFonts w:ascii="Courier New" w:hAnsi="Courier New" w:hint="default"/>
      </w:rPr>
    </w:lvl>
    <w:lvl w:ilvl="5" w:tplc="BAB412CC">
      <w:start w:val="1"/>
      <w:numFmt w:val="bullet"/>
      <w:lvlText w:val=""/>
      <w:lvlJc w:val="left"/>
      <w:pPr>
        <w:ind w:left="4320" w:hanging="360"/>
      </w:pPr>
      <w:rPr>
        <w:rFonts w:ascii="Wingdings" w:hAnsi="Wingdings" w:hint="default"/>
      </w:rPr>
    </w:lvl>
    <w:lvl w:ilvl="6" w:tplc="88FE13D0">
      <w:start w:val="1"/>
      <w:numFmt w:val="bullet"/>
      <w:lvlText w:val=""/>
      <w:lvlJc w:val="left"/>
      <w:pPr>
        <w:ind w:left="5040" w:hanging="360"/>
      </w:pPr>
      <w:rPr>
        <w:rFonts w:ascii="Symbol" w:hAnsi="Symbol" w:hint="default"/>
      </w:rPr>
    </w:lvl>
    <w:lvl w:ilvl="7" w:tplc="544EC2DE">
      <w:start w:val="1"/>
      <w:numFmt w:val="bullet"/>
      <w:lvlText w:val="o"/>
      <w:lvlJc w:val="left"/>
      <w:pPr>
        <w:ind w:left="5760" w:hanging="360"/>
      </w:pPr>
      <w:rPr>
        <w:rFonts w:ascii="Courier New" w:hAnsi="Courier New" w:hint="default"/>
      </w:rPr>
    </w:lvl>
    <w:lvl w:ilvl="8" w:tplc="4C3E67B4">
      <w:start w:val="1"/>
      <w:numFmt w:val="bullet"/>
      <w:lvlText w:val=""/>
      <w:lvlJc w:val="left"/>
      <w:pPr>
        <w:ind w:left="6480" w:hanging="360"/>
      </w:pPr>
      <w:rPr>
        <w:rFonts w:ascii="Wingdings" w:hAnsi="Wingdings" w:hint="default"/>
      </w:rPr>
    </w:lvl>
  </w:abstractNum>
  <w:abstractNum w:abstractNumId="8" w15:restartNumberingAfterBreak="0">
    <w:nsid w:val="4CD722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678B44"/>
    <w:multiLevelType w:val="hybridMultilevel"/>
    <w:tmpl w:val="FFFFFFFF"/>
    <w:lvl w:ilvl="0" w:tplc="8A78A3FA">
      <w:start w:val="1"/>
      <w:numFmt w:val="bullet"/>
      <w:lvlText w:val=""/>
      <w:lvlJc w:val="left"/>
      <w:pPr>
        <w:ind w:left="720" w:hanging="360"/>
      </w:pPr>
      <w:rPr>
        <w:rFonts w:ascii="Wingdings" w:hAnsi="Wingdings" w:hint="default"/>
      </w:rPr>
    </w:lvl>
    <w:lvl w:ilvl="1" w:tplc="317E2B10">
      <w:start w:val="1"/>
      <w:numFmt w:val="bullet"/>
      <w:lvlText w:val="o"/>
      <w:lvlJc w:val="left"/>
      <w:pPr>
        <w:ind w:left="1440" w:hanging="360"/>
      </w:pPr>
      <w:rPr>
        <w:rFonts w:ascii="Courier New" w:hAnsi="Courier New" w:hint="default"/>
      </w:rPr>
    </w:lvl>
    <w:lvl w:ilvl="2" w:tplc="91529C4A">
      <w:start w:val="1"/>
      <w:numFmt w:val="bullet"/>
      <w:lvlText w:val=""/>
      <w:lvlJc w:val="left"/>
      <w:pPr>
        <w:ind w:left="2160" w:hanging="360"/>
      </w:pPr>
      <w:rPr>
        <w:rFonts w:ascii="Wingdings" w:hAnsi="Wingdings" w:hint="default"/>
      </w:rPr>
    </w:lvl>
    <w:lvl w:ilvl="3" w:tplc="3A16E51C">
      <w:start w:val="1"/>
      <w:numFmt w:val="bullet"/>
      <w:lvlText w:val=""/>
      <w:lvlJc w:val="left"/>
      <w:pPr>
        <w:ind w:left="2880" w:hanging="360"/>
      </w:pPr>
      <w:rPr>
        <w:rFonts w:ascii="Symbol" w:hAnsi="Symbol" w:hint="default"/>
      </w:rPr>
    </w:lvl>
    <w:lvl w:ilvl="4" w:tplc="EB7482AE">
      <w:start w:val="1"/>
      <w:numFmt w:val="bullet"/>
      <w:lvlText w:val="o"/>
      <w:lvlJc w:val="left"/>
      <w:pPr>
        <w:ind w:left="3600" w:hanging="360"/>
      </w:pPr>
      <w:rPr>
        <w:rFonts w:ascii="Courier New" w:hAnsi="Courier New" w:hint="default"/>
      </w:rPr>
    </w:lvl>
    <w:lvl w:ilvl="5" w:tplc="F4F889D4">
      <w:start w:val="1"/>
      <w:numFmt w:val="bullet"/>
      <w:lvlText w:val=""/>
      <w:lvlJc w:val="left"/>
      <w:pPr>
        <w:ind w:left="4320" w:hanging="360"/>
      </w:pPr>
      <w:rPr>
        <w:rFonts w:ascii="Wingdings" w:hAnsi="Wingdings" w:hint="default"/>
      </w:rPr>
    </w:lvl>
    <w:lvl w:ilvl="6" w:tplc="EC5C48E2">
      <w:start w:val="1"/>
      <w:numFmt w:val="bullet"/>
      <w:lvlText w:val=""/>
      <w:lvlJc w:val="left"/>
      <w:pPr>
        <w:ind w:left="5040" w:hanging="360"/>
      </w:pPr>
      <w:rPr>
        <w:rFonts w:ascii="Symbol" w:hAnsi="Symbol" w:hint="default"/>
      </w:rPr>
    </w:lvl>
    <w:lvl w:ilvl="7" w:tplc="6BE0CD58">
      <w:start w:val="1"/>
      <w:numFmt w:val="bullet"/>
      <w:lvlText w:val="o"/>
      <w:lvlJc w:val="left"/>
      <w:pPr>
        <w:ind w:left="5760" w:hanging="360"/>
      </w:pPr>
      <w:rPr>
        <w:rFonts w:ascii="Courier New" w:hAnsi="Courier New" w:hint="default"/>
      </w:rPr>
    </w:lvl>
    <w:lvl w:ilvl="8" w:tplc="62A4864E">
      <w:start w:val="1"/>
      <w:numFmt w:val="bullet"/>
      <w:lvlText w:val=""/>
      <w:lvlJc w:val="left"/>
      <w:pPr>
        <w:ind w:left="6480" w:hanging="360"/>
      </w:pPr>
      <w:rPr>
        <w:rFonts w:ascii="Wingdings" w:hAnsi="Wingdings" w:hint="default"/>
      </w:rPr>
    </w:lvl>
  </w:abstractNum>
  <w:abstractNum w:abstractNumId="10" w15:restartNumberingAfterBreak="0">
    <w:nsid w:val="511363B3"/>
    <w:multiLevelType w:val="hybridMultilevel"/>
    <w:tmpl w:val="FFFFFFFF"/>
    <w:lvl w:ilvl="0" w:tplc="6B6ECB42">
      <w:start w:val="1"/>
      <w:numFmt w:val="bullet"/>
      <w:lvlText w:val=""/>
      <w:lvlJc w:val="left"/>
      <w:pPr>
        <w:ind w:left="720" w:hanging="360"/>
      </w:pPr>
      <w:rPr>
        <w:rFonts w:ascii="Symbol" w:hAnsi="Symbol" w:hint="default"/>
      </w:rPr>
    </w:lvl>
    <w:lvl w:ilvl="1" w:tplc="2AB84194">
      <w:start w:val="1"/>
      <w:numFmt w:val="bullet"/>
      <w:lvlText w:val="o"/>
      <w:lvlJc w:val="left"/>
      <w:pPr>
        <w:ind w:left="1440" w:hanging="360"/>
      </w:pPr>
      <w:rPr>
        <w:rFonts w:ascii="Courier New" w:hAnsi="Courier New" w:hint="default"/>
      </w:rPr>
    </w:lvl>
    <w:lvl w:ilvl="2" w:tplc="39143DD6">
      <w:start w:val="1"/>
      <w:numFmt w:val="bullet"/>
      <w:lvlText w:val=""/>
      <w:lvlJc w:val="left"/>
      <w:pPr>
        <w:ind w:left="2160" w:hanging="360"/>
      </w:pPr>
      <w:rPr>
        <w:rFonts w:ascii="Wingdings" w:hAnsi="Wingdings" w:hint="default"/>
      </w:rPr>
    </w:lvl>
    <w:lvl w:ilvl="3" w:tplc="B9A2F094">
      <w:start w:val="1"/>
      <w:numFmt w:val="bullet"/>
      <w:lvlText w:val=""/>
      <w:lvlJc w:val="left"/>
      <w:pPr>
        <w:ind w:left="2880" w:hanging="360"/>
      </w:pPr>
      <w:rPr>
        <w:rFonts w:ascii="Symbol" w:hAnsi="Symbol" w:hint="default"/>
      </w:rPr>
    </w:lvl>
    <w:lvl w:ilvl="4" w:tplc="0F0C9340">
      <w:start w:val="1"/>
      <w:numFmt w:val="bullet"/>
      <w:lvlText w:val="o"/>
      <w:lvlJc w:val="left"/>
      <w:pPr>
        <w:ind w:left="3600" w:hanging="360"/>
      </w:pPr>
      <w:rPr>
        <w:rFonts w:ascii="Courier New" w:hAnsi="Courier New" w:hint="default"/>
      </w:rPr>
    </w:lvl>
    <w:lvl w:ilvl="5" w:tplc="A1A81498">
      <w:start w:val="1"/>
      <w:numFmt w:val="bullet"/>
      <w:lvlText w:val=""/>
      <w:lvlJc w:val="left"/>
      <w:pPr>
        <w:ind w:left="4320" w:hanging="360"/>
      </w:pPr>
      <w:rPr>
        <w:rFonts w:ascii="Wingdings" w:hAnsi="Wingdings" w:hint="default"/>
      </w:rPr>
    </w:lvl>
    <w:lvl w:ilvl="6" w:tplc="608EC560">
      <w:start w:val="1"/>
      <w:numFmt w:val="bullet"/>
      <w:lvlText w:val=""/>
      <w:lvlJc w:val="left"/>
      <w:pPr>
        <w:ind w:left="5040" w:hanging="360"/>
      </w:pPr>
      <w:rPr>
        <w:rFonts w:ascii="Symbol" w:hAnsi="Symbol" w:hint="default"/>
      </w:rPr>
    </w:lvl>
    <w:lvl w:ilvl="7" w:tplc="6D2EFC02">
      <w:start w:val="1"/>
      <w:numFmt w:val="bullet"/>
      <w:lvlText w:val="o"/>
      <w:lvlJc w:val="left"/>
      <w:pPr>
        <w:ind w:left="5760" w:hanging="360"/>
      </w:pPr>
      <w:rPr>
        <w:rFonts w:ascii="Courier New" w:hAnsi="Courier New" w:hint="default"/>
      </w:rPr>
    </w:lvl>
    <w:lvl w:ilvl="8" w:tplc="9CE6CC46">
      <w:start w:val="1"/>
      <w:numFmt w:val="bullet"/>
      <w:lvlText w:val=""/>
      <w:lvlJc w:val="left"/>
      <w:pPr>
        <w:ind w:left="6480" w:hanging="360"/>
      </w:pPr>
      <w:rPr>
        <w:rFonts w:ascii="Wingdings" w:hAnsi="Wingdings" w:hint="default"/>
      </w:rPr>
    </w:lvl>
  </w:abstractNum>
  <w:abstractNum w:abstractNumId="11" w15:restartNumberingAfterBreak="0">
    <w:nsid w:val="53E5787F"/>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56785587"/>
    <w:multiLevelType w:val="hybridMultilevel"/>
    <w:tmpl w:val="FFFFFFFF"/>
    <w:lvl w:ilvl="0" w:tplc="69460652">
      <w:start w:val="1"/>
      <w:numFmt w:val="bullet"/>
      <w:lvlText w:val=""/>
      <w:lvlJc w:val="left"/>
      <w:pPr>
        <w:ind w:left="720" w:hanging="360"/>
      </w:pPr>
      <w:rPr>
        <w:rFonts w:ascii="Symbol" w:hAnsi="Symbol" w:hint="default"/>
      </w:rPr>
    </w:lvl>
    <w:lvl w:ilvl="1" w:tplc="F100565C">
      <w:start w:val="1"/>
      <w:numFmt w:val="bullet"/>
      <w:lvlText w:val="o"/>
      <w:lvlJc w:val="left"/>
      <w:pPr>
        <w:ind w:left="1440" w:hanging="360"/>
      </w:pPr>
      <w:rPr>
        <w:rFonts w:ascii="Courier New" w:hAnsi="Courier New" w:hint="default"/>
      </w:rPr>
    </w:lvl>
    <w:lvl w:ilvl="2" w:tplc="8A44EDB4">
      <w:start w:val="1"/>
      <w:numFmt w:val="bullet"/>
      <w:lvlText w:val=""/>
      <w:lvlJc w:val="left"/>
      <w:pPr>
        <w:ind w:left="2160" w:hanging="360"/>
      </w:pPr>
      <w:rPr>
        <w:rFonts w:ascii="Wingdings" w:hAnsi="Wingdings" w:hint="default"/>
      </w:rPr>
    </w:lvl>
    <w:lvl w:ilvl="3" w:tplc="B3345CFA">
      <w:start w:val="1"/>
      <w:numFmt w:val="bullet"/>
      <w:lvlText w:val=""/>
      <w:lvlJc w:val="left"/>
      <w:pPr>
        <w:ind w:left="2880" w:hanging="360"/>
      </w:pPr>
      <w:rPr>
        <w:rFonts w:ascii="Symbol" w:hAnsi="Symbol" w:hint="default"/>
      </w:rPr>
    </w:lvl>
    <w:lvl w:ilvl="4" w:tplc="45845A6E">
      <w:start w:val="1"/>
      <w:numFmt w:val="bullet"/>
      <w:lvlText w:val="o"/>
      <w:lvlJc w:val="left"/>
      <w:pPr>
        <w:ind w:left="3600" w:hanging="360"/>
      </w:pPr>
      <w:rPr>
        <w:rFonts w:ascii="Courier New" w:hAnsi="Courier New" w:hint="default"/>
      </w:rPr>
    </w:lvl>
    <w:lvl w:ilvl="5" w:tplc="C8A0474A">
      <w:start w:val="1"/>
      <w:numFmt w:val="bullet"/>
      <w:lvlText w:val=""/>
      <w:lvlJc w:val="left"/>
      <w:pPr>
        <w:ind w:left="4320" w:hanging="360"/>
      </w:pPr>
      <w:rPr>
        <w:rFonts w:ascii="Wingdings" w:hAnsi="Wingdings" w:hint="default"/>
      </w:rPr>
    </w:lvl>
    <w:lvl w:ilvl="6" w:tplc="762AABAC">
      <w:start w:val="1"/>
      <w:numFmt w:val="bullet"/>
      <w:lvlText w:val=""/>
      <w:lvlJc w:val="left"/>
      <w:pPr>
        <w:ind w:left="5040" w:hanging="360"/>
      </w:pPr>
      <w:rPr>
        <w:rFonts w:ascii="Symbol" w:hAnsi="Symbol" w:hint="default"/>
      </w:rPr>
    </w:lvl>
    <w:lvl w:ilvl="7" w:tplc="60725510">
      <w:start w:val="1"/>
      <w:numFmt w:val="bullet"/>
      <w:lvlText w:val="o"/>
      <w:lvlJc w:val="left"/>
      <w:pPr>
        <w:ind w:left="5760" w:hanging="360"/>
      </w:pPr>
      <w:rPr>
        <w:rFonts w:ascii="Courier New" w:hAnsi="Courier New" w:hint="default"/>
      </w:rPr>
    </w:lvl>
    <w:lvl w:ilvl="8" w:tplc="9A1A4FC2">
      <w:start w:val="1"/>
      <w:numFmt w:val="bullet"/>
      <w:lvlText w:val=""/>
      <w:lvlJc w:val="left"/>
      <w:pPr>
        <w:ind w:left="6480" w:hanging="360"/>
      </w:pPr>
      <w:rPr>
        <w:rFonts w:ascii="Wingdings" w:hAnsi="Wingdings" w:hint="default"/>
      </w:rPr>
    </w:lvl>
  </w:abstractNum>
  <w:abstractNum w:abstractNumId="13" w15:restartNumberingAfterBreak="0">
    <w:nsid w:val="5C9166BC"/>
    <w:multiLevelType w:val="hybridMultilevel"/>
    <w:tmpl w:val="FFFFFFFF"/>
    <w:lvl w:ilvl="0" w:tplc="989892A4">
      <w:start w:val="1"/>
      <w:numFmt w:val="bullet"/>
      <w:lvlText w:val=""/>
      <w:lvlJc w:val="left"/>
      <w:pPr>
        <w:ind w:left="720" w:hanging="360"/>
      </w:pPr>
      <w:rPr>
        <w:rFonts w:ascii="Symbol" w:hAnsi="Symbol" w:hint="default"/>
      </w:rPr>
    </w:lvl>
    <w:lvl w:ilvl="1" w:tplc="27401C52">
      <w:start w:val="1"/>
      <w:numFmt w:val="bullet"/>
      <w:lvlText w:val="o"/>
      <w:lvlJc w:val="left"/>
      <w:pPr>
        <w:ind w:left="1440" w:hanging="360"/>
      </w:pPr>
      <w:rPr>
        <w:rFonts w:ascii="Courier New" w:hAnsi="Courier New" w:hint="default"/>
      </w:rPr>
    </w:lvl>
    <w:lvl w:ilvl="2" w:tplc="BBC04C8E">
      <w:start w:val="1"/>
      <w:numFmt w:val="bullet"/>
      <w:lvlText w:val=""/>
      <w:lvlJc w:val="left"/>
      <w:pPr>
        <w:ind w:left="2160" w:hanging="360"/>
      </w:pPr>
      <w:rPr>
        <w:rFonts w:ascii="Wingdings" w:hAnsi="Wingdings" w:hint="default"/>
      </w:rPr>
    </w:lvl>
    <w:lvl w:ilvl="3" w:tplc="54B65F2A">
      <w:start w:val="1"/>
      <w:numFmt w:val="bullet"/>
      <w:lvlText w:val=""/>
      <w:lvlJc w:val="left"/>
      <w:pPr>
        <w:ind w:left="2880" w:hanging="360"/>
      </w:pPr>
      <w:rPr>
        <w:rFonts w:ascii="Symbol" w:hAnsi="Symbol" w:hint="default"/>
      </w:rPr>
    </w:lvl>
    <w:lvl w:ilvl="4" w:tplc="2772B412">
      <w:start w:val="1"/>
      <w:numFmt w:val="bullet"/>
      <w:lvlText w:val="o"/>
      <w:lvlJc w:val="left"/>
      <w:pPr>
        <w:ind w:left="3600" w:hanging="360"/>
      </w:pPr>
      <w:rPr>
        <w:rFonts w:ascii="Courier New" w:hAnsi="Courier New" w:hint="default"/>
      </w:rPr>
    </w:lvl>
    <w:lvl w:ilvl="5" w:tplc="B8AAC66E">
      <w:start w:val="1"/>
      <w:numFmt w:val="bullet"/>
      <w:lvlText w:val=""/>
      <w:lvlJc w:val="left"/>
      <w:pPr>
        <w:ind w:left="4320" w:hanging="360"/>
      </w:pPr>
      <w:rPr>
        <w:rFonts w:ascii="Wingdings" w:hAnsi="Wingdings" w:hint="default"/>
      </w:rPr>
    </w:lvl>
    <w:lvl w:ilvl="6" w:tplc="FF6A2C7C">
      <w:start w:val="1"/>
      <w:numFmt w:val="bullet"/>
      <w:lvlText w:val=""/>
      <w:lvlJc w:val="left"/>
      <w:pPr>
        <w:ind w:left="5040" w:hanging="360"/>
      </w:pPr>
      <w:rPr>
        <w:rFonts w:ascii="Symbol" w:hAnsi="Symbol" w:hint="default"/>
      </w:rPr>
    </w:lvl>
    <w:lvl w:ilvl="7" w:tplc="E7D09562">
      <w:start w:val="1"/>
      <w:numFmt w:val="bullet"/>
      <w:lvlText w:val="o"/>
      <w:lvlJc w:val="left"/>
      <w:pPr>
        <w:ind w:left="5760" w:hanging="360"/>
      </w:pPr>
      <w:rPr>
        <w:rFonts w:ascii="Courier New" w:hAnsi="Courier New" w:hint="default"/>
      </w:rPr>
    </w:lvl>
    <w:lvl w:ilvl="8" w:tplc="6D8AD264">
      <w:start w:val="1"/>
      <w:numFmt w:val="bullet"/>
      <w:lvlText w:val=""/>
      <w:lvlJc w:val="left"/>
      <w:pPr>
        <w:ind w:left="6480" w:hanging="360"/>
      </w:pPr>
      <w:rPr>
        <w:rFonts w:ascii="Wingdings" w:hAnsi="Wingdings" w:hint="default"/>
      </w:rPr>
    </w:lvl>
  </w:abstractNum>
  <w:abstractNum w:abstractNumId="14" w15:restartNumberingAfterBreak="0">
    <w:nsid w:val="5F3BD2A4"/>
    <w:multiLevelType w:val="hybridMultilevel"/>
    <w:tmpl w:val="FFFFFFFF"/>
    <w:lvl w:ilvl="0" w:tplc="F5FAFE34">
      <w:start w:val="1"/>
      <w:numFmt w:val="bullet"/>
      <w:lvlText w:val=""/>
      <w:lvlJc w:val="left"/>
      <w:pPr>
        <w:ind w:left="720" w:hanging="360"/>
      </w:pPr>
      <w:rPr>
        <w:rFonts w:ascii="Symbol" w:hAnsi="Symbol" w:hint="default"/>
      </w:rPr>
    </w:lvl>
    <w:lvl w:ilvl="1" w:tplc="D4AC7B2E">
      <w:start w:val="1"/>
      <w:numFmt w:val="bullet"/>
      <w:lvlText w:val="o"/>
      <w:lvlJc w:val="left"/>
      <w:pPr>
        <w:ind w:left="1440" w:hanging="360"/>
      </w:pPr>
      <w:rPr>
        <w:rFonts w:ascii="Courier New" w:hAnsi="Courier New" w:hint="default"/>
      </w:rPr>
    </w:lvl>
    <w:lvl w:ilvl="2" w:tplc="112E564E">
      <w:start w:val="1"/>
      <w:numFmt w:val="bullet"/>
      <w:lvlText w:val=""/>
      <w:lvlJc w:val="left"/>
      <w:pPr>
        <w:ind w:left="2160" w:hanging="360"/>
      </w:pPr>
      <w:rPr>
        <w:rFonts w:ascii="Wingdings" w:hAnsi="Wingdings" w:hint="default"/>
      </w:rPr>
    </w:lvl>
    <w:lvl w:ilvl="3" w:tplc="468CBBAA">
      <w:start w:val="1"/>
      <w:numFmt w:val="bullet"/>
      <w:lvlText w:val=""/>
      <w:lvlJc w:val="left"/>
      <w:pPr>
        <w:ind w:left="2880" w:hanging="360"/>
      </w:pPr>
      <w:rPr>
        <w:rFonts w:ascii="Symbol" w:hAnsi="Symbol" w:hint="default"/>
      </w:rPr>
    </w:lvl>
    <w:lvl w:ilvl="4" w:tplc="F6D02580">
      <w:start w:val="1"/>
      <w:numFmt w:val="bullet"/>
      <w:lvlText w:val="o"/>
      <w:lvlJc w:val="left"/>
      <w:pPr>
        <w:ind w:left="3600" w:hanging="360"/>
      </w:pPr>
      <w:rPr>
        <w:rFonts w:ascii="Courier New" w:hAnsi="Courier New" w:hint="default"/>
      </w:rPr>
    </w:lvl>
    <w:lvl w:ilvl="5" w:tplc="0AAA90CC">
      <w:start w:val="1"/>
      <w:numFmt w:val="bullet"/>
      <w:lvlText w:val=""/>
      <w:lvlJc w:val="left"/>
      <w:pPr>
        <w:ind w:left="4320" w:hanging="360"/>
      </w:pPr>
      <w:rPr>
        <w:rFonts w:ascii="Wingdings" w:hAnsi="Wingdings" w:hint="default"/>
      </w:rPr>
    </w:lvl>
    <w:lvl w:ilvl="6" w:tplc="8A44ECD2">
      <w:start w:val="1"/>
      <w:numFmt w:val="bullet"/>
      <w:lvlText w:val=""/>
      <w:lvlJc w:val="left"/>
      <w:pPr>
        <w:ind w:left="5040" w:hanging="360"/>
      </w:pPr>
      <w:rPr>
        <w:rFonts w:ascii="Symbol" w:hAnsi="Symbol" w:hint="default"/>
      </w:rPr>
    </w:lvl>
    <w:lvl w:ilvl="7" w:tplc="E1DA0682">
      <w:start w:val="1"/>
      <w:numFmt w:val="bullet"/>
      <w:lvlText w:val="o"/>
      <w:lvlJc w:val="left"/>
      <w:pPr>
        <w:ind w:left="5760" w:hanging="360"/>
      </w:pPr>
      <w:rPr>
        <w:rFonts w:ascii="Courier New" w:hAnsi="Courier New" w:hint="default"/>
      </w:rPr>
    </w:lvl>
    <w:lvl w:ilvl="8" w:tplc="1E9467B0">
      <w:start w:val="1"/>
      <w:numFmt w:val="bullet"/>
      <w:lvlText w:val=""/>
      <w:lvlJc w:val="left"/>
      <w:pPr>
        <w:ind w:left="6480" w:hanging="360"/>
      </w:pPr>
      <w:rPr>
        <w:rFonts w:ascii="Wingdings" w:hAnsi="Wingdings" w:hint="default"/>
      </w:rPr>
    </w:lvl>
  </w:abstractNum>
  <w:abstractNum w:abstractNumId="15" w15:restartNumberingAfterBreak="0">
    <w:nsid w:val="673D9676"/>
    <w:multiLevelType w:val="hybridMultilevel"/>
    <w:tmpl w:val="FFFFFFFF"/>
    <w:lvl w:ilvl="0" w:tplc="1BAE2DAA">
      <w:start w:val="1"/>
      <w:numFmt w:val="bullet"/>
      <w:lvlText w:val=""/>
      <w:lvlJc w:val="left"/>
      <w:pPr>
        <w:ind w:left="720" w:hanging="360"/>
      </w:pPr>
      <w:rPr>
        <w:rFonts w:ascii="Symbol" w:hAnsi="Symbol" w:hint="default"/>
      </w:rPr>
    </w:lvl>
    <w:lvl w:ilvl="1" w:tplc="4798195C">
      <w:start w:val="1"/>
      <w:numFmt w:val="bullet"/>
      <w:lvlText w:val="o"/>
      <w:lvlJc w:val="left"/>
      <w:pPr>
        <w:ind w:left="1440" w:hanging="360"/>
      </w:pPr>
      <w:rPr>
        <w:rFonts w:ascii="Courier New" w:hAnsi="Courier New" w:hint="default"/>
      </w:rPr>
    </w:lvl>
    <w:lvl w:ilvl="2" w:tplc="481CB304">
      <w:start w:val="1"/>
      <w:numFmt w:val="bullet"/>
      <w:lvlText w:val=""/>
      <w:lvlJc w:val="left"/>
      <w:pPr>
        <w:ind w:left="2160" w:hanging="360"/>
      </w:pPr>
      <w:rPr>
        <w:rFonts w:ascii="Wingdings" w:hAnsi="Wingdings" w:hint="default"/>
      </w:rPr>
    </w:lvl>
    <w:lvl w:ilvl="3" w:tplc="467ED9C2">
      <w:start w:val="1"/>
      <w:numFmt w:val="bullet"/>
      <w:lvlText w:val=""/>
      <w:lvlJc w:val="left"/>
      <w:pPr>
        <w:ind w:left="2880" w:hanging="360"/>
      </w:pPr>
      <w:rPr>
        <w:rFonts w:ascii="Symbol" w:hAnsi="Symbol" w:hint="default"/>
      </w:rPr>
    </w:lvl>
    <w:lvl w:ilvl="4" w:tplc="A6E4E966">
      <w:start w:val="1"/>
      <w:numFmt w:val="bullet"/>
      <w:lvlText w:val="o"/>
      <w:lvlJc w:val="left"/>
      <w:pPr>
        <w:ind w:left="3600" w:hanging="360"/>
      </w:pPr>
      <w:rPr>
        <w:rFonts w:ascii="Courier New" w:hAnsi="Courier New" w:hint="default"/>
      </w:rPr>
    </w:lvl>
    <w:lvl w:ilvl="5" w:tplc="76EA90AC">
      <w:start w:val="1"/>
      <w:numFmt w:val="bullet"/>
      <w:lvlText w:val=""/>
      <w:lvlJc w:val="left"/>
      <w:pPr>
        <w:ind w:left="4320" w:hanging="360"/>
      </w:pPr>
      <w:rPr>
        <w:rFonts w:ascii="Wingdings" w:hAnsi="Wingdings" w:hint="default"/>
      </w:rPr>
    </w:lvl>
    <w:lvl w:ilvl="6" w:tplc="B420DB1A">
      <w:start w:val="1"/>
      <w:numFmt w:val="bullet"/>
      <w:lvlText w:val=""/>
      <w:lvlJc w:val="left"/>
      <w:pPr>
        <w:ind w:left="5040" w:hanging="360"/>
      </w:pPr>
      <w:rPr>
        <w:rFonts w:ascii="Symbol" w:hAnsi="Symbol" w:hint="default"/>
      </w:rPr>
    </w:lvl>
    <w:lvl w:ilvl="7" w:tplc="2F60E722">
      <w:start w:val="1"/>
      <w:numFmt w:val="bullet"/>
      <w:lvlText w:val="o"/>
      <w:lvlJc w:val="left"/>
      <w:pPr>
        <w:ind w:left="5760" w:hanging="360"/>
      </w:pPr>
      <w:rPr>
        <w:rFonts w:ascii="Courier New" w:hAnsi="Courier New" w:hint="default"/>
      </w:rPr>
    </w:lvl>
    <w:lvl w:ilvl="8" w:tplc="88D4A39C">
      <w:start w:val="1"/>
      <w:numFmt w:val="bullet"/>
      <w:lvlText w:val=""/>
      <w:lvlJc w:val="left"/>
      <w:pPr>
        <w:ind w:left="6480" w:hanging="360"/>
      </w:pPr>
      <w:rPr>
        <w:rFonts w:ascii="Wingdings" w:hAnsi="Wingdings" w:hint="default"/>
      </w:rPr>
    </w:lvl>
  </w:abstractNum>
  <w:abstractNum w:abstractNumId="16" w15:restartNumberingAfterBreak="0">
    <w:nsid w:val="6A63A4E4"/>
    <w:multiLevelType w:val="hybridMultilevel"/>
    <w:tmpl w:val="FFFFFFFF"/>
    <w:lvl w:ilvl="0" w:tplc="CDD4BB1E">
      <w:start w:val="1"/>
      <w:numFmt w:val="bullet"/>
      <w:lvlText w:val=""/>
      <w:lvlJc w:val="left"/>
      <w:pPr>
        <w:ind w:left="720" w:hanging="360"/>
      </w:pPr>
      <w:rPr>
        <w:rFonts w:ascii="Symbol" w:hAnsi="Symbol" w:hint="default"/>
      </w:rPr>
    </w:lvl>
    <w:lvl w:ilvl="1" w:tplc="211EF180">
      <w:start w:val="1"/>
      <w:numFmt w:val="bullet"/>
      <w:lvlText w:val="o"/>
      <w:lvlJc w:val="left"/>
      <w:pPr>
        <w:ind w:left="1440" w:hanging="360"/>
      </w:pPr>
      <w:rPr>
        <w:rFonts w:ascii="Courier New" w:hAnsi="Courier New" w:hint="default"/>
      </w:rPr>
    </w:lvl>
    <w:lvl w:ilvl="2" w:tplc="5AA613F4">
      <w:start w:val="1"/>
      <w:numFmt w:val="bullet"/>
      <w:lvlText w:val=""/>
      <w:lvlJc w:val="left"/>
      <w:pPr>
        <w:ind w:left="2160" w:hanging="360"/>
      </w:pPr>
      <w:rPr>
        <w:rFonts w:ascii="Wingdings" w:hAnsi="Wingdings" w:hint="default"/>
      </w:rPr>
    </w:lvl>
    <w:lvl w:ilvl="3" w:tplc="F5209320">
      <w:start w:val="1"/>
      <w:numFmt w:val="bullet"/>
      <w:lvlText w:val=""/>
      <w:lvlJc w:val="left"/>
      <w:pPr>
        <w:ind w:left="2880" w:hanging="360"/>
      </w:pPr>
      <w:rPr>
        <w:rFonts w:ascii="Symbol" w:hAnsi="Symbol" w:hint="default"/>
      </w:rPr>
    </w:lvl>
    <w:lvl w:ilvl="4" w:tplc="A7A63E28">
      <w:start w:val="1"/>
      <w:numFmt w:val="bullet"/>
      <w:lvlText w:val="o"/>
      <w:lvlJc w:val="left"/>
      <w:pPr>
        <w:ind w:left="3600" w:hanging="360"/>
      </w:pPr>
      <w:rPr>
        <w:rFonts w:ascii="Courier New" w:hAnsi="Courier New" w:hint="default"/>
      </w:rPr>
    </w:lvl>
    <w:lvl w:ilvl="5" w:tplc="121CF828">
      <w:start w:val="1"/>
      <w:numFmt w:val="bullet"/>
      <w:lvlText w:val=""/>
      <w:lvlJc w:val="left"/>
      <w:pPr>
        <w:ind w:left="4320" w:hanging="360"/>
      </w:pPr>
      <w:rPr>
        <w:rFonts w:ascii="Wingdings" w:hAnsi="Wingdings" w:hint="default"/>
      </w:rPr>
    </w:lvl>
    <w:lvl w:ilvl="6" w:tplc="D3B6AB5C">
      <w:start w:val="1"/>
      <w:numFmt w:val="bullet"/>
      <w:lvlText w:val=""/>
      <w:lvlJc w:val="left"/>
      <w:pPr>
        <w:ind w:left="5040" w:hanging="360"/>
      </w:pPr>
      <w:rPr>
        <w:rFonts w:ascii="Symbol" w:hAnsi="Symbol" w:hint="default"/>
      </w:rPr>
    </w:lvl>
    <w:lvl w:ilvl="7" w:tplc="7242D374">
      <w:start w:val="1"/>
      <w:numFmt w:val="bullet"/>
      <w:lvlText w:val="o"/>
      <w:lvlJc w:val="left"/>
      <w:pPr>
        <w:ind w:left="5760" w:hanging="360"/>
      </w:pPr>
      <w:rPr>
        <w:rFonts w:ascii="Courier New" w:hAnsi="Courier New" w:hint="default"/>
      </w:rPr>
    </w:lvl>
    <w:lvl w:ilvl="8" w:tplc="C44A07CE">
      <w:start w:val="1"/>
      <w:numFmt w:val="bullet"/>
      <w:lvlText w:val=""/>
      <w:lvlJc w:val="left"/>
      <w:pPr>
        <w:ind w:left="6480" w:hanging="360"/>
      </w:pPr>
      <w:rPr>
        <w:rFonts w:ascii="Wingdings" w:hAnsi="Wingdings" w:hint="default"/>
      </w:rPr>
    </w:lvl>
  </w:abstractNum>
  <w:abstractNum w:abstractNumId="17" w15:restartNumberingAfterBreak="0">
    <w:nsid w:val="6B331C2E"/>
    <w:multiLevelType w:val="hybridMultilevel"/>
    <w:tmpl w:val="FFFFFFFF"/>
    <w:lvl w:ilvl="0" w:tplc="25B272A8">
      <w:start w:val="1"/>
      <w:numFmt w:val="bullet"/>
      <w:lvlText w:val=""/>
      <w:lvlJc w:val="left"/>
      <w:pPr>
        <w:ind w:left="720" w:hanging="360"/>
      </w:pPr>
      <w:rPr>
        <w:rFonts w:ascii="Wingdings" w:hAnsi="Wingdings" w:hint="default"/>
      </w:rPr>
    </w:lvl>
    <w:lvl w:ilvl="1" w:tplc="18CE02A4">
      <w:start w:val="1"/>
      <w:numFmt w:val="bullet"/>
      <w:lvlText w:val="o"/>
      <w:lvlJc w:val="left"/>
      <w:pPr>
        <w:ind w:left="1440" w:hanging="360"/>
      </w:pPr>
      <w:rPr>
        <w:rFonts w:ascii="Courier New" w:hAnsi="Courier New" w:hint="default"/>
      </w:rPr>
    </w:lvl>
    <w:lvl w:ilvl="2" w:tplc="C9CC4D38">
      <w:start w:val="1"/>
      <w:numFmt w:val="bullet"/>
      <w:lvlText w:val=""/>
      <w:lvlJc w:val="left"/>
      <w:pPr>
        <w:ind w:left="2160" w:hanging="360"/>
      </w:pPr>
      <w:rPr>
        <w:rFonts w:ascii="Wingdings" w:hAnsi="Wingdings" w:hint="default"/>
      </w:rPr>
    </w:lvl>
    <w:lvl w:ilvl="3" w:tplc="ED9AB538">
      <w:start w:val="1"/>
      <w:numFmt w:val="bullet"/>
      <w:lvlText w:val=""/>
      <w:lvlJc w:val="left"/>
      <w:pPr>
        <w:ind w:left="2880" w:hanging="360"/>
      </w:pPr>
      <w:rPr>
        <w:rFonts w:ascii="Symbol" w:hAnsi="Symbol" w:hint="default"/>
      </w:rPr>
    </w:lvl>
    <w:lvl w:ilvl="4" w:tplc="DA466B1C">
      <w:start w:val="1"/>
      <w:numFmt w:val="bullet"/>
      <w:lvlText w:val="o"/>
      <w:lvlJc w:val="left"/>
      <w:pPr>
        <w:ind w:left="3600" w:hanging="360"/>
      </w:pPr>
      <w:rPr>
        <w:rFonts w:ascii="Courier New" w:hAnsi="Courier New" w:hint="default"/>
      </w:rPr>
    </w:lvl>
    <w:lvl w:ilvl="5" w:tplc="AAFE75D2">
      <w:start w:val="1"/>
      <w:numFmt w:val="bullet"/>
      <w:lvlText w:val=""/>
      <w:lvlJc w:val="left"/>
      <w:pPr>
        <w:ind w:left="4320" w:hanging="360"/>
      </w:pPr>
      <w:rPr>
        <w:rFonts w:ascii="Wingdings" w:hAnsi="Wingdings" w:hint="default"/>
      </w:rPr>
    </w:lvl>
    <w:lvl w:ilvl="6" w:tplc="6C80D20E">
      <w:start w:val="1"/>
      <w:numFmt w:val="bullet"/>
      <w:lvlText w:val=""/>
      <w:lvlJc w:val="left"/>
      <w:pPr>
        <w:ind w:left="5040" w:hanging="360"/>
      </w:pPr>
      <w:rPr>
        <w:rFonts w:ascii="Symbol" w:hAnsi="Symbol" w:hint="default"/>
      </w:rPr>
    </w:lvl>
    <w:lvl w:ilvl="7" w:tplc="209681D0">
      <w:start w:val="1"/>
      <w:numFmt w:val="bullet"/>
      <w:lvlText w:val="o"/>
      <w:lvlJc w:val="left"/>
      <w:pPr>
        <w:ind w:left="5760" w:hanging="360"/>
      </w:pPr>
      <w:rPr>
        <w:rFonts w:ascii="Courier New" w:hAnsi="Courier New" w:hint="default"/>
      </w:rPr>
    </w:lvl>
    <w:lvl w:ilvl="8" w:tplc="8DBC09C2">
      <w:start w:val="1"/>
      <w:numFmt w:val="bullet"/>
      <w:lvlText w:val=""/>
      <w:lvlJc w:val="left"/>
      <w:pPr>
        <w:ind w:left="6480" w:hanging="360"/>
      </w:pPr>
      <w:rPr>
        <w:rFonts w:ascii="Wingdings" w:hAnsi="Wingdings" w:hint="default"/>
      </w:rPr>
    </w:lvl>
  </w:abstractNum>
  <w:abstractNum w:abstractNumId="18" w15:restartNumberingAfterBreak="0">
    <w:nsid w:val="71750132"/>
    <w:multiLevelType w:val="hybridMultilevel"/>
    <w:tmpl w:val="FFFFFFFF"/>
    <w:lvl w:ilvl="0" w:tplc="FC607F60">
      <w:start w:val="1"/>
      <w:numFmt w:val="bullet"/>
      <w:lvlText w:val=""/>
      <w:lvlJc w:val="left"/>
      <w:pPr>
        <w:ind w:left="720" w:hanging="360"/>
      </w:pPr>
      <w:rPr>
        <w:rFonts w:ascii="Wingdings" w:hAnsi="Wingdings" w:hint="default"/>
      </w:rPr>
    </w:lvl>
    <w:lvl w:ilvl="1" w:tplc="070CB836">
      <w:start w:val="1"/>
      <w:numFmt w:val="bullet"/>
      <w:lvlText w:val="o"/>
      <w:lvlJc w:val="left"/>
      <w:pPr>
        <w:ind w:left="1440" w:hanging="360"/>
      </w:pPr>
      <w:rPr>
        <w:rFonts w:ascii="Courier New" w:hAnsi="Courier New" w:hint="default"/>
      </w:rPr>
    </w:lvl>
    <w:lvl w:ilvl="2" w:tplc="64069206">
      <w:start w:val="1"/>
      <w:numFmt w:val="bullet"/>
      <w:lvlText w:val=""/>
      <w:lvlJc w:val="left"/>
      <w:pPr>
        <w:ind w:left="2160" w:hanging="360"/>
      </w:pPr>
      <w:rPr>
        <w:rFonts w:ascii="Wingdings" w:hAnsi="Wingdings" w:hint="default"/>
      </w:rPr>
    </w:lvl>
    <w:lvl w:ilvl="3" w:tplc="76260872">
      <w:start w:val="1"/>
      <w:numFmt w:val="bullet"/>
      <w:lvlText w:val=""/>
      <w:lvlJc w:val="left"/>
      <w:pPr>
        <w:ind w:left="2880" w:hanging="360"/>
      </w:pPr>
      <w:rPr>
        <w:rFonts w:ascii="Symbol" w:hAnsi="Symbol" w:hint="default"/>
      </w:rPr>
    </w:lvl>
    <w:lvl w:ilvl="4" w:tplc="81727010">
      <w:start w:val="1"/>
      <w:numFmt w:val="bullet"/>
      <w:lvlText w:val="o"/>
      <w:lvlJc w:val="left"/>
      <w:pPr>
        <w:ind w:left="3600" w:hanging="360"/>
      </w:pPr>
      <w:rPr>
        <w:rFonts w:ascii="Courier New" w:hAnsi="Courier New" w:hint="default"/>
      </w:rPr>
    </w:lvl>
    <w:lvl w:ilvl="5" w:tplc="819E02D4">
      <w:start w:val="1"/>
      <w:numFmt w:val="bullet"/>
      <w:lvlText w:val=""/>
      <w:lvlJc w:val="left"/>
      <w:pPr>
        <w:ind w:left="4320" w:hanging="360"/>
      </w:pPr>
      <w:rPr>
        <w:rFonts w:ascii="Wingdings" w:hAnsi="Wingdings" w:hint="default"/>
      </w:rPr>
    </w:lvl>
    <w:lvl w:ilvl="6" w:tplc="F88A5DBA">
      <w:start w:val="1"/>
      <w:numFmt w:val="bullet"/>
      <w:lvlText w:val=""/>
      <w:lvlJc w:val="left"/>
      <w:pPr>
        <w:ind w:left="5040" w:hanging="360"/>
      </w:pPr>
      <w:rPr>
        <w:rFonts w:ascii="Symbol" w:hAnsi="Symbol" w:hint="default"/>
      </w:rPr>
    </w:lvl>
    <w:lvl w:ilvl="7" w:tplc="31889C00">
      <w:start w:val="1"/>
      <w:numFmt w:val="bullet"/>
      <w:lvlText w:val="o"/>
      <w:lvlJc w:val="left"/>
      <w:pPr>
        <w:ind w:left="5760" w:hanging="360"/>
      </w:pPr>
      <w:rPr>
        <w:rFonts w:ascii="Courier New" w:hAnsi="Courier New" w:hint="default"/>
      </w:rPr>
    </w:lvl>
    <w:lvl w:ilvl="8" w:tplc="2B9C4FD2">
      <w:start w:val="1"/>
      <w:numFmt w:val="bullet"/>
      <w:lvlText w:val=""/>
      <w:lvlJc w:val="left"/>
      <w:pPr>
        <w:ind w:left="6480" w:hanging="360"/>
      </w:pPr>
      <w:rPr>
        <w:rFonts w:ascii="Wingdings" w:hAnsi="Wingdings" w:hint="default"/>
      </w:rPr>
    </w:lvl>
  </w:abstractNum>
  <w:abstractNum w:abstractNumId="19" w15:restartNumberingAfterBreak="0">
    <w:nsid w:val="78A93F4A"/>
    <w:multiLevelType w:val="hybridMultilevel"/>
    <w:tmpl w:val="FFFFFFFF"/>
    <w:lvl w:ilvl="0" w:tplc="FD2E7A1C">
      <w:start w:val="1"/>
      <w:numFmt w:val="bullet"/>
      <w:lvlText w:val=""/>
      <w:lvlJc w:val="left"/>
      <w:pPr>
        <w:ind w:left="720" w:hanging="360"/>
      </w:pPr>
      <w:rPr>
        <w:rFonts w:ascii="Symbol" w:hAnsi="Symbol" w:hint="default"/>
      </w:rPr>
    </w:lvl>
    <w:lvl w:ilvl="1" w:tplc="02AC007E">
      <w:start w:val="1"/>
      <w:numFmt w:val="bullet"/>
      <w:lvlText w:val="o"/>
      <w:lvlJc w:val="left"/>
      <w:pPr>
        <w:ind w:left="1440" w:hanging="360"/>
      </w:pPr>
      <w:rPr>
        <w:rFonts w:ascii="Courier New" w:hAnsi="Courier New" w:hint="default"/>
      </w:rPr>
    </w:lvl>
    <w:lvl w:ilvl="2" w:tplc="49DE3542">
      <w:start w:val="1"/>
      <w:numFmt w:val="bullet"/>
      <w:lvlText w:val=""/>
      <w:lvlJc w:val="left"/>
      <w:pPr>
        <w:ind w:left="2160" w:hanging="360"/>
      </w:pPr>
      <w:rPr>
        <w:rFonts w:ascii="Wingdings" w:hAnsi="Wingdings" w:hint="default"/>
      </w:rPr>
    </w:lvl>
    <w:lvl w:ilvl="3" w:tplc="AC642562">
      <w:start w:val="1"/>
      <w:numFmt w:val="bullet"/>
      <w:lvlText w:val=""/>
      <w:lvlJc w:val="left"/>
      <w:pPr>
        <w:ind w:left="2880" w:hanging="360"/>
      </w:pPr>
      <w:rPr>
        <w:rFonts w:ascii="Symbol" w:hAnsi="Symbol" w:hint="default"/>
      </w:rPr>
    </w:lvl>
    <w:lvl w:ilvl="4" w:tplc="9BF22CC8">
      <w:start w:val="1"/>
      <w:numFmt w:val="bullet"/>
      <w:lvlText w:val="o"/>
      <w:lvlJc w:val="left"/>
      <w:pPr>
        <w:ind w:left="3600" w:hanging="360"/>
      </w:pPr>
      <w:rPr>
        <w:rFonts w:ascii="Courier New" w:hAnsi="Courier New" w:hint="default"/>
      </w:rPr>
    </w:lvl>
    <w:lvl w:ilvl="5" w:tplc="64105884">
      <w:start w:val="1"/>
      <w:numFmt w:val="bullet"/>
      <w:lvlText w:val=""/>
      <w:lvlJc w:val="left"/>
      <w:pPr>
        <w:ind w:left="4320" w:hanging="360"/>
      </w:pPr>
      <w:rPr>
        <w:rFonts w:ascii="Wingdings" w:hAnsi="Wingdings" w:hint="default"/>
      </w:rPr>
    </w:lvl>
    <w:lvl w:ilvl="6" w:tplc="2C74D0AC">
      <w:start w:val="1"/>
      <w:numFmt w:val="bullet"/>
      <w:lvlText w:val=""/>
      <w:lvlJc w:val="left"/>
      <w:pPr>
        <w:ind w:left="5040" w:hanging="360"/>
      </w:pPr>
      <w:rPr>
        <w:rFonts w:ascii="Symbol" w:hAnsi="Symbol" w:hint="default"/>
      </w:rPr>
    </w:lvl>
    <w:lvl w:ilvl="7" w:tplc="016C0834">
      <w:start w:val="1"/>
      <w:numFmt w:val="bullet"/>
      <w:lvlText w:val="o"/>
      <w:lvlJc w:val="left"/>
      <w:pPr>
        <w:ind w:left="5760" w:hanging="360"/>
      </w:pPr>
      <w:rPr>
        <w:rFonts w:ascii="Courier New" w:hAnsi="Courier New" w:hint="default"/>
      </w:rPr>
    </w:lvl>
    <w:lvl w:ilvl="8" w:tplc="2E829EC8">
      <w:start w:val="1"/>
      <w:numFmt w:val="bullet"/>
      <w:lvlText w:val=""/>
      <w:lvlJc w:val="left"/>
      <w:pPr>
        <w:ind w:left="6480" w:hanging="360"/>
      </w:pPr>
      <w:rPr>
        <w:rFonts w:ascii="Wingdings" w:hAnsi="Wingdings" w:hint="default"/>
      </w:rPr>
    </w:lvl>
  </w:abstractNum>
  <w:num w:numId="1" w16cid:durableId="350838841">
    <w:abstractNumId w:val="5"/>
  </w:num>
  <w:num w:numId="2" w16cid:durableId="1407806028">
    <w:abstractNumId w:val="8"/>
  </w:num>
  <w:num w:numId="3" w16cid:durableId="1655600219">
    <w:abstractNumId w:val="3"/>
  </w:num>
  <w:num w:numId="4" w16cid:durableId="1741251649">
    <w:abstractNumId w:val="2"/>
  </w:num>
  <w:num w:numId="5" w16cid:durableId="1285036659">
    <w:abstractNumId w:val="12"/>
  </w:num>
  <w:num w:numId="6" w16cid:durableId="1389721391">
    <w:abstractNumId w:val="11"/>
  </w:num>
  <w:num w:numId="7" w16cid:durableId="2076198191">
    <w:abstractNumId w:val="13"/>
  </w:num>
  <w:num w:numId="8" w16cid:durableId="272900916">
    <w:abstractNumId w:val="6"/>
  </w:num>
  <w:num w:numId="9" w16cid:durableId="72361890">
    <w:abstractNumId w:val="17"/>
  </w:num>
  <w:num w:numId="10" w16cid:durableId="1533181742">
    <w:abstractNumId w:val="1"/>
  </w:num>
  <w:num w:numId="11" w16cid:durableId="1743025310">
    <w:abstractNumId w:val="7"/>
  </w:num>
  <w:num w:numId="12" w16cid:durableId="1075316870">
    <w:abstractNumId w:val="4"/>
  </w:num>
  <w:num w:numId="13" w16cid:durableId="1148859309">
    <w:abstractNumId w:val="16"/>
  </w:num>
  <w:num w:numId="14" w16cid:durableId="503738843">
    <w:abstractNumId w:val="10"/>
  </w:num>
  <w:num w:numId="15" w16cid:durableId="1306009731">
    <w:abstractNumId w:val="0"/>
  </w:num>
  <w:num w:numId="16" w16cid:durableId="1994337732">
    <w:abstractNumId w:val="15"/>
  </w:num>
  <w:num w:numId="17" w16cid:durableId="411004859">
    <w:abstractNumId w:val="14"/>
  </w:num>
  <w:num w:numId="18" w16cid:durableId="682052397">
    <w:abstractNumId w:val="19"/>
  </w:num>
  <w:num w:numId="19" w16cid:durableId="320693319">
    <w:abstractNumId w:val="18"/>
  </w:num>
  <w:num w:numId="20" w16cid:durableId="2179767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5FB"/>
    <w:rsid w:val="00000E2F"/>
    <w:rsid w:val="000239B6"/>
    <w:rsid w:val="00026B80"/>
    <w:rsid w:val="00035F08"/>
    <w:rsid w:val="00092A35"/>
    <w:rsid w:val="0009559E"/>
    <w:rsid w:val="000D1E16"/>
    <w:rsid w:val="000E39AF"/>
    <w:rsid w:val="00101CA6"/>
    <w:rsid w:val="00123C20"/>
    <w:rsid w:val="00134C14"/>
    <w:rsid w:val="0013783A"/>
    <w:rsid w:val="0014415E"/>
    <w:rsid w:val="00157424"/>
    <w:rsid w:val="001A41CA"/>
    <w:rsid w:val="001A7EF1"/>
    <w:rsid w:val="00200954"/>
    <w:rsid w:val="002151B1"/>
    <w:rsid w:val="00225296"/>
    <w:rsid w:val="00272F52"/>
    <w:rsid w:val="00293766"/>
    <w:rsid w:val="002E2C12"/>
    <w:rsid w:val="002F441C"/>
    <w:rsid w:val="003178E3"/>
    <w:rsid w:val="00333E95"/>
    <w:rsid w:val="00335BD0"/>
    <w:rsid w:val="00375149"/>
    <w:rsid w:val="00391E36"/>
    <w:rsid w:val="00393AC1"/>
    <w:rsid w:val="003B27F7"/>
    <w:rsid w:val="003B3F28"/>
    <w:rsid w:val="00402035"/>
    <w:rsid w:val="0040515D"/>
    <w:rsid w:val="00414688"/>
    <w:rsid w:val="0041597B"/>
    <w:rsid w:val="00417232"/>
    <w:rsid w:val="00424B3E"/>
    <w:rsid w:val="00435385"/>
    <w:rsid w:val="0043570A"/>
    <w:rsid w:val="00450291"/>
    <w:rsid w:val="00465A81"/>
    <w:rsid w:val="00467EAA"/>
    <w:rsid w:val="00471101"/>
    <w:rsid w:val="00481CA6"/>
    <w:rsid w:val="004A191F"/>
    <w:rsid w:val="004A26AC"/>
    <w:rsid w:val="004E3927"/>
    <w:rsid w:val="00507D83"/>
    <w:rsid w:val="005253CE"/>
    <w:rsid w:val="0054381B"/>
    <w:rsid w:val="005A3A1E"/>
    <w:rsid w:val="005B0310"/>
    <w:rsid w:val="005B1AD5"/>
    <w:rsid w:val="005C3FF1"/>
    <w:rsid w:val="005E072D"/>
    <w:rsid w:val="005E3E13"/>
    <w:rsid w:val="005F410E"/>
    <w:rsid w:val="005F4FC3"/>
    <w:rsid w:val="005F5825"/>
    <w:rsid w:val="006007BF"/>
    <w:rsid w:val="00612581"/>
    <w:rsid w:val="00646185"/>
    <w:rsid w:val="00676987"/>
    <w:rsid w:val="006827AB"/>
    <w:rsid w:val="006856F4"/>
    <w:rsid w:val="006A28FE"/>
    <w:rsid w:val="006B463E"/>
    <w:rsid w:val="006E54B8"/>
    <w:rsid w:val="006E58F7"/>
    <w:rsid w:val="006E767D"/>
    <w:rsid w:val="007069A4"/>
    <w:rsid w:val="00715909"/>
    <w:rsid w:val="00715E61"/>
    <w:rsid w:val="00732775"/>
    <w:rsid w:val="0075044C"/>
    <w:rsid w:val="00761BDC"/>
    <w:rsid w:val="00775CE0"/>
    <w:rsid w:val="00777F7E"/>
    <w:rsid w:val="007933F8"/>
    <w:rsid w:val="007A2A9C"/>
    <w:rsid w:val="007B45C5"/>
    <w:rsid w:val="007E04BF"/>
    <w:rsid w:val="007E5FDF"/>
    <w:rsid w:val="00801506"/>
    <w:rsid w:val="00810227"/>
    <w:rsid w:val="00855ADC"/>
    <w:rsid w:val="008709EF"/>
    <w:rsid w:val="00872826"/>
    <w:rsid w:val="0088671C"/>
    <w:rsid w:val="00890B24"/>
    <w:rsid w:val="008A6CC7"/>
    <w:rsid w:val="008B11A4"/>
    <w:rsid w:val="008B1C58"/>
    <w:rsid w:val="008B6433"/>
    <w:rsid w:val="008B6A5C"/>
    <w:rsid w:val="008E576E"/>
    <w:rsid w:val="008F435F"/>
    <w:rsid w:val="00913EC7"/>
    <w:rsid w:val="0092386E"/>
    <w:rsid w:val="00947168"/>
    <w:rsid w:val="00965A42"/>
    <w:rsid w:val="00967A26"/>
    <w:rsid w:val="00975EFA"/>
    <w:rsid w:val="00976A8B"/>
    <w:rsid w:val="0099639E"/>
    <w:rsid w:val="009B0F35"/>
    <w:rsid w:val="009C08DC"/>
    <w:rsid w:val="009E74ED"/>
    <w:rsid w:val="00A21DC4"/>
    <w:rsid w:val="00A263C5"/>
    <w:rsid w:val="00A445EE"/>
    <w:rsid w:val="00A6131F"/>
    <w:rsid w:val="00A87EDE"/>
    <w:rsid w:val="00A96B82"/>
    <w:rsid w:val="00AA386C"/>
    <w:rsid w:val="00AB5637"/>
    <w:rsid w:val="00AC6006"/>
    <w:rsid w:val="00AF6DB6"/>
    <w:rsid w:val="00B13BD1"/>
    <w:rsid w:val="00B24F6A"/>
    <w:rsid w:val="00B47CAD"/>
    <w:rsid w:val="00B70362"/>
    <w:rsid w:val="00B7578F"/>
    <w:rsid w:val="00B764DE"/>
    <w:rsid w:val="00B82B1B"/>
    <w:rsid w:val="00BD446D"/>
    <w:rsid w:val="00BE2131"/>
    <w:rsid w:val="00BE3643"/>
    <w:rsid w:val="00BE69ED"/>
    <w:rsid w:val="00BF79D0"/>
    <w:rsid w:val="00CA1B25"/>
    <w:rsid w:val="00CB1DFE"/>
    <w:rsid w:val="00CD1B3D"/>
    <w:rsid w:val="00CE1688"/>
    <w:rsid w:val="00CE175D"/>
    <w:rsid w:val="00CF7087"/>
    <w:rsid w:val="00CF75FB"/>
    <w:rsid w:val="00D3641D"/>
    <w:rsid w:val="00D37E2A"/>
    <w:rsid w:val="00D44FF3"/>
    <w:rsid w:val="00D4525B"/>
    <w:rsid w:val="00D5638E"/>
    <w:rsid w:val="00D70E17"/>
    <w:rsid w:val="00DE08DC"/>
    <w:rsid w:val="00E00B3E"/>
    <w:rsid w:val="00E01915"/>
    <w:rsid w:val="00E063A2"/>
    <w:rsid w:val="00E278E0"/>
    <w:rsid w:val="00E504DD"/>
    <w:rsid w:val="00E617FE"/>
    <w:rsid w:val="00E86EAA"/>
    <w:rsid w:val="00EA7BB7"/>
    <w:rsid w:val="00EB40D3"/>
    <w:rsid w:val="00EB741B"/>
    <w:rsid w:val="00ED3490"/>
    <w:rsid w:val="00ED38AA"/>
    <w:rsid w:val="00EE3583"/>
    <w:rsid w:val="00EF3E76"/>
    <w:rsid w:val="00EF66E8"/>
    <w:rsid w:val="00F2472A"/>
    <w:rsid w:val="00F5147D"/>
    <w:rsid w:val="00F6041D"/>
    <w:rsid w:val="00F81FCA"/>
    <w:rsid w:val="00FB4360"/>
    <w:rsid w:val="00FB4710"/>
    <w:rsid w:val="00FB57C4"/>
    <w:rsid w:val="00FC2CCE"/>
    <w:rsid w:val="00FC7595"/>
    <w:rsid w:val="00FE5AB4"/>
    <w:rsid w:val="00FE6EC5"/>
    <w:rsid w:val="01101E55"/>
    <w:rsid w:val="011A7EEE"/>
    <w:rsid w:val="01681569"/>
    <w:rsid w:val="017045DA"/>
    <w:rsid w:val="01F05A83"/>
    <w:rsid w:val="02377EAE"/>
    <w:rsid w:val="029452E6"/>
    <w:rsid w:val="03D86875"/>
    <w:rsid w:val="040D8046"/>
    <w:rsid w:val="0437C13C"/>
    <w:rsid w:val="04501AF8"/>
    <w:rsid w:val="04D1BA96"/>
    <w:rsid w:val="058E2F73"/>
    <w:rsid w:val="05D20D84"/>
    <w:rsid w:val="06966568"/>
    <w:rsid w:val="07028DB5"/>
    <w:rsid w:val="074CACE4"/>
    <w:rsid w:val="082F1EA8"/>
    <w:rsid w:val="08AA97FB"/>
    <w:rsid w:val="08DD1214"/>
    <w:rsid w:val="08E7FBC0"/>
    <w:rsid w:val="0A2F0B43"/>
    <w:rsid w:val="0B795022"/>
    <w:rsid w:val="0B8884EF"/>
    <w:rsid w:val="0C1FAB79"/>
    <w:rsid w:val="0C3A7373"/>
    <w:rsid w:val="0C415C46"/>
    <w:rsid w:val="0CCE3A48"/>
    <w:rsid w:val="0DBB0133"/>
    <w:rsid w:val="0EBBA224"/>
    <w:rsid w:val="10F086DE"/>
    <w:rsid w:val="114431AA"/>
    <w:rsid w:val="12792EAA"/>
    <w:rsid w:val="133D8F13"/>
    <w:rsid w:val="137FF681"/>
    <w:rsid w:val="13F7B713"/>
    <w:rsid w:val="1473FFC9"/>
    <w:rsid w:val="149250DB"/>
    <w:rsid w:val="149A75B9"/>
    <w:rsid w:val="14A6D6A5"/>
    <w:rsid w:val="14FFAAFA"/>
    <w:rsid w:val="1652C7B0"/>
    <w:rsid w:val="182952FE"/>
    <w:rsid w:val="185E4C73"/>
    <w:rsid w:val="18A9748D"/>
    <w:rsid w:val="191D3F35"/>
    <w:rsid w:val="1A6BFCCF"/>
    <w:rsid w:val="1B762291"/>
    <w:rsid w:val="1B80D33B"/>
    <w:rsid w:val="1BBB2B1A"/>
    <w:rsid w:val="1C114ED9"/>
    <w:rsid w:val="1CB0497F"/>
    <w:rsid w:val="1D07882F"/>
    <w:rsid w:val="1D77A2ED"/>
    <w:rsid w:val="1DB47F05"/>
    <w:rsid w:val="1DC62C95"/>
    <w:rsid w:val="1E4A68C5"/>
    <w:rsid w:val="1F3E42BE"/>
    <w:rsid w:val="1F8CE5DD"/>
    <w:rsid w:val="1FA6B2F8"/>
    <w:rsid w:val="20A7D3AD"/>
    <w:rsid w:val="222ABC79"/>
    <w:rsid w:val="226292E3"/>
    <w:rsid w:val="229F3450"/>
    <w:rsid w:val="250940DD"/>
    <w:rsid w:val="2532BF1F"/>
    <w:rsid w:val="260F73C5"/>
    <w:rsid w:val="27833EA0"/>
    <w:rsid w:val="2797A093"/>
    <w:rsid w:val="27AF9C71"/>
    <w:rsid w:val="27B413A2"/>
    <w:rsid w:val="28089570"/>
    <w:rsid w:val="28C9CD6B"/>
    <w:rsid w:val="2A0AFB97"/>
    <w:rsid w:val="2A4568D7"/>
    <w:rsid w:val="2A82F226"/>
    <w:rsid w:val="2B05E363"/>
    <w:rsid w:val="2B809C96"/>
    <w:rsid w:val="2C3B5D1E"/>
    <w:rsid w:val="2C4B8658"/>
    <w:rsid w:val="2C54B978"/>
    <w:rsid w:val="2D502566"/>
    <w:rsid w:val="2E7980B8"/>
    <w:rsid w:val="302F24A4"/>
    <w:rsid w:val="30F6B0D5"/>
    <w:rsid w:val="32419E51"/>
    <w:rsid w:val="32569D08"/>
    <w:rsid w:val="32859409"/>
    <w:rsid w:val="3384BD31"/>
    <w:rsid w:val="338FBE47"/>
    <w:rsid w:val="33FE99B5"/>
    <w:rsid w:val="34282103"/>
    <w:rsid w:val="34B64180"/>
    <w:rsid w:val="34E7EE6F"/>
    <w:rsid w:val="362F1E66"/>
    <w:rsid w:val="362FDD01"/>
    <w:rsid w:val="3675B27C"/>
    <w:rsid w:val="36F5ADAB"/>
    <w:rsid w:val="37060779"/>
    <w:rsid w:val="37242335"/>
    <w:rsid w:val="3854FCD1"/>
    <w:rsid w:val="387147F1"/>
    <w:rsid w:val="387BCB0B"/>
    <w:rsid w:val="3A3A236C"/>
    <w:rsid w:val="3BC0D599"/>
    <w:rsid w:val="3BEA36F0"/>
    <w:rsid w:val="3C41CDFD"/>
    <w:rsid w:val="3CAF4017"/>
    <w:rsid w:val="3D5E3244"/>
    <w:rsid w:val="3E06C466"/>
    <w:rsid w:val="3F21A85F"/>
    <w:rsid w:val="3F3A2D90"/>
    <w:rsid w:val="406257E2"/>
    <w:rsid w:val="40A35D63"/>
    <w:rsid w:val="40AD3572"/>
    <w:rsid w:val="41411AC9"/>
    <w:rsid w:val="42B64E91"/>
    <w:rsid w:val="42BD1AF0"/>
    <w:rsid w:val="42D4E4F4"/>
    <w:rsid w:val="4318CF03"/>
    <w:rsid w:val="446D836C"/>
    <w:rsid w:val="44ACAA31"/>
    <w:rsid w:val="455EEBCE"/>
    <w:rsid w:val="45A0BBF4"/>
    <w:rsid w:val="4652D506"/>
    <w:rsid w:val="46F8FADB"/>
    <w:rsid w:val="47088138"/>
    <w:rsid w:val="470B4588"/>
    <w:rsid w:val="47536263"/>
    <w:rsid w:val="4790FDF3"/>
    <w:rsid w:val="4860A143"/>
    <w:rsid w:val="49659EDE"/>
    <w:rsid w:val="496C7FC6"/>
    <w:rsid w:val="499834A1"/>
    <w:rsid w:val="49AA4569"/>
    <w:rsid w:val="49AFB413"/>
    <w:rsid w:val="4A81CFBE"/>
    <w:rsid w:val="4A98F91A"/>
    <w:rsid w:val="4C5FCFCD"/>
    <w:rsid w:val="4D1B9296"/>
    <w:rsid w:val="4D34D004"/>
    <w:rsid w:val="4D84F39D"/>
    <w:rsid w:val="4DDE60C0"/>
    <w:rsid w:val="4DF168A9"/>
    <w:rsid w:val="4E9F4298"/>
    <w:rsid w:val="4F227930"/>
    <w:rsid w:val="4F54F0BB"/>
    <w:rsid w:val="4F68D130"/>
    <w:rsid w:val="4F886708"/>
    <w:rsid w:val="4FC5D947"/>
    <w:rsid w:val="501E19DE"/>
    <w:rsid w:val="511511A7"/>
    <w:rsid w:val="51582D72"/>
    <w:rsid w:val="51E98B80"/>
    <w:rsid w:val="522877A8"/>
    <w:rsid w:val="530B83B3"/>
    <w:rsid w:val="5329462A"/>
    <w:rsid w:val="53A8F31E"/>
    <w:rsid w:val="53F78035"/>
    <w:rsid w:val="542234C8"/>
    <w:rsid w:val="5466389E"/>
    <w:rsid w:val="54BA8273"/>
    <w:rsid w:val="550107FD"/>
    <w:rsid w:val="566FD616"/>
    <w:rsid w:val="57CD86DF"/>
    <w:rsid w:val="58218340"/>
    <w:rsid w:val="58FB4DDF"/>
    <w:rsid w:val="595735E3"/>
    <w:rsid w:val="59583C83"/>
    <w:rsid w:val="598CFE0E"/>
    <w:rsid w:val="5ACE6398"/>
    <w:rsid w:val="5AF5DA2E"/>
    <w:rsid w:val="5CB8387A"/>
    <w:rsid w:val="5D37B9FC"/>
    <w:rsid w:val="5DF5B7D8"/>
    <w:rsid w:val="5EDB2E8C"/>
    <w:rsid w:val="60A81F4E"/>
    <w:rsid w:val="612D3B5F"/>
    <w:rsid w:val="61AB9C17"/>
    <w:rsid w:val="62702DBC"/>
    <w:rsid w:val="6436E72B"/>
    <w:rsid w:val="643DB9F5"/>
    <w:rsid w:val="644A4F60"/>
    <w:rsid w:val="64FB0674"/>
    <w:rsid w:val="6568693C"/>
    <w:rsid w:val="65BBF001"/>
    <w:rsid w:val="65F2AD45"/>
    <w:rsid w:val="662B4B1F"/>
    <w:rsid w:val="66474932"/>
    <w:rsid w:val="66E305D4"/>
    <w:rsid w:val="6738B21D"/>
    <w:rsid w:val="67CD278A"/>
    <w:rsid w:val="686B89F6"/>
    <w:rsid w:val="68825568"/>
    <w:rsid w:val="6A48AA86"/>
    <w:rsid w:val="6A8314A8"/>
    <w:rsid w:val="6B37BF88"/>
    <w:rsid w:val="6CB09C37"/>
    <w:rsid w:val="6D34CC69"/>
    <w:rsid w:val="6E4E1A03"/>
    <w:rsid w:val="6EAC4580"/>
    <w:rsid w:val="6EB27C21"/>
    <w:rsid w:val="6F0363FE"/>
    <w:rsid w:val="6F26D29E"/>
    <w:rsid w:val="6F9FF7FF"/>
    <w:rsid w:val="6FCBFEBB"/>
    <w:rsid w:val="710F7CE4"/>
    <w:rsid w:val="71B4064E"/>
    <w:rsid w:val="71FB3D5D"/>
    <w:rsid w:val="7304274E"/>
    <w:rsid w:val="737A7848"/>
    <w:rsid w:val="737CA930"/>
    <w:rsid w:val="759A3ED6"/>
    <w:rsid w:val="759CF4E5"/>
    <w:rsid w:val="7753B8AC"/>
    <w:rsid w:val="77CB25A1"/>
    <w:rsid w:val="77EC0EAF"/>
    <w:rsid w:val="788FDB07"/>
    <w:rsid w:val="796C3AC2"/>
    <w:rsid w:val="7A2AF4DC"/>
    <w:rsid w:val="7C7AE797"/>
    <w:rsid w:val="7D13492C"/>
    <w:rsid w:val="7DA18DC6"/>
    <w:rsid w:val="7E991B3D"/>
    <w:rsid w:val="7F6E79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09240AC"/>
  <w15:chartTrackingRefBased/>
  <w15:docId w15:val="{0898D65A-16AE-FD4C-88BB-2989C6543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5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75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75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75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75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75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5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5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5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5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75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75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75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75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75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5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5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5FB"/>
    <w:rPr>
      <w:rFonts w:eastAsiaTheme="majorEastAsia" w:cstheme="majorBidi"/>
      <w:color w:val="272727" w:themeColor="text1" w:themeTint="D8"/>
    </w:rPr>
  </w:style>
  <w:style w:type="paragraph" w:styleId="Title">
    <w:name w:val="Title"/>
    <w:basedOn w:val="Normal"/>
    <w:next w:val="Normal"/>
    <w:link w:val="TitleChar"/>
    <w:uiPriority w:val="10"/>
    <w:qFormat/>
    <w:rsid w:val="00CF7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5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5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5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5FB"/>
    <w:pPr>
      <w:spacing w:before="160"/>
      <w:jc w:val="center"/>
    </w:pPr>
    <w:rPr>
      <w:i/>
      <w:iCs/>
      <w:color w:val="404040" w:themeColor="text1" w:themeTint="BF"/>
    </w:rPr>
  </w:style>
  <w:style w:type="character" w:customStyle="1" w:styleId="QuoteChar">
    <w:name w:val="Quote Char"/>
    <w:basedOn w:val="DefaultParagraphFont"/>
    <w:link w:val="Quote"/>
    <w:uiPriority w:val="29"/>
    <w:rsid w:val="00CF75FB"/>
    <w:rPr>
      <w:i/>
      <w:iCs/>
      <w:color w:val="404040" w:themeColor="text1" w:themeTint="BF"/>
    </w:rPr>
  </w:style>
  <w:style w:type="paragraph" w:styleId="ListParagraph">
    <w:name w:val="List Paragraph"/>
    <w:basedOn w:val="Normal"/>
    <w:uiPriority w:val="34"/>
    <w:qFormat/>
    <w:rsid w:val="00CF75FB"/>
    <w:pPr>
      <w:ind w:left="720"/>
      <w:contextualSpacing/>
    </w:pPr>
  </w:style>
  <w:style w:type="character" w:styleId="IntenseEmphasis">
    <w:name w:val="Intense Emphasis"/>
    <w:basedOn w:val="DefaultParagraphFont"/>
    <w:uiPriority w:val="21"/>
    <w:qFormat/>
    <w:rsid w:val="00CF75FB"/>
    <w:rPr>
      <w:i/>
      <w:iCs/>
      <w:color w:val="0F4761" w:themeColor="accent1" w:themeShade="BF"/>
    </w:rPr>
  </w:style>
  <w:style w:type="paragraph" w:styleId="IntenseQuote">
    <w:name w:val="Intense Quote"/>
    <w:basedOn w:val="Normal"/>
    <w:next w:val="Normal"/>
    <w:link w:val="IntenseQuoteChar"/>
    <w:uiPriority w:val="30"/>
    <w:qFormat/>
    <w:rsid w:val="00CF7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75FB"/>
    <w:rPr>
      <w:i/>
      <w:iCs/>
      <w:color w:val="0F4761" w:themeColor="accent1" w:themeShade="BF"/>
    </w:rPr>
  </w:style>
  <w:style w:type="character" w:styleId="IntenseReference">
    <w:name w:val="Intense Reference"/>
    <w:basedOn w:val="DefaultParagraphFont"/>
    <w:uiPriority w:val="32"/>
    <w:qFormat/>
    <w:rsid w:val="00CF75FB"/>
    <w:rPr>
      <w:b/>
      <w:bCs/>
      <w:smallCaps/>
      <w:color w:val="0F4761" w:themeColor="accent1" w:themeShade="BF"/>
      <w:spacing w:val="5"/>
    </w:rPr>
  </w:style>
  <w:style w:type="paragraph" w:styleId="Header">
    <w:name w:val="header"/>
    <w:basedOn w:val="Normal"/>
    <w:link w:val="HeaderChar"/>
    <w:uiPriority w:val="99"/>
    <w:semiHidden/>
    <w:unhideWhenUsed/>
    <w:rsid w:val="00FE5AB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E5AB4"/>
  </w:style>
  <w:style w:type="paragraph" w:styleId="Footer">
    <w:name w:val="footer"/>
    <w:basedOn w:val="Normal"/>
    <w:link w:val="FooterChar"/>
    <w:uiPriority w:val="99"/>
    <w:semiHidden/>
    <w:unhideWhenUsed/>
    <w:rsid w:val="00FE5AB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E5AB4"/>
  </w:style>
  <w:style w:type="table" w:styleId="TableGrid">
    <w:name w:val="Table Grid"/>
    <w:basedOn w:val="TableNormal"/>
    <w:uiPriority w:val="59"/>
    <w:rsid w:val="00272F5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402035"/>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02035"/>
  </w:style>
  <w:style w:type="character" w:customStyle="1" w:styleId="whitespace-normal">
    <w:name w:val="whitespace-normal"/>
    <w:basedOn w:val="DefaultParagraphFont"/>
    <w:rsid w:val="00402035"/>
  </w:style>
  <w:style w:type="character" w:styleId="Strong">
    <w:name w:val="Strong"/>
    <w:basedOn w:val="DefaultParagraphFont"/>
    <w:uiPriority w:val="22"/>
    <w:qFormat/>
    <w:rsid w:val="00402035"/>
    <w:rPr>
      <w:b/>
      <w:bCs/>
    </w:rPr>
  </w:style>
  <w:style w:type="character" w:styleId="Hyperlink">
    <w:name w:val="Hyperlink"/>
    <w:basedOn w:val="DefaultParagraphFont"/>
    <w:uiPriority w:val="99"/>
    <w:unhideWhenUsed/>
    <w:rsid w:val="00E504D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organisations/environment-agency" TargetMode="External"/><Relationship Id="rId18" Type="http://schemas.openxmlformats.org/officeDocument/2006/relationships/hyperlink" Target="https://www.nihr.ac.uk/funding/uk-lmic-research-partnership-uk-public-health-rapid-support-team-uk-phrst/2025355" TargetMode="External"/><Relationship Id="rId26" Type="http://schemas.openxmlformats.org/officeDocument/2006/relationships/hyperlink" Target="https://www.gov.uk/government/publications/behaviour-change-guide-for-local-government-and-partners" TargetMode="External"/><Relationship Id="rId39" Type="http://schemas.openxmlformats.org/officeDocument/2006/relationships/footer" Target="footer1.xml"/><Relationship Id="rId21" Type="http://schemas.openxmlformats.org/officeDocument/2006/relationships/hyperlink" Target="https://www.england.nhs.uk/about/equality/equality-hub/national-healthcare-inequalities-improvement-programme/our-approach-to-reducing-healthcare-inequalities/strategic-drivers/" TargetMode="External"/><Relationship Id="rId34" Type="http://schemas.openxmlformats.org/officeDocument/2006/relationships/hyperlink" Target="https://www.water.org.uk/"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ommonslibrary.parliament.uk/research-briefings/cdp-2019-0180/?utm_source=chatgpt.com" TargetMode="External"/><Relationship Id="rId20" Type="http://schemas.openxmlformats.org/officeDocument/2006/relationships/hyperlink" Target="https://www.longtermplan.nhs.uk/areas-of-work/digital-transformation/" TargetMode="External"/><Relationship Id="rId29" Type="http://schemas.openxmlformats.org/officeDocument/2006/relationships/hyperlink" Target="https://www.gov.uk/government/publications/uks-voluntary-national-review-of-the-sustainable-development-goal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organisations/defra" TargetMode="External"/><Relationship Id="rId24" Type="http://schemas.openxmlformats.org/officeDocument/2006/relationships/hyperlink" Target="https://www.ofwat.gov.uk/" TargetMode="External"/><Relationship Id="rId32" Type="http://schemas.openxmlformats.org/officeDocument/2006/relationships/hyperlink" Target="https://sdgs.un.org/goals/goal6" TargetMode="External"/><Relationship Id="rId37" Type="http://schemas.openxmlformats.org/officeDocument/2006/relationships/hyperlink" Target="https://www.worldbank.org/en/topic/water"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2.local.gov.uk/publications/councillors-guide-local-authority-public-health-responsibilities-0" TargetMode="External"/><Relationship Id="rId23" Type="http://schemas.openxmlformats.org/officeDocument/2006/relationships/hyperlink" Target="https://www.ofwat.gov.uk/" TargetMode="External"/><Relationship Id="rId28" Type="http://schemas.openxmlformats.org/officeDocument/2006/relationships/hyperlink" Target="https://www.gov.uk/government/uploads/system/uploads/attachment_data/file/193404/rrep809.pdf" TargetMode="External"/><Relationship Id="rId36" Type="http://schemas.openxmlformats.org/officeDocument/2006/relationships/hyperlink" Target="https://www.who.int/europe/about-us/our-work/sustainable-development-goals/targets-of-sustainable-development-goal-3" TargetMode="External"/><Relationship Id="rId10" Type="http://schemas.openxmlformats.org/officeDocument/2006/relationships/hyperlink" Target="https://www.ccwater.org.uk/" TargetMode="External"/><Relationship Id="rId19" Type="http://schemas.openxmlformats.org/officeDocument/2006/relationships/hyperlink" Target="https://www.england.nhs.uk/long-read/a-national-framework-for-nhs-action-on-inclusion-health/" TargetMode="External"/><Relationship Id="rId31" Type="http://schemas.openxmlformats.org/officeDocument/2006/relationships/hyperlink" Target="https://www.unicef.org/wash" TargetMode="External"/><Relationship Id="rId4" Type="http://schemas.openxmlformats.org/officeDocument/2006/relationships/webSettings" Target="webSettings.xml"/><Relationship Id="rId9" Type="http://schemas.openxmlformats.org/officeDocument/2006/relationships/hyperlink" Target="https://actionforglobalhealth.org.uk/wp-content/uploads/2022/07/Bond-SDG-Report-2022.pdf" TargetMode="External"/><Relationship Id="rId14" Type="http://schemas.openxmlformats.org/officeDocument/2006/relationships/hyperlink" Target="https://www.ons.gov.uk/peoplepopulationandcommunity/healthandsocialcare/healthinequalities/bulletins/healthylifeexpectancybynationalareadeprivationenglandandwales/between2013to2015and2020to2022" TargetMode="External"/><Relationship Id="rId22" Type="http://schemas.openxmlformats.org/officeDocument/2006/relationships/hyperlink" Target="https://www.gov.uk/government/statistics/wider-determinants-of-health-february-2026-update" TargetMode="External"/><Relationship Id="rId27" Type="http://schemas.openxmlformats.org/officeDocument/2006/relationships/hyperlink" Target="https://www.reading.gov.uk/adult-care/public-health-and-staying-well/annual-public-health-report-2024/" TargetMode="External"/><Relationship Id="rId30" Type="http://schemas.openxmlformats.org/officeDocument/2006/relationships/hyperlink" Target="https://www.gov.uk/government/publications/global-health-framework-working-together-towards-a-healthier-world" TargetMode="External"/><Relationship Id="rId35" Type="http://schemas.openxmlformats.org/officeDocument/2006/relationships/hyperlink" Target="https://www.wateraid.org/uk" TargetMode="External"/><Relationship Id="rId8" Type="http://schemas.openxmlformats.org/officeDocument/2006/relationships/hyperlink" Target="https://www.ageuk.org.uk/discover/2024/september/state-of-health-and-care-of-older-people-in-england-2024/" TargetMode="External"/><Relationship Id="rId3" Type="http://schemas.openxmlformats.org/officeDocument/2006/relationships/settings" Target="settings.xml"/><Relationship Id="rId12" Type="http://schemas.openxmlformats.org/officeDocument/2006/relationships/hyperlink" Target="https://www.gov.uk/government/organisations/environment-agency" TargetMode="External"/><Relationship Id="rId17" Type="http://schemas.openxmlformats.org/officeDocument/2006/relationships/hyperlink" Target="https://www.nao.org.uk/" TargetMode="External"/><Relationship Id="rId25" Type="http://schemas.openxmlformats.org/officeDocument/2006/relationships/hyperlink" Target="https://www.gov.uk/guidance/nationally-significant-infrastructure-projects-advice-on-the-water-framework-directive" TargetMode="External"/><Relationship Id="rId33" Type="http://schemas.openxmlformats.org/officeDocument/2006/relationships/hyperlink" Target="https://water.org/our-impact/water-crisis/"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3716</Words>
  <Characters>21185</Characters>
  <Application>Microsoft Office Word</Application>
  <DocSecurity>0</DocSecurity>
  <Lines>176</Lines>
  <Paragraphs>49</Paragraphs>
  <ScaleCrop>false</ScaleCrop>
  <Company/>
  <LinksUpToDate>false</LinksUpToDate>
  <CharactersWithSpaces>24852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Deyan Hamid Kheder (2245696)</dc:creator>
  <cp:keywords/>
  <dc:description/>
  <cp:lastModifiedBy>Deyan Hamid Kheder (2245696)</cp:lastModifiedBy>
  <cp:revision>2</cp:revision>
  <dcterms:created xsi:type="dcterms:W3CDTF">2026-03-18T22:45:00Z</dcterms:created>
  <dcterms:modified xsi:type="dcterms:W3CDTF">2026-03-18T22:45:00Z</dcterms:modified>
</cp:coreProperties>
</file>