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AD83F2" w14:textId="0B930F55" w:rsidR="00847225" w:rsidRDefault="00FC77DE" w:rsidP="00532AD5">
      <w:pPr>
        <w:spacing w:before="300" w:after="160" w:line="360" w:lineRule="auto"/>
        <w:jc w:val="center"/>
        <w:rPr>
          <w:b/>
          <w:bCs/>
          <w:sz w:val="32"/>
          <w:szCs w:val="32"/>
          <w:lang w:val="en-GB"/>
        </w:rPr>
      </w:pPr>
      <w:r w:rsidRPr="005B432B">
        <w:rPr>
          <w:b/>
          <w:bCs/>
          <w:noProof/>
          <w:sz w:val="32"/>
          <w:szCs w:val="32"/>
        </w:rPr>
        <w:drawing>
          <wp:inline distT="0" distB="0" distL="0" distR="0" wp14:anchorId="23BFF87D" wp14:editId="627DEF5C">
            <wp:extent cx="2822920" cy="1341120"/>
            <wp:effectExtent l="0" t="0" r="0" b="0"/>
            <wp:docPr id="1202152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52187" name=""/>
                    <pic:cNvPicPr/>
                  </pic:nvPicPr>
                  <pic:blipFill>
                    <a:blip r:embed="rId8"/>
                    <a:stretch>
                      <a:fillRect/>
                    </a:stretch>
                  </pic:blipFill>
                  <pic:spPr>
                    <a:xfrm>
                      <a:off x="0" y="0"/>
                      <a:ext cx="2826842" cy="1342984"/>
                    </a:xfrm>
                    <a:prstGeom prst="rect">
                      <a:avLst/>
                    </a:prstGeom>
                  </pic:spPr>
                </pic:pic>
              </a:graphicData>
            </a:graphic>
          </wp:inline>
        </w:drawing>
      </w:r>
    </w:p>
    <w:p w14:paraId="641C1277" w14:textId="75F2EE62" w:rsidR="00532AD5" w:rsidRPr="009E7100" w:rsidRDefault="00532AD5" w:rsidP="003C3B3D">
      <w:pPr>
        <w:spacing w:before="300" w:after="160" w:line="480" w:lineRule="auto"/>
        <w:jc w:val="center"/>
        <w:rPr>
          <w:b/>
          <w:bCs/>
          <w:sz w:val="36"/>
          <w:szCs w:val="36"/>
          <w:lang w:val="en-GB"/>
        </w:rPr>
      </w:pPr>
      <w:r w:rsidRPr="009E7100">
        <w:rPr>
          <w:b/>
          <w:bCs/>
          <w:sz w:val="36"/>
          <w:szCs w:val="36"/>
          <w:lang w:val="en-GB"/>
        </w:rPr>
        <w:t>Programme: Master of Business Administration</w:t>
      </w:r>
    </w:p>
    <w:p w14:paraId="23FD44C3" w14:textId="77777777" w:rsidR="00532AD5" w:rsidRPr="009E7100" w:rsidRDefault="00532AD5" w:rsidP="003C3B3D">
      <w:pPr>
        <w:spacing w:before="300" w:after="160" w:line="480" w:lineRule="auto"/>
        <w:jc w:val="center"/>
        <w:rPr>
          <w:b/>
          <w:bCs/>
          <w:sz w:val="36"/>
          <w:szCs w:val="36"/>
          <w:lang w:val="en-GB"/>
        </w:rPr>
      </w:pPr>
      <w:r w:rsidRPr="009E7100">
        <w:rPr>
          <w:b/>
          <w:bCs/>
          <w:sz w:val="36"/>
          <w:szCs w:val="36"/>
          <w:lang w:val="en-GB"/>
        </w:rPr>
        <w:t>Module: International Business Concepts</w:t>
      </w:r>
    </w:p>
    <w:p w14:paraId="18DECA21" w14:textId="4643A509" w:rsidR="00532AD5" w:rsidRDefault="00532AD5" w:rsidP="003C3B3D">
      <w:pPr>
        <w:spacing w:before="300" w:after="160" w:line="480" w:lineRule="auto"/>
        <w:jc w:val="center"/>
        <w:rPr>
          <w:b/>
          <w:bCs/>
          <w:sz w:val="36"/>
          <w:szCs w:val="36"/>
          <w:lang w:val="en-GB"/>
        </w:rPr>
      </w:pPr>
      <w:r w:rsidRPr="009E7100">
        <w:rPr>
          <w:b/>
          <w:bCs/>
          <w:sz w:val="36"/>
          <w:szCs w:val="36"/>
          <w:lang w:val="en-GB"/>
        </w:rPr>
        <w:t>Module code: LCMB7034</w:t>
      </w:r>
    </w:p>
    <w:p w14:paraId="1680AA8F" w14:textId="6670356D" w:rsidR="00B858E8" w:rsidRDefault="000B12FD" w:rsidP="003C3B3D">
      <w:pPr>
        <w:spacing w:before="300" w:after="160" w:line="240" w:lineRule="auto"/>
        <w:jc w:val="center"/>
        <w:rPr>
          <w:b/>
          <w:bCs/>
          <w:sz w:val="36"/>
          <w:szCs w:val="36"/>
          <w:lang w:val="en-GB"/>
        </w:rPr>
      </w:pPr>
      <w:r>
        <w:rPr>
          <w:b/>
          <w:bCs/>
          <w:sz w:val="36"/>
          <w:szCs w:val="36"/>
          <w:lang w:val="en-GB"/>
        </w:rPr>
        <w:t>Lecturer</w:t>
      </w:r>
      <w:r w:rsidR="00C16C7B">
        <w:rPr>
          <w:b/>
          <w:bCs/>
          <w:sz w:val="36"/>
          <w:szCs w:val="36"/>
          <w:lang w:val="en-GB"/>
        </w:rPr>
        <w:t>: Akshay Narayanan</w:t>
      </w:r>
    </w:p>
    <w:p w14:paraId="32781CFF" w14:textId="5EC3E402" w:rsidR="00C16C7B" w:rsidRDefault="00193802" w:rsidP="003C3B3D">
      <w:pPr>
        <w:spacing w:before="300" w:after="160" w:line="240" w:lineRule="auto"/>
        <w:jc w:val="center"/>
        <w:rPr>
          <w:b/>
          <w:bCs/>
          <w:sz w:val="36"/>
          <w:szCs w:val="36"/>
          <w:lang w:val="en-GB"/>
        </w:rPr>
      </w:pPr>
      <w:r>
        <w:rPr>
          <w:b/>
          <w:bCs/>
          <w:sz w:val="36"/>
          <w:szCs w:val="36"/>
          <w:lang w:val="en-GB"/>
        </w:rPr>
        <w:t>Mansoob Murshed</w:t>
      </w:r>
    </w:p>
    <w:p w14:paraId="2198DB76" w14:textId="77777777" w:rsidR="00193802" w:rsidRPr="009E7100" w:rsidRDefault="00193802" w:rsidP="003C3B3D">
      <w:pPr>
        <w:spacing w:before="300" w:after="160" w:line="240" w:lineRule="auto"/>
        <w:jc w:val="center"/>
        <w:rPr>
          <w:b/>
          <w:bCs/>
          <w:sz w:val="36"/>
          <w:szCs w:val="36"/>
          <w:lang w:val="en-GB"/>
        </w:rPr>
      </w:pPr>
    </w:p>
    <w:p w14:paraId="1C848CF0" w14:textId="3E03421C" w:rsidR="00A530DF" w:rsidRPr="009E7100" w:rsidRDefault="00A530DF" w:rsidP="003C3B3D">
      <w:pPr>
        <w:spacing w:before="300" w:after="160"/>
        <w:jc w:val="center"/>
        <w:rPr>
          <w:b/>
          <w:bCs/>
          <w:sz w:val="36"/>
          <w:szCs w:val="36"/>
          <w:lang w:val="en-GB"/>
        </w:rPr>
      </w:pPr>
      <w:r w:rsidRPr="009E7100">
        <w:rPr>
          <w:b/>
          <w:bCs/>
          <w:sz w:val="36"/>
          <w:szCs w:val="36"/>
          <w:lang w:val="en-GB"/>
        </w:rPr>
        <w:t>Title: IKEA’s International Strategy and Market Entry into Argentina: A Critical Evaluation of Organisational Configuration, Macro-Environmental Attractiveness and Entry-Mode Choice</w:t>
      </w:r>
    </w:p>
    <w:p w14:paraId="0C4CCFC7" w14:textId="77777777" w:rsidR="00B858E8" w:rsidRDefault="00B858E8" w:rsidP="003C3B3D">
      <w:pPr>
        <w:spacing w:before="300" w:after="160"/>
        <w:jc w:val="center"/>
        <w:rPr>
          <w:b/>
          <w:bCs/>
          <w:sz w:val="36"/>
          <w:szCs w:val="36"/>
          <w:lang w:val="en-GB"/>
        </w:rPr>
      </w:pPr>
    </w:p>
    <w:p w14:paraId="1CF2A9BE" w14:textId="1BF47582" w:rsidR="00532AD5" w:rsidRPr="009E7100" w:rsidRDefault="00532AD5" w:rsidP="003C3B3D">
      <w:pPr>
        <w:spacing w:before="300" w:after="160"/>
        <w:jc w:val="center"/>
        <w:rPr>
          <w:b/>
          <w:bCs/>
          <w:sz w:val="36"/>
          <w:szCs w:val="36"/>
          <w:lang w:val="en-GB"/>
        </w:rPr>
      </w:pPr>
      <w:r w:rsidRPr="009E7100">
        <w:rPr>
          <w:b/>
          <w:bCs/>
          <w:sz w:val="36"/>
          <w:szCs w:val="36"/>
          <w:lang w:val="en-GB"/>
        </w:rPr>
        <w:t>Student Name:</w:t>
      </w:r>
      <w:r w:rsidR="00CE3B68" w:rsidRPr="009E7100">
        <w:rPr>
          <w:b/>
          <w:bCs/>
          <w:sz w:val="36"/>
          <w:szCs w:val="36"/>
          <w:lang w:val="en-GB"/>
        </w:rPr>
        <w:t xml:space="preserve"> Avani Dilipbhai Panchal</w:t>
      </w:r>
    </w:p>
    <w:p w14:paraId="2E1E7FDB" w14:textId="4B54C563" w:rsidR="00532AD5" w:rsidRPr="009E7100" w:rsidRDefault="00532AD5" w:rsidP="003C3B3D">
      <w:pPr>
        <w:spacing w:before="300" w:after="160"/>
        <w:jc w:val="center"/>
        <w:rPr>
          <w:b/>
          <w:bCs/>
          <w:sz w:val="36"/>
          <w:szCs w:val="36"/>
          <w:lang w:val="en-GB"/>
        </w:rPr>
      </w:pPr>
      <w:r w:rsidRPr="009E7100">
        <w:rPr>
          <w:b/>
          <w:bCs/>
          <w:sz w:val="36"/>
          <w:szCs w:val="36"/>
          <w:lang w:val="en-GB"/>
        </w:rPr>
        <w:t>Student ID:</w:t>
      </w:r>
      <w:r w:rsidR="00CE3B68" w:rsidRPr="009E7100">
        <w:rPr>
          <w:b/>
          <w:bCs/>
          <w:sz w:val="36"/>
          <w:szCs w:val="36"/>
          <w:lang w:val="en-GB"/>
        </w:rPr>
        <w:t xml:space="preserve"> 2527582</w:t>
      </w:r>
    </w:p>
    <w:p w14:paraId="5B912D6F" w14:textId="42E86919" w:rsidR="009856E5" w:rsidRPr="00114F94" w:rsidRDefault="00847225" w:rsidP="00532AD5">
      <w:pPr>
        <w:spacing w:before="300" w:after="160" w:line="360" w:lineRule="auto"/>
        <w:jc w:val="center"/>
        <w:rPr>
          <w:b/>
          <w:bCs/>
          <w:sz w:val="24"/>
          <w:szCs w:val="24"/>
          <w:u w:val="single"/>
          <w:lang w:val="en-GB"/>
        </w:rPr>
      </w:pPr>
      <w:r>
        <w:rPr>
          <w:b/>
          <w:bCs/>
          <w:sz w:val="24"/>
          <w:szCs w:val="24"/>
          <w:u w:val="single"/>
          <w:lang w:val="en-GB"/>
        </w:rPr>
        <w:lastRenderedPageBreak/>
        <w:t>Executive Summary</w:t>
      </w:r>
    </w:p>
    <w:p w14:paraId="6B88DDDA" w14:textId="77777777" w:rsidR="009856E5" w:rsidRPr="00114F94" w:rsidRDefault="00000000">
      <w:pPr>
        <w:spacing w:before="300" w:after="160" w:line="360" w:lineRule="auto"/>
        <w:jc w:val="both"/>
        <w:rPr>
          <w:sz w:val="24"/>
          <w:szCs w:val="24"/>
          <w:lang w:val="en-GB"/>
        </w:rPr>
      </w:pPr>
      <w:r w:rsidRPr="00114F94">
        <w:rPr>
          <w:sz w:val="24"/>
          <w:szCs w:val="24"/>
          <w:lang w:val="en-GB"/>
        </w:rPr>
        <w:t>This report critically analyzes the potential market entry of IKEA in Argentina, a country that currently has no formal presence of IKEA and is home to more than 45 million consumers. It examines IKEA's strategy on the global plane and also the political, economic, legal and cultural context of Argentina, as well as Argentina's modes of entry to internationally, using the transnational typology of Bartlett and Ghoshal, the OLI paradigm of Dunning, and institutional frameworks. The brand, logistics, and local franchising assets are significant ownership advantages that travel alongside the skin, while the negative ownership forces of currency volatility and institutional risk also provide the argument for not being wholly owned. What's worked so far is a staged master franchise featuring a well-capitalized local partner and using the compact format to gauge demand and maintain brand control and future optionality.</w:t>
      </w:r>
    </w:p>
    <w:p w14:paraId="50F82075" w14:textId="77777777" w:rsidR="00532AD5" w:rsidRPr="00114F94" w:rsidRDefault="00532AD5">
      <w:pPr>
        <w:rPr>
          <w:b/>
          <w:bCs/>
          <w:color w:val="000000" w:themeColor="text1"/>
          <w:sz w:val="24"/>
          <w:szCs w:val="24"/>
          <w:lang w:val="en-GB"/>
        </w:rPr>
      </w:pPr>
      <w:bookmarkStart w:id="0" w:name="_d4d47lz7ewth" w:colFirst="0" w:colLast="0"/>
      <w:bookmarkEnd w:id="0"/>
      <w:r w:rsidRPr="00114F94">
        <w:rPr>
          <w:bCs/>
          <w:sz w:val="24"/>
          <w:szCs w:val="24"/>
          <w:lang w:val="en-GB"/>
        </w:rPr>
        <w:br w:type="page"/>
      </w:r>
    </w:p>
    <w:sdt>
      <w:sdtPr>
        <w:rPr>
          <w:rFonts w:ascii="Arial" w:eastAsia="Arial" w:hAnsi="Arial" w:cs="Arial"/>
          <w:color w:val="auto"/>
          <w:sz w:val="22"/>
          <w:szCs w:val="22"/>
          <w:lang w:val="en-GB" w:eastAsia="en-IN"/>
        </w:rPr>
        <w:id w:val="986289639"/>
        <w:docPartObj>
          <w:docPartGallery w:val="Table of Contents"/>
          <w:docPartUnique/>
        </w:docPartObj>
      </w:sdtPr>
      <w:sdtEndPr>
        <w:rPr>
          <w:b/>
          <w:bCs/>
          <w:noProof/>
        </w:rPr>
      </w:sdtEndPr>
      <w:sdtContent>
        <w:p w14:paraId="337D5B95" w14:textId="31657C7A" w:rsidR="00532AD5" w:rsidRPr="00114F94" w:rsidRDefault="00532AD5" w:rsidP="00532AD5">
          <w:pPr>
            <w:pStyle w:val="TOCHeading"/>
            <w:spacing w:line="276" w:lineRule="auto"/>
            <w:jc w:val="center"/>
            <w:rPr>
              <w:rFonts w:ascii="Arial" w:hAnsi="Arial" w:cs="Arial"/>
              <w:b/>
              <w:bCs/>
              <w:color w:val="auto"/>
              <w:sz w:val="24"/>
              <w:szCs w:val="24"/>
              <w:lang w:val="en-GB"/>
            </w:rPr>
          </w:pPr>
          <w:r w:rsidRPr="00114F94">
            <w:rPr>
              <w:rFonts w:ascii="Arial" w:hAnsi="Arial" w:cs="Arial"/>
              <w:b/>
              <w:bCs/>
              <w:color w:val="auto"/>
              <w:sz w:val="24"/>
              <w:szCs w:val="24"/>
              <w:lang w:val="en-GB"/>
            </w:rPr>
            <w:t>Table of Contents</w:t>
          </w:r>
        </w:p>
        <w:p w14:paraId="679B5FB9" w14:textId="004F5A38" w:rsidR="0024711C" w:rsidRPr="0024711C" w:rsidRDefault="00532AD5">
          <w:pPr>
            <w:pStyle w:val="TOC1"/>
            <w:tabs>
              <w:tab w:val="right" w:leader="dot" w:pos="9350"/>
            </w:tabs>
            <w:rPr>
              <w:rFonts w:asciiTheme="minorHAnsi" w:eastAsiaTheme="minorEastAsia" w:hAnsiTheme="minorHAnsi" w:cstheme="minorBidi"/>
              <w:noProof/>
              <w:kern w:val="2"/>
              <w:sz w:val="28"/>
              <w:szCs w:val="28"/>
              <w:lang w:val="en-GB" w:eastAsia="en-GB"/>
              <w14:ligatures w14:val="standardContextual"/>
            </w:rPr>
          </w:pPr>
          <w:r w:rsidRPr="00114F94">
            <w:rPr>
              <w:sz w:val="24"/>
              <w:szCs w:val="24"/>
              <w:lang w:val="en-GB"/>
            </w:rPr>
            <w:fldChar w:fldCharType="begin"/>
          </w:r>
          <w:r w:rsidRPr="00114F94">
            <w:rPr>
              <w:sz w:val="24"/>
              <w:szCs w:val="24"/>
              <w:lang w:val="en-GB"/>
            </w:rPr>
            <w:instrText xml:space="preserve"> TOC \o "1-3" \h \z \u </w:instrText>
          </w:r>
          <w:r w:rsidRPr="00114F94">
            <w:rPr>
              <w:sz w:val="24"/>
              <w:szCs w:val="24"/>
              <w:lang w:val="en-GB"/>
            </w:rPr>
            <w:fldChar w:fldCharType="separate"/>
          </w:r>
          <w:hyperlink w:anchor="_Toc237104944" w:history="1">
            <w:r w:rsidR="0024711C" w:rsidRPr="0024711C">
              <w:rPr>
                <w:rStyle w:val="Hyperlink"/>
                <w:noProof/>
                <w:sz w:val="24"/>
                <w:szCs w:val="24"/>
                <w:lang w:val="en-GB"/>
              </w:rPr>
              <w:t>Introduction</w:t>
            </w:r>
            <w:r w:rsidR="0024711C" w:rsidRPr="0024711C">
              <w:rPr>
                <w:noProof/>
                <w:webHidden/>
                <w:sz w:val="24"/>
                <w:szCs w:val="24"/>
              </w:rPr>
              <w:tab/>
            </w:r>
            <w:r w:rsidR="0024711C" w:rsidRPr="0024711C">
              <w:rPr>
                <w:noProof/>
                <w:webHidden/>
                <w:sz w:val="24"/>
                <w:szCs w:val="24"/>
              </w:rPr>
              <w:fldChar w:fldCharType="begin"/>
            </w:r>
            <w:r w:rsidR="0024711C" w:rsidRPr="0024711C">
              <w:rPr>
                <w:noProof/>
                <w:webHidden/>
                <w:sz w:val="24"/>
                <w:szCs w:val="24"/>
              </w:rPr>
              <w:instrText xml:space="preserve"> PAGEREF _Toc237104944 \h </w:instrText>
            </w:r>
            <w:r w:rsidR="0024711C" w:rsidRPr="0024711C">
              <w:rPr>
                <w:noProof/>
                <w:webHidden/>
                <w:sz w:val="24"/>
                <w:szCs w:val="24"/>
              </w:rPr>
            </w:r>
            <w:r w:rsidR="0024711C" w:rsidRPr="0024711C">
              <w:rPr>
                <w:noProof/>
                <w:webHidden/>
                <w:sz w:val="24"/>
                <w:szCs w:val="24"/>
              </w:rPr>
              <w:fldChar w:fldCharType="separate"/>
            </w:r>
            <w:r w:rsidR="0024711C" w:rsidRPr="0024711C">
              <w:rPr>
                <w:noProof/>
                <w:webHidden/>
                <w:sz w:val="24"/>
                <w:szCs w:val="24"/>
              </w:rPr>
              <w:t>4</w:t>
            </w:r>
            <w:r w:rsidR="0024711C" w:rsidRPr="0024711C">
              <w:rPr>
                <w:noProof/>
                <w:webHidden/>
                <w:sz w:val="24"/>
                <w:szCs w:val="24"/>
              </w:rPr>
              <w:fldChar w:fldCharType="end"/>
            </w:r>
          </w:hyperlink>
        </w:p>
        <w:p w14:paraId="4EB41F1D" w14:textId="0E020354" w:rsidR="0024711C" w:rsidRPr="0024711C" w:rsidRDefault="0024711C">
          <w:pPr>
            <w:pStyle w:val="TOC1"/>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45" w:history="1">
            <w:r w:rsidRPr="0024711C">
              <w:rPr>
                <w:rStyle w:val="Hyperlink"/>
                <w:noProof/>
                <w:sz w:val="24"/>
                <w:szCs w:val="24"/>
                <w:lang w:val="en-GB"/>
              </w:rPr>
              <w:t>Section 1: IKEA's International Strategy and Market Entry into Argentina: A Critical Evaluation</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_Toc237104945 \h </w:instrText>
            </w:r>
            <w:r w:rsidRPr="0024711C">
              <w:rPr>
                <w:noProof/>
                <w:webHidden/>
                <w:sz w:val="24"/>
                <w:szCs w:val="24"/>
              </w:rPr>
            </w:r>
            <w:r w:rsidRPr="0024711C">
              <w:rPr>
                <w:noProof/>
                <w:webHidden/>
                <w:sz w:val="24"/>
                <w:szCs w:val="24"/>
              </w:rPr>
              <w:fldChar w:fldCharType="separate"/>
            </w:r>
            <w:r w:rsidRPr="0024711C">
              <w:rPr>
                <w:noProof/>
                <w:webHidden/>
                <w:sz w:val="24"/>
                <w:szCs w:val="24"/>
              </w:rPr>
              <w:t>4</w:t>
            </w:r>
            <w:r w:rsidRPr="0024711C">
              <w:rPr>
                <w:noProof/>
                <w:webHidden/>
                <w:sz w:val="24"/>
                <w:szCs w:val="24"/>
              </w:rPr>
              <w:fldChar w:fldCharType="end"/>
            </w:r>
          </w:hyperlink>
        </w:p>
        <w:p w14:paraId="6F1A6C61" w14:textId="6B43561E" w:rsidR="0024711C" w:rsidRPr="0024711C" w:rsidRDefault="0024711C">
          <w:pPr>
            <w:pStyle w:val="TOC1"/>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46" w:history="1">
            <w:r w:rsidRPr="0024711C">
              <w:rPr>
                <w:rStyle w:val="Hyperlink"/>
                <w:noProof/>
                <w:sz w:val="24"/>
                <w:szCs w:val="24"/>
                <w:lang w:val="en-GB"/>
              </w:rPr>
              <w:t>1. Organisational Classification and Global Strategy</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_Toc237104946 \h </w:instrText>
            </w:r>
            <w:r w:rsidRPr="0024711C">
              <w:rPr>
                <w:noProof/>
                <w:webHidden/>
                <w:sz w:val="24"/>
                <w:szCs w:val="24"/>
              </w:rPr>
            </w:r>
            <w:r w:rsidRPr="0024711C">
              <w:rPr>
                <w:noProof/>
                <w:webHidden/>
                <w:sz w:val="24"/>
                <w:szCs w:val="24"/>
              </w:rPr>
              <w:fldChar w:fldCharType="separate"/>
            </w:r>
            <w:r w:rsidRPr="0024711C">
              <w:rPr>
                <w:noProof/>
                <w:webHidden/>
                <w:sz w:val="24"/>
                <w:szCs w:val="24"/>
              </w:rPr>
              <w:t>4</w:t>
            </w:r>
            <w:r w:rsidRPr="0024711C">
              <w:rPr>
                <w:noProof/>
                <w:webHidden/>
                <w:sz w:val="24"/>
                <w:szCs w:val="24"/>
              </w:rPr>
              <w:fldChar w:fldCharType="end"/>
            </w:r>
          </w:hyperlink>
        </w:p>
        <w:p w14:paraId="63BCC510" w14:textId="203270C0" w:rsidR="0024711C" w:rsidRPr="0024711C" w:rsidRDefault="0024711C">
          <w:pPr>
            <w:pStyle w:val="TOC2"/>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47" w:history="1">
            <w:r w:rsidRPr="0024711C">
              <w:rPr>
                <w:rStyle w:val="Hyperlink"/>
                <w:noProof/>
                <w:sz w:val="24"/>
                <w:szCs w:val="24"/>
                <w:lang w:val="en-GB"/>
              </w:rPr>
              <w:t>1.1 Strategic Categorisation</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_Toc237104947 \h </w:instrText>
            </w:r>
            <w:r w:rsidRPr="0024711C">
              <w:rPr>
                <w:noProof/>
                <w:webHidden/>
                <w:sz w:val="24"/>
                <w:szCs w:val="24"/>
              </w:rPr>
            </w:r>
            <w:r w:rsidRPr="0024711C">
              <w:rPr>
                <w:noProof/>
                <w:webHidden/>
                <w:sz w:val="24"/>
                <w:szCs w:val="24"/>
              </w:rPr>
              <w:fldChar w:fldCharType="separate"/>
            </w:r>
            <w:r w:rsidRPr="0024711C">
              <w:rPr>
                <w:noProof/>
                <w:webHidden/>
                <w:sz w:val="24"/>
                <w:szCs w:val="24"/>
              </w:rPr>
              <w:t>4</w:t>
            </w:r>
            <w:r w:rsidRPr="0024711C">
              <w:rPr>
                <w:noProof/>
                <w:webHidden/>
                <w:sz w:val="24"/>
                <w:szCs w:val="24"/>
              </w:rPr>
              <w:fldChar w:fldCharType="end"/>
            </w:r>
          </w:hyperlink>
        </w:p>
        <w:p w14:paraId="5BE0F285" w14:textId="34F08D0C" w:rsidR="0024711C" w:rsidRPr="0024711C" w:rsidRDefault="0024711C">
          <w:pPr>
            <w:pStyle w:val="TOC2"/>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48" w:history="1">
            <w:r w:rsidRPr="0024711C">
              <w:rPr>
                <w:rStyle w:val="Hyperlink"/>
                <w:noProof/>
                <w:sz w:val="24"/>
                <w:szCs w:val="24"/>
                <w:lang w:val="en-GB"/>
              </w:rPr>
              <w:t>1.2 Global Configuration and Competitive Advantage</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_Toc237104948 \h </w:instrText>
            </w:r>
            <w:r w:rsidRPr="0024711C">
              <w:rPr>
                <w:noProof/>
                <w:webHidden/>
                <w:sz w:val="24"/>
                <w:szCs w:val="24"/>
              </w:rPr>
            </w:r>
            <w:r w:rsidRPr="0024711C">
              <w:rPr>
                <w:noProof/>
                <w:webHidden/>
                <w:sz w:val="24"/>
                <w:szCs w:val="24"/>
              </w:rPr>
              <w:fldChar w:fldCharType="separate"/>
            </w:r>
            <w:r w:rsidRPr="0024711C">
              <w:rPr>
                <w:noProof/>
                <w:webHidden/>
                <w:sz w:val="24"/>
                <w:szCs w:val="24"/>
              </w:rPr>
              <w:t>6</w:t>
            </w:r>
            <w:r w:rsidRPr="0024711C">
              <w:rPr>
                <w:noProof/>
                <w:webHidden/>
                <w:sz w:val="24"/>
                <w:szCs w:val="24"/>
              </w:rPr>
              <w:fldChar w:fldCharType="end"/>
            </w:r>
          </w:hyperlink>
        </w:p>
        <w:p w14:paraId="5FC4ADE2" w14:textId="7484816B" w:rsidR="0024711C" w:rsidRPr="0024711C" w:rsidRDefault="0024711C">
          <w:pPr>
            <w:pStyle w:val="TOC1"/>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49" w:history="1">
            <w:r w:rsidRPr="0024711C">
              <w:rPr>
                <w:rStyle w:val="Hyperlink"/>
                <w:noProof/>
                <w:sz w:val="24"/>
                <w:szCs w:val="24"/>
                <w:lang w:val="en-GB"/>
              </w:rPr>
              <w:t>2. Macro-Environmental Appraisal and Market Attractiveness</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_Toc237104949 \h </w:instrText>
            </w:r>
            <w:r w:rsidRPr="0024711C">
              <w:rPr>
                <w:noProof/>
                <w:webHidden/>
                <w:sz w:val="24"/>
                <w:szCs w:val="24"/>
              </w:rPr>
            </w:r>
            <w:r w:rsidRPr="0024711C">
              <w:rPr>
                <w:noProof/>
                <w:webHidden/>
                <w:sz w:val="24"/>
                <w:szCs w:val="24"/>
              </w:rPr>
              <w:fldChar w:fldCharType="separate"/>
            </w:r>
            <w:r w:rsidRPr="0024711C">
              <w:rPr>
                <w:noProof/>
                <w:webHidden/>
                <w:sz w:val="24"/>
                <w:szCs w:val="24"/>
              </w:rPr>
              <w:t>7</w:t>
            </w:r>
            <w:r w:rsidRPr="0024711C">
              <w:rPr>
                <w:noProof/>
                <w:webHidden/>
                <w:sz w:val="24"/>
                <w:szCs w:val="24"/>
              </w:rPr>
              <w:fldChar w:fldCharType="end"/>
            </w:r>
          </w:hyperlink>
        </w:p>
        <w:p w14:paraId="174FA194" w14:textId="4EC000AF" w:rsidR="0024711C" w:rsidRPr="0024711C" w:rsidRDefault="0024711C">
          <w:pPr>
            <w:pStyle w:val="TOC2"/>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50" w:history="1">
            <w:r w:rsidRPr="0024711C">
              <w:rPr>
                <w:rStyle w:val="Hyperlink"/>
                <w:noProof/>
                <w:sz w:val="24"/>
                <w:szCs w:val="24"/>
                <w:lang w:val="en-GB"/>
              </w:rPr>
              <w:t>2.1 Political Environment</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_Toc237104950 \h </w:instrText>
            </w:r>
            <w:r w:rsidRPr="0024711C">
              <w:rPr>
                <w:noProof/>
                <w:webHidden/>
                <w:sz w:val="24"/>
                <w:szCs w:val="24"/>
              </w:rPr>
            </w:r>
            <w:r w:rsidRPr="0024711C">
              <w:rPr>
                <w:noProof/>
                <w:webHidden/>
                <w:sz w:val="24"/>
                <w:szCs w:val="24"/>
              </w:rPr>
              <w:fldChar w:fldCharType="separate"/>
            </w:r>
            <w:r w:rsidRPr="0024711C">
              <w:rPr>
                <w:noProof/>
                <w:webHidden/>
                <w:sz w:val="24"/>
                <w:szCs w:val="24"/>
              </w:rPr>
              <w:t>7</w:t>
            </w:r>
            <w:r w:rsidRPr="0024711C">
              <w:rPr>
                <w:noProof/>
                <w:webHidden/>
                <w:sz w:val="24"/>
                <w:szCs w:val="24"/>
              </w:rPr>
              <w:fldChar w:fldCharType="end"/>
            </w:r>
          </w:hyperlink>
        </w:p>
        <w:p w14:paraId="64F66283" w14:textId="5D029719" w:rsidR="0024711C" w:rsidRPr="0024711C" w:rsidRDefault="0024711C">
          <w:pPr>
            <w:pStyle w:val="TOC2"/>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51" w:history="1">
            <w:r w:rsidRPr="0024711C">
              <w:rPr>
                <w:rStyle w:val="Hyperlink"/>
                <w:noProof/>
                <w:sz w:val="24"/>
                <w:szCs w:val="24"/>
                <w:lang w:val="en-GB"/>
              </w:rPr>
              <w:t>2.2 Economic Environment</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_Toc237104951 \h </w:instrText>
            </w:r>
            <w:r w:rsidRPr="0024711C">
              <w:rPr>
                <w:noProof/>
                <w:webHidden/>
                <w:sz w:val="24"/>
                <w:szCs w:val="24"/>
              </w:rPr>
            </w:r>
            <w:r w:rsidRPr="0024711C">
              <w:rPr>
                <w:noProof/>
                <w:webHidden/>
                <w:sz w:val="24"/>
                <w:szCs w:val="24"/>
              </w:rPr>
              <w:fldChar w:fldCharType="separate"/>
            </w:r>
            <w:r w:rsidRPr="0024711C">
              <w:rPr>
                <w:noProof/>
                <w:webHidden/>
                <w:sz w:val="24"/>
                <w:szCs w:val="24"/>
              </w:rPr>
              <w:t>8</w:t>
            </w:r>
            <w:r w:rsidRPr="0024711C">
              <w:rPr>
                <w:noProof/>
                <w:webHidden/>
                <w:sz w:val="24"/>
                <w:szCs w:val="24"/>
              </w:rPr>
              <w:fldChar w:fldCharType="end"/>
            </w:r>
          </w:hyperlink>
        </w:p>
        <w:p w14:paraId="5B2E1AD3" w14:textId="0064D53F" w:rsidR="0024711C" w:rsidRPr="0024711C" w:rsidRDefault="0024711C">
          <w:pPr>
            <w:pStyle w:val="TOC2"/>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52" w:history="1">
            <w:r w:rsidRPr="0024711C">
              <w:rPr>
                <w:rStyle w:val="Hyperlink"/>
                <w:noProof/>
                <w:sz w:val="24"/>
                <w:szCs w:val="24"/>
                <w:lang w:val="en-GB"/>
              </w:rPr>
              <w:t>2.3 Legal and Regulatory Environment</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_Toc237104952 \h </w:instrText>
            </w:r>
            <w:r w:rsidRPr="0024711C">
              <w:rPr>
                <w:noProof/>
                <w:webHidden/>
                <w:sz w:val="24"/>
                <w:szCs w:val="24"/>
              </w:rPr>
            </w:r>
            <w:r w:rsidRPr="0024711C">
              <w:rPr>
                <w:noProof/>
                <w:webHidden/>
                <w:sz w:val="24"/>
                <w:szCs w:val="24"/>
              </w:rPr>
              <w:fldChar w:fldCharType="separate"/>
            </w:r>
            <w:r w:rsidRPr="0024711C">
              <w:rPr>
                <w:noProof/>
                <w:webHidden/>
                <w:sz w:val="24"/>
                <w:szCs w:val="24"/>
              </w:rPr>
              <w:t>10</w:t>
            </w:r>
            <w:r w:rsidRPr="0024711C">
              <w:rPr>
                <w:noProof/>
                <w:webHidden/>
                <w:sz w:val="24"/>
                <w:szCs w:val="24"/>
              </w:rPr>
              <w:fldChar w:fldCharType="end"/>
            </w:r>
          </w:hyperlink>
        </w:p>
        <w:p w14:paraId="12C7E553" w14:textId="6709B109" w:rsidR="0024711C" w:rsidRPr="0024711C" w:rsidRDefault="0024711C">
          <w:pPr>
            <w:pStyle w:val="TOC2"/>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53" w:history="1">
            <w:r w:rsidRPr="0024711C">
              <w:rPr>
                <w:rStyle w:val="Hyperlink"/>
                <w:noProof/>
                <w:sz w:val="24"/>
                <w:szCs w:val="24"/>
                <w:lang w:val="en-GB"/>
              </w:rPr>
              <w:t>2.4 Cultural Environment</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_Toc237104953 \h </w:instrText>
            </w:r>
            <w:r w:rsidRPr="0024711C">
              <w:rPr>
                <w:noProof/>
                <w:webHidden/>
                <w:sz w:val="24"/>
                <w:szCs w:val="24"/>
              </w:rPr>
            </w:r>
            <w:r w:rsidRPr="0024711C">
              <w:rPr>
                <w:noProof/>
                <w:webHidden/>
                <w:sz w:val="24"/>
                <w:szCs w:val="24"/>
              </w:rPr>
              <w:fldChar w:fldCharType="separate"/>
            </w:r>
            <w:r w:rsidRPr="0024711C">
              <w:rPr>
                <w:noProof/>
                <w:webHidden/>
                <w:sz w:val="24"/>
                <w:szCs w:val="24"/>
              </w:rPr>
              <w:t>11</w:t>
            </w:r>
            <w:r w:rsidRPr="0024711C">
              <w:rPr>
                <w:noProof/>
                <w:webHidden/>
                <w:sz w:val="24"/>
                <w:szCs w:val="24"/>
              </w:rPr>
              <w:fldChar w:fldCharType="end"/>
            </w:r>
          </w:hyperlink>
        </w:p>
        <w:p w14:paraId="19B55E5F" w14:textId="291FD7D1" w:rsidR="0024711C" w:rsidRPr="0024711C" w:rsidRDefault="0024711C">
          <w:pPr>
            <w:pStyle w:val="TOC2"/>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54" w:history="1">
            <w:r w:rsidRPr="0024711C">
              <w:rPr>
                <w:rStyle w:val="Hyperlink"/>
                <w:noProof/>
                <w:sz w:val="24"/>
                <w:szCs w:val="24"/>
                <w:lang w:val="en-GB"/>
              </w:rPr>
              <w:t>2.5 Market Entry: Eclectic Paradigm (OLI) Synthesis</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_Toc237104954 \h </w:instrText>
            </w:r>
            <w:r w:rsidRPr="0024711C">
              <w:rPr>
                <w:noProof/>
                <w:webHidden/>
                <w:sz w:val="24"/>
                <w:szCs w:val="24"/>
              </w:rPr>
            </w:r>
            <w:r w:rsidRPr="0024711C">
              <w:rPr>
                <w:noProof/>
                <w:webHidden/>
                <w:sz w:val="24"/>
                <w:szCs w:val="24"/>
              </w:rPr>
              <w:fldChar w:fldCharType="separate"/>
            </w:r>
            <w:r w:rsidRPr="0024711C">
              <w:rPr>
                <w:noProof/>
                <w:webHidden/>
                <w:sz w:val="24"/>
                <w:szCs w:val="24"/>
              </w:rPr>
              <w:t>14</w:t>
            </w:r>
            <w:r w:rsidRPr="0024711C">
              <w:rPr>
                <w:noProof/>
                <w:webHidden/>
                <w:sz w:val="24"/>
                <w:szCs w:val="24"/>
              </w:rPr>
              <w:fldChar w:fldCharType="end"/>
            </w:r>
          </w:hyperlink>
        </w:p>
        <w:p w14:paraId="5DF22559" w14:textId="3D529EE0" w:rsidR="0024711C" w:rsidRPr="0024711C" w:rsidRDefault="0024711C">
          <w:pPr>
            <w:pStyle w:val="TOC1"/>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55" w:history="1">
            <w:r w:rsidRPr="0024711C">
              <w:rPr>
                <w:rStyle w:val="Hyperlink"/>
                <w:noProof/>
                <w:sz w:val="24"/>
                <w:szCs w:val="24"/>
                <w:lang w:val="en-GB"/>
              </w:rPr>
              <w:t>3. Entry Mode Strategy and Strategic Synthesis</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_Toc237104955 \h </w:instrText>
            </w:r>
            <w:r w:rsidRPr="0024711C">
              <w:rPr>
                <w:noProof/>
                <w:webHidden/>
                <w:sz w:val="24"/>
                <w:szCs w:val="24"/>
              </w:rPr>
            </w:r>
            <w:r w:rsidRPr="0024711C">
              <w:rPr>
                <w:noProof/>
                <w:webHidden/>
                <w:sz w:val="24"/>
                <w:szCs w:val="24"/>
              </w:rPr>
              <w:fldChar w:fldCharType="separate"/>
            </w:r>
            <w:r w:rsidRPr="0024711C">
              <w:rPr>
                <w:noProof/>
                <w:webHidden/>
                <w:sz w:val="24"/>
                <w:szCs w:val="24"/>
              </w:rPr>
              <w:t>16</w:t>
            </w:r>
            <w:r w:rsidRPr="0024711C">
              <w:rPr>
                <w:noProof/>
                <w:webHidden/>
                <w:sz w:val="24"/>
                <w:szCs w:val="24"/>
              </w:rPr>
              <w:fldChar w:fldCharType="end"/>
            </w:r>
          </w:hyperlink>
        </w:p>
        <w:p w14:paraId="2D8FA212" w14:textId="6546BD6D" w:rsidR="0024711C" w:rsidRPr="0024711C" w:rsidRDefault="0024711C">
          <w:pPr>
            <w:pStyle w:val="TOC2"/>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56" w:history="1">
            <w:r w:rsidRPr="0024711C">
              <w:rPr>
                <w:rStyle w:val="Hyperlink"/>
                <w:noProof/>
                <w:sz w:val="24"/>
                <w:szCs w:val="24"/>
                <w:lang w:val="en-GB"/>
              </w:rPr>
              <w:t>3.1 Historical Pattern Recognition</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_Toc237104956 \h </w:instrText>
            </w:r>
            <w:r w:rsidRPr="0024711C">
              <w:rPr>
                <w:noProof/>
                <w:webHidden/>
                <w:sz w:val="24"/>
                <w:szCs w:val="24"/>
              </w:rPr>
            </w:r>
            <w:r w:rsidRPr="0024711C">
              <w:rPr>
                <w:noProof/>
                <w:webHidden/>
                <w:sz w:val="24"/>
                <w:szCs w:val="24"/>
              </w:rPr>
              <w:fldChar w:fldCharType="separate"/>
            </w:r>
            <w:r w:rsidRPr="0024711C">
              <w:rPr>
                <w:noProof/>
                <w:webHidden/>
                <w:sz w:val="24"/>
                <w:szCs w:val="24"/>
              </w:rPr>
              <w:t>16</w:t>
            </w:r>
            <w:r w:rsidRPr="0024711C">
              <w:rPr>
                <w:noProof/>
                <w:webHidden/>
                <w:sz w:val="24"/>
                <w:szCs w:val="24"/>
              </w:rPr>
              <w:fldChar w:fldCharType="end"/>
            </w:r>
          </w:hyperlink>
        </w:p>
        <w:p w14:paraId="7A49651A" w14:textId="0E686876" w:rsidR="0024711C" w:rsidRPr="0024711C" w:rsidRDefault="0024711C">
          <w:pPr>
            <w:pStyle w:val="TOC2"/>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57" w:history="1">
            <w:r w:rsidRPr="0024711C">
              <w:rPr>
                <w:rStyle w:val="Hyperlink"/>
                <w:noProof/>
                <w:sz w:val="24"/>
                <w:szCs w:val="24"/>
                <w:lang w:val="en-GB"/>
              </w:rPr>
              <w:t>3.2 Strategic Fit, Justification and Recommendation</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_Toc237104957 \h </w:instrText>
            </w:r>
            <w:r w:rsidRPr="0024711C">
              <w:rPr>
                <w:noProof/>
                <w:webHidden/>
                <w:sz w:val="24"/>
                <w:szCs w:val="24"/>
              </w:rPr>
            </w:r>
            <w:r w:rsidRPr="0024711C">
              <w:rPr>
                <w:noProof/>
                <w:webHidden/>
                <w:sz w:val="24"/>
                <w:szCs w:val="24"/>
              </w:rPr>
              <w:fldChar w:fldCharType="separate"/>
            </w:r>
            <w:r w:rsidRPr="0024711C">
              <w:rPr>
                <w:noProof/>
                <w:webHidden/>
                <w:sz w:val="24"/>
                <w:szCs w:val="24"/>
              </w:rPr>
              <w:t>18</w:t>
            </w:r>
            <w:r w:rsidRPr="0024711C">
              <w:rPr>
                <w:noProof/>
                <w:webHidden/>
                <w:sz w:val="24"/>
                <w:szCs w:val="24"/>
              </w:rPr>
              <w:fldChar w:fldCharType="end"/>
            </w:r>
          </w:hyperlink>
        </w:p>
        <w:p w14:paraId="6CB88B1B" w14:textId="757F777B" w:rsidR="0024711C" w:rsidRPr="0024711C" w:rsidRDefault="0024711C">
          <w:pPr>
            <w:pStyle w:val="TOC1"/>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58" w:history="1">
            <w:r w:rsidRPr="0024711C">
              <w:rPr>
                <w:rStyle w:val="Hyperlink"/>
                <w:noProof/>
                <w:sz w:val="24"/>
                <w:szCs w:val="24"/>
                <w:lang w:val="en-GB"/>
              </w:rPr>
              <w:t>Section 2: Reflective Account (Gibbs Reflective Cycle)</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_Toc237104958 \h </w:instrText>
            </w:r>
            <w:r w:rsidRPr="0024711C">
              <w:rPr>
                <w:noProof/>
                <w:webHidden/>
                <w:sz w:val="24"/>
                <w:szCs w:val="24"/>
              </w:rPr>
            </w:r>
            <w:r w:rsidRPr="0024711C">
              <w:rPr>
                <w:noProof/>
                <w:webHidden/>
                <w:sz w:val="24"/>
                <w:szCs w:val="24"/>
              </w:rPr>
              <w:fldChar w:fldCharType="separate"/>
            </w:r>
            <w:r w:rsidRPr="0024711C">
              <w:rPr>
                <w:noProof/>
                <w:webHidden/>
                <w:sz w:val="24"/>
                <w:szCs w:val="24"/>
              </w:rPr>
              <w:t>20</w:t>
            </w:r>
            <w:r w:rsidRPr="0024711C">
              <w:rPr>
                <w:noProof/>
                <w:webHidden/>
                <w:sz w:val="24"/>
                <w:szCs w:val="24"/>
              </w:rPr>
              <w:fldChar w:fldCharType="end"/>
            </w:r>
          </w:hyperlink>
        </w:p>
        <w:p w14:paraId="7EBD83F7" w14:textId="443C4274" w:rsidR="0024711C" w:rsidRPr="0024711C" w:rsidRDefault="0024711C">
          <w:pPr>
            <w:pStyle w:val="TOC1"/>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59" w:history="1">
            <w:r w:rsidRPr="0024711C">
              <w:rPr>
                <w:rStyle w:val="Hyperlink"/>
                <w:noProof/>
                <w:sz w:val="24"/>
                <w:szCs w:val="24"/>
                <w:lang w:val="en-GB"/>
              </w:rPr>
              <w:t>Conclusion</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_Toc237104959 \h </w:instrText>
            </w:r>
            <w:r w:rsidRPr="0024711C">
              <w:rPr>
                <w:noProof/>
                <w:webHidden/>
                <w:sz w:val="24"/>
                <w:szCs w:val="24"/>
              </w:rPr>
            </w:r>
            <w:r w:rsidRPr="0024711C">
              <w:rPr>
                <w:noProof/>
                <w:webHidden/>
                <w:sz w:val="24"/>
                <w:szCs w:val="24"/>
              </w:rPr>
              <w:fldChar w:fldCharType="separate"/>
            </w:r>
            <w:r w:rsidRPr="0024711C">
              <w:rPr>
                <w:noProof/>
                <w:webHidden/>
                <w:sz w:val="24"/>
                <w:szCs w:val="24"/>
              </w:rPr>
              <w:t>22</w:t>
            </w:r>
            <w:r w:rsidRPr="0024711C">
              <w:rPr>
                <w:noProof/>
                <w:webHidden/>
                <w:sz w:val="24"/>
                <w:szCs w:val="24"/>
              </w:rPr>
              <w:fldChar w:fldCharType="end"/>
            </w:r>
          </w:hyperlink>
        </w:p>
        <w:p w14:paraId="477C8FFE" w14:textId="410AC392" w:rsidR="0024711C" w:rsidRPr="0024711C" w:rsidRDefault="0024711C">
          <w:pPr>
            <w:pStyle w:val="TOC1"/>
            <w:tabs>
              <w:tab w:val="right" w:leader="dot" w:pos="9350"/>
            </w:tabs>
            <w:rPr>
              <w:rFonts w:asciiTheme="minorHAnsi" w:eastAsiaTheme="minorEastAsia" w:hAnsiTheme="minorHAnsi" w:cstheme="minorBidi"/>
              <w:noProof/>
              <w:kern w:val="2"/>
              <w:sz w:val="28"/>
              <w:szCs w:val="28"/>
              <w:lang w:val="en-GB" w:eastAsia="en-GB"/>
              <w14:ligatures w14:val="standardContextual"/>
            </w:rPr>
          </w:pPr>
          <w:hyperlink w:anchor="_Toc237104960" w:history="1">
            <w:r w:rsidRPr="0024711C">
              <w:rPr>
                <w:rStyle w:val="Hyperlink"/>
                <w:noProof/>
                <w:sz w:val="24"/>
                <w:szCs w:val="24"/>
                <w:lang w:val="en-GB"/>
              </w:rPr>
              <w:t>Reference List</w:t>
            </w:r>
            <w:r w:rsidRPr="0024711C">
              <w:rPr>
                <w:noProof/>
                <w:webHidden/>
                <w:sz w:val="24"/>
                <w:szCs w:val="24"/>
              </w:rPr>
              <w:tab/>
            </w:r>
            <w:r w:rsidRPr="0024711C">
              <w:rPr>
                <w:noProof/>
                <w:webHidden/>
                <w:sz w:val="24"/>
                <w:szCs w:val="24"/>
              </w:rPr>
              <w:fldChar w:fldCharType="begin"/>
            </w:r>
            <w:r w:rsidRPr="0024711C">
              <w:rPr>
                <w:noProof/>
                <w:webHidden/>
                <w:sz w:val="24"/>
                <w:szCs w:val="24"/>
              </w:rPr>
              <w:instrText xml:space="preserve"> PAGEREF _Toc237104960 \h </w:instrText>
            </w:r>
            <w:r w:rsidRPr="0024711C">
              <w:rPr>
                <w:noProof/>
                <w:webHidden/>
                <w:sz w:val="24"/>
                <w:szCs w:val="24"/>
              </w:rPr>
            </w:r>
            <w:r w:rsidRPr="0024711C">
              <w:rPr>
                <w:noProof/>
                <w:webHidden/>
                <w:sz w:val="24"/>
                <w:szCs w:val="24"/>
              </w:rPr>
              <w:fldChar w:fldCharType="separate"/>
            </w:r>
            <w:r w:rsidRPr="0024711C">
              <w:rPr>
                <w:noProof/>
                <w:webHidden/>
                <w:sz w:val="24"/>
                <w:szCs w:val="24"/>
              </w:rPr>
              <w:t>24</w:t>
            </w:r>
            <w:r w:rsidRPr="0024711C">
              <w:rPr>
                <w:noProof/>
                <w:webHidden/>
                <w:sz w:val="24"/>
                <w:szCs w:val="24"/>
              </w:rPr>
              <w:fldChar w:fldCharType="end"/>
            </w:r>
          </w:hyperlink>
        </w:p>
        <w:p w14:paraId="6B2F3DF1" w14:textId="10ACE775" w:rsidR="00532AD5" w:rsidRPr="00114F94" w:rsidRDefault="00532AD5" w:rsidP="00532AD5">
          <w:pPr>
            <w:jc w:val="both"/>
            <w:rPr>
              <w:lang w:val="en-GB"/>
            </w:rPr>
          </w:pPr>
          <w:r w:rsidRPr="00114F94">
            <w:rPr>
              <w:b/>
              <w:bCs/>
              <w:noProof/>
              <w:sz w:val="24"/>
              <w:szCs w:val="24"/>
              <w:lang w:val="en-GB"/>
            </w:rPr>
            <w:fldChar w:fldCharType="end"/>
          </w:r>
        </w:p>
      </w:sdtContent>
    </w:sdt>
    <w:p w14:paraId="30B40444" w14:textId="77777777" w:rsidR="00532AD5" w:rsidRPr="00114F94" w:rsidRDefault="00532AD5" w:rsidP="00532AD5">
      <w:pPr>
        <w:pStyle w:val="Heading1"/>
        <w:rPr>
          <w:lang w:val="en-GB"/>
        </w:rPr>
      </w:pPr>
    </w:p>
    <w:p w14:paraId="522AA989" w14:textId="77777777" w:rsidR="00532AD5" w:rsidRPr="00114F94" w:rsidRDefault="00532AD5">
      <w:pPr>
        <w:rPr>
          <w:b/>
          <w:color w:val="000000" w:themeColor="text1"/>
          <w:sz w:val="28"/>
          <w:szCs w:val="40"/>
          <w:lang w:val="en-GB"/>
        </w:rPr>
      </w:pPr>
      <w:r w:rsidRPr="00114F94">
        <w:rPr>
          <w:lang w:val="en-GB"/>
        </w:rPr>
        <w:br w:type="page"/>
      </w:r>
    </w:p>
    <w:p w14:paraId="7CB3EEED" w14:textId="0AA7606B" w:rsidR="009856E5" w:rsidRPr="00114F94" w:rsidRDefault="00000000" w:rsidP="00532AD5">
      <w:pPr>
        <w:pStyle w:val="Heading1"/>
        <w:rPr>
          <w:b w:val="0"/>
          <w:lang w:val="en-GB"/>
        </w:rPr>
      </w:pPr>
      <w:bookmarkStart w:id="1" w:name="_Toc237104944"/>
      <w:r w:rsidRPr="00114F94">
        <w:rPr>
          <w:lang w:val="en-GB"/>
        </w:rPr>
        <w:lastRenderedPageBreak/>
        <w:t>Introduction</w:t>
      </w:r>
      <w:bookmarkEnd w:id="1"/>
    </w:p>
    <w:p w14:paraId="1DE1E852" w14:textId="77777777" w:rsidR="009856E5" w:rsidRPr="00114F94" w:rsidRDefault="00000000">
      <w:pPr>
        <w:spacing w:after="200" w:line="360" w:lineRule="auto"/>
        <w:jc w:val="both"/>
        <w:rPr>
          <w:sz w:val="24"/>
          <w:szCs w:val="24"/>
          <w:lang w:val="en-GB"/>
        </w:rPr>
      </w:pPr>
      <w:r w:rsidRPr="00114F94">
        <w:rPr>
          <w:sz w:val="24"/>
          <w:szCs w:val="24"/>
          <w:lang w:val="en-GB"/>
        </w:rPr>
        <w:t>Since its inception in 1943, the Swedish-based but very much Netherlands-managed multinational home furnishing giant IKEA has been growing and present in more than 60 countries, though its retailing presence has not yet touched Argentina, with the Ingka Group stating its desire to continue expanding its customer base in new and existing markets (IKEA, 2024; Pusztai, 2026). This report assesses IKEA as a potential candidate to enter the Argentine market, which has more than 45 million consumers and does not yet have an IKEA subsidiary, franchise partner, or authorized distribution channel. The report critically examines IKEA's global configuration, Argentina's macro-environment, and the most feasible entry mode strategy that IKEA can use, by employing three concepts: Bartlett's and Ghoshal's strategic typology, Dunning's eclectic paradigm, and complementary institutional, transaction-cost, and cultural theories.</w:t>
      </w:r>
    </w:p>
    <w:p w14:paraId="7E9A4CC1" w14:textId="77777777" w:rsidR="009856E5" w:rsidRPr="00114F94" w:rsidRDefault="00000000" w:rsidP="000A25B3">
      <w:pPr>
        <w:pStyle w:val="Heading1"/>
        <w:spacing w:before="0" w:after="0" w:line="360" w:lineRule="auto"/>
        <w:rPr>
          <w:lang w:val="en-GB"/>
        </w:rPr>
      </w:pPr>
      <w:bookmarkStart w:id="2" w:name="_Toc237104945"/>
      <w:r w:rsidRPr="00114F94">
        <w:rPr>
          <w:lang w:val="en-GB"/>
        </w:rPr>
        <w:t>Section 1: IKEA's International Strategy and Market Entry into Argentina: A Critical Evaluation</w:t>
      </w:r>
      <w:bookmarkEnd w:id="2"/>
    </w:p>
    <w:p w14:paraId="007F8672" w14:textId="77777777" w:rsidR="009856E5" w:rsidRPr="00114F94" w:rsidRDefault="00000000" w:rsidP="000A25B3">
      <w:pPr>
        <w:pStyle w:val="Heading1"/>
        <w:spacing w:line="360" w:lineRule="auto"/>
        <w:rPr>
          <w:b w:val="0"/>
          <w:lang w:val="en-GB"/>
        </w:rPr>
      </w:pPr>
      <w:bookmarkStart w:id="3" w:name="_bsvweanqxsi0" w:colFirst="0" w:colLast="0"/>
      <w:bookmarkStart w:id="4" w:name="_Toc237104946"/>
      <w:bookmarkEnd w:id="3"/>
      <w:r w:rsidRPr="00114F94">
        <w:rPr>
          <w:lang w:val="en-GB"/>
        </w:rPr>
        <w:t>1. Organisational Classification and Global Strategy</w:t>
      </w:r>
      <w:bookmarkEnd w:id="4"/>
    </w:p>
    <w:p w14:paraId="3755807B" w14:textId="77777777" w:rsidR="009856E5" w:rsidRPr="00114F94" w:rsidRDefault="00000000" w:rsidP="000A25B3">
      <w:pPr>
        <w:pStyle w:val="Heading2"/>
        <w:rPr>
          <w:b w:val="0"/>
          <w:lang w:val="en-GB"/>
        </w:rPr>
      </w:pPr>
      <w:bookmarkStart w:id="5" w:name="_ic05rjfp2t7f" w:colFirst="0" w:colLast="0"/>
      <w:bookmarkStart w:id="6" w:name="_Toc237104947"/>
      <w:bookmarkEnd w:id="5"/>
      <w:r w:rsidRPr="00114F94">
        <w:rPr>
          <w:lang w:val="en-GB"/>
        </w:rPr>
        <w:t>1.1 Strategic Categorisation</w:t>
      </w:r>
      <w:bookmarkEnd w:id="6"/>
    </w:p>
    <w:p w14:paraId="662EC9F2" w14:textId="77777777" w:rsidR="009856E5" w:rsidRPr="00114F94" w:rsidRDefault="00000000">
      <w:pPr>
        <w:spacing w:after="200" w:line="360" w:lineRule="auto"/>
        <w:jc w:val="both"/>
        <w:rPr>
          <w:sz w:val="24"/>
          <w:szCs w:val="24"/>
          <w:lang w:val="en-GB"/>
        </w:rPr>
      </w:pPr>
      <w:r w:rsidRPr="00114F94">
        <w:rPr>
          <w:sz w:val="24"/>
          <w:szCs w:val="24"/>
          <w:lang w:val="en-GB"/>
        </w:rPr>
        <w:t xml:space="preserve">Bartlett and Ghoshal propose a two-dimensional framework that categorizes the multinational strategy, one dimension being the pressure for local responsiveness or adaptation for national tastes, regulation, and channels, and the other being the pressure for global integration or efficiency and standardization (Mehra, Loonkar and Desai, 2026). As in the notions by Jain (2024), companies with high scores in both axes are termed "transnational"; those that weight the integration axis higher than responsiveness are considered to follow a "global strategy"; the reverse gives a "multi-domestic strategy"; and low scores on both are considered to be following an "international strategy" with exporting a core competence and making the least possible adaptations. Originally IKEA was read as a “replicator” following a “global strategy” wherein the almost identical retail concept, product line, and self-assembly approach were exported to each country to build </w:t>
      </w:r>
      <w:r w:rsidRPr="00114F94">
        <w:rPr>
          <w:sz w:val="24"/>
          <w:szCs w:val="24"/>
          <w:lang w:val="en-GB"/>
        </w:rPr>
        <w:lastRenderedPageBreak/>
        <w:t>scale economies, according to Aly (2021). But according to Meyer and his team, in markets where there is less affinity with one's native culture, performance was poor in the 1990s, forcing the movement towards a transnational configuration that is the same the world around—flat-pack design, self-service layout of the store, and centralized sourcing but allows franchise partners some flexibility in the format and merchandising of the store, as well as the choice of products. Based on the data in Table 1, IKEA can be plotted on the integration-responsiveness matrix.</w:t>
      </w:r>
    </w:p>
    <w:tbl>
      <w:tblPr>
        <w:tblStyle w:val="GridTable5Dark-Accent2"/>
        <w:tblW w:w="9360" w:type="dxa"/>
        <w:tblLayout w:type="fixed"/>
        <w:tblLook w:val="0600" w:firstRow="0" w:lastRow="0" w:firstColumn="0" w:lastColumn="0" w:noHBand="1" w:noVBand="1"/>
      </w:tblPr>
      <w:tblGrid>
        <w:gridCol w:w="2130"/>
        <w:gridCol w:w="1830"/>
        <w:gridCol w:w="5400"/>
      </w:tblGrid>
      <w:tr w:rsidR="009856E5" w:rsidRPr="00114F94" w14:paraId="397FD922" w14:textId="77777777" w:rsidTr="00532AD5">
        <w:trPr>
          <w:trHeight w:val="405"/>
        </w:trPr>
        <w:tc>
          <w:tcPr>
            <w:tcW w:w="2130" w:type="dxa"/>
          </w:tcPr>
          <w:p w14:paraId="2C06375C"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t>Dimension</w:t>
            </w:r>
          </w:p>
        </w:tc>
        <w:tc>
          <w:tcPr>
            <w:tcW w:w="1830" w:type="dxa"/>
          </w:tcPr>
          <w:p w14:paraId="05869439"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t>Pressure Identified</w:t>
            </w:r>
          </w:p>
        </w:tc>
        <w:tc>
          <w:tcPr>
            <w:tcW w:w="5400" w:type="dxa"/>
          </w:tcPr>
          <w:p w14:paraId="16F11358"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t>Supporting Evidence</w:t>
            </w:r>
          </w:p>
        </w:tc>
      </w:tr>
      <w:tr w:rsidR="009856E5" w:rsidRPr="00114F94" w14:paraId="468437F6" w14:textId="77777777" w:rsidTr="00532AD5">
        <w:trPr>
          <w:trHeight w:val="885"/>
        </w:trPr>
        <w:tc>
          <w:tcPr>
            <w:tcW w:w="2130" w:type="dxa"/>
          </w:tcPr>
          <w:p w14:paraId="78B9AFBC" w14:textId="77777777" w:rsidR="009856E5" w:rsidRPr="00114F94" w:rsidRDefault="00000000">
            <w:pPr>
              <w:spacing w:line="360" w:lineRule="auto"/>
              <w:jc w:val="center"/>
              <w:rPr>
                <w:sz w:val="24"/>
                <w:szCs w:val="24"/>
                <w:lang w:val="en-GB"/>
              </w:rPr>
            </w:pPr>
            <w:r w:rsidRPr="00114F94">
              <w:rPr>
                <w:sz w:val="24"/>
                <w:szCs w:val="24"/>
                <w:lang w:val="en-GB"/>
              </w:rPr>
              <w:t>Global integration pressure</w:t>
            </w:r>
          </w:p>
        </w:tc>
        <w:tc>
          <w:tcPr>
            <w:tcW w:w="1830" w:type="dxa"/>
          </w:tcPr>
          <w:p w14:paraId="0697BCF5" w14:textId="77777777" w:rsidR="009856E5" w:rsidRPr="00114F94" w:rsidRDefault="00000000">
            <w:pPr>
              <w:spacing w:line="360" w:lineRule="auto"/>
              <w:jc w:val="center"/>
              <w:rPr>
                <w:sz w:val="24"/>
                <w:szCs w:val="24"/>
                <w:lang w:val="en-GB"/>
              </w:rPr>
            </w:pPr>
            <w:r w:rsidRPr="00114F94">
              <w:rPr>
                <w:sz w:val="24"/>
                <w:szCs w:val="24"/>
                <w:lang w:val="en-GB"/>
              </w:rPr>
              <w:t>High</w:t>
            </w:r>
          </w:p>
        </w:tc>
        <w:tc>
          <w:tcPr>
            <w:tcW w:w="5400" w:type="dxa"/>
          </w:tcPr>
          <w:p w14:paraId="0638A7A6" w14:textId="77777777" w:rsidR="009856E5" w:rsidRPr="00114F94" w:rsidRDefault="00000000">
            <w:pPr>
              <w:spacing w:line="360" w:lineRule="auto"/>
              <w:jc w:val="both"/>
              <w:rPr>
                <w:sz w:val="24"/>
                <w:szCs w:val="24"/>
                <w:lang w:val="en-GB"/>
              </w:rPr>
            </w:pPr>
            <w:r w:rsidRPr="00114F94">
              <w:rPr>
                <w:sz w:val="24"/>
                <w:szCs w:val="24"/>
                <w:lang w:val="en-GB"/>
              </w:rPr>
              <w:t>Standardized flat-pack design, global sourcing of materials and a single brand, EUR 41.8 billion revenue in FY24 with scale economies (MarkHub24, 2026)</w:t>
            </w:r>
          </w:p>
        </w:tc>
      </w:tr>
      <w:tr w:rsidR="009856E5" w:rsidRPr="00114F94" w14:paraId="09617967" w14:textId="77777777" w:rsidTr="00532AD5">
        <w:trPr>
          <w:trHeight w:val="885"/>
        </w:trPr>
        <w:tc>
          <w:tcPr>
            <w:tcW w:w="2130" w:type="dxa"/>
          </w:tcPr>
          <w:p w14:paraId="5963BC18" w14:textId="77777777" w:rsidR="009856E5" w:rsidRPr="00114F94" w:rsidRDefault="00000000">
            <w:pPr>
              <w:spacing w:line="360" w:lineRule="auto"/>
              <w:jc w:val="center"/>
              <w:rPr>
                <w:sz w:val="24"/>
                <w:szCs w:val="24"/>
                <w:lang w:val="en-GB"/>
              </w:rPr>
            </w:pPr>
            <w:r w:rsidRPr="00114F94">
              <w:rPr>
                <w:sz w:val="24"/>
                <w:szCs w:val="24"/>
                <w:lang w:val="en-GB"/>
              </w:rPr>
              <w:t>Local responsiveness pressure</w:t>
            </w:r>
          </w:p>
        </w:tc>
        <w:tc>
          <w:tcPr>
            <w:tcW w:w="1830" w:type="dxa"/>
          </w:tcPr>
          <w:p w14:paraId="6233DBDA" w14:textId="77777777" w:rsidR="009856E5" w:rsidRPr="00114F94" w:rsidRDefault="00000000">
            <w:pPr>
              <w:spacing w:line="360" w:lineRule="auto"/>
              <w:jc w:val="center"/>
              <w:rPr>
                <w:sz w:val="24"/>
                <w:szCs w:val="24"/>
                <w:lang w:val="en-GB"/>
              </w:rPr>
            </w:pPr>
            <w:r w:rsidRPr="00114F94">
              <w:rPr>
                <w:sz w:val="24"/>
                <w:szCs w:val="24"/>
                <w:lang w:val="en-GB"/>
              </w:rPr>
              <w:t>Moderate</w:t>
            </w:r>
          </w:p>
        </w:tc>
        <w:tc>
          <w:tcPr>
            <w:tcW w:w="5400" w:type="dxa"/>
          </w:tcPr>
          <w:p w14:paraId="7A86330D" w14:textId="77777777" w:rsidR="009856E5" w:rsidRPr="00114F94" w:rsidRDefault="00000000">
            <w:pPr>
              <w:spacing w:line="360" w:lineRule="auto"/>
              <w:jc w:val="both"/>
              <w:rPr>
                <w:sz w:val="24"/>
                <w:szCs w:val="24"/>
                <w:lang w:val="en-GB"/>
              </w:rPr>
            </w:pPr>
            <w:r w:rsidRPr="00114F94">
              <w:rPr>
                <w:sz w:val="24"/>
                <w:szCs w:val="24"/>
                <w:lang w:val="en-GB"/>
              </w:rPr>
              <w:t>Yahya (2025) states that for franchise partners (e.g., Falabella, Al-Futtaim), the format, product mix, and marketing are all adjusted to suit the local market.</w:t>
            </w:r>
          </w:p>
        </w:tc>
      </w:tr>
      <w:tr w:rsidR="009856E5" w:rsidRPr="00114F94" w14:paraId="3EB71058" w14:textId="77777777" w:rsidTr="00532AD5">
        <w:trPr>
          <w:trHeight w:val="885"/>
        </w:trPr>
        <w:tc>
          <w:tcPr>
            <w:tcW w:w="2130" w:type="dxa"/>
          </w:tcPr>
          <w:p w14:paraId="7B7B2BAC" w14:textId="77777777" w:rsidR="009856E5" w:rsidRPr="00114F94" w:rsidRDefault="00000000">
            <w:pPr>
              <w:spacing w:line="360" w:lineRule="auto"/>
              <w:jc w:val="center"/>
              <w:rPr>
                <w:sz w:val="24"/>
                <w:szCs w:val="24"/>
                <w:lang w:val="en-GB"/>
              </w:rPr>
            </w:pPr>
            <w:r w:rsidRPr="00114F94">
              <w:rPr>
                <w:sz w:val="24"/>
                <w:szCs w:val="24"/>
                <w:lang w:val="en-GB"/>
              </w:rPr>
              <w:t>Organisational structure</w:t>
            </w:r>
          </w:p>
        </w:tc>
        <w:tc>
          <w:tcPr>
            <w:tcW w:w="1830" w:type="dxa"/>
          </w:tcPr>
          <w:p w14:paraId="3F475BB9" w14:textId="77777777" w:rsidR="009856E5" w:rsidRPr="00114F94" w:rsidRDefault="00000000">
            <w:pPr>
              <w:spacing w:line="360" w:lineRule="auto"/>
              <w:jc w:val="center"/>
              <w:rPr>
                <w:sz w:val="24"/>
                <w:szCs w:val="24"/>
                <w:lang w:val="en-GB"/>
              </w:rPr>
            </w:pPr>
            <w:r w:rsidRPr="00114F94">
              <w:rPr>
                <w:sz w:val="24"/>
                <w:szCs w:val="24"/>
                <w:lang w:val="en-GB"/>
              </w:rPr>
              <w:t>Differentiated network</w:t>
            </w:r>
          </w:p>
        </w:tc>
        <w:tc>
          <w:tcPr>
            <w:tcW w:w="5400" w:type="dxa"/>
          </w:tcPr>
          <w:p w14:paraId="2F9693F6" w14:textId="77777777" w:rsidR="009856E5" w:rsidRPr="00114F94" w:rsidRDefault="00000000">
            <w:pPr>
              <w:spacing w:line="360" w:lineRule="auto"/>
              <w:jc w:val="both"/>
              <w:rPr>
                <w:sz w:val="24"/>
                <w:szCs w:val="24"/>
                <w:lang w:val="en-GB"/>
              </w:rPr>
            </w:pPr>
            <w:r w:rsidRPr="00114F94">
              <w:rPr>
                <w:sz w:val="24"/>
                <w:szCs w:val="24"/>
                <w:lang w:val="en-GB"/>
              </w:rPr>
              <w:t>The largest franchisee is Ingka Group, responsible for 87% of retail sales, in 31 markets (IKEA, 2022), in addition to the franchisor/IP owner Inter IKEA Systems B.V.</w:t>
            </w:r>
          </w:p>
        </w:tc>
      </w:tr>
      <w:tr w:rsidR="009856E5" w:rsidRPr="00114F94" w14:paraId="0FDFA7B5" w14:textId="77777777" w:rsidTr="00532AD5">
        <w:trPr>
          <w:trHeight w:val="885"/>
        </w:trPr>
        <w:tc>
          <w:tcPr>
            <w:tcW w:w="2130" w:type="dxa"/>
          </w:tcPr>
          <w:p w14:paraId="0FFAE0DB" w14:textId="77777777" w:rsidR="009856E5" w:rsidRPr="00114F94" w:rsidRDefault="00000000">
            <w:pPr>
              <w:spacing w:line="360" w:lineRule="auto"/>
              <w:jc w:val="center"/>
              <w:rPr>
                <w:sz w:val="24"/>
                <w:szCs w:val="24"/>
                <w:lang w:val="en-GB"/>
              </w:rPr>
            </w:pPr>
            <w:r w:rsidRPr="00114F94">
              <w:rPr>
                <w:sz w:val="24"/>
                <w:szCs w:val="24"/>
                <w:lang w:val="en-GB"/>
              </w:rPr>
              <w:t>Overall classification</w:t>
            </w:r>
          </w:p>
        </w:tc>
        <w:tc>
          <w:tcPr>
            <w:tcW w:w="1830" w:type="dxa"/>
          </w:tcPr>
          <w:p w14:paraId="2690DFB7" w14:textId="77777777" w:rsidR="009856E5" w:rsidRPr="00114F94" w:rsidRDefault="00000000">
            <w:pPr>
              <w:spacing w:line="360" w:lineRule="auto"/>
              <w:jc w:val="center"/>
              <w:rPr>
                <w:sz w:val="24"/>
                <w:szCs w:val="24"/>
                <w:lang w:val="en-GB"/>
              </w:rPr>
            </w:pPr>
            <w:r w:rsidRPr="00114F94">
              <w:rPr>
                <w:sz w:val="24"/>
                <w:szCs w:val="24"/>
                <w:lang w:val="en-GB"/>
              </w:rPr>
              <w:t>Transnational</w:t>
            </w:r>
          </w:p>
        </w:tc>
        <w:tc>
          <w:tcPr>
            <w:tcW w:w="5400" w:type="dxa"/>
          </w:tcPr>
          <w:p w14:paraId="1EE34520" w14:textId="77777777" w:rsidR="009856E5" w:rsidRPr="00114F94" w:rsidRDefault="00000000">
            <w:pPr>
              <w:spacing w:line="360" w:lineRule="auto"/>
              <w:jc w:val="both"/>
              <w:rPr>
                <w:sz w:val="24"/>
                <w:szCs w:val="24"/>
                <w:lang w:val="en-GB"/>
              </w:rPr>
            </w:pPr>
            <w:r w:rsidRPr="00114F94">
              <w:rPr>
                <w:sz w:val="24"/>
                <w:szCs w:val="24"/>
                <w:lang w:val="en-GB"/>
              </w:rPr>
              <w:t>Balances for global efficiency and franchises for local ones.</w:t>
            </w:r>
          </w:p>
        </w:tc>
      </w:tr>
    </w:tbl>
    <w:p w14:paraId="12317E62" w14:textId="77777777" w:rsidR="009856E5" w:rsidRPr="00114F94" w:rsidRDefault="00000000">
      <w:pPr>
        <w:spacing w:before="120" w:after="240" w:line="360" w:lineRule="auto"/>
        <w:jc w:val="center"/>
        <w:rPr>
          <w:b/>
          <w:bCs/>
          <w:sz w:val="24"/>
          <w:szCs w:val="24"/>
          <w:lang w:val="en-GB"/>
        </w:rPr>
      </w:pPr>
      <w:r w:rsidRPr="00114F94">
        <w:rPr>
          <w:b/>
          <w:bCs/>
          <w:sz w:val="24"/>
          <w:szCs w:val="24"/>
          <w:lang w:val="en-GB"/>
        </w:rPr>
        <w:t>Table 1. Bartlett and Ghoshal’s integration-responsiveness positioning of IKEA</w:t>
      </w:r>
    </w:p>
    <w:p w14:paraId="0FCA2EDA" w14:textId="77777777" w:rsidR="009856E5" w:rsidRPr="00114F94" w:rsidRDefault="00000000">
      <w:pPr>
        <w:spacing w:before="120" w:after="240" w:line="360" w:lineRule="auto"/>
        <w:jc w:val="center"/>
        <w:rPr>
          <w:sz w:val="24"/>
          <w:szCs w:val="24"/>
          <w:lang w:val="en-GB"/>
        </w:rPr>
      </w:pPr>
      <w:r w:rsidRPr="00114F94">
        <w:rPr>
          <w:sz w:val="24"/>
          <w:szCs w:val="24"/>
          <w:lang w:val="en-GB"/>
        </w:rPr>
        <w:t>Source: (Self-Created)</w:t>
      </w:r>
    </w:p>
    <w:p w14:paraId="5A740BFA" w14:textId="77777777" w:rsidR="009856E5" w:rsidRPr="00114F94" w:rsidRDefault="00000000">
      <w:pPr>
        <w:spacing w:after="200" w:line="360" w:lineRule="auto"/>
        <w:jc w:val="both"/>
        <w:rPr>
          <w:sz w:val="24"/>
          <w:szCs w:val="24"/>
          <w:lang w:val="en-GB"/>
        </w:rPr>
      </w:pPr>
      <w:r w:rsidRPr="00114F94">
        <w:rPr>
          <w:sz w:val="24"/>
          <w:szCs w:val="24"/>
          <w:lang w:val="en-GB"/>
        </w:rPr>
        <w:t xml:space="preserve">This is also strongly reflected in the dual corporate structure of IKEA, where Inter IKEA Systems B.V., established in the Netherlands, owns the IKEA concept, brand, and franchise agreements, while Ingka Group is the world's largest IKEA franchisee with stores in 31 markets and generates 87% of global IKEA retail sales (IKEA Group, 2022). </w:t>
      </w:r>
      <w:r w:rsidRPr="00114F94">
        <w:rPr>
          <w:sz w:val="24"/>
          <w:szCs w:val="24"/>
          <w:lang w:val="en-GB"/>
        </w:rPr>
        <w:lastRenderedPageBreak/>
        <w:t>Local franchises—Falabella in Chile, Colombia, and Peru and Al-Futtaim in the Middle East—are held to stringent brand and concept standards and given local discretion over stores, staff, and, increasingly, online services like the IKEA Home Services marketplace rolled out in Spain and expanded further to five regions (Ingka Group, 2024). It's a form of governance typical of the ‘differentiated network' Bartlett &amp; Ghoshal link to transnational companies, where subsidiaries and franchisees are regarded as knowledge sources, not simply passive enactors of head office policy.</w:t>
      </w:r>
    </w:p>
    <w:p w14:paraId="30FC6B29" w14:textId="77777777" w:rsidR="009856E5" w:rsidRPr="00114F94" w:rsidRDefault="00000000" w:rsidP="00532AD5">
      <w:pPr>
        <w:pStyle w:val="Heading2"/>
        <w:rPr>
          <w:b w:val="0"/>
          <w:lang w:val="en-GB"/>
        </w:rPr>
      </w:pPr>
      <w:bookmarkStart w:id="7" w:name="_zemsg726yusd" w:colFirst="0" w:colLast="0"/>
      <w:bookmarkStart w:id="8" w:name="_Toc237104948"/>
      <w:bookmarkEnd w:id="7"/>
      <w:r w:rsidRPr="00114F94">
        <w:rPr>
          <w:lang w:val="en-GB"/>
        </w:rPr>
        <w:t>1.2 Global Configuration and Competitive Advantage</w:t>
      </w:r>
      <w:bookmarkEnd w:id="8"/>
    </w:p>
    <w:p w14:paraId="5EA7C89A" w14:textId="77777777" w:rsidR="009856E5" w:rsidRPr="00114F94" w:rsidRDefault="00000000">
      <w:pPr>
        <w:spacing w:after="200" w:line="360" w:lineRule="auto"/>
        <w:jc w:val="both"/>
        <w:rPr>
          <w:sz w:val="24"/>
          <w:szCs w:val="24"/>
          <w:lang w:val="en-GB"/>
        </w:rPr>
      </w:pPr>
      <w:r w:rsidRPr="00114F94">
        <w:rPr>
          <w:sz w:val="24"/>
          <w:szCs w:val="24"/>
          <w:lang w:val="en-GB"/>
        </w:rPr>
        <w:t>Its competitive advantage can be attributed to a first round of globalization-integration economies: its mere product design and architecture is flat-packed and reduces transport volume; it has one single global design and purchasing function serving all markets; and a large part of its geographical expansion is based on the Ikea franchise model with limited direct investment (Ikea.com, 2025). These integration efficiencies underpinned EUR 41.8 billion of Ingka Group revenue in FY24 (Itln.in, 2026), despite taking on EUR 2.1 billion of self-funded price cuts, which were put in place to maintain affordability amid continued challenging inflationary pressures across the markets in which Ingka operates (Ingka Group, 2024). Despite the ongoing trade and cost-of-living turmoil in many markets, the strength of the strategy is highlighted by the results of FY25: retail sales increased by EUR 39 billion, quantities sold were up 1.6 percent, and online visits grew 4.6 percent (Ingka.com, 2025).</w:t>
      </w:r>
    </w:p>
    <w:p w14:paraId="65C7AB70" w14:textId="77777777" w:rsidR="009856E5" w:rsidRPr="00114F94" w:rsidRDefault="00000000">
      <w:pPr>
        <w:spacing w:after="200" w:line="360" w:lineRule="auto"/>
        <w:jc w:val="both"/>
        <w:rPr>
          <w:sz w:val="24"/>
          <w:szCs w:val="24"/>
          <w:lang w:val="en-GB"/>
        </w:rPr>
      </w:pPr>
      <w:r w:rsidRPr="00114F94">
        <w:rPr>
          <w:sz w:val="24"/>
          <w:szCs w:val="24"/>
          <w:lang w:val="en-GB"/>
        </w:rPr>
        <w:t>Geographically, IKEA's presence is growing in a very patchy way: during FY24 alone, the total number of new stores was 43, which included stores opened in mature markets like Japan and Switzerland, as well as asset-light “plan and order” points in the U.S. and Italy and compact-store formats since 2025 to reduce the capital bar to new-market entry (Ingka Group, 2024). A move towards smaller format and franchise-friendly expansion is also strategically significant because it means that IKEA's existing global model is now compatible with shorter investment cycles and a smaller entry mode (as recommended in Section 3) in a country like Argentina, where exchange rate fluctuations are not desirable.</w:t>
      </w:r>
    </w:p>
    <w:p w14:paraId="3808CC51" w14:textId="77777777" w:rsidR="009856E5" w:rsidRPr="00114F94" w:rsidRDefault="00000000" w:rsidP="00532AD5">
      <w:pPr>
        <w:pStyle w:val="Heading1"/>
        <w:rPr>
          <w:b w:val="0"/>
          <w:lang w:val="en-GB"/>
        </w:rPr>
      </w:pPr>
      <w:bookmarkStart w:id="9" w:name="_nj8v1oyq8oae" w:colFirst="0" w:colLast="0"/>
      <w:bookmarkStart w:id="10" w:name="_Toc237104949"/>
      <w:bookmarkEnd w:id="9"/>
      <w:r w:rsidRPr="00114F94">
        <w:rPr>
          <w:lang w:val="en-GB"/>
        </w:rPr>
        <w:lastRenderedPageBreak/>
        <w:t>2. Macro-Environmental Appraisal and Market Attractiveness</w:t>
      </w:r>
      <w:bookmarkEnd w:id="10"/>
    </w:p>
    <w:p w14:paraId="44931718" w14:textId="77777777" w:rsidR="009856E5" w:rsidRPr="00114F94" w:rsidRDefault="00000000">
      <w:pPr>
        <w:spacing w:after="200" w:line="360" w:lineRule="auto"/>
        <w:jc w:val="both"/>
        <w:rPr>
          <w:sz w:val="24"/>
          <w:szCs w:val="24"/>
          <w:lang w:val="en-GB"/>
        </w:rPr>
      </w:pPr>
      <w:r w:rsidRPr="00114F94">
        <w:rPr>
          <w:sz w:val="24"/>
          <w:szCs w:val="24"/>
          <w:lang w:val="en-GB"/>
        </w:rPr>
        <w:t>According to IKEA (2022a), 45 million-plus people are present in Argentina, where IKEA has no office, no franchisee, or any other authorized channel of distribution and no rival Scandinavian design cupboard brand; to this should be added the fact that the country boasts a small population of 43.55 million. However, its macro-environment offers a unique risk/reward proposition that has to be carefully assessed based on the political, economic, legal, and cultural factors most pertinent to a value-conscious furniture distributor in order to make any sound recommendation in favour of its entry.</w:t>
      </w:r>
    </w:p>
    <w:p w14:paraId="59E9BB20" w14:textId="77777777" w:rsidR="009856E5" w:rsidRPr="00114F94" w:rsidRDefault="00000000" w:rsidP="00532AD5">
      <w:pPr>
        <w:pStyle w:val="Heading2"/>
        <w:rPr>
          <w:b w:val="0"/>
          <w:lang w:val="en-GB"/>
        </w:rPr>
      </w:pPr>
      <w:bookmarkStart w:id="11" w:name="_f0cwyjjg40vi" w:colFirst="0" w:colLast="0"/>
      <w:bookmarkStart w:id="12" w:name="_Toc237104950"/>
      <w:bookmarkEnd w:id="11"/>
      <w:r w:rsidRPr="00114F94">
        <w:rPr>
          <w:lang w:val="en-GB"/>
        </w:rPr>
        <w:t>2.1 Political Environment</w:t>
      </w:r>
      <w:bookmarkEnd w:id="12"/>
    </w:p>
    <w:p w14:paraId="76BC986F" w14:textId="77777777" w:rsidR="009856E5" w:rsidRPr="00114F94" w:rsidRDefault="00000000">
      <w:pPr>
        <w:spacing w:after="200" w:line="360" w:lineRule="auto"/>
        <w:jc w:val="both"/>
        <w:rPr>
          <w:sz w:val="24"/>
          <w:szCs w:val="24"/>
          <w:lang w:val="en-GB"/>
        </w:rPr>
      </w:pPr>
      <w:r w:rsidRPr="00114F94">
        <w:rPr>
          <w:sz w:val="24"/>
          <w:szCs w:val="24"/>
          <w:lang w:val="en-GB"/>
        </w:rPr>
        <w:t>President Javier Milei has since implemented one of the most comprehensive deregulation measures in modern Argentine history, including reconfiguring the various ministerial structures, moving toward privatisation of state-owned companies, and transferring national investment promotion agency control to the executive branch to enhance interaction with investors (State.gov, 2025; Bti-project.org, 2024). Some of these structural limitations include the “cepo cambiario”, which involved long-standing capital control in operation that the administration partially eased in April 2025, enabling foreign retailers to make capital commitments to the country (State.gov, 2025). This liberalization is less important to a franchise player like IKEA, however,  as to the extent that a local franchise partner can import goods, pay royalties, and bring back money earned in their local shops, that is only partially solved, with companies themselves reporting issues with returns of external liabilities and repatriation of locally generated funds (State.gov, 2025).</w:t>
      </w:r>
    </w:p>
    <w:p w14:paraId="3C30C40C" w14:textId="77777777" w:rsidR="009856E5" w:rsidRPr="00114F94" w:rsidRDefault="00000000">
      <w:pPr>
        <w:spacing w:after="200" w:line="360" w:lineRule="auto"/>
        <w:jc w:val="both"/>
        <w:rPr>
          <w:sz w:val="24"/>
          <w:szCs w:val="24"/>
          <w:lang w:val="en-GB"/>
        </w:rPr>
      </w:pPr>
      <w:r w:rsidRPr="00114F94">
        <w:rPr>
          <w:sz w:val="24"/>
          <w:szCs w:val="24"/>
          <w:lang w:val="en-GB"/>
        </w:rPr>
        <w:t xml:space="preserve">Political risk—in the institutional-theory sense formulated by North is less a product of a particular policy, according to the opinion of Balzano, Marzi and Turzo (2024), than the fluctuation of Argentina's institutional “rules of the game”, for instance, the country has had several per capita rejections of sovereign debt and the drastic 54 percent devaluation of the peso at the start of Milei's tenure, which exposed the regulatory and monetary environment to radical change (Vizion, 2023). Geopolitical and institutional risk distance are more important factors than physical or cultural distance to deter FDI flows into Latin America, as investors discount the expected return of the market for the risk of policy </w:t>
      </w:r>
      <w:r w:rsidRPr="00114F94">
        <w:rPr>
          <w:sz w:val="24"/>
          <w:szCs w:val="24"/>
          <w:lang w:val="en-GB"/>
        </w:rPr>
        <w:lastRenderedPageBreak/>
        <w:t>reversal, independent of the market's potential consumer power, in the words of Correa da Cunha, Singh, and Amal (2024). For Argentina, the uncertain 2025 mid-term electoral cycle and the fragility of Milei's congressional coalition, means that deregulation has at least a non-trivial probability of seeing at least a partial reversal or coming to a halt (Jütten and Killmayer, 2025). This volatility gives strong cautionary indications against a capital-intensive, 100% owned entry and strongly pro-leaning towards a mode where the policy risk is handed over to a well-capitalized local partner (cf. Section 3).</w:t>
      </w:r>
    </w:p>
    <w:p w14:paraId="35DDE597" w14:textId="77777777" w:rsidR="009856E5" w:rsidRPr="00114F94" w:rsidRDefault="00000000" w:rsidP="00532AD5">
      <w:pPr>
        <w:pStyle w:val="Heading2"/>
        <w:rPr>
          <w:b w:val="0"/>
          <w:lang w:val="en-GB"/>
        </w:rPr>
      </w:pPr>
      <w:bookmarkStart w:id="13" w:name="_ox42qfsdw242" w:colFirst="0" w:colLast="0"/>
      <w:bookmarkStart w:id="14" w:name="_Toc237104951"/>
      <w:bookmarkEnd w:id="13"/>
      <w:r w:rsidRPr="00114F94">
        <w:rPr>
          <w:lang w:val="en-GB"/>
        </w:rPr>
        <w:t>2.2 Economic Environment</w:t>
      </w:r>
      <w:bookmarkEnd w:id="14"/>
    </w:p>
    <w:p w14:paraId="1CBD948B" w14:textId="77777777" w:rsidR="009856E5" w:rsidRPr="00114F94" w:rsidRDefault="00000000">
      <w:pPr>
        <w:spacing w:after="200" w:line="360" w:lineRule="auto"/>
        <w:jc w:val="both"/>
        <w:rPr>
          <w:sz w:val="24"/>
          <w:szCs w:val="24"/>
          <w:lang w:val="en-GB"/>
        </w:rPr>
      </w:pPr>
      <w:r w:rsidRPr="00114F94">
        <w:rPr>
          <w:sz w:val="24"/>
          <w:szCs w:val="24"/>
          <w:lang w:val="en-GB"/>
        </w:rPr>
        <w:t>Since the beginning of 2023, Argentina's macroeconomic trajectory has shifted from acute crisis to a fragile stabilization, which results in material gains in terms of the medium-term attractiveness of the market (Ravier, 2026).</w:t>
      </w:r>
    </w:p>
    <w:p w14:paraId="2FF8654D" w14:textId="77777777" w:rsidR="009856E5" w:rsidRPr="00114F94" w:rsidRDefault="00000000">
      <w:pPr>
        <w:spacing w:after="200" w:line="360" w:lineRule="auto"/>
        <w:jc w:val="center"/>
        <w:rPr>
          <w:b/>
          <w:bCs/>
          <w:sz w:val="24"/>
          <w:szCs w:val="24"/>
          <w:lang w:val="en-GB"/>
        </w:rPr>
      </w:pPr>
      <w:r w:rsidRPr="00114F94">
        <w:rPr>
          <w:b/>
          <w:bCs/>
          <w:noProof/>
          <w:sz w:val="24"/>
          <w:szCs w:val="24"/>
          <w:lang w:val="en-GB"/>
        </w:rPr>
        <w:drawing>
          <wp:inline distT="114300" distB="114300" distL="114300" distR="114300" wp14:anchorId="7FBF01BA" wp14:editId="6D78E0A1">
            <wp:extent cx="5273040" cy="3543300"/>
            <wp:effectExtent l="76200" t="76200" r="137160" b="13335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73040" cy="3543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52F56A" w14:textId="77777777" w:rsidR="009856E5" w:rsidRPr="00114F94" w:rsidRDefault="00000000">
      <w:pPr>
        <w:spacing w:after="200" w:line="360" w:lineRule="auto"/>
        <w:jc w:val="center"/>
        <w:rPr>
          <w:b/>
          <w:bCs/>
          <w:sz w:val="24"/>
          <w:szCs w:val="24"/>
          <w:lang w:val="en-GB"/>
        </w:rPr>
      </w:pPr>
      <w:r w:rsidRPr="00114F94">
        <w:rPr>
          <w:b/>
          <w:bCs/>
          <w:sz w:val="24"/>
          <w:szCs w:val="24"/>
          <w:lang w:val="en-GB"/>
        </w:rPr>
        <w:t>Figure 1: Argentina: Inflation accelerates in June from May</w:t>
      </w:r>
    </w:p>
    <w:p w14:paraId="749DD76B" w14:textId="77777777" w:rsidR="009856E5" w:rsidRPr="00114F94" w:rsidRDefault="00000000">
      <w:pPr>
        <w:spacing w:after="200" w:line="360" w:lineRule="auto"/>
        <w:jc w:val="center"/>
        <w:rPr>
          <w:sz w:val="24"/>
          <w:szCs w:val="24"/>
          <w:lang w:val="en-GB"/>
        </w:rPr>
      </w:pPr>
      <w:r w:rsidRPr="00114F94">
        <w:rPr>
          <w:sz w:val="24"/>
          <w:szCs w:val="24"/>
          <w:lang w:val="en-GB"/>
        </w:rPr>
        <w:t>Source: (Focus Economics, 2026)</w:t>
      </w:r>
    </w:p>
    <w:p w14:paraId="665E23FF" w14:textId="77777777" w:rsidR="009856E5" w:rsidRPr="00114F94" w:rsidRDefault="00000000">
      <w:pPr>
        <w:spacing w:after="200" w:line="360" w:lineRule="auto"/>
        <w:jc w:val="both"/>
        <w:rPr>
          <w:sz w:val="24"/>
          <w:szCs w:val="24"/>
          <w:lang w:val="en-GB"/>
        </w:rPr>
      </w:pPr>
      <w:r w:rsidRPr="00114F94">
        <w:rPr>
          <w:sz w:val="24"/>
          <w:szCs w:val="24"/>
          <w:lang w:val="en-GB"/>
        </w:rPr>
        <w:lastRenderedPageBreak/>
        <w:t>After hitting a high of 271.5 percent in January 2024 and spending all of 2023 in excess of 200 percent, annual inflation slowed to 117.8 percent at the end of 2024 and to approximately 2 percent monthly throughout much of 2025 (Focus Economics, 2026). In Argentina, the first fiscal surplus in 14 years was registered in 2024, at the level of 1.8 percent of GDP, mainly due to a reduction in subsidies, with the public sector being reduced in size (OECD, 2025). The overall value of GDP for 2024 decreased by 1.7 percent but improved from the fourth quarter onwards, mainly due to the agricultural sector segment, which experienced a significant recovery following the 2023 drought event, as well as growth in private sector credit from a decision by the central bank to lower the country's policy rate by 102 percentage points between December 2023 and January 2025. Table 2 provides an overview of key metrics with respect to entering the retail market.</w:t>
      </w:r>
    </w:p>
    <w:tbl>
      <w:tblPr>
        <w:tblStyle w:val="GridTable5Dark-Accent5"/>
        <w:tblW w:w="9360" w:type="dxa"/>
        <w:tblLayout w:type="fixed"/>
        <w:tblLook w:val="0600" w:firstRow="0" w:lastRow="0" w:firstColumn="0" w:lastColumn="0" w:noHBand="1" w:noVBand="1"/>
      </w:tblPr>
      <w:tblGrid>
        <w:gridCol w:w="2190"/>
        <w:gridCol w:w="2040"/>
        <w:gridCol w:w="2325"/>
        <w:gridCol w:w="2805"/>
      </w:tblGrid>
      <w:tr w:rsidR="009856E5" w:rsidRPr="00114F94" w14:paraId="61C6BA6D" w14:textId="77777777" w:rsidTr="00E4138F">
        <w:trPr>
          <w:trHeight w:val="405"/>
        </w:trPr>
        <w:tc>
          <w:tcPr>
            <w:tcW w:w="2190" w:type="dxa"/>
          </w:tcPr>
          <w:p w14:paraId="4497DEDA"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t>Indicator</w:t>
            </w:r>
          </w:p>
        </w:tc>
        <w:tc>
          <w:tcPr>
            <w:tcW w:w="2040" w:type="dxa"/>
          </w:tcPr>
          <w:p w14:paraId="114D3CA5"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t>2023</w:t>
            </w:r>
          </w:p>
        </w:tc>
        <w:tc>
          <w:tcPr>
            <w:tcW w:w="2325" w:type="dxa"/>
          </w:tcPr>
          <w:p w14:paraId="5B1C4B8C"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t>2024</w:t>
            </w:r>
          </w:p>
        </w:tc>
        <w:tc>
          <w:tcPr>
            <w:tcW w:w="2805" w:type="dxa"/>
          </w:tcPr>
          <w:p w14:paraId="678B303E"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t>2025 (latest available)</w:t>
            </w:r>
          </w:p>
        </w:tc>
      </w:tr>
      <w:tr w:rsidR="009856E5" w:rsidRPr="00114F94" w14:paraId="564A5F93" w14:textId="77777777" w:rsidTr="00E4138F">
        <w:trPr>
          <w:trHeight w:val="405"/>
        </w:trPr>
        <w:tc>
          <w:tcPr>
            <w:tcW w:w="2190" w:type="dxa"/>
          </w:tcPr>
          <w:p w14:paraId="1FEAC3C3" w14:textId="77777777" w:rsidR="009856E5" w:rsidRPr="00114F94" w:rsidRDefault="00000000">
            <w:pPr>
              <w:spacing w:line="360" w:lineRule="auto"/>
              <w:jc w:val="center"/>
              <w:rPr>
                <w:sz w:val="24"/>
                <w:szCs w:val="24"/>
                <w:lang w:val="en-GB"/>
              </w:rPr>
            </w:pPr>
            <w:r w:rsidRPr="00114F94">
              <w:rPr>
                <w:sz w:val="24"/>
                <w:szCs w:val="24"/>
                <w:lang w:val="en-GB"/>
              </w:rPr>
              <w:t>Annual inflation</w:t>
            </w:r>
          </w:p>
        </w:tc>
        <w:tc>
          <w:tcPr>
            <w:tcW w:w="2040" w:type="dxa"/>
          </w:tcPr>
          <w:p w14:paraId="0C64D35B" w14:textId="77777777" w:rsidR="009856E5" w:rsidRPr="00114F94" w:rsidRDefault="00000000">
            <w:pPr>
              <w:spacing w:line="360" w:lineRule="auto"/>
              <w:jc w:val="center"/>
              <w:rPr>
                <w:sz w:val="24"/>
                <w:szCs w:val="24"/>
                <w:lang w:val="en-GB"/>
              </w:rPr>
            </w:pPr>
            <w:r w:rsidRPr="00114F94">
              <w:rPr>
                <w:sz w:val="24"/>
                <w:szCs w:val="24"/>
                <w:lang w:val="en-GB"/>
              </w:rPr>
              <w:t>211.4%</w:t>
            </w:r>
          </w:p>
        </w:tc>
        <w:tc>
          <w:tcPr>
            <w:tcW w:w="2325" w:type="dxa"/>
          </w:tcPr>
          <w:p w14:paraId="130CF06D" w14:textId="3186818C" w:rsidR="009856E5" w:rsidRPr="00114F94" w:rsidRDefault="00000000">
            <w:pPr>
              <w:spacing w:line="360" w:lineRule="auto"/>
              <w:jc w:val="center"/>
              <w:rPr>
                <w:sz w:val="24"/>
                <w:szCs w:val="24"/>
                <w:lang w:val="en-GB"/>
              </w:rPr>
            </w:pPr>
            <w:r w:rsidRPr="00114F94">
              <w:rPr>
                <w:sz w:val="24"/>
                <w:szCs w:val="24"/>
                <w:lang w:val="en-GB"/>
              </w:rPr>
              <w:t>117.8% (</w:t>
            </w:r>
            <w:r w:rsidR="006965B0" w:rsidRPr="00114F94">
              <w:rPr>
                <w:sz w:val="24"/>
                <w:szCs w:val="24"/>
                <w:lang w:val="en-GB"/>
              </w:rPr>
              <w:t>year-end</w:t>
            </w:r>
            <w:r w:rsidRPr="00114F94">
              <w:rPr>
                <w:sz w:val="24"/>
                <w:szCs w:val="24"/>
                <w:lang w:val="en-GB"/>
              </w:rPr>
              <w:t>)</w:t>
            </w:r>
          </w:p>
        </w:tc>
        <w:tc>
          <w:tcPr>
            <w:tcW w:w="2805" w:type="dxa"/>
          </w:tcPr>
          <w:p w14:paraId="72703912" w14:textId="77777777" w:rsidR="009856E5" w:rsidRPr="00114F94" w:rsidRDefault="00000000">
            <w:pPr>
              <w:spacing w:line="360" w:lineRule="auto"/>
              <w:jc w:val="center"/>
              <w:rPr>
                <w:sz w:val="24"/>
                <w:szCs w:val="24"/>
                <w:lang w:val="en-GB"/>
              </w:rPr>
            </w:pPr>
            <w:r w:rsidRPr="00114F94">
              <w:rPr>
                <w:sz w:val="24"/>
                <w:szCs w:val="24"/>
                <w:lang w:val="en-GB"/>
              </w:rPr>
              <w:t>~2% monthly average</w:t>
            </w:r>
          </w:p>
        </w:tc>
      </w:tr>
      <w:tr w:rsidR="009856E5" w:rsidRPr="00114F94" w14:paraId="3BD58D9F" w14:textId="77777777" w:rsidTr="00E4138F">
        <w:trPr>
          <w:trHeight w:val="405"/>
        </w:trPr>
        <w:tc>
          <w:tcPr>
            <w:tcW w:w="2190" w:type="dxa"/>
          </w:tcPr>
          <w:p w14:paraId="7E4163F0" w14:textId="77777777" w:rsidR="009856E5" w:rsidRPr="00114F94" w:rsidRDefault="00000000">
            <w:pPr>
              <w:spacing w:line="360" w:lineRule="auto"/>
              <w:jc w:val="center"/>
              <w:rPr>
                <w:sz w:val="24"/>
                <w:szCs w:val="24"/>
                <w:lang w:val="en-GB"/>
              </w:rPr>
            </w:pPr>
            <w:r w:rsidRPr="00114F94">
              <w:rPr>
                <w:sz w:val="24"/>
                <w:szCs w:val="24"/>
                <w:lang w:val="en-GB"/>
              </w:rPr>
              <w:t>GDP growth</w:t>
            </w:r>
          </w:p>
        </w:tc>
        <w:tc>
          <w:tcPr>
            <w:tcW w:w="2040" w:type="dxa"/>
          </w:tcPr>
          <w:p w14:paraId="2DA3F0B7" w14:textId="77777777" w:rsidR="009856E5" w:rsidRPr="00114F94" w:rsidRDefault="00000000">
            <w:pPr>
              <w:spacing w:line="360" w:lineRule="auto"/>
              <w:jc w:val="center"/>
              <w:rPr>
                <w:sz w:val="24"/>
                <w:szCs w:val="24"/>
                <w:lang w:val="en-GB"/>
              </w:rPr>
            </w:pPr>
            <w:r w:rsidRPr="00114F94">
              <w:rPr>
                <w:sz w:val="24"/>
                <w:szCs w:val="24"/>
                <w:lang w:val="en-GB"/>
              </w:rPr>
              <w:t>Recession context</w:t>
            </w:r>
          </w:p>
        </w:tc>
        <w:tc>
          <w:tcPr>
            <w:tcW w:w="2325" w:type="dxa"/>
          </w:tcPr>
          <w:p w14:paraId="05566025" w14:textId="77777777" w:rsidR="009856E5" w:rsidRPr="00114F94" w:rsidRDefault="00000000">
            <w:pPr>
              <w:spacing w:line="360" w:lineRule="auto"/>
              <w:jc w:val="center"/>
              <w:rPr>
                <w:sz w:val="24"/>
                <w:szCs w:val="24"/>
                <w:lang w:val="en-GB"/>
              </w:rPr>
            </w:pPr>
            <w:r w:rsidRPr="00114F94">
              <w:rPr>
                <w:sz w:val="24"/>
                <w:szCs w:val="24"/>
                <w:lang w:val="en-GB"/>
              </w:rPr>
              <w:t>-1.7% (Q4 rebound)</w:t>
            </w:r>
          </w:p>
        </w:tc>
        <w:tc>
          <w:tcPr>
            <w:tcW w:w="2805" w:type="dxa"/>
          </w:tcPr>
          <w:p w14:paraId="5DB31FBD" w14:textId="77777777" w:rsidR="009856E5" w:rsidRPr="00114F94" w:rsidRDefault="00000000">
            <w:pPr>
              <w:spacing w:line="360" w:lineRule="auto"/>
              <w:jc w:val="center"/>
              <w:rPr>
                <w:sz w:val="24"/>
                <w:szCs w:val="24"/>
                <w:lang w:val="en-GB"/>
              </w:rPr>
            </w:pPr>
            <w:r w:rsidRPr="00114F94">
              <w:rPr>
                <w:sz w:val="24"/>
                <w:szCs w:val="24"/>
                <w:lang w:val="en-GB"/>
              </w:rPr>
              <w:t>Gradual recovery</w:t>
            </w:r>
          </w:p>
        </w:tc>
      </w:tr>
      <w:tr w:rsidR="009856E5" w:rsidRPr="00114F94" w14:paraId="796B3EE4" w14:textId="77777777" w:rsidTr="00E4138F">
        <w:trPr>
          <w:trHeight w:val="645"/>
        </w:trPr>
        <w:tc>
          <w:tcPr>
            <w:tcW w:w="2190" w:type="dxa"/>
          </w:tcPr>
          <w:p w14:paraId="0AA6DF30" w14:textId="77777777" w:rsidR="009856E5" w:rsidRPr="00114F94" w:rsidRDefault="00000000">
            <w:pPr>
              <w:spacing w:line="360" w:lineRule="auto"/>
              <w:jc w:val="center"/>
              <w:rPr>
                <w:sz w:val="24"/>
                <w:szCs w:val="24"/>
                <w:lang w:val="en-GB"/>
              </w:rPr>
            </w:pPr>
            <w:r w:rsidRPr="00114F94">
              <w:rPr>
                <w:sz w:val="24"/>
                <w:szCs w:val="24"/>
                <w:lang w:val="en-GB"/>
              </w:rPr>
              <w:t>Fiscal balance</w:t>
            </w:r>
          </w:p>
        </w:tc>
        <w:tc>
          <w:tcPr>
            <w:tcW w:w="2040" w:type="dxa"/>
          </w:tcPr>
          <w:p w14:paraId="3ECCE06C" w14:textId="77777777" w:rsidR="009856E5" w:rsidRPr="00114F94" w:rsidRDefault="00000000">
            <w:pPr>
              <w:spacing w:line="360" w:lineRule="auto"/>
              <w:jc w:val="center"/>
              <w:rPr>
                <w:sz w:val="24"/>
                <w:szCs w:val="24"/>
                <w:lang w:val="en-GB"/>
              </w:rPr>
            </w:pPr>
            <w:r w:rsidRPr="00114F94">
              <w:rPr>
                <w:sz w:val="24"/>
                <w:szCs w:val="24"/>
                <w:lang w:val="en-GB"/>
              </w:rPr>
              <w:t>Deficit</w:t>
            </w:r>
          </w:p>
        </w:tc>
        <w:tc>
          <w:tcPr>
            <w:tcW w:w="2325" w:type="dxa"/>
          </w:tcPr>
          <w:p w14:paraId="54CA5A9C" w14:textId="77777777" w:rsidR="009856E5" w:rsidRPr="00114F94" w:rsidRDefault="00000000">
            <w:pPr>
              <w:spacing w:line="360" w:lineRule="auto"/>
              <w:jc w:val="center"/>
              <w:rPr>
                <w:sz w:val="24"/>
                <w:szCs w:val="24"/>
                <w:lang w:val="en-GB"/>
              </w:rPr>
            </w:pPr>
            <w:r w:rsidRPr="00114F94">
              <w:rPr>
                <w:sz w:val="24"/>
                <w:szCs w:val="24"/>
                <w:lang w:val="en-GB"/>
              </w:rPr>
              <w:t>+1.8% of GDP surplus (first in 14 years)</w:t>
            </w:r>
          </w:p>
        </w:tc>
        <w:tc>
          <w:tcPr>
            <w:tcW w:w="2805" w:type="dxa"/>
          </w:tcPr>
          <w:p w14:paraId="72030888" w14:textId="77777777" w:rsidR="009856E5" w:rsidRPr="00114F94" w:rsidRDefault="00000000">
            <w:pPr>
              <w:spacing w:line="360" w:lineRule="auto"/>
              <w:jc w:val="center"/>
              <w:rPr>
                <w:sz w:val="24"/>
                <w:szCs w:val="24"/>
                <w:lang w:val="en-GB"/>
              </w:rPr>
            </w:pPr>
            <w:r w:rsidRPr="00114F94">
              <w:rPr>
                <w:sz w:val="24"/>
                <w:szCs w:val="24"/>
                <w:lang w:val="en-GB"/>
              </w:rPr>
              <w:t>Surplus broadly maintained</w:t>
            </w:r>
          </w:p>
        </w:tc>
      </w:tr>
      <w:tr w:rsidR="009856E5" w:rsidRPr="00114F94" w14:paraId="45F29B02" w14:textId="77777777" w:rsidTr="00E4138F">
        <w:trPr>
          <w:trHeight w:val="645"/>
        </w:trPr>
        <w:tc>
          <w:tcPr>
            <w:tcW w:w="2190" w:type="dxa"/>
          </w:tcPr>
          <w:p w14:paraId="2258A9D7" w14:textId="77777777" w:rsidR="009856E5" w:rsidRPr="00114F94" w:rsidRDefault="00000000">
            <w:pPr>
              <w:spacing w:line="360" w:lineRule="auto"/>
              <w:jc w:val="center"/>
              <w:rPr>
                <w:sz w:val="24"/>
                <w:szCs w:val="24"/>
                <w:lang w:val="en-GB"/>
              </w:rPr>
            </w:pPr>
            <w:r w:rsidRPr="00114F94">
              <w:rPr>
                <w:sz w:val="24"/>
                <w:szCs w:val="24"/>
                <w:lang w:val="en-GB"/>
              </w:rPr>
              <w:t>Poverty rate</w:t>
            </w:r>
          </w:p>
        </w:tc>
        <w:tc>
          <w:tcPr>
            <w:tcW w:w="2040" w:type="dxa"/>
          </w:tcPr>
          <w:p w14:paraId="3E785E12" w14:textId="77777777" w:rsidR="009856E5" w:rsidRPr="00114F94" w:rsidRDefault="00000000">
            <w:pPr>
              <w:spacing w:line="360" w:lineRule="auto"/>
              <w:jc w:val="center"/>
              <w:rPr>
                <w:sz w:val="24"/>
                <w:szCs w:val="24"/>
                <w:lang w:val="en-GB"/>
              </w:rPr>
            </w:pPr>
            <w:r w:rsidRPr="00114F94">
              <w:rPr>
                <w:sz w:val="24"/>
                <w:szCs w:val="24"/>
                <w:lang w:val="en-GB"/>
              </w:rPr>
              <w:t>~42% (H2)</w:t>
            </w:r>
          </w:p>
        </w:tc>
        <w:tc>
          <w:tcPr>
            <w:tcW w:w="2325" w:type="dxa"/>
          </w:tcPr>
          <w:p w14:paraId="2ABD9E86" w14:textId="77777777" w:rsidR="009856E5" w:rsidRPr="00114F94" w:rsidRDefault="00000000">
            <w:pPr>
              <w:spacing w:line="360" w:lineRule="auto"/>
              <w:jc w:val="center"/>
              <w:rPr>
                <w:sz w:val="24"/>
                <w:szCs w:val="24"/>
                <w:lang w:val="en-GB"/>
              </w:rPr>
            </w:pPr>
            <w:r w:rsidRPr="00114F94">
              <w:rPr>
                <w:sz w:val="24"/>
                <w:szCs w:val="24"/>
                <w:lang w:val="en-GB"/>
              </w:rPr>
              <w:t>53% (H1, peak)</w:t>
            </w:r>
          </w:p>
        </w:tc>
        <w:tc>
          <w:tcPr>
            <w:tcW w:w="2805" w:type="dxa"/>
          </w:tcPr>
          <w:p w14:paraId="4777472E" w14:textId="77777777" w:rsidR="009856E5" w:rsidRPr="00114F94" w:rsidRDefault="00000000">
            <w:pPr>
              <w:spacing w:line="360" w:lineRule="auto"/>
              <w:jc w:val="center"/>
              <w:rPr>
                <w:sz w:val="24"/>
                <w:szCs w:val="24"/>
                <w:lang w:val="en-GB"/>
              </w:rPr>
            </w:pPr>
            <w:r w:rsidRPr="00114F94">
              <w:rPr>
                <w:sz w:val="24"/>
                <w:szCs w:val="24"/>
                <w:lang w:val="en-GB"/>
              </w:rPr>
              <w:t>32% (H1, lowest since 2018)</w:t>
            </w:r>
          </w:p>
        </w:tc>
      </w:tr>
      <w:tr w:rsidR="009856E5" w:rsidRPr="00114F94" w14:paraId="6BD1BDBD" w14:textId="77777777" w:rsidTr="00E4138F">
        <w:trPr>
          <w:trHeight w:val="405"/>
        </w:trPr>
        <w:tc>
          <w:tcPr>
            <w:tcW w:w="2190" w:type="dxa"/>
          </w:tcPr>
          <w:p w14:paraId="073179C4" w14:textId="77777777" w:rsidR="009856E5" w:rsidRPr="00114F94" w:rsidRDefault="00000000">
            <w:pPr>
              <w:spacing w:line="360" w:lineRule="auto"/>
              <w:jc w:val="center"/>
              <w:rPr>
                <w:sz w:val="24"/>
                <w:szCs w:val="24"/>
                <w:lang w:val="en-GB"/>
              </w:rPr>
            </w:pPr>
            <w:r w:rsidRPr="00114F94">
              <w:rPr>
                <w:sz w:val="24"/>
                <w:szCs w:val="24"/>
                <w:lang w:val="en-GB"/>
              </w:rPr>
              <w:t>Capital controls</w:t>
            </w:r>
          </w:p>
        </w:tc>
        <w:tc>
          <w:tcPr>
            <w:tcW w:w="2040" w:type="dxa"/>
          </w:tcPr>
          <w:p w14:paraId="1019061C" w14:textId="77777777" w:rsidR="009856E5" w:rsidRPr="00114F94" w:rsidRDefault="00000000">
            <w:pPr>
              <w:spacing w:line="360" w:lineRule="auto"/>
              <w:jc w:val="center"/>
              <w:rPr>
                <w:sz w:val="24"/>
                <w:szCs w:val="24"/>
                <w:lang w:val="en-GB"/>
              </w:rPr>
            </w:pPr>
            <w:r w:rsidRPr="00114F94">
              <w:rPr>
                <w:sz w:val="24"/>
                <w:szCs w:val="24"/>
                <w:lang w:val="en-GB"/>
              </w:rPr>
              <w:t>Full “cepo cambiario”</w:t>
            </w:r>
          </w:p>
        </w:tc>
        <w:tc>
          <w:tcPr>
            <w:tcW w:w="2325" w:type="dxa"/>
          </w:tcPr>
          <w:p w14:paraId="2B0C129A" w14:textId="77777777" w:rsidR="009856E5" w:rsidRPr="00114F94" w:rsidRDefault="00000000">
            <w:pPr>
              <w:spacing w:line="360" w:lineRule="auto"/>
              <w:jc w:val="center"/>
              <w:rPr>
                <w:sz w:val="24"/>
                <w:szCs w:val="24"/>
                <w:lang w:val="en-GB"/>
              </w:rPr>
            </w:pPr>
            <w:r w:rsidRPr="00114F94">
              <w:rPr>
                <w:sz w:val="24"/>
                <w:szCs w:val="24"/>
                <w:lang w:val="en-GB"/>
              </w:rPr>
              <w:t>Full</w:t>
            </w:r>
          </w:p>
        </w:tc>
        <w:tc>
          <w:tcPr>
            <w:tcW w:w="2805" w:type="dxa"/>
          </w:tcPr>
          <w:p w14:paraId="09325ACA" w14:textId="77777777" w:rsidR="009856E5" w:rsidRPr="00114F94" w:rsidRDefault="00000000">
            <w:pPr>
              <w:spacing w:line="360" w:lineRule="auto"/>
              <w:jc w:val="center"/>
              <w:rPr>
                <w:sz w:val="24"/>
                <w:szCs w:val="24"/>
                <w:lang w:val="en-GB"/>
              </w:rPr>
            </w:pPr>
            <w:r w:rsidRPr="00114F94">
              <w:rPr>
                <w:sz w:val="24"/>
                <w:szCs w:val="24"/>
                <w:lang w:val="en-GB"/>
              </w:rPr>
              <w:t>Partially lifted (April)</w:t>
            </w:r>
          </w:p>
        </w:tc>
      </w:tr>
    </w:tbl>
    <w:p w14:paraId="6868EB00" w14:textId="77777777" w:rsidR="009856E5" w:rsidRPr="00114F94" w:rsidRDefault="00000000">
      <w:pPr>
        <w:spacing w:before="120" w:after="240" w:line="360" w:lineRule="auto"/>
        <w:jc w:val="center"/>
        <w:rPr>
          <w:b/>
          <w:bCs/>
          <w:sz w:val="24"/>
          <w:szCs w:val="24"/>
          <w:lang w:val="en-GB"/>
        </w:rPr>
      </w:pPr>
      <w:r w:rsidRPr="00114F94">
        <w:rPr>
          <w:b/>
          <w:bCs/>
          <w:sz w:val="24"/>
          <w:szCs w:val="24"/>
          <w:lang w:val="en-GB"/>
        </w:rPr>
        <w:t xml:space="preserve">Table 2: Key Argentine macroeconomic and political indicators, 2023–2025 </w:t>
      </w:r>
    </w:p>
    <w:p w14:paraId="1C0C5C35" w14:textId="77777777" w:rsidR="009856E5" w:rsidRPr="00114F94" w:rsidRDefault="00000000">
      <w:pPr>
        <w:spacing w:before="120" w:after="240" w:line="360" w:lineRule="auto"/>
        <w:jc w:val="center"/>
        <w:rPr>
          <w:sz w:val="24"/>
          <w:szCs w:val="24"/>
          <w:lang w:val="en-GB"/>
        </w:rPr>
      </w:pPr>
      <w:r w:rsidRPr="00114F94">
        <w:rPr>
          <w:sz w:val="24"/>
          <w:szCs w:val="24"/>
          <w:lang w:val="en-GB"/>
        </w:rPr>
        <w:t>Source: (Self-Created)</w:t>
      </w:r>
    </w:p>
    <w:p w14:paraId="213A24BD" w14:textId="77777777" w:rsidR="009856E5" w:rsidRPr="00114F94" w:rsidRDefault="00000000">
      <w:pPr>
        <w:spacing w:after="200" w:line="360" w:lineRule="auto"/>
        <w:jc w:val="both"/>
        <w:rPr>
          <w:sz w:val="24"/>
          <w:szCs w:val="24"/>
          <w:lang w:val="en-GB"/>
        </w:rPr>
      </w:pPr>
      <w:r w:rsidRPr="00114F94">
        <w:rPr>
          <w:sz w:val="24"/>
          <w:szCs w:val="24"/>
          <w:lang w:val="en-GB"/>
        </w:rPr>
        <w:t xml:space="preserve">Human costs as part of stabilization have been substantial and specifically related to an orientation to value for the IKEA retailer. The poverty rate has surged to 53 percent of the population in the first half of 2024, settling at 32 percent by the first half of 2025, the best level since 2018, as real incomes rebounded (Focus Economics, 2025). The resulting </w:t>
      </w:r>
      <w:r w:rsidRPr="00114F94">
        <w:rPr>
          <w:sz w:val="24"/>
          <w:szCs w:val="24"/>
          <w:lang w:val="en-GB"/>
        </w:rPr>
        <w:lastRenderedPageBreak/>
        <w:t>“two-speed” recovery, with strong growth in agriculture, energy, and mining industries but a slow recovery of the purchasing power of consumers, is well suited, in theory, to Ingka Group's business model of investing EUR 2.1 billion over the course of FY24 globally, with the aim to bring the price back down for the customer (Ingka Group, 2024). However, the same volatility that is helping to cool inflation is also making real demand in Argentina even more fragile and sensitive to additional currency shocks, as the IMF has now reduced its growth projections for 2024 during the initial contractionary phase of the reform (Malay Mail, 2024).</w:t>
      </w:r>
    </w:p>
    <w:p w14:paraId="4EA02513" w14:textId="77777777" w:rsidR="009856E5" w:rsidRPr="00114F94" w:rsidRDefault="00000000" w:rsidP="00532AD5">
      <w:pPr>
        <w:pStyle w:val="Heading2"/>
        <w:rPr>
          <w:b w:val="0"/>
          <w:lang w:val="en-GB"/>
        </w:rPr>
      </w:pPr>
      <w:bookmarkStart w:id="15" w:name="_17s0avptw9wu" w:colFirst="0" w:colLast="0"/>
      <w:bookmarkStart w:id="16" w:name="_Toc237104952"/>
      <w:bookmarkEnd w:id="15"/>
      <w:r w:rsidRPr="00114F94">
        <w:rPr>
          <w:lang w:val="en-GB"/>
        </w:rPr>
        <w:t>2.3 Legal and Regulatory Environment</w:t>
      </w:r>
      <w:bookmarkEnd w:id="16"/>
    </w:p>
    <w:p w14:paraId="70BB2F81" w14:textId="77777777" w:rsidR="009856E5" w:rsidRPr="00114F94" w:rsidRDefault="00000000">
      <w:pPr>
        <w:spacing w:after="200" w:line="360" w:lineRule="auto"/>
        <w:jc w:val="both"/>
        <w:rPr>
          <w:sz w:val="24"/>
          <w:szCs w:val="24"/>
          <w:lang w:val="en-GB"/>
        </w:rPr>
      </w:pPr>
      <w:r w:rsidRPr="00114F94">
        <w:rPr>
          <w:sz w:val="24"/>
          <w:szCs w:val="24"/>
          <w:lang w:val="en-GB"/>
        </w:rPr>
        <w:t>Due to the Milei government's deregulation law of the year (“Ley Bases”) and the overall easing of international trade procedures, the requirements for any franchise partner to import IKEA's centrally sourced order of products are measurable (Aduana News, 2025). Large-scale joint investment from foreign retail and consumer groups can take place under the framework, although it is not yet common, as the United States is still Argentina's largest single source of inward FDI with a stock amount of USD 20.9 billion, as of 2023 (State.gov, 2025). However, the state's own evaluation of investment climate indicates that the remaining restrictions on bringing investment profits back on home soil and on payment of external debts (International Monetary Fund.) puts a question mark on the situation of the investment climate in the state. Written there (Western Hemisphere Dept. 2026): “There is a legal conflict that, according to transaction-costs economics, just increases the price of any type of entry mode that entails direct position in the peso, because the inconvertibility of the currency acts like a 'contractual hazard that markets cannot fully price in advance”. This legal climate is conducive to entry structures—franchising, licensing, or joint venture, which ensure that IKEA's working capital and profit and loss remains in a local entity that is a resident, so that the parent balance sheet is not exposed to currency and repatriation risks while waiting to see if the reform is sustainable.</w:t>
      </w:r>
    </w:p>
    <w:p w14:paraId="581A4D64" w14:textId="77777777" w:rsidR="009856E5" w:rsidRPr="00114F94" w:rsidRDefault="00000000" w:rsidP="00532AD5">
      <w:pPr>
        <w:pStyle w:val="Heading2"/>
        <w:rPr>
          <w:b w:val="0"/>
          <w:lang w:val="en-GB"/>
        </w:rPr>
      </w:pPr>
      <w:bookmarkStart w:id="17" w:name="_mtevv1r47ir" w:colFirst="0" w:colLast="0"/>
      <w:bookmarkStart w:id="18" w:name="_Toc237104953"/>
      <w:bookmarkEnd w:id="17"/>
      <w:r w:rsidRPr="00114F94">
        <w:rPr>
          <w:lang w:val="en-GB"/>
        </w:rPr>
        <w:lastRenderedPageBreak/>
        <w:t>2.4 Cultural Environment</w:t>
      </w:r>
      <w:bookmarkEnd w:id="18"/>
    </w:p>
    <w:p w14:paraId="0417D3F7" w14:textId="77777777" w:rsidR="009856E5" w:rsidRPr="00114F94" w:rsidRDefault="00000000">
      <w:pPr>
        <w:spacing w:after="200" w:line="360" w:lineRule="auto"/>
        <w:jc w:val="center"/>
        <w:rPr>
          <w:b/>
          <w:bCs/>
          <w:sz w:val="24"/>
          <w:szCs w:val="24"/>
          <w:lang w:val="en-GB"/>
        </w:rPr>
      </w:pPr>
      <w:r w:rsidRPr="00114F94">
        <w:rPr>
          <w:b/>
          <w:bCs/>
          <w:noProof/>
          <w:sz w:val="24"/>
          <w:szCs w:val="24"/>
          <w:lang w:val="en-GB"/>
        </w:rPr>
        <w:drawing>
          <wp:inline distT="114300" distB="114300" distL="114300" distR="114300" wp14:anchorId="17AD424E" wp14:editId="5164CC79">
            <wp:extent cx="5593080" cy="3048000"/>
            <wp:effectExtent l="76200" t="76200" r="140970" b="13335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593772" cy="30483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2B6E05" w14:textId="77777777" w:rsidR="009856E5" w:rsidRPr="00114F94" w:rsidRDefault="00000000">
      <w:pPr>
        <w:spacing w:after="200" w:line="360" w:lineRule="auto"/>
        <w:jc w:val="center"/>
        <w:rPr>
          <w:b/>
          <w:bCs/>
          <w:sz w:val="24"/>
          <w:szCs w:val="24"/>
          <w:lang w:val="en-GB"/>
        </w:rPr>
      </w:pPr>
      <w:r w:rsidRPr="00114F94">
        <w:rPr>
          <w:b/>
          <w:bCs/>
          <w:sz w:val="24"/>
          <w:szCs w:val="24"/>
          <w:lang w:val="en-GB"/>
        </w:rPr>
        <w:t>Figure 2: Hofstede's Cultural-Dimensions Framework</w:t>
      </w:r>
    </w:p>
    <w:p w14:paraId="1A286DA4" w14:textId="77777777" w:rsidR="009856E5" w:rsidRPr="00114F94" w:rsidRDefault="00000000">
      <w:pPr>
        <w:spacing w:after="200" w:line="360" w:lineRule="auto"/>
        <w:jc w:val="center"/>
        <w:rPr>
          <w:sz w:val="24"/>
          <w:szCs w:val="24"/>
          <w:lang w:val="en-GB"/>
        </w:rPr>
      </w:pPr>
      <w:r w:rsidRPr="00114F94">
        <w:rPr>
          <w:sz w:val="24"/>
          <w:szCs w:val="24"/>
          <w:lang w:val="en-GB"/>
        </w:rPr>
        <w:t>Source: (Nickerson, 2025)</w:t>
      </w:r>
    </w:p>
    <w:p w14:paraId="1C02EC6B" w14:textId="77777777" w:rsidR="009856E5" w:rsidRPr="00114F94" w:rsidRDefault="00000000">
      <w:pPr>
        <w:spacing w:after="200" w:line="360" w:lineRule="auto"/>
        <w:jc w:val="both"/>
        <w:rPr>
          <w:sz w:val="24"/>
          <w:szCs w:val="24"/>
          <w:lang w:val="en-GB"/>
        </w:rPr>
      </w:pPr>
      <w:r w:rsidRPr="00114F94">
        <w:rPr>
          <w:sz w:val="24"/>
          <w:szCs w:val="24"/>
          <w:lang w:val="en-GB"/>
        </w:rPr>
        <w:t>Nickerson (2025) suggests that Argentina and Sweden, where IKEA is from and has its brand roots, are most distinct in the uncertainty avoidance and power distance cultural dimensions.</w:t>
      </w:r>
    </w:p>
    <w:p w14:paraId="3734956B" w14:textId="77777777" w:rsidR="009856E5" w:rsidRPr="00114F94" w:rsidRDefault="00000000">
      <w:pPr>
        <w:spacing w:after="200" w:line="360" w:lineRule="auto"/>
        <w:jc w:val="center"/>
        <w:rPr>
          <w:sz w:val="24"/>
          <w:szCs w:val="24"/>
          <w:lang w:val="en-GB"/>
        </w:rPr>
      </w:pPr>
      <w:r w:rsidRPr="00114F94">
        <w:rPr>
          <w:noProof/>
          <w:sz w:val="24"/>
          <w:szCs w:val="24"/>
          <w:lang w:val="en-GB"/>
        </w:rPr>
        <w:lastRenderedPageBreak/>
        <w:drawing>
          <wp:inline distT="114300" distB="114300" distL="114300" distR="114300" wp14:anchorId="536544BD" wp14:editId="3D43D8AC">
            <wp:extent cx="5516880" cy="3002280"/>
            <wp:effectExtent l="76200" t="76200" r="140970" b="14097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516880" cy="3002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550DD3" w14:textId="77777777" w:rsidR="009856E5" w:rsidRPr="00114F94" w:rsidRDefault="00000000">
      <w:pPr>
        <w:spacing w:after="200" w:line="360" w:lineRule="auto"/>
        <w:jc w:val="center"/>
        <w:rPr>
          <w:b/>
          <w:bCs/>
          <w:sz w:val="24"/>
          <w:szCs w:val="24"/>
          <w:lang w:val="en-GB"/>
        </w:rPr>
      </w:pPr>
      <w:r w:rsidRPr="00114F94">
        <w:rPr>
          <w:b/>
          <w:bCs/>
          <w:sz w:val="24"/>
          <w:szCs w:val="24"/>
          <w:lang w:val="en-GB"/>
        </w:rPr>
        <w:t>Figure 3: Country Comparison tool</w:t>
      </w:r>
    </w:p>
    <w:p w14:paraId="15003D55" w14:textId="77777777" w:rsidR="009856E5" w:rsidRPr="00114F94" w:rsidRDefault="00000000">
      <w:pPr>
        <w:spacing w:after="200" w:line="360" w:lineRule="auto"/>
        <w:jc w:val="center"/>
        <w:rPr>
          <w:sz w:val="24"/>
          <w:szCs w:val="24"/>
          <w:lang w:val="en-GB"/>
        </w:rPr>
      </w:pPr>
      <w:r w:rsidRPr="00114F94">
        <w:rPr>
          <w:sz w:val="24"/>
          <w:szCs w:val="24"/>
          <w:lang w:val="en-GB"/>
        </w:rPr>
        <w:t xml:space="preserve">Source: (Theculturefactor.com, 2020) </w:t>
      </w:r>
    </w:p>
    <w:p w14:paraId="453DAC16" w14:textId="77777777" w:rsidR="009856E5" w:rsidRPr="00114F94" w:rsidRDefault="00000000">
      <w:pPr>
        <w:spacing w:after="200" w:line="360" w:lineRule="auto"/>
        <w:jc w:val="both"/>
        <w:rPr>
          <w:sz w:val="24"/>
          <w:szCs w:val="24"/>
          <w:lang w:val="en-GB"/>
        </w:rPr>
      </w:pPr>
      <w:r w:rsidRPr="00114F94">
        <w:rPr>
          <w:sz w:val="24"/>
          <w:szCs w:val="24"/>
          <w:lang w:val="en-GB"/>
        </w:rPr>
        <w:t>Overall, Argentine society's score on both dimensions is significantly higher than that of the well-known low power-distance, low uncertainty avoidance community of Sweden: this suggests Argentine consumers may initially prefer to receive more formal treatment and a "hand" on the shelves than the self-service Scandinavian retail concept mainly offered by IKEA.</w:t>
      </w:r>
    </w:p>
    <w:p w14:paraId="69FFA966" w14:textId="77777777" w:rsidR="009856E5" w:rsidRPr="00114F94" w:rsidRDefault="00000000">
      <w:pPr>
        <w:spacing w:after="200" w:line="360" w:lineRule="auto"/>
        <w:jc w:val="center"/>
        <w:rPr>
          <w:sz w:val="24"/>
          <w:szCs w:val="24"/>
          <w:lang w:val="en-GB"/>
        </w:rPr>
      </w:pPr>
      <w:r w:rsidRPr="00114F94">
        <w:rPr>
          <w:noProof/>
          <w:sz w:val="24"/>
          <w:szCs w:val="24"/>
          <w:lang w:val="en-GB"/>
        </w:rPr>
        <w:lastRenderedPageBreak/>
        <w:drawing>
          <wp:inline distT="114300" distB="114300" distL="114300" distR="114300" wp14:anchorId="104A950E" wp14:editId="0BC383A8">
            <wp:extent cx="5538784" cy="3399606"/>
            <wp:effectExtent l="76200" t="76200" r="138430" b="12509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538784" cy="33996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128CFE" w14:textId="77777777" w:rsidR="009856E5" w:rsidRPr="00114F94" w:rsidRDefault="00000000">
      <w:pPr>
        <w:spacing w:after="200" w:line="360" w:lineRule="auto"/>
        <w:jc w:val="center"/>
        <w:rPr>
          <w:b/>
          <w:bCs/>
          <w:sz w:val="24"/>
          <w:szCs w:val="24"/>
          <w:lang w:val="en-GB"/>
        </w:rPr>
      </w:pPr>
      <w:r w:rsidRPr="00114F94">
        <w:rPr>
          <w:b/>
          <w:bCs/>
          <w:sz w:val="24"/>
          <w:szCs w:val="24"/>
          <w:lang w:val="en-GB"/>
        </w:rPr>
        <w:t>Figure 4: CAGE Distance Framework</w:t>
      </w:r>
    </w:p>
    <w:p w14:paraId="32B7A512" w14:textId="77777777" w:rsidR="009856E5" w:rsidRPr="00114F94" w:rsidRDefault="00000000">
      <w:pPr>
        <w:spacing w:after="200" w:line="360" w:lineRule="auto"/>
        <w:jc w:val="center"/>
        <w:rPr>
          <w:sz w:val="24"/>
          <w:szCs w:val="24"/>
          <w:lang w:val="en-GB"/>
        </w:rPr>
      </w:pPr>
      <w:r w:rsidRPr="00114F94">
        <w:rPr>
          <w:sz w:val="24"/>
          <w:szCs w:val="24"/>
          <w:lang w:val="en-GB"/>
        </w:rPr>
        <w:t>Source: (Ravishani, 2023)</w:t>
      </w:r>
    </w:p>
    <w:p w14:paraId="4A44713D" w14:textId="77777777" w:rsidR="009856E5" w:rsidRPr="00114F94" w:rsidRDefault="00000000">
      <w:pPr>
        <w:spacing w:after="200" w:line="360" w:lineRule="auto"/>
        <w:jc w:val="both"/>
        <w:rPr>
          <w:sz w:val="24"/>
          <w:szCs w:val="24"/>
          <w:lang w:val="en-GB"/>
        </w:rPr>
      </w:pPr>
      <w:r w:rsidRPr="00114F94">
        <w:rPr>
          <w:sz w:val="24"/>
          <w:szCs w:val="24"/>
          <w:lang w:val="en-GB"/>
        </w:rPr>
        <w:t>From a Ghemawat's CAGE distance perspective, cultural distance (language, aesthetic norms, family oriented values) is significant as is administrative distance (stability of currency, historical protectionist attitude towards trade); geographic distance is partially offset by the already established IKEA distribution network in South America, necessary for supply to Chile, and economic distance is also declining thanks to falling inflation and interest rates (Saville, Macleod and Onaji-Benson, 2021).</w:t>
      </w:r>
    </w:p>
    <w:p w14:paraId="3EB918DC" w14:textId="66410E20" w:rsidR="009856E5" w:rsidRPr="00114F94" w:rsidRDefault="00532AD5">
      <w:pPr>
        <w:spacing w:after="200" w:line="360" w:lineRule="auto"/>
        <w:jc w:val="both"/>
        <w:rPr>
          <w:sz w:val="24"/>
          <w:szCs w:val="24"/>
          <w:lang w:val="en-GB"/>
        </w:rPr>
      </w:pPr>
      <w:r w:rsidRPr="00114F94">
        <w:rPr>
          <w:sz w:val="24"/>
          <w:szCs w:val="24"/>
          <w:lang w:val="en-GB"/>
        </w:rPr>
        <w:t xml:space="preserve">However, region precedence also indicates cultural distance is not necessarily a barrier. The first IKEA location in Southern America that opened in August 2022 in Santiago, in collaboration with Falabella, generated hundreds of new, direct local jobs and showed that the Scandinavian flat-pack concept could be successfully localised with the help of Latin American artists and an adapted store concept (IKEA, 2022a). This next outlet in Bogota is said to have increased customer traffic at its shopping centre location by some 30 percent in the first months of operation, sign of the consumer demand for the brand </w:t>
      </w:r>
      <w:r w:rsidRPr="00114F94">
        <w:rPr>
          <w:sz w:val="24"/>
          <w:szCs w:val="24"/>
          <w:lang w:val="en-GB"/>
        </w:rPr>
        <w:lastRenderedPageBreak/>
        <w:t>when in their hands in Latin America. These results indicate that the transnational strategy of IKEA, with its products manufactured centrally but marketed and store-experienced locally, already has an ongoing process within its strategy that narrows cultural distance or, at least, decreases the cultural-risk part of the Argentine market entry, even though there is one without any regional prior experience.</w:t>
      </w:r>
    </w:p>
    <w:p w14:paraId="5DFB98BF" w14:textId="77777777" w:rsidR="009856E5" w:rsidRPr="00114F94" w:rsidRDefault="00000000" w:rsidP="00532AD5">
      <w:pPr>
        <w:pStyle w:val="Heading2"/>
        <w:rPr>
          <w:lang w:val="en-GB"/>
        </w:rPr>
      </w:pPr>
      <w:bookmarkStart w:id="19" w:name="_1j2o4mua2t0u" w:colFirst="0" w:colLast="0"/>
      <w:bookmarkStart w:id="20" w:name="_Toc237104954"/>
      <w:bookmarkEnd w:id="19"/>
      <w:r w:rsidRPr="00114F94">
        <w:rPr>
          <w:lang w:val="en-GB"/>
        </w:rPr>
        <w:t>2.5 Market Entry: Eclectic Paradigm (OLI) Synthesis</w:t>
      </w:r>
      <w:bookmarkEnd w:id="20"/>
    </w:p>
    <w:p w14:paraId="181FB5A6" w14:textId="77777777" w:rsidR="009856E5" w:rsidRPr="00114F94" w:rsidRDefault="00000000">
      <w:pPr>
        <w:spacing w:after="200" w:line="360" w:lineRule="auto"/>
        <w:jc w:val="center"/>
        <w:rPr>
          <w:b/>
          <w:bCs/>
          <w:sz w:val="24"/>
          <w:szCs w:val="24"/>
          <w:lang w:val="en-GB"/>
        </w:rPr>
      </w:pPr>
      <w:r w:rsidRPr="00114F94">
        <w:rPr>
          <w:b/>
          <w:bCs/>
          <w:noProof/>
          <w:sz w:val="24"/>
          <w:szCs w:val="24"/>
          <w:lang w:val="en-GB"/>
        </w:rPr>
        <w:drawing>
          <wp:inline distT="114300" distB="114300" distL="114300" distR="114300" wp14:anchorId="25EA8F8A" wp14:editId="69417D8D">
            <wp:extent cx="5304018" cy="2312008"/>
            <wp:effectExtent l="76200" t="76200" r="125730" b="1270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304018" cy="23120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88681D" w14:textId="77777777" w:rsidR="009856E5" w:rsidRPr="00114F94" w:rsidRDefault="00000000">
      <w:pPr>
        <w:spacing w:after="200" w:line="360" w:lineRule="auto"/>
        <w:jc w:val="center"/>
        <w:rPr>
          <w:b/>
          <w:bCs/>
          <w:sz w:val="24"/>
          <w:szCs w:val="24"/>
          <w:lang w:val="en-GB"/>
        </w:rPr>
      </w:pPr>
      <w:r w:rsidRPr="00114F94">
        <w:rPr>
          <w:b/>
          <w:bCs/>
          <w:sz w:val="24"/>
          <w:szCs w:val="24"/>
          <w:lang w:val="en-GB"/>
        </w:rPr>
        <w:t>Figure 5: Dunning's Eclectic Paradigm</w:t>
      </w:r>
    </w:p>
    <w:p w14:paraId="730EECF6" w14:textId="77777777" w:rsidR="009856E5" w:rsidRPr="00114F94" w:rsidRDefault="00000000">
      <w:pPr>
        <w:spacing w:after="200" w:line="360" w:lineRule="auto"/>
        <w:jc w:val="center"/>
        <w:rPr>
          <w:sz w:val="24"/>
          <w:szCs w:val="24"/>
          <w:lang w:val="en-GB"/>
        </w:rPr>
      </w:pPr>
      <w:r w:rsidRPr="00114F94">
        <w:rPr>
          <w:sz w:val="24"/>
          <w:szCs w:val="24"/>
          <w:lang w:val="en-GB"/>
        </w:rPr>
        <w:t xml:space="preserve">Source: (CFI, 2022) </w:t>
      </w:r>
    </w:p>
    <w:p w14:paraId="1EA57DB3" w14:textId="77777777" w:rsidR="009856E5" w:rsidRPr="00114F94" w:rsidRDefault="00000000">
      <w:pPr>
        <w:spacing w:after="200" w:line="360" w:lineRule="auto"/>
        <w:jc w:val="both"/>
        <w:rPr>
          <w:sz w:val="24"/>
          <w:szCs w:val="24"/>
          <w:lang w:val="en-GB"/>
        </w:rPr>
      </w:pPr>
      <w:r w:rsidRPr="00114F94">
        <w:rPr>
          <w:sz w:val="24"/>
          <w:szCs w:val="24"/>
          <w:lang w:val="en-GB"/>
        </w:rPr>
        <w:t>According to Dunning's eclectic paradigm, a firm will only pursue FDI if it can produce or sell abroad due to firm-specific ownership advantage (O); the advantages offered by the target location (L) make it better to produce or sell abroad versus serving the market from elsewhere, and internalizing the transaction to an unrelated party (I) is more efficient than licensing it to another firm. Cruz, Floriani and Amal (2020) warn that ownership advantages cannot be assumed to be unconstrained and permanently transferable; it is in the process of testing the transfer of ownership advantages to the institutional environment of interest, for which this synthesis serves, that OLI analysis becomes rigorous. An evaluation summary of IKEA's possible penetration of the Argentina market can be seen in Table 3.</w:t>
      </w:r>
    </w:p>
    <w:tbl>
      <w:tblPr>
        <w:tblStyle w:val="GridTable5Dark-Accent3"/>
        <w:tblW w:w="9345" w:type="dxa"/>
        <w:tblLayout w:type="fixed"/>
        <w:tblLook w:val="0600" w:firstRow="0" w:lastRow="0" w:firstColumn="0" w:lastColumn="0" w:noHBand="1" w:noVBand="1"/>
      </w:tblPr>
      <w:tblGrid>
        <w:gridCol w:w="2250"/>
        <w:gridCol w:w="3675"/>
        <w:gridCol w:w="3420"/>
      </w:tblGrid>
      <w:tr w:rsidR="009856E5" w:rsidRPr="00114F94" w14:paraId="5323C7D4" w14:textId="77777777" w:rsidTr="00E4138F">
        <w:trPr>
          <w:trHeight w:val="458"/>
        </w:trPr>
        <w:tc>
          <w:tcPr>
            <w:tcW w:w="2250" w:type="dxa"/>
          </w:tcPr>
          <w:p w14:paraId="4DD3F7E5"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lastRenderedPageBreak/>
              <w:t>OLI Component</w:t>
            </w:r>
          </w:p>
        </w:tc>
        <w:tc>
          <w:tcPr>
            <w:tcW w:w="3675" w:type="dxa"/>
          </w:tcPr>
          <w:p w14:paraId="57D9EB0D"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t>Assessment</w:t>
            </w:r>
          </w:p>
        </w:tc>
        <w:tc>
          <w:tcPr>
            <w:tcW w:w="3420" w:type="dxa"/>
          </w:tcPr>
          <w:p w14:paraId="5E1B29E9"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t>Strategic Implication</w:t>
            </w:r>
          </w:p>
        </w:tc>
      </w:tr>
      <w:tr w:rsidR="009856E5" w:rsidRPr="00114F94" w14:paraId="63974960" w14:textId="77777777" w:rsidTr="00E4138F">
        <w:trPr>
          <w:trHeight w:val="885"/>
        </w:trPr>
        <w:tc>
          <w:tcPr>
            <w:tcW w:w="2250" w:type="dxa"/>
          </w:tcPr>
          <w:p w14:paraId="1EB5F758" w14:textId="77777777" w:rsidR="009856E5" w:rsidRPr="00114F94" w:rsidRDefault="00000000">
            <w:pPr>
              <w:spacing w:line="360" w:lineRule="auto"/>
              <w:jc w:val="center"/>
              <w:rPr>
                <w:sz w:val="24"/>
                <w:szCs w:val="24"/>
                <w:lang w:val="en-GB"/>
              </w:rPr>
            </w:pPr>
            <w:r w:rsidRPr="00114F94">
              <w:rPr>
                <w:sz w:val="24"/>
                <w:szCs w:val="24"/>
                <w:lang w:val="en-GB"/>
              </w:rPr>
              <w:t>Ownership (O)</w:t>
            </w:r>
          </w:p>
        </w:tc>
        <w:tc>
          <w:tcPr>
            <w:tcW w:w="3675" w:type="dxa"/>
          </w:tcPr>
          <w:p w14:paraId="45DEB0F4" w14:textId="77777777" w:rsidR="009856E5" w:rsidRPr="00114F94" w:rsidRDefault="00000000">
            <w:pPr>
              <w:spacing w:line="360" w:lineRule="auto"/>
              <w:jc w:val="both"/>
              <w:rPr>
                <w:sz w:val="24"/>
                <w:szCs w:val="24"/>
                <w:lang w:val="en-GB"/>
              </w:rPr>
            </w:pPr>
            <w:r w:rsidRPr="00114F94">
              <w:rPr>
                <w:sz w:val="24"/>
                <w:szCs w:val="24"/>
                <w:lang w:val="en-GB"/>
              </w:rPr>
              <w:t>Strong: global brand equity, flat-pack design/logistics IP, franchise governance system, low-cost centralised sourcing</w:t>
            </w:r>
          </w:p>
        </w:tc>
        <w:tc>
          <w:tcPr>
            <w:tcW w:w="3420" w:type="dxa"/>
          </w:tcPr>
          <w:p w14:paraId="0B374D25" w14:textId="77777777" w:rsidR="009856E5" w:rsidRPr="00114F94" w:rsidRDefault="00000000">
            <w:pPr>
              <w:spacing w:line="360" w:lineRule="auto"/>
              <w:jc w:val="both"/>
              <w:rPr>
                <w:sz w:val="24"/>
                <w:szCs w:val="24"/>
                <w:lang w:val="en-GB"/>
              </w:rPr>
            </w:pPr>
            <w:r w:rsidRPr="00114F94">
              <w:rPr>
                <w:sz w:val="24"/>
                <w:szCs w:val="24"/>
                <w:lang w:val="en-GB"/>
              </w:rPr>
              <w:t>Advantages are largely portable and require no new capability development</w:t>
            </w:r>
          </w:p>
        </w:tc>
      </w:tr>
      <w:tr w:rsidR="009856E5" w:rsidRPr="00114F94" w14:paraId="498C8787" w14:textId="77777777" w:rsidTr="00E4138F">
        <w:trPr>
          <w:trHeight w:val="885"/>
        </w:trPr>
        <w:tc>
          <w:tcPr>
            <w:tcW w:w="2250" w:type="dxa"/>
          </w:tcPr>
          <w:p w14:paraId="3DE6C5E9" w14:textId="77777777" w:rsidR="009856E5" w:rsidRPr="00114F94" w:rsidRDefault="00000000">
            <w:pPr>
              <w:spacing w:line="360" w:lineRule="auto"/>
              <w:jc w:val="center"/>
              <w:rPr>
                <w:sz w:val="24"/>
                <w:szCs w:val="24"/>
                <w:lang w:val="en-GB"/>
              </w:rPr>
            </w:pPr>
            <w:r w:rsidRPr="00114F94">
              <w:rPr>
                <w:sz w:val="24"/>
                <w:szCs w:val="24"/>
                <w:lang w:val="en-GB"/>
              </w:rPr>
              <w:t>Location (L) – advantages</w:t>
            </w:r>
          </w:p>
        </w:tc>
        <w:tc>
          <w:tcPr>
            <w:tcW w:w="3675" w:type="dxa"/>
          </w:tcPr>
          <w:p w14:paraId="594353E9" w14:textId="77777777" w:rsidR="009856E5" w:rsidRPr="00114F94" w:rsidRDefault="00000000">
            <w:pPr>
              <w:spacing w:line="360" w:lineRule="auto"/>
              <w:jc w:val="both"/>
              <w:rPr>
                <w:sz w:val="24"/>
                <w:szCs w:val="24"/>
                <w:lang w:val="en-GB"/>
              </w:rPr>
            </w:pPr>
            <w:r w:rsidRPr="00114F94">
              <w:rPr>
                <w:sz w:val="24"/>
                <w:szCs w:val="24"/>
                <w:lang w:val="en-GB"/>
              </w:rPr>
              <w:t>Large unserved population (45m+), proximity to IKEA's Chilean distribution hub (Ikea.com, 2018), improving deregulation trajectory</w:t>
            </w:r>
          </w:p>
        </w:tc>
        <w:tc>
          <w:tcPr>
            <w:tcW w:w="3420" w:type="dxa"/>
          </w:tcPr>
          <w:p w14:paraId="06F6EA70" w14:textId="77777777" w:rsidR="009856E5" w:rsidRPr="00114F94" w:rsidRDefault="00000000">
            <w:pPr>
              <w:spacing w:line="360" w:lineRule="auto"/>
              <w:jc w:val="both"/>
              <w:rPr>
                <w:sz w:val="24"/>
                <w:szCs w:val="24"/>
                <w:lang w:val="en-GB"/>
              </w:rPr>
            </w:pPr>
            <w:r w:rsidRPr="00114F94">
              <w:rPr>
                <w:sz w:val="24"/>
                <w:szCs w:val="24"/>
                <w:lang w:val="en-GB"/>
              </w:rPr>
              <w:t>Market is attractive on both demand-side and logistics grounds</w:t>
            </w:r>
          </w:p>
        </w:tc>
      </w:tr>
      <w:tr w:rsidR="009856E5" w:rsidRPr="00114F94" w14:paraId="39935E1D" w14:textId="77777777" w:rsidTr="00E4138F">
        <w:trPr>
          <w:trHeight w:val="885"/>
        </w:trPr>
        <w:tc>
          <w:tcPr>
            <w:tcW w:w="2250" w:type="dxa"/>
          </w:tcPr>
          <w:p w14:paraId="2F3832C4" w14:textId="77777777" w:rsidR="009856E5" w:rsidRPr="00114F94" w:rsidRDefault="00000000">
            <w:pPr>
              <w:spacing w:line="360" w:lineRule="auto"/>
              <w:jc w:val="center"/>
              <w:rPr>
                <w:sz w:val="24"/>
                <w:szCs w:val="24"/>
                <w:lang w:val="en-GB"/>
              </w:rPr>
            </w:pPr>
            <w:r w:rsidRPr="00114F94">
              <w:rPr>
                <w:sz w:val="24"/>
                <w:szCs w:val="24"/>
                <w:lang w:val="en-GB"/>
              </w:rPr>
              <w:t>Location (L) – disadvantages</w:t>
            </w:r>
          </w:p>
        </w:tc>
        <w:tc>
          <w:tcPr>
            <w:tcW w:w="3675" w:type="dxa"/>
          </w:tcPr>
          <w:p w14:paraId="1A005230" w14:textId="77777777" w:rsidR="009856E5" w:rsidRPr="00114F94" w:rsidRDefault="00000000">
            <w:pPr>
              <w:spacing w:line="360" w:lineRule="auto"/>
              <w:jc w:val="both"/>
              <w:rPr>
                <w:sz w:val="24"/>
                <w:szCs w:val="24"/>
                <w:lang w:val="en-GB"/>
              </w:rPr>
            </w:pPr>
            <w:r w:rsidRPr="00114F94">
              <w:rPr>
                <w:sz w:val="24"/>
                <w:szCs w:val="24"/>
                <w:lang w:val="en-GB"/>
              </w:rPr>
              <w:t>Currency volatility, incomplete capital-account liberalisation, elevated institutional risk</w:t>
            </w:r>
          </w:p>
        </w:tc>
        <w:tc>
          <w:tcPr>
            <w:tcW w:w="3420" w:type="dxa"/>
          </w:tcPr>
          <w:p w14:paraId="195DABC5" w14:textId="77777777" w:rsidR="009856E5" w:rsidRPr="00114F94" w:rsidRDefault="00000000">
            <w:pPr>
              <w:spacing w:line="360" w:lineRule="auto"/>
              <w:jc w:val="both"/>
              <w:rPr>
                <w:sz w:val="24"/>
                <w:szCs w:val="24"/>
                <w:lang w:val="en-GB"/>
              </w:rPr>
            </w:pPr>
            <w:r w:rsidRPr="00114F94">
              <w:rPr>
                <w:sz w:val="24"/>
                <w:szCs w:val="24"/>
                <w:lang w:val="en-GB"/>
              </w:rPr>
              <w:t>Argues against large fixed-capital commitment at this stage</w:t>
            </w:r>
          </w:p>
        </w:tc>
      </w:tr>
      <w:tr w:rsidR="009856E5" w:rsidRPr="00114F94" w14:paraId="11CFC192" w14:textId="77777777" w:rsidTr="00E4138F">
        <w:trPr>
          <w:trHeight w:val="1125"/>
        </w:trPr>
        <w:tc>
          <w:tcPr>
            <w:tcW w:w="2250" w:type="dxa"/>
          </w:tcPr>
          <w:p w14:paraId="658E4531" w14:textId="77777777" w:rsidR="009856E5" w:rsidRPr="00114F94" w:rsidRDefault="00000000">
            <w:pPr>
              <w:spacing w:line="360" w:lineRule="auto"/>
              <w:jc w:val="center"/>
              <w:rPr>
                <w:sz w:val="24"/>
                <w:szCs w:val="24"/>
                <w:lang w:val="en-GB"/>
              </w:rPr>
            </w:pPr>
            <w:r w:rsidRPr="00114F94">
              <w:rPr>
                <w:sz w:val="24"/>
                <w:szCs w:val="24"/>
                <w:lang w:val="en-GB"/>
              </w:rPr>
              <w:t>Internalisation (I)</w:t>
            </w:r>
          </w:p>
        </w:tc>
        <w:tc>
          <w:tcPr>
            <w:tcW w:w="3675" w:type="dxa"/>
          </w:tcPr>
          <w:p w14:paraId="1E014DA8" w14:textId="77777777" w:rsidR="009856E5" w:rsidRPr="00114F94" w:rsidRDefault="00000000">
            <w:pPr>
              <w:spacing w:line="360" w:lineRule="auto"/>
              <w:jc w:val="both"/>
              <w:rPr>
                <w:sz w:val="24"/>
                <w:szCs w:val="24"/>
                <w:lang w:val="en-GB"/>
              </w:rPr>
            </w:pPr>
            <w:r w:rsidRPr="00114F94">
              <w:rPr>
                <w:sz w:val="24"/>
                <w:szCs w:val="24"/>
                <w:lang w:val="en-GB"/>
              </w:rPr>
              <w:t>Franchising internalises brand and format control contractually while externalising capital and currency risk (Alon, Apriliyanti and Parodi, 2021).</w:t>
            </w:r>
          </w:p>
        </w:tc>
        <w:tc>
          <w:tcPr>
            <w:tcW w:w="3420" w:type="dxa"/>
          </w:tcPr>
          <w:p w14:paraId="330CEC3D" w14:textId="77777777" w:rsidR="009856E5" w:rsidRPr="00114F94" w:rsidRDefault="00000000">
            <w:pPr>
              <w:spacing w:line="360" w:lineRule="auto"/>
              <w:jc w:val="both"/>
              <w:rPr>
                <w:sz w:val="24"/>
                <w:szCs w:val="24"/>
                <w:lang w:val="en-GB"/>
              </w:rPr>
            </w:pPr>
            <w:r w:rsidRPr="00114F94">
              <w:rPr>
                <w:sz w:val="24"/>
                <w:szCs w:val="24"/>
                <w:lang w:val="en-GB"/>
              </w:rPr>
              <w:t>A hybrid governance mode (franchise) is preferred to full ownership or arm's-length export</w:t>
            </w:r>
          </w:p>
        </w:tc>
      </w:tr>
    </w:tbl>
    <w:p w14:paraId="6A41B69C" w14:textId="77777777" w:rsidR="009856E5" w:rsidRPr="00114F94" w:rsidRDefault="00000000">
      <w:pPr>
        <w:spacing w:before="120" w:after="240" w:line="360" w:lineRule="auto"/>
        <w:jc w:val="center"/>
        <w:rPr>
          <w:b/>
          <w:bCs/>
          <w:sz w:val="24"/>
          <w:szCs w:val="24"/>
          <w:lang w:val="en-GB"/>
        </w:rPr>
      </w:pPr>
      <w:r w:rsidRPr="00114F94">
        <w:rPr>
          <w:b/>
          <w:bCs/>
          <w:sz w:val="24"/>
          <w:szCs w:val="24"/>
          <w:lang w:val="en-GB"/>
        </w:rPr>
        <w:t>Table 3: OLI (eclectic paradigm) assessment of IKEA's potential entry into Argentina</w:t>
      </w:r>
    </w:p>
    <w:p w14:paraId="76075DD4" w14:textId="77777777" w:rsidR="009856E5" w:rsidRPr="00114F94" w:rsidRDefault="00000000">
      <w:pPr>
        <w:spacing w:before="120" w:after="240" w:line="360" w:lineRule="auto"/>
        <w:jc w:val="center"/>
        <w:rPr>
          <w:sz w:val="24"/>
          <w:szCs w:val="24"/>
          <w:lang w:val="en-GB"/>
        </w:rPr>
      </w:pPr>
      <w:r w:rsidRPr="00114F94">
        <w:rPr>
          <w:sz w:val="24"/>
          <w:szCs w:val="24"/>
          <w:lang w:val="en-GB"/>
        </w:rPr>
        <w:t>Source: (Self-Created)</w:t>
      </w:r>
    </w:p>
    <w:p w14:paraId="13A78215" w14:textId="77777777" w:rsidR="009856E5" w:rsidRPr="00114F94" w:rsidRDefault="00000000">
      <w:pPr>
        <w:spacing w:after="200" w:line="360" w:lineRule="auto"/>
        <w:jc w:val="both"/>
        <w:rPr>
          <w:sz w:val="24"/>
          <w:szCs w:val="24"/>
          <w:lang w:val="en-GB"/>
        </w:rPr>
      </w:pPr>
      <w:r w:rsidRPr="00114F94">
        <w:rPr>
          <w:sz w:val="24"/>
          <w:szCs w:val="24"/>
          <w:lang w:val="en-GB"/>
        </w:rPr>
        <w:t xml:space="preserve">Ownership advantages are strong and largely portable, encompassing IKEA's global brand equity, logistics architecture of flat-packs, network of low-cost sourcing, all centrally coordinated and, critically, for a volatile market (Jia, 2024), a franchise governance system that already protects intellectual property ownership from local capital risk. Location advantages are moderate and improving: a large, currently unserved population, an improving, albeit fragile, deregulation path, and an improving logistical advantage in relation to an entirely new regional entry, due to being close to IKEA's existing Chilean distribution, which results in a shorter logistics distance. Material, location disadvantages </w:t>
      </w:r>
      <w:r w:rsidRPr="00114F94">
        <w:rPr>
          <w:sz w:val="24"/>
          <w:szCs w:val="24"/>
          <w:lang w:val="en-GB"/>
        </w:rPr>
        <w:lastRenderedPageBreak/>
        <w:t>remain: currency-volatility, an incomplete capital-account liberalisation, and the historically high institutional risk which Correa da Cunha, Singh and Amal (2024) observe to be a stronger deterrent to FDI in the Latin American destinations than physical distance alone.</w:t>
      </w:r>
    </w:p>
    <w:p w14:paraId="1C36210B" w14:textId="1FF2DFDD" w:rsidR="009856E5" w:rsidRPr="00114F94" w:rsidRDefault="00000000">
      <w:pPr>
        <w:spacing w:after="200" w:line="360" w:lineRule="auto"/>
        <w:jc w:val="both"/>
        <w:rPr>
          <w:sz w:val="24"/>
          <w:szCs w:val="24"/>
          <w:lang w:val="en-GB"/>
        </w:rPr>
      </w:pPr>
      <w:r w:rsidRPr="00114F94">
        <w:rPr>
          <w:sz w:val="24"/>
          <w:szCs w:val="24"/>
          <w:lang w:val="en-GB"/>
        </w:rPr>
        <w:t xml:space="preserve">Even though internalisation costs are reduced and a hybrid solution is less expensive than a fully internalized one, the advantages are on the hybrid's side. As in more established markets, full ownership would put IKEA directly on the </w:t>
      </w:r>
      <w:r w:rsidR="006965B0" w:rsidRPr="00114F94">
        <w:rPr>
          <w:sz w:val="24"/>
          <w:szCs w:val="24"/>
          <w:lang w:val="en-GB"/>
        </w:rPr>
        <w:t>inextricable. Vector</w:t>
      </w:r>
      <w:r w:rsidRPr="00114F94">
        <w:rPr>
          <w:sz w:val="24"/>
          <w:szCs w:val="24"/>
          <w:lang w:val="en-GB"/>
        </w:rPr>
        <w:t xml:space="preserve"> Premium over the peso and restrictions on profit repatriation would only be priced out of the market over time (Ingka.com, 2024). On the other hand, an arm's-length exporting arrangement or a pure licensing one, lacking of brand and format control – could compromise the sort of retail control that gives IKEA such an ownership edge first of all. This synthesis therefore suggests franchising, as the OLI-dictated solution: IKEA-brand and format is internalised contractually while currency- and political risks are externalised and for Argentina currently unwelcoming for direct capital commitment. This conclusion is elaborated on and made a concrete, entry mode recommendation in Section 3.</w:t>
      </w:r>
    </w:p>
    <w:p w14:paraId="639E6C6D" w14:textId="77777777" w:rsidR="009856E5" w:rsidRPr="00114F94" w:rsidRDefault="00000000" w:rsidP="00532AD5">
      <w:pPr>
        <w:pStyle w:val="Heading1"/>
        <w:rPr>
          <w:b w:val="0"/>
          <w:lang w:val="en-GB"/>
        </w:rPr>
      </w:pPr>
      <w:bookmarkStart w:id="21" w:name="_det5bi88570n" w:colFirst="0" w:colLast="0"/>
      <w:bookmarkStart w:id="22" w:name="_Toc237104955"/>
      <w:bookmarkEnd w:id="21"/>
      <w:r w:rsidRPr="00114F94">
        <w:rPr>
          <w:lang w:val="en-GB"/>
        </w:rPr>
        <w:t>3. Entry Mode Strategy and Strategic Synthesis</w:t>
      </w:r>
      <w:bookmarkEnd w:id="22"/>
    </w:p>
    <w:p w14:paraId="4FB26BBC" w14:textId="77777777" w:rsidR="009856E5" w:rsidRPr="00114F94" w:rsidRDefault="00000000" w:rsidP="00532AD5">
      <w:pPr>
        <w:pStyle w:val="Heading2"/>
        <w:rPr>
          <w:b w:val="0"/>
          <w:lang w:val="en-GB"/>
        </w:rPr>
      </w:pPr>
      <w:bookmarkStart w:id="23" w:name="_g6obehywyqhk" w:colFirst="0" w:colLast="0"/>
      <w:bookmarkStart w:id="24" w:name="_Toc237104956"/>
      <w:bookmarkEnd w:id="23"/>
      <w:r w:rsidRPr="00114F94">
        <w:rPr>
          <w:lang w:val="en-GB"/>
        </w:rPr>
        <w:t>3.1 Historical Pattern Recognition</w:t>
      </w:r>
      <w:bookmarkEnd w:id="24"/>
    </w:p>
    <w:p w14:paraId="0ADBF8D8" w14:textId="77777777" w:rsidR="009856E5" w:rsidRPr="00114F94" w:rsidRDefault="00000000">
      <w:pPr>
        <w:spacing w:after="200" w:line="360" w:lineRule="auto"/>
        <w:jc w:val="both"/>
        <w:rPr>
          <w:sz w:val="24"/>
          <w:szCs w:val="24"/>
          <w:lang w:val="en-GB"/>
        </w:rPr>
      </w:pPr>
      <w:r w:rsidRPr="00114F94">
        <w:rPr>
          <w:sz w:val="24"/>
          <w:szCs w:val="24"/>
          <w:lang w:val="en-GB"/>
        </w:rPr>
        <w:t>IKEA's global skirmishing efforts have never involved just a single approach to entering a country: the group has managed its other country penetration efforts with mode to fit institutional distance. The core markets are Europe and North America where Ingka Group operates as a purely "owned" retailer, mirroring decades of market investments, as predicted by the logic of the Uppsala internationalisation model (incremental commitment) (Arvidsson and Arvidsson, 2020). IKEA, instead, has been franchising its concept into markets which are more “institutionally or culturally distant”: in the Gulf it has been partnering with Al-Futtaim, while in Chile, Colombia and Peru, since 2018, it has been partnering with Falabella, in an agreement which saw Falabella alone invest the estimated USD 600,000,000 in capital infrastructure to build nine stores, over ten years. This is summarised in Table 4.</w:t>
      </w:r>
    </w:p>
    <w:tbl>
      <w:tblPr>
        <w:tblStyle w:val="GridTable5Dark-Accent1"/>
        <w:tblW w:w="9345" w:type="dxa"/>
        <w:tblLayout w:type="fixed"/>
        <w:tblLook w:val="0600" w:firstRow="0" w:lastRow="0" w:firstColumn="0" w:lastColumn="0" w:noHBand="1" w:noVBand="1"/>
      </w:tblPr>
      <w:tblGrid>
        <w:gridCol w:w="2415"/>
        <w:gridCol w:w="3000"/>
        <w:gridCol w:w="3930"/>
      </w:tblGrid>
      <w:tr w:rsidR="009856E5" w:rsidRPr="00114F94" w14:paraId="4428B751" w14:textId="77777777" w:rsidTr="00E4138F">
        <w:trPr>
          <w:trHeight w:val="405"/>
        </w:trPr>
        <w:tc>
          <w:tcPr>
            <w:tcW w:w="2415" w:type="dxa"/>
          </w:tcPr>
          <w:p w14:paraId="33E63F60"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lastRenderedPageBreak/>
              <w:t>Market / Region</w:t>
            </w:r>
          </w:p>
        </w:tc>
        <w:tc>
          <w:tcPr>
            <w:tcW w:w="3000" w:type="dxa"/>
          </w:tcPr>
          <w:p w14:paraId="231A159A"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t>Entry Mode Used</w:t>
            </w:r>
          </w:p>
        </w:tc>
        <w:tc>
          <w:tcPr>
            <w:tcW w:w="3930" w:type="dxa"/>
          </w:tcPr>
          <w:p w14:paraId="3ABB729D" w14:textId="77777777" w:rsidR="009856E5" w:rsidRPr="00114F94" w:rsidRDefault="00000000">
            <w:pPr>
              <w:spacing w:line="360" w:lineRule="auto"/>
              <w:jc w:val="center"/>
              <w:rPr>
                <w:b/>
                <w:bCs/>
                <w:sz w:val="24"/>
                <w:szCs w:val="24"/>
                <w:u w:val="single"/>
                <w:lang w:val="en-GB"/>
              </w:rPr>
            </w:pPr>
            <w:r w:rsidRPr="00114F94">
              <w:rPr>
                <w:b/>
                <w:bCs/>
                <w:sz w:val="24"/>
                <w:szCs w:val="24"/>
                <w:u w:val="single"/>
                <w:lang w:val="en-GB"/>
              </w:rPr>
              <w:t>Rationale</w:t>
            </w:r>
          </w:p>
        </w:tc>
      </w:tr>
      <w:tr w:rsidR="009856E5" w:rsidRPr="00114F94" w14:paraId="39467C44" w14:textId="77777777" w:rsidTr="00E4138F">
        <w:trPr>
          <w:trHeight w:val="1125"/>
        </w:trPr>
        <w:tc>
          <w:tcPr>
            <w:tcW w:w="2415" w:type="dxa"/>
          </w:tcPr>
          <w:p w14:paraId="690D86CC" w14:textId="77777777" w:rsidR="009856E5" w:rsidRPr="00114F94" w:rsidRDefault="00000000">
            <w:pPr>
              <w:spacing w:line="360" w:lineRule="auto"/>
              <w:jc w:val="center"/>
              <w:rPr>
                <w:sz w:val="24"/>
                <w:szCs w:val="24"/>
                <w:lang w:val="en-GB"/>
              </w:rPr>
            </w:pPr>
            <w:r w:rsidRPr="00114F94">
              <w:rPr>
                <w:sz w:val="24"/>
                <w:szCs w:val="24"/>
                <w:lang w:val="en-GB"/>
              </w:rPr>
              <w:t>Europe / North America (mature markets)</w:t>
            </w:r>
          </w:p>
        </w:tc>
        <w:tc>
          <w:tcPr>
            <w:tcW w:w="3000" w:type="dxa"/>
          </w:tcPr>
          <w:p w14:paraId="46F94149" w14:textId="77777777" w:rsidR="009856E5" w:rsidRPr="00114F94" w:rsidRDefault="00000000">
            <w:pPr>
              <w:spacing w:line="360" w:lineRule="auto"/>
              <w:jc w:val="center"/>
              <w:rPr>
                <w:sz w:val="24"/>
                <w:szCs w:val="24"/>
                <w:lang w:val="en-GB"/>
              </w:rPr>
            </w:pPr>
            <w:r w:rsidRPr="00114F94">
              <w:rPr>
                <w:sz w:val="24"/>
                <w:szCs w:val="24"/>
                <w:lang w:val="en-GB"/>
              </w:rPr>
              <w:t>Wholly owned Ingka Group retail subsidiaries</w:t>
            </w:r>
          </w:p>
        </w:tc>
        <w:tc>
          <w:tcPr>
            <w:tcW w:w="3930" w:type="dxa"/>
          </w:tcPr>
          <w:p w14:paraId="634A6D0D" w14:textId="77777777" w:rsidR="009856E5" w:rsidRPr="00114F94" w:rsidRDefault="00000000">
            <w:pPr>
              <w:spacing w:line="360" w:lineRule="auto"/>
              <w:jc w:val="both"/>
              <w:rPr>
                <w:sz w:val="24"/>
                <w:szCs w:val="24"/>
                <w:lang w:val="en-GB"/>
              </w:rPr>
            </w:pPr>
            <w:r w:rsidRPr="00114F94">
              <w:rPr>
                <w:sz w:val="24"/>
                <w:szCs w:val="24"/>
                <w:lang w:val="en-GB"/>
              </w:rPr>
              <w:t>Deep accumulated market knowledge; incremental commitment consistent with the Uppsala model (Arvidsson and Arvidsson, 2020).</w:t>
            </w:r>
          </w:p>
        </w:tc>
      </w:tr>
      <w:tr w:rsidR="009856E5" w:rsidRPr="00114F94" w14:paraId="08091212" w14:textId="77777777" w:rsidTr="00E4138F">
        <w:trPr>
          <w:trHeight w:val="645"/>
        </w:trPr>
        <w:tc>
          <w:tcPr>
            <w:tcW w:w="2415" w:type="dxa"/>
          </w:tcPr>
          <w:p w14:paraId="601A0FCC" w14:textId="77777777" w:rsidR="009856E5" w:rsidRPr="00114F94" w:rsidRDefault="00000000">
            <w:pPr>
              <w:spacing w:line="360" w:lineRule="auto"/>
              <w:jc w:val="center"/>
              <w:rPr>
                <w:sz w:val="24"/>
                <w:szCs w:val="24"/>
                <w:lang w:val="en-GB"/>
              </w:rPr>
            </w:pPr>
            <w:r w:rsidRPr="00114F94">
              <w:rPr>
                <w:sz w:val="24"/>
                <w:szCs w:val="24"/>
                <w:lang w:val="en-GB"/>
              </w:rPr>
              <w:t>Middle East / Gulf</w:t>
            </w:r>
          </w:p>
        </w:tc>
        <w:tc>
          <w:tcPr>
            <w:tcW w:w="3000" w:type="dxa"/>
          </w:tcPr>
          <w:p w14:paraId="62DCEFCE" w14:textId="77777777" w:rsidR="009856E5" w:rsidRPr="00114F94" w:rsidRDefault="00000000">
            <w:pPr>
              <w:spacing w:line="360" w:lineRule="auto"/>
              <w:jc w:val="center"/>
              <w:rPr>
                <w:sz w:val="24"/>
                <w:szCs w:val="24"/>
                <w:lang w:val="en-GB"/>
              </w:rPr>
            </w:pPr>
            <w:r w:rsidRPr="00114F94">
              <w:rPr>
                <w:sz w:val="24"/>
                <w:szCs w:val="24"/>
                <w:lang w:val="en-GB"/>
              </w:rPr>
              <w:t>Master franchise (Al-Futtaim Group)</w:t>
            </w:r>
          </w:p>
        </w:tc>
        <w:tc>
          <w:tcPr>
            <w:tcW w:w="3930" w:type="dxa"/>
          </w:tcPr>
          <w:p w14:paraId="50E8A4DA" w14:textId="77777777" w:rsidR="009856E5" w:rsidRPr="00114F94" w:rsidRDefault="00000000">
            <w:pPr>
              <w:spacing w:line="360" w:lineRule="auto"/>
              <w:jc w:val="both"/>
              <w:rPr>
                <w:sz w:val="24"/>
                <w:szCs w:val="24"/>
                <w:lang w:val="en-GB"/>
              </w:rPr>
            </w:pPr>
            <w:r w:rsidRPr="00114F94">
              <w:rPr>
                <w:sz w:val="24"/>
                <w:szCs w:val="24"/>
                <w:lang w:val="en-GB"/>
              </w:rPr>
              <w:t>Local partner manages institutional and cultural distance</w:t>
            </w:r>
          </w:p>
        </w:tc>
      </w:tr>
      <w:tr w:rsidR="009856E5" w:rsidRPr="00114F94" w14:paraId="6E0620BA" w14:textId="77777777" w:rsidTr="00E4138F">
        <w:trPr>
          <w:trHeight w:val="885"/>
        </w:trPr>
        <w:tc>
          <w:tcPr>
            <w:tcW w:w="2415" w:type="dxa"/>
          </w:tcPr>
          <w:p w14:paraId="5F06EBF8" w14:textId="77777777" w:rsidR="009856E5" w:rsidRPr="00114F94" w:rsidRDefault="00000000">
            <w:pPr>
              <w:spacing w:line="360" w:lineRule="auto"/>
              <w:jc w:val="center"/>
              <w:rPr>
                <w:sz w:val="24"/>
                <w:szCs w:val="24"/>
                <w:lang w:val="en-GB"/>
              </w:rPr>
            </w:pPr>
            <w:r w:rsidRPr="00114F94">
              <w:rPr>
                <w:sz w:val="24"/>
                <w:szCs w:val="24"/>
                <w:lang w:val="en-GB"/>
              </w:rPr>
              <w:t>Chile, Colombia, Peru (from 2018)</w:t>
            </w:r>
          </w:p>
        </w:tc>
        <w:tc>
          <w:tcPr>
            <w:tcW w:w="3000" w:type="dxa"/>
          </w:tcPr>
          <w:p w14:paraId="2797621C" w14:textId="77777777" w:rsidR="009856E5" w:rsidRPr="00114F94" w:rsidRDefault="00000000">
            <w:pPr>
              <w:spacing w:line="360" w:lineRule="auto"/>
              <w:jc w:val="center"/>
              <w:rPr>
                <w:sz w:val="24"/>
                <w:szCs w:val="24"/>
                <w:lang w:val="en-GB"/>
              </w:rPr>
            </w:pPr>
            <w:r w:rsidRPr="00114F94">
              <w:rPr>
                <w:sz w:val="24"/>
                <w:szCs w:val="24"/>
                <w:lang w:val="en-GB"/>
              </w:rPr>
              <w:t>Master franchise (Falabella), ~USD 600m local capital commitment</w:t>
            </w:r>
          </w:p>
        </w:tc>
        <w:tc>
          <w:tcPr>
            <w:tcW w:w="3930" w:type="dxa"/>
          </w:tcPr>
          <w:p w14:paraId="759B9DEA" w14:textId="77777777" w:rsidR="009856E5" w:rsidRPr="00114F94" w:rsidRDefault="00000000">
            <w:pPr>
              <w:spacing w:line="360" w:lineRule="auto"/>
              <w:jc w:val="both"/>
              <w:rPr>
                <w:sz w:val="24"/>
                <w:szCs w:val="24"/>
                <w:lang w:val="en-GB"/>
              </w:rPr>
            </w:pPr>
            <w:r w:rsidRPr="00114F94">
              <w:rPr>
                <w:sz w:val="24"/>
                <w:szCs w:val="24"/>
                <w:lang w:val="en-GB"/>
              </w:rPr>
              <w:t>Regional conglomerate absorbs capital/currency risk; IKEA contributes brand and know-how.</w:t>
            </w:r>
          </w:p>
        </w:tc>
      </w:tr>
      <w:tr w:rsidR="009856E5" w:rsidRPr="00114F94" w14:paraId="0F268A0E" w14:textId="77777777" w:rsidTr="00E4138F">
        <w:trPr>
          <w:trHeight w:val="885"/>
        </w:trPr>
        <w:tc>
          <w:tcPr>
            <w:tcW w:w="2415" w:type="dxa"/>
          </w:tcPr>
          <w:p w14:paraId="7C22702F" w14:textId="77777777" w:rsidR="009856E5" w:rsidRPr="00114F94" w:rsidRDefault="00000000">
            <w:pPr>
              <w:spacing w:line="360" w:lineRule="auto"/>
              <w:jc w:val="center"/>
              <w:rPr>
                <w:sz w:val="24"/>
                <w:szCs w:val="24"/>
                <w:lang w:val="en-GB"/>
              </w:rPr>
            </w:pPr>
            <w:r w:rsidRPr="00114F94">
              <w:rPr>
                <w:sz w:val="24"/>
                <w:szCs w:val="24"/>
                <w:lang w:val="en-GB"/>
              </w:rPr>
              <w:t>India</w:t>
            </w:r>
          </w:p>
        </w:tc>
        <w:tc>
          <w:tcPr>
            <w:tcW w:w="3000" w:type="dxa"/>
          </w:tcPr>
          <w:p w14:paraId="5036BB93" w14:textId="77777777" w:rsidR="009856E5" w:rsidRPr="00114F94" w:rsidRDefault="00000000">
            <w:pPr>
              <w:spacing w:line="360" w:lineRule="auto"/>
              <w:jc w:val="center"/>
              <w:rPr>
                <w:sz w:val="24"/>
                <w:szCs w:val="24"/>
                <w:lang w:val="en-GB"/>
              </w:rPr>
            </w:pPr>
            <w:r w:rsidRPr="00114F94">
              <w:rPr>
                <w:sz w:val="24"/>
                <w:szCs w:val="24"/>
                <w:lang w:val="en-GB"/>
              </w:rPr>
              <w:t>Direct investment following regulatory liberalisation of single-brand retail</w:t>
            </w:r>
          </w:p>
        </w:tc>
        <w:tc>
          <w:tcPr>
            <w:tcW w:w="3930" w:type="dxa"/>
          </w:tcPr>
          <w:p w14:paraId="5EC6E405" w14:textId="77777777" w:rsidR="009856E5" w:rsidRPr="00114F94" w:rsidRDefault="00000000">
            <w:pPr>
              <w:spacing w:line="360" w:lineRule="auto"/>
              <w:jc w:val="both"/>
              <w:rPr>
                <w:sz w:val="24"/>
                <w:szCs w:val="24"/>
                <w:lang w:val="en-GB"/>
              </w:rPr>
            </w:pPr>
            <w:r w:rsidRPr="00114F94">
              <w:rPr>
                <w:sz w:val="24"/>
                <w:szCs w:val="24"/>
                <w:lang w:val="en-GB"/>
              </w:rPr>
              <w:t>Enabled by a specific change in host-country foreign-ownership rules.</w:t>
            </w:r>
          </w:p>
        </w:tc>
      </w:tr>
      <w:tr w:rsidR="009856E5" w:rsidRPr="00114F94" w14:paraId="0DF145C8" w14:textId="77777777" w:rsidTr="00E4138F">
        <w:trPr>
          <w:trHeight w:val="885"/>
        </w:trPr>
        <w:tc>
          <w:tcPr>
            <w:tcW w:w="2415" w:type="dxa"/>
          </w:tcPr>
          <w:p w14:paraId="548B06B0" w14:textId="77777777" w:rsidR="009856E5" w:rsidRPr="00114F94" w:rsidRDefault="00000000">
            <w:pPr>
              <w:spacing w:line="360" w:lineRule="auto"/>
              <w:jc w:val="center"/>
              <w:rPr>
                <w:sz w:val="24"/>
                <w:szCs w:val="24"/>
                <w:lang w:val="en-GB"/>
              </w:rPr>
            </w:pPr>
            <w:r w:rsidRPr="00114F94">
              <w:rPr>
                <w:sz w:val="24"/>
                <w:szCs w:val="24"/>
                <w:lang w:val="en-GB"/>
              </w:rPr>
              <w:t>Argentina (proposed)</w:t>
            </w:r>
          </w:p>
        </w:tc>
        <w:tc>
          <w:tcPr>
            <w:tcW w:w="3000" w:type="dxa"/>
          </w:tcPr>
          <w:p w14:paraId="748C7257" w14:textId="77777777" w:rsidR="009856E5" w:rsidRPr="00114F94" w:rsidRDefault="00000000">
            <w:pPr>
              <w:spacing w:line="360" w:lineRule="auto"/>
              <w:jc w:val="center"/>
              <w:rPr>
                <w:sz w:val="24"/>
                <w:szCs w:val="24"/>
                <w:lang w:val="en-GB"/>
              </w:rPr>
            </w:pPr>
            <w:r w:rsidRPr="00114F94">
              <w:rPr>
                <w:sz w:val="24"/>
                <w:szCs w:val="24"/>
                <w:lang w:val="en-GB"/>
              </w:rPr>
              <w:t>Staged master franchise with a well-capitalised local partner; compact-format pilot stores</w:t>
            </w:r>
          </w:p>
        </w:tc>
        <w:tc>
          <w:tcPr>
            <w:tcW w:w="3930" w:type="dxa"/>
          </w:tcPr>
          <w:p w14:paraId="4B0B5CBB" w14:textId="77777777" w:rsidR="009856E5" w:rsidRPr="00114F94" w:rsidRDefault="00000000">
            <w:pPr>
              <w:spacing w:line="360" w:lineRule="auto"/>
              <w:jc w:val="both"/>
              <w:rPr>
                <w:sz w:val="24"/>
                <w:szCs w:val="24"/>
                <w:lang w:val="en-GB"/>
              </w:rPr>
            </w:pPr>
            <w:r w:rsidRPr="00114F94">
              <w:rPr>
                <w:sz w:val="24"/>
                <w:szCs w:val="24"/>
                <w:lang w:val="en-GB"/>
              </w:rPr>
              <w:t>Mitigates currency and political risk while preserving future optionality (this report's recommendation)</w:t>
            </w:r>
          </w:p>
        </w:tc>
      </w:tr>
    </w:tbl>
    <w:p w14:paraId="7C0EC6F2" w14:textId="77777777" w:rsidR="009856E5" w:rsidRPr="00114F94" w:rsidRDefault="00000000">
      <w:pPr>
        <w:spacing w:before="120" w:after="240" w:line="360" w:lineRule="auto"/>
        <w:jc w:val="center"/>
        <w:rPr>
          <w:b/>
          <w:bCs/>
          <w:sz w:val="24"/>
          <w:szCs w:val="24"/>
          <w:lang w:val="en-GB"/>
        </w:rPr>
      </w:pPr>
      <w:r w:rsidRPr="00114F94">
        <w:rPr>
          <w:b/>
          <w:bCs/>
          <w:sz w:val="24"/>
          <w:szCs w:val="24"/>
          <w:lang w:val="en-GB"/>
        </w:rPr>
        <w:t>Table 4. Selected historical entry modes used by IKEA, compared with the proposed Argentine approach</w:t>
      </w:r>
    </w:p>
    <w:p w14:paraId="5DF32215" w14:textId="77777777" w:rsidR="009856E5" w:rsidRPr="00114F94" w:rsidRDefault="00000000">
      <w:pPr>
        <w:spacing w:before="120" w:after="240" w:line="360" w:lineRule="auto"/>
        <w:jc w:val="center"/>
        <w:rPr>
          <w:sz w:val="24"/>
          <w:szCs w:val="24"/>
          <w:lang w:val="en-GB"/>
        </w:rPr>
      </w:pPr>
      <w:r w:rsidRPr="00114F94">
        <w:rPr>
          <w:sz w:val="24"/>
          <w:szCs w:val="24"/>
          <w:lang w:val="en-GB"/>
        </w:rPr>
        <w:t>Source: (Self-Created)</w:t>
      </w:r>
    </w:p>
    <w:p w14:paraId="536F5652" w14:textId="77777777" w:rsidR="009856E5" w:rsidRPr="00114F94" w:rsidRDefault="00000000">
      <w:pPr>
        <w:spacing w:after="200" w:line="360" w:lineRule="auto"/>
        <w:jc w:val="both"/>
        <w:rPr>
          <w:sz w:val="24"/>
          <w:szCs w:val="24"/>
          <w:lang w:val="en-GB"/>
        </w:rPr>
      </w:pPr>
      <w:r w:rsidRPr="00114F94">
        <w:rPr>
          <w:sz w:val="24"/>
          <w:szCs w:val="24"/>
          <w:lang w:val="en-GB"/>
        </w:rPr>
        <w:t xml:space="preserve">The Falabella agreement is instructive, as it highlights the history of Argentina: IKEA's natural regional franchise partner, Falabella, closed its entire Argentine retail operation, first the physical stores in 2020–21 and then the remaining e-commerce channel, concluding that the Argentine business had become unsustainable due to currency distortions and import restrictions (Reuters, 2018). IKEA is thus not part of the network of the stores currently belonging to a regional franchise in Latin America for a clearly identifiable reason: there is a regional partner who was already present in Argentina, and who had decided to leave the country because of the cost of doing business. This </w:t>
      </w:r>
      <w:r w:rsidRPr="00114F94">
        <w:rPr>
          <w:sz w:val="24"/>
          <w:szCs w:val="24"/>
          <w:lang w:val="en-GB"/>
        </w:rPr>
        <w:lastRenderedPageBreak/>
        <w:t>conforms to the “liability of outsidership” in the reworked Uppsala model, where knowledge and network position requirements, but not necessarily consumers' demands, have historically been factors that have hamstrung IKEA's entry into Argentina.</w:t>
      </w:r>
    </w:p>
    <w:p w14:paraId="714F67B2" w14:textId="77777777" w:rsidR="009856E5" w:rsidRPr="00114F94" w:rsidRDefault="00000000" w:rsidP="00532AD5">
      <w:pPr>
        <w:pStyle w:val="Heading2"/>
        <w:rPr>
          <w:b w:val="0"/>
          <w:lang w:val="en-GB"/>
        </w:rPr>
      </w:pPr>
      <w:bookmarkStart w:id="25" w:name="_3jqjbivo0k93" w:colFirst="0" w:colLast="0"/>
      <w:bookmarkStart w:id="26" w:name="_Toc237104957"/>
      <w:bookmarkEnd w:id="25"/>
      <w:r w:rsidRPr="00114F94">
        <w:rPr>
          <w:lang w:val="en-GB"/>
        </w:rPr>
        <w:t>3.2 Strategic Fit, Justification and Recommendation</w:t>
      </w:r>
      <w:bookmarkEnd w:id="26"/>
    </w:p>
    <w:p w14:paraId="0E4A04B0" w14:textId="77777777" w:rsidR="009856E5" w:rsidRPr="00114F94" w:rsidRDefault="00000000">
      <w:pPr>
        <w:spacing w:after="200" w:line="360" w:lineRule="auto"/>
        <w:jc w:val="both"/>
        <w:rPr>
          <w:sz w:val="24"/>
          <w:szCs w:val="24"/>
          <w:lang w:val="en-GB"/>
        </w:rPr>
      </w:pPr>
      <w:r w:rsidRPr="00114F94">
        <w:rPr>
          <w:sz w:val="24"/>
          <w:szCs w:val="24"/>
          <w:lang w:val="en-GB"/>
        </w:rPr>
        <w:t>Compared to both a wholly owned entry and an arm's-length export, the historically “winning” IKEA model of doing business in emerging markets, franchising with a well-capitalized and locally networked partner, is the most defensible in terms of Argentina's unruly but emergingly stable macro-environment (Section 2). But a complete Ingka-owned subsidiary would face the direct impacts of the peso volatility and of the lingering profit-repatriation obstacles that State.gov (2025) experiences even after liberalization, a risk IKEA would not need to carry on its own balance sheet yet. On the other hand, a pure export or e-commerce-only approach would miss the experiential retail go-to-market model that the Chilean and Colombian launches demonstrate is so significant to driving conversions among Latin American consumers and the location benefit of a currently footprintless market.</w:t>
      </w:r>
    </w:p>
    <w:p w14:paraId="48A29281" w14:textId="19CB0C38" w:rsidR="009856E5" w:rsidRPr="00114F94" w:rsidRDefault="00000000">
      <w:pPr>
        <w:spacing w:after="200" w:line="360" w:lineRule="auto"/>
        <w:jc w:val="both"/>
        <w:rPr>
          <w:sz w:val="24"/>
          <w:szCs w:val="24"/>
          <w:lang w:val="en-GB"/>
        </w:rPr>
      </w:pPr>
      <w:r w:rsidRPr="00114F94">
        <w:rPr>
          <w:sz w:val="24"/>
          <w:szCs w:val="24"/>
          <w:lang w:val="en-GB"/>
        </w:rPr>
        <w:t xml:space="preserve">A master-franchise agreement with a well-capitalized retail group, local or Argentine, other than Falabella, which has left the country, is most in accord with IKEA's right of ownership and the Argentine's risk of location. Such a structure reflects the risk-sharing model that made the original Falabella deal viable; the franchisee invests local money, assumes currency and regulatory risk, and enters into a new agreement for protective measures through the brand and IP contract (Rosado-Serrano and Navarro-García, 2023). But, in line with the </w:t>
      </w:r>
      <w:r w:rsidR="006965B0" w:rsidRPr="00114F94">
        <w:rPr>
          <w:sz w:val="24"/>
          <w:szCs w:val="24"/>
          <w:lang w:val="en-GB"/>
        </w:rPr>
        <w:t>incremental commitment</w:t>
      </w:r>
      <w:r w:rsidRPr="00114F94">
        <w:rPr>
          <w:sz w:val="24"/>
          <w:szCs w:val="24"/>
          <w:lang w:val="en-GB"/>
        </w:rPr>
        <w:t xml:space="preserve"> logic embedded in the Uppsala model, the decision to enter the market should also be staged, as in the case of IKEA, where the initial entry via a small number of compact-format stores or “plan and order” points” allows the franchisee to test market demand and logistics and minimize the downside risk should the deregulation trend turn down.</w:t>
      </w:r>
    </w:p>
    <w:p w14:paraId="1FDB2C0B" w14:textId="77777777" w:rsidR="009856E5" w:rsidRPr="00114F94" w:rsidRDefault="00000000">
      <w:pPr>
        <w:spacing w:after="200" w:line="360" w:lineRule="auto"/>
        <w:jc w:val="both"/>
        <w:rPr>
          <w:sz w:val="24"/>
          <w:szCs w:val="24"/>
          <w:lang w:val="en-GB"/>
        </w:rPr>
      </w:pPr>
      <w:r w:rsidRPr="00114F94">
        <w:rPr>
          <w:sz w:val="24"/>
          <w:szCs w:val="24"/>
          <w:lang w:val="en-GB"/>
        </w:rPr>
        <w:t xml:space="preserve">Analyzing this recommendation in terms of risk, resource requirements, being under control or flexible, and strategic fit gives a good secondary layer of logic in making the decision for franchising versus direct ownership. Political and financial risk is considerably </w:t>
      </w:r>
      <w:r w:rsidRPr="00114F94">
        <w:rPr>
          <w:sz w:val="24"/>
          <w:szCs w:val="24"/>
          <w:lang w:val="en-GB"/>
        </w:rPr>
        <w:lastRenderedPageBreak/>
        <w:t>reduced as a local franchisee would have to deal with the import rules, currency conversion, and tax administration. The inventories, payroll, and lease costs of wages from the stores are borne by the franchisee—not Inter IKEA Systems B.V, reducing operational risk of the group because the peso is still a variable currency. Consistent with the IKEA group transitioning toward the “asset-light” format of smaller stores, IKEA's level of capital commitment would be restricted at the store level to brand license and design and access to the supply chain. The downside is control: With franchising comes a loss of control over the day-to-day activities like pricing, staffing, and local marketing execution, plus the weakening of a sharp brand consistency that's the lifeline of IKEA positioning globally. However, this is a fair compromise in the context of Argentina risk; full ownership would compromise flexibility just when that capacity is most needed, that is, to be able to reduce the size of the position, stop it out / take a loss at a low price, or exit at a low price with first loss benefit. Long-term, a franchise entry allows for optionality in the business model, should Argentina's stabilization be lasting and into the future beyond the 2025 mid-term election, Inter IKEA Systems B.V. has the contractual option to pursue a more integrated ownership structure in the future, as has happened in several of IKEA's more mature markets in Europe.</w:t>
      </w:r>
    </w:p>
    <w:p w14:paraId="5EA85E14" w14:textId="77777777" w:rsidR="00930EBF" w:rsidRDefault="00930EBF">
      <w:pPr>
        <w:rPr>
          <w:b/>
          <w:color w:val="000000" w:themeColor="text1"/>
          <w:sz w:val="28"/>
          <w:szCs w:val="40"/>
          <w:lang w:val="en-GB"/>
        </w:rPr>
      </w:pPr>
      <w:r>
        <w:rPr>
          <w:lang w:val="en-GB"/>
        </w:rPr>
        <w:br w:type="page"/>
      </w:r>
    </w:p>
    <w:p w14:paraId="363558EB" w14:textId="77DC6F57" w:rsidR="009856E5" w:rsidRPr="00114F94" w:rsidRDefault="00000000" w:rsidP="00532AD5">
      <w:pPr>
        <w:pStyle w:val="Heading1"/>
        <w:rPr>
          <w:lang w:val="en-GB"/>
        </w:rPr>
      </w:pPr>
      <w:bookmarkStart w:id="27" w:name="_Toc237104958"/>
      <w:r w:rsidRPr="00114F94">
        <w:rPr>
          <w:lang w:val="en-GB"/>
        </w:rPr>
        <w:lastRenderedPageBreak/>
        <w:t>Section 2: Reflective Account (Gibbs Reflective Cycle)</w:t>
      </w:r>
      <w:bookmarkEnd w:id="27"/>
    </w:p>
    <w:p w14:paraId="37A10EAE" w14:textId="77777777" w:rsidR="009856E5" w:rsidRPr="00114F94" w:rsidRDefault="00000000" w:rsidP="00930EBF">
      <w:pPr>
        <w:spacing w:after="200" w:line="360" w:lineRule="auto"/>
        <w:jc w:val="both"/>
        <w:rPr>
          <w:b/>
          <w:bCs/>
          <w:sz w:val="24"/>
          <w:szCs w:val="24"/>
          <w:lang w:val="en-GB"/>
        </w:rPr>
      </w:pPr>
      <w:r w:rsidRPr="00114F94">
        <w:rPr>
          <w:b/>
          <w:bCs/>
          <w:sz w:val="24"/>
          <w:szCs w:val="24"/>
          <w:lang w:val="en-GB"/>
        </w:rPr>
        <w:t>Description</w:t>
      </w:r>
    </w:p>
    <w:p w14:paraId="38BD04D9" w14:textId="77777777" w:rsidR="009856E5" w:rsidRPr="00114F94" w:rsidRDefault="00000000">
      <w:pPr>
        <w:spacing w:after="200" w:line="360" w:lineRule="auto"/>
        <w:jc w:val="both"/>
        <w:rPr>
          <w:sz w:val="24"/>
          <w:szCs w:val="24"/>
          <w:lang w:val="en-GB"/>
        </w:rPr>
      </w:pPr>
      <w:r w:rsidRPr="00114F94">
        <w:rPr>
          <w:sz w:val="24"/>
          <w:szCs w:val="24"/>
          <w:lang w:val="en-GB"/>
        </w:rPr>
        <w:t>The multinational enterprise's search to launch April's home delivery of Section 1 began by identifying IKEA as an entity that does not operate in Argentina, based on recent public information. The research consisted of systematically reviewing the company reports of Ingka group, investment climate declaration, macroeconomic information and academic literature based on Ingka Group context such as Bartlett and Ghoshal integration-responsiveness matrix, Dunning's OLI paradigm, and the Uppsala model. Political, economic, legal, and cultural issues were emphasized as the most pertinent for a value-oriented furniture retailer, and later a historical approach to entry mode analysis was performed, concluding with a suggestion of a staged master franchising. The data collection consisted of official publications, peer-reviewed literature, and regional case evidence from Colombia and Chile to develop a coherent critical evaluation.</w:t>
      </w:r>
    </w:p>
    <w:p w14:paraId="466FD84A" w14:textId="77777777" w:rsidR="009856E5" w:rsidRPr="00114F94" w:rsidRDefault="00000000" w:rsidP="00930EBF">
      <w:pPr>
        <w:spacing w:after="200" w:line="360" w:lineRule="auto"/>
        <w:jc w:val="both"/>
        <w:rPr>
          <w:b/>
          <w:bCs/>
          <w:sz w:val="24"/>
          <w:szCs w:val="24"/>
          <w:lang w:val="en-GB"/>
        </w:rPr>
      </w:pPr>
      <w:r w:rsidRPr="00114F94">
        <w:rPr>
          <w:b/>
          <w:bCs/>
          <w:sz w:val="24"/>
          <w:szCs w:val="24"/>
          <w:lang w:val="en-GB"/>
        </w:rPr>
        <w:t>Feelings</w:t>
      </w:r>
    </w:p>
    <w:p w14:paraId="4BC97875" w14:textId="3420D2AF" w:rsidR="009856E5" w:rsidRPr="00114F94" w:rsidRDefault="00000000">
      <w:pPr>
        <w:spacing w:after="200" w:line="360" w:lineRule="auto"/>
        <w:jc w:val="both"/>
        <w:rPr>
          <w:sz w:val="24"/>
          <w:szCs w:val="24"/>
          <w:lang w:val="en-GB"/>
        </w:rPr>
      </w:pPr>
      <w:r w:rsidRPr="00114F94">
        <w:rPr>
          <w:sz w:val="24"/>
          <w:szCs w:val="24"/>
          <w:lang w:val="en-GB"/>
        </w:rPr>
        <w:t xml:space="preserve">The combination of a high number of highly volatile macro indicators in the reform the Argentine economy was starting to undergo and the tendency to see some stabilization indicators while others conveyed the idea of lingering institutional risks instilled a sense of uncertainty at the outset. As the patterns began to become clear and connect IKEA's transnational configuration with successful precedents in Latin America, the confidence level increased. There were moments of frustration in verifying that indeed there was no formal IKEA representation and also in accessing information on the existence or nonexistence of a franchisee partner on the ground (in </w:t>
      </w:r>
      <w:r w:rsidR="00286B7A" w:rsidRPr="00114F94">
        <w:rPr>
          <w:sz w:val="24"/>
          <w:szCs w:val="24"/>
          <w:lang w:val="en-GB"/>
        </w:rPr>
        <w:t>Realtime</w:t>
      </w:r>
      <w:r w:rsidRPr="00114F94">
        <w:rPr>
          <w:sz w:val="24"/>
          <w:szCs w:val="24"/>
          <w:lang w:val="en-GB"/>
        </w:rPr>
        <w:t>, after Falabella's previous exit, unfortunately). Overall, the task provided intellectual satisfaction as a defensible entry recommendation emerged in the context of the synthesis of the ownership advantages with the location disadvantages.</w:t>
      </w:r>
    </w:p>
    <w:p w14:paraId="0B1EF7B9" w14:textId="77777777" w:rsidR="009856E5" w:rsidRPr="00114F94" w:rsidRDefault="00000000" w:rsidP="00930EBF">
      <w:pPr>
        <w:spacing w:after="200" w:line="360" w:lineRule="auto"/>
        <w:jc w:val="both"/>
        <w:rPr>
          <w:b/>
          <w:bCs/>
          <w:sz w:val="24"/>
          <w:szCs w:val="24"/>
          <w:lang w:val="en-GB"/>
        </w:rPr>
      </w:pPr>
      <w:r w:rsidRPr="00114F94">
        <w:rPr>
          <w:b/>
          <w:bCs/>
          <w:sz w:val="24"/>
          <w:szCs w:val="24"/>
          <w:lang w:val="en-GB"/>
        </w:rPr>
        <w:t>Evaluation</w:t>
      </w:r>
    </w:p>
    <w:p w14:paraId="3E12382B" w14:textId="7AD2A09D" w:rsidR="009856E5" w:rsidRPr="00114F94" w:rsidRDefault="00000000">
      <w:pPr>
        <w:spacing w:after="200" w:line="360" w:lineRule="auto"/>
        <w:jc w:val="both"/>
        <w:rPr>
          <w:sz w:val="24"/>
          <w:szCs w:val="24"/>
          <w:lang w:val="en-GB"/>
        </w:rPr>
      </w:pPr>
      <w:r w:rsidRPr="00114F94">
        <w:rPr>
          <w:sz w:val="24"/>
          <w:szCs w:val="24"/>
          <w:lang w:val="en-GB"/>
        </w:rPr>
        <w:t xml:space="preserve">The research approach resulted in a more focused macro-environmental appraisal than a merely descriptive one. A flat-pack, franchise-oriented retailer permitted analysis to be </w:t>
      </w:r>
      <w:r w:rsidRPr="00114F94">
        <w:rPr>
          <w:sz w:val="24"/>
          <w:szCs w:val="24"/>
          <w:lang w:val="en-GB"/>
        </w:rPr>
        <w:lastRenderedPageBreak/>
        <w:t xml:space="preserve">integrated more closely with the issues that would impact their operations, thus ensuring a tighter and deeper analytical coverage. The Ingka Group annual summaries, in addition to US Department of State investment climate statements, were good sources of recent primary data. One of the challenges was that inflation, poverty, and developments in capital control, for example, needed to be triangulated from various secondary sources and that a good current description of the franchise network in the region was difficult to obtain. These were solved using the official and peer-reviewed documents and by verifying the regional precedents. The subsequent staged </w:t>
      </w:r>
      <w:r w:rsidR="00286B7A" w:rsidRPr="00114F94">
        <w:rPr>
          <w:sz w:val="24"/>
          <w:szCs w:val="24"/>
          <w:lang w:val="en-GB"/>
        </w:rPr>
        <w:t>master franchising</w:t>
      </w:r>
      <w:r w:rsidRPr="00114F94">
        <w:rPr>
          <w:sz w:val="24"/>
          <w:szCs w:val="24"/>
          <w:lang w:val="en-GB"/>
        </w:rPr>
        <w:t xml:space="preserve"> rationale proved to be both well-evidenced and aligned with both transfer of risk and control of the brand.</w:t>
      </w:r>
    </w:p>
    <w:p w14:paraId="5C0199CB" w14:textId="77777777" w:rsidR="009856E5" w:rsidRPr="00114F94" w:rsidRDefault="00000000" w:rsidP="00930EBF">
      <w:pPr>
        <w:spacing w:after="200" w:line="360" w:lineRule="auto"/>
        <w:jc w:val="both"/>
        <w:rPr>
          <w:b/>
          <w:bCs/>
          <w:sz w:val="24"/>
          <w:szCs w:val="24"/>
          <w:lang w:val="en-GB"/>
        </w:rPr>
      </w:pPr>
      <w:r w:rsidRPr="00114F94">
        <w:rPr>
          <w:b/>
          <w:bCs/>
          <w:sz w:val="24"/>
          <w:szCs w:val="24"/>
          <w:lang w:val="en-GB"/>
        </w:rPr>
        <w:t>Analysis</w:t>
      </w:r>
    </w:p>
    <w:p w14:paraId="2FD5AD78" w14:textId="77777777" w:rsidR="006965B0" w:rsidRDefault="00000000">
      <w:pPr>
        <w:spacing w:after="200" w:line="360" w:lineRule="auto"/>
        <w:jc w:val="both"/>
        <w:rPr>
          <w:sz w:val="24"/>
          <w:szCs w:val="24"/>
          <w:lang w:val="en-GB"/>
        </w:rPr>
      </w:pPr>
      <w:r w:rsidRPr="00114F94">
        <w:rPr>
          <w:sz w:val="24"/>
          <w:szCs w:val="24"/>
          <w:lang w:val="en-GB"/>
        </w:rPr>
        <w:t xml:space="preserve">Course frameworks were essential. To be able to classify IKEA precisely as a transnational, Bartlett and Ghoshal's typology was used; the synthesis of the portable ownership advantages and the location risks in Argentina was organized around Dunning's OLI paradigm. Newer studies added additional elaborations to the entry-mode reasoning. It is underlined by Jell-Ojobor, Alon and Windsperger (2022) that bilateral transaction-specific investments and institutional uncertainty result in the choice of master international franchising as a more favoured option, supporting the suggestion to externalize currency and institutional risks but maintaining contractual rights to the brand. Brouthers </w:t>
      </w:r>
      <w:r w:rsidR="00C93CFF" w:rsidRPr="00C93CFF">
        <w:rPr>
          <w:i/>
          <w:iCs/>
          <w:sz w:val="24"/>
          <w:szCs w:val="24"/>
          <w:lang w:val="en-GB"/>
        </w:rPr>
        <w:t>et al</w:t>
      </w:r>
      <w:r w:rsidRPr="00114F94">
        <w:rPr>
          <w:sz w:val="24"/>
          <w:szCs w:val="24"/>
          <w:lang w:val="en-GB"/>
        </w:rPr>
        <w:t xml:space="preserve">. (2022) strongly advocate for non-traditional and hybrid modes that focus on embeddedness and flexibility in uncertain circumstances, thus supporting the need for compact-format pilot stores instead of a direct full-scale rollout. </w:t>
      </w:r>
    </w:p>
    <w:p w14:paraId="4475E839" w14:textId="1DA075D8" w:rsidR="009856E5" w:rsidRPr="00114F94" w:rsidRDefault="00000000">
      <w:pPr>
        <w:spacing w:after="200" w:line="360" w:lineRule="auto"/>
        <w:jc w:val="both"/>
        <w:rPr>
          <w:sz w:val="24"/>
          <w:szCs w:val="24"/>
          <w:lang w:val="en-GB"/>
        </w:rPr>
      </w:pPr>
      <w:r w:rsidRPr="00114F94">
        <w:rPr>
          <w:sz w:val="24"/>
          <w:szCs w:val="24"/>
          <w:lang w:val="en-GB"/>
        </w:rPr>
        <w:t>Drawing on related 2022 governance insights, complementary findings point to the relevance of lower-control modes in instances where local partners are contributing market know-how, and the cultural and institutional distance is greater. These sources and a set of principles derived from Uppsala incremental-commitment logic identified that the historical norms of franchising in institutionally distinct markets continue to be relevant but modified to accommodate optionality. Moreover, it was shown that CAGE and Hofstede dimensions, the cultural-distance models, exacerbate but do not resolve adaptation problems, as evidenced in Chile and Colombia.</w:t>
      </w:r>
    </w:p>
    <w:p w14:paraId="7A5AA6A0" w14:textId="77777777" w:rsidR="009856E5" w:rsidRPr="00114F94" w:rsidRDefault="00000000" w:rsidP="00930EBF">
      <w:pPr>
        <w:spacing w:after="200" w:line="360" w:lineRule="auto"/>
        <w:jc w:val="both"/>
        <w:rPr>
          <w:b/>
          <w:bCs/>
          <w:sz w:val="24"/>
          <w:szCs w:val="24"/>
          <w:lang w:val="en-GB"/>
        </w:rPr>
      </w:pPr>
      <w:r w:rsidRPr="00114F94">
        <w:rPr>
          <w:b/>
          <w:bCs/>
          <w:sz w:val="24"/>
          <w:szCs w:val="24"/>
          <w:lang w:val="en-GB"/>
        </w:rPr>
        <w:lastRenderedPageBreak/>
        <w:t>Conclusion</w:t>
      </w:r>
    </w:p>
    <w:p w14:paraId="02B732C1" w14:textId="03B0F084" w:rsidR="009856E5" w:rsidRPr="00114F94" w:rsidRDefault="00000000">
      <w:pPr>
        <w:spacing w:after="200" w:line="360" w:lineRule="auto"/>
        <w:jc w:val="both"/>
        <w:rPr>
          <w:sz w:val="24"/>
          <w:szCs w:val="24"/>
          <w:lang w:val="en-GB"/>
        </w:rPr>
      </w:pPr>
      <w:r w:rsidRPr="00114F94">
        <w:rPr>
          <w:sz w:val="24"/>
          <w:szCs w:val="24"/>
          <w:lang w:val="en-GB"/>
        </w:rPr>
        <w:t xml:space="preserve">The assignment enhanced the overall awareness about the fact that there are no universal templates to international strategy and that institutional context is a determinant factor. Even if IKEA ownership primitives are highly mobile, a set of alternative trade-offs, especially location risk vs. capital risk and control over IP rights vs. capital risk, remains relevant in situations where the environment is volatile. Critical evaluation, not description was vital when combined with the transaction-cost and network approaches, the synergy of combining OLI with these other theories yielded a stronger recommendation than any of them could achieve alone. In this way, the process helped to showcase the real-life applications of recent academic improvements to the seminal models of particularly master franchising under uncertainty (Jell-Ojobor </w:t>
      </w:r>
      <w:r w:rsidR="00C93CFF" w:rsidRPr="00C93CFF">
        <w:rPr>
          <w:i/>
          <w:iCs/>
          <w:sz w:val="24"/>
          <w:szCs w:val="24"/>
          <w:lang w:val="en-GB"/>
        </w:rPr>
        <w:t>et al</w:t>
      </w:r>
      <w:r w:rsidRPr="00114F94">
        <w:rPr>
          <w:sz w:val="24"/>
          <w:szCs w:val="24"/>
          <w:lang w:val="en-GB"/>
        </w:rPr>
        <w:t xml:space="preserve">., 2022; Brouthers </w:t>
      </w:r>
      <w:r w:rsidR="00C93CFF" w:rsidRPr="00C93CFF">
        <w:rPr>
          <w:i/>
          <w:iCs/>
          <w:sz w:val="24"/>
          <w:szCs w:val="24"/>
          <w:lang w:val="en-GB"/>
        </w:rPr>
        <w:t>et al</w:t>
      </w:r>
      <w:r w:rsidRPr="00114F94">
        <w:rPr>
          <w:sz w:val="24"/>
          <w:szCs w:val="24"/>
          <w:lang w:val="en-GB"/>
        </w:rPr>
        <w:t>., 2022). Personal learning consisted of better capability to prioritize industry-relevant environmental factors and the justification of entry-mode choices based on the criteria of risk, resource commitment, control, and long-term flexibility.</w:t>
      </w:r>
    </w:p>
    <w:p w14:paraId="4922B582" w14:textId="77777777" w:rsidR="009856E5" w:rsidRPr="00114F94" w:rsidRDefault="00000000" w:rsidP="00930EBF">
      <w:pPr>
        <w:spacing w:after="200" w:line="360" w:lineRule="auto"/>
        <w:jc w:val="both"/>
        <w:rPr>
          <w:b/>
          <w:bCs/>
          <w:sz w:val="24"/>
          <w:szCs w:val="24"/>
          <w:lang w:val="en-GB"/>
        </w:rPr>
      </w:pPr>
      <w:r w:rsidRPr="00114F94">
        <w:rPr>
          <w:b/>
          <w:bCs/>
          <w:sz w:val="24"/>
          <w:szCs w:val="24"/>
          <w:lang w:val="en-GB"/>
        </w:rPr>
        <w:t>Action Plan</w:t>
      </w:r>
    </w:p>
    <w:p w14:paraId="539A1A30" w14:textId="77777777" w:rsidR="009856E5" w:rsidRPr="00114F94" w:rsidRDefault="00000000">
      <w:pPr>
        <w:spacing w:after="200" w:line="360" w:lineRule="auto"/>
        <w:jc w:val="both"/>
        <w:rPr>
          <w:sz w:val="24"/>
          <w:szCs w:val="24"/>
          <w:lang w:val="en-GB"/>
        </w:rPr>
      </w:pPr>
      <w:r w:rsidRPr="00114F94">
        <w:rPr>
          <w:sz w:val="24"/>
          <w:szCs w:val="24"/>
          <w:lang w:val="en-GB"/>
        </w:rPr>
        <w:t>For future similar assessments, I will create a detailed evidence matrix ahead of time to keep an eye on that evidence per analytical criterion, thereby minimizing the triangulation later. More extensive proactive research of the latest peer-reviewed articles on hybrid entry modes will be integrated into the basic literature search. It will not be reflected only in the end but will be reflected iteratively so that changes of the research focus can be made. All these should enhance the incorporation of theoretical frameworks in evaluating market entry decisions in light of the current empirical evidence.</w:t>
      </w:r>
    </w:p>
    <w:p w14:paraId="59EB8BBD" w14:textId="77777777" w:rsidR="009856E5" w:rsidRPr="00114F94" w:rsidRDefault="00000000" w:rsidP="00532AD5">
      <w:pPr>
        <w:pStyle w:val="Heading1"/>
        <w:rPr>
          <w:b w:val="0"/>
          <w:lang w:val="en-GB"/>
        </w:rPr>
      </w:pPr>
      <w:bookmarkStart w:id="28" w:name="_xfit4fq9cflp" w:colFirst="0" w:colLast="0"/>
      <w:bookmarkStart w:id="29" w:name="_Toc237104959"/>
      <w:bookmarkEnd w:id="28"/>
      <w:r w:rsidRPr="00114F94">
        <w:rPr>
          <w:lang w:val="en-GB"/>
        </w:rPr>
        <w:t>Conclusion</w:t>
      </w:r>
      <w:bookmarkEnd w:id="29"/>
    </w:p>
    <w:p w14:paraId="3C5CA581" w14:textId="77777777" w:rsidR="009856E5" w:rsidRPr="00114F94" w:rsidRDefault="00000000">
      <w:pPr>
        <w:spacing w:after="200" w:line="360" w:lineRule="auto"/>
        <w:jc w:val="both"/>
        <w:rPr>
          <w:sz w:val="24"/>
          <w:szCs w:val="24"/>
          <w:lang w:val="en-GB"/>
        </w:rPr>
      </w:pPr>
      <w:r w:rsidRPr="00114F94">
        <w:rPr>
          <w:sz w:val="24"/>
          <w:szCs w:val="24"/>
          <w:lang w:val="en-GB"/>
        </w:rPr>
        <w:t xml:space="preserve">IKEA has valuable brand values and other ‘ownership advantages’ that can easily be carried or moved around, such as the flat-pack logistics and franchise governance, which have already been tested out in countries across Latin America. Argentina is a market of more than 45 million consumers that is still under-served, and macroeconomic conditions are improving, although there is still some volatility in the currency and some institutional </w:t>
      </w:r>
      <w:r w:rsidRPr="00114F94">
        <w:rPr>
          <w:sz w:val="24"/>
          <w:szCs w:val="24"/>
          <w:lang w:val="en-GB"/>
        </w:rPr>
        <w:lastRenderedPageBreak/>
        <w:t>risks, making full ownership too early. A staged master franchise with a well-capitalized local partner provides a good balance of risk transfer, brand control, and optionality, a strategy IKEA has proven to work well in institutionally distant markets, initially in the form of compact-format stores.</w:t>
      </w:r>
      <w:r w:rsidRPr="00114F94">
        <w:rPr>
          <w:lang w:val="en-GB"/>
        </w:rPr>
        <w:br w:type="page"/>
      </w:r>
    </w:p>
    <w:p w14:paraId="49462985" w14:textId="77777777" w:rsidR="009856E5" w:rsidRPr="00114F94" w:rsidRDefault="00000000" w:rsidP="00532AD5">
      <w:pPr>
        <w:pStyle w:val="Heading1"/>
        <w:rPr>
          <w:b w:val="0"/>
          <w:lang w:val="en-GB"/>
        </w:rPr>
      </w:pPr>
      <w:bookmarkStart w:id="30" w:name="_r7098tqf1e6z" w:colFirst="0" w:colLast="0"/>
      <w:bookmarkStart w:id="31" w:name="_Toc237104960"/>
      <w:bookmarkEnd w:id="30"/>
      <w:r w:rsidRPr="00114F94">
        <w:rPr>
          <w:lang w:val="en-GB"/>
        </w:rPr>
        <w:lastRenderedPageBreak/>
        <w:t>Reference List</w:t>
      </w:r>
      <w:bookmarkEnd w:id="31"/>
    </w:p>
    <w:p w14:paraId="23B39D1F" w14:textId="77777777" w:rsidR="009856E5" w:rsidRPr="00114F94" w:rsidRDefault="00000000">
      <w:pPr>
        <w:spacing w:after="240" w:line="360" w:lineRule="auto"/>
        <w:jc w:val="both"/>
        <w:rPr>
          <w:sz w:val="24"/>
          <w:szCs w:val="24"/>
          <w:lang w:val="en-GB"/>
        </w:rPr>
      </w:pPr>
      <w:r w:rsidRPr="00114F94">
        <w:rPr>
          <w:sz w:val="24"/>
          <w:szCs w:val="24"/>
          <w:lang w:val="en-GB"/>
        </w:rPr>
        <w:t xml:space="preserve">Aduana News (2025). </w:t>
      </w:r>
      <w:r w:rsidRPr="00114F94">
        <w:rPr>
          <w:i/>
          <w:iCs/>
          <w:sz w:val="24"/>
          <w:szCs w:val="24"/>
          <w:lang w:val="en-GB"/>
        </w:rPr>
        <w:t>The certification process for imports is being streamlined</w:t>
      </w:r>
      <w:r w:rsidRPr="00114F94">
        <w:rPr>
          <w:sz w:val="24"/>
          <w:szCs w:val="24"/>
          <w:lang w:val="en-GB"/>
        </w:rPr>
        <w:t xml:space="preserve">. [online] Aduana News. Available at: </w:t>
      </w:r>
      <w:hyperlink r:id="rId14">
        <w:r w:rsidR="009856E5" w:rsidRPr="00114F94">
          <w:rPr>
            <w:color w:val="1155CC"/>
            <w:sz w:val="24"/>
            <w:szCs w:val="24"/>
            <w:u w:val="single"/>
            <w:lang w:val="en-GB"/>
          </w:rPr>
          <w:t>https://aduananews.com/en/nueva-normativa-simplifica-importaciones-en-argentina/</w:t>
        </w:r>
      </w:hyperlink>
      <w:r w:rsidRPr="00114F94">
        <w:rPr>
          <w:sz w:val="24"/>
          <w:szCs w:val="24"/>
          <w:lang w:val="en-GB"/>
        </w:rPr>
        <w:t xml:space="preserve"> [Accessed 8 Aug. 2026].</w:t>
      </w:r>
    </w:p>
    <w:p w14:paraId="3C9F84E1" w14:textId="77777777" w:rsidR="009856E5" w:rsidRPr="00114F94" w:rsidRDefault="00000000">
      <w:pPr>
        <w:spacing w:after="240" w:line="360" w:lineRule="auto"/>
        <w:jc w:val="both"/>
        <w:rPr>
          <w:sz w:val="24"/>
          <w:szCs w:val="24"/>
          <w:lang w:val="en-GB"/>
        </w:rPr>
      </w:pPr>
      <w:r w:rsidRPr="00114F94">
        <w:rPr>
          <w:sz w:val="24"/>
          <w:szCs w:val="24"/>
          <w:lang w:val="en-GB"/>
        </w:rPr>
        <w:t xml:space="preserve">Alon, I., Apriliyanti, I.D. and Parodi, M.C.H. (2021). A systematic review of international franchising. </w:t>
      </w:r>
      <w:r w:rsidRPr="00114F94">
        <w:rPr>
          <w:i/>
          <w:iCs/>
          <w:sz w:val="24"/>
          <w:szCs w:val="24"/>
          <w:lang w:val="en-GB"/>
        </w:rPr>
        <w:t>Multinational Business Review</w:t>
      </w:r>
      <w:r w:rsidRPr="00114F94">
        <w:rPr>
          <w:sz w:val="24"/>
          <w:szCs w:val="24"/>
          <w:lang w:val="en-GB"/>
        </w:rPr>
        <w:t>, [online] 29(1), pp.43–69. doi:10.1108/mbr-01-2020-0019.</w:t>
      </w:r>
    </w:p>
    <w:p w14:paraId="4EB984AD" w14:textId="77777777" w:rsidR="009856E5" w:rsidRPr="00114F94" w:rsidRDefault="00000000">
      <w:pPr>
        <w:spacing w:after="240" w:line="360" w:lineRule="auto"/>
        <w:jc w:val="both"/>
        <w:rPr>
          <w:sz w:val="24"/>
          <w:szCs w:val="24"/>
          <w:lang w:val="en-GB"/>
        </w:rPr>
      </w:pPr>
      <w:r w:rsidRPr="00114F94">
        <w:rPr>
          <w:sz w:val="24"/>
          <w:szCs w:val="24"/>
          <w:lang w:val="en-GB"/>
        </w:rPr>
        <w:t xml:space="preserve">Aly, N. (2021). </w:t>
      </w:r>
      <w:r w:rsidRPr="00114F94">
        <w:rPr>
          <w:i/>
          <w:iCs/>
          <w:sz w:val="24"/>
          <w:szCs w:val="24"/>
          <w:lang w:val="en-GB"/>
        </w:rPr>
        <w:t>Blueprints of Global Success: IKEA’s Strategic Balancing Act Between Standardization and Localization</w:t>
      </w:r>
      <w:r w:rsidRPr="00114F94">
        <w:rPr>
          <w:sz w:val="24"/>
          <w:szCs w:val="24"/>
          <w:lang w:val="en-GB"/>
        </w:rPr>
        <w:t xml:space="preserve">. [online] ResearchGate. Available at: </w:t>
      </w:r>
      <w:hyperlink r:id="rId15">
        <w:r w:rsidR="009856E5" w:rsidRPr="00114F94">
          <w:rPr>
            <w:color w:val="1155CC"/>
            <w:sz w:val="24"/>
            <w:szCs w:val="24"/>
            <w:u w:val="single"/>
            <w:lang w:val="en-GB"/>
          </w:rPr>
          <w:t>https://www.researchgate.net/publication/396652071_Blueprints_of_Global_Success_IKEA’s_Strategic_Balancing_Act_Between_Standardization_and_Localization</w:t>
        </w:r>
      </w:hyperlink>
      <w:r w:rsidRPr="00114F94">
        <w:rPr>
          <w:sz w:val="24"/>
          <w:szCs w:val="24"/>
          <w:lang w:val="en-GB"/>
        </w:rPr>
        <w:t xml:space="preserve"> [Accessed 8 Aug. 2026].</w:t>
      </w:r>
    </w:p>
    <w:p w14:paraId="3E23D1FD" w14:textId="77777777" w:rsidR="009856E5" w:rsidRPr="00114F94" w:rsidRDefault="00000000">
      <w:pPr>
        <w:spacing w:after="240" w:line="360" w:lineRule="auto"/>
        <w:jc w:val="both"/>
        <w:rPr>
          <w:sz w:val="24"/>
          <w:szCs w:val="24"/>
          <w:lang w:val="en-GB"/>
        </w:rPr>
      </w:pPr>
      <w:r w:rsidRPr="00114F94">
        <w:rPr>
          <w:sz w:val="24"/>
          <w:szCs w:val="24"/>
          <w:lang w:val="en-GB"/>
        </w:rPr>
        <w:t xml:space="preserve">Arvidsson, H.G.S. and Arvidsson, R. (2020). </w:t>
      </w:r>
      <w:r w:rsidRPr="00114F94">
        <w:rPr>
          <w:i/>
          <w:iCs/>
          <w:sz w:val="24"/>
          <w:szCs w:val="24"/>
          <w:lang w:val="en-GB"/>
        </w:rPr>
        <w:t>The uppsala model of internationalisation and beyond:</w:t>
      </w:r>
      <w:r w:rsidRPr="00114F94">
        <w:rPr>
          <w:sz w:val="24"/>
          <w:szCs w:val="24"/>
          <w:lang w:val="en-GB"/>
        </w:rPr>
        <w:t xml:space="preserve">. [online] </w:t>
      </w:r>
      <w:r w:rsidRPr="00114F94">
        <w:rPr>
          <w:i/>
          <w:iCs/>
          <w:sz w:val="24"/>
          <w:szCs w:val="24"/>
          <w:lang w:val="en-GB"/>
        </w:rPr>
        <w:t>ResearchGate</w:t>
      </w:r>
      <w:r w:rsidRPr="00114F94">
        <w:rPr>
          <w:sz w:val="24"/>
          <w:szCs w:val="24"/>
          <w:lang w:val="en-GB"/>
        </w:rPr>
        <w:t xml:space="preserve">. Available at: </w:t>
      </w:r>
      <w:hyperlink r:id="rId16">
        <w:r w:rsidR="009856E5" w:rsidRPr="00114F94">
          <w:rPr>
            <w:color w:val="1155CC"/>
            <w:sz w:val="24"/>
            <w:szCs w:val="24"/>
            <w:u w:val="single"/>
            <w:lang w:val="en-GB"/>
          </w:rPr>
          <w:t>https://www.researchgate.net/publication/340756944_The_Uppsala_Model_of_internationalisation_and_beyond</w:t>
        </w:r>
      </w:hyperlink>
      <w:r w:rsidRPr="00114F94">
        <w:rPr>
          <w:sz w:val="24"/>
          <w:szCs w:val="24"/>
          <w:lang w:val="en-GB"/>
        </w:rPr>
        <w:t xml:space="preserve"> [Accessed 8 Aug. 2026].</w:t>
      </w:r>
    </w:p>
    <w:p w14:paraId="7F3BBB63" w14:textId="77777777" w:rsidR="009856E5" w:rsidRPr="00114F94" w:rsidRDefault="00000000">
      <w:pPr>
        <w:spacing w:after="240" w:line="360" w:lineRule="auto"/>
        <w:jc w:val="both"/>
        <w:rPr>
          <w:sz w:val="24"/>
          <w:szCs w:val="24"/>
          <w:lang w:val="en-GB"/>
        </w:rPr>
      </w:pPr>
      <w:r w:rsidRPr="00114F94">
        <w:rPr>
          <w:sz w:val="24"/>
          <w:szCs w:val="24"/>
          <w:lang w:val="en-GB"/>
        </w:rPr>
        <w:t xml:space="preserve">Balzano, M., Marzi, G. and Turzo, T. (2024). SMEs and institutional theory: Major inroads and opportunities ahead. </w:t>
      </w:r>
      <w:r w:rsidRPr="00114F94">
        <w:rPr>
          <w:i/>
          <w:iCs/>
          <w:sz w:val="24"/>
          <w:szCs w:val="24"/>
          <w:lang w:val="en-GB"/>
        </w:rPr>
        <w:t>Management Decision</w:t>
      </w:r>
      <w:r w:rsidRPr="00114F94">
        <w:rPr>
          <w:sz w:val="24"/>
          <w:szCs w:val="24"/>
          <w:lang w:val="en-GB"/>
        </w:rPr>
        <w:t>, [online] 63(13), pp.1–27. doi:</w:t>
      </w:r>
      <w:hyperlink r:id="rId17">
        <w:r w:rsidR="009856E5" w:rsidRPr="00114F94">
          <w:rPr>
            <w:color w:val="1155CC"/>
            <w:sz w:val="24"/>
            <w:szCs w:val="24"/>
            <w:u w:val="single"/>
            <w:lang w:val="en-GB"/>
          </w:rPr>
          <w:t>https://doi.org/10.1108/MD-05-2023-0734</w:t>
        </w:r>
      </w:hyperlink>
      <w:r w:rsidRPr="00114F94">
        <w:rPr>
          <w:sz w:val="24"/>
          <w:szCs w:val="24"/>
          <w:lang w:val="en-GB"/>
        </w:rPr>
        <w:t xml:space="preserve">. </w:t>
      </w:r>
    </w:p>
    <w:p w14:paraId="3190B50F" w14:textId="77777777" w:rsidR="009856E5" w:rsidRPr="00114F94" w:rsidRDefault="00000000">
      <w:pPr>
        <w:spacing w:after="240" w:line="360" w:lineRule="auto"/>
        <w:jc w:val="both"/>
        <w:rPr>
          <w:sz w:val="24"/>
          <w:szCs w:val="24"/>
          <w:lang w:val="en-GB"/>
        </w:rPr>
      </w:pPr>
      <w:r w:rsidRPr="00114F94">
        <w:rPr>
          <w:sz w:val="24"/>
          <w:szCs w:val="24"/>
          <w:lang w:val="en-GB"/>
        </w:rPr>
        <w:t xml:space="preserve">Brouthers, K.D., Chen, L., Li, S. and Shaheer, N. (2022). Charting new courses to enter foreign markets: Conceptualization, theoretical framework, and research directions on non-traditional entry modes. </w:t>
      </w:r>
      <w:r w:rsidRPr="00114F94">
        <w:rPr>
          <w:i/>
          <w:iCs/>
          <w:sz w:val="24"/>
          <w:szCs w:val="24"/>
          <w:lang w:val="en-GB"/>
        </w:rPr>
        <w:t>Journal of International Business Studies</w:t>
      </w:r>
      <w:r w:rsidRPr="00114F94">
        <w:rPr>
          <w:sz w:val="24"/>
          <w:szCs w:val="24"/>
          <w:lang w:val="en-GB"/>
        </w:rPr>
        <w:t>, [online] 53(9), pp.2088–2115. doi:</w:t>
      </w:r>
      <w:hyperlink r:id="rId18">
        <w:r w:rsidR="009856E5" w:rsidRPr="00114F94">
          <w:rPr>
            <w:color w:val="1155CC"/>
            <w:sz w:val="24"/>
            <w:szCs w:val="24"/>
            <w:u w:val="single"/>
            <w:lang w:val="en-GB"/>
          </w:rPr>
          <w:t>https://www.ncbi.nlm.nih.gov/pmc/articles/PMC9030681/</w:t>
        </w:r>
      </w:hyperlink>
      <w:r w:rsidRPr="00114F94">
        <w:rPr>
          <w:sz w:val="24"/>
          <w:szCs w:val="24"/>
          <w:lang w:val="en-GB"/>
        </w:rPr>
        <w:t xml:space="preserve">. </w:t>
      </w:r>
    </w:p>
    <w:p w14:paraId="177ED01A" w14:textId="77777777" w:rsidR="009856E5" w:rsidRPr="00114F94" w:rsidRDefault="00000000">
      <w:pPr>
        <w:spacing w:after="240" w:line="360" w:lineRule="auto"/>
        <w:jc w:val="both"/>
        <w:rPr>
          <w:sz w:val="24"/>
          <w:szCs w:val="24"/>
          <w:lang w:val="en-GB"/>
        </w:rPr>
      </w:pPr>
      <w:r w:rsidRPr="00114F94">
        <w:rPr>
          <w:sz w:val="24"/>
          <w:szCs w:val="24"/>
          <w:lang w:val="en-GB"/>
        </w:rPr>
        <w:t xml:space="preserve">Bti-project.org (2024). </w:t>
      </w:r>
      <w:r w:rsidRPr="00114F94">
        <w:rPr>
          <w:i/>
          <w:iCs/>
          <w:sz w:val="24"/>
          <w:szCs w:val="24"/>
          <w:lang w:val="en-GB"/>
        </w:rPr>
        <w:t>BTI 2024 Argentina Länderbericht</w:t>
      </w:r>
      <w:r w:rsidRPr="00114F94">
        <w:rPr>
          <w:sz w:val="24"/>
          <w:szCs w:val="24"/>
          <w:lang w:val="en-GB"/>
        </w:rPr>
        <w:t xml:space="preserve">. [online] </w:t>
      </w:r>
      <w:r w:rsidRPr="00114F94">
        <w:rPr>
          <w:i/>
          <w:iCs/>
          <w:sz w:val="24"/>
          <w:szCs w:val="24"/>
          <w:lang w:val="en-GB"/>
        </w:rPr>
        <w:t>BTI 2024</w:t>
      </w:r>
      <w:r w:rsidRPr="00114F94">
        <w:rPr>
          <w:sz w:val="24"/>
          <w:szCs w:val="24"/>
          <w:lang w:val="en-GB"/>
        </w:rPr>
        <w:t xml:space="preserve">. Available at: </w:t>
      </w:r>
      <w:hyperlink r:id="rId19">
        <w:r w:rsidR="009856E5" w:rsidRPr="00114F94">
          <w:rPr>
            <w:color w:val="1155CC"/>
            <w:sz w:val="24"/>
            <w:szCs w:val="24"/>
            <w:u w:val="single"/>
            <w:lang w:val="en-GB"/>
          </w:rPr>
          <w:t>https://bti-project.org/de/reports/country-report/ARG</w:t>
        </w:r>
      </w:hyperlink>
      <w:r w:rsidRPr="00114F94">
        <w:rPr>
          <w:sz w:val="24"/>
          <w:szCs w:val="24"/>
          <w:lang w:val="en-GB"/>
        </w:rPr>
        <w:t xml:space="preserve"> [Accessed 8 Aug. 2026].</w:t>
      </w:r>
    </w:p>
    <w:p w14:paraId="77022C24" w14:textId="77777777" w:rsidR="009856E5" w:rsidRPr="00114F94" w:rsidRDefault="00000000">
      <w:pPr>
        <w:spacing w:after="240" w:line="360" w:lineRule="auto"/>
        <w:jc w:val="both"/>
        <w:rPr>
          <w:sz w:val="24"/>
          <w:szCs w:val="24"/>
          <w:lang w:val="en-GB"/>
        </w:rPr>
      </w:pPr>
      <w:r w:rsidRPr="00114F94">
        <w:rPr>
          <w:sz w:val="24"/>
          <w:szCs w:val="24"/>
          <w:lang w:val="en-GB"/>
        </w:rPr>
        <w:lastRenderedPageBreak/>
        <w:t xml:space="preserve">CFI (2022). </w:t>
      </w:r>
      <w:r w:rsidRPr="00114F94">
        <w:rPr>
          <w:i/>
          <w:iCs/>
          <w:sz w:val="24"/>
          <w:szCs w:val="24"/>
          <w:lang w:val="en-GB"/>
        </w:rPr>
        <w:t>Eclectic paradigm</w:t>
      </w:r>
      <w:r w:rsidRPr="00114F94">
        <w:rPr>
          <w:sz w:val="24"/>
          <w:szCs w:val="24"/>
          <w:lang w:val="en-GB"/>
        </w:rPr>
        <w:t xml:space="preserve">. [online] </w:t>
      </w:r>
      <w:r w:rsidRPr="00114F94">
        <w:rPr>
          <w:i/>
          <w:iCs/>
          <w:sz w:val="24"/>
          <w:szCs w:val="24"/>
          <w:lang w:val="en-GB"/>
        </w:rPr>
        <w:t>Corporate Finance Institute</w:t>
      </w:r>
      <w:r w:rsidRPr="00114F94">
        <w:rPr>
          <w:sz w:val="24"/>
          <w:szCs w:val="24"/>
          <w:lang w:val="en-GB"/>
        </w:rPr>
        <w:t xml:space="preserve">. Available at: </w:t>
      </w:r>
      <w:hyperlink r:id="rId20">
        <w:r w:rsidR="009856E5" w:rsidRPr="00114F94">
          <w:rPr>
            <w:color w:val="1155CC"/>
            <w:sz w:val="24"/>
            <w:szCs w:val="24"/>
            <w:u w:val="single"/>
            <w:lang w:val="en-GB"/>
          </w:rPr>
          <w:t>https://corporatefinanceinstitute.com/resources/management/eclectic-paradigm/</w:t>
        </w:r>
      </w:hyperlink>
      <w:r w:rsidRPr="00114F94">
        <w:rPr>
          <w:sz w:val="24"/>
          <w:szCs w:val="24"/>
          <w:lang w:val="en-GB"/>
        </w:rPr>
        <w:t xml:space="preserve"> [Accessed 8 Aug. 2026].</w:t>
      </w:r>
    </w:p>
    <w:p w14:paraId="296451D9" w14:textId="77777777" w:rsidR="009856E5" w:rsidRPr="00114F94" w:rsidRDefault="00000000">
      <w:pPr>
        <w:spacing w:after="240" w:line="360" w:lineRule="auto"/>
        <w:jc w:val="both"/>
        <w:rPr>
          <w:sz w:val="24"/>
          <w:szCs w:val="24"/>
          <w:lang w:val="en-GB"/>
        </w:rPr>
      </w:pPr>
      <w:r w:rsidRPr="00114F94">
        <w:rPr>
          <w:sz w:val="24"/>
          <w:szCs w:val="24"/>
          <w:lang w:val="en-GB"/>
        </w:rPr>
        <w:t xml:space="preserve">Correa da Cunha, H., Singh, V. and Amal, M. (2024). The impact of geopolitical risk distance on foreign direct investment flows in Latin America. </w:t>
      </w:r>
      <w:r w:rsidRPr="00114F94">
        <w:rPr>
          <w:i/>
          <w:iCs/>
          <w:sz w:val="24"/>
          <w:szCs w:val="24"/>
          <w:lang w:val="en-GB"/>
        </w:rPr>
        <w:t>Available at SSRN 4814610</w:t>
      </w:r>
      <w:r w:rsidRPr="00114F94">
        <w:rPr>
          <w:sz w:val="24"/>
          <w:szCs w:val="24"/>
          <w:lang w:val="en-GB"/>
        </w:rPr>
        <w:t>. [online] doi:10.2139/ssrn.4814610.</w:t>
      </w:r>
    </w:p>
    <w:p w14:paraId="08A4B38C" w14:textId="77777777" w:rsidR="009856E5" w:rsidRPr="00114F94" w:rsidRDefault="00000000">
      <w:pPr>
        <w:spacing w:after="240" w:line="360" w:lineRule="auto"/>
        <w:jc w:val="both"/>
        <w:rPr>
          <w:sz w:val="24"/>
          <w:szCs w:val="24"/>
          <w:lang w:val="en-GB"/>
        </w:rPr>
      </w:pPr>
      <w:r w:rsidRPr="00114F94">
        <w:rPr>
          <w:sz w:val="24"/>
          <w:szCs w:val="24"/>
          <w:lang w:val="en-GB"/>
        </w:rPr>
        <w:t xml:space="preserve">Cruz, C.B.B. da, Floriani, D.E. and Amal, M. (2020). The OLI paradigm as a comprehensive model of FDI determinants: A sub-national approach. </w:t>
      </w:r>
      <w:r w:rsidRPr="00114F94">
        <w:rPr>
          <w:i/>
          <w:iCs/>
          <w:sz w:val="24"/>
          <w:szCs w:val="24"/>
          <w:lang w:val="en-GB"/>
        </w:rPr>
        <w:t>International Journal of Emerging Markets</w:t>
      </w:r>
      <w:r w:rsidRPr="00114F94">
        <w:rPr>
          <w:sz w:val="24"/>
          <w:szCs w:val="24"/>
          <w:lang w:val="en-GB"/>
        </w:rPr>
        <w:t>, [online] 17(1), pp.145–176. doi:</w:t>
      </w:r>
      <w:hyperlink r:id="rId21">
        <w:r w:rsidR="009856E5" w:rsidRPr="00114F94">
          <w:rPr>
            <w:color w:val="1155CC"/>
            <w:sz w:val="24"/>
            <w:szCs w:val="24"/>
            <w:u w:val="single"/>
            <w:lang w:val="en-GB"/>
          </w:rPr>
          <w:t>https://doi.org/10.1108/IJOEM-07-2019-0517</w:t>
        </w:r>
      </w:hyperlink>
      <w:r w:rsidRPr="00114F94">
        <w:rPr>
          <w:sz w:val="24"/>
          <w:szCs w:val="24"/>
          <w:lang w:val="en-GB"/>
        </w:rPr>
        <w:t xml:space="preserve">. </w:t>
      </w:r>
    </w:p>
    <w:p w14:paraId="3188C0CD" w14:textId="429D4E82" w:rsidR="009856E5" w:rsidRPr="00114F94" w:rsidRDefault="00000000">
      <w:pPr>
        <w:spacing w:after="240" w:line="360" w:lineRule="auto"/>
        <w:jc w:val="both"/>
        <w:rPr>
          <w:sz w:val="24"/>
          <w:szCs w:val="24"/>
          <w:lang w:val="en-GB"/>
        </w:rPr>
      </w:pPr>
      <w:r w:rsidRPr="00114F94">
        <w:rPr>
          <w:sz w:val="24"/>
          <w:szCs w:val="24"/>
          <w:lang w:val="en-GB"/>
        </w:rPr>
        <w:t xml:space="preserve">Focus Economics (2026). </w:t>
      </w:r>
      <w:r w:rsidRPr="00114F94">
        <w:rPr>
          <w:i/>
          <w:iCs/>
          <w:sz w:val="24"/>
          <w:szCs w:val="24"/>
          <w:lang w:val="en-GB"/>
        </w:rPr>
        <w:t>Argentina: Inflation accelerates in june from may</w:t>
      </w:r>
      <w:r w:rsidRPr="00114F94">
        <w:rPr>
          <w:sz w:val="24"/>
          <w:szCs w:val="24"/>
          <w:lang w:val="en-GB"/>
        </w:rPr>
        <w:t xml:space="preserve">. [online] FocusEconomics. Available at: </w:t>
      </w:r>
      <w:hyperlink r:id="rId22" w:history="1">
        <w:r w:rsidR="00D0078B" w:rsidRPr="00CB09B7">
          <w:rPr>
            <w:rStyle w:val="Hyperlink"/>
            <w:sz w:val="24"/>
            <w:szCs w:val="24"/>
            <w:lang w:val="en-GB"/>
          </w:rPr>
          <w:t>https://www.focus-economics.com/countries/argentina/news/inflation/argentina-consumer-prices-14-07-2026-inflation-accelerates-in-june-from-may/</w:t>
        </w:r>
      </w:hyperlink>
      <w:r w:rsidR="00D0078B">
        <w:rPr>
          <w:sz w:val="24"/>
          <w:szCs w:val="24"/>
          <w:lang w:val="en-GB"/>
        </w:rPr>
        <w:t xml:space="preserve"> </w:t>
      </w:r>
      <w:r w:rsidRPr="00114F94">
        <w:rPr>
          <w:sz w:val="24"/>
          <w:szCs w:val="24"/>
          <w:lang w:val="en-GB"/>
        </w:rPr>
        <w:t>[Accessed 8 Aug. 2026].</w:t>
      </w:r>
    </w:p>
    <w:p w14:paraId="66594220" w14:textId="77777777" w:rsidR="009856E5" w:rsidRPr="00114F94" w:rsidRDefault="00000000">
      <w:pPr>
        <w:spacing w:after="240" w:line="360" w:lineRule="auto"/>
        <w:jc w:val="both"/>
        <w:rPr>
          <w:sz w:val="24"/>
          <w:szCs w:val="24"/>
          <w:lang w:val="en-GB"/>
        </w:rPr>
      </w:pPr>
      <w:r w:rsidRPr="00114F94">
        <w:rPr>
          <w:sz w:val="24"/>
          <w:szCs w:val="24"/>
          <w:lang w:val="en-GB"/>
        </w:rPr>
        <w:t xml:space="preserve">IKEA (2022a). </w:t>
      </w:r>
      <w:r w:rsidRPr="00114F94">
        <w:rPr>
          <w:i/>
          <w:iCs/>
          <w:sz w:val="24"/>
          <w:szCs w:val="24"/>
          <w:lang w:val="en-GB"/>
        </w:rPr>
        <w:t>Hej South America, welcome to the IKEA family - IKEA Global</w:t>
      </w:r>
      <w:r w:rsidRPr="00114F94">
        <w:rPr>
          <w:sz w:val="24"/>
          <w:szCs w:val="24"/>
          <w:lang w:val="en-GB"/>
        </w:rPr>
        <w:t xml:space="preserve">. [online] </w:t>
      </w:r>
      <w:r w:rsidRPr="00114F94">
        <w:rPr>
          <w:i/>
          <w:iCs/>
          <w:sz w:val="24"/>
          <w:szCs w:val="24"/>
          <w:lang w:val="en-GB"/>
        </w:rPr>
        <w:t>IKEA</w:t>
      </w:r>
      <w:r w:rsidRPr="00114F94">
        <w:rPr>
          <w:sz w:val="24"/>
          <w:szCs w:val="24"/>
          <w:lang w:val="en-GB"/>
        </w:rPr>
        <w:t xml:space="preserve">. Available at: </w:t>
      </w:r>
      <w:hyperlink r:id="rId23">
        <w:r w:rsidR="009856E5" w:rsidRPr="00114F94">
          <w:rPr>
            <w:color w:val="1155CC"/>
            <w:sz w:val="24"/>
            <w:szCs w:val="24"/>
            <w:u w:val="single"/>
            <w:lang w:val="en-GB"/>
          </w:rPr>
          <w:t>https://www.ikea.com/global/en/newsroom/retail/ikea-opens-new-store-in-santiago-chile-220810/</w:t>
        </w:r>
      </w:hyperlink>
      <w:r w:rsidRPr="00114F94">
        <w:rPr>
          <w:sz w:val="24"/>
          <w:szCs w:val="24"/>
          <w:lang w:val="en-GB"/>
        </w:rPr>
        <w:t xml:space="preserve"> [Accessed 8 Aug. 2026].</w:t>
      </w:r>
    </w:p>
    <w:p w14:paraId="094AB4AC" w14:textId="77777777" w:rsidR="009856E5" w:rsidRPr="00114F94" w:rsidRDefault="00000000">
      <w:pPr>
        <w:spacing w:after="240" w:line="360" w:lineRule="auto"/>
        <w:jc w:val="both"/>
        <w:rPr>
          <w:sz w:val="24"/>
          <w:szCs w:val="24"/>
          <w:lang w:val="en-GB"/>
        </w:rPr>
      </w:pPr>
      <w:r w:rsidRPr="00114F94">
        <w:rPr>
          <w:sz w:val="24"/>
          <w:szCs w:val="24"/>
          <w:lang w:val="en-GB"/>
        </w:rPr>
        <w:t xml:space="preserve">IKEA (2022b). </w:t>
      </w:r>
      <w:r w:rsidRPr="00114F94">
        <w:rPr>
          <w:i/>
          <w:iCs/>
          <w:sz w:val="24"/>
          <w:szCs w:val="24"/>
          <w:lang w:val="en-GB"/>
        </w:rPr>
        <w:t>Home</w:t>
      </w:r>
      <w:r w:rsidRPr="00114F94">
        <w:rPr>
          <w:sz w:val="24"/>
          <w:szCs w:val="24"/>
          <w:lang w:val="en-GB"/>
        </w:rPr>
        <w:t xml:space="preserve">. [online] </w:t>
      </w:r>
      <w:r w:rsidRPr="00114F94">
        <w:rPr>
          <w:i/>
          <w:iCs/>
          <w:sz w:val="24"/>
          <w:szCs w:val="24"/>
          <w:lang w:val="en-GB"/>
        </w:rPr>
        <w:t>www.inter.ikea.com</w:t>
      </w:r>
      <w:r w:rsidRPr="00114F94">
        <w:rPr>
          <w:sz w:val="24"/>
          <w:szCs w:val="24"/>
          <w:lang w:val="en-GB"/>
        </w:rPr>
        <w:t xml:space="preserve">. Available at: </w:t>
      </w:r>
      <w:hyperlink r:id="rId24">
        <w:r w:rsidR="009856E5" w:rsidRPr="00114F94">
          <w:rPr>
            <w:color w:val="1155CC"/>
            <w:sz w:val="24"/>
            <w:szCs w:val="24"/>
            <w:u w:val="single"/>
            <w:lang w:val="en-GB"/>
          </w:rPr>
          <w:t>https://www.inter.ikea.com/en</w:t>
        </w:r>
      </w:hyperlink>
      <w:r w:rsidRPr="00114F94">
        <w:rPr>
          <w:sz w:val="24"/>
          <w:szCs w:val="24"/>
          <w:lang w:val="en-GB"/>
        </w:rPr>
        <w:t xml:space="preserve"> [Accessed 8 Aug. 2026].</w:t>
      </w:r>
    </w:p>
    <w:p w14:paraId="1201E54E" w14:textId="77777777" w:rsidR="009856E5" w:rsidRPr="00114F94" w:rsidRDefault="00000000">
      <w:pPr>
        <w:spacing w:after="240" w:line="360" w:lineRule="auto"/>
        <w:jc w:val="both"/>
        <w:rPr>
          <w:sz w:val="24"/>
          <w:szCs w:val="24"/>
          <w:lang w:val="en-GB"/>
        </w:rPr>
      </w:pPr>
      <w:r w:rsidRPr="00114F94">
        <w:rPr>
          <w:sz w:val="24"/>
          <w:szCs w:val="24"/>
          <w:lang w:val="en-GB"/>
        </w:rPr>
        <w:t xml:space="preserve">IKEA (2024). </w:t>
      </w:r>
      <w:r w:rsidRPr="00114F94">
        <w:rPr>
          <w:i/>
          <w:iCs/>
          <w:sz w:val="24"/>
          <w:szCs w:val="24"/>
          <w:lang w:val="en-GB"/>
        </w:rPr>
        <w:t>About us</w:t>
      </w:r>
      <w:r w:rsidRPr="00114F94">
        <w:rPr>
          <w:sz w:val="24"/>
          <w:szCs w:val="24"/>
          <w:lang w:val="en-GB"/>
        </w:rPr>
        <w:t xml:space="preserve">. [online] </w:t>
      </w:r>
      <w:r w:rsidRPr="00114F94">
        <w:rPr>
          <w:i/>
          <w:iCs/>
          <w:sz w:val="24"/>
          <w:szCs w:val="24"/>
          <w:lang w:val="en-GB"/>
        </w:rPr>
        <w:t>www.ikea.com</w:t>
      </w:r>
      <w:r w:rsidRPr="00114F94">
        <w:rPr>
          <w:sz w:val="24"/>
          <w:szCs w:val="24"/>
          <w:lang w:val="en-GB"/>
        </w:rPr>
        <w:t xml:space="preserve">. Available at: </w:t>
      </w:r>
      <w:hyperlink r:id="rId25">
        <w:r w:rsidR="009856E5" w:rsidRPr="00114F94">
          <w:rPr>
            <w:color w:val="1155CC"/>
            <w:sz w:val="24"/>
            <w:szCs w:val="24"/>
            <w:u w:val="single"/>
            <w:lang w:val="en-GB"/>
          </w:rPr>
          <w:t>https://www.ikea.com/us/en/this-is-ikea/about-us/</w:t>
        </w:r>
      </w:hyperlink>
      <w:r w:rsidRPr="00114F94">
        <w:rPr>
          <w:sz w:val="24"/>
          <w:szCs w:val="24"/>
          <w:lang w:val="en-GB"/>
        </w:rPr>
        <w:t xml:space="preserve"> [Accessed 8 Aug. 2026].</w:t>
      </w:r>
    </w:p>
    <w:p w14:paraId="6DC6AB5D" w14:textId="77777777" w:rsidR="009856E5" w:rsidRPr="00114F94" w:rsidRDefault="00000000">
      <w:pPr>
        <w:spacing w:after="240" w:line="360" w:lineRule="auto"/>
        <w:jc w:val="both"/>
        <w:rPr>
          <w:sz w:val="24"/>
          <w:szCs w:val="24"/>
          <w:lang w:val="en-GB"/>
        </w:rPr>
      </w:pPr>
      <w:r w:rsidRPr="00114F94">
        <w:rPr>
          <w:sz w:val="24"/>
          <w:szCs w:val="24"/>
          <w:lang w:val="en-GB"/>
        </w:rPr>
        <w:t xml:space="preserve">IKEA Group (2022). </w:t>
      </w:r>
      <w:r w:rsidRPr="00114F94">
        <w:rPr>
          <w:i/>
          <w:iCs/>
          <w:sz w:val="24"/>
          <w:szCs w:val="24"/>
          <w:lang w:val="en-GB"/>
        </w:rPr>
        <w:t>Our business in brief</w:t>
      </w:r>
      <w:r w:rsidRPr="00114F94">
        <w:rPr>
          <w:sz w:val="24"/>
          <w:szCs w:val="24"/>
          <w:lang w:val="en-GB"/>
        </w:rPr>
        <w:t xml:space="preserve">. [online] </w:t>
      </w:r>
      <w:r w:rsidRPr="00114F94">
        <w:rPr>
          <w:i/>
          <w:iCs/>
          <w:sz w:val="24"/>
          <w:szCs w:val="24"/>
          <w:lang w:val="en-GB"/>
        </w:rPr>
        <w:t>www.inter.ikea.com</w:t>
      </w:r>
      <w:r w:rsidRPr="00114F94">
        <w:rPr>
          <w:sz w:val="24"/>
          <w:szCs w:val="24"/>
          <w:lang w:val="en-GB"/>
        </w:rPr>
        <w:t xml:space="preserve">. Available at: </w:t>
      </w:r>
      <w:hyperlink r:id="rId26">
        <w:r w:rsidR="009856E5" w:rsidRPr="00114F94">
          <w:rPr>
            <w:color w:val="1155CC"/>
            <w:sz w:val="24"/>
            <w:szCs w:val="24"/>
            <w:u w:val="single"/>
            <w:lang w:val="en-GB"/>
          </w:rPr>
          <w:t>https://www.inter.ikea.com/en/this-is-inter-ikea-group/our-business-in-brief</w:t>
        </w:r>
      </w:hyperlink>
      <w:r w:rsidRPr="00114F94">
        <w:rPr>
          <w:sz w:val="24"/>
          <w:szCs w:val="24"/>
          <w:lang w:val="en-GB"/>
        </w:rPr>
        <w:t xml:space="preserve"> [Accessed 8 Aug. 2026].</w:t>
      </w:r>
    </w:p>
    <w:p w14:paraId="79A8FA4E" w14:textId="77777777" w:rsidR="009856E5" w:rsidRPr="00114F94" w:rsidRDefault="00000000">
      <w:pPr>
        <w:spacing w:after="240" w:line="360" w:lineRule="auto"/>
        <w:jc w:val="both"/>
        <w:rPr>
          <w:sz w:val="24"/>
          <w:szCs w:val="24"/>
          <w:lang w:val="en-GB"/>
        </w:rPr>
      </w:pPr>
      <w:r w:rsidRPr="00114F94">
        <w:rPr>
          <w:sz w:val="24"/>
          <w:szCs w:val="24"/>
          <w:lang w:val="en-GB"/>
        </w:rPr>
        <w:t xml:space="preserve">Ikea.com (2018). </w:t>
      </w:r>
      <w:r w:rsidRPr="00114F94">
        <w:rPr>
          <w:i/>
          <w:iCs/>
          <w:sz w:val="24"/>
          <w:szCs w:val="24"/>
          <w:lang w:val="en-GB"/>
        </w:rPr>
        <w:t>IKEA meets customers on a new continent - IKEA Global</w:t>
      </w:r>
      <w:r w:rsidRPr="00114F94">
        <w:rPr>
          <w:sz w:val="24"/>
          <w:szCs w:val="24"/>
          <w:lang w:val="en-GB"/>
        </w:rPr>
        <w:t xml:space="preserve">. [online] </w:t>
      </w:r>
      <w:r w:rsidRPr="00114F94">
        <w:rPr>
          <w:i/>
          <w:iCs/>
          <w:sz w:val="24"/>
          <w:szCs w:val="24"/>
          <w:lang w:val="en-GB"/>
        </w:rPr>
        <w:t>IKEA</w:t>
      </w:r>
      <w:r w:rsidRPr="00114F94">
        <w:rPr>
          <w:sz w:val="24"/>
          <w:szCs w:val="24"/>
          <w:lang w:val="en-GB"/>
        </w:rPr>
        <w:t xml:space="preserve">. Available at: </w:t>
      </w:r>
      <w:hyperlink r:id="rId27">
        <w:r w:rsidR="009856E5" w:rsidRPr="00114F94">
          <w:rPr>
            <w:color w:val="1155CC"/>
            <w:sz w:val="24"/>
            <w:szCs w:val="24"/>
            <w:u w:val="single"/>
            <w:lang w:val="en-GB"/>
          </w:rPr>
          <w:t>https://www.ikea.com/global/en/newsroom/retail/ikea-meets-customers-on-a-new-continent-180517/</w:t>
        </w:r>
      </w:hyperlink>
      <w:r w:rsidRPr="00114F94">
        <w:rPr>
          <w:sz w:val="24"/>
          <w:szCs w:val="24"/>
          <w:lang w:val="en-GB"/>
        </w:rPr>
        <w:t xml:space="preserve"> [Accessed 8 Aug. 2026].</w:t>
      </w:r>
    </w:p>
    <w:p w14:paraId="62977559" w14:textId="77777777" w:rsidR="009856E5" w:rsidRPr="00114F94" w:rsidRDefault="00000000">
      <w:pPr>
        <w:spacing w:after="240" w:line="360" w:lineRule="auto"/>
        <w:jc w:val="both"/>
        <w:rPr>
          <w:sz w:val="24"/>
          <w:szCs w:val="24"/>
          <w:lang w:val="en-GB"/>
        </w:rPr>
      </w:pPr>
      <w:r w:rsidRPr="00114F94">
        <w:rPr>
          <w:sz w:val="24"/>
          <w:szCs w:val="24"/>
          <w:lang w:val="en-GB"/>
        </w:rPr>
        <w:lastRenderedPageBreak/>
        <w:t xml:space="preserve">Ikea.com (2025). </w:t>
      </w:r>
      <w:r w:rsidRPr="00114F94">
        <w:rPr>
          <w:i/>
          <w:iCs/>
          <w:sz w:val="24"/>
          <w:szCs w:val="24"/>
          <w:lang w:val="en-GB"/>
        </w:rPr>
        <w:t>The history of the revolutionary IKEA flatpacks</w:t>
      </w:r>
      <w:r w:rsidRPr="00114F94">
        <w:rPr>
          <w:sz w:val="24"/>
          <w:szCs w:val="24"/>
          <w:lang w:val="en-GB"/>
        </w:rPr>
        <w:t xml:space="preserve">. [online] </w:t>
      </w:r>
      <w:r w:rsidRPr="00114F94">
        <w:rPr>
          <w:i/>
          <w:iCs/>
          <w:sz w:val="24"/>
          <w:szCs w:val="24"/>
          <w:lang w:val="en-GB"/>
        </w:rPr>
        <w:t>Ikea.com</w:t>
      </w:r>
      <w:r w:rsidRPr="00114F94">
        <w:rPr>
          <w:sz w:val="24"/>
          <w:szCs w:val="24"/>
          <w:lang w:val="en-GB"/>
        </w:rPr>
        <w:t>. Available at: https://www.ikea.com/my/en/this-is-ikea/about-us/the-story-of-ikea-flatpacks-puba710ccb0/ [Accessed 8 Aug. 2026].</w:t>
      </w:r>
    </w:p>
    <w:p w14:paraId="677DD0A4" w14:textId="77777777" w:rsidR="009856E5" w:rsidRPr="00114F94" w:rsidRDefault="00000000">
      <w:pPr>
        <w:spacing w:after="240" w:line="360" w:lineRule="auto"/>
        <w:jc w:val="both"/>
        <w:rPr>
          <w:sz w:val="24"/>
          <w:szCs w:val="24"/>
          <w:lang w:val="en-GB"/>
        </w:rPr>
      </w:pPr>
      <w:r w:rsidRPr="00114F94">
        <w:rPr>
          <w:sz w:val="24"/>
          <w:szCs w:val="24"/>
          <w:lang w:val="en-GB"/>
        </w:rPr>
        <w:t xml:space="preserve">Ingka Group (2024). </w:t>
      </w:r>
      <w:r w:rsidRPr="00114F94">
        <w:rPr>
          <w:i/>
          <w:iCs/>
          <w:sz w:val="24"/>
          <w:szCs w:val="24"/>
          <w:lang w:val="en-GB"/>
        </w:rPr>
        <w:t>Ingka Group prioritises affordability and long-term business resilience, recording EUR 41.8 billion in revenue | Ingka Group</w:t>
      </w:r>
      <w:r w:rsidRPr="00114F94">
        <w:rPr>
          <w:sz w:val="24"/>
          <w:szCs w:val="24"/>
          <w:lang w:val="en-GB"/>
        </w:rPr>
        <w:t xml:space="preserve">. [online] </w:t>
      </w:r>
      <w:r w:rsidRPr="00114F94">
        <w:rPr>
          <w:i/>
          <w:iCs/>
          <w:sz w:val="24"/>
          <w:szCs w:val="24"/>
          <w:lang w:val="en-GB"/>
        </w:rPr>
        <w:t>Ingka Group</w:t>
      </w:r>
      <w:r w:rsidRPr="00114F94">
        <w:rPr>
          <w:sz w:val="24"/>
          <w:szCs w:val="24"/>
          <w:lang w:val="en-GB"/>
        </w:rPr>
        <w:t xml:space="preserve">. Available at: </w:t>
      </w:r>
      <w:hyperlink r:id="rId28">
        <w:r w:rsidR="009856E5" w:rsidRPr="00114F94">
          <w:rPr>
            <w:color w:val="1155CC"/>
            <w:sz w:val="24"/>
            <w:szCs w:val="24"/>
            <w:u w:val="single"/>
            <w:lang w:val="en-GB"/>
          </w:rPr>
          <w:t>https://www.ingka.com/newsroom/ingka-group-prioritises-affordability-and-long-term-business-resilience-recording-eur-41-8-billion-in-revenue/</w:t>
        </w:r>
      </w:hyperlink>
      <w:r w:rsidRPr="00114F94">
        <w:rPr>
          <w:sz w:val="24"/>
          <w:szCs w:val="24"/>
          <w:lang w:val="en-GB"/>
        </w:rPr>
        <w:t xml:space="preserve"> [Accessed 8 Aug. 2026].</w:t>
      </w:r>
    </w:p>
    <w:p w14:paraId="60BA0056" w14:textId="77777777" w:rsidR="009856E5" w:rsidRPr="00114F94" w:rsidRDefault="00000000">
      <w:pPr>
        <w:spacing w:after="240" w:line="360" w:lineRule="auto"/>
        <w:jc w:val="both"/>
        <w:rPr>
          <w:sz w:val="24"/>
          <w:szCs w:val="24"/>
          <w:lang w:val="en-GB"/>
        </w:rPr>
      </w:pPr>
      <w:r w:rsidRPr="00114F94">
        <w:rPr>
          <w:sz w:val="24"/>
          <w:szCs w:val="24"/>
          <w:lang w:val="en-GB"/>
        </w:rPr>
        <w:t xml:space="preserve">Ingka.com (2024). </w:t>
      </w:r>
      <w:r w:rsidRPr="00114F94">
        <w:rPr>
          <w:i/>
          <w:iCs/>
          <w:sz w:val="24"/>
          <w:szCs w:val="24"/>
          <w:lang w:val="en-GB"/>
        </w:rPr>
        <w:t>Strengthening the IKEA financial services offer - Ingka Investments to acquire full ownership of Ikano Bank | Ingka Group</w:t>
      </w:r>
      <w:r w:rsidRPr="00114F94">
        <w:rPr>
          <w:sz w:val="24"/>
          <w:szCs w:val="24"/>
          <w:lang w:val="en-GB"/>
        </w:rPr>
        <w:t xml:space="preserve">. [online] </w:t>
      </w:r>
      <w:r w:rsidRPr="00114F94">
        <w:rPr>
          <w:i/>
          <w:iCs/>
          <w:sz w:val="24"/>
          <w:szCs w:val="24"/>
          <w:lang w:val="en-GB"/>
        </w:rPr>
        <w:t>Ingka Group</w:t>
      </w:r>
      <w:r w:rsidRPr="00114F94">
        <w:rPr>
          <w:sz w:val="24"/>
          <w:szCs w:val="24"/>
          <w:lang w:val="en-GB"/>
        </w:rPr>
        <w:t xml:space="preserve">. Available at: </w:t>
      </w:r>
      <w:hyperlink r:id="rId29">
        <w:r w:rsidR="009856E5" w:rsidRPr="00114F94">
          <w:rPr>
            <w:color w:val="1155CC"/>
            <w:sz w:val="24"/>
            <w:szCs w:val="24"/>
            <w:u w:val="single"/>
            <w:lang w:val="en-GB"/>
          </w:rPr>
          <w:t>https://www.ingka.com/newsroom/strengthening-the-ikea-financial-services-offer-ingka-investments-to-acquire-full-ownership-of-ikano-bank/</w:t>
        </w:r>
      </w:hyperlink>
      <w:r w:rsidRPr="00114F94">
        <w:rPr>
          <w:sz w:val="24"/>
          <w:szCs w:val="24"/>
          <w:lang w:val="en-GB"/>
        </w:rPr>
        <w:t xml:space="preserve"> [Accessed 8 Aug. 2026].</w:t>
      </w:r>
    </w:p>
    <w:p w14:paraId="5AABDE7F" w14:textId="77777777" w:rsidR="009856E5" w:rsidRPr="00114F94" w:rsidRDefault="00000000">
      <w:pPr>
        <w:spacing w:after="240" w:line="360" w:lineRule="auto"/>
        <w:jc w:val="both"/>
        <w:rPr>
          <w:sz w:val="24"/>
          <w:szCs w:val="24"/>
          <w:lang w:val="en-GB"/>
        </w:rPr>
      </w:pPr>
      <w:r w:rsidRPr="00114F94">
        <w:rPr>
          <w:sz w:val="24"/>
          <w:szCs w:val="24"/>
          <w:lang w:val="en-GB"/>
        </w:rPr>
        <w:t xml:space="preserve">Ingka.com (2025). </w:t>
      </w:r>
      <w:r w:rsidRPr="00114F94">
        <w:rPr>
          <w:i/>
          <w:iCs/>
          <w:sz w:val="24"/>
          <w:szCs w:val="24"/>
          <w:lang w:val="en-GB"/>
        </w:rPr>
        <w:t>​Ingka Group annual summary and sustainability report FY24 | Ingka Group</w:t>
      </w:r>
      <w:r w:rsidRPr="00114F94">
        <w:rPr>
          <w:sz w:val="24"/>
          <w:szCs w:val="24"/>
          <w:lang w:val="en-GB"/>
        </w:rPr>
        <w:t xml:space="preserve">. [online] </w:t>
      </w:r>
      <w:r w:rsidRPr="00114F94">
        <w:rPr>
          <w:i/>
          <w:iCs/>
          <w:sz w:val="24"/>
          <w:szCs w:val="24"/>
          <w:lang w:val="en-GB"/>
        </w:rPr>
        <w:t>Ingka Group</w:t>
      </w:r>
      <w:r w:rsidRPr="00114F94">
        <w:rPr>
          <w:sz w:val="24"/>
          <w:szCs w:val="24"/>
          <w:lang w:val="en-GB"/>
        </w:rPr>
        <w:t xml:space="preserve">. Available at: </w:t>
      </w:r>
      <w:hyperlink r:id="rId30">
        <w:r w:rsidR="009856E5" w:rsidRPr="00114F94">
          <w:rPr>
            <w:color w:val="1155CC"/>
            <w:sz w:val="24"/>
            <w:szCs w:val="24"/>
            <w:u w:val="single"/>
            <w:lang w:val="en-GB"/>
          </w:rPr>
          <w:t>https://www.ingka.com/annual-summary-and-sustainability-report/</w:t>
        </w:r>
      </w:hyperlink>
      <w:r w:rsidRPr="00114F94">
        <w:rPr>
          <w:sz w:val="24"/>
          <w:szCs w:val="24"/>
          <w:lang w:val="en-GB"/>
        </w:rPr>
        <w:t xml:space="preserve"> [Accessed 8 Aug. 2026].</w:t>
      </w:r>
    </w:p>
    <w:p w14:paraId="0E83A6A0" w14:textId="77777777" w:rsidR="009856E5" w:rsidRPr="00114F94" w:rsidRDefault="00000000">
      <w:pPr>
        <w:spacing w:after="240" w:line="360" w:lineRule="auto"/>
        <w:jc w:val="both"/>
        <w:rPr>
          <w:sz w:val="24"/>
          <w:szCs w:val="24"/>
          <w:lang w:val="en-GB"/>
        </w:rPr>
      </w:pPr>
      <w:r w:rsidRPr="00114F94">
        <w:rPr>
          <w:sz w:val="24"/>
          <w:szCs w:val="24"/>
          <w:lang w:val="en-GB"/>
        </w:rPr>
        <w:t>International Monetary Fund. Western Hemisphere Dept. (2026). Argentina: 2026 Article IV consultation, second review under the extended arrangement under the extended fund facility, requests for a waiver of nonobservance of a performance criterion, modification of performance criteria, and financing assurances review-press release; staff report; and statement by the executive director for Argentina. [online] doi:10.5089/9798229046831.002.a001.</w:t>
      </w:r>
    </w:p>
    <w:p w14:paraId="6B9BFE98" w14:textId="77777777" w:rsidR="009856E5" w:rsidRPr="00114F94" w:rsidRDefault="00000000">
      <w:pPr>
        <w:spacing w:after="240" w:line="360" w:lineRule="auto"/>
        <w:jc w:val="both"/>
        <w:rPr>
          <w:sz w:val="24"/>
          <w:szCs w:val="24"/>
          <w:lang w:val="en-GB"/>
        </w:rPr>
      </w:pPr>
      <w:r w:rsidRPr="00114F94">
        <w:rPr>
          <w:sz w:val="24"/>
          <w:szCs w:val="24"/>
          <w:lang w:val="en-GB"/>
        </w:rPr>
        <w:t xml:space="preserve">Itln.in (2026). </w:t>
      </w:r>
      <w:r w:rsidRPr="00114F94">
        <w:rPr>
          <w:i/>
          <w:iCs/>
          <w:sz w:val="24"/>
          <w:szCs w:val="24"/>
          <w:lang w:val="en-GB"/>
        </w:rPr>
        <w:t>Snowman Logistics reports 9.21% revenue growth in first quarter</w:t>
      </w:r>
      <w:r w:rsidRPr="00114F94">
        <w:rPr>
          <w:sz w:val="24"/>
          <w:szCs w:val="24"/>
          <w:lang w:val="en-GB"/>
        </w:rPr>
        <w:t xml:space="preserve">. [online] Itln.in. Available at: </w:t>
      </w:r>
      <w:hyperlink r:id="rId31">
        <w:r w:rsidR="009856E5" w:rsidRPr="00114F94">
          <w:rPr>
            <w:color w:val="1155CC"/>
            <w:sz w:val="24"/>
            <w:szCs w:val="24"/>
            <w:u w:val="single"/>
            <w:lang w:val="en-GB"/>
          </w:rPr>
          <w:t>https://www.itln.in/logistics/snowman-logistics-reports-921-revenue-growth-in-first-quarter-1360201</w:t>
        </w:r>
      </w:hyperlink>
      <w:r w:rsidRPr="00114F94">
        <w:rPr>
          <w:sz w:val="24"/>
          <w:szCs w:val="24"/>
          <w:lang w:val="en-GB"/>
        </w:rPr>
        <w:t xml:space="preserve"> [Accessed 8 Aug. 2026].</w:t>
      </w:r>
    </w:p>
    <w:p w14:paraId="5A830F71" w14:textId="77777777" w:rsidR="009856E5" w:rsidRPr="00114F94" w:rsidRDefault="00000000">
      <w:pPr>
        <w:spacing w:after="240" w:line="360" w:lineRule="auto"/>
        <w:jc w:val="both"/>
        <w:rPr>
          <w:sz w:val="24"/>
          <w:szCs w:val="24"/>
          <w:lang w:val="en-GB"/>
        </w:rPr>
      </w:pPr>
      <w:r w:rsidRPr="00114F94">
        <w:rPr>
          <w:sz w:val="24"/>
          <w:szCs w:val="24"/>
          <w:lang w:val="en-GB"/>
        </w:rPr>
        <w:t xml:space="preserve">Jafari-Sadeghi, V. and Dana, L.-P. (2026). </w:t>
      </w:r>
      <w:r w:rsidRPr="00114F94">
        <w:rPr>
          <w:i/>
          <w:iCs/>
          <w:sz w:val="24"/>
          <w:szCs w:val="24"/>
          <w:lang w:val="en-GB"/>
        </w:rPr>
        <w:t>International entrepreneurship in emerging markets</w:t>
      </w:r>
      <w:r w:rsidRPr="00114F94">
        <w:rPr>
          <w:sz w:val="24"/>
          <w:szCs w:val="24"/>
          <w:lang w:val="en-GB"/>
        </w:rPr>
        <w:t xml:space="preserve">. [online] Google Books. Available at: </w:t>
      </w:r>
      <w:hyperlink r:id="rId32">
        <w:r w:rsidR="009856E5" w:rsidRPr="00114F94">
          <w:rPr>
            <w:color w:val="1155CC"/>
            <w:sz w:val="24"/>
            <w:szCs w:val="24"/>
            <w:u w:val="single"/>
            <w:lang w:val="en-GB"/>
          </w:rPr>
          <w:t>https://books.google.com/books?hl=en&amp;lr=&amp;id=daR5EAAAQBAJ&amp;oi=fnd&amp;pg=PT272&amp;d</w:t>
        </w:r>
        <w:r w:rsidR="009856E5" w:rsidRPr="00114F94">
          <w:rPr>
            <w:color w:val="1155CC"/>
            <w:sz w:val="24"/>
            <w:szCs w:val="24"/>
            <w:u w:val="single"/>
            <w:lang w:val="en-GB"/>
          </w:rPr>
          <w:lastRenderedPageBreak/>
          <w:t>q=Dunning%27s+eclectic+paradigm&amp;ots=8mx8lwWi7x&amp;sig=wDAiYqs5xq9GsuDcGcfCWOqWEeU</w:t>
        </w:r>
      </w:hyperlink>
      <w:r w:rsidRPr="00114F94">
        <w:rPr>
          <w:sz w:val="24"/>
          <w:szCs w:val="24"/>
          <w:lang w:val="en-GB"/>
        </w:rPr>
        <w:t xml:space="preserve"> [Accessed 8 Aug. 2026].</w:t>
      </w:r>
    </w:p>
    <w:p w14:paraId="70F45690" w14:textId="77777777" w:rsidR="009856E5" w:rsidRPr="00114F94" w:rsidRDefault="00000000">
      <w:pPr>
        <w:spacing w:after="240" w:line="360" w:lineRule="auto"/>
        <w:jc w:val="both"/>
        <w:rPr>
          <w:sz w:val="24"/>
          <w:szCs w:val="24"/>
          <w:lang w:val="en-GB"/>
        </w:rPr>
      </w:pPr>
      <w:r w:rsidRPr="00114F94">
        <w:rPr>
          <w:sz w:val="24"/>
          <w:szCs w:val="24"/>
          <w:lang w:val="en-GB"/>
        </w:rPr>
        <w:t xml:space="preserve">Jain, N.P.K. (2024). Global integration vs. local responsiveness: Managing strategic dilemmas in multinational corporations. </w:t>
      </w:r>
      <w:r w:rsidRPr="00114F94">
        <w:rPr>
          <w:i/>
          <w:iCs/>
          <w:sz w:val="24"/>
          <w:szCs w:val="24"/>
          <w:lang w:val="en-GB"/>
        </w:rPr>
        <w:t>Journal of Advanced Management Studies</w:t>
      </w:r>
      <w:r w:rsidRPr="00114F94">
        <w:rPr>
          <w:sz w:val="24"/>
          <w:szCs w:val="24"/>
          <w:lang w:val="en-GB"/>
        </w:rPr>
        <w:t>, [online] 1(3), pp.27–31. doi:10.36676/jams.v1.i3.16.</w:t>
      </w:r>
    </w:p>
    <w:p w14:paraId="68A9BD75" w14:textId="77777777" w:rsidR="009856E5" w:rsidRPr="00114F94" w:rsidRDefault="00000000">
      <w:pPr>
        <w:spacing w:after="240" w:line="360" w:lineRule="auto"/>
        <w:jc w:val="both"/>
        <w:rPr>
          <w:sz w:val="24"/>
          <w:szCs w:val="24"/>
          <w:lang w:val="en-GB"/>
        </w:rPr>
      </w:pPr>
      <w:r w:rsidRPr="00114F94">
        <w:rPr>
          <w:sz w:val="24"/>
          <w:szCs w:val="24"/>
          <w:lang w:val="en-GB"/>
        </w:rPr>
        <w:t xml:space="preserve">Jell-Ojobor, M., Alon, I. and Windsperger, J. (2021). The choice of master international franchising – A modified transaction cost model. </w:t>
      </w:r>
      <w:r w:rsidRPr="00114F94">
        <w:rPr>
          <w:i/>
          <w:iCs/>
          <w:sz w:val="24"/>
          <w:szCs w:val="24"/>
          <w:lang w:val="en-GB"/>
        </w:rPr>
        <w:t>International Business Review</w:t>
      </w:r>
      <w:r w:rsidRPr="00114F94">
        <w:rPr>
          <w:sz w:val="24"/>
          <w:szCs w:val="24"/>
          <w:lang w:val="en-GB"/>
        </w:rPr>
        <w:t>, [online] 31(2), p.101942. doi:10.1016/j.ibusrev.2021.101942.</w:t>
      </w:r>
    </w:p>
    <w:p w14:paraId="52D6281D" w14:textId="77777777" w:rsidR="009856E5" w:rsidRPr="00114F94" w:rsidRDefault="00000000">
      <w:pPr>
        <w:spacing w:after="240" w:line="360" w:lineRule="auto"/>
        <w:jc w:val="both"/>
        <w:rPr>
          <w:sz w:val="24"/>
          <w:szCs w:val="24"/>
          <w:lang w:val="en-GB"/>
        </w:rPr>
      </w:pPr>
      <w:r w:rsidRPr="00114F94">
        <w:rPr>
          <w:sz w:val="24"/>
          <w:szCs w:val="24"/>
          <w:lang w:val="en-GB"/>
        </w:rPr>
        <w:t xml:space="preserve">Jia, J. (2024). Research on supply chain management strategies of multinational retailers in China based on IKEA. </w:t>
      </w:r>
      <w:r w:rsidRPr="00114F94">
        <w:rPr>
          <w:i/>
          <w:iCs/>
          <w:sz w:val="24"/>
          <w:szCs w:val="24"/>
          <w:lang w:val="en-GB"/>
        </w:rPr>
        <w:t>Advances in Economics Management and Political Sciences</w:t>
      </w:r>
      <w:r w:rsidRPr="00114F94">
        <w:rPr>
          <w:sz w:val="24"/>
          <w:szCs w:val="24"/>
          <w:lang w:val="en-GB"/>
        </w:rPr>
        <w:t>, [online] 140(1), pp.138–147. doi:10.54254/2754-1169/2024.ga18771.</w:t>
      </w:r>
    </w:p>
    <w:p w14:paraId="7CCDCEFA" w14:textId="77777777" w:rsidR="009856E5" w:rsidRPr="00114F94" w:rsidRDefault="00000000">
      <w:pPr>
        <w:spacing w:after="240" w:line="360" w:lineRule="auto"/>
        <w:jc w:val="both"/>
        <w:rPr>
          <w:sz w:val="24"/>
          <w:szCs w:val="24"/>
          <w:lang w:val="en-GB"/>
        </w:rPr>
      </w:pPr>
      <w:r w:rsidRPr="00114F94">
        <w:rPr>
          <w:sz w:val="24"/>
          <w:szCs w:val="24"/>
          <w:lang w:val="en-GB"/>
        </w:rPr>
        <w:t xml:space="preserve">Jütten, M. and Killmayer, L. (2025). Argentina ahead of the October 2025 midterm legislative elections. [online] Available at: </w:t>
      </w:r>
      <w:hyperlink r:id="rId33">
        <w:r w:rsidR="009856E5" w:rsidRPr="00114F94">
          <w:rPr>
            <w:color w:val="1155CC"/>
            <w:sz w:val="24"/>
            <w:szCs w:val="24"/>
            <w:u w:val="single"/>
            <w:lang w:val="en-GB"/>
          </w:rPr>
          <w:t>https://www.europarl.europa.eu/RegData/etudes/BRIE/2025/777955/EPRS_BRI(2025)777955_EN.pdf</w:t>
        </w:r>
      </w:hyperlink>
      <w:r w:rsidRPr="00114F94">
        <w:rPr>
          <w:sz w:val="24"/>
          <w:szCs w:val="24"/>
          <w:lang w:val="en-GB"/>
        </w:rPr>
        <w:t xml:space="preserve"> [Accessed 8 Aug. 2026].</w:t>
      </w:r>
    </w:p>
    <w:p w14:paraId="7E8A42FB" w14:textId="77777777" w:rsidR="009856E5" w:rsidRPr="00114F94" w:rsidRDefault="00000000">
      <w:pPr>
        <w:spacing w:after="240" w:line="360" w:lineRule="auto"/>
        <w:jc w:val="both"/>
        <w:rPr>
          <w:sz w:val="24"/>
          <w:szCs w:val="24"/>
          <w:lang w:val="en-GB"/>
        </w:rPr>
      </w:pPr>
      <w:r w:rsidRPr="00114F94">
        <w:rPr>
          <w:sz w:val="24"/>
          <w:szCs w:val="24"/>
          <w:lang w:val="en-GB"/>
        </w:rPr>
        <w:t xml:space="preserve">Kanenguiser, M. (2026). </w:t>
      </w:r>
      <w:r w:rsidRPr="00114F94">
        <w:rPr>
          <w:i/>
          <w:iCs/>
          <w:sz w:val="24"/>
          <w:szCs w:val="24"/>
          <w:lang w:val="en-GB"/>
        </w:rPr>
        <w:t>Milei and Argentina’s two-speed economy</w:t>
      </w:r>
      <w:r w:rsidRPr="00114F94">
        <w:rPr>
          <w:sz w:val="24"/>
          <w:szCs w:val="24"/>
          <w:lang w:val="en-GB"/>
        </w:rPr>
        <w:t xml:space="preserve">. [online] Americas Quarterly. Available at: </w:t>
      </w:r>
      <w:hyperlink r:id="rId34">
        <w:r w:rsidR="009856E5" w:rsidRPr="00114F94">
          <w:rPr>
            <w:color w:val="1155CC"/>
            <w:sz w:val="24"/>
            <w:szCs w:val="24"/>
            <w:u w:val="single"/>
            <w:lang w:val="en-GB"/>
          </w:rPr>
          <w:t>https://www.americasquarterly.org/article/milei-and-argentinas-two-speed-economy/</w:t>
        </w:r>
      </w:hyperlink>
      <w:r w:rsidRPr="00114F94">
        <w:rPr>
          <w:sz w:val="24"/>
          <w:szCs w:val="24"/>
          <w:lang w:val="en-GB"/>
        </w:rPr>
        <w:t xml:space="preserve"> [Accessed 8 Aug. 2026].</w:t>
      </w:r>
    </w:p>
    <w:p w14:paraId="19388242" w14:textId="77777777" w:rsidR="009856E5" w:rsidRPr="00114F94" w:rsidRDefault="00000000">
      <w:pPr>
        <w:spacing w:after="240" w:line="360" w:lineRule="auto"/>
        <w:jc w:val="both"/>
        <w:rPr>
          <w:sz w:val="24"/>
          <w:szCs w:val="24"/>
          <w:lang w:val="en-GB"/>
        </w:rPr>
      </w:pPr>
      <w:r w:rsidRPr="00114F94">
        <w:rPr>
          <w:sz w:val="24"/>
          <w:szCs w:val="24"/>
          <w:lang w:val="en-GB"/>
        </w:rPr>
        <w:t xml:space="preserve">MarkHub24 (2026). </w:t>
      </w:r>
      <w:r w:rsidRPr="00114F94">
        <w:rPr>
          <w:i/>
          <w:iCs/>
          <w:sz w:val="24"/>
          <w:szCs w:val="24"/>
          <w:lang w:val="en-GB"/>
        </w:rPr>
        <w:t>IKEA’s flat-pack design as cost and marketing advantage: Democratic design at industrial scale</w:t>
      </w:r>
      <w:r w:rsidRPr="00114F94">
        <w:rPr>
          <w:sz w:val="24"/>
          <w:szCs w:val="24"/>
          <w:lang w:val="en-GB"/>
        </w:rPr>
        <w:t xml:space="preserve">. [online] </w:t>
      </w:r>
      <w:r w:rsidRPr="00114F94">
        <w:rPr>
          <w:i/>
          <w:iCs/>
          <w:sz w:val="24"/>
          <w:szCs w:val="24"/>
          <w:lang w:val="en-GB"/>
        </w:rPr>
        <w:t>MarkHub24</w:t>
      </w:r>
      <w:r w:rsidRPr="00114F94">
        <w:rPr>
          <w:sz w:val="24"/>
          <w:szCs w:val="24"/>
          <w:lang w:val="en-GB"/>
        </w:rPr>
        <w:t xml:space="preserve">. Available at: </w:t>
      </w:r>
      <w:hyperlink r:id="rId35">
        <w:r w:rsidR="009856E5" w:rsidRPr="00114F94">
          <w:rPr>
            <w:color w:val="1155CC"/>
            <w:sz w:val="24"/>
            <w:szCs w:val="24"/>
            <w:u w:val="single"/>
            <w:lang w:val="en-GB"/>
          </w:rPr>
          <w:t>https://www.markhub24.com/post/ikea-s-flat-pack-design-as-cost-and-marketing-advantage-democratic-design-at-industrial-scale</w:t>
        </w:r>
      </w:hyperlink>
      <w:r w:rsidRPr="00114F94">
        <w:rPr>
          <w:sz w:val="24"/>
          <w:szCs w:val="24"/>
          <w:lang w:val="en-GB"/>
        </w:rPr>
        <w:t xml:space="preserve"> [Accessed 8 Aug. 2026].</w:t>
      </w:r>
    </w:p>
    <w:p w14:paraId="27E9E72F" w14:textId="77777777" w:rsidR="009856E5" w:rsidRPr="00114F94" w:rsidRDefault="00000000">
      <w:pPr>
        <w:spacing w:after="240" w:line="360" w:lineRule="auto"/>
        <w:jc w:val="both"/>
        <w:rPr>
          <w:sz w:val="24"/>
          <w:szCs w:val="24"/>
          <w:lang w:val="en-GB"/>
        </w:rPr>
      </w:pPr>
      <w:r w:rsidRPr="00114F94">
        <w:rPr>
          <w:sz w:val="24"/>
          <w:szCs w:val="24"/>
          <w:lang w:val="en-GB"/>
        </w:rPr>
        <w:t xml:space="preserve">Mehra, A., Loonkar, S. and Desai, K. (2026). Determinants of local responsiveness strategy: Impact of host countries culture on global integration. </w:t>
      </w:r>
      <w:r w:rsidRPr="00114F94">
        <w:rPr>
          <w:i/>
          <w:iCs/>
          <w:sz w:val="24"/>
          <w:szCs w:val="24"/>
          <w:lang w:val="en-GB"/>
        </w:rPr>
        <w:t>Advances in Social Science, Education and Humanities Research</w:t>
      </w:r>
      <w:r w:rsidRPr="00114F94">
        <w:rPr>
          <w:sz w:val="24"/>
          <w:szCs w:val="24"/>
          <w:lang w:val="en-GB"/>
        </w:rPr>
        <w:t>, [online] pp.260–270. doi:10.2991/978-2-38476-559-1_18.</w:t>
      </w:r>
    </w:p>
    <w:p w14:paraId="5356BB4F" w14:textId="77777777" w:rsidR="009856E5" w:rsidRPr="00114F94" w:rsidRDefault="00000000">
      <w:pPr>
        <w:spacing w:after="240" w:line="360" w:lineRule="auto"/>
        <w:jc w:val="both"/>
        <w:rPr>
          <w:sz w:val="24"/>
          <w:szCs w:val="24"/>
          <w:lang w:val="en-GB"/>
        </w:rPr>
      </w:pPr>
      <w:r w:rsidRPr="00114F94">
        <w:rPr>
          <w:sz w:val="24"/>
          <w:szCs w:val="24"/>
          <w:lang w:val="en-GB"/>
        </w:rPr>
        <w:lastRenderedPageBreak/>
        <w:t xml:space="preserve">Meyer, K.E., Li, J., Brouthers, K.D. and Jean, R.-J.B. (2023). International business in the digital age: Global strategies in a world of national institutions. </w:t>
      </w:r>
      <w:r w:rsidRPr="00114F94">
        <w:rPr>
          <w:i/>
          <w:iCs/>
          <w:sz w:val="24"/>
          <w:szCs w:val="24"/>
          <w:lang w:val="en-GB"/>
        </w:rPr>
        <w:t>Journal of International Business Studies</w:t>
      </w:r>
      <w:r w:rsidRPr="00114F94">
        <w:rPr>
          <w:sz w:val="24"/>
          <w:szCs w:val="24"/>
          <w:lang w:val="en-GB"/>
        </w:rPr>
        <w:t>, [online] 54(4), pp.577–598. doi:10.1057/s41267-023-00618-x.</w:t>
      </w:r>
    </w:p>
    <w:p w14:paraId="415C993F" w14:textId="77777777" w:rsidR="009856E5" w:rsidRPr="00114F94" w:rsidRDefault="00000000">
      <w:pPr>
        <w:spacing w:after="240" w:line="360" w:lineRule="auto"/>
        <w:jc w:val="both"/>
        <w:rPr>
          <w:sz w:val="24"/>
          <w:szCs w:val="24"/>
          <w:lang w:val="en-GB"/>
        </w:rPr>
      </w:pPr>
      <w:r w:rsidRPr="00114F94">
        <w:rPr>
          <w:sz w:val="24"/>
          <w:szCs w:val="24"/>
          <w:lang w:val="en-GB"/>
        </w:rPr>
        <w:t xml:space="preserve">Nickerson, C. (2025). </w:t>
      </w:r>
      <w:r w:rsidRPr="00114F94">
        <w:rPr>
          <w:i/>
          <w:iCs/>
          <w:sz w:val="24"/>
          <w:szCs w:val="24"/>
          <w:lang w:val="en-GB"/>
        </w:rPr>
        <w:t>Hofstede’s cultural dimensions theory &amp; examples</w:t>
      </w:r>
      <w:r w:rsidRPr="00114F94">
        <w:rPr>
          <w:sz w:val="24"/>
          <w:szCs w:val="24"/>
          <w:lang w:val="en-GB"/>
        </w:rPr>
        <w:t xml:space="preserve">. [online] </w:t>
      </w:r>
      <w:r w:rsidRPr="00114F94">
        <w:rPr>
          <w:i/>
          <w:iCs/>
          <w:sz w:val="24"/>
          <w:szCs w:val="24"/>
          <w:lang w:val="en-GB"/>
        </w:rPr>
        <w:t>Simply Psychology</w:t>
      </w:r>
      <w:r w:rsidRPr="00114F94">
        <w:rPr>
          <w:sz w:val="24"/>
          <w:szCs w:val="24"/>
          <w:lang w:val="en-GB"/>
        </w:rPr>
        <w:t xml:space="preserve">. Available at: </w:t>
      </w:r>
      <w:hyperlink r:id="rId36">
        <w:r w:rsidR="009856E5" w:rsidRPr="00114F94">
          <w:rPr>
            <w:color w:val="1155CC"/>
            <w:sz w:val="24"/>
            <w:szCs w:val="24"/>
            <w:u w:val="single"/>
            <w:lang w:val="en-GB"/>
          </w:rPr>
          <w:t>https://www.simplypsychology.org/hofstedes-cultural-dimensions-theory.html</w:t>
        </w:r>
      </w:hyperlink>
      <w:r w:rsidRPr="00114F94">
        <w:rPr>
          <w:sz w:val="24"/>
          <w:szCs w:val="24"/>
          <w:lang w:val="en-GB"/>
        </w:rPr>
        <w:t xml:space="preserve"> [Accessed 8 Aug. 2026].</w:t>
      </w:r>
    </w:p>
    <w:p w14:paraId="186FCDAC" w14:textId="77777777" w:rsidR="009856E5" w:rsidRPr="00114F94" w:rsidRDefault="00000000">
      <w:pPr>
        <w:spacing w:after="240" w:line="360" w:lineRule="auto"/>
        <w:jc w:val="both"/>
        <w:rPr>
          <w:sz w:val="24"/>
          <w:szCs w:val="24"/>
          <w:lang w:val="en-GB"/>
        </w:rPr>
      </w:pPr>
      <w:r w:rsidRPr="00114F94">
        <w:rPr>
          <w:sz w:val="24"/>
          <w:szCs w:val="24"/>
          <w:lang w:val="en-GB"/>
        </w:rPr>
        <w:t xml:space="preserve">OECD (2025). </w:t>
      </w:r>
      <w:r w:rsidRPr="00114F94">
        <w:rPr>
          <w:i/>
          <w:iCs/>
          <w:sz w:val="24"/>
          <w:szCs w:val="24"/>
          <w:lang w:val="en-GB"/>
        </w:rPr>
        <w:t>OECD economic surveys: Argentina 2025: Macroeconomic developments and policy challenges</w:t>
      </w:r>
      <w:r w:rsidRPr="00114F94">
        <w:rPr>
          <w:sz w:val="24"/>
          <w:szCs w:val="24"/>
          <w:lang w:val="en-GB"/>
        </w:rPr>
        <w:t xml:space="preserve">. [online] </w:t>
      </w:r>
      <w:r w:rsidRPr="00114F94">
        <w:rPr>
          <w:i/>
          <w:iCs/>
          <w:sz w:val="24"/>
          <w:szCs w:val="24"/>
          <w:lang w:val="en-GB"/>
        </w:rPr>
        <w:t>OECD</w:t>
      </w:r>
      <w:r w:rsidRPr="00114F94">
        <w:rPr>
          <w:sz w:val="24"/>
          <w:szCs w:val="24"/>
          <w:lang w:val="en-GB"/>
        </w:rPr>
        <w:t xml:space="preserve">. Available at: </w:t>
      </w:r>
      <w:hyperlink r:id="rId37">
        <w:r w:rsidR="009856E5" w:rsidRPr="00114F94">
          <w:rPr>
            <w:color w:val="1155CC"/>
            <w:sz w:val="24"/>
            <w:szCs w:val="24"/>
            <w:u w:val="single"/>
            <w:lang w:val="en-GB"/>
          </w:rPr>
          <w:t>https://www.oecd.org/en/publications/oecd-economic-surveys-argentina-2025_27dd6e27-en/full-report/macroeconomic-developments-and-policy-challenges_8e6a0236.html</w:t>
        </w:r>
      </w:hyperlink>
      <w:r w:rsidRPr="00114F94">
        <w:rPr>
          <w:sz w:val="24"/>
          <w:szCs w:val="24"/>
          <w:lang w:val="en-GB"/>
        </w:rPr>
        <w:t xml:space="preserve"> [Accessed 8 Aug. 2026].</w:t>
      </w:r>
    </w:p>
    <w:p w14:paraId="1431F36A" w14:textId="77777777" w:rsidR="009856E5" w:rsidRPr="00114F94" w:rsidRDefault="00000000">
      <w:pPr>
        <w:spacing w:after="240" w:line="360" w:lineRule="auto"/>
        <w:jc w:val="both"/>
        <w:rPr>
          <w:sz w:val="24"/>
          <w:szCs w:val="24"/>
          <w:lang w:val="en-GB"/>
        </w:rPr>
      </w:pPr>
      <w:r w:rsidRPr="00114F94">
        <w:rPr>
          <w:sz w:val="24"/>
          <w:szCs w:val="24"/>
          <w:lang w:val="en-GB"/>
        </w:rPr>
        <w:t xml:space="preserve">Pusztai, D. (2026). </w:t>
      </w:r>
      <w:r w:rsidRPr="00114F94">
        <w:rPr>
          <w:i/>
          <w:iCs/>
          <w:sz w:val="24"/>
          <w:szCs w:val="24"/>
          <w:lang w:val="en-GB"/>
        </w:rPr>
        <w:t>Ingka group accelerates omnichannel development in France</w:t>
      </w:r>
      <w:r w:rsidRPr="00114F94">
        <w:rPr>
          <w:sz w:val="24"/>
          <w:szCs w:val="24"/>
          <w:lang w:val="en-GB"/>
        </w:rPr>
        <w:t xml:space="preserve">. [online] ACROSS. Available at: </w:t>
      </w:r>
      <w:hyperlink r:id="rId38">
        <w:r w:rsidR="009856E5" w:rsidRPr="00114F94">
          <w:rPr>
            <w:color w:val="1155CC"/>
            <w:sz w:val="24"/>
            <w:szCs w:val="24"/>
            <w:u w:val="single"/>
            <w:lang w:val="en-GB"/>
          </w:rPr>
          <w:t>https://www.across-magazine.com/ingka-group-accelerates-omnichannel-development-in-france/</w:t>
        </w:r>
      </w:hyperlink>
      <w:r w:rsidRPr="00114F94">
        <w:rPr>
          <w:sz w:val="24"/>
          <w:szCs w:val="24"/>
          <w:lang w:val="en-GB"/>
        </w:rPr>
        <w:t xml:space="preserve"> [Accessed 8 Aug. 2026].</w:t>
      </w:r>
    </w:p>
    <w:p w14:paraId="5B53D843" w14:textId="77777777" w:rsidR="009856E5" w:rsidRPr="00114F94" w:rsidRDefault="00000000">
      <w:pPr>
        <w:spacing w:after="240" w:line="360" w:lineRule="auto"/>
        <w:jc w:val="both"/>
        <w:rPr>
          <w:sz w:val="24"/>
          <w:szCs w:val="24"/>
          <w:lang w:val="en-GB"/>
        </w:rPr>
      </w:pPr>
      <w:r w:rsidRPr="00114F94">
        <w:rPr>
          <w:sz w:val="24"/>
          <w:szCs w:val="24"/>
          <w:lang w:val="en-GB"/>
        </w:rPr>
        <w:t xml:space="preserve">Ravier, A.O. (2026). </w:t>
      </w:r>
      <w:r w:rsidRPr="00114F94">
        <w:rPr>
          <w:i/>
          <w:iCs/>
          <w:sz w:val="24"/>
          <w:szCs w:val="24"/>
          <w:lang w:val="en-GB"/>
        </w:rPr>
        <w:t>Stabilization plan in Argentina 2023–2027</w:t>
      </w:r>
      <w:r w:rsidRPr="00114F94">
        <w:rPr>
          <w:sz w:val="24"/>
          <w:szCs w:val="24"/>
          <w:lang w:val="en-GB"/>
        </w:rPr>
        <w:t xml:space="preserve">. [online] ECAEF. Available at: </w:t>
      </w:r>
      <w:hyperlink r:id="rId39">
        <w:r w:rsidR="009856E5" w:rsidRPr="00114F94">
          <w:rPr>
            <w:color w:val="1155CC"/>
            <w:sz w:val="24"/>
            <w:szCs w:val="24"/>
            <w:u w:val="single"/>
            <w:lang w:val="en-GB"/>
          </w:rPr>
          <w:t>https://ecaef.org/stabilization-plan-in-argentina-2023-2027/</w:t>
        </w:r>
      </w:hyperlink>
      <w:r w:rsidRPr="00114F94">
        <w:rPr>
          <w:sz w:val="24"/>
          <w:szCs w:val="24"/>
          <w:lang w:val="en-GB"/>
        </w:rPr>
        <w:t xml:space="preserve"> [Accessed 8 Aug. 2026].</w:t>
      </w:r>
    </w:p>
    <w:p w14:paraId="3A9C695E" w14:textId="77777777" w:rsidR="009856E5" w:rsidRPr="00114F94" w:rsidRDefault="00000000">
      <w:pPr>
        <w:spacing w:after="240" w:line="360" w:lineRule="auto"/>
        <w:jc w:val="both"/>
        <w:rPr>
          <w:sz w:val="24"/>
          <w:szCs w:val="24"/>
          <w:lang w:val="en-GB"/>
        </w:rPr>
      </w:pPr>
      <w:r w:rsidRPr="00114F94">
        <w:rPr>
          <w:sz w:val="24"/>
          <w:szCs w:val="24"/>
          <w:lang w:val="en-GB"/>
        </w:rPr>
        <w:t xml:space="preserve">Ravishani, M. (2023). </w:t>
      </w:r>
      <w:r w:rsidRPr="00114F94">
        <w:rPr>
          <w:i/>
          <w:iCs/>
          <w:sz w:val="24"/>
          <w:szCs w:val="24"/>
          <w:lang w:val="en-GB"/>
        </w:rPr>
        <w:t>CAGE distance framework</w:t>
      </w:r>
      <w:r w:rsidRPr="00114F94">
        <w:rPr>
          <w:sz w:val="24"/>
          <w:szCs w:val="24"/>
          <w:lang w:val="en-GB"/>
        </w:rPr>
        <w:t xml:space="preserve">. [online] </w:t>
      </w:r>
      <w:r w:rsidRPr="00114F94">
        <w:rPr>
          <w:i/>
          <w:iCs/>
          <w:sz w:val="24"/>
          <w:szCs w:val="24"/>
          <w:lang w:val="en-GB"/>
        </w:rPr>
        <w:t>Medium</w:t>
      </w:r>
      <w:r w:rsidRPr="00114F94">
        <w:rPr>
          <w:sz w:val="24"/>
          <w:szCs w:val="24"/>
          <w:lang w:val="en-GB"/>
        </w:rPr>
        <w:t xml:space="preserve">. Available at: </w:t>
      </w:r>
      <w:hyperlink r:id="rId40">
        <w:r w:rsidR="009856E5" w:rsidRPr="00114F94">
          <w:rPr>
            <w:color w:val="1155CC"/>
            <w:sz w:val="24"/>
            <w:szCs w:val="24"/>
            <w:u w:val="single"/>
            <w:lang w:val="en-GB"/>
          </w:rPr>
          <w:t>https://medium.com/@mravishani7/cage-distance-framework-9ec963cfbd38</w:t>
        </w:r>
      </w:hyperlink>
      <w:r w:rsidRPr="00114F94">
        <w:rPr>
          <w:sz w:val="24"/>
          <w:szCs w:val="24"/>
          <w:lang w:val="en-GB"/>
        </w:rPr>
        <w:t xml:space="preserve"> [Accessed 8 Aug. 2026].</w:t>
      </w:r>
    </w:p>
    <w:p w14:paraId="1D830BA0" w14:textId="77777777" w:rsidR="009856E5" w:rsidRPr="00114F94" w:rsidRDefault="00000000">
      <w:pPr>
        <w:spacing w:after="240" w:line="360" w:lineRule="auto"/>
        <w:jc w:val="both"/>
        <w:rPr>
          <w:sz w:val="24"/>
          <w:szCs w:val="24"/>
          <w:lang w:val="en-GB"/>
        </w:rPr>
      </w:pPr>
      <w:r w:rsidRPr="00114F94">
        <w:rPr>
          <w:sz w:val="24"/>
          <w:szCs w:val="24"/>
          <w:lang w:val="en-GB"/>
        </w:rPr>
        <w:t xml:space="preserve">Reuters (2018a). </w:t>
      </w:r>
      <w:r w:rsidRPr="00114F94">
        <w:rPr>
          <w:i/>
          <w:iCs/>
          <w:sz w:val="24"/>
          <w:szCs w:val="24"/>
          <w:lang w:val="en-GB"/>
        </w:rPr>
        <w:t>IKEA pushes into South America with partner Falabella</w:t>
      </w:r>
      <w:r w:rsidRPr="00114F94">
        <w:rPr>
          <w:sz w:val="24"/>
          <w:szCs w:val="24"/>
          <w:lang w:val="en-GB"/>
        </w:rPr>
        <w:t xml:space="preserve">. [online] </w:t>
      </w:r>
      <w:r w:rsidRPr="00114F94">
        <w:rPr>
          <w:i/>
          <w:iCs/>
          <w:sz w:val="24"/>
          <w:szCs w:val="24"/>
          <w:lang w:val="en-GB"/>
        </w:rPr>
        <w:t>Reuters</w:t>
      </w:r>
      <w:r w:rsidRPr="00114F94">
        <w:rPr>
          <w:sz w:val="24"/>
          <w:szCs w:val="24"/>
          <w:lang w:val="en-GB"/>
        </w:rPr>
        <w:t xml:space="preserve">. Available at: </w:t>
      </w:r>
      <w:hyperlink r:id="rId41">
        <w:r w:rsidR="009856E5" w:rsidRPr="00114F94">
          <w:rPr>
            <w:color w:val="1155CC"/>
            <w:sz w:val="24"/>
            <w:szCs w:val="24"/>
            <w:u w:val="single"/>
            <w:lang w:val="en-GB"/>
          </w:rPr>
          <w:t>https://www.reuters.com/article/business/ikea-pushes-into-south-america-with-partner-falabella-idUSKCN1IJ1GV/</w:t>
        </w:r>
      </w:hyperlink>
      <w:r w:rsidRPr="00114F94">
        <w:rPr>
          <w:sz w:val="24"/>
          <w:szCs w:val="24"/>
          <w:lang w:val="en-GB"/>
        </w:rPr>
        <w:t xml:space="preserve"> [Accessed 8 Aug. 2026].</w:t>
      </w:r>
    </w:p>
    <w:p w14:paraId="4761AFBF" w14:textId="77777777" w:rsidR="009856E5" w:rsidRPr="00114F94" w:rsidRDefault="00000000">
      <w:pPr>
        <w:spacing w:after="240" w:line="360" w:lineRule="auto"/>
        <w:jc w:val="both"/>
        <w:rPr>
          <w:sz w:val="24"/>
          <w:szCs w:val="24"/>
          <w:lang w:val="en-GB"/>
        </w:rPr>
      </w:pPr>
      <w:r w:rsidRPr="00114F94">
        <w:rPr>
          <w:sz w:val="24"/>
          <w:szCs w:val="24"/>
          <w:lang w:val="en-GB"/>
        </w:rPr>
        <w:t xml:space="preserve">Reuters (2018b). </w:t>
      </w:r>
      <w:r w:rsidRPr="00114F94">
        <w:rPr>
          <w:i/>
          <w:iCs/>
          <w:sz w:val="24"/>
          <w:szCs w:val="24"/>
          <w:lang w:val="en-GB"/>
        </w:rPr>
        <w:t>IKEA signs franchise agreement with Falabella for Peru, Chile and Colombia</w:t>
      </w:r>
      <w:r w:rsidRPr="00114F94">
        <w:rPr>
          <w:sz w:val="24"/>
          <w:szCs w:val="24"/>
          <w:lang w:val="en-GB"/>
        </w:rPr>
        <w:t xml:space="preserve">. [online] Yahoo Finance. Available at: </w:t>
      </w:r>
      <w:hyperlink r:id="rId42">
        <w:r w:rsidR="009856E5" w:rsidRPr="00114F94">
          <w:rPr>
            <w:color w:val="1155CC"/>
            <w:sz w:val="24"/>
            <w:szCs w:val="24"/>
            <w:u w:val="single"/>
            <w:lang w:val="en-GB"/>
          </w:rPr>
          <w:t>https://finance.yahoo.com/news/inter-ikea-grants-franchise-rights-saci-falabela-peru-202825996--finance.html?guccounter=1&amp;guce_referrer=aHR0cHM6Ly93d3cuZ29vZ2xlLmNvbS8&amp;guce_referrer_sig=AQAAAIyTkP5sJYZuNAudQBKsrYNDFg9nA7G7s0AosPW9lEkHgwo</w:t>
        </w:r>
        <w:r w:rsidR="009856E5" w:rsidRPr="00114F94">
          <w:rPr>
            <w:color w:val="1155CC"/>
            <w:sz w:val="24"/>
            <w:szCs w:val="24"/>
            <w:u w:val="single"/>
            <w:lang w:val="en-GB"/>
          </w:rPr>
          <w:lastRenderedPageBreak/>
          <w:t>wLLkaJZM3hmBiYHi68k_3V1JqGQTWqd6t3otBsjBo5uWSvht47uKRaQsOaZw9odu-u-Fq6TwK3fFWlQGl3Tnb67ixSL8HgxJqGxgoiMoDKA6BlX0txDgHHNa-GGg9</w:t>
        </w:r>
      </w:hyperlink>
      <w:r w:rsidRPr="00114F94">
        <w:rPr>
          <w:sz w:val="24"/>
          <w:szCs w:val="24"/>
          <w:lang w:val="en-GB"/>
        </w:rPr>
        <w:t xml:space="preserve"> [Accessed 8 Aug. 2026].</w:t>
      </w:r>
    </w:p>
    <w:p w14:paraId="09A01C30" w14:textId="77777777" w:rsidR="009856E5" w:rsidRPr="00114F94" w:rsidRDefault="00000000">
      <w:pPr>
        <w:spacing w:after="240" w:line="360" w:lineRule="auto"/>
        <w:jc w:val="both"/>
        <w:rPr>
          <w:sz w:val="24"/>
          <w:szCs w:val="24"/>
          <w:lang w:val="en-GB"/>
        </w:rPr>
      </w:pPr>
      <w:r w:rsidRPr="00114F94">
        <w:rPr>
          <w:sz w:val="24"/>
          <w:szCs w:val="24"/>
          <w:lang w:val="en-GB"/>
        </w:rPr>
        <w:t xml:space="preserve">Rosado-Serrano, A. and Navarro-García, A. (2023). Alternative modes of entry in franchising. </w:t>
      </w:r>
      <w:r w:rsidRPr="00114F94">
        <w:rPr>
          <w:i/>
          <w:iCs/>
          <w:sz w:val="24"/>
          <w:szCs w:val="24"/>
          <w:lang w:val="en-GB"/>
        </w:rPr>
        <w:t>Journal of Business Research</w:t>
      </w:r>
      <w:r w:rsidRPr="00114F94">
        <w:rPr>
          <w:sz w:val="24"/>
          <w:szCs w:val="24"/>
          <w:lang w:val="en-GB"/>
        </w:rPr>
        <w:t>, [online] 157, p.113599. doi:10.1016/j.jbusres.2022.113599.</w:t>
      </w:r>
    </w:p>
    <w:p w14:paraId="5E662332" w14:textId="77777777" w:rsidR="009856E5" w:rsidRPr="00114F94" w:rsidRDefault="00000000">
      <w:pPr>
        <w:spacing w:after="240" w:line="360" w:lineRule="auto"/>
        <w:jc w:val="both"/>
        <w:rPr>
          <w:sz w:val="24"/>
          <w:szCs w:val="24"/>
          <w:lang w:val="en-GB"/>
        </w:rPr>
      </w:pPr>
      <w:r w:rsidRPr="00114F94">
        <w:rPr>
          <w:sz w:val="24"/>
          <w:szCs w:val="24"/>
          <w:lang w:val="en-GB"/>
        </w:rPr>
        <w:t xml:space="preserve">Saville, A.D., Macleod, I. and Onaji-Benson, T. (2021). </w:t>
      </w:r>
      <w:r w:rsidRPr="00114F94">
        <w:rPr>
          <w:i/>
          <w:iCs/>
          <w:sz w:val="24"/>
          <w:szCs w:val="24"/>
          <w:lang w:val="en-GB"/>
        </w:rPr>
        <w:t>Platforms of Prosperity: The Africa Edition</w:t>
      </w:r>
      <w:r w:rsidRPr="00114F94">
        <w:rPr>
          <w:sz w:val="24"/>
          <w:szCs w:val="24"/>
          <w:lang w:val="en-GB"/>
        </w:rPr>
        <w:t xml:space="preserve">. [online] </w:t>
      </w:r>
      <w:r w:rsidRPr="00114F94">
        <w:rPr>
          <w:i/>
          <w:iCs/>
          <w:sz w:val="24"/>
          <w:szCs w:val="24"/>
          <w:lang w:val="en-GB"/>
        </w:rPr>
        <w:t>ResearchGate</w:t>
      </w:r>
      <w:r w:rsidRPr="00114F94">
        <w:rPr>
          <w:sz w:val="24"/>
          <w:szCs w:val="24"/>
          <w:lang w:val="en-GB"/>
        </w:rPr>
        <w:t xml:space="preserve">. Available at: </w:t>
      </w:r>
      <w:hyperlink r:id="rId43">
        <w:r w:rsidR="009856E5" w:rsidRPr="00114F94">
          <w:rPr>
            <w:color w:val="1155CC"/>
            <w:sz w:val="24"/>
            <w:szCs w:val="24"/>
            <w:u w:val="single"/>
            <w:lang w:val="en-GB"/>
          </w:rPr>
          <w:t>https://www.researchgate.net/publication/354022814_Platforms_of_Prosperity_The_Africa_Edition</w:t>
        </w:r>
      </w:hyperlink>
      <w:r w:rsidRPr="00114F94">
        <w:rPr>
          <w:sz w:val="24"/>
          <w:szCs w:val="24"/>
          <w:lang w:val="en-GB"/>
        </w:rPr>
        <w:t xml:space="preserve"> [Accessed 8 Aug. 2026].</w:t>
      </w:r>
    </w:p>
    <w:p w14:paraId="0F611321" w14:textId="77777777" w:rsidR="009856E5" w:rsidRPr="00114F94" w:rsidRDefault="00000000">
      <w:pPr>
        <w:spacing w:after="240" w:line="360" w:lineRule="auto"/>
        <w:jc w:val="both"/>
        <w:rPr>
          <w:sz w:val="24"/>
          <w:szCs w:val="24"/>
          <w:lang w:val="en-GB"/>
        </w:rPr>
      </w:pPr>
      <w:r w:rsidRPr="00114F94">
        <w:rPr>
          <w:sz w:val="24"/>
          <w:szCs w:val="24"/>
          <w:lang w:val="en-GB"/>
        </w:rPr>
        <w:t xml:space="preserve">State.gov (2025). </w:t>
      </w:r>
      <w:r w:rsidRPr="00114F94">
        <w:rPr>
          <w:i/>
          <w:iCs/>
          <w:sz w:val="24"/>
          <w:szCs w:val="24"/>
          <w:lang w:val="en-GB"/>
        </w:rPr>
        <w:t>Argentina - United States Department of State</w:t>
      </w:r>
      <w:r w:rsidRPr="00114F94">
        <w:rPr>
          <w:sz w:val="24"/>
          <w:szCs w:val="24"/>
          <w:lang w:val="en-GB"/>
        </w:rPr>
        <w:t xml:space="preserve">. [online] </w:t>
      </w:r>
      <w:r w:rsidRPr="00114F94">
        <w:rPr>
          <w:i/>
          <w:iCs/>
          <w:sz w:val="24"/>
          <w:szCs w:val="24"/>
          <w:lang w:val="en-GB"/>
        </w:rPr>
        <w:t>United States Department of State</w:t>
      </w:r>
      <w:r w:rsidRPr="00114F94">
        <w:rPr>
          <w:sz w:val="24"/>
          <w:szCs w:val="24"/>
          <w:lang w:val="en-GB"/>
        </w:rPr>
        <w:t xml:space="preserve">. Available at: </w:t>
      </w:r>
      <w:hyperlink r:id="rId44">
        <w:r w:rsidR="009856E5" w:rsidRPr="00114F94">
          <w:rPr>
            <w:color w:val="1155CC"/>
            <w:sz w:val="24"/>
            <w:szCs w:val="24"/>
            <w:u w:val="single"/>
            <w:lang w:val="en-GB"/>
          </w:rPr>
          <w:t>https://www.state.gov/reports/2025-investment-climate-statements/argentina</w:t>
        </w:r>
      </w:hyperlink>
      <w:r w:rsidRPr="00114F94">
        <w:rPr>
          <w:sz w:val="24"/>
          <w:szCs w:val="24"/>
          <w:lang w:val="en-GB"/>
        </w:rPr>
        <w:t xml:space="preserve"> [Accessed 8 Aug. 2026].</w:t>
      </w:r>
    </w:p>
    <w:p w14:paraId="1A2783ED" w14:textId="77777777" w:rsidR="009856E5" w:rsidRPr="00114F94" w:rsidRDefault="00000000">
      <w:pPr>
        <w:spacing w:after="240" w:line="360" w:lineRule="auto"/>
        <w:jc w:val="both"/>
        <w:rPr>
          <w:sz w:val="24"/>
          <w:szCs w:val="24"/>
          <w:lang w:val="en-GB"/>
        </w:rPr>
      </w:pPr>
      <w:r w:rsidRPr="00114F94">
        <w:rPr>
          <w:sz w:val="24"/>
          <w:szCs w:val="24"/>
          <w:lang w:val="en-GB"/>
        </w:rPr>
        <w:t xml:space="preserve">Theculturefactor.com (2020). </w:t>
      </w:r>
      <w:r w:rsidRPr="00114F94">
        <w:rPr>
          <w:i/>
          <w:iCs/>
          <w:sz w:val="24"/>
          <w:szCs w:val="24"/>
          <w:lang w:val="en-GB"/>
        </w:rPr>
        <w:t>Country comparison tool</w:t>
      </w:r>
      <w:r w:rsidRPr="00114F94">
        <w:rPr>
          <w:sz w:val="24"/>
          <w:szCs w:val="24"/>
          <w:lang w:val="en-GB"/>
        </w:rPr>
        <w:t xml:space="preserve">. [online] </w:t>
      </w:r>
      <w:r w:rsidRPr="00114F94">
        <w:rPr>
          <w:i/>
          <w:iCs/>
          <w:sz w:val="24"/>
          <w:szCs w:val="24"/>
          <w:lang w:val="en-GB"/>
        </w:rPr>
        <w:t>Theculturefactor.com</w:t>
      </w:r>
      <w:r w:rsidRPr="00114F94">
        <w:rPr>
          <w:sz w:val="24"/>
          <w:szCs w:val="24"/>
          <w:lang w:val="en-GB"/>
        </w:rPr>
        <w:t xml:space="preserve">. Available at: </w:t>
      </w:r>
      <w:hyperlink r:id="rId45">
        <w:r w:rsidR="009856E5" w:rsidRPr="00114F94">
          <w:rPr>
            <w:color w:val="1155CC"/>
            <w:sz w:val="24"/>
            <w:szCs w:val="24"/>
            <w:u w:val="single"/>
            <w:lang w:val="en-GB"/>
          </w:rPr>
          <w:t>https://www.theculturefactor.com/country-comparison-tool?countries=argentina%2Csweden</w:t>
        </w:r>
      </w:hyperlink>
      <w:r w:rsidRPr="00114F94">
        <w:rPr>
          <w:sz w:val="24"/>
          <w:szCs w:val="24"/>
          <w:lang w:val="en-GB"/>
        </w:rPr>
        <w:t xml:space="preserve"> [Accessed 8 Aug. 2026].</w:t>
      </w:r>
    </w:p>
    <w:p w14:paraId="78FCD1A4" w14:textId="77777777" w:rsidR="009856E5" w:rsidRPr="00114F94" w:rsidRDefault="00000000">
      <w:pPr>
        <w:spacing w:after="240" w:line="360" w:lineRule="auto"/>
        <w:jc w:val="both"/>
        <w:rPr>
          <w:sz w:val="24"/>
          <w:szCs w:val="24"/>
          <w:lang w:val="en-GB"/>
        </w:rPr>
      </w:pPr>
      <w:r w:rsidRPr="00114F94">
        <w:rPr>
          <w:sz w:val="24"/>
          <w:szCs w:val="24"/>
          <w:lang w:val="en-GB"/>
        </w:rPr>
        <w:t xml:space="preserve">Vizion (2023). </w:t>
      </w:r>
      <w:r w:rsidRPr="00114F94">
        <w:rPr>
          <w:i/>
          <w:iCs/>
          <w:sz w:val="24"/>
          <w:szCs w:val="24"/>
          <w:lang w:val="en-GB"/>
        </w:rPr>
        <w:t>Argentina’s economic transformation under Javier Milei: From crisis to opportunity (2023-2028) | VIZION</w:t>
      </w:r>
      <w:r w:rsidRPr="00114F94">
        <w:rPr>
          <w:sz w:val="24"/>
          <w:szCs w:val="24"/>
          <w:lang w:val="en-GB"/>
        </w:rPr>
        <w:t xml:space="preserve">. [online] </w:t>
      </w:r>
      <w:r w:rsidRPr="00114F94">
        <w:rPr>
          <w:i/>
          <w:iCs/>
          <w:sz w:val="24"/>
          <w:szCs w:val="24"/>
          <w:lang w:val="en-GB"/>
        </w:rPr>
        <w:t>Vizionapi.com</w:t>
      </w:r>
      <w:r w:rsidRPr="00114F94">
        <w:rPr>
          <w:sz w:val="24"/>
          <w:szCs w:val="24"/>
          <w:lang w:val="en-GB"/>
        </w:rPr>
        <w:t xml:space="preserve">. Available at: </w:t>
      </w:r>
      <w:hyperlink r:id="rId46">
        <w:r w:rsidR="009856E5" w:rsidRPr="00114F94">
          <w:rPr>
            <w:color w:val="1155CC"/>
            <w:sz w:val="24"/>
            <w:szCs w:val="24"/>
            <w:u w:val="single"/>
            <w:lang w:val="en-GB"/>
          </w:rPr>
          <w:t>https://www.vizionapi.com/blog/argentinas-economic-transformation-under-javier-milei-from-crisis-to-opportunity</w:t>
        </w:r>
      </w:hyperlink>
      <w:r w:rsidRPr="00114F94">
        <w:rPr>
          <w:sz w:val="24"/>
          <w:szCs w:val="24"/>
          <w:lang w:val="en-GB"/>
        </w:rPr>
        <w:t xml:space="preserve"> [Accessed 8 Aug. 2026].</w:t>
      </w:r>
    </w:p>
    <w:p w14:paraId="160389C6" w14:textId="77777777" w:rsidR="009856E5" w:rsidRPr="00114F94" w:rsidRDefault="00000000">
      <w:pPr>
        <w:spacing w:after="240" w:line="360" w:lineRule="auto"/>
        <w:jc w:val="both"/>
        <w:rPr>
          <w:sz w:val="24"/>
          <w:szCs w:val="24"/>
          <w:lang w:val="en-GB"/>
        </w:rPr>
      </w:pPr>
      <w:r w:rsidRPr="00114F94">
        <w:rPr>
          <w:sz w:val="24"/>
          <w:szCs w:val="24"/>
          <w:lang w:val="en-GB"/>
        </w:rPr>
        <w:t xml:space="preserve">Yahya, D. (2025). </w:t>
      </w:r>
      <w:r w:rsidRPr="00114F94">
        <w:rPr>
          <w:i/>
          <w:iCs/>
          <w:sz w:val="24"/>
          <w:szCs w:val="24"/>
          <w:lang w:val="en-GB"/>
        </w:rPr>
        <w:t>Analysis of Al-Futtaim Group’s foreign economic activity</w:t>
      </w:r>
      <w:r w:rsidRPr="00114F94">
        <w:rPr>
          <w:sz w:val="24"/>
          <w:szCs w:val="24"/>
          <w:lang w:val="en-GB"/>
        </w:rPr>
        <w:t>. [online] doi:10.13140/RG.2.2.29252.90241.</w:t>
      </w:r>
    </w:p>
    <w:p w14:paraId="20C93AE3" w14:textId="77777777" w:rsidR="009856E5" w:rsidRPr="00114F94" w:rsidRDefault="009856E5">
      <w:pPr>
        <w:spacing w:after="200" w:line="360" w:lineRule="auto"/>
        <w:jc w:val="both"/>
        <w:rPr>
          <w:sz w:val="24"/>
          <w:szCs w:val="24"/>
          <w:lang w:val="en-GB"/>
        </w:rPr>
      </w:pPr>
    </w:p>
    <w:p w14:paraId="62E4D4A7" w14:textId="77777777" w:rsidR="009856E5" w:rsidRPr="00114F94" w:rsidRDefault="009856E5">
      <w:pPr>
        <w:spacing w:line="360" w:lineRule="auto"/>
        <w:jc w:val="both"/>
        <w:rPr>
          <w:sz w:val="24"/>
          <w:szCs w:val="24"/>
          <w:lang w:val="en-GB"/>
        </w:rPr>
      </w:pPr>
    </w:p>
    <w:sectPr w:rsidR="009856E5" w:rsidRPr="00114F94" w:rsidSect="00532AD5">
      <w:footerReference w:type="default" r:id="rId4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B2201" w14:textId="77777777" w:rsidR="00A36E7B" w:rsidRDefault="00A36E7B" w:rsidP="00532AD5">
      <w:pPr>
        <w:spacing w:line="240" w:lineRule="auto"/>
      </w:pPr>
      <w:r>
        <w:separator/>
      </w:r>
    </w:p>
  </w:endnote>
  <w:endnote w:type="continuationSeparator" w:id="0">
    <w:p w14:paraId="1907ABFB" w14:textId="77777777" w:rsidR="00A36E7B" w:rsidRDefault="00A36E7B" w:rsidP="00532A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52943E2-0294-482B-8691-9C64E1BABB67}"/>
  </w:font>
  <w:font w:name="Cambria">
    <w:panose1 w:val="02040503050406030204"/>
    <w:charset w:val="00"/>
    <w:family w:val="roman"/>
    <w:pitch w:val="variable"/>
    <w:sig w:usb0="E00006FF" w:usb1="420024FF" w:usb2="02000000" w:usb3="00000000" w:csb0="0000019F" w:csb1="00000000"/>
    <w:embedRegular r:id="rId2" w:fontKey="{592E4122-3F32-4410-A48A-CCB781A2589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923594750"/>
      <w:docPartObj>
        <w:docPartGallery w:val="Page Numbers (Bottom of Page)"/>
        <w:docPartUnique/>
      </w:docPartObj>
    </w:sdtPr>
    <w:sdtContent>
      <w:p w14:paraId="1C30834A" w14:textId="59B086E6" w:rsidR="00532AD5" w:rsidRPr="00286B7A" w:rsidRDefault="00532AD5">
        <w:pPr>
          <w:pStyle w:val="Footer"/>
          <w:jc w:val="right"/>
          <w:rPr>
            <w:sz w:val="20"/>
            <w:szCs w:val="20"/>
          </w:rPr>
        </w:pPr>
        <w:r w:rsidRPr="00286B7A">
          <w:rPr>
            <w:sz w:val="20"/>
            <w:szCs w:val="20"/>
          </w:rPr>
          <w:t xml:space="preserve">Page | </w:t>
        </w:r>
        <w:r w:rsidRPr="00286B7A">
          <w:rPr>
            <w:sz w:val="20"/>
            <w:szCs w:val="20"/>
          </w:rPr>
          <w:fldChar w:fldCharType="begin"/>
        </w:r>
        <w:r w:rsidRPr="00286B7A">
          <w:rPr>
            <w:sz w:val="20"/>
            <w:szCs w:val="20"/>
          </w:rPr>
          <w:instrText xml:space="preserve"> PAGE   \* MERGEFORMAT </w:instrText>
        </w:r>
        <w:r w:rsidRPr="00286B7A">
          <w:rPr>
            <w:sz w:val="20"/>
            <w:szCs w:val="20"/>
          </w:rPr>
          <w:fldChar w:fldCharType="separate"/>
        </w:r>
        <w:r w:rsidRPr="00286B7A">
          <w:rPr>
            <w:noProof/>
            <w:sz w:val="20"/>
            <w:szCs w:val="20"/>
          </w:rPr>
          <w:t>2</w:t>
        </w:r>
        <w:r w:rsidRPr="00286B7A">
          <w:rPr>
            <w:noProof/>
            <w:sz w:val="20"/>
            <w:szCs w:val="20"/>
          </w:rPr>
          <w:fldChar w:fldCharType="end"/>
        </w:r>
        <w:r w:rsidRPr="00286B7A">
          <w:rPr>
            <w:sz w:val="20"/>
            <w:szCs w:val="20"/>
          </w:rPr>
          <w:t xml:space="preserve"> </w:t>
        </w:r>
      </w:p>
    </w:sdtContent>
  </w:sdt>
  <w:p w14:paraId="64E78549" w14:textId="77777777" w:rsidR="00532AD5" w:rsidRPr="00286B7A" w:rsidRDefault="00532AD5">
    <w:pPr>
      <w:pStyle w:val="Footer"/>
      <w:rPr>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98F44" w14:textId="77777777" w:rsidR="00A36E7B" w:rsidRDefault="00A36E7B" w:rsidP="00532AD5">
      <w:pPr>
        <w:spacing w:line="240" w:lineRule="auto"/>
      </w:pPr>
      <w:r>
        <w:separator/>
      </w:r>
    </w:p>
  </w:footnote>
  <w:footnote w:type="continuationSeparator" w:id="0">
    <w:p w14:paraId="4A7FA6F7" w14:textId="77777777" w:rsidR="00A36E7B" w:rsidRDefault="00A36E7B" w:rsidP="00532A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3503E"/>
    <w:multiLevelType w:val="multilevel"/>
    <w:tmpl w:val="244AA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884693"/>
    <w:multiLevelType w:val="multilevel"/>
    <w:tmpl w:val="4C023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3166B0"/>
    <w:multiLevelType w:val="multilevel"/>
    <w:tmpl w:val="708419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2032BF"/>
    <w:multiLevelType w:val="multilevel"/>
    <w:tmpl w:val="2A6E0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FFF76E6"/>
    <w:multiLevelType w:val="multilevel"/>
    <w:tmpl w:val="565697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B67E38"/>
    <w:multiLevelType w:val="multilevel"/>
    <w:tmpl w:val="C29C8E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91554055">
    <w:abstractNumId w:val="5"/>
  </w:num>
  <w:num w:numId="2" w16cid:durableId="1572039448">
    <w:abstractNumId w:val="2"/>
  </w:num>
  <w:num w:numId="3" w16cid:durableId="407575575">
    <w:abstractNumId w:val="4"/>
  </w:num>
  <w:num w:numId="4" w16cid:durableId="1682391359">
    <w:abstractNumId w:val="3"/>
  </w:num>
  <w:num w:numId="5" w16cid:durableId="1879584964">
    <w:abstractNumId w:val="1"/>
  </w:num>
  <w:num w:numId="6" w16cid:durableId="195970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56E5"/>
    <w:rsid w:val="000A25B3"/>
    <w:rsid w:val="000B12FD"/>
    <w:rsid w:val="000D2D49"/>
    <w:rsid w:val="00114F94"/>
    <w:rsid w:val="00193802"/>
    <w:rsid w:val="0024711C"/>
    <w:rsid w:val="00286B7A"/>
    <w:rsid w:val="003C3B3D"/>
    <w:rsid w:val="00513ADA"/>
    <w:rsid w:val="00532AD5"/>
    <w:rsid w:val="00566F60"/>
    <w:rsid w:val="005E33E5"/>
    <w:rsid w:val="006965B0"/>
    <w:rsid w:val="00847225"/>
    <w:rsid w:val="008A7179"/>
    <w:rsid w:val="00930EBF"/>
    <w:rsid w:val="00965AD3"/>
    <w:rsid w:val="009856E5"/>
    <w:rsid w:val="009E7100"/>
    <w:rsid w:val="00A050BA"/>
    <w:rsid w:val="00A36E7B"/>
    <w:rsid w:val="00A530DF"/>
    <w:rsid w:val="00B238D0"/>
    <w:rsid w:val="00B858E8"/>
    <w:rsid w:val="00C16C7B"/>
    <w:rsid w:val="00C93CFF"/>
    <w:rsid w:val="00CE3B68"/>
    <w:rsid w:val="00D0078B"/>
    <w:rsid w:val="00E4138F"/>
    <w:rsid w:val="00F463B0"/>
    <w:rsid w:val="00FC77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032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32AD5"/>
    <w:pPr>
      <w:keepNext/>
      <w:keepLines/>
      <w:spacing w:before="400" w:after="120" w:line="480" w:lineRule="auto"/>
      <w:jc w:val="both"/>
      <w:outlineLvl w:val="0"/>
    </w:pPr>
    <w:rPr>
      <w:b/>
      <w:color w:val="000000" w:themeColor="text1"/>
      <w:sz w:val="28"/>
      <w:szCs w:val="40"/>
    </w:rPr>
  </w:style>
  <w:style w:type="paragraph" w:styleId="Heading2">
    <w:name w:val="heading 2"/>
    <w:basedOn w:val="Normal"/>
    <w:next w:val="Normal"/>
    <w:uiPriority w:val="9"/>
    <w:unhideWhenUsed/>
    <w:qFormat/>
    <w:rsid w:val="00532AD5"/>
    <w:pPr>
      <w:keepNext/>
      <w:keepLines/>
      <w:spacing w:before="360" w:after="120" w:line="360" w:lineRule="auto"/>
      <w:jc w:val="both"/>
      <w:outlineLvl w:val="1"/>
    </w:pPr>
    <w:rPr>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532AD5"/>
    <w:pPr>
      <w:tabs>
        <w:tab w:val="center" w:pos="4513"/>
        <w:tab w:val="right" w:pos="9026"/>
      </w:tabs>
      <w:spacing w:line="240" w:lineRule="auto"/>
    </w:pPr>
  </w:style>
  <w:style w:type="character" w:customStyle="1" w:styleId="HeaderChar">
    <w:name w:val="Header Char"/>
    <w:basedOn w:val="DefaultParagraphFont"/>
    <w:link w:val="Header"/>
    <w:uiPriority w:val="99"/>
    <w:rsid w:val="00532AD5"/>
  </w:style>
  <w:style w:type="paragraph" w:styleId="Footer">
    <w:name w:val="footer"/>
    <w:basedOn w:val="Normal"/>
    <w:link w:val="FooterChar"/>
    <w:uiPriority w:val="99"/>
    <w:unhideWhenUsed/>
    <w:rsid w:val="00532AD5"/>
    <w:pPr>
      <w:tabs>
        <w:tab w:val="center" w:pos="4513"/>
        <w:tab w:val="right" w:pos="9026"/>
      </w:tabs>
      <w:spacing w:line="240" w:lineRule="auto"/>
    </w:pPr>
  </w:style>
  <w:style w:type="character" w:customStyle="1" w:styleId="FooterChar">
    <w:name w:val="Footer Char"/>
    <w:basedOn w:val="DefaultParagraphFont"/>
    <w:link w:val="Footer"/>
    <w:uiPriority w:val="99"/>
    <w:rsid w:val="00532AD5"/>
  </w:style>
  <w:style w:type="table" w:styleId="GridTable5Dark-Accent2">
    <w:name w:val="Grid Table 5 Dark Accent 2"/>
    <w:basedOn w:val="TableNormal"/>
    <w:uiPriority w:val="50"/>
    <w:rsid w:val="00532AD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paragraph" w:styleId="TOCHeading">
    <w:name w:val="TOC Heading"/>
    <w:basedOn w:val="Heading1"/>
    <w:next w:val="Normal"/>
    <w:uiPriority w:val="39"/>
    <w:unhideWhenUsed/>
    <w:qFormat/>
    <w:rsid w:val="00532AD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32AD5"/>
    <w:pPr>
      <w:spacing w:after="100"/>
    </w:pPr>
  </w:style>
  <w:style w:type="paragraph" w:styleId="TOC2">
    <w:name w:val="toc 2"/>
    <w:basedOn w:val="Normal"/>
    <w:next w:val="Normal"/>
    <w:autoRedefine/>
    <w:uiPriority w:val="39"/>
    <w:unhideWhenUsed/>
    <w:rsid w:val="00532AD5"/>
    <w:pPr>
      <w:spacing w:after="100"/>
      <w:ind w:left="220"/>
    </w:pPr>
  </w:style>
  <w:style w:type="character" w:styleId="Hyperlink">
    <w:name w:val="Hyperlink"/>
    <w:basedOn w:val="DefaultParagraphFont"/>
    <w:uiPriority w:val="99"/>
    <w:unhideWhenUsed/>
    <w:rsid w:val="00532AD5"/>
    <w:rPr>
      <w:color w:val="0000FF" w:themeColor="hyperlink"/>
      <w:u w:val="single"/>
    </w:rPr>
  </w:style>
  <w:style w:type="table" w:styleId="GridTable5Dark-Accent5">
    <w:name w:val="Grid Table 5 Dark Accent 5"/>
    <w:basedOn w:val="TableNormal"/>
    <w:uiPriority w:val="50"/>
    <w:rsid w:val="00E4138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3">
    <w:name w:val="Grid Table 5 Dark Accent 3"/>
    <w:basedOn w:val="TableNormal"/>
    <w:uiPriority w:val="50"/>
    <w:rsid w:val="00E4138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1">
    <w:name w:val="Grid Table 5 Dark Accent 1"/>
    <w:basedOn w:val="TableNormal"/>
    <w:uiPriority w:val="50"/>
    <w:rsid w:val="00E4138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styleId="UnresolvedMention">
    <w:name w:val="Unresolved Mention"/>
    <w:basedOn w:val="DefaultParagraphFont"/>
    <w:uiPriority w:val="99"/>
    <w:semiHidden/>
    <w:unhideWhenUsed/>
    <w:rsid w:val="00D007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ncbi.nlm.nih.gov/pmc/articles/PMC9030681/" TargetMode="External"/><Relationship Id="rId26" Type="http://schemas.openxmlformats.org/officeDocument/2006/relationships/hyperlink" Target="https://www.inter.ikea.com/en/this-is-inter-ikea-group/our-business-in-brief" TargetMode="External"/><Relationship Id="rId39" Type="http://schemas.openxmlformats.org/officeDocument/2006/relationships/hyperlink" Target="https://ecaef.org/stabilization-plan-in-argentina-2023-2027/" TargetMode="External"/><Relationship Id="rId21" Type="http://schemas.openxmlformats.org/officeDocument/2006/relationships/hyperlink" Target="https://doi.org/10.1108/IJOEM-07-2019-0517" TargetMode="External"/><Relationship Id="rId34" Type="http://schemas.openxmlformats.org/officeDocument/2006/relationships/hyperlink" Target="https://www.americasquarterly.org/article/milei-and-argentinas-two-speed-economy/" TargetMode="External"/><Relationship Id="rId42" Type="http://schemas.openxmlformats.org/officeDocument/2006/relationships/hyperlink" Target="https://finance.yahoo.com/news/inter-ikea-grants-franchise-rights-saci-falabela-peru-202825996--finance.html?guccounter=1&amp;guce_referrer=aHR0cHM6Ly93d3cuZ29vZ2xlLmNvbS8&amp;guce_referrer_sig=AQAAAIyTkP5sJYZuNAudQBKsrYNDFg9nA7G7s0AosPW9lEkHgwowLLkaJZM3hmBiYHi68k_3V1JqGQTWqd6t3otBsjBo5uWSvht47uKRaQsOaZw9odu-u-Fq6TwK3fFWlQGl3Tnb67ixSL8HgxJqGxgoiMoDKA6BlX0txDgHHNa-GGg9"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340756944_The_Uppsala_Model_of_internationalisation_and_beyond" TargetMode="External"/><Relationship Id="rId29" Type="http://schemas.openxmlformats.org/officeDocument/2006/relationships/hyperlink" Target="https://www.ingka.com/newsroom/strengthening-the-ikea-financial-services-offer-ingka-investments-to-acquire-full-ownership-of-ikano-bank/" TargetMode="External"/><Relationship Id="rId11" Type="http://schemas.openxmlformats.org/officeDocument/2006/relationships/image" Target="media/image4.png"/><Relationship Id="rId24" Type="http://schemas.openxmlformats.org/officeDocument/2006/relationships/hyperlink" Target="https://www.inter.ikea.com/en" TargetMode="External"/><Relationship Id="rId32" Type="http://schemas.openxmlformats.org/officeDocument/2006/relationships/hyperlink" Target="https://books.google.com/books?hl=en&amp;lr=&amp;id=daR5EAAAQBAJ&amp;oi=fnd&amp;pg=PT272&amp;dq=Dunning%27s+eclectic+paradigm&amp;ots=8mx8lwWi7x&amp;sig=wDAiYqs5xq9GsuDcGcfCWOqWEeU" TargetMode="External"/><Relationship Id="rId37" Type="http://schemas.openxmlformats.org/officeDocument/2006/relationships/hyperlink" Target="https://www.oecd.org/en/publications/oecd-economic-surveys-argentina-2025_27dd6e27-en/full-report/macroeconomic-developments-and-policy-challenges_8e6a0236.html" TargetMode="External"/><Relationship Id="rId40" Type="http://schemas.openxmlformats.org/officeDocument/2006/relationships/hyperlink" Target="https://medium.com/@mravishani7/cage-distance-framework-9ec963cfbd38" TargetMode="External"/><Relationship Id="rId45" Type="http://schemas.openxmlformats.org/officeDocument/2006/relationships/hyperlink" Target="https://www.theculturefactor.com/country-comparison-tool?countries=argentina%2Csweden" TargetMode="External"/><Relationship Id="rId5" Type="http://schemas.openxmlformats.org/officeDocument/2006/relationships/webSettings" Target="webSettings.xml"/><Relationship Id="rId15" Type="http://schemas.openxmlformats.org/officeDocument/2006/relationships/hyperlink" Target="https://www.researchgate.net/publication/396652071_Blueprints_of_Global_Success_IKEA%E2%80%99s_Strategic_Balancing_Act_Between_Standardization_and_Localization" TargetMode="External"/><Relationship Id="rId23" Type="http://schemas.openxmlformats.org/officeDocument/2006/relationships/hyperlink" Target="https://www.ikea.com/global/en/newsroom/retail/ikea-opens-new-store-in-santiago-chile-220810/" TargetMode="External"/><Relationship Id="rId28" Type="http://schemas.openxmlformats.org/officeDocument/2006/relationships/hyperlink" Target="https://www.ingka.com/newsroom/ingka-group-prioritises-affordability-and-long-term-business-resilience-recording-eur-41-8-billion-in-revenue/" TargetMode="External"/><Relationship Id="rId36" Type="http://schemas.openxmlformats.org/officeDocument/2006/relationships/hyperlink" Target="https://www.simplypsychology.org/hofstedes-cultural-dimensions-theory.html"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bti-project.org/de/reports/country-report/ARG" TargetMode="External"/><Relationship Id="rId31" Type="http://schemas.openxmlformats.org/officeDocument/2006/relationships/hyperlink" Target="https://www.itln.in/logistics/snowman-logistics-reports-921-revenue-growth-in-first-quarter-1360201" TargetMode="External"/><Relationship Id="rId44" Type="http://schemas.openxmlformats.org/officeDocument/2006/relationships/hyperlink" Target="https://www.state.gov/reports/2025-investment-climate-statements/argentin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duananews.com/en/nueva-normativa-simplifica-importaciones-en-argentina/" TargetMode="External"/><Relationship Id="rId22" Type="http://schemas.openxmlformats.org/officeDocument/2006/relationships/hyperlink" Target="https://www.focus-economics.com/countries/argentina/news/inflation/argentina-consumer-prices-14-07-2026-inflation-accelerates-in-june-from-may/" TargetMode="External"/><Relationship Id="rId27" Type="http://schemas.openxmlformats.org/officeDocument/2006/relationships/hyperlink" Target="https://www.ikea.com/global/en/newsroom/retail/ikea-meets-customers-on-a-new-continent-180517/" TargetMode="External"/><Relationship Id="rId30" Type="http://schemas.openxmlformats.org/officeDocument/2006/relationships/hyperlink" Target="https://www.ingka.com/annual-summary-and-sustainability-report/" TargetMode="External"/><Relationship Id="rId35" Type="http://schemas.openxmlformats.org/officeDocument/2006/relationships/hyperlink" Target="https://www.markhub24.com/post/ikea-s-flat-pack-design-as-cost-and-marketing-advantage-democratic-design-at-industrial-scale" TargetMode="External"/><Relationship Id="rId43" Type="http://schemas.openxmlformats.org/officeDocument/2006/relationships/hyperlink" Target="https://www.researchgate.net/publication/354022814_Platforms_of_Prosperity_The_Africa_Edition"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08/MD-05-2023-0734" TargetMode="External"/><Relationship Id="rId25" Type="http://schemas.openxmlformats.org/officeDocument/2006/relationships/hyperlink" Target="https://www.ikea.com/us/en/this-is-ikea/about-us/" TargetMode="External"/><Relationship Id="rId33" Type="http://schemas.openxmlformats.org/officeDocument/2006/relationships/hyperlink" Target="https://www.europarl.europa.eu/RegData/etudes/BRIE/2025/777955/EPRS_BRI(2025)777955_EN.pdf" TargetMode="External"/><Relationship Id="rId38" Type="http://schemas.openxmlformats.org/officeDocument/2006/relationships/hyperlink" Target="https://www.across-magazine.com/ingka-group-accelerates-omnichannel-development-in-france/" TargetMode="External"/><Relationship Id="rId46" Type="http://schemas.openxmlformats.org/officeDocument/2006/relationships/hyperlink" Target="https://www.vizionapi.com/blog/argentinas-economic-transformation-under-javier-milei-from-crisis-to-opportunity" TargetMode="External"/><Relationship Id="rId20" Type="http://schemas.openxmlformats.org/officeDocument/2006/relationships/hyperlink" Target="https://corporatefinanceinstitute.com/resources/management/eclectic-paradigm/" TargetMode="External"/><Relationship Id="rId41" Type="http://schemas.openxmlformats.org/officeDocument/2006/relationships/hyperlink" Target="https://www.reuters.com/article/business/ikea-pushes-into-south-america-with-partner-falabella-idUSKCN1IJ1GV/"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6A5CFE-15DA-417C-BACD-624522DDA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7646</Words>
  <Characters>43587</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2026-08-08T12:19:00Z</dcterms:created>
  <dcterms:modified xsi:type="dcterms:W3CDTF">2026-08-13T21:39:00Z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6891a104-1fae-48d1-ab8d-2bbb72d0030b</vt:lpwstr>
  </property>
</Properties>
</file>