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19DFAD8F" w:rsidR="000264A1" w:rsidRDefault="000264A1" w:rsidP="000264A1">
      <w:r>
        <w:fldChar w:fldCharType="begin"/>
      </w:r>
      <w:r>
        <w:instrText xml:space="preserve"> INCLUDEPICTURE "/Users/biancasanfilippo/Library/Group Containers/UBF8T346G9.ms/WebArchiveCopyPasteTempFiles/com.microsoft.Word/UWTSD-Logo.jpg" \* MERGEFORMATINET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95602A5" w14:textId="1473614C" w:rsidR="00722ABC" w:rsidRPr="000264A1" w:rsidRDefault="000264A1" w:rsidP="000264A1">
      <w:pPr>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14:paraId="2A88E453" w14:textId="77777777" w:rsidR="000264A1" w:rsidRDefault="000264A1" w:rsidP="000264A1">
      <w:pPr>
        <w:jc w:val="center"/>
        <w:rPr>
          <w:rStyle w:val="Strong"/>
          <w:rFonts w:ascii="Arial" w:hAnsi="Arial" w:cs="Arial"/>
          <w:color w:val="1D2125"/>
          <w:sz w:val="36"/>
          <w:szCs w:val="36"/>
        </w:rPr>
      </w:pPr>
    </w:p>
    <w:p w14:paraId="34AAAB14" w14:textId="77777777" w:rsidR="000264A1" w:rsidRDefault="000264A1" w:rsidP="000264A1">
      <w:pPr>
        <w:jc w:val="center"/>
        <w:rPr>
          <w:rStyle w:val="Strong"/>
          <w:rFonts w:ascii="Arial" w:hAnsi="Arial" w:cs="Arial"/>
          <w:color w:val="1D2125"/>
          <w:sz w:val="36"/>
          <w:szCs w:val="36"/>
        </w:rPr>
      </w:pPr>
    </w:p>
    <w:p w14:paraId="723DF23E" w14:textId="77777777" w:rsidR="000264A1" w:rsidRPr="000264A1" w:rsidRDefault="000264A1" w:rsidP="000264A1">
      <w:pPr>
        <w:jc w:val="center"/>
        <w:rPr>
          <w:rStyle w:val="Strong"/>
          <w:rFonts w:ascii="Arial" w:hAnsi="Arial" w:cs="Arial"/>
          <w:color w:val="1D2125"/>
          <w:sz w:val="36"/>
          <w:szCs w:val="36"/>
        </w:rPr>
      </w:pPr>
    </w:p>
    <w:p w14:paraId="25159706" w14:textId="77777777" w:rsidR="000264A1" w:rsidRPr="000264A1" w:rsidRDefault="000264A1" w:rsidP="000264A1">
      <w:pPr>
        <w:rPr>
          <w:rStyle w:val="Strong"/>
          <w:rFonts w:ascii="Arial" w:hAnsi="Arial" w:cs="Arial"/>
          <w:b w:val="0"/>
          <w:bCs w:val="0"/>
          <w:color w:val="1D2125"/>
          <w:sz w:val="32"/>
          <w:szCs w:val="32"/>
        </w:rPr>
      </w:pPr>
      <w:r w:rsidRPr="000264A1">
        <w:rPr>
          <w:rFonts w:ascii="Arial" w:hAnsi="Arial" w:cs="Arial"/>
          <w:b/>
          <w:bCs/>
          <w:color w:val="000000"/>
          <w:sz w:val="32"/>
          <w:szCs w:val="32"/>
        </w:rPr>
        <w:t>Component 2: Written Assignment (Report)</w:t>
      </w:r>
      <w:r w:rsidRPr="000264A1">
        <w:rPr>
          <w:rStyle w:val="Strong"/>
          <w:rFonts w:ascii="Arial" w:hAnsi="Arial" w:cs="Arial"/>
          <w:b w:val="0"/>
          <w:bCs w:val="0"/>
          <w:color w:val="1D2125"/>
          <w:sz w:val="32"/>
          <w:szCs w:val="32"/>
        </w:rPr>
        <w:t xml:space="preserve"> </w:t>
      </w:r>
    </w:p>
    <w:p w14:paraId="3DB89340" w14:textId="7FF8C9F1"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name</w:t>
      </w:r>
      <w:r w:rsidR="00206A90">
        <w:rPr>
          <w:rStyle w:val="Strong"/>
          <w:rFonts w:ascii="Arial" w:hAnsi="Arial" w:cs="Arial"/>
          <w:color w:val="1D2125"/>
          <w:sz w:val="32"/>
          <w:szCs w:val="32"/>
        </w:rPr>
        <w:t>: Sarolta Beri</w:t>
      </w:r>
    </w:p>
    <w:p w14:paraId="3F25C99D" w14:textId="3F7A5FFE" w:rsid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number</w:t>
      </w:r>
      <w:r w:rsidR="00206A90">
        <w:rPr>
          <w:rStyle w:val="Strong"/>
          <w:rFonts w:ascii="Arial" w:hAnsi="Arial" w:cs="Arial"/>
          <w:color w:val="1D2125"/>
          <w:sz w:val="32"/>
          <w:szCs w:val="32"/>
        </w:rPr>
        <w:t>: 2314149</w:t>
      </w:r>
    </w:p>
    <w:p w14:paraId="12A53AFD" w14:textId="77777777" w:rsidR="00206A90" w:rsidRPr="00206A90" w:rsidRDefault="00206A90" w:rsidP="00206A90">
      <w:pPr>
        <w:rPr>
          <w:rFonts w:ascii="Arial" w:hAnsi="Arial" w:cs="Arial"/>
          <w:b/>
          <w:bCs/>
          <w:color w:val="1D2125"/>
          <w:sz w:val="32"/>
          <w:szCs w:val="32"/>
        </w:rPr>
      </w:pPr>
      <w:r w:rsidRPr="00206A90">
        <w:rPr>
          <w:rFonts w:ascii="Arial" w:hAnsi="Arial" w:cs="Arial"/>
          <w:b/>
          <w:bCs/>
          <w:color w:val="1D2125"/>
          <w:sz w:val="32"/>
          <w:szCs w:val="32"/>
        </w:rPr>
        <w:t>ICD 11 Chapter 6: Mental, Behavioural or Neurodevelopmental Disorders- 6B05 Separation anxiety disorder</w:t>
      </w:r>
    </w:p>
    <w:p w14:paraId="1D60EDBE" w14:textId="67D4AB7D" w:rsidR="00206A90" w:rsidRPr="00206A90" w:rsidRDefault="00206A90" w:rsidP="000264A1">
      <w:pPr>
        <w:rPr>
          <w:rStyle w:val="Strong"/>
          <w:rFonts w:ascii="Arial" w:hAnsi="Arial" w:cs="Arial"/>
          <w:b w:val="0"/>
          <w:bCs w:val="0"/>
          <w:color w:val="1D2125"/>
          <w:sz w:val="32"/>
          <w:szCs w:val="32"/>
        </w:rPr>
      </w:pP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5805392B" w14:textId="77777777" w:rsidR="000264A1" w:rsidRDefault="000264A1" w:rsidP="000264A1">
      <w:pPr>
        <w:rPr>
          <w:rFonts w:ascii="Arial" w:hAnsi="Arial" w:cs="Arial"/>
          <w:sz w:val="36"/>
          <w:szCs w:val="36"/>
        </w:rPr>
      </w:pPr>
    </w:p>
    <w:p w14:paraId="4F5FBEC9" w14:textId="77777777" w:rsidR="000264A1" w:rsidRDefault="000264A1" w:rsidP="000264A1">
      <w:pPr>
        <w:rPr>
          <w:rFonts w:ascii="Arial" w:hAnsi="Arial" w:cs="Arial"/>
          <w:sz w:val="36"/>
          <w:szCs w:val="36"/>
        </w:rPr>
      </w:pPr>
    </w:p>
    <w:p w14:paraId="432AEE04" w14:textId="77777777" w:rsidR="000264A1" w:rsidRDefault="000264A1" w:rsidP="000264A1">
      <w:pPr>
        <w:rPr>
          <w:rFonts w:ascii="Arial" w:hAnsi="Arial" w:cs="Arial"/>
          <w:sz w:val="36"/>
          <w:szCs w:val="36"/>
        </w:rPr>
      </w:pPr>
    </w:p>
    <w:sdt>
      <w:sdtPr>
        <w:rPr>
          <w:rFonts w:asciiTheme="minorHAnsi" w:eastAsiaTheme="minorHAnsi" w:hAnsiTheme="minorHAnsi" w:cstheme="minorBidi"/>
          <w:b/>
          <w:bCs/>
          <w:color w:val="auto"/>
          <w:kern w:val="2"/>
          <w:sz w:val="24"/>
          <w:szCs w:val="24"/>
          <w:lang w:val="en-GB"/>
          <w14:ligatures w14:val="standardContextual"/>
        </w:rPr>
        <w:id w:val="442804442"/>
        <w:docPartObj>
          <w:docPartGallery w:val="Table of Contents"/>
          <w:docPartUnique/>
        </w:docPartObj>
      </w:sdtPr>
      <w:sdtEndPr>
        <w:rPr>
          <w:noProof/>
        </w:rPr>
      </w:sdtEndPr>
      <w:sdtContent>
        <w:p w14:paraId="13803527" w14:textId="357F63C3" w:rsidR="00AE79B0" w:rsidRDefault="00AE79B0">
          <w:pPr>
            <w:pStyle w:val="TOCHeading"/>
          </w:pPr>
          <w:r>
            <w:t>Table of Contents</w:t>
          </w:r>
        </w:p>
        <w:p w14:paraId="2E7F1342" w14:textId="22B32756" w:rsidR="007E2358" w:rsidRDefault="00AE79B0">
          <w:pPr>
            <w:pStyle w:val="TOC1"/>
            <w:tabs>
              <w:tab w:val="left" w:pos="480"/>
              <w:tab w:val="right" w:leader="dot" w:pos="9016"/>
            </w:tabs>
            <w:rPr>
              <w:rFonts w:eastAsiaTheme="minorEastAsia"/>
              <w:noProof/>
              <w:lang w:eastAsia="en-GB"/>
            </w:rPr>
          </w:pPr>
          <w:r>
            <w:fldChar w:fldCharType="begin"/>
          </w:r>
          <w:r>
            <w:instrText xml:space="preserve"> TOC \o "1-3" \h \z \u </w:instrText>
          </w:r>
          <w:r>
            <w:fldChar w:fldCharType="separate"/>
          </w:r>
          <w:hyperlink w:anchor="_Toc216455695" w:history="1">
            <w:r w:rsidR="007E2358" w:rsidRPr="0064300A">
              <w:rPr>
                <w:rStyle w:val="Hyperlink"/>
                <w:bCs/>
                <w:noProof/>
              </w:rPr>
              <w:t>1.</w:t>
            </w:r>
            <w:r w:rsidR="007E2358">
              <w:rPr>
                <w:rFonts w:eastAsiaTheme="minorEastAsia"/>
                <w:noProof/>
                <w:lang w:eastAsia="en-GB"/>
              </w:rPr>
              <w:tab/>
            </w:r>
            <w:r w:rsidR="007E2358" w:rsidRPr="0064300A">
              <w:rPr>
                <w:rStyle w:val="Hyperlink"/>
                <w:rFonts w:ascii="Arial" w:hAnsi="Arial" w:cs="Arial"/>
                <w:b/>
                <w:bCs/>
                <w:noProof/>
              </w:rPr>
              <w:t>Introduction</w:t>
            </w:r>
            <w:r w:rsidR="007E2358">
              <w:rPr>
                <w:noProof/>
                <w:webHidden/>
              </w:rPr>
              <w:tab/>
            </w:r>
            <w:r w:rsidR="007E2358">
              <w:rPr>
                <w:noProof/>
                <w:webHidden/>
              </w:rPr>
              <w:fldChar w:fldCharType="begin"/>
            </w:r>
            <w:r w:rsidR="007E2358">
              <w:rPr>
                <w:noProof/>
                <w:webHidden/>
              </w:rPr>
              <w:instrText xml:space="preserve"> PAGEREF _Toc216455695 \h </w:instrText>
            </w:r>
            <w:r w:rsidR="007E2358">
              <w:rPr>
                <w:noProof/>
                <w:webHidden/>
              </w:rPr>
            </w:r>
            <w:r w:rsidR="007E2358">
              <w:rPr>
                <w:noProof/>
                <w:webHidden/>
              </w:rPr>
              <w:fldChar w:fldCharType="separate"/>
            </w:r>
            <w:r w:rsidR="007E2358">
              <w:rPr>
                <w:noProof/>
                <w:webHidden/>
              </w:rPr>
              <w:t>3</w:t>
            </w:r>
            <w:r w:rsidR="007E2358">
              <w:rPr>
                <w:noProof/>
                <w:webHidden/>
              </w:rPr>
              <w:fldChar w:fldCharType="end"/>
            </w:r>
          </w:hyperlink>
        </w:p>
        <w:p w14:paraId="5C12A14B" w14:textId="5EAD592A" w:rsidR="007E2358" w:rsidRDefault="007E2358">
          <w:pPr>
            <w:pStyle w:val="TOC1"/>
            <w:tabs>
              <w:tab w:val="left" w:pos="480"/>
              <w:tab w:val="right" w:leader="dot" w:pos="9016"/>
            </w:tabs>
            <w:rPr>
              <w:rFonts w:eastAsiaTheme="minorEastAsia"/>
              <w:noProof/>
              <w:lang w:eastAsia="en-GB"/>
            </w:rPr>
          </w:pPr>
          <w:hyperlink w:anchor="_Toc216455696" w:history="1">
            <w:r w:rsidRPr="0064300A">
              <w:rPr>
                <w:rStyle w:val="Hyperlink"/>
                <w:bCs/>
                <w:noProof/>
              </w:rPr>
              <w:t>2.</w:t>
            </w:r>
            <w:r>
              <w:rPr>
                <w:rFonts w:eastAsiaTheme="minorEastAsia"/>
                <w:noProof/>
                <w:lang w:eastAsia="en-GB"/>
              </w:rPr>
              <w:tab/>
            </w:r>
            <w:r w:rsidRPr="0064300A">
              <w:rPr>
                <w:rStyle w:val="Hyperlink"/>
                <w:rFonts w:ascii="Arial" w:hAnsi="Arial" w:cs="Arial"/>
                <w:b/>
                <w:bCs/>
                <w:noProof/>
              </w:rPr>
              <w:t>Classification and Diagnosis</w:t>
            </w:r>
            <w:r>
              <w:rPr>
                <w:noProof/>
                <w:webHidden/>
              </w:rPr>
              <w:tab/>
            </w:r>
            <w:r>
              <w:rPr>
                <w:noProof/>
                <w:webHidden/>
              </w:rPr>
              <w:fldChar w:fldCharType="begin"/>
            </w:r>
            <w:r>
              <w:rPr>
                <w:noProof/>
                <w:webHidden/>
              </w:rPr>
              <w:instrText xml:space="preserve"> PAGEREF _Toc216455696 \h </w:instrText>
            </w:r>
            <w:r>
              <w:rPr>
                <w:noProof/>
                <w:webHidden/>
              </w:rPr>
            </w:r>
            <w:r>
              <w:rPr>
                <w:noProof/>
                <w:webHidden/>
              </w:rPr>
              <w:fldChar w:fldCharType="separate"/>
            </w:r>
            <w:r>
              <w:rPr>
                <w:noProof/>
                <w:webHidden/>
              </w:rPr>
              <w:t>3</w:t>
            </w:r>
            <w:r>
              <w:rPr>
                <w:noProof/>
                <w:webHidden/>
              </w:rPr>
              <w:fldChar w:fldCharType="end"/>
            </w:r>
          </w:hyperlink>
        </w:p>
        <w:p w14:paraId="51C29DAD" w14:textId="030A8376" w:rsidR="007E2358" w:rsidRDefault="007E2358">
          <w:pPr>
            <w:pStyle w:val="TOC2"/>
            <w:tabs>
              <w:tab w:val="left" w:pos="960"/>
              <w:tab w:val="right" w:leader="dot" w:pos="9016"/>
            </w:tabs>
            <w:rPr>
              <w:rFonts w:eastAsiaTheme="minorEastAsia"/>
              <w:noProof/>
              <w:lang w:eastAsia="en-GB"/>
            </w:rPr>
          </w:pPr>
          <w:hyperlink w:anchor="_Toc216455697" w:history="1">
            <w:r w:rsidRPr="0064300A">
              <w:rPr>
                <w:rStyle w:val="Hyperlink"/>
                <w:rFonts w:ascii="Arial" w:hAnsi="Arial" w:cs="Arial"/>
                <w:b/>
                <w:bCs/>
                <w:noProof/>
              </w:rPr>
              <w:t>2.1</w:t>
            </w:r>
            <w:r>
              <w:rPr>
                <w:rFonts w:eastAsiaTheme="minorEastAsia"/>
                <w:noProof/>
                <w:lang w:eastAsia="en-GB"/>
              </w:rPr>
              <w:tab/>
            </w:r>
            <w:r w:rsidRPr="0064300A">
              <w:rPr>
                <w:rStyle w:val="Hyperlink"/>
                <w:rFonts w:ascii="Arial" w:hAnsi="Arial" w:cs="Arial"/>
                <w:b/>
                <w:bCs/>
                <w:noProof/>
              </w:rPr>
              <w:t>Classification of Separation Anxiety Disorder in ICD-11</w:t>
            </w:r>
            <w:r>
              <w:rPr>
                <w:noProof/>
                <w:webHidden/>
              </w:rPr>
              <w:tab/>
            </w:r>
            <w:r>
              <w:rPr>
                <w:noProof/>
                <w:webHidden/>
              </w:rPr>
              <w:fldChar w:fldCharType="begin"/>
            </w:r>
            <w:r>
              <w:rPr>
                <w:noProof/>
                <w:webHidden/>
              </w:rPr>
              <w:instrText xml:space="preserve"> PAGEREF _Toc216455697 \h </w:instrText>
            </w:r>
            <w:r>
              <w:rPr>
                <w:noProof/>
                <w:webHidden/>
              </w:rPr>
            </w:r>
            <w:r>
              <w:rPr>
                <w:noProof/>
                <w:webHidden/>
              </w:rPr>
              <w:fldChar w:fldCharType="separate"/>
            </w:r>
            <w:r>
              <w:rPr>
                <w:noProof/>
                <w:webHidden/>
              </w:rPr>
              <w:t>3</w:t>
            </w:r>
            <w:r>
              <w:rPr>
                <w:noProof/>
                <w:webHidden/>
              </w:rPr>
              <w:fldChar w:fldCharType="end"/>
            </w:r>
          </w:hyperlink>
        </w:p>
        <w:p w14:paraId="3227D11D" w14:textId="5A9BF729" w:rsidR="007E2358" w:rsidRDefault="007E2358">
          <w:pPr>
            <w:pStyle w:val="TOC2"/>
            <w:tabs>
              <w:tab w:val="right" w:leader="dot" w:pos="9016"/>
            </w:tabs>
            <w:rPr>
              <w:rFonts w:eastAsiaTheme="minorEastAsia"/>
              <w:noProof/>
              <w:lang w:eastAsia="en-GB"/>
            </w:rPr>
          </w:pPr>
          <w:hyperlink w:anchor="_Toc216455698" w:history="1">
            <w:r w:rsidRPr="0064300A">
              <w:rPr>
                <w:rStyle w:val="Hyperlink"/>
                <w:rFonts w:ascii="Arial" w:hAnsi="Arial" w:cs="Arial"/>
                <w:b/>
                <w:bCs/>
                <w:noProof/>
              </w:rPr>
              <w:t>2.2 Diagnostic Criteria and Assessment Process</w:t>
            </w:r>
            <w:r>
              <w:rPr>
                <w:noProof/>
                <w:webHidden/>
              </w:rPr>
              <w:tab/>
            </w:r>
            <w:r>
              <w:rPr>
                <w:noProof/>
                <w:webHidden/>
              </w:rPr>
              <w:fldChar w:fldCharType="begin"/>
            </w:r>
            <w:r>
              <w:rPr>
                <w:noProof/>
                <w:webHidden/>
              </w:rPr>
              <w:instrText xml:space="preserve"> PAGEREF _Toc216455698 \h </w:instrText>
            </w:r>
            <w:r>
              <w:rPr>
                <w:noProof/>
                <w:webHidden/>
              </w:rPr>
            </w:r>
            <w:r>
              <w:rPr>
                <w:noProof/>
                <w:webHidden/>
              </w:rPr>
              <w:fldChar w:fldCharType="separate"/>
            </w:r>
            <w:r>
              <w:rPr>
                <w:noProof/>
                <w:webHidden/>
              </w:rPr>
              <w:t>3</w:t>
            </w:r>
            <w:r>
              <w:rPr>
                <w:noProof/>
                <w:webHidden/>
              </w:rPr>
              <w:fldChar w:fldCharType="end"/>
            </w:r>
          </w:hyperlink>
        </w:p>
        <w:p w14:paraId="3C8E0227" w14:textId="55AD11CE" w:rsidR="007E2358" w:rsidRDefault="007E2358">
          <w:pPr>
            <w:pStyle w:val="TOC2"/>
            <w:tabs>
              <w:tab w:val="right" w:leader="dot" w:pos="9016"/>
            </w:tabs>
            <w:rPr>
              <w:rFonts w:eastAsiaTheme="minorEastAsia"/>
              <w:noProof/>
              <w:lang w:eastAsia="en-GB"/>
            </w:rPr>
          </w:pPr>
          <w:hyperlink w:anchor="_Toc216455699" w:history="1">
            <w:r w:rsidRPr="0064300A">
              <w:rPr>
                <w:rStyle w:val="Hyperlink"/>
                <w:rFonts w:ascii="Arial" w:hAnsi="Arial" w:cs="Arial"/>
                <w:b/>
                <w:bCs/>
                <w:noProof/>
              </w:rPr>
              <w:t>2.3 Language Used in the Classification Systems</w:t>
            </w:r>
            <w:r>
              <w:rPr>
                <w:noProof/>
                <w:webHidden/>
              </w:rPr>
              <w:tab/>
            </w:r>
            <w:r>
              <w:rPr>
                <w:noProof/>
                <w:webHidden/>
              </w:rPr>
              <w:fldChar w:fldCharType="begin"/>
            </w:r>
            <w:r>
              <w:rPr>
                <w:noProof/>
                <w:webHidden/>
              </w:rPr>
              <w:instrText xml:space="preserve"> PAGEREF _Toc216455699 \h </w:instrText>
            </w:r>
            <w:r>
              <w:rPr>
                <w:noProof/>
                <w:webHidden/>
              </w:rPr>
            </w:r>
            <w:r>
              <w:rPr>
                <w:noProof/>
                <w:webHidden/>
              </w:rPr>
              <w:fldChar w:fldCharType="separate"/>
            </w:r>
            <w:r>
              <w:rPr>
                <w:noProof/>
                <w:webHidden/>
              </w:rPr>
              <w:t>4</w:t>
            </w:r>
            <w:r>
              <w:rPr>
                <w:noProof/>
                <w:webHidden/>
              </w:rPr>
              <w:fldChar w:fldCharType="end"/>
            </w:r>
          </w:hyperlink>
        </w:p>
        <w:p w14:paraId="2EF569FC" w14:textId="30E78E19" w:rsidR="007E2358" w:rsidRDefault="007E2358">
          <w:pPr>
            <w:pStyle w:val="TOC1"/>
            <w:tabs>
              <w:tab w:val="left" w:pos="480"/>
              <w:tab w:val="right" w:leader="dot" w:pos="9016"/>
            </w:tabs>
            <w:rPr>
              <w:rFonts w:eastAsiaTheme="minorEastAsia"/>
              <w:noProof/>
              <w:lang w:eastAsia="en-GB"/>
            </w:rPr>
          </w:pPr>
          <w:hyperlink w:anchor="_Toc216455700" w:history="1">
            <w:r w:rsidRPr="0064300A">
              <w:rPr>
                <w:rStyle w:val="Hyperlink"/>
                <w:bCs/>
                <w:noProof/>
              </w:rPr>
              <w:t>3.</w:t>
            </w:r>
            <w:r>
              <w:rPr>
                <w:rFonts w:eastAsiaTheme="minorEastAsia"/>
                <w:noProof/>
                <w:lang w:eastAsia="en-GB"/>
              </w:rPr>
              <w:tab/>
            </w:r>
            <w:r w:rsidRPr="0064300A">
              <w:rPr>
                <w:rStyle w:val="Hyperlink"/>
                <w:rFonts w:ascii="Arial" w:hAnsi="Arial" w:cs="Arial"/>
                <w:b/>
                <w:bCs/>
                <w:noProof/>
              </w:rPr>
              <w:t>Treatment and Rehabilitation</w:t>
            </w:r>
            <w:r>
              <w:rPr>
                <w:noProof/>
                <w:webHidden/>
              </w:rPr>
              <w:tab/>
            </w:r>
            <w:r>
              <w:rPr>
                <w:noProof/>
                <w:webHidden/>
              </w:rPr>
              <w:fldChar w:fldCharType="begin"/>
            </w:r>
            <w:r>
              <w:rPr>
                <w:noProof/>
                <w:webHidden/>
              </w:rPr>
              <w:instrText xml:space="preserve"> PAGEREF _Toc216455700 \h </w:instrText>
            </w:r>
            <w:r>
              <w:rPr>
                <w:noProof/>
                <w:webHidden/>
              </w:rPr>
            </w:r>
            <w:r>
              <w:rPr>
                <w:noProof/>
                <w:webHidden/>
              </w:rPr>
              <w:fldChar w:fldCharType="separate"/>
            </w:r>
            <w:r>
              <w:rPr>
                <w:noProof/>
                <w:webHidden/>
              </w:rPr>
              <w:t>5</w:t>
            </w:r>
            <w:r>
              <w:rPr>
                <w:noProof/>
                <w:webHidden/>
              </w:rPr>
              <w:fldChar w:fldCharType="end"/>
            </w:r>
          </w:hyperlink>
        </w:p>
        <w:p w14:paraId="17EFBDE5" w14:textId="31523215" w:rsidR="007E2358" w:rsidRDefault="007E2358">
          <w:pPr>
            <w:pStyle w:val="TOC2"/>
            <w:tabs>
              <w:tab w:val="right" w:leader="dot" w:pos="9016"/>
            </w:tabs>
            <w:rPr>
              <w:rFonts w:eastAsiaTheme="minorEastAsia"/>
              <w:noProof/>
              <w:lang w:eastAsia="en-GB"/>
            </w:rPr>
          </w:pPr>
          <w:hyperlink w:anchor="_Toc216455701" w:history="1">
            <w:r w:rsidRPr="0064300A">
              <w:rPr>
                <w:rStyle w:val="Hyperlink"/>
                <w:rFonts w:ascii="Arial" w:hAnsi="Arial" w:cs="Arial"/>
                <w:b/>
                <w:bCs/>
                <w:noProof/>
              </w:rPr>
              <w:t>3.1 Critical Evaluation of Standard Treatment Approaches</w:t>
            </w:r>
            <w:r>
              <w:rPr>
                <w:noProof/>
                <w:webHidden/>
              </w:rPr>
              <w:tab/>
            </w:r>
            <w:r>
              <w:rPr>
                <w:noProof/>
                <w:webHidden/>
              </w:rPr>
              <w:fldChar w:fldCharType="begin"/>
            </w:r>
            <w:r>
              <w:rPr>
                <w:noProof/>
                <w:webHidden/>
              </w:rPr>
              <w:instrText xml:space="preserve"> PAGEREF _Toc216455701 \h </w:instrText>
            </w:r>
            <w:r>
              <w:rPr>
                <w:noProof/>
                <w:webHidden/>
              </w:rPr>
            </w:r>
            <w:r>
              <w:rPr>
                <w:noProof/>
                <w:webHidden/>
              </w:rPr>
              <w:fldChar w:fldCharType="separate"/>
            </w:r>
            <w:r>
              <w:rPr>
                <w:noProof/>
                <w:webHidden/>
              </w:rPr>
              <w:t>5</w:t>
            </w:r>
            <w:r>
              <w:rPr>
                <w:noProof/>
                <w:webHidden/>
              </w:rPr>
              <w:fldChar w:fldCharType="end"/>
            </w:r>
          </w:hyperlink>
        </w:p>
        <w:p w14:paraId="6354A965" w14:textId="0372D258" w:rsidR="007E2358" w:rsidRDefault="007E2358">
          <w:pPr>
            <w:pStyle w:val="TOC2"/>
            <w:tabs>
              <w:tab w:val="right" w:leader="dot" w:pos="9016"/>
            </w:tabs>
            <w:rPr>
              <w:rFonts w:eastAsiaTheme="minorEastAsia"/>
              <w:noProof/>
              <w:lang w:eastAsia="en-GB"/>
            </w:rPr>
          </w:pPr>
          <w:hyperlink w:anchor="_Toc216455702" w:history="1">
            <w:r w:rsidRPr="0064300A">
              <w:rPr>
                <w:rStyle w:val="Hyperlink"/>
                <w:rFonts w:ascii="Arial" w:hAnsi="Arial" w:cs="Arial"/>
                <w:b/>
                <w:bCs/>
                <w:noProof/>
              </w:rPr>
              <w:t>3.2 Rehabilitation Measures in ICD-11 and Contemporary Practice</w:t>
            </w:r>
            <w:r>
              <w:rPr>
                <w:noProof/>
                <w:webHidden/>
              </w:rPr>
              <w:tab/>
            </w:r>
            <w:r>
              <w:rPr>
                <w:noProof/>
                <w:webHidden/>
              </w:rPr>
              <w:fldChar w:fldCharType="begin"/>
            </w:r>
            <w:r>
              <w:rPr>
                <w:noProof/>
                <w:webHidden/>
              </w:rPr>
              <w:instrText xml:space="preserve"> PAGEREF _Toc216455702 \h </w:instrText>
            </w:r>
            <w:r>
              <w:rPr>
                <w:noProof/>
                <w:webHidden/>
              </w:rPr>
            </w:r>
            <w:r>
              <w:rPr>
                <w:noProof/>
                <w:webHidden/>
              </w:rPr>
              <w:fldChar w:fldCharType="separate"/>
            </w:r>
            <w:r>
              <w:rPr>
                <w:noProof/>
                <w:webHidden/>
              </w:rPr>
              <w:t>5</w:t>
            </w:r>
            <w:r>
              <w:rPr>
                <w:noProof/>
                <w:webHidden/>
              </w:rPr>
              <w:fldChar w:fldCharType="end"/>
            </w:r>
          </w:hyperlink>
        </w:p>
        <w:p w14:paraId="41F3722A" w14:textId="714618A8" w:rsidR="007E2358" w:rsidRDefault="007E2358">
          <w:pPr>
            <w:pStyle w:val="TOC2"/>
            <w:tabs>
              <w:tab w:val="right" w:leader="dot" w:pos="9016"/>
            </w:tabs>
            <w:rPr>
              <w:rFonts w:eastAsiaTheme="minorEastAsia"/>
              <w:noProof/>
              <w:lang w:eastAsia="en-GB"/>
            </w:rPr>
          </w:pPr>
          <w:hyperlink w:anchor="_Toc216455703" w:history="1">
            <w:r w:rsidRPr="0064300A">
              <w:rPr>
                <w:rStyle w:val="Hyperlink"/>
                <w:rFonts w:ascii="Arial" w:eastAsia="Times New Roman" w:hAnsi="Arial" w:cs="Arial"/>
                <w:b/>
                <w:bCs/>
                <w:noProof/>
              </w:rPr>
              <w:t>3.3 Effectiveness and Limitations of Treatment and Rehabilitation</w:t>
            </w:r>
            <w:r w:rsidRPr="0064300A">
              <w:rPr>
                <w:rStyle w:val="Hyperlink"/>
                <w:rFonts w:eastAsia="Times New Roman"/>
                <w:noProof/>
              </w:rPr>
              <w:t xml:space="preserve"> </w:t>
            </w:r>
            <w:r w:rsidRPr="0064300A">
              <w:rPr>
                <w:rStyle w:val="Hyperlink"/>
                <w:rFonts w:ascii="Arial" w:eastAsia="Times New Roman" w:hAnsi="Arial" w:cs="Arial"/>
                <w:b/>
                <w:bCs/>
                <w:noProof/>
              </w:rPr>
              <w:t>Approaches</w:t>
            </w:r>
            <w:r>
              <w:rPr>
                <w:noProof/>
                <w:webHidden/>
              </w:rPr>
              <w:tab/>
            </w:r>
            <w:r>
              <w:rPr>
                <w:noProof/>
                <w:webHidden/>
              </w:rPr>
              <w:fldChar w:fldCharType="begin"/>
            </w:r>
            <w:r>
              <w:rPr>
                <w:noProof/>
                <w:webHidden/>
              </w:rPr>
              <w:instrText xml:space="preserve"> PAGEREF _Toc216455703 \h </w:instrText>
            </w:r>
            <w:r>
              <w:rPr>
                <w:noProof/>
                <w:webHidden/>
              </w:rPr>
            </w:r>
            <w:r>
              <w:rPr>
                <w:noProof/>
                <w:webHidden/>
              </w:rPr>
              <w:fldChar w:fldCharType="separate"/>
            </w:r>
            <w:r>
              <w:rPr>
                <w:noProof/>
                <w:webHidden/>
              </w:rPr>
              <w:t>6</w:t>
            </w:r>
            <w:r>
              <w:rPr>
                <w:noProof/>
                <w:webHidden/>
              </w:rPr>
              <w:fldChar w:fldCharType="end"/>
            </w:r>
          </w:hyperlink>
        </w:p>
        <w:p w14:paraId="336F935E" w14:textId="36EDA860" w:rsidR="007E2358" w:rsidRDefault="007E2358">
          <w:pPr>
            <w:pStyle w:val="TOC1"/>
            <w:tabs>
              <w:tab w:val="left" w:pos="480"/>
              <w:tab w:val="right" w:leader="dot" w:pos="9016"/>
            </w:tabs>
            <w:rPr>
              <w:rFonts w:eastAsiaTheme="minorEastAsia"/>
              <w:noProof/>
              <w:lang w:eastAsia="en-GB"/>
            </w:rPr>
          </w:pPr>
          <w:hyperlink w:anchor="_Toc216455704" w:history="1">
            <w:r w:rsidRPr="0064300A">
              <w:rPr>
                <w:rStyle w:val="Hyperlink"/>
                <w:bCs/>
                <w:noProof/>
              </w:rPr>
              <w:t>4.</w:t>
            </w:r>
            <w:r>
              <w:rPr>
                <w:rFonts w:eastAsiaTheme="minorEastAsia"/>
                <w:noProof/>
                <w:lang w:eastAsia="en-GB"/>
              </w:rPr>
              <w:tab/>
            </w:r>
            <w:r w:rsidRPr="0064300A">
              <w:rPr>
                <w:rStyle w:val="Hyperlink"/>
                <w:rFonts w:ascii="Arial" w:hAnsi="Arial" w:cs="Arial"/>
                <w:b/>
                <w:bCs/>
                <w:noProof/>
              </w:rPr>
              <w:t>Current Debates and Emerging Issues</w:t>
            </w:r>
            <w:r>
              <w:rPr>
                <w:noProof/>
                <w:webHidden/>
              </w:rPr>
              <w:tab/>
            </w:r>
            <w:r>
              <w:rPr>
                <w:noProof/>
                <w:webHidden/>
              </w:rPr>
              <w:fldChar w:fldCharType="begin"/>
            </w:r>
            <w:r>
              <w:rPr>
                <w:noProof/>
                <w:webHidden/>
              </w:rPr>
              <w:instrText xml:space="preserve"> PAGEREF _Toc216455704 \h </w:instrText>
            </w:r>
            <w:r>
              <w:rPr>
                <w:noProof/>
                <w:webHidden/>
              </w:rPr>
            </w:r>
            <w:r>
              <w:rPr>
                <w:noProof/>
                <w:webHidden/>
              </w:rPr>
              <w:fldChar w:fldCharType="separate"/>
            </w:r>
            <w:r>
              <w:rPr>
                <w:noProof/>
                <w:webHidden/>
              </w:rPr>
              <w:t>7</w:t>
            </w:r>
            <w:r>
              <w:rPr>
                <w:noProof/>
                <w:webHidden/>
              </w:rPr>
              <w:fldChar w:fldCharType="end"/>
            </w:r>
          </w:hyperlink>
        </w:p>
        <w:p w14:paraId="5A755C62" w14:textId="6E0E8135" w:rsidR="007E2358" w:rsidRDefault="007E2358">
          <w:pPr>
            <w:pStyle w:val="TOC1"/>
            <w:tabs>
              <w:tab w:val="right" w:leader="dot" w:pos="9016"/>
            </w:tabs>
            <w:rPr>
              <w:rFonts w:eastAsiaTheme="minorEastAsia"/>
              <w:noProof/>
              <w:lang w:eastAsia="en-GB"/>
            </w:rPr>
          </w:pPr>
          <w:hyperlink w:anchor="_Toc216455705" w:history="1">
            <w:r w:rsidRPr="0064300A">
              <w:rPr>
                <w:rStyle w:val="Hyperlink"/>
                <w:rFonts w:ascii="Arial" w:hAnsi="Arial" w:cs="Arial"/>
                <w:b/>
                <w:bCs/>
                <w:noProof/>
              </w:rPr>
              <w:t>4.1 Ongoing Debates Surrounding Classification and Treatment</w:t>
            </w:r>
            <w:r>
              <w:rPr>
                <w:noProof/>
                <w:webHidden/>
              </w:rPr>
              <w:tab/>
            </w:r>
            <w:r>
              <w:rPr>
                <w:noProof/>
                <w:webHidden/>
              </w:rPr>
              <w:fldChar w:fldCharType="begin"/>
            </w:r>
            <w:r>
              <w:rPr>
                <w:noProof/>
                <w:webHidden/>
              </w:rPr>
              <w:instrText xml:space="preserve"> PAGEREF _Toc216455705 \h </w:instrText>
            </w:r>
            <w:r>
              <w:rPr>
                <w:noProof/>
                <w:webHidden/>
              </w:rPr>
            </w:r>
            <w:r>
              <w:rPr>
                <w:noProof/>
                <w:webHidden/>
              </w:rPr>
              <w:fldChar w:fldCharType="separate"/>
            </w:r>
            <w:r>
              <w:rPr>
                <w:noProof/>
                <w:webHidden/>
              </w:rPr>
              <w:t>7</w:t>
            </w:r>
            <w:r>
              <w:rPr>
                <w:noProof/>
                <w:webHidden/>
              </w:rPr>
              <w:fldChar w:fldCharType="end"/>
            </w:r>
          </w:hyperlink>
        </w:p>
        <w:p w14:paraId="6365F045" w14:textId="6AA495BC" w:rsidR="007E2358" w:rsidRDefault="007E2358">
          <w:pPr>
            <w:pStyle w:val="TOC1"/>
            <w:tabs>
              <w:tab w:val="right" w:leader="dot" w:pos="9016"/>
            </w:tabs>
            <w:rPr>
              <w:rFonts w:eastAsiaTheme="minorEastAsia"/>
              <w:noProof/>
              <w:lang w:eastAsia="en-GB"/>
            </w:rPr>
          </w:pPr>
          <w:hyperlink w:anchor="_Toc216455706" w:history="1">
            <w:r w:rsidRPr="0064300A">
              <w:rPr>
                <w:rStyle w:val="Hyperlink"/>
                <w:rFonts w:ascii="Arial" w:hAnsi="Arial" w:cs="Arial"/>
                <w:b/>
                <w:bCs/>
                <w:noProof/>
              </w:rPr>
              <w:t>4.2 Neurodivergence and Reclassification Issues</w:t>
            </w:r>
            <w:r>
              <w:rPr>
                <w:noProof/>
                <w:webHidden/>
              </w:rPr>
              <w:tab/>
            </w:r>
            <w:r>
              <w:rPr>
                <w:noProof/>
                <w:webHidden/>
              </w:rPr>
              <w:fldChar w:fldCharType="begin"/>
            </w:r>
            <w:r>
              <w:rPr>
                <w:noProof/>
                <w:webHidden/>
              </w:rPr>
              <w:instrText xml:space="preserve"> PAGEREF _Toc216455706 \h </w:instrText>
            </w:r>
            <w:r>
              <w:rPr>
                <w:noProof/>
                <w:webHidden/>
              </w:rPr>
            </w:r>
            <w:r>
              <w:rPr>
                <w:noProof/>
                <w:webHidden/>
              </w:rPr>
              <w:fldChar w:fldCharType="separate"/>
            </w:r>
            <w:r>
              <w:rPr>
                <w:noProof/>
                <w:webHidden/>
              </w:rPr>
              <w:t>7</w:t>
            </w:r>
            <w:r>
              <w:rPr>
                <w:noProof/>
                <w:webHidden/>
              </w:rPr>
              <w:fldChar w:fldCharType="end"/>
            </w:r>
          </w:hyperlink>
        </w:p>
        <w:p w14:paraId="58BF6AA5" w14:textId="7B95332A" w:rsidR="007E2358" w:rsidRDefault="007E2358">
          <w:pPr>
            <w:pStyle w:val="TOC1"/>
            <w:tabs>
              <w:tab w:val="right" w:leader="dot" w:pos="9016"/>
            </w:tabs>
            <w:rPr>
              <w:rFonts w:eastAsiaTheme="minorEastAsia"/>
              <w:noProof/>
              <w:lang w:eastAsia="en-GB"/>
            </w:rPr>
          </w:pPr>
          <w:hyperlink w:anchor="_Toc216455707" w:history="1">
            <w:r w:rsidRPr="0064300A">
              <w:rPr>
                <w:rStyle w:val="Hyperlink"/>
                <w:rFonts w:ascii="Arial" w:hAnsi="Arial" w:cs="Arial"/>
                <w:b/>
                <w:bCs/>
                <w:noProof/>
              </w:rPr>
              <w:t>4.3 Impact of Debates on Practice and Policy</w:t>
            </w:r>
            <w:r>
              <w:rPr>
                <w:noProof/>
                <w:webHidden/>
              </w:rPr>
              <w:tab/>
            </w:r>
            <w:r>
              <w:rPr>
                <w:noProof/>
                <w:webHidden/>
              </w:rPr>
              <w:fldChar w:fldCharType="begin"/>
            </w:r>
            <w:r>
              <w:rPr>
                <w:noProof/>
                <w:webHidden/>
              </w:rPr>
              <w:instrText xml:space="preserve"> PAGEREF _Toc216455707 \h </w:instrText>
            </w:r>
            <w:r>
              <w:rPr>
                <w:noProof/>
                <w:webHidden/>
              </w:rPr>
            </w:r>
            <w:r>
              <w:rPr>
                <w:noProof/>
                <w:webHidden/>
              </w:rPr>
              <w:fldChar w:fldCharType="separate"/>
            </w:r>
            <w:r>
              <w:rPr>
                <w:noProof/>
                <w:webHidden/>
              </w:rPr>
              <w:t>8</w:t>
            </w:r>
            <w:r>
              <w:rPr>
                <w:noProof/>
                <w:webHidden/>
              </w:rPr>
              <w:fldChar w:fldCharType="end"/>
            </w:r>
          </w:hyperlink>
        </w:p>
        <w:p w14:paraId="426B2524" w14:textId="07A4C659" w:rsidR="007E2358" w:rsidRDefault="007E2358">
          <w:pPr>
            <w:pStyle w:val="TOC1"/>
            <w:tabs>
              <w:tab w:val="left" w:pos="480"/>
              <w:tab w:val="right" w:leader="dot" w:pos="9016"/>
            </w:tabs>
            <w:rPr>
              <w:rFonts w:eastAsiaTheme="minorEastAsia"/>
              <w:noProof/>
              <w:lang w:eastAsia="en-GB"/>
            </w:rPr>
          </w:pPr>
          <w:hyperlink w:anchor="_Toc216455708" w:history="1">
            <w:r w:rsidRPr="0064300A">
              <w:rPr>
                <w:rStyle w:val="Hyperlink"/>
                <w:bCs/>
                <w:noProof/>
              </w:rPr>
              <w:t>5.</w:t>
            </w:r>
            <w:r>
              <w:rPr>
                <w:rFonts w:eastAsiaTheme="minorEastAsia"/>
                <w:noProof/>
                <w:lang w:eastAsia="en-GB"/>
              </w:rPr>
              <w:tab/>
            </w:r>
            <w:r w:rsidRPr="0064300A">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_Toc216455708 \h </w:instrText>
            </w:r>
            <w:r>
              <w:rPr>
                <w:noProof/>
                <w:webHidden/>
              </w:rPr>
            </w:r>
            <w:r>
              <w:rPr>
                <w:noProof/>
                <w:webHidden/>
              </w:rPr>
              <w:fldChar w:fldCharType="separate"/>
            </w:r>
            <w:r>
              <w:rPr>
                <w:noProof/>
                <w:webHidden/>
              </w:rPr>
              <w:t>9</w:t>
            </w:r>
            <w:r>
              <w:rPr>
                <w:noProof/>
                <w:webHidden/>
              </w:rPr>
              <w:fldChar w:fldCharType="end"/>
            </w:r>
          </w:hyperlink>
        </w:p>
        <w:p w14:paraId="237CB0D1" w14:textId="32002C50" w:rsidR="007E2358" w:rsidRDefault="007E2358">
          <w:pPr>
            <w:pStyle w:val="TOC2"/>
            <w:tabs>
              <w:tab w:val="left" w:pos="720"/>
              <w:tab w:val="right" w:leader="dot" w:pos="9016"/>
            </w:tabs>
            <w:rPr>
              <w:rFonts w:eastAsiaTheme="minorEastAsia"/>
              <w:noProof/>
              <w:lang w:eastAsia="en-GB"/>
            </w:rPr>
          </w:pPr>
          <w:hyperlink w:anchor="_Toc216455709" w:history="1">
            <w:r w:rsidRPr="0064300A">
              <w:rPr>
                <w:rStyle w:val="Hyperlink"/>
                <w:bCs/>
                <w:noProof/>
              </w:rPr>
              <w:t>6.</w:t>
            </w:r>
            <w:r>
              <w:rPr>
                <w:rFonts w:eastAsiaTheme="minorEastAsia"/>
                <w:noProof/>
                <w:lang w:eastAsia="en-GB"/>
              </w:rPr>
              <w:tab/>
            </w:r>
            <w:r w:rsidRPr="0064300A">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_Toc216455709 \h </w:instrText>
            </w:r>
            <w:r>
              <w:rPr>
                <w:noProof/>
                <w:webHidden/>
              </w:rPr>
            </w:r>
            <w:r>
              <w:rPr>
                <w:noProof/>
                <w:webHidden/>
              </w:rPr>
              <w:fldChar w:fldCharType="separate"/>
            </w:r>
            <w:r>
              <w:rPr>
                <w:noProof/>
                <w:webHidden/>
              </w:rPr>
              <w:t>10</w:t>
            </w:r>
            <w:r>
              <w:rPr>
                <w:noProof/>
                <w:webHidden/>
              </w:rPr>
              <w:fldChar w:fldCharType="end"/>
            </w:r>
          </w:hyperlink>
        </w:p>
        <w:p w14:paraId="01981A7F" w14:textId="55F7435C" w:rsidR="007E2358" w:rsidRDefault="007E2358">
          <w:pPr>
            <w:pStyle w:val="TOC1"/>
            <w:tabs>
              <w:tab w:val="left" w:pos="480"/>
              <w:tab w:val="right" w:leader="dot" w:pos="9016"/>
            </w:tabs>
            <w:rPr>
              <w:rFonts w:eastAsiaTheme="minorEastAsia"/>
              <w:noProof/>
              <w:lang w:eastAsia="en-GB"/>
            </w:rPr>
          </w:pPr>
          <w:hyperlink w:anchor="_Toc216455710" w:history="1">
            <w:r w:rsidRPr="0064300A">
              <w:rPr>
                <w:rStyle w:val="Hyperlink"/>
                <w:bCs/>
                <w:noProof/>
              </w:rPr>
              <w:t>7.</w:t>
            </w:r>
            <w:r>
              <w:rPr>
                <w:rFonts w:eastAsiaTheme="minorEastAsia"/>
                <w:noProof/>
                <w:lang w:eastAsia="en-GB"/>
              </w:rPr>
              <w:tab/>
            </w:r>
            <w:r w:rsidRPr="0064300A">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_Toc216455710 \h </w:instrText>
            </w:r>
            <w:r>
              <w:rPr>
                <w:noProof/>
                <w:webHidden/>
              </w:rPr>
            </w:r>
            <w:r>
              <w:rPr>
                <w:noProof/>
                <w:webHidden/>
              </w:rPr>
              <w:fldChar w:fldCharType="separate"/>
            </w:r>
            <w:r>
              <w:rPr>
                <w:noProof/>
                <w:webHidden/>
              </w:rPr>
              <w:t>11</w:t>
            </w:r>
            <w:r>
              <w:rPr>
                <w:noProof/>
                <w:webHidden/>
              </w:rPr>
              <w:fldChar w:fldCharType="end"/>
            </w:r>
          </w:hyperlink>
        </w:p>
        <w:p w14:paraId="3883DA5B" w14:textId="433D2213" w:rsidR="00AE79B0" w:rsidRDefault="00AE79B0">
          <w:r>
            <w:rPr>
              <w:b/>
              <w:bCs/>
              <w:noProof/>
            </w:rPr>
            <w:fldChar w:fldCharType="end"/>
          </w:r>
        </w:p>
      </w:sdtContent>
    </w:sdt>
    <w:p w14:paraId="63FB0523" w14:textId="77777777" w:rsidR="00AE79B0" w:rsidRDefault="00AE79B0" w:rsidP="000264A1">
      <w:pPr>
        <w:rPr>
          <w:rFonts w:ascii="Arial" w:hAnsi="Arial" w:cs="Arial"/>
          <w:sz w:val="36"/>
          <w:szCs w:val="36"/>
        </w:rPr>
      </w:pPr>
    </w:p>
    <w:p w14:paraId="3339E2A4" w14:textId="77777777" w:rsidR="00AE79B0" w:rsidRDefault="00AE79B0" w:rsidP="000264A1">
      <w:pPr>
        <w:rPr>
          <w:rFonts w:ascii="Arial" w:hAnsi="Arial" w:cs="Arial"/>
          <w:sz w:val="36"/>
          <w:szCs w:val="36"/>
        </w:rPr>
      </w:pPr>
    </w:p>
    <w:p w14:paraId="151F28DA" w14:textId="77777777" w:rsidR="00AE79B0" w:rsidRDefault="00AE79B0" w:rsidP="000264A1">
      <w:pPr>
        <w:rPr>
          <w:rFonts w:ascii="Arial" w:hAnsi="Arial" w:cs="Arial"/>
          <w:sz w:val="36"/>
          <w:szCs w:val="36"/>
        </w:rPr>
      </w:pPr>
    </w:p>
    <w:p w14:paraId="2662F156" w14:textId="77777777" w:rsidR="00AE79B0" w:rsidRDefault="00AE79B0" w:rsidP="000264A1">
      <w:pPr>
        <w:rPr>
          <w:rFonts w:ascii="Arial" w:hAnsi="Arial" w:cs="Arial"/>
          <w:sz w:val="36"/>
          <w:szCs w:val="36"/>
        </w:rPr>
      </w:pPr>
    </w:p>
    <w:p w14:paraId="42508D9B" w14:textId="77777777" w:rsidR="00AE79B0" w:rsidRDefault="00AE79B0" w:rsidP="000264A1">
      <w:pPr>
        <w:rPr>
          <w:rFonts w:ascii="Arial" w:hAnsi="Arial" w:cs="Arial"/>
          <w:sz w:val="36"/>
          <w:szCs w:val="36"/>
        </w:rPr>
      </w:pPr>
    </w:p>
    <w:p w14:paraId="0DA5E62E" w14:textId="77777777" w:rsidR="00AE79B0" w:rsidRDefault="00AE79B0" w:rsidP="000264A1">
      <w:pPr>
        <w:rPr>
          <w:rFonts w:ascii="Arial" w:hAnsi="Arial" w:cs="Arial"/>
          <w:sz w:val="36"/>
          <w:szCs w:val="36"/>
        </w:rPr>
      </w:pPr>
    </w:p>
    <w:p w14:paraId="2613EE23" w14:textId="77777777" w:rsidR="00AE79B0" w:rsidRDefault="00AE79B0" w:rsidP="000264A1">
      <w:pPr>
        <w:rPr>
          <w:rFonts w:ascii="Arial" w:hAnsi="Arial" w:cs="Arial"/>
          <w:sz w:val="36"/>
          <w:szCs w:val="36"/>
        </w:rPr>
      </w:pPr>
    </w:p>
    <w:p w14:paraId="7E790687" w14:textId="77777777" w:rsidR="00AE79B0" w:rsidRDefault="00AE79B0" w:rsidP="000264A1">
      <w:pPr>
        <w:rPr>
          <w:rFonts w:ascii="Arial" w:hAnsi="Arial" w:cs="Arial"/>
          <w:sz w:val="36"/>
          <w:szCs w:val="36"/>
        </w:rPr>
      </w:pPr>
    </w:p>
    <w:p w14:paraId="7B7922B6" w14:textId="77777777" w:rsidR="00AE79B0" w:rsidRDefault="00AE79B0" w:rsidP="000264A1">
      <w:pPr>
        <w:rPr>
          <w:rFonts w:ascii="Arial" w:hAnsi="Arial" w:cs="Arial"/>
          <w:sz w:val="36"/>
          <w:szCs w:val="36"/>
        </w:rPr>
      </w:pPr>
    </w:p>
    <w:p w14:paraId="3F37D267" w14:textId="4B8E5DEE" w:rsidR="00FA2045" w:rsidRDefault="00FA2045" w:rsidP="00AE79B0">
      <w:pPr>
        <w:pStyle w:val="Heading1"/>
        <w:numPr>
          <w:ilvl w:val="0"/>
          <w:numId w:val="2"/>
        </w:numPr>
        <w:rPr>
          <w:rFonts w:ascii="Arial" w:hAnsi="Arial" w:cs="Arial"/>
          <w:b/>
          <w:bCs/>
          <w:sz w:val="24"/>
          <w:szCs w:val="24"/>
        </w:rPr>
      </w:pPr>
      <w:bookmarkStart w:id="0" w:name="_Toc216455695"/>
      <w:r w:rsidRPr="00FA47DF">
        <w:rPr>
          <w:rFonts w:ascii="Arial" w:hAnsi="Arial" w:cs="Arial"/>
          <w:b/>
          <w:bCs/>
          <w:sz w:val="24"/>
          <w:szCs w:val="24"/>
        </w:rPr>
        <w:lastRenderedPageBreak/>
        <w:t>Introduction</w:t>
      </w:r>
      <w:bookmarkEnd w:id="0"/>
    </w:p>
    <w:p w14:paraId="022421F8" w14:textId="6534D3C2" w:rsidR="00FA2045" w:rsidRPr="00FA47DF" w:rsidRDefault="00FA47DF" w:rsidP="00FA47DF">
      <w:pPr>
        <w:spacing w:before="100" w:beforeAutospacing="1" w:after="100" w:afterAutospacing="1" w:line="360" w:lineRule="auto"/>
        <w:rPr>
          <w:rFonts w:ascii="Arial" w:eastAsia="Times New Roman" w:hAnsi="Arial" w:cs="Arial"/>
          <w:kern w:val="0"/>
          <w:sz w:val="22"/>
          <w:szCs w:val="22"/>
          <w:lang w:eastAsia="en-GB"/>
          <w14:ligatures w14:val="none"/>
        </w:rPr>
      </w:pPr>
      <w:r w:rsidRPr="00FA47DF">
        <w:rPr>
          <w:rFonts w:ascii="Arial" w:eastAsia="Times New Roman" w:hAnsi="Arial" w:cs="Arial"/>
          <w:kern w:val="0"/>
          <w:sz w:val="22"/>
          <w:szCs w:val="22"/>
          <w:lang w:eastAsia="en-GB"/>
          <w14:ligatures w14:val="none"/>
        </w:rPr>
        <w:t>This report provides a critical examination of Separation Anxiety Disorder (SAD), a condition defined by excessive fear or distress when separated from major attachment figures. It explores how SAD is classified in the ICD-11, including diagnostic criteria and the language used to define the disorder. The report also evaluates current treatment approaches and rehabilitation practices, assessing their effectiveness and limitations. Additionally, it analyses contemporary debates, including issues related to neurodivergence and reclassification. Finally, the report presents evidence-based recommendations aimed at improving classification, diagnosis, treatment, and policy responses to ensure more effective and inclusive support for individuals with SAD.</w:t>
      </w:r>
    </w:p>
    <w:p w14:paraId="5DD55A3B" w14:textId="4AD31F0E" w:rsidR="008A6D32" w:rsidRPr="00FA47DF" w:rsidRDefault="008A6D32" w:rsidP="00AE79B0">
      <w:pPr>
        <w:pStyle w:val="Heading1"/>
        <w:numPr>
          <w:ilvl w:val="0"/>
          <w:numId w:val="2"/>
        </w:numPr>
        <w:rPr>
          <w:rStyle w:val="apple-converted-space"/>
          <w:rFonts w:ascii="Arial" w:hAnsi="Arial" w:cs="Arial"/>
          <w:b/>
          <w:bCs/>
          <w:color w:val="000000"/>
          <w:sz w:val="24"/>
          <w:szCs w:val="24"/>
        </w:rPr>
      </w:pPr>
      <w:bookmarkStart w:id="1" w:name="_Toc216455696"/>
      <w:r w:rsidRPr="00FA47DF">
        <w:rPr>
          <w:rFonts w:ascii="Arial" w:hAnsi="Arial" w:cs="Arial"/>
          <w:b/>
          <w:bCs/>
          <w:sz w:val="24"/>
          <w:szCs w:val="24"/>
        </w:rPr>
        <w:t>Classification and Diagnosis</w:t>
      </w:r>
      <w:bookmarkEnd w:id="1"/>
      <w:r w:rsidRPr="00FA47DF">
        <w:rPr>
          <w:rStyle w:val="apple-converted-space"/>
          <w:rFonts w:ascii="Arial" w:hAnsi="Arial" w:cs="Arial"/>
          <w:b/>
          <w:bCs/>
          <w:color w:val="000000"/>
          <w:sz w:val="24"/>
          <w:szCs w:val="24"/>
        </w:rPr>
        <w:t> </w:t>
      </w:r>
    </w:p>
    <w:p w14:paraId="40CABA83" w14:textId="09D9D3F1" w:rsidR="009A2A05" w:rsidRPr="00FA47DF" w:rsidRDefault="009A2A05" w:rsidP="00AE79B0">
      <w:pPr>
        <w:pStyle w:val="Heading2"/>
        <w:numPr>
          <w:ilvl w:val="1"/>
          <w:numId w:val="2"/>
        </w:numPr>
        <w:rPr>
          <w:rFonts w:ascii="Arial" w:hAnsi="Arial" w:cs="Arial"/>
          <w:b/>
          <w:bCs/>
          <w:sz w:val="24"/>
          <w:szCs w:val="24"/>
        </w:rPr>
      </w:pPr>
      <w:bookmarkStart w:id="2" w:name="_Toc216455697"/>
      <w:r w:rsidRPr="00FA47DF">
        <w:rPr>
          <w:rFonts w:ascii="Arial" w:hAnsi="Arial" w:cs="Arial"/>
          <w:b/>
          <w:bCs/>
          <w:sz w:val="24"/>
          <w:szCs w:val="24"/>
        </w:rPr>
        <w:t>Classification of Separation Anxiety Disorder in ICD-11</w:t>
      </w:r>
      <w:bookmarkEnd w:id="2"/>
    </w:p>
    <w:p w14:paraId="1DAE2028" w14:textId="2DA3E2ED" w:rsidR="009A2A05" w:rsidRDefault="009A2A05" w:rsidP="009A2A05">
      <w:pPr>
        <w:pStyle w:val="NormalWeb"/>
        <w:spacing w:line="360" w:lineRule="auto"/>
        <w:rPr>
          <w:rFonts w:ascii="Arial" w:hAnsi="Arial" w:cs="Arial"/>
          <w:sz w:val="22"/>
          <w:szCs w:val="22"/>
        </w:rPr>
      </w:pPr>
      <w:r w:rsidRPr="00FA2045">
        <w:rPr>
          <w:rFonts w:ascii="Arial" w:hAnsi="Arial" w:cs="Arial"/>
          <w:color w:val="000000"/>
          <w:sz w:val="22"/>
          <w:szCs w:val="22"/>
        </w:rPr>
        <w:t>Separation Anxiety Disorder (SAD) is classified within the anxiety disorders in the DSM-5, which notably removed the previous age of onset restriction requiring symptoms to begin in childhood or adolescence</w:t>
      </w:r>
      <w:r>
        <w:rPr>
          <w:rFonts w:ascii="Arial" w:hAnsi="Arial" w:cs="Arial"/>
          <w:color w:val="000000"/>
          <w:sz w:val="22"/>
          <w:szCs w:val="22"/>
        </w:rPr>
        <w:t xml:space="preserve"> (</w:t>
      </w:r>
      <w:r w:rsidRPr="00FA2045">
        <w:rPr>
          <w:rFonts w:ascii="Arial" w:hAnsi="Arial" w:cs="Arial"/>
          <w:color w:val="000000"/>
          <w:sz w:val="22"/>
          <w:szCs w:val="22"/>
        </w:rPr>
        <w:t>Schiele</w:t>
      </w:r>
      <w:r>
        <w:rPr>
          <w:rFonts w:ascii="Arial" w:hAnsi="Arial" w:cs="Arial"/>
          <w:color w:val="000000"/>
          <w:sz w:val="22"/>
          <w:szCs w:val="22"/>
        </w:rPr>
        <w:t xml:space="preserve"> et al., 2021). </w:t>
      </w:r>
      <w:r w:rsidR="0006192E" w:rsidRPr="009434B3">
        <w:rPr>
          <w:rFonts w:ascii="Arial" w:hAnsi="Arial" w:cs="Arial"/>
          <w:sz w:val="22"/>
          <w:szCs w:val="22"/>
        </w:rPr>
        <w:t>The diagnostic code for SAD is 6B05, and the description emphasises that the level of fear and anxiety must be disproportionate to the individual’s developmental stage</w:t>
      </w:r>
      <w:r w:rsidR="0006192E">
        <w:rPr>
          <w:rFonts w:ascii="Arial" w:hAnsi="Arial" w:cs="Arial"/>
          <w:sz w:val="22"/>
          <w:szCs w:val="22"/>
        </w:rPr>
        <w:t xml:space="preserve"> (WHO, 20</w:t>
      </w:r>
      <w:r w:rsidR="009E5051">
        <w:rPr>
          <w:rFonts w:ascii="Arial" w:hAnsi="Arial" w:cs="Arial"/>
          <w:sz w:val="22"/>
          <w:szCs w:val="22"/>
        </w:rPr>
        <w:t>25</w:t>
      </w:r>
      <w:r w:rsidR="0006192E">
        <w:rPr>
          <w:rFonts w:ascii="Arial" w:hAnsi="Arial" w:cs="Arial"/>
          <w:sz w:val="22"/>
          <w:szCs w:val="22"/>
        </w:rPr>
        <w:t>)</w:t>
      </w:r>
      <w:r w:rsidR="0006192E" w:rsidRPr="009434B3">
        <w:rPr>
          <w:rFonts w:ascii="Arial" w:hAnsi="Arial" w:cs="Arial"/>
          <w:sz w:val="22"/>
          <w:szCs w:val="22"/>
        </w:rPr>
        <w:t>. Unlike previous editions, particularly ICD-10, the ICD-11 acknowledges that SAD can manifest in adults as well as children, aligning with recent research demonstrating that separation-related fears may persist or emerge later in life</w:t>
      </w:r>
      <w:r w:rsidR="009E1288" w:rsidRPr="009E1288">
        <w:rPr>
          <w:rFonts w:ascii="Arial" w:hAnsi="Arial" w:cs="Arial"/>
          <w:sz w:val="22"/>
          <w:szCs w:val="22"/>
        </w:rPr>
        <w:t xml:space="preserve"> (Maercker et al., 2013).</w:t>
      </w:r>
      <w:r w:rsidR="0006192E" w:rsidRPr="009E1288">
        <w:rPr>
          <w:rFonts w:ascii="Arial" w:hAnsi="Arial" w:cs="Arial"/>
          <w:sz w:val="22"/>
          <w:szCs w:val="22"/>
        </w:rPr>
        <w:t xml:space="preserve"> </w:t>
      </w:r>
      <w:r w:rsidRPr="009E1288">
        <w:rPr>
          <w:rFonts w:ascii="Arial" w:hAnsi="Arial" w:cs="Arial"/>
          <w:color w:val="000000"/>
          <w:sz w:val="22"/>
          <w:szCs w:val="22"/>
        </w:rPr>
        <w:t>This change reflects epidemiological findings showing a significant prevalence of SAD in</w:t>
      </w:r>
      <w:r w:rsidRPr="00FA2045">
        <w:rPr>
          <w:rFonts w:ascii="Arial" w:hAnsi="Arial" w:cs="Arial"/>
          <w:color w:val="000000"/>
          <w:sz w:val="22"/>
          <w:szCs w:val="22"/>
        </w:rPr>
        <w:t xml:space="preserve"> adults, with many cases having onset after 18 years of age</w:t>
      </w:r>
      <w:r>
        <w:rPr>
          <w:rFonts w:ascii="Arial" w:hAnsi="Arial" w:cs="Arial"/>
          <w:color w:val="000000"/>
          <w:sz w:val="22"/>
          <w:szCs w:val="22"/>
        </w:rPr>
        <w:t xml:space="preserve"> (</w:t>
      </w:r>
      <w:r w:rsidRPr="00FA2045">
        <w:rPr>
          <w:rFonts w:ascii="Arial" w:hAnsi="Arial" w:cs="Arial"/>
          <w:color w:val="000000"/>
          <w:sz w:val="22"/>
          <w:szCs w:val="22"/>
        </w:rPr>
        <w:t>Baldwin, et al.,</w:t>
      </w:r>
      <w:r>
        <w:rPr>
          <w:rFonts w:ascii="Arial" w:hAnsi="Arial" w:cs="Arial"/>
          <w:i/>
          <w:iCs/>
          <w:color w:val="000000"/>
          <w:sz w:val="22"/>
          <w:szCs w:val="22"/>
        </w:rPr>
        <w:t xml:space="preserve"> </w:t>
      </w:r>
      <w:r w:rsidRPr="00FA2045">
        <w:rPr>
          <w:rFonts w:ascii="Arial" w:hAnsi="Arial" w:cs="Arial"/>
          <w:color w:val="000000"/>
          <w:sz w:val="22"/>
          <w:szCs w:val="22"/>
        </w:rPr>
        <w:t>2016). The lifetime prevalence of SAD is approximately 4.8%, and adult separation anxiety disorder (ASAD) is recognized as a distinct clinical entity with notable prevalence in various populations, including university students, geriatric groups, and pregnant women (</w:t>
      </w:r>
      <w:proofErr w:type="spellStart"/>
      <w:r w:rsidRPr="00FA2045">
        <w:rPr>
          <w:rFonts w:ascii="Arial" w:hAnsi="Arial" w:cs="Arial"/>
          <w:sz w:val="22"/>
          <w:szCs w:val="22"/>
        </w:rPr>
        <w:t>Namlı</w:t>
      </w:r>
      <w:proofErr w:type="spellEnd"/>
      <w:r w:rsidRPr="00FA2045">
        <w:rPr>
          <w:rFonts w:ascii="Arial" w:hAnsi="Arial" w:cs="Arial"/>
          <w:sz w:val="22"/>
          <w:szCs w:val="22"/>
        </w:rPr>
        <w:t xml:space="preserve"> et al., 2022).</w:t>
      </w:r>
    </w:p>
    <w:p w14:paraId="6EA1C593" w14:textId="04184BC9" w:rsidR="009A2A05" w:rsidRPr="00FA47DF" w:rsidRDefault="00AE79B0" w:rsidP="00AE79B0">
      <w:pPr>
        <w:pStyle w:val="Heading2"/>
        <w:rPr>
          <w:rFonts w:ascii="Arial" w:hAnsi="Arial" w:cs="Arial"/>
          <w:b/>
          <w:bCs/>
          <w:color w:val="auto"/>
          <w:sz w:val="24"/>
          <w:szCs w:val="24"/>
        </w:rPr>
      </w:pPr>
      <w:bookmarkStart w:id="3" w:name="_Toc216455698"/>
      <w:r w:rsidRPr="00FA47DF">
        <w:rPr>
          <w:rFonts w:ascii="Arial" w:hAnsi="Arial" w:cs="Arial"/>
          <w:b/>
          <w:bCs/>
          <w:sz w:val="24"/>
          <w:szCs w:val="24"/>
        </w:rPr>
        <w:t xml:space="preserve">2.2 </w:t>
      </w:r>
      <w:r w:rsidR="009A2A05" w:rsidRPr="00FA47DF">
        <w:rPr>
          <w:rFonts w:ascii="Arial" w:hAnsi="Arial" w:cs="Arial"/>
          <w:b/>
          <w:bCs/>
          <w:sz w:val="24"/>
          <w:szCs w:val="24"/>
        </w:rPr>
        <w:t>Diagnostic Criteria and Assessment Process</w:t>
      </w:r>
      <w:bookmarkEnd w:id="3"/>
    </w:p>
    <w:p w14:paraId="400A5578" w14:textId="2DB617AD" w:rsidR="009A2A05" w:rsidRPr="00AE79B0" w:rsidRDefault="009A2A05" w:rsidP="00AE79B0">
      <w:pPr>
        <w:pStyle w:val="NormalWeb"/>
        <w:spacing w:line="360" w:lineRule="auto"/>
        <w:rPr>
          <w:rFonts w:ascii="Arial" w:hAnsi="Arial" w:cs="Arial"/>
          <w:color w:val="000000"/>
          <w:sz w:val="22"/>
          <w:szCs w:val="22"/>
          <w:lang w:val="en"/>
        </w:rPr>
      </w:pPr>
      <w:r w:rsidRPr="009A2A05">
        <w:rPr>
          <w:rFonts w:ascii="Arial" w:hAnsi="Arial" w:cs="Arial"/>
          <w:color w:val="000000"/>
          <w:sz w:val="22"/>
          <w:szCs w:val="22"/>
          <w:lang w:val="en"/>
        </w:rPr>
        <w:t>Clinically, SAD is characterized by symptoms of anxiety related to separation from attachment figures, and it often presents with comorbid conditions such as depression and other anxiety disorders</w:t>
      </w:r>
      <w:r w:rsidR="00783499">
        <w:rPr>
          <w:rFonts w:ascii="Arial" w:hAnsi="Arial" w:cs="Arial"/>
          <w:color w:val="000000"/>
          <w:sz w:val="22"/>
          <w:szCs w:val="22"/>
          <w:lang w:val="en"/>
        </w:rPr>
        <w:t xml:space="preserve"> (Dogan et al., 2019).</w:t>
      </w:r>
      <w:r w:rsidRPr="009A2A05">
        <w:rPr>
          <w:rFonts w:ascii="Arial" w:hAnsi="Arial" w:cs="Arial"/>
          <w:color w:val="000000"/>
          <w:sz w:val="22"/>
          <w:szCs w:val="22"/>
          <w:lang w:val="en"/>
        </w:rPr>
        <w:t xml:space="preserve"> Patients with SAD tend to exhibit higher severity of symptoms, increased neuroticism, and greater functional impairment compared to other anxiety subtypes</w:t>
      </w:r>
      <w:r w:rsidRPr="00AE79B0">
        <w:rPr>
          <w:rFonts w:ascii="Arial" w:hAnsi="Arial" w:cs="Arial"/>
          <w:color w:val="000000"/>
          <w:sz w:val="22"/>
          <w:szCs w:val="22"/>
          <w:lang w:val="en"/>
        </w:rPr>
        <w:t xml:space="preserve"> (</w:t>
      </w:r>
      <w:r w:rsidRPr="00AE79B0">
        <w:rPr>
          <w:rFonts w:ascii="Arial" w:hAnsi="Arial" w:cs="Arial"/>
          <w:color w:val="000000"/>
          <w:sz w:val="22"/>
          <w:szCs w:val="22"/>
        </w:rPr>
        <w:t>Silove, D.M. et al.,</w:t>
      </w:r>
      <w:r w:rsidRPr="00AE79B0">
        <w:rPr>
          <w:rFonts w:ascii="Arial" w:hAnsi="Arial" w:cs="Arial"/>
          <w:i/>
          <w:iCs/>
          <w:color w:val="000000"/>
          <w:sz w:val="22"/>
          <w:szCs w:val="22"/>
        </w:rPr>
        <w:t xml:space="preserve"> </w:t>
      </w:r>
      <w:r w:rsidRPr="00AE79B0">
        <w:rPr>
          <w:rFonts w:ascii="Arial" w:hAnsi="Arial" w:cs="Arial"/>
          <w:color w:val="000000"/>
          <w:sz w:val="22"/>
          <w:szCs w:val="22"/>
        </w:rPr>
        <w:t>2010).</w:t>
      </w:r>
      <w:r w:rsidRPr="009A2A05">
        <w:rPr>
          <w:rFonts w:ascii="Arial" w:hAnsi="Arial" w:cs="Arial"/>
          <w:color w:val="000000"/>
          <w:sz w:val="22"/>
          <w:szCs w:val="22"/>
          <w:lang w:val="en"/>
        </w:rPr>
        <w:t xml:space="preserve"> Early separation anxiety symptoms are more strongly associated with ASAD in females, suggesting potential gender differences in its developmental trajectory </w:t>
      </w:r>
      <w:r w:rsidRPr="00AE79B0">
        <w:rPr>
          <w:rFonts w:ascii="Arial" w:hAnsi="Arial" w:cs="Arial"/>
          <w:color w:val="000000"/>
          <w:sz w:val="22"/>
          <w:szCs w:val="22"/>
          <w:lang w:val="en"/>
        </w:rPr>
        <w:t>(</w:t>
      </w:r>
      <w:r w:rsidRPr="00AE79B0">
        <w:rPr>
          <w:rFonts w:ascii="Arial" w:hAnsi="Arial" w:cs="Arial"/>
          <w:color w:val="000000"/>
          <w:sz w:val="22"/>
          <w:szCs w:val="22"/>
        </w:rPr>
        <w:t>Silove, D.M. et al.,</w:t>
      </w:r>
      <w:r w:rsidRPr="00AE79B0">
        <w:rPr>
          <w:rFonts w:ascii="Arial" w:hAnsi="Arial" w:cs="Arial"/>
          <w:i/>
          <w:iCs/>
          <w:color w:val="000000"/>
          <w:sz w:val="22"/>
          <w:szCs w:val="22"/>
        </w:rPr>
        <w:t xml:space="preserve"> </w:t>
      </w:r>
      <w:r w:rsidRPr="00AE79B0">
        <w:rPr>
          <w:rFonts w:ascii="Arial" w:hAnsi="Arial" w:cs="Arial"/>
          <w:color w:val="000000"/>
          <w:sz w:val="22"/>
          <w:szCs w:val="22"/>
        </w:rPr>
        <w:t>2010).</w:t>
      </w:r>
      <w:r w:rsidRPr="009A2A05">
        <w:rPr>
          <w:rFonts w:ascii="Arial" w:hAnsi="Arial" w:cs="Arial"/>
          <w:color w:val="000000"/>
          <w:sz w:val="22"/>
          <w:szCs w:val="22"/>
          <w:lang w:val="en"/>
        </w:rPr>
        <w:t> </w:t>
      </w:r>
    </w:p>
    <w:p w14:paraId="3553608B" w14:textId="62CBD628" w:rsidR="0018491D" w:rsidRPr="00AE79B0" w:rsidRDefault="009E1288" w:rsidP="00AE79B0">
      <w:pPr>
        <w:spacing w:line="360" w:lineRule="auto"/>
        <w:rPr>
          <w:rFonts w:ascii="Arial" w:hAnsi="Arial" w:cs="Arial"/>
          <w:sz w:val="22"/>
          <w:szCs w:val="22"/>
          <w:lang w:val="en"/>
        </w:rPr>
      </w:pPr>
      <w:r w:rsidRPr="009434B3">
        <w:rPr>
          <w:rFonts w:ascii="Arial" w:hAnsi="Arial" w:cs="Arial"/>
          <w:sz w:val="22"/>
          <w:szCs w:val="22"/>
        </w:rPr>
        <w:lastRenderedPageBreak/>
        <w:t>The diagnostic process typically begins with a comprehensive clinical interview. For children, interviews often include both the child and caregiver, as parental reports provide valuable insights into avoidance behaviours, school refusal, sleep difficulties, and physical symptoms such as stomach aches or headaches that emerge during separation situations (</w:t>
      </w:r>
      <w:r w:rsidRPr="00AE79B0">
        <w:rPr>
          <w:rFonts w:ascii="Arial" w:eastAsia="Times New Roman" w:hAnsi="Arial" w:cs="Arial"/>
          <w:kern w:val="0"/>
          <w:sz w:val="22"/>
          <w:szCs w:val="22"/>
          <w:lang w:eastAsia="en-GB"/>
          <w14:ligatures w14:val="none"/>
        </w:rPr>
        <w:t>Carlson</w:t>
      </w:r>
      <w:r w:rsidRPr="009434B3">
        <w:rPr>
          <w:rFonts w:ascii="Arial" w:hAnsi="Arial" w:cs="Arial"/>
          <w:sz w:val="22"/>
          <w:szCs w:val="22"/>
        </w:rPr>
        <w:t xml:space="preserve"> et al., 20</w:t>
      </w:r>
      <w:r w:rsidRPr="00AE79B0">
        <w:rPr>
          <w:rFonts w:ascii="Arial" w:hAnsi="Arial" w:cs="Arial"/>
          <w:sz w:val="22"/>
          <w:szCs w:val="22"/>
        </w:rPr>
        <w:t>23</w:t>
      </w:r>
      <w:r w:rsidRPr="009434B3">
        <w:rPr>
          <w:rFonts w:ascii="Arial" w:hAnsi="Arial" w:cs="Arial"/>
          <w:sz w:val="22"/>
          <w:szCs w:val="22"/>
        </w:rPr>
        <w:t>).</w:t>
      </w:r>
      <w:r w:rsidR="0018491D" w:rsidRPr="00AE79B0">
        <w:rPr>
          <w:rFonts w:ascii="Arial" w:hAnsi="Arial" w:cs="Arial"/>
          <w:sz w:val="22"/>
          <w:szCs w:val="22"/>
        </w:rPr>
        <w:t xml:space="preserve"> </w:t>
      </w:r>
      <w:r w:rsidR="0018491D" w:rsidRPr="00AE79B0">
        <w:rPr>
          <w:rFonts w:ascii="Arial" w:hAnsi="Arial" w:cs="Arial"/>
          <w:sz w:val="22"/>
          <w:szCs w:val="22"/>
          <w:lang w:val="en"/>
        </w:rPr>
        <w:t>Behavioral observations of children with Separation Anxiety Disorder (SAD) reveal distinct patterns in emotional and physiological responses during separation from attachment figures, particularly the mother. Children with SAD exhibit elevated self-reported anxiety and increased sympathetic nervous system reactivity when separated from their mother, as demonstrated in experimental settings involving brief separations</w:t>
      </w:r>
      <w:r w:rsidR="008D4147">
        <w:rPr>
          <w:rFonts w:ascii="Arial" w:hAnsi="Arial" w:cs="Arial"/>
          <w:sz w:val="22"/>
          <w:szCs w:val="22"/>
          <w:lang w:val="en"/>
        </w:rPr>
        <w:t xml:space="preserve"> </w:t>
      </w:r>
      <w:r w:rsidR="008D4147" w:rsidRPr="00AE79B0">
        <w:rPr>
          <w:rFonts w:ascii="Arial" w:hAnsi="Arial" w:cs="Arial"/>
          <w:sz w:val="22"/>
          <w:szCs w:val="22"/>
          <w:lang w:val="en"/>
        </w:rPr>
        <w:t>(</w:t>
      </w:r>
      <w:r w:rsidR="008D4147" w:rsidRPr="00AE79B0">
        <w:rPr>
          <w:rFonts w:ascii="Arial" w:hAnsi="Arial" w:cs="Arial"/>
          <w:sz w:val="22"/>
          <w:szCs w:val="22"/>
        </w:rPr>
        <w:t>Kossowsky, J. </w:t>
      </w:r>
      <w:r w:rsidR="008D4147" w:rsidRPr="00AE79B0">
        <w:rPr>
          <w:rFonts w:ascii="Arial" w:hAnsi="Arial" w:cs="Arial"/>
          <w:i/>
          <w:iCs/>
          <w:sz w:val="22"/>
          <w:szCs w:val="22"/>
        </w:rPr>
        <w:t>et al.,</w:t>
      </w:r>
      <w:r w:rsidR="008D4147" w:rsidRPr="00AE79B0">
        <w:rPr>
          <w:rFonts w:ascii="Arial" w:hAnsi="Arial" w:cs="Arial"/>
          <w:sz w:val="22"/>
          <w:szCs w:val="22"/>
        </w:rPr>
        <w:t> 2012)</w:t>
      </w:r>
      <w:r w:rsidR="0018491D" w:rsidRPr="00AE79B0">
        <w:rPr>
          <w:rFonts w:ascii="Arial" w:hAnsi="Arial" w:cs="Arial"/>
          <w:sz w:val="22"/>
          <w:szCs w:val="22"/>
          <w:lang w:val="en"/>
        </w:rPr>
        <w:t>. These children also show greater vagal withdrawal and heightened cardiovascular, respiratory, and electrodermal responses compared to both clinical controls with other anxiety disorders and healthy controls, indicating a specific autonomic profile associated with SAD during separation episodes (</w:t>
      </w:r>
      <w:r w:rsidR="0018491D" w:rsidRPr="00AE79B0">
        <w:rPr>
          <w:rFonts w:ascii="Arial" w:hAnsi="Arial" w:cs="Arial"/>
          <w:sz w:val="22"/>
          <w:szCs w:val="22"/>
        </w:rPr>
        <w:t>Kossowsky, J. </w:t>
      </w:r>
      <w:r w:rsidR="0018491D" w:rsidRPr="00AE79B0">
        <w:rPr>
          <w:rFonts w:ascii="Arial" w:hAnsi="Arial" w:cs="Arial"/>
          <w:i/>
          <w:iCs/>
          <w:sz w:val="22"/>
          <w:szCs w:val="22"/>
        </w:rPr>
        <w:t>et al.,</w:t>
      </w:r>
      <w:r w:rsidR="0018491D" w:rsidRPr="00AE79B0">
        <w:rPr>
          <w:rFonts w:ascii="Arial" w:hAnsi="Arial" w:cs="Arial"/>
          <w:sz w:val="22"/>
          <w:szCs w:val="22"/>
        </w:rPr>
        <w:t> 2012).</w:t>
      </w:r>
    </w:p>
    <w:p w14:paraId="5AAB954D" w14:textId="217C731C" w:rsidR="0018491D" w:rsidRPr="0018491D" w:rsidRDefault="0018491D" w:rsidP="00AE79B0">
      <w:pPr>
        <w:spacing w:line="360" w:lineRule="auto"/>
        <w:rPr>
          <w:rFonts w:ascii="Arial" w:hAnsi="Arial" w:cs="Arial"/>
          <w:sz w:val="22"/>
          <w:szCs w:val="22"/>
          <w:lang w:val="en"/>
        </w:rPr>
      </w:pPr>
      <w:r w:rsidRPr="0018491D">
        <w:rPr>
          <w:rFonts w:ascii="Arial" w:hAnsi="Arial" w:cs="Arial"/>
          <w:sz w:val="22"/>
          <w:szCs w:val="22"/>
          <w:lang w:val="en"/>
        </w:rPr>
        <w:t>Observational methods used to assess separation anxiety include monitoring everyday behaviors, parent interviews, and expressive techniques such as emotion-rating scales and family drawing activities</w:t>
      </w:r>
      <w:r w:rsidR="008D4147">
        <w:rPr>
          <w:rFonts w:ascii="Arial" w:hAnsi="Arial" w:cs="Arial"/>
          <w:sz w:val="22"/>
          <w:szCs w:val="22"/>
          <w:lang w:val="en"/>
        </w:rPr>
        <w:t xml:space="preserve"> (Mendez et al., 2014).</w:t>
      </w:r>
      <w:r w:rsidRPr="0018491D">
        <w:rPr>
          <w:rFonts w:ascii="Arial" w:hAnsi="Arial" w:cs="Arial"/>
          <w:sz w:val="22"/>
          <w:szCs w:val="22"/>
          <w:lang w:val="en"/>
        </w:rPr>
        <w:t xml:space="preserve">These approaches help capture the intensity and variability of anxiety reactions in young children, highlighting how different family dynamics and caregiving roles influence emotional regulation and resilience in the context of separation </w:t>
      </w:r>
      <w:r w:rsidRPr="00AE79B0">
        <w:rPr>
          <w:rFonts w:ascii="Arial" w:hAnsi="Arial" w:cs="Arial"/>
          <w:sz w:val="22"/>
          <w:szCs w:val="22"/>
          <w:lang w:val="en"/>
        </w:rPr>
        <w:t>(</w:t>
      </w:r>
      <w:proofErr w:type="spellStart"/>
      <w:r w:rsidRPr="00AE79B0">
        <w:rPr>
          <w:rFonts w:ascii="Arial" w:hAnsi="Arial" w:cs="Arial"/>
          <w:sz w:val="22"/>
          <w:szCs w:val="22"/>
        </w:rPr>
        <w:t>Drazheva</w:t>
      </w:r>
      <w:proofErr w:type="spellEnd"/>
      <w:r w:rsidRPr="00AE79B0">
        <w:rPr>
          <w:rFonts w:ascii="Arial" w:hAnsi="Arial" w:cs="Arial"/>
          <w:sz w:val="22"/>
          <w:szCs w:val="22"/>
        </w:rPr>
        <w:t xml:space="preserve">, 2025). </w:t>
      </w:r>
    </w:p>
    <w:p w14:paraId="038B9EE4" w14:textId="1675347D" w:rsidR="0018491D" w:rsidRPr="0018491D" w:rsidRDefault="0018491D" w:rsidP="00AE79B0">
      <w:pPr>
        <w:spacing w:line="360" w:lineRule="auto"/>
        <w:rPr>
          <w:rFonts w:ascii="Arial" w:hAnsi="Arial" w:cs="Arial"/>
          <w:sz w:val="22"/>
          <w:szCs w:val="22"/>
          <w:lang w:val="en"/>
        </w:rPr>
      </w:pPr>
      <w:r w:rsidRPr="0018491D">
        <w:rPr>
          <w:rFonts w:ascii="Arial" w:hAnsi="Arial" w:cs="Arial"/>
          <w:sz w:val="22"/>
          <w:szCs w:val="22"/>
          <w:lang w:val="en"/>
        </w:rPr>
        <w:t xml:space="preserve">Further behavioral insights come from studies examining family identification and self-congruence, where children with SAD and their parents tend to identify less with each other and show reduced desire for similarity, which may relate to the child’s experience and expression of separation anxiety behaviors </w:t>
      </w:r>
      <w:r w:rsidRPr="00AE79B0">
        <w:rPr>
          <w:rFonts w:ascii="Arial" w:hAnsi="Arial" w:cs="Arial"/>
          <w:sz w:val="22"/>
          <w:szCs w:val="22"/>
          <w:lang w:val="en"/>
        </w:rPr>
        <w:t>(</w:t>
      </w:r>
      <w:r w:rsidRPr="00AE79B0">
        <w:rPr>
          <w:rFonts w:ascii="Arial" w:hAnsi="Arial" w:cs="Arial"/>
          <w:sz w:val="22"/>
          <w:szCs w:val="22"/>
        </w:rPr>
        <w:t>Blatter-Meunier et al., 2024).</w:t>
      </w:r>
      <w:r w:rsidRPr="0018491D">
        <w:rPr>
          <w:rFonts w:ascii="Arial" w:hAnsi="Arial" w:cs="Arial"/>
          <w:sz w:val="22"/>
          <w:szCs w:val="22"/>
          <w:lang w:val="en"/>
        </w:rPr>
        <w:t xml:space="preserve"> Additionally, early attachment security and maternal sensitivity have been linked to later separation anxiety symptoms, with insecure attachment patterns correlating with increased anxiety behaviors at school age, suggesting that early relational experiences shape behavioral manifestations of separation anxiety </w:t>
      </w:r>
      <w:r w:rsidRPr="00AE79B0">
        <w:rPr>
          <w:rFonts w:ascii="Arial" w:hAnsi="Arial" w:cs="Arial"/>
          <w:sz w:val="22"/>
          <w:szCs w:val="22"/>
          <w:lang w:val="en"/>
        </w:rPr>
        <w:t>(</w:t>
      </w:r>
      <w:r w:rsidRPr="00AE79B0">
        <w:rPr>
          <w:rFonts w:ascii="Arial" w:hAnsi="Arial" w:cs="Arial"/>
          <w:sz w:val="22"/>
          <w:szCs w:val="22"/>
        </w:rPr>
        <w:t xml:space="preserve">Dallaire et al., 2005). </w:t>
      </w:r>
    </w:p>
    <w:p w14:paraId="4983D354" w14:textId="72686E7E" w:rsidR="00FA53BE" w:rsidRPr="00FA47DF" w:rsidRDefault="00AE79B0" w:rsidP="00AE79B0">
      <w:pPr>
        <w:pStyle w:val="Heading2"/>
        <w:rPr>
          <w:rFonts w:ascii="Arial" w:eastAsiaTheme="minorHAnsi" w:hAnsi="Arial" w:cs="Arial"/>
          <w:b/>
          <w:bCs/>
          <w:color w:val="auto"/>
          <w:sz w:val="24"/>
          <w:szCs w:val="24"/>
        </w:rPr>
      </w:pPr>
      <w:bookmarkStart w:id="4" w:name="_Toc216455699"/>
      <w:r w:rsidRPr="00FA47DF">
        <w:rPr>
          <w:rFonts w:ascii="Arial" w:hAnsi="Arial" w:cs="Arial"/>
          <w:b/>
          <w:bCs/>
          <w:sz w:val="24"/>
          <w:szCs w:val="24"/>
        </w:rPr>
        <w:t xml:space="preserve">2.3 </w:t>
      </w:r>
      <w:r w:rsidR="00FA53BE" w:rsidRPr="00FA47DF">
        <w:rPr>
          <w:rFonts w:ascii="Arial" w:hAnsi="Arial" w:cs="Arial"/>
          <w:b/>
          <w:bCs/>
          <w:sz w:val="24"/>
          <w:szCs w:val="24"/>
        </w:rPr>
        <w:t>Language Used in the Classification Systems</w:t>
      </w:r>
      <w:bookmarkEnd w:id="4"/>
    </w:p>
    <w:p w14:paraId="677DAFFD" w14:textId="52A18F0F" w:rsidR="009A2A05" w:rsidRPr="00AE79B0" w:rsidRDefault="009A2A05" w:rsidP="009A2A05">
      <w:pPr>
        <w:pStyle w:val="NormalWeb"/>
        <w:spacing w:line="360" w:lineRule="auto"/>
        <w:rPr>
          <w:rFonts w:ascii="Arial" w:hAnsi="Arial" w:cs="Arial"/>
          <w:color w:val="000000"/>
          <w:sz w:val="22"/>
          <w:szCs w:val="22"/>
        </w:rPr>
      </w:pPr>
      <w:r w:rsidRPr="009A2A05">
        <w:rPr>
          <w:rFonts w:ascii="Arial" w:hAnsi="Arial" w:cs="Arial"/>
          <w:color w:val="000000"/>
          <w:sz w:val="22"/>
          <w:szCs w:val="22"/>
          <w:lang w:val="en"/>
        </w:rPr>
        <w:t xml:space="preserve">The disorder is frequently underdiagnosed and undertreated despite its prevalence and impact on functioning </w:t>
      </w:r>
      <w:r w:rsidRPr="00AE79B0">
        <w:rPr>
          <w:rFonts w:ascii="Arial" w:hAnsi="Arial" w:cs="Arial"/>
          <w:color w:val="000000"/>
          <w:sz w:val="22"/>
          <w:szCs w:val="22"/>
        </w:rPr>
        <w:t>(Schiele et al., 2021).</w:t>
      </w:r>
      <w:r w:rsidRPr="009A2A05">
        <w:rPr>
          <w:rFonts w:ascii="Arial" w:hAnsi="Arial" w:cs="Arial"/>
          <w:color w:val="000000"/>
          <w:sz w:val="22"/>
          <w:szCs w:val="22"/>
          <w:lang w:val="en"/>
        </w:rPr>
        <w:t xml:space="preserve"> Differential diagnosis is important to distinguish SAD from other anxiety disorders and mental health conditions where separation anxiety symptoms may appear </w:t>
      </w:r>
      <w:r w:rsidRPr="00AE79B0">
        <w:rPr>
          <w:rFonts w:ascii="Arial" w:hAnsi="Arial" w:cs="Arial"/>
          <w:color w:val="000000"/>
          <w:sz w:val="22"/>
          <w:szCs w:val="22"/>
        </w:rPr>
        <w:t>(Baldwin, et al.,</w:t>
      </w:r>
      <w:r w:rsidRPr="00AE79B0">
        <w:rPr>
          <w:rFonts w:ascii="Arial" w:hAnsi="Arial" w:cs="Arial"/>
          <w:i/>
          <w:iCs/>
          <w:color w:val="000000"/>
          <w:sz w:val="22"/>
          <w:szCs w:val="22"/>
        </w:rPr>
        <w:t xml:space="preserve"> </w:t>
      </w:r>
      <w:r w:rsidRPr="00AE79B0">
        <w:rPr>
          <w:rFonts w:ascii="Arial" w:hAnsi="Arial" w:cs="Arial"/>
          <w:color w:val="000000"/>
          <w:sz w:val="22"/>
          <w:szCs w:val="22"/>
        </w:rPr>
        <w:t>2016). </w:t>
      </w:r>
    </w:p>
    <w:p w14:paraId="0DB104FE" w14:textId="58CEF0FB" w:rsidR="0006192E" w:rsidRPr="00732065" w:rsidRDefault="00AE79B0" w:rsidP="00732065">
      <w:pPr>
        <w:pStyle w:val="NormalWeb"/>
        <w:spacing w:line="360" w:lineRule="auto"/>
        <w:rPr>
          <w:rFonts w:ascii="Arial" w:hAnsi="Arial" w:cs="Arial"/>
          <w:color w:val="000000"/>
          <w:sz w:val="22"/>
          <w:szCs w:val="22"/>
          <w:lang w:val="en"/>
        </w:rPr>
      </w:pPr>
      <w:r w:rsidRPr="009434B3">
        <w:rPr>
          <w:rFonts w:ascii="Arial" w:hAnsi="Arial" w:cs="Arial"/>
          <w:sz w:val="22"/>
          <w:szCs w:val="22"/>
        </w:rPr>
        <w:t>The ICD-11 uses the language of “disorder,” positioning SAD as a clinically significant psychological condition rather than a variant of normal emotional attachment</w:t>
      </w:r>
      <w:r w:rsidR="008D4147">
        <w:rPr>
          <w:rFonts w:ascii="Arial" w:hAnsi="Arial" w:cs="Arial"/>
          <w:sz w:val="22"/>
          <w:szCs w:val="22"/>
        </w:rPr>
        <w:t xml:space="preserve"> </w:t>
      </w:r>
      <w:r w:rsidR="008D4147" w:rsidRPr="00AE79B0">
        <w:rPr>
          <w:rFonts w:ascii="Arial" w:hAnsi="Arial" w:cs="Arial"/>
          <w:sz w:val="22"/>
          <w:szCs w:val="22"/>
        </w:rPr>
        <w:t>(Florian, 2023)</w:t>
      </w:r>
      <w:r w:rsidRPr="009434B3">
        <w:rPr>
          <w:rFonts w:ascii="Arial" w:hAnsi="Arial" w:cs="Arial"/>
          <w:sz w:val="22"/>
          <w:szCs w:val="22"/>
        </w:rPr>
        <w:t xml:space="preserve">. </w:t>
      </w:r>
      <w:r w:rsidRPr="009434B3">
        <w:rPr>
          <w:rFonts w:ascii="Arial" w:hAnsi="Arial" w:cs="Arial"/>
          <w:sz w:val="22"/>
          <w:szCs w:val="22"/>
        </w:rPr>
        <w:lastRenderedPageBreak/>
        <w:t>Terms such as “excessive,” “persistent,” and “developmentally inappropriate” appear consistently in the diagnostic definition, underscoring the pathological threshold that distinguishes SAD from normative experiences of separation distress that are expected in early childhood or during significant life transitions</w:t>
      </w:r>
      <w:r w:rsidRPr="00AE79B0">
        <w:rPr>
          <w:rFonts w:ascii="Arial" w:hAnsi="Arial" w:cs="Arial"/>
          <w:sz w:val="22"/>
          <w:szCs w:val="22"/>
        </w:rPr>
        <w:t xml:space="preserve"> (Florian, 2023). </w:t>
      </w:r>
    </w:p>
    <w:p w14:paraId="33F20CC0" w14:textId="15D9D019" w:rsidR="00706023" w:rsidRPr="00FA47DF" w:rsidRDefault="008A6D32" w:rsidP="00732065">
      <w:pPr>
        <w:pStyle w:val="Heading1"/>
        <w:numPr>
          <w:ilvl w:val="0"/>
          <w:numId w:val="2"/>
        </w:numPr>
        <w:rPr>
          <w:rFonts w:ascii="Arial" w:hAnsi="Arial" w:cs="Arial"/>
          <w:b/>
          <w:bCs/>
          <w:sz w:val="24"/>
          <w:szCs w:val="24"/>
        </w:rPr>
      </w:pPr>
      <w:bookmarkStart w:id="5" w:name="_Toc216455700"/>
      <w:r w:rsidRPr="00FA47DF">
        <w:rPr>
          <w:rFonts w:ascii="Arial" w:hAnsi="Arial" w:cs="Arial"/>
          <w:b/>
          <w:bCs/>
          <w:sz w:val="24"/>
          <w:szCs w:val="24"/>
        </w:rPr>
        <w:t>Treatment and Rehabilitation</w:t>
      </w:r>
      <w:bookmarkEnd w:id="5"/>
    </w:p>
    <w:p w14:paraId="268C53B2" w14:textId="716FA110" w:rsidR="00706023" w:rsidRPr="00FA47DF" w:rsidRDefault="00706023" w:rsidP="00706023">
      <w:pPr>
        <w:pStyle w:val="Heading2"/>
        <w:rPr>
          <w:rFonts w:ascii="Arial" w:hAnsi="Arial" w:cs="Arial"/>
          <w:sz w:val="24"/>
          <w:szCs w:val="24"/>
        </w:rPr>
      </w:pPr>
      <w:bookmarkStart w:id="6" w:name="_Toc216455701"/>
      <w:r w:rsidRPr="00FA47DF">
        <w:rPr>
          <w:rStyle w:val="Strong"/>
          <w:rFonts w:ascii="Arial" w:hAnsi="Arial" w:cs="Arial"/>
          <w:sz w:val="24"/>
          <w:szCs w:val="24"/>
        </w:rPr>
        <w:t>3.1 Critical Evaluation of Standard Treatment Approaches</w:t>
      </w:r>
      <w:bookmarkEnd w:id="6"/>
      <w:r w:rsidRPr="00FA47DF">
        <w:rPr>
          <w:rStyle w:val="Strong"/>
          <w:rFonts w:ascii="Arial" w:hAnsi="Arial" w:cs="Arial"/>
          <w:sz w:val="24"/>
          <w:szCs w:val="24"/>
        </w:rPr>
        <w:t xml:space="preserve"> </w:t>
      </w:r>
    </w:p>
    <w:p w14:paraId="7073AB1A" w14:textId="22F90920" w:rsidR="00706023" w:rsidRPr="00732065" w:rsidRDefault="00706023" w:rsidP="00732065">
      <w:pPr>
        <w:pStyle w:val="NormalWeb"/>
        <w:spacing w:line="360" w:lineRule="auto"/>
        <w:rPr>
          <w:rFonts w:ascii="Arial" w:hAnsi="Arial" w:cs="Arial"/>
          <w:sz w:val="22"/>
          <w:szCs w:val="22"/>
        </w:rPr>
      </w:pPr>
      <w:r w:rsidRPr="00732065">
        <w:rPr>
          <w:rFonts w:ascii="Arial" w:hAnsi="Arial" w:cs="Arial"/>
          <w:sz w:val="22"/>
          <w:szCs w:val="22"/>
        </w:rPr>
        <w:t>Standard treatment approaches for Separation Anxiety Disorder (SAD) primarily centre on psychological interventions, with Cognitive Behavioural Therapy (CBT) widely regarded as the first-line treatment</w:t>
      </w:r>
      <w:r w:rsidR="008D4147">
        <w:rPr>
          <w:rFonts w:ascii="Arial" w:hAnsi="Arial" w:cs="Arial"/>
          <w:sz w:val="22"/>
          <w:szCs w:val="22"/>
        </w:rPr>
        <w:t xml:space="preserve"> </w:t>
      </w:r>
      <w:r w:rsidR="008D4147" w:rsidRPr="00732065">
        <w:rPr>
          <w:rFonts w:ascii="Arial" w:hAnsi="Arial" w:cs="Arial"/>
          <w:sz w:val="22"/>
          <w:szCs w:val="22"/>
        </w:rPr>
        <w:t>(</w:t>
      </w:r>
      <w:proofErr w:type="spellStart"/>
      <w:r w:rsidR="008D4147" w:rsidRPr="00732065">
        <w:rPr>
          <w:rFonts w:ascii="Arial" w:hAnsi="Arial" w:cs="Arial"/>
          <w:sz w:val="22"/>
          <w:szCs w:val="22"/>
        </w:rPr>
        <w:t>Beesdo</w:t>
      </w:r>
      <w:proofErr w:type="spellEnd"/>
      <w:r w:rsidR="008D4147" w:rsidRPr="00732065">
        <w:rPr>
          <w:rFonts w:ascii="Arial" w:hAnsi="Arial" w:cs="Arial"/>
          <w:sz w:val="22"/>
          <w:szCs w:val="22"/>
        </w:rPr>
        <w:t xml:space="preserve"> et al., 2019)</w:t>
      </w:r>
      <w:r w:rsidRPr="00732065">
        <w:rPr>
          <w:rFonts w:ascii="Arial" w:hAnsi="Arial" w:cs="Arial"/>
          <w:sz w:val="22"/>
          <w:szCs w:val="22"/>
        </w:rPr>
        <w:t>. CBT focuses on modifying maladaptive cognitions and behaviours that sustain anxiety, particularly through techniques such as graded exposure, cognitive restructuring, and anxiety-management strategies (</w:t>
      </w:r>
      <w:proofErr w:type="spellStart"/>
      <w:r w:rsidRPr="00732065">
        <w:rPr>
          <w:rFonts w:ascii="Arial" w:hAnsi="Arial" w:cs="Arial"/>
          <w:sz w:val="22"/>
          <w:szCs w:val="22"/>
        </w:rPr>
        <w:t>Beesdo</w:t>
      </w:r>
      <w:proofErr w:type="spellEnd"/>
      <w:r w:rsidRPr="00732065">
        <w:rPr>
          <w:rFonts w:ascii="Arial" w:hAnsi="Arial" w:cs="Arial"/>
          <w:sz w:val="22"/>
          <w:szCs w:val="22"/>
        </w:rPr>
        <w:t xml:space="preserve"> et al., 2019). For children, family involvement is crucial, as parental responses—such as overprotection or reassurance-seeking—may inadvertently reinforce anxiety symptoms. Therefore, family-based CBT and Parent–Child Interaction Therapy (PCIT) are frequently used to address interactional patterns within the home (Muris, 2020).</w:t>
      </w:r>
    </w:p>
    <w:p w14:paraId="207803AD" w14:textId="24B4D203" w:rsidR="00706023" w:rsidRPr="00732065" w:rsidRDefault="00706023" w:rsidP="00732065">
      <w:pPr>
        <w:pStyle w:val="NormalWeb"/>
        <w:spacing w:line="360" w:lineRule="auto"/>
        <w:rPr>
          <w:rFonts w:ascii="Arial" w:hAnsi="Arial" w:cs="Arial"/>
          <w:sz w:val="22"/>
          <w:szCs w:val="22"/>
        </w:rPr>
      </w:pPr>
      <w:r w:rsidRPr="00732065">
        <w:rPr>
          <w:rFonts w:ascii="Arial" w:hAnsi="Arial" w:cs="Arial"/>
          <w:sz w:val="22"/>
          <w:szCs w:val="22"/>
        </w:rPr>
        <w:t>Pharmacological treatment, most commonly with selective serotonin reuptake inhibitors (SSRIs), may be used for moderate to severe cases or when psychotherapy alone is insufficient</w:t>
      </w:r>
      <w:r w:rsidR="004450F2">
        <w:rPr>
          <w:rFonts w:ascii="Arial" w:hAnsi="Arial" w:cs="Arial"/>
          <w:sz w:val="22"/>
          <w:szCs w:val="22"/>
        </w:rPr>
        <w:t xml:space="preserve"> </w:t>
      </w:r>
      <w:r w:rsidR="004450F2" w:rsidRPr="004450F2">
        <w:rPr>
          <w:rFonts w:ascii="Arial" w:hAnsi="Arial" w:cs="Arial"/>
          <w:sz w:val="22"/>
          <w:szCs w:val="22"/>
        </w:rPr>
        <w:t>(</w:t>
      </w:r>
      <w:proofErr w:type="spellStart"/>
      <w:r w:rsidR="004450F2" w:rsidRPr="004450F2">
        <w:rPr>
          <w:rFonts w:ascii="Arial" w:hAnsi="Arial" w:cs="Arial"/>
          <w:sz w:val="22"/>
          <w:szCs w:val="22"/>
        </w:rPr>
        <w:t>Feriante</w:t>
      </w:r>
      <w:proofErr w:type="spellEnd"/>
      <w:r w:rsidR="004450F2">
        <w:rPr>
          <w:rFonts w:ascii="Arial" w:hAnsi="Arial" w:cs="Arial"/>
          <w:sz w:val="22"/>
          <w:szCs w:val="22"/>
        </w:rPr>
        <w:t xml:space="preserve"> et al., 2023).</w:t>
      </w:r>
      <w:r w:rsidRPr="00732065">
        <w:rPr>
          <w:rFonts w:ascii="Arial" w:hAnsi="Arial" w:cs="Arial"/>
          <w:sz w:val="22"/>
          <w:szCs w:val="22"/>
        </w:rPr>
        <w:t xml:space="preserve"> However, medication is rarely recommended as a standalone treatment, given concerns about side effects and limited evidence regarding long-term efficacy in younger populations (Silove et al., 20</w:t>
      </w:r>
      <w:r w:rsidR="00732065" w:rsidRPr="00732065">
        <w:rPr>
          <w:rFonts w:ascii="Arial" w:hAnsi="Arial" w:cs="Arial"/>
          <w:sz w:val="22"/>
          <w:szCs w:val="22"/>
        </w:rPr>
        <w:t>1</w:t>
      </w:r>
      <w:r w:rsidRPr="00732065">
        <w:rPr>
          <w:rFonts w:ascii="Arial" w:hAnsi="Arial" w:cs="Arial"/>
          <w:sz w:val="22"/>
          <w:szCs w:val="22"/>
        </w:rPr>
        <w:t>0). For adults with SAD, treatment protocols often mirror those for other anxiety disorders but require specific attention to relational patterns and dependency dynamics</w:t>
      </w:r>
      <w:r w:rsidR="004450F2">
        <w:rPr>
          <w:rFonts w:ascii="Arial" w:hAnsi="Arial" w:cs="Arial"/>
          <w:sz w:val="22"/>
          <w:szCs w:val="22"/>
        </w:rPr>
        <w:t xml:space="preserve"> </w:t>
      </w:r>
      <w:r w:rsidR="004450F2" w:rsidRPr="004450F2">
        <w:rPr>
          <w:rFonts w:ascii="Arial" w:hAnsi="Arial" w:cs="Arial"/>
          <w:sz w:val="22"/>
          <w:szCs w:val="22"/>
        </w:rPr>
        <w:t>(</w:t>
      </w:r>
      <w:proofErr w:type="spellStart"/>
      <w:r w:rsidR="004450F2" w:rsidRPr="004450F2">
        <w:rPr>
          <w:rFonts w:ascii="Arial" w:hAnsi="Arial" w:cs="Arial"/>
          <w:sz w:val="22"/>
          <w:szCs w:val="22"/>
        </w:rPr>
        <w:t>Milrod</w:t>
      </w:r>
      <w:proofErr w:type="spellEnd"/>
      <w:r w:rsidR="004450F2" w:rsidRPr="004450F2">
        <w:rPr>
          <w:rFonts w:ascii="Arial" w:hAnsi="Arial" w:cs="Arial"/>
          <w:sz w:val="22"/>
          <w:szCs w:val="22"/>
        </w:rPr>
        <w:t xml:space="preserve"> et al., 2016)</w:t>
      </w:r>
    </w:p>
    <w:p w14:paraId="3B11D06C" w14:textId="2EE9F558" w:rsidR="00333AF0" w:rsidRPr="00FA47DF" w:rsidRDefault="00333AF0" w:rsidP="00333AF0">
      <w:pPr>
        <w:pStyle w:val="Heading2"/>
        <w:rPr>
          <w:rFonts w:ascii="Arial" w:hAnsi="Arial" w:cs="Arial"/>
          <w:b/>
          <w:bCs/>
          <w:sz w:val="24"/>
          <w:szCs w:val="24"/>
        </w:rPr>
      </w:pPr>
      <w:bookmarkStart w:id="7" w:name="_Toc216455702"/>
      <w:r w:rsidRPr="00FA47DF">
        <w:rPr>
          <w:rFonts w:ascii="Arial" w:hAnsi="Arial" w:cs="Arial"/>
          <w:b/>
          <w:bCs/>
          <w:sz w:val="24"/>
          <w:szCs w:val="24"/>
        </w:rPr>
        <w:t>3.2 Rehabilitation Measures in ICD-11 and Contemporary Practice</w:t>
      </w:r>
      <w:bookmarkEnd w:id="7"/>
    </w:p>
    <w:p w14:paraId="519E3758" w14:textId="08495A5D" w:rsidR="00333AF0" w:rsidRPr="00732065" w:rsidRDefault="00333AF0" w:rsidP="00333AF0">
      <w:pPr>
        <w:pStyle w:val="NormalWeb"/>
        <w:spacing w:line="360" w:lineRule="auto"/>
        <w:rPr>
          <w:rFonts w:ascii="Arial" w:hAnsi="Arial" w:cs="Arial"/>
          <w:sz w:val="22"/>
          <w:szCs w:val="22"/>
        </w:rPr>
      </w:pPr>
      <w:r w:rsidRPr="00732065">
        <w:rPr>
          <w:rFonts w:ascii="Arial" w:hAnsi="Arial" w:cs="Arial"/>
          <w:sz w:val="22"/>
          <w:szCs w:val="22"/>
        </w:rPr>
        <w:t xml:space="preserve">Although the ICD-11 does not outline formal rehabilitation pathways for Separation Anxiety Disorder, the framework emphasises functional impairment as a key diagnostic feature, implicitly guiding rehabilitation goals toward restoring daily functioning (WHO, </w:t>
      </w:r>
      <w:r w:rsidR="009E5051">
        <w:rPr>
          <w:rFonts w:ascii="Arial" w:hAnsi="Arial" w:cs="Arial"/>
          <w:sz w:val="22"/>
          <w:szCs w:val="22"/>
        </w:rPr>
        <w:t>2025</w:t>
      </w:r>
      <w:r w:rsidRPr="00732065">
        <w:rPr>
          <w:rFonts w:ascii="Arial" w:hAnsi="Arial" w:cs="Arial"/>
          <w:sz w:val="22"/>
          <w:szCs w:val="22"/>
        </w:rPr>
        <w:t>). Rehabilitation in practice typically involves school, family, and community-based interventions designed to reduce avoidance behaviours and support reintegration into everyday settings</w:t>
      </w:r>
      <w:r w:rsidR="009E5051">
        <w:rPr>
          <w:rFonts w:ascii="Arial" w:hAnsi="Arial" w:cs="Arial"/>
          <w:sz w:val="22"/>
          <w:szCs w:val="22"/>
        </w:rPr>
        <w:t xml:space="preserve"> </w:t>
      </w:r>
      <w:r w:rsidR="009E5051" w:rsidRPr="00732065">
        <w:rPr>
          <w:rFonts w:ascii="Arial" w:hAnsi="Arial" w:cs="Arial"/>
          <w:sz w:val="22"/>
          <w:szCs w:val="22"/>
        </w:rPr>
        <w:t>(Kearney, 2021)</w:t>
      </w:r>
      <w:r w:rsidRPr="00732065">
        <w:rPr>
          <w:rFonts w:ascii="Arial" w:hAnsi="Arial" w:cs="Arial"/>
          <w:sz w:val="22"/>
          <w:szCs w:val="22"/>
        </w:rPr>
        <w:t>. In children, one of the most common rehabilitation measures is phased school re-entry planning, which involves collaboration between mental health professionals, teachers, and families to gradually increase school attendance and reduce distress associated with separation (Kearney, 2021).</w:t>
      </w:r>
    </w:p>
    <w:p w14:paraId="3DBE11EC" w14:textId="5BE18BBE" w:rsidR="00333AF0" w:rsidRPr="00732065" w:rsidRDefault="00333AF0" w:rsidP="00333AF0">
      <w:pPr>
        <w:pStyle w:val="NormalWeb"/>
        <w:spacing w:line="360" w:lineRule="auto"/>
        <w:rPr>
          <w:rFonts w:ascii="Arial" w:hAnsi="Arial" w:cs="Arial"/>
          <w:sz w:val="22"/>
          <w:szCs w:val="22"/>
        </w:rPr>
      </w:pPr>
      <w:r w:rsidRPr="00732065">
        <w:rPr>
          <w:rFonts w:ascii="Arial" w:hAnsi="Arial" w:cs="Arial"/>
          <w:sz w:val="22"/>
          <w:szCs w:val="22"/>
        </w:rPr>
        <w:lastRenderedPageBreak/>
        <w:t>Psychoeducation is another core rehabilitative component, helping caregivers and individuals understand the mechanisms of anxiety and how avoidance reinforces symptoms</w:t>
      </w:r>
      <w:r w:rsidR="009E5051">
        <w:rPr>
          <w:rFonts w:ascii="Arial" w:hAnsi="Arial" w:cs="Arial"/>
          <w:sz w:val="22"/>
          <w:szCs w:val="22"/>
        </w:rPr>
        <w:t xml:space="preserve"> </w:t>
      </w:r>
      <w:r w:rsidR="009E5051" w:rsidRPr="00732065">
        <w:rPr>
          <w:rFonts w:ascii="Arial" w:hAnsi="Arial" w:cs="Arial"/>
          <w:sz w:val="22"/>
          <w:szCs w:val="22"/>
        </w:rPr>
        <w:t>(Kearney, 2021)</w:t>
      </w:r>
      <w:r w:rsidRPr="00732065">
        <w:rPr>
          <w:rFonts w:ascii="Arial" w:hAnsi="Arial" w:cs="Arial"/>
          <w:sz w:val="22"/>
          <w:szCs w:val="22"/>
        </w:rPr>
        <w:t>. This understanding enables families to adopt consistent strategies that support exposure and independence</w:t>
      </w:r>
      <w:r w:rsidR="00FB2531">
        <w:rPr>
          <w:rFonts w:ascii="Arial" w:hAnsi="Arial" w:cs="Arial"/>
          <w:sz w:val="22"/>
          <w:szCs w:val="22"/>
        </w:rPr>
        <w:t xml:space="preserve"> </w:t>
      </w:r>
      <w:r w:rsidR="00FB2531" w:rsidRPr="00FB2531">
        <w:rPr>
          <w:rFonts w:ascii="Arial" w:hAnsi="Arial" w:cs="Arial"/>
          <w:sz w:val="22"/>
          <w:szCs w:val="22"/>
        </w:rPr>
        <w:t xml:space="preserve">(Eisen </w:t>
      </w:r>
      <w:r w:rsidR="00FB2531">
        <w:rPr>
          <w:rFonts w:ascii="Arial" w:hAnsi="Arial" w:cs="Arial"/>
          <w:sz w:val="22"/>
          <w:szCs w:val="22"/>
        </w:rPr>
        <w:t>et al.</w:t>
      </w:r>
      <w:r w:rsidR="00FB2531" w:rsidRPr="00FB2531">
        <w:rPr>
          <w:rFonts w:ascii="Arial" w:hAnsi="Arial" w:cs="Arial"/>
          <w:sz w:val="22"/>
          <w:szCs w:val="22"/>
        </w:rPr>
        <w:t>, 2008</w:t>
      </w:r>
      <w:r w:rsidR="00FB2531" w:rsidRPr="00FB2531">
        <w:rPr>
          <w:rFonts w:ascii="Arial" w:hAnsi="Arial" w:cs="Arial"/>
          <w:sz w:val="22"/>
          <w:szCs w:val="22"/>
        </w:rPr>
        <w:t>)</w:t>
      </w:r>
      <w:r w:rsidR="00FB2531">
        <w:rPr>
          <w:rFonts w:ascii="Arial" w:hAnsi="Arial" w:cs="Arial"/>
          <w:sz w:val="22"/>
          <w:szCs w:val="22"/>
        </w:rPr>
        <w:t>.</w:t>
      </w:r>
      <w:r w:rsidR="00FB2531" w:rsidRPr="00732065">
        <w:rPr>
          <w:rFonts w:ascii="Arial" w:hAnsi="Arial" w:cs="Arial"/>
          <w:sz w:val="22"/>
          <w:szCs w:val="22"/>
        </w:rPr>
        <w:t xml:space="preserve"> In</w:t>
      </w:r>
      <w:r w:rsidRPr="00732065">
        <w:rPr>
          <w:rFonts w:ascii="Arial" w:hAnsi="Arial" w:cs="Arial"/>
          <w:sz w:val="22"/>
          <w:szCs w:val="22"/>
        </w:rPr>
        <w:t xml:space="preserve"> adults, rehabilitation may involve workplace accommodations or support during transitional periods, such as relocating or managing prolonged separations from partners</w:t>
      </w:r>
      <w:r w:rsidR="00FB2531">
        <w:rPr>
          <w:rFonts w:ascii="Arial" w:hAnsi="Arial" w:cs="Arial"/>
          <w:sz w:val="22"/>
          <w:szCs w:val="22"/>
        </w:rPr>
        <w:t xml:space="preserve"> </w:t>
      </w:r>
      <w:r w:rsidR="00FB2531" w:rsidRPr="00FB2531">
        <w:rPr>
          <w:rFonts w:ascii="Arial" w:hAnsi="Arial" w:cs="Arial"/>
          <w:sz w:val="22"/>
          <w:szCs w:val="22"/>
        </w:rPr>
        <w:t>(Eisen</w:t>
      </w:r>
      <w:r w:rsidR="00FB2531">
        <w:rPr>
          <w:rFonts w:ascii="Arial" w:hAnsi="Arial" w:cs="Arial"/>
          <w:sz w:val="22"/>
          <w:szCs w:val="22"/>
        </w:rPr>
        <w:t xml:space="preserve"> et al.</w:t>
      </w:r>
      <w:r w:rsidR="00FB2531" w:rsidRPr="00FB2531">
        <w:rPr>
          <w:rFonts w:ascii="Arial" w:hAnsi="Arial" w:cs="Arial"/>
          <w:sz w:val="22"/>
          <w:szCs w:val="22"/>
        </w:rPr>
        <w:t>, 2008)</w:t>
      </w:r>
      <w:r w:rsidR="00FB2531">
        <w:rPr>
          <w:rFonts w:ascii="Arial" w:hAnsi="Arial" w:cs="Arial"/>
          <w:sz w:val="22"/>
          <w:szCs w:val="22"/>
        </w:rPr>
        <w:t xml:space="preserve">. </w:t>
      </w:r>
    </w:p>
    <w:p w14:paraId="547E8184" w14:textId="3A18589A" w:rsidR="00333AF0" w:rsidRPr="00333AF0" w:rsidRDefault="00333AF0" w:rsidP="00333AF0">
      <w:pPr>
        <w:pStyle w:val="NormalWeb"/>
        <w:spacing w:line="360" w:lineRule="auto"/>
        <w:rPr>
          <w:rFonts w:ascii="Arial" w:hAnsi="Arial" w:cs="Arial"/>
          <w:sz w:val="22"/>
          <w:szCs w:val="22"/>
        </w:rPr>
      </w:pPr>
      <w:r w:rsidRPr="00732065">
        <w:rPr>
          <w:rFonts w:ascii="Arial" w:hAnsi="Arial" w:cs="Arial"/>
          <w:sz w:val="22"/>
          <w:szCs w:val="22"/>
        </w:rPr>
        <w:t>ICD-11 also supports the use of cultural and contextual considerations when planning rehabilitation, recognising that separation behaviours may vary across cultures (WHO, 20</w:t>
      </w:r>
      <w:r w:rsidR="0000070E">
        <w:rPr>
          <w:rFonts w:ascii="Arial" w:hAnsi="Arial" w:cs="Arial"/>
          <w:sz w:val="22"/>
          <w:szCs w:val="22"/>
        </w:rPr>
        <w:t>25</w:t>
      </w:r>
      <w:r w:rsidRPr="00732065">
        <w:rPr>
          <w:rFonts w:ascii="Arial" w:hAnsi="Arial" w:cs="Arial"/>
          <w:sz w:val="22"/>
          <w:szCs w:val="22"/>
        </w:rPr>
        <w:t>). Consequently, clinicians often integrate culturally sensitive practices, trauma-informed care, and neurodiversity-aware approaches to address diverse presentations. Overall, rehabilitation aims not only to reduce symptoms but to promote long-term functioning, autonomy, and resilience</w:t>
      </w:r>
      <w:r w:rsidR="009A2354">
        <w:rPr>
          <w:rFonts w:ascii="Arial" w:hAnsi="Arial" w:cs="Arial"/>
          <w:sz w:val="22"/>
          <w:szCs w:val="22"/>
        </w:rPr>
        <w:t xml:space="preserve"> (</w:t>
      </w:r>
      <w:proofErr w:type="spellStart"/>
      <w:r w:rsidR="009A2354">
        <w:rPr>
          <w:rFonts w:ascii="Arial" w:hAnsi="Arial" w:cs="Arial"/>
          <w:sz w:val="22"/>
          <w:szCs w:val="22"/>
        </w:rPr>
        <w:t>Anticich</w:t>
      </w:r>
      <w:proofErr w:type="spellEnd"/>
      <w:r w:rsidR="009A2354">
        <w:rPr>
          <w:rFonts w:ascii="Arial" w:hAnsi="Arial" w:cs="Arial"/>
          <w:sz w:val="22"/>
          <w:szCs w:val="22"/>
        </w:rPr>
        <w:t xml:space="preserve"> et al., 2012).</w:t>
      </w:r>
    </w:p>
    <w:p w14:paraId="3E1A3412" w14:textId="7E880209" w:rsidR="00333AF0" w:rsidRPr="00FA47DF" w:rsidRDefault="00333AF0" w:rsidP="00333AF0">
      <w:pPr>
        <w:pStyle w:val="Heading2"/>
        <w:rPr>
          <w:rFonts w:ascii="Arial" w:eastAsia="Times New Roman" w:hAnsi="Arial" w:cs="Arial"/>
          <w:b/>
          <w:bCs/>
          <w:sz w:val="24"/>
          <w:szCs w:val="24"/>
        </w:rPr>
      </w:pPr>
      <w:bookmarkStart w:id="8" w:name="_Toc216455703"/>
      <w:r w:rsidRPr="00FA47DF">
        <w:rPr>
          <w:rFonts w:ascii="Arial" w:eastAsia="Times New Roman" w:hAnsi="Arial" w:cs="Arial"/>
          <w:b/>
          <w:bCs/>
          <w:sz w:val="24"/>
          <w:szCs w:val="24"/>
        </w:rPr>
        <w:t>3.3 Effectiveness and Limitations of Treatment and Rehabilitation</w:t>
      </w:r>
      <w:r w:rsidRPr="00333AF0">
        <w:rPr>
          <w:rFonts w:eastAsia="Times New Roman"/>
        </w:rPr>
        <w:t xml:space="preserve"> </w:t>
      </w:r>
      <w:r w:rsidRPr="00FA47DF">
        <w:rPr>
          <w:rFonts w:ascii="Arial" w:eastAsia="Times New Roman" w:hAnsi="Arial" w:cs="Arial"/>
          <w:b/>
          <w:bCs/>
          <w:sz w:val="24"/>
          <w:szCs w:val="24"/>
        </w:rPr>
        <w:t>Approaches</w:t>
      </w:r>
      <w:bookmarkEnd w:id="8"/>
      <w:r w:rsidRPr="00FA47DF">
        <w:rPr>
          <w:rFonts w:ascii="Arial" w:eastAsia="Times New Roman" w:hAnsi="Arial" w:cs="Arial"/>
          <w:b/>
          <w:bCs/>
          <w:sz w:val="24"/>
          <w:szCs w:val="24"/>
        </w:rPr>
        <w:t xml:space="preserve"> </w:t>
      </w:r>
    </w:p>
    <w:p w14:paraId="6E2C4FBE" w14:textId="77777777" w:rsidR="00333AF0" w:rsidRPr="00732065" w:rsidRDefault="00333AF0" w:rsidP="00333AF0">
      <w:pPr>
        <w:pStyle w:val="NormalWeb"/>
        <w:spacing w:line="360" w:lineRule="auto"/>
        <w:rPr>
          <w:rFonts w:ascii="Arial" w:hAnsi="Arial" w:cs="Arial"/>
          <w:sz w:val="22"/>
          <w:szCs w:val="22"/>
        </w:rPr>
      </w:pPr>
      <w:r w:rsidRPr="00732065">
        <w:rPr>
          <w:rFonts w:ascii="Arial" w:hAnsi="Arial" w:cs="Arial"/>
          <w:sz w:val="22"/>
          <w:szCs w:val="22"/>
        </w:rPr>
        <w:t>Evidence consistently supports the effectiveness of CBT-based interventions for Separation Anxiety Disorder, particularly when combined with family involvement. Studies show that exposure-based strategies significantly reduce avoidance behaviours, which are central to maintaining anxiety (</w:t>
      </w:r>
      <w:proofErr w:type="spellStart"/>
      <w:r w:rsidRPr="00732065">
        <w:rPr>
          <w:rFonts w:ascii="Arial" w:hAnsi="Arial" w:cs="Arial"/>
          <w:sz w:val="22"/>
          <w:szCs w:val="22"/>
        </w:rPr>
        <w:t>Beesdo</w:t>
      </w:r>
      <w:proofErr w:type="spellEnd"/>
      <w:r w:rsidRPr="00732065">
        <w:rPr>
          <w:rFonts w:ascii="Arial" w:hAnsi="Arial" w:cs="Arial"/>
          <w:sz w:val="22"/>
          <w:szCs w:val="22"/>
        </w:rPr>
        <w:t xml:space="preserve"> et al., 2019). Family-based approaches enhance treatment outcomes by addressing parental reinforcement of anxious behaviour and improving communication patterns. Rehabilitation strategies, such as school reintegration programmes, have been shown to improve attendance and reduce long-term academic disruption when implemented consistently (Kearney, 2021).</w:t>
      </w:r>
    </w:p>
    <w:p w14:paraId="34FC0E41" w14:textId="77777777" w:rsidR="00333AF0" w:rsidRPr="00732065" w:rsidRDefault="00333AF0" w:rsidP="00333AF0">
      <w:pPr>
        <w:pStyle w:val="NormalWeb"/>
        <w:spacing w:line="360" w:lineRule="auto"/>
        <w:rPr>
          <w:rFonts w:ascii="Arial" w:hAnsi="Arial" w:cs="Arial"/>
          <w:sz w:val="22"/>
          <w:szCs w:val="22"/>
        </w:rPr>
      </w:pPr>
      <w:r w:rsidRPr="00732065">
        <w:rPr>
          <w:rFonts w:ascii="Arial" w:hAnsi="Arial" w:cs="Arial"/>
          <w:sz w:val="22"/>
          <w:szCs w:val="22"/>
        </w:rPr>
        <w:t>Despite strong empirical support, several limitations persist. CBT relies heavily on cognitive and verbal skills, making it less accessible or effective for younger children, individuals with developmental delays, and neurodivergent individuals who require adapted approaches (Muris, 2020). Access to qualified therapists is another limitation, particularly in public services and rural areas where waiting lists are long. Pharmacological treatments such as SSRIs offer only partial relief and carry risks of side effects, making them inappropriate as standalone treatments for many individuals (Silove et al., 2010).</w:t>
      </w:r>
    </w:p>
    <w:p w14:paraId="3FABFC69" w14:textId="1063CED7" w:rsidR="00706023" w:rsidRPr="00333AF0" w:rsidRDefault="00333AF0" w:rsidP="00333AF0">
      <w:pPr>
        <w:pStyle w:val="NormalWeb"/>
        <w:spacing w:line="360" w:lineRule="auto"/>
        <w:rPr>
          <w:rFonts w:ascii="Arial" w:hAnsi="Arial" w:cs="Arial"/>
          <w:sz w:val="22"/>
          <w:szCs w:val="22"/>
        </w:rPr>
      </w:pPr>
      <w:r w:rsidRPr="009A2354">
        <w:rPr>
          <w:rFonts w:ascii="Arial" w:hAnsi="Arial" w:cs="Arial"/>
          <w:sz w:val="22"/>
          <w:szCs w:val="22"/>
        </w:rPr>
        <w:t>Rehabilitation measures also face challenges</w:t>
      </w:r>
      <w:r w:rsidR="009A2354" w:rsidRPr="009A2354">
        <w:rPr>
          <w:rFonts w:ascii="Arial" w:hAnsi="Arial" w:cs="Arial"/>
          <w:sz w:val="22"/>
          <w:szCs w:val="22"/>
        </w:rPr>
        <w:t xml:space="preserve"> (</w:t>
      </w:r>
      <w:proofErr w:type="spellStart"/>
      <w:r w:rsidR="009A2354" w:rsidRPr="009A2354">
        <w:rPr>
          <w:rFonts w:ascii="Arial" w:hAnsi="Arial" w:cs="Arial"/>
          <w:sz w:val="22"/>
          <w:szCs w:val="22"/>
        </w:rPr>
        <w:t>Anticich</w:t>
      </w:r>
      <w:proofErr w:type="spellEnd"/>
      <w:r w:rsidR="009A2354" w:rsidRPr="009A2354">
        <w:rPr>
          <w:rFonts w:ascii="Arial" w:hAnsi="Arial" w:cs="Arial"/>
          <w:sz w:val="22"/>
          <w:szCs w:val="22"/>
        </w:rPr>
        <w:t xml:space="preserve"> et al., 2012).</w:t>
      </w:r>
      <w:r w:rsidRPr="009A2354">
        <w:rPr>
          <w:rFonts w:ascii="Arial" w:hAnsi="Arial" w:cs="Arial"/>
          <w:sz w:val="22"/>
          <w:szCs w:val="22"/>
        </w:rPr>
        <w:t xml:space="preserve"> School-b</w:t>
      </w:r>
      <w:r w:rsidRPr="00732065">
        <w:rPr>
          <w:rFonts w:ascii="Arial" w:hAnsi="Arial" w:cs="Arial"/>
          <w:sz w:val="22"/>
          <w:szCs w:val="22"/>
        </w:rPr>
        <w:t>ased interventions rely on cooperation between educators and mental health services, which is not always feasible</w:t>
      </w:r>
      <w:r w:rsidR="009A2354">
        <w:rPr>
          <w:rFonts w:ascii="Arial" w:hAnsi="Arial" w:cs="Arial"/>
          <w:sz w:val="22"/>
          <w:szCs w:val="22"/>
        </w:rPr>
        <w:t xml:space="preserve"> (</w:t>
      </w:r>
      <w:proofErr w:type="spellStart"/>
      <w:r w:rsidR="009A2354">
        <w:rPr>
          <w:rFonts w:ascii="Arial" w:hAnsi="Arial" w:cs="Arial"/>
          <w:sz w:val="22"/>
          <w:szCs w:val="22"/>
        </w:rPr>
        <w:t>Silove</w:t>
      </w:r>
      <w:proofErr w:type="spellEnd"/>
      <w:r w:rsidR="009A2354">
        <w:rPr>
          <w:rFonts w:ascii="Arial" w:hAnsi="Arial" w:cs="Arial"/>
          <w:sz w:val="22"/>
          <w:szCs w:val="22"/>
        </w:rPr>
        <w:t xml:space="preserve"> at al., 2010).</w:t>
      </w:r>
      <w:r w:rsidRPr="00732065">
        <w:rPr>
          <w:rFonts w:ascii="Arial" w:hAnsi="Arial" w:cs="Arial"/>
          <w:sz w:val="22"/>
          <w:szCs w:val="22"/>
        </w:rPr>
        <w:t xml:space="preserve"> Additionally, culturally diverse families may hold different expectations around separations, which can complicate the use of standardised </w:t>
      </w:r>
      <w:r w:rsidRPr="00732065">
        <w:rPr>
          <w:rFonts w:ascii="Arial" w:hAnsi="Arial" w:cs="Arial"/>
          <w:sz w:val="22"/>
          <w:szCs w:val="22"/>
        </w:rPr>
        <w:lastRenderedPageBreak/>
        <w:t>treatment models</w:t>
      </w:r>
      <w:r w:rsidR="009A2354">
        <w:rPr>
          <w:rFonts w:ascii="Arial" w:hAnsi="Arial" w:cs="Arial"/>
          <w:sz w:val="22"/>
          <w:szCs w:val="22"/>
        </w:rPr>
        <w:t xml:space="preserve"> (WHO, 2025)</w:t>
      </w:r>
      <w:r w:rsidRPr="00732065">
        <w:rPr>
          <w:rFonts w:ascii="Arial" w:hAnsi="Arial" w:cs="Arial"/>
          <w:sz w:val="22"/>
          <w:szCs w:val="22"/>
        </w:rPr>
        <w:t>. As a result, treatment effectiveness often depends on contextual, developmental, and cultural factors</w:t>
      </w:r>
      <w:r w:rsidR="009A2354">
        <w:rPr>
          <w:rFonts w:ascii="Arial" w:hAnsi="Arial" w:cs="Arial"/>
          <w:sz w:val="22"/>
          <w:szCs w:val="22"/>
        </w:rPr>
        <w:t xml:space="preserve"> </w:t>
      </w:r>
      <w:r w:rsidR="009A2354">
        <w:rPr>
          <w:rFonts w:ascii="Arial" w:hAnsi="Arial" w:cs="Arial"/>
          <w:sz w:val="22"/>
          <w:szCs w:val="22"/>
        </w:rPr>
        <w:t>(</w:t>
      </w:r>
      <w:proofErr w:type="spellStart"/>
      <w:r w:rsidR="009A2354">
        <w:rPr>
          <w:rFonts w:ascii="Arial" w:hAnsi="Arial" w:cs="Arial"/>
          <w:sz w:val="22"/>
          <w:szCs w:val="22"/>
        </w:rPr>
        <w:t>Silove</w:t>
      </w:r>
      <w:proofErr w:type="spellEnd"/>
      <w:r w:rsidR="009A2354">
        <w:rPr>
          <w:rFonts w:ascii="Arial" w:hAnsi="Arial" w:cs="Arial"/>
          <w:sz w:val="22"/>
          <w:szCs w:val="22"/>
        </w:rPr>
        <w:t xml:space="preserve"> at al., 2010).</w:t>
      </w:r>
    </w:p>
    <w:p w14:paraId="0D06B3CB" w14:textId="62895D74" w:rsidR="008A6D32" w:rsidRPr="00FA47DF" w:rsidRDefault="008A6D32" w:rsidP="00AE79B0">
      <w:pPr>
        <w:pStyle w:val="Heading1"/>
        <w:numPr>
          <w:ilvl w:val="0"/>
          <w:numId w:val="2"/>
        </w:numPr>
        <w:rPr>
          <w:rFonts w:ascii="Arial" w:hAnsi="Arial" w:cs="Arial"/>
          <w:b/>
          <w:bCs/>
          <w:sz w:val="24"/>
          <w:szCs w:val="24"/>
        </w:rPr>
      </w:pPr>
      <w:bookmarkStart w:id="9" w:name="_Toc216455704"/>
      <w:r w:rsidRPr="00FA47DF">
        <w:rPr>
          <w:rFonts w:ascii="Arial" w:hAnsi="Arial" w:cs="Arial"/>
          <w:b/>
          <w:bCs/>
          <w:sz w:val="24"/>
          <w:szCs w:val="24"/>
        </w:rPr>
        <w:t>Current Debates and Emerging Issues</w:t>
      </w:r>
      <w:bookmarkEnd w:id="9"/>
    </w:p>
    <w:p w14:paraId="4E4B6B35" w14:textId="3EF3D712" w:rsidR="00333AF0" w:rsidRPr="00FA47DF" w:rsidRDefault="00333AF0" w:rsidP="00FA47DF">
      <w:pPr>
        <w:pStyle w:val="Heading1"/>
        <w:spacing w:line="360" w:lineRule="auto"/>
        <w:ind w:left="360"/>
        <w:rPr>
          <w:rFonts w:ascii="Arial" w:hAnsi="Arial" w:cs="Arial"/>
          <w:sz w:val="24"/>
          <w:szCs w:val="24"/>
        </w:rPr>
      </w:pPr>
      <w:bookmarkStart w:id="10" w:name="_Toc216455705"/>
      <w:r w:rsidRPr="00FA47DF">
        <w:rPr>
          <w:rStyle w:val="Strong"/>
          <w:rFonts w:ascii="Arial" w:hAnsi="Arial" w:cs="Arial"/>
          <w:sz w:val="24"/>
          <w:szCs w:val="24"/>
        </w:rPr>
        <w:t>4.1 Ongoing Debates Surrounding Classification and Treatment</w:t>
      </w:r>
      <w:bookmarkEnd w:id="10"/>
      <w:r w:rsidRPr="00FA47DF">
        <w:rPr>
          <w:rStyle w:val="Strong"/>
          <w:rFonts w:ascii="Arial" w:hAnsi="Arial" w:cs="Arial"/>
          <w:sz w:val="24"/>
          <w:szCs w:val="24"/>
        </w:rPr>
        <w:t xml:space="preserve"> </w:t>
      </w:r>
    </w:p>
    <w:p w14:paraId="3E5CA453" w14:textId="53EEDE25" w:rsidR="00333AF0" w:rsidRPr="00FA47DF" w:rsidRDefault="00333AF0" w:rsidP="00FA47DF">
      <w:pPr>
        <w:pStyle w:val="NormalWeb"/>
        <w:spacing w:line="360" w:lineRule="auto"/>
        <w:rPr>
          <w:rFonts w:ascii="Arial" w:hAnsi="Arial" w:cs="Arial"/>
          <w:sz w:val="22"/>
          <w:szCs w:val="22"/>
        </w:rPr>
      </w:pPr>
      <w:r w:rsidRPr="00FA47DF">
        <w:rPr>
          <w:rFonts w:ascii="Arial" w:hAnsi="Arial" w:cs="Arial"/>
          <w:sz w:val="22"/>
          <w:szCs w:val="22"/>
        </w:rPr>
        <w:t>There are several ongoing debates surrounding the classification and treatment of Separation Anxiety Disorder (SAD), particularly in relation to how diagnostic systems conceptualise separation-related fears across cultures and the lifespan</w:t>
      </w:r>
      <w:r w:rsidR="009A2354">
        <w:rPr>
          <w:rFonts w:ascii="Arial" w:hAnsi="Arial" w:cs="Arial"/>
          <w:sz w:val="22"/>
          <w:szCs w:val="22"/>
        </w:rPr>
        <w:t xml:space="preserve"> </w:t>
      </w:r>
      <w:r w:rsidR="009A2354">
        <w:rPr>
          <w:rFonts w:ascii="Arial" w:hAnsi="Arial" w:cs="Arial"/>
          <w:sz w:val="22"/>
          <w:szCs w:val="22"/>
        </w:rPr>
        <w:t>(</w:t>
      </w:r>
      <w:proofErr w:type="spellStart"/>
      <w:r w:rsidR="009A2354">
        <w:rPr>
          <w:rFonts w:ascii="Arial" w:hAnsi="Arial" w:cs="Arial"/>
          <w:sz w:val="22"/>
          <w:szCs w:val="22"/>
        </w:rPr>
        <w:t>Silove</w:t>
      </w:r>
      <w:proofErr w:type="spellEnd"/>
      <w:r w:rsidR="009A2354">
        <w:rPr>
          <w:rFonts w:ascii="Arial" w:hAnsi="Arial" w:cs="Arial"/>
          <w:sz w:val="22"/>
          <w:szCs w:val="22"/>
        </w:rPr>
        <w:t xml:space="preserve"> at al., 2010)</w:t>
      </w:r>
      <w:r w:rsidRPr="00FA47DF">
        <w:rPr>
          <w:rFonts w:ascii="Arial" w:hAnsi="Arial" w:cs="Arial"/>
          <w:sz w:val="22"/>
          <w:szCs w:val="22"/>
        </w:rPr>
        <w:t>. One major debate concern whether ICD-11 and DSM-5 risk over pathologizing normative attachment behaviours, especially in young children and in cultures where interdependence is valued (Muris, 2020). For example, behaviours that ICD-11 labels “developmentally inappropriate” may be culturally expected, leading to concerns that clinicians may incorrectly interpret secure, communal attachment patterns as symptoms of disorder</w:t>
      </w:r>
      <w:r w:rsidR="00167247">
        <w:rPr>
          <w:rFonts w:ascii="Arial" w:hAnsi="Arial" w:cs="Arial"/>
          <w:sz w:val="22"/>
          <w:szCs w:val="22"/>
        </w:rPr>
        <w:t xml:space="preserve"> </w:t>
      </w:r>
      <w:r w:rsidR="00167247">
        <w:rPr>
          <w:rFonts w:ascii="Arial" w:hAnsi="Arial" w:cs="Arial"/>
          <w:sz w:val="22"/>
          <w:szCs w:val="22"/>
        </w:rPr>
        <w:t>(</w:t>
      </w:r>
      <w:proofErr w:type="spellStart"/>
      <w:r w:rsidR="00167247">
        <w:rPr>
          <w:rFonts w:ascii="Arial" w:hAnsi="Arial" w:cs="Arial"/>
          <w:sz w:val="22"/>
          <w:szCs w:val="22"/>
        </w:rPr>
        <w:t>Silove</w:t>
      </w:r>
      <w:proofErr w:type="spellEnd"/>
      <w:r w:rsidR="00167247">
        <w:rPr>
          <w:rFonts w:ascii="Arial" w:hAnsi="Arial" w:cs="Arial"/>
          <w:sz w:val="22"/>
          <w:szCs w:val="22"/>
        </w:rPr>
        <w:t xml:space="preserve"> at al., 2010)</w:t>
      </w:r>
      <w:r w:rsidRPr="00FA47DF">
        <w:rPr>
          <w:rFonts w:ascii="Arial" w:hAnsi="Arial" w:cs="Arial"/>
          <w:sz w:val="22"/>
          <w:szCs w:val="22"/>
        </w:rPr>
        <w:t>. Additionally, the expansion of SAD to include adults has generated debate about whether this represents improved diagnostic recognition or an unnecessary medicalisation of expected emotional reliance within relationships (Maercker et al., 2013).</w:t>
      </w:r>
    </w:p>
    <w:p w14:paraId="0318D65A" w14:textId="2C2F9BE8" w:rsidR="00333AF0" w:rsidRPr="00FA47DF" w:rsidRDefault="00333AF0" w:rsidP="00FA47DF">
      <w:pPr>
        <w:pStyle w:val="NormalWeb"/>
        <w:spacing w:line="360" w:lineRule="auto"/>
        <w:rPr>
          <w:rFonts w:ascii="Arial" w:hAnsi="Arial" w:cs="Arial"/>
          <w:sz w:val="22"/>
          <w:szCs w:val="22"/>
        </w:rPr>
      </w:pPr>
      <w:r w:rsidRPr="00FA47DF">
        <w:rPr>
          <w:rFonts w:ascii="Arial" w:hAnsi="Arial" w:cs="Arial"/>
          <w:sz w:val="22"/>
          <w:szCs w:val="22"/>
        </w:rPr>
        <w:t>Treatment debates also persist. CBT remains the dominant evidence-based approach, but critics argue that its cognitive demands and standardised structure may not adequately reflect individual differences, cultural variations, or family dynamics (</w:t>
      </w:r>
      <w:proofErr w:type="spellStart"/>
      <w:r w:rsidRPr="00FA47DF">
        <w:rPr>
          <w:rFonts w:ascii="Arial" w:hAnsi="Arial" w:cs="Arial"/>
          <w:sz w:val="22"/>
          <w:szCs w:val="22"/>
        </w:rPr>
        <w:t>Beesdo</w:t>
      </w:r>
      <w:proofErr w:type="spellEnd"/>
      <w:r w:rsidRPr="00FA47DF">
        <w:rPr>
          <w:rFonts w:ascii="Arial" w:hAnsi="Arial" w:cs="Arial"/>
          <w:sz w:val="22"/>
          <w:szCs w:val="22"/>
        </w:rPr>
        <w:t xml:space="preserve"> et al., 2019). Furthermore, the use of SSRIs raises ethical questions regarding prescribing anxiolytic medications to children despite limited long-term safety data (Silove et al., 20</w:t>
      </w:r>
      <w:r w:rsidR="0000070E">
        <w:rPr>
          <w:rFonts w:ascii="Arial" w:hAnsi="Arial" w:cs="Arial"/>
          <w:sz w:val="22"/>
          <w:szCs w:val="22"/>
        </w:rPr>
        <w:t>1</w:t>
      </w:r>
      <w:r w:rsidRPr="00FA47DF">
        <w:rPr>
          <w:rFonts w:ascii="Arial" w:hAnsi="Arial" w:cs="Arial"/>
          <w:sz w:val="22"/>
          <w:szCs w:val="22"/>
        </w:rPr>
        <w:t>0). Collectively, these debates highlight tensions between clinical standardisation and the need for culturally sensitive, flexible, and developmentally informed approaches</w:t>
      </w:r>
      <w:r w:rsidR="00167247">
        <w:rPr>
          <w:rFonts w:ascii="Arial" w:hAnsi="Arial" w:cs="Arial"/>
          <w:sz w:val="22"/>
          <w:szCs w:val="22"/>
        </w:rPr>
        <w:t xml:space="preserve"> </w:t>
      </w:r>
      <w:r w:rsidR="00167247" w:rsidRPr="00FA47DF">
        <w:rPr>
          <w:rFonts w:ascii="Arial" w:hAnsi="Arial" w:cs="Arial"/>
          <w:sz w:val="22"/>
          <w:szCs w:val="22"/>
        </w:rPr>
        <w:t>(</w:t>
      </w:r>
      <w:proofErr w:type="spellStart"/>
      <w:r w:rsidR="00167247" w:rsidRPr="00FA47DF">
        <w:rPr>
          <w:rFonts w:ascii="Arial" w:hAnsi="Arial" w:cs="Arial"/>
          <w:sz w:val="22"/>
          <w:szCs w:val="22"/>
        </w:rPr>
        <w:t>Silove</w:t>
      </w:r>
      <w:proofErr w:type="spellEnd"/>
      <w:r w:rsidR="00167247" w:rsidRPr="00FA47DF">
        <w:rPr>
          <w:rFonts w:ascii="Arial" w:hAnsi="Arial" w:cs="Arial"/>
          <w:sz w:val="22"/>
          <w:szCs w:val="22"/>
        </w:rPr>
        <w:t xml:space="preserve"> et al., 20</w:t>
      </w:r>
      <w:r w:rsidR="00167247">
        <w:rPr>
          <w:rFonts w:ascii="Arial" w:hAnsi="Arial" w:cs="Arial"/>
          <w:sz w:val="22"/>
          <w:szCs w:val="22"/>
        </w:rPr>
        <w:t>1</w:t>
      </w:r>
      <w:r w:rsidR="00167247" w:rsidRPr="00FA47DF">
        <w:rPr>
          <w:rFonts w:ascii="Arial" w:hAnsi="Arial" w:cs="Arial"/>
          <w:sz w:val="22"/>
          <w:szCs w:val="22"/>
        </w:rPr>
        <w:t>0).</w:t>
      </w:r>
    </w:p>
    <w:p w14:paraId="46B32E75" w14:textId="2278D3E0" w:rsidR="00333AF0" w:rsidRPr="00FA47DF" w:rsidRDefault="00333AF0" w:rsidP="00FA47DF">
      <w:pPr>
        <w:pStyle w:val="Heading1"/>
        <w:spacing w:line="360" w:lineRule="auto"/>
        <w:rPr>
          <w:rFonts w:ascii="Arial" w:hAnsi="Arial" w:cs="Arial"/>
          <w:sz w:val="24"/>
          <w:szCs w:val="24"/>
        </w:rPr>
      </w:pPr>
      <w:bookmarkStart w:id="11" w:name="_Toc216455706"/>
      <w:r w:rsidRPr="00FA47DF">
        <w:rPr>
          <w:rStyle w:val="Strong"/>
          <w:rFonts w:ascii="Arial" w:hAnsi="Arial" w:cs="Arial"/>
          <w:sz w:val="24"/>
          <w:szCs w:val="24"/>
        </w:rPr>
        <w:t>4.2 Neurodivergence and Reclassification Issues</w:t>
      </w:r>
      <w:bookmarkEnd w:id="11"/>
      <w:r w:rsidRPr="00FA47DF">
        <w:rPr>
          <w:rStyle w:val="Strong"/>
          <w:rFonts w:ascii="Arial" w:hAnsi="Arial" w:cs="Arial"/>
          <w:sz w:val="24"/>
          <w:szCs w:val="24"/>
        </w:rPr>
        <w:t xml:space="preserve"> </w:t>
      </w:r>
    </w:p>
    <w:p w14:paraId="630A23E1" w14:textId="0A4F254D" w:rsidR="00333AF0" w:rsidRPr="00FA47DF" w:rsidRDefault="00333AF0" w:rsidP="00FA47DF">
      <w:pPr>
        <w:pStyle w:val="NormalWeb"/>
        <w:spacing w:line="360" w:lineRule="auto"/>
        <w:rPr>
          <w:rFonts w:ascii="Arial" w:hAnsi="Arial" w:cs="Arial"/>
          <w:sz w:val="22"/>
          <w:szCs w:val="22"/>
        </w:rPr>
      </w:pPr>
      <w:r w:rsidRPr="00FA47DF">
        <w:rPr>
          <w:rFonts w:ascii="Arial" w:hAnsi="Arial" w:cs="Arial"/>
          <w:sz w:val="22"/>
          <w:szCs w:val="22"/>
        </w:rPr>
        <w:t>The intersection of neurodivergence and Separation Anxiety Disorder is one of the most contested emerging issues in the field</w:t>
      </w:r>
      <w:r w:rsidR="00167247">
        <w:rPr>
          <w:rFonts w:ascii="Arial" w:hAnsi="Arial" w:cs="Arial"/>
          <w:sz w:val="22"/>
          <w:szCs w:val="22"/>
        </w:rPr>
        <w:t xml:space="preserve"> </w:t>
      </w:r>
      <w:r w:rsidR="00167247" w:rsidRPr="00FA47DF">
        <w:rPr>
          <w:rFonts w:ascii="Arial" w:hAnsi="Arial" w:cs="Arial"/>
          <w:sz w:val="22"/>
          <w:szCs w:val="22"/>
        </w:rPr>
        <w:t>(</w:t>
      </w:r>
      <w:proofErr w:type="spellStart"/>
      <w:r w:rsidR="00167247" w:rsidRPr="00FA47DF">
        <w:rPr>
          <w:rFonts w:ascii="Arial" w:hAnsi="Arial" w:cs="Arial"/>
          <w:sz w:val="22"/>
          <w:szCs w:val="22"/>
        </w:rPr>
        <w:t>Silove</w:t>
      </w:r>
      <w:proofErr w:type="spellEnd"/>
      <w:r w:rsidR="00167247" w:rsidRPr="00FA47DF">
        <w:rPr>
          <w:rFonts w:ascii="Arial" w:hAnsi="Arial" w:cs="Arial"/>
          <w:sz w:val="22"/>
          <w:szCs w:val="22"/>
        </w:rPr>
        <w:t xml:space="preserve"> et al., 20</w:t>
      </w:r>
      <w:r w:rsidR="00167247">
        <w:rPr>
          <w:rFonts w:ascii="Arial" w:hAnsi="Arial" w:cs="Arial"/>
          <w:sz w:val="22"/>
          <w:szCs w:val="22"/>
        </w:rPr>
        <w:t>1</w:t>
      </w:r>
      <w:r w:rsidR="00167247" w:rsidRPr="00FA47DF">
        <w:rPr>
          <w:rFonts w:ascii="Arial" w:hAnsi="Arial" w:cs="Arial"/>
          <w:sz w:val="22"/>
          <w:szCs w:val="22"/>
        </w:rPr>
        <w:t>0).</w:t>
      </w:r>
      <w:r w:rsidRPr="00FA47DF">
        <w:rPr>
          <w:rFonts w:ascii="Arial" w:hAnsi="Arial" w:cs="Arial"/>
          <w:sz w:val="22"/>
          <w:szCs w:val="22"/>
        </w:rPr>
        <w:t xml:space="preserve"> Many children and adults diagnosed with </w:t>
      </w:r>
      <w:proofErr w:type="gramStart"/>
      <w:r w:rsidRPr="00FA47DF">
        <w:rPr>
          <w:rFonts w:ascii="Arial" w:hAnsi="Arial" w:cs="Arial"/>
          <w:sz w:val="22"/>
          <w:szCs w:val="22"/>
        </w:rPr>
        <w:t>Autism Spectrum Disorder</w:t>
      </w:r>
      <w:proofErr w:type="gramEnd"/>
      <w:r w:rsidRPr="00FA47DF">
        <w:rPr>
          <w:rFonts w:ascii="Arial" w:hAnsi="Arial" w:cs="Arial"/>
          <w:sz w:val="22"/>
          <w:szCs w:val="22"/>
        </w:rPr>
        <w:t xml:space="preserve"> (ASD), ADHD, or those with profiles consistent with Pathological Demand Avoidance (PDA) exhibit distress during separation; however, the underlying mechanisms often differ from those seen in typical SAD presentations (Muris, 2020). For autistic individuals, distress may stem from sensory regulation needs, routine stability, or communication difficulties, rather than fear that harm will come to attachment figures</w:t>
      </w:r>
      <w:r w:rsidR="00FB2531">
        <w:rPr>
          <w:rFonts w:ascii="Arial" w:hAnsi="Arial" w:cs="Arial"/>
          <w:sz w:val="22"/>
          <w:szCs w:val="22"/>
        </w:rPr>
        <w:t xml:space="preserve"> </w:t>
      </w:r>
      <w:r w:rsidR="00FB2531" w:rsidRPr="00FA47DF">
        <w:rPr>
          <w:rFonts w:ascii="Arial" w:hAnsi="Arial" w:cs="Arial"/>
          <w:sz w:val="22"/>
          <w:szCs w:val="22"/>
        </w:rPr>
        <w:t>(</w:t>
      </w:r>
      <w:proofErr w:type="spellStart"/>
      <w:r w:rsidR="00FB2531" w:rsidRPr="00FA47DF">
        <w:rPr>
          <w:rFonts w:ascii="Arial" w:hAnsi="Arial" w:cs="Arial"/>
          <w:sz w:val="22"/>
          <w:szCs w:val="22"/>
        </w:rPr>
        <w:t>Beesdo</w:t>
      </w:r>
      <w:proofErr w:type="spellEnd"/>
      <w:r w:rsidR="00FB2531" w:rsidRPr="00FA47DF">
        <w:rPr>
          <w:rFonts w:ascii="Arial" w:hAnsi="Arial" w:cs="Arial"/>
          <w:sz w:val="22"/>
          <w:szCs w:val="22"/>
        </w:rPr>
        <w:t xml:space="preserve"> et al., 2019)</w:t>
      </w:r>
      <w:r w:rsidRPr="00FA47DF">
        <w:rPr>
          <w:rFonts w:ascii="Arial" w:hAnsi="Arial" w:cs="Arial"/>
          <w:sz w:val="22"/>
          <w:szCs w:val="22"/>
        </w:rPr>
        <w:t xml:space="preserve">. This raises concerns about misdiagnosis, which may lead to </w:t>
      </w:r>
      <w:r w:rsidRPr="00FA47DF">
        <w:rPr>
          <w:rFonts w:ascii="Arial" w:hAnsi="Arial" w:cs="Arial"/>
          <w:sz w:val="22"/>
          <w:szCs w:val="22"/>
        </w:rPr>
        <w:lastRenderedPageBreak/>
        <w:t>inappropriate treatment plans centred on CBT principles that rely heavily on abstract reasoning, insight, and verbal processing—skills that may not align with neurodivergent cognitive profiles (</w:t>
      </w:r>
      <w:proofErr w:type="spellStart"/>
      <w:r w:rsidRPr="00FA47DF">
        <w:rPr>
          <w:rFonts w:ascii="Arial" w:hAnsi="Arial" w:cs="Arial"/>
          <w:sz w:val="22"/>
          <w:szCs w:val="22"/>
        </w:rPr>
        <w:t>Beesdo</w:t>
      </w:r>
      <w:proofErr w:type="spellEnd"/>
      <w:r w:rsidRPr="00FA47DF">
        <w:rPr>
          <w:rFonts w:ascii="Arial" w:hAnsi="Arial" w:cs="Arial"/>
          <w:sz w:val="22"/>
          <w:szCs w:val="22"/>
        </w:rPr>
        <w:t xml:space="preserve"> et al., 2019).</w:t>
      </w:r>
    </w:p>
    <w:p w14:paraId="170F65BA" w14:textId="4C8E1F6E" w:rsidR="00333AF0" w:rsidRPr="00FB2531" w:rsidRDefault="00333AF0" w:rsidP="00FA47DF">
      <w:pPr>
        <w:pStyle w:val="NormalWeb"/>
        <w:spacing w:line="360" w:lineRule="auto"/>
        <w:rPr>
          <w:rFonts w:ascii="Arial" w:hAnsi="Arial" w:cs="Arial"/>
          <w:color w:val="EE0000"/>
          <w:sz w:val="22"/>
          <w:szCs w:val="22"/>
        </w:rPr>
      </w:pPr>
      <w:r w:rsidRPr="00FA47DF">
        <w:rPr>
          <w:rFonts w:ascii="Arial" w:hAnsi="Arial" w:cs="Arial"/>
          <w:sz w:val="22"/>
          <w:szCs w:val="22"/>
        </w:rPr>
        <w:t>Because ICD-11 emphasises “developmentally inappropriate” anxiety, clinicians must carefully distinguish between anxiety rooted in attachment fears and anxiety emerging from neurodevelopmental differences (WHO, 2</w:t>
      </w:r>
      <w:r w:rsidR="00FB2531">
        <w:rPr>
          <w:rFonts w:ascii="Arial" w:hAnsi="Arial" w:cs="Arial"/>
          <w:sz w:val="22"/>
          <w:szCs w:val="22"/>
        </w:rPr>
        <w:t>025</w:t>
      </w:r>
      <w:r w:rsidRPr="00FA47DF">
        <w:rPr>
          <w:rFonts w:ascii="Arial" w:hAnsi="Arial" w:cs="Arial"/>
          <w:sz w:val="22"/>
          <w:szCs w:val="22"/>
        </w:rPr>
        <w:t xml:space="preserve">). Some scholars argue for the inclusion of specifiers or alternative categorisations to avoid conflating different mechanisms of </w:t>
      </w:r>
      <w:r w:rsidRPr="000C7CC7">
        <w:rPr>
          <w:rFonts w:ascii="Arial" w:hAnsi="Arial" w:cs="Arial"/>
          <w:sz w:val="22"/>
          <w:szCs w:val="22"/>
        </w:rPr>
        <w:t>separation distress (</w:t>
      </w:r>
      <w:r w:rsidR="000C7CC7" w:rsidRPr="000C7CC7">
        <w:rPr>
          <w:rFonts w:ascii="Arial" w:hAnsi="Arial" w:cs="Arial"/>
          <w:sz w:val="22"/>
          <w:szCs w:val="22"/>
        </w:rPr>
        <w:t>Gallo et al., 2012)</w:t>
      </w:r>
      <w:r w:rsidRPr="000C7CC7">
        <w:rPr>
          <w:rFonts w:ascii="Arial" w:hAnsi="Arial" w:cs="Arial"/>
          <w:sz w:val="22"/>
          <w:szCs w:val="22"/>
        </w:rPr>
        <w:t>. This reclassification debate is significant, as accurate diagnosis determines access to tailored interventions, such as sensory-based supports or structured behavioural programmes, rather than standard CBT models</w:t>
      </w:r>
      <w:r w:rsidR="000C7CC7" w:rsidRPr="000C7CC7">
        <w:rPr>
          <w:rFonts w:ascii="Arial" w:hAnsi="Arial" w:cs="Arial"/>
          <w:sz w:val="22"/>
          <w:szCs w:val="22"/>
        </w:rPr>
        <w:t xml:space="preserve"> (</w:t>
      </w:r>
      <w:proofErr w:type="spellStart"/>
      <w:r w:rsidR="000C7CC7" w:rsidRPr="000C7CC7">
        <w:rPr>
          <w:rFonts w:ascii="Arial" w:hAnsi="Arial" w:cs="Arial"/>
          <w:sz w:val="22"/>
          <w:szCs w:val="22"/>
        </w:rPr>
        <w:t>Feriante</w:t>
      </w:r>
      <w:proofErr w:type="spellEnd"/>
      <w:r w:rsidR="000C7CC7" w:rsidRPr="000C7CC7">
        <w:rPr>
          <w:rFonts w:ascii="Arial" w:hAnsi="Arial" w:cs="Arial"/>
          <w:sz w:val="22"/>
          <w:szCs w:val="22"/>
        </w:rPr>
        <w:t xml:space="preserve"> et al</w:t>
      </w:r>
      <w:r w:rsidRPr="000C7CC7">
        <w:rPr>
          <w:rFonts w:ascii="Arial" w:hAnsi="Arial" w:cs="Arial"/>
          <w:sz w:val="22"/>
          <w:szCs w:val="22"/>
        </w:rPr>
        <w:t>.</w:t>
      </w:r>
      <w:r w:rsidR="000C7CC7" w:rsidRPr="000C7CC7">
        <w:rPr>
          <w:rFonts w:ascii="Arial" w:hAnsi="Arial" w:cs="Arial"/>
          <w:sz w:val="22"/>
          <w:szCs w:val="22"/>
        </w:rPr>
        <w:t>, 2023).</w:t>
      </w:r>
    </w:p>
    <w:p w14:paraId="54D4B48B" w14:textId="3050A540" w:rsidR="00333AF0" w:rsidRPr="00FA47DF" w:rsidRDefault="00333AF0" w:rsidP="00FA47DF">
      <w:pPr>
        <w:pStyle w:val="Heading1"/>
        <w:spacing w:line="360" w:lineRule="auto"/>
        <w:rPr>
          <w:rFonts w:ascii="Arial" w:hAnsi="Arial" w:cs="Arial"/>
          <w:sz w:val="24"/>
          <w:szCs w:val="24"/>
        </w:rPr>
      </w:pPr>
      <w:bookmarkStart w:id="12" w:name="_Toc216455707"/>
      <w:r w:rsidRPr="00FA47DF">
        <w:rPr>
          <w:rStyle w:val="Strong"/>
          <w:rFonts w:ascii="Arial" w:hAnsi="Arial" w:cs="Arial"/>
          <w:sz w:val="24"/>
          <w:szCs w:val="24"/>
        </w:rPr>
        <w:t>4.3 Impact of Debates on Practice and Policy</w:t>
      </w:r>
      <w:bookmarkEnd w:id="12"/>
      <w:r w:rsidRPr="00FA47DF">
        <w:rPr>
          <w:rStyle w:val="Strong"/>
          <w:rFonts w:ascii="Arial" w:hAnsi="Arial" w:cs="Arial"/>
          <w:sz w:val="24"/>
          <w:szCs w:val="24"/>
        </w:rPr>
        <w:t xml:space="preserve"> </w:t>
      </w:r>
    </w:p>
    <w:p w14:paraId="7F1F255D" w14:textId="41E8A85D" w:rsidR="00333AF0" w:rsidRPr="000C7CC7" w:rsidRDefault="00333AF0" w:rsidP="00FA47DF">
      <w:pPr>
        <w:pStyle w:val="NormalWeb"/>
        <w:spacing w:line="360" w:lineRule="auto"/>
        <w:rPr>
          <w:rFonts w:ascii="Arial" w:hAnsi="Arial" w:cs="Arial"/>
          <w:color w:val="EE0000"/>
          <w:sz w:val="22"/>
          <w:szCs w:val="22"/>
        </w:rPr>
      </w:pPr>
      <w:r w:rsidRPr="00FA47DF">
        <w:rPr>
          <w:rFonts w:ascii="Arial" w:hAnsi="Arial" w:cs="Arial"/>
          <w:sz w:val="22"/>
          <w:szCs w:val="22"/>
        </w:rPr>
        <w:t>The ongoing debates surrounding classification, cultural context, and neurodivergence have substantial implications for clinical practice and mental health policy</w:t>
      </w:r>
      <w:r w:rsidR="000C7CC7">
        <w:rPr>
          <w:rFonts w:ascii="Arial" w:hAnsi="Arial" w:cs="Arial"/>
          <w:sz w:val="22"/>
          <w:szCs w:val="22"/>
        </w:rPr>
        <w:t xml:space="preserve"> </w:t>
      </w:r>
      <w:r w:rsidR="000C7CC7" w:rsidRPr="000C7CC7">
        <w:rPr>
          <w:rFonts w:ascii="Arial" w:hAnsi="Arial" w:cs="Arial"/>
          <w:sz w:val="22"/>
          <w:szCs w:val="22"/>
        </w:rPr>
        <w:t>(</w:t>
      </w:r>
      <w:proofErr w:type="spellStart"/>
      <w:r w:rsidR="000C7CC7" w:rsidRPr="000C7CC7">
        <w:rPr>
          <w:rFonts w:ascii="Arial" w:hAnsi="Arial" w:cs="Arial"/>
          <w:sz w:val="22"/>
          <w:szCs w:val="22"/>
        </w:rPr>
        <w:t>Feriante</w:t>
      </w:r>
      <w:proofErr w:type="spellEnd"/>
      <w:r w:rsidR="000C7CC7" w:rsidRPr="000C7CC7">
        <w:rPr>
          <w:rFonts w:ascii="Arial" w:hAnsi="Arial" w:cs="Arial"/>
          <w:sz w:val="22"/>
          <w:szCs w:val="22"/>
        </w:rPr>
        <w:t xml:space="preserve"> et al., 2023)</w:t>
      </w:r>
      <w:r w:rsidRPr="00FA47DF">
        <w:rPr>
          <w:rFonts w:ascii="Arial" w:hAnsi="Arial" w:cs="Arial"/>
          <w:sz w:val="22"/>
          <w:szCs w:val="22"/>
        </w:rPr>
        <w:t>. Clinicians are increasingly encouraged to adopt holistic, culturally sensitive assessment methods that consider family structure, cultural norms, and neurodevelopmental profiles to avoid misdiagnosis (Muris, 2020). This shift impacts frontline services such as schools, which are now incorporating trauma-informed and neurodiversity-affirming approaches to support children with separation-based difficulties</w:t>
      </w:r>
      <w:r w:rsidR="000C7CC7">
        <w:rPr>
          <w:rFonts w:ascii="Arial" w:hAnsi="Arial" w:cs="Arial"/>
          <w:sz w:val="22"/>
          <w:szCs w:val="22"/>
        </w:rPr>
        <w:t xml:space="preserve"> (</w:t>
      </w:r>
      <w:r w:rsidR="000C7CC7" w:rsidRPr="00773B56">
        <w:rPr>
          <w:rFonts w:ascii="Arial" w:hAnsi="Arial" w:cs="Arial"/>
          <w:sz w:val="22"/>
          <w:szCs w:val="22"/>
        </w:rPr>
        <w:t>Kearney, 2021)</w:t>
      </w:r>
      <w:r w:rsidRPr="00FA47DF">
        <w:rPr>
          <w:rFonts w:ascii="Arial" w:hAnsi="Arial" w:cs="Arial"/>
          <w:sz w:val="22"/>
          <w:szCs w:val="22"/>
        </w:rPr>
        <w:t>. Such approaches reduce the risk of applying standard interventions that may not fit the child’s developmental or cultural needs (Kearney, 2021).</w:t>
      </w:r>
    </w:p>
    <w:p w14:paraId="22EB9F7C" w14:textId="7A0DA2B7" w:rsidR="008A6D32" w:rsidRDefault="00333AF0" w:rsidP="00FA47DF">
      <w:pPr>
        <w:pStyle w:val="NormalWeb"/>
        <w:spacing w:line="360" w:lineRule="auto"/>
        <w:rPr>
          <w:rFonts w:ascii="Arial" w:hAnsi="Arial" w:cs="Arial"/>
          <w:sz w:val="22"/>
          <w:szCs w:val="22"/>
        </w:rPr>
      </w:pPr>
      <w:r w:rsidRPr="00FA47DF">
        <w:rPr>
          <w:rFonts w:ascii="Arial" w:hAnsi="Arial" w:cs="Arial"/>
          <w:sz w:val="22"/>
          <w:szCs w:val="22"/>
        </w:rPr>
        <w:t>Policy implications include the need for updated training standards for mental health professionals, ensuring they can differentiate between attachment-based anxiety and distress rooted in neurodivergence or environmental stressors</w:t>
      </w:r>
      <w:r w:rsidR="0000070E">
        <w:rPr>
          <w:rFonts w:ascii="Arial" w:hAnsi="Arial" w:cs="Arial"/>
          <w:sz w:val="22"/>
          <w:szCs w:val="22"/>
        </w:rPr>
        <w:t xml:space="preserve"> </w:t>
      </w:r>
      <w:r w:rsidR="0000070E" w:rsidRPr="00FA47DF">
        <w:rPr>
          <w:rFonts w:ascii="Arial" w:hAnsi="Arial" w:cs="Arial"/>
          <w:sz w:val="22"/>
          <w:szCs w:val="22"/>
        </w:rPr>
        <w:t>(</w:t>
      </w:r>
      <w:proofErr w:type="spellStart"/>
      <w:r w:rsidR="0000070E" w:rsidRPr="00FA47DF">
        <w:rPr>
          <w:rFonts w:ascii="Arial" w:hAnsi="Arial" w:cs="Arial"/>
          <w:sz w:val="22"/>
          <w:szCs w:val="22"/>
        </w:rPr>
        <w:t>Silove</w:t>
      </w:r>
      <w:proofErr w:type="spellEnd"/>
      <w:r w:rsidR="0000070E" w:rsidRPr="00FA47DF">
        <w:rPr>
          <w:rFonts w:ascii="Arial" w:hAnsi="Arial" w:cs="Arial"/>
          <w:sz w:val="22"/>
          <w:szCs w:val="22"/>
        </w:rPr>
        <w:t xml:space="preserve"> et al., 20</w:t>
      </w:r>
      <w:r w:rsidR="0000070E">
        <w:rPr>
          <w:rFonts w:ascii="Arial" w:hAnsi="Arial" w:cs="Arial"/>
          <w:sz w:val="22"/>
          <w:szCs w:val="22"/>
        </w:rPr>
        <w:t>1</w:t>
      </w:r>
      <w:r w:rsidR="0000070E" w:rsidRPr="00FA47DF">
        <w:rPr>
          <w:rFonts w:ascii="Arial" w:hAnsi="Arial" w:cs="Arial"/>
          <w:sz w:val="22"/>
          <w:szCs w:val="22"/>
        </w:rPr>
        <w:t>0)</w:t>
      </w:r>
      <w:r w:rsidRPr="00FA47DF">
        <w:rPr>
          <w:rFonts w:ascii="Arial" w:hAnsi="Arial" w:cs="Arial"/>
          <w:sz w:val="22"/>
          <w:szCs w:val="22"/>
        </w:rPr>
        <w:t xml:space="preserve">. The expansion of SAD to adults in ICD-11 also necessitates adjustments in adult mental health services, which have historically overlooked separation-based disorders (Maercker et al., 2013). </w:t>
      </w:r>
      <w:r w:rsidRPr="00167247">
        <w:rPr>
          <w:rFonts w:ascii="Arial" w:hAnsi="Arial" w:cs="Arial"/>
          <w:sz w:val="22"/>
          <w:szCs w:val="22"/>
        </w:rPr>
        <w:t>Furthermore, these debates influence resource allocation, as more flexible and tailored treatment models require greater interdisciplinary collaboration across education, social care, and health services</w:t>
      </w:r>
      <w:r w:rsidR="00167247">
        <w:rPr>
          <w:rFonts w:ascii="Arial" w:hAnsi="Arial" w:cs="Arial"/>
          <w:sz w:val="22"/>
          <w:szCs w:val="22"/>
        </w:rPr>
        <w:t xml:space="preserve"> (</w:t>
      </w:r>
      <w:r w:rsidR="00167247" w:rsidRPr="00773B56">
        <w:rPr>
          <w:rFonts w:ascii="Arial" w:hAnsi="Arial" w:cs="Arial"/>
          <w:sz w:val="22"/>
          <w:szCs w:val="22"/>
        </w:rPr>
        <w:t xml:space="preserve">Kearney, 2021). </w:t>
      </w:r>
      <w:r w:rsidRPr="00FA47DF">
        <w:rPr>
          <w:rFonts w:ascii="Arial" w:hAnsi="Arial" w:cs="Arial"/>
          <w:sz w:val="22"/>
          <w:szCs w:val="22"/>
        </w:rPr>
        <w:t xml:space="preserve"> Ultimately, these debates encourage policymakers to adopt diagnostic frameworks and treatment guidelines that reflect cultural diversity, developmental differences, and contemporary clinical evidence, improving outcomes for individuals with SAD</w:t>
      </w:r>
      <w:r w:rsidR="0000070E">
        <w:rPr>
          <w:rFonts w:ascii="Arial" w:hAnsi="Arial" w:cs="Arial"/>
          <w:sz w:val="22"/>
          <w:szCs w:val="22"/>
        </w:rPr>
        <w:t xml:space="preserve"> </w:t>
      </w:r>
      <w:r w:rsidR="0000070E" w:rsidRPr="00FA47DF">
        <w:rPr>
          <w:rFonts w:ascii="Arial" w:hAnsi="Arial" w:cs="Arial"/>
          <w:sz w:val="22"/>
          <w:szCs w:val="22"/>
        </w:rPr>
        <w:t>(</w:t>
      </w:r>
      <w:proofErr w:type="spellStart"/>
      <w:r w:rsidR="0000070E" w:rsidRPr="00FA47DF">
        <w:rPr>
          <w:rFonts w:ascii="Arial" w:hAnsi="Arial" w:cs="Arial"/>
          <w:sz w:val="22"/>
          <w:szCs w:val="22"/>
        </w:rPr>
        <w:t>Silove</w:t>
      </w:r>
      <w:proofErr w:type="spellEnd"/>
      <w:r w:rsidR="0000070E" w:rsidRPr="00FA47DF">
        <w:rPr>
          <w:rFonts w:ascii="Arial" w:hAnsi="Arial" w:cs="Arial"/>
          <w:sz w:val="22"/>
          <w:szCs w:val="22"/>
        </w:rPr>
        <w:t xml:space="preserve"> et al., 20</w:t>
      </w:r>
      <w:r w:rsidR="0000070E">
        <w:rPr>
          <w:rFonts w:ascii="Arial" w:hAnsi="Arial" w:cs="Arial"/>
          <w:sz w:val="22"/>
          <w:szCs w:val="22"/>
        </w:rPr>
        <w:t>1</w:t>
      </w:r>
      <w:r w:rsidR="0000070E" w:rsidRPr="00FA47DF">
        <w:rPr>
          <w:rFonts w:ascii="Arial" w:hAnsi="Arial" w:cs="Arial"/>
          <w:sz w:val="22"/>
          <w:szCs w:val="22"/>
        </w:rPr>
        <w:t>0).</w:t>
      </w:r>
    </w:p>
    <w:p w14:paraId="0EBC3A09" w14:textId="77777777" w:rsidR="0000070E" w:rsidRPr="00FA47DF" w:rsidRDefault="0000070E" w:rsidP="00FA47DF">
      <w:pPr>
        <w:pStyle w:val="NormalWeb"/>
        <w:spacing w:line="360" w:lineRule="auto"/>
        <w:rPr>
          <w:rFonts w:ascii="Arial" w:hAnsi="Arial" w:cs="Arial"/>
          <w:sz w:val="22"/>
          <w:szCs w:val="22"/>
        </w:rPr>
      </w:pPr>
    </w:p>
    <w:p w14:paraId="663F265C" w14:textId="396950AE" w:rsidR="008A6D32" w:rsidRPr="00773B56" w:rsidRDefault="008A6D32" w:rsidP="00AE79B0">
      <w:pPr>
        <w:pStyle w:val="Heading1"/>
        <w:numPr>
          <w:ilvl w:val="0"/>
          <w:numId w:val="2"/>
        </w:numPr>
        <w:rPr>
          <w:rFonts w:ascii="Arial" w:hAnsi="Arial" w:cs="Arial"/>
          <w:b/>
          <w:bCs/>
          <w:sz w:val="24"/>
          <w:szCs w:val="24"/>
        </w:rPr>
      </w:pPr>
      <w:bookmarkStart w:id="13" w:name="_Toc216455708"/>
      <w:r w:rsidRPr="00773B56">
        <w:rPr>
          <w:rFonts w:ascii="Arial" w:hAnsi="Arial" w:cs="Arial"/>
          <w:b/>
          <w:bCs/>
          <w:sz w:val="24"/>
          <w:szCs w:val="24"/>
        </w:rPr>
        <w:lastRenderedPageBreak/>
        <w:t>Recommendations:</w:t>
      </w:r>
      <w:bookmarkEnd w:id="13"/>
      <w:r w:rsidRPr="00773B56">
        <w:rPr>
          <w:rStyle w:val="apple-converted-space"/>
          <w:rFonts w:ascii="Arial" w:hAnsi="Arial" w:cs="Arial"/>
          <w:b/>
          <w:bCs/>
          <w:color w:val="000000"/>
          <w:sz w:val="24"/>
          <w:szCs w:val="24"/>
        </w:rPr>
        <w:t> </w:t>
      </w:r>
    </w:p>
    <w:p w14:paraId="17A7F481" w14:textId="4200780A" w:rsidR="00FA47DF" w:rsidRPr="00FA47DF" w:rsidRDefault="00FA47DF" w:rsidP="00FA47DF">
      <w:pPr>
        <w:pStyle w:val="NormalWeb"/>
        <w:spacing w:line="360" w:lineRule="auto"/>
        <w:rPr>
          <w:rFonts w:ascii="Arial" w:hAnsi="Arial" w:cs="Arial"/>
          <w:sz w:val="22"/>
          <w:szCs w:val="22"/>
        </w:rPr>
      </w:pPr>
      <w:r w:rsidRPr="00FA47DF">
        <w:rPr>
          <w:rFonts w:ascii="Arial" w:hAnsi="Arial" w:cs="Arial"/>
          <w:sz w:val="22"/>
          <w:szCs w:val="22"/>
        </w:rPr>
        <w:t>Improving the classification, diagnosis, and treatment of Separation Anxiety Disorder (SAD) requires a multi-layered approach that acknowledges developmental, cultural, and neurodivergent variability</w:t>
      </w:r>
      <w:r w:rsidR="00167247">
        <w:rPr>
          <w:rFonts w:ascii="Arial" w:hAnsi="Arial" w:cs="Arial"/>
          <w:sz w:val="22"/>
          <w:szCs w:val="22"/>
        </w:rPr>
        <w:t xml:space="preserve"> (WHO, 2025).</w:t>
      </w:r>
      <w:r w:rsidRPr="00FA47DF">
        <w:rPr>
          <w:rFonts w:ascii="Arial" w:hAnsi="Arial" w:cs="Arial"/>
          <w:sz w:val="22"/>
          <w:szCs w:val="22"/>
        </w:rPr>
        <w:t xml:space="preserve"> First, the classification of SAD in ICD-11 would benefit from the inclusion of </w:t>
      </w:r>
      <w:r w:rsidRPr="00FA47DF">
        <w:rPr>
          <w:rStyle w:val="Strong"/>
          <w:rFonts w:ascii="Arial" w:eastAsiaTheme="majorEastAsia" w:hAnsi="Arial" w:cs="Arial"/>
          <w:b w:val="0"/>
          <w:bCs w:val="0"/>
          <w:sz w:val="22"/>
          <w:szCs w:val="22"/>
        </w:rPr>
        <w:t>specifiers</w:t>
      </w:r>
      <w:r w:rsidRPr="00FA47DF">
        <w:rPr>
          <w:rFonts w:ascii="Arial" w:hAnsi="Arial" w:cs="Arial"/>
          <w:sz w:val="22"/>
          <w:szCs w:val="22"/>
        </w:rPr>
        <w:t xml:space="preserve"> that distinguish between separation anxiety rooted in attachment-based fears and distress arising from neurodevelopmental differences, such as autism or ADHD</w:t>
      </w:r>
      <w:r w:rsidR="00167247">
        <w:rPr>
          <w:rFonts w:ascii="Arial" w:hAnsi="Arial" w:cs="Arial"/>
          <w:sz w:val="22"/>
          <w:szCs w:val="22"/>
        </w:rPr>
        <w:t xml:space="preserve"> (WHO, 2025). </w:t>
      </w:r>
      <w:r w:rsidRPr="00FA47DF">
        <w:rPr>
          <w:rFonts w:ascii="Arial" w:hAnsi="Arial" w:cs="Arial"/>
          <w:sz w:val="22"/>
          <w:szCs w:val="22"/>
        </w:rPr>
        <w:t>Research demonstrates that neurodivergent individuals often present with separation-related distress for reasons unrelated to attachment concerns (Muris &amp; Broeren, 2020). Adding specifiers or differential-diagnostic guidance would reduce the risk of misclassification and promote more accurate clinical decision-making</w:t>
      </w:r>
      <w:r w:rsidR="00167247">
        <w:rPr>
          <w:rFonts w:ascii="Arial" w:hAnsi="Arial" w:cs="Arial"/>
          <w:sz w:val="22"/>
          <w:szCs w:val="22"/>
        </w:rPr>
        <w:t xml:space="preserve"> (WHO, 2025).</w:t>
      </w:r>
    </w:p>
    <w:p w14:paraId="215BB316" w14:textId="68ADD768" w:rsidR="00FA47DF" w:rsidRPr="00FA47DF" w:rsidRDefault="00FA47DF" w:rsidP="00FA47DF">
      <w:pPr>
        <w:pStyle w:val="NormalWeb"/>
        <w:spacing w:line="360" w:lineRule="auto"/>
        <w:rPr>
          <w:rFonts w:ascii="Arial" w:hAnsi="Arial" w:cs="Arial"/>
          <w:sz w:val="22"/>
          <w:szCs w:val="22"/>
        </w:rPr>
      </w:pPr>
      <w:r w:rsidRPr="00FA47DF">
        <w:rPr>
          <w:rFonts w:ascii="Arial" w:hAnsi="Arial" w:cs="Arial"/>
          <w:sz w:val="22"/>
          <w:szCs w:val="22"/>
        </w:rPr>
        <w:t xml:space="preserve">Diagnostic processes would also improve through the routine incorporation of </w:t>
      </w:r>
      <w:r w:rsidRPr="00FA47DF">
        <w:rPr>
          <w:rStyle w:val="Strong"/>
          <w:rFonts w:ascii="Arial" w:eastAsiaTheme="majorEastAsia" w:hAnsi="Arial" w:cs="Arial"/>
          <w:b w:val="0"/>
          <w:bCs w:val="0"/>
          <w:sz w:val="22"/>
          <w:szCs w:val="22"/>
        </w:rPr>
        <w:t>culturally sensitive assessment tools</w:t>
      </w:r>
      <w:r w:rsidRPr="00FA47DF">
        <w:rPr>
          <w:rFonts w:ascii="Arial" w:hAnsi="Arial" w:cs="Arial"/>
          <w:sz w:val="22"/>
          <w:szCs w:val="22"/>
        </w:rPr>
        <w:t>, acknowledging that separation behaviours vary significantly across cultural groups</w:t>
      </w:r>
      <w:r w:rsidR="00167247">
        <w:rPr>
          <w:rFonts w:ascii="Arial" w:hAnsi="Arial" w:cs="Arial"/>
          <w:sz w:val="22"/>
          <w:szCs w:val="22"/>
        </w:rPr>
        <w:t xml:space="preserve"> (WHO,2025)</w:t>
      </w:r>
      <w:r w:rsidRPr="00FA47DF">
        <w:rPr>
          <w:rFonts w:ascii="Arial" w:hAnsi="Arial" w:cs="Arial"/>
          <w:sz w:val="22"/>
          <w:szCs w:val="22"/>
        </w:rPr>
        <w:t>. The ICD-11 emphasises cultural context, but clinicians require clearer guidance to avoid pathologizing normative cultural practices (W</w:t>
      </w:r>
      <w:r w:rsidR="00167247">
        <w:rPr>
          <w:rFonts w:ascii="Arial" w:hAnsi="Arial" w:cs="Arial"/>
          <w:sz w:val="22"/>
          <w:szCs w:val="22"/>
        </w:rPr>
        <w:t>HO</w:t>
      </w:r>
      <w:r w:rsidRPr="00FA47DF">
        <w:rPr>
          <w:rFonts w:ascii="Arial" w:hAnsi="Arial" w:cs="Arial"/>
          <w:sz w:val="22"/>
          <w:szCs w:val="22"/>
        </w:rPr>
        <w:t>, 2</w:t>
      </w:r>
      <w:r w:rsidR="00167247">
        <w:rPr>
          <w:rFonts w:ascii="Arial" w:hAnsi="Arial" w:cs="Arial"/>
          <w:sz w:val="22"/>
          <w:szCs w:val="22"/>
        </w:rPr>
        <w:t>025</w:t>
      </w:r>
      <w:r w:rsidRPr="00FA47DF">
        <w:rPr>
          <w:rFonts w:ascii="Arial" w:hAnsi="Arial" w:cs="Arial"/>
          <w:sz w:val="22"/>
          <w:szCs w:val="22"/>
        </w:rPr>
        <w:t>). Training programmes and clinical guidelines should therefore integrate cultural competence as a core diagnostic skill</w:t>
      </w:r>
      <w:r w:rsidR="00167247">
        <w:rPr>
          <w:rFonts w:ascii="Arial" w:hAnsi="Arial" w:cs="Arial"/>
          <w:sz w:val="22"/>
          <w:szCs w:val="22"/>
        </w:rPr>
        <w:t xml:space="preserve"> (WHO, 2025).</w:t>
      </w:r>
    </w:p>
    <w:p w14:paraId="55F20BA3" w14:textId="79476460" w:rsidR="00FA47DF" w:rsidRPr="00FA47DF" w:rsidRDefault="00FA47DF" w:rsidP="00FA47DF">
      <w:pPr>
        <w:pStyle w:val="NormalWeb"/>
        <w:spacing w:line="360" w:lineRule="auto"/>
        <w:rPr>
          <w:rFonts w:ascii="Arial" w:hAnsi="Arial" w:cs="Arial"/>
          <w:sz w:val="22"/>
          <w:szCs w:val="22"/>
        </w:rPr>
      </w:pPr>
      <w:r w:rsidRPr="00FA47DF">
        <w:rPr>
          <w:rFonts w:ascii="Arial" w:hAnsi="Arial" w:cs="Arial"/>
          <w:sz w:val="22"/>
          <w:szCs w:val="22"/>
        </w:rPr>
        <w:t xml:space="preserve">Treatment recommendations should prioritise </w:t>
      </w:r>
      <w:r w:rsidRPr="00FA47DF">
        <w:rPr>
          <w:rStyle w:val="Strong"/>
          <w:rFonts w:ascii="Arial" w:eastAsiaTheme="majorEastAsia" w:hAnsi="Arial" w:cs="Arial"/>
          <w:b w:val="0"/>
          <w:bCs w:val="0"/>
          <w:sz w:val="22"/>
          <w:szCs w:val="22"/>
        </w:rPr>
        <w:t>flexible, individualised intervention models</w:t>
      </w:r>
      <w:r w:rsidR="005603B1">
        <w:rPr>
          <w:rFonts w:ascii="Arial" w:hAnsi="Arial" w:cs="Arial"/>
          <w:b/>
          <w:bCs/>
          <w:sz w:val="22"/>
          <w:szCs w:val="22"/>
        </w:rPr>
        <w:t xml:space="preserve"> </w:t>
      </w:r>
      <w:r w:rsidR="005603B1" w:rsidRPr="005603B1">
        <w:rPr>
          <w:rFonts w:ascii="Arial" w:hAnsi="Arial" w:cs="Arial"/>
          <w:sz w:val="22"/>
          <w:szCs w:val="22"/>
        </w:rPr>
        <w:t>(WHO, 2025).</w:t>
      </w:r>
      <w:r w:rsidR="005603B1">
        <w:rPr>
          <w:rFonts w:ascii="Arial" w:hAnsi="Arial" w:cs="Arial"/>
          <w:b/>
          <w:bCs/>
          <w:sz w:val="22"/>
          <w:szCs w:val="22"/>
        </w:rPr>
        <w:t xml:space="preserve"> </w:t>
      </w:r>
      <w:r w:rsidRPr="00FA47DF">
        <w:rPr>
          <w:rFonts w:ascii="Arial" w:hAnsi="Arial" w:cs="Arial"/>
          <w:sz w:val="22"/>
          <w:szCs w:val="22"/>
        </w:rPr>
        <w:t>While CBT remains strongly supported</w:t>
      </w:r>
      <w:r w:rsidR="00167247">
        <w:rPr>
          <w:rFonts w:ascii="Arial" w:hAnsi="Arial" w:cs="Arial"/>
          <w:sz w:val="22"/>
          <w:szCs w:val="22"/>
        </w:rPr>
        <w:t xml:space="preserve">, </w:t>
      </w:r>
      <w:r w:rsidRPr="00FA47DF">
        <w:rPr>
          <w:rFonts w:ascii="Arial" w:hAnsi="Arial" w:cs="Arial"/>
          <w:sz w:val="22"/>
          <w:szCs w:val="22"/>
        </w:rPr>
        <w:t>adaptations are needed for younger children, neurodivergent individuals, and those with communication differences</w:t>
      </w:r>
      <w:r w:rsidR="00167247">
        <w:rPr>
          <w:rFonts w:ascii="Arial" w:hAnsi="Arial" w:cs="Arial"/>
          <w:sz w:val="22"/>
          <w:szCs w:val="22"/>
        </w:rPr>
        <w:t xml:space="preserve"> </w:t>
      </w:r>
      <w:r w:rsidR="00167247" w:rsidRPr="00FA47DF">
        <w:rPr>
          <w:rFonts w:ascii="Arial" w:hAnsi="Arial" w:cs="Arial"/>
          <w:sz w:val="22"/>
          <w:szCs w:val="22"/>
        </w:rPr>
        <w:t>(</w:t>
      </w:r>
      <w:proofErr w:type="spellStart"/>
      <w:r w:rsidR="00167247" w:rsidRPr="00FA47DF">
        <w:rPr>
          <w:rFonts w:ascii="Arial" w:hAnsi="Arial" w:cs="Arial"/>
          <w:sz w:val="22"/>
          <w:szCs w:val="22"/>
        </w:rPr>
        <w:t>Beesdo</w:t>
      </w:r>
      <w:proofErr w:type="spellEnd"/>
      <w:r w:rsidR="00167247" w:rsidRPr="00FA47DF">
        <w:rPr>
          <w:rFonts w:ascii="Arial" w:hAnsi="Arial" w:cs="Arial"/>
          <w:sz w:val="22"/>
          <w:szCs w:val="22"/>
        </w:rPr>
        <w:t xml:space="preserve"> et al., 2019)</w:t>
      </w:r>
      <w:r w:rsidRPr="00FA47DF">
        <w:rPr>
          <w:rFonts w:ascii="Arial" w:hAnsi="Arial" w:cs="Arial"/>
          <w:sz w:val="22"/>
          <w:szCs w:val="22"/>
        </w:rPr>
        <w:t>. Integrating sensory-based interventions, family-systems approaches, and trauma-informed practices can extend treatment effectiveness across diverse populations</w:t>
      </w:r>
      <w:r w:rsidR="005603B1">
        <w:rPr>
          <w:rFonts w:ascii="Arial" w:hAnsi="Arial" w:cs="Arial"/>
          <w:sz w:val="22"/>
          <w:szCs w:val="22"/>
        </w:rPr>
        <w:t xml:space="preserve"> </w:t>
      </w:r>
      <w:r w:rsidR="005603B1" w:rsidRPr="005603B1">
        <w:rPr>
          <w:rFonts w:ascii="Arial" w:hAnsi="Arial" w:cs="Arial"/>
          <w:sz w:val="22"/>
          <w:szCs w:val="22"/>
        </w:rPr>
        <w:t>(Hockey et al., 2025)</w:t>
      </w:r>
      <w:r w:rsidR="005603B1">
        <w:rPr>
          <w:rFonts w:ascii="Arial" w:hAnsi="Arial" w:cs="Arial"/>
          <w:sz w:val="22"/>
          <w:szCs w:val="22"/>
        </w:rPr>
        <w:t>.</w:t>
      </w:r>
      <w:r w:rsidRPr="00FA47DF">
        <w:rPr>
          <w:rFonts w:ascii="Arial" w:hAnsi="Arial" w:cs="Arial"/>
          <w:sz w:val="22"/>
          <w:szCs w:val="22"/>
        </w:rPr>
        <w:t xml:space="preserve"> Additionally, school- and community-based rehabilitation programmes should be expanded, ensuring early intervention and continuity of support during transitions, which are known high-risk periods for symptom escalation (Kearney, 2021).</w:t>
      </w:r>
    </w:p>
    <w:p w14:paraId="5065C554" w14:textId="38464642" w:rsidR="00773B56" w:rsidRDefault="00FA47DF" w:rsidP="00773B56">
      <w:pPr>
        <w:pStyle w:val="NormalWeb"/>
        <w:spacing w:line="360" w:lineRule="auto"/>
        <w:rPr>
          <w:rFonts w:ascii="Arial" w:hAnsi="Arial" w:cs="Arial"/>
          <w:sz w:val="22"/>
          <w:szCs w:val="22"/>
        </w:rPr>
      </w:pPr>
      <w:r w:rsidRPr="005603B1">
        <w:rPr>
          <w:rFonts w:ascii="Arial" w:hAnsi="Arial" w:cs="Arial"/>
          <w:sz w:val="22"/>
          <w:szCs w:val="22"/>
        </w:rPr>
        <w:t>From a policy perspective, improved funding for early mental-health services, reductions in waiting times, and cross-agency collaboration between schools, health services, and social care are essential</w:t>
      </w:r>
      <w:r w:rsidR="005603B1">
        <w:rPr>
          <w:rFonts w:ascii="Arial" w:hAnsi="Arial" w:cs="Arial"/>
          <w:sz w:val="22"/>
          <w:szCs w:val="22"/>
        </w:rPr>
        <w:t xml:space="preserve"> (WHO</w:t>
      </w:r>
      <w:r w:rsidRPr="005603B1">
        <w:rPr>
          <w:rFonts w:ascii="Arial" w:hAnsi="Arial" w:cs="Arial"/>
          <w:sz w:val="22"/>
          <w:szCs w:val="22"/>
        </w:rPr>
        <w:t>.</w:t>
      </w:r>
      <w:r w:rsidR="005603B1">
        <w:rPr>
          <w:rFonts w:ascii="Arial" w:hAnsi="Arial" w:cs="Arial"/>
          <w:sz w:val="22"/>
          <w:szCs w:val="22"/>
        </w:rPr>
        <w:t>2025).</w:t>
      </w:r>
      <w:r w:rsidRPr="00FA47DF">
        <w:rPr>
          <w:rFonts w:ascii="Arial" w:hAnsi="Arial" w:cs="Arial"/>
          <w:sz w:val="22"/>
          <w:szCs w:val="22"/>
        </w:rPr>
        <w:t xml:space="preserve"> Further research should focus on adult presentations of SAD, cultural variations in separation behaviours, and neurodivergence-related differences in symptom profiles</w:t>
      </w:r>
      <w:r w:rsidR="005603B1">
        <w:rPr>
          <w:rFonts w:ascii="Arial" w:hAnsi="Arial" w:cs="Arial"/>
          <w:sz w:val="22"/>
          <w:szCs w:val="22"/>
        </w:rPr>
        <w:t xml:space="preserve"> (WHO,2025)</w:t>
      </w:r>
      <w:r w:rsidRPr="00FA47DF">
        <w:rPr>
          <w:rFonts w:ascii="Arial" w:hAnsi="Arial" w:cs="Arial"/>
          <w:sz w:val="22"/>
          <w:szCs w:val="22"/>
        </w:rPr>
        <w:t>. Addressing these areas will support more precise classification systems, equitable access to care, and treatment models that reflect contemporary clinical realities</w:t>
      </w:r>
      <w:r w:rsidR="005603B1">
        <w:rPr>
          <w:rFonts w:ascii="Arial" w:hAnsi="Arial" w:cs="Arial"/>
          <w:sz w:val="22"/>
          <w:szCs w:val="22"/>
        </w:rPr>
        <w:t xml:space="preserve"> (WHO,2025). </w:t>
      </w:r>
    </w:p>
    <w:p w14:paraId="4B34BA0C" w14:textId="77777777" w:rsidR="00773B56" w:rsidRDefault="00773B56" w:rsidP="00773B56">
      <w:pPr>
        <w:pStyle w:val="NormalWeb"/>
        <w:spacing w:line="360" w:lineRule="auto"/>
        <w:rPr>
          <w:rFonts w:ascii="Arial" w:hAnsi="Arial" w:cs="Arial"/>
          <w:sz w:val="22"/>
          <w:szCs w:val="22"/>
        </w:rPr>
      </w:pPr>
    </w:p>
    <w:p w14:paraId="75C42BB4" w14:textId="352C717B" w:rsidR="008A6D32" w:rsidRPr="00773B56" w:rsidRDefault="008A6D32" w:rsidP="00773B56">
      <w:pPr>
        <w:pStyle w:val="Heading2"/>
        <w:numPr>
          <w:ilvl w:val="0"/>
          <w:numId w:val="2"/>
        </w:numPr>
        <w:rPr>
          <w:rFonts w:ascii="Arial" w:hAnsi="Arial" w:cs="Arial"/>
          <w:b/>
          <w:bCs/>
          <w:sz w:val="24"/>
          <w:szCs w:val="24"/>
        </w:rPr>
      </w:pPr>
      <w:bookmarkStart w:id="14" w:name="_Toc216455709"/>
      <w:r w:rsidRPr="00773B56">
        <w:rPr>
          <w:rFonts w:ascii="Arial" w:hAnsi="Arial" w:cs="Arial"/>
          <w:b/>
          <w:bCs/>
          <w:sz w:val="24"/>
          <w:szCs w:val="24"/>
        </w:rPr>
        <w:lastRenderedPageBreak/>
        <w:t>Conclusion</w:t>
      </w:r>
      <w:bookmarkEnd w:id="14"/>
    </w:p>
    <w:p w14:paraId="02FE477D" w14:textId="0DDE3B29" w:rsidR="00773B56" w:rsidRPr="00773B56" w:rsidRDefault="00773B56" w:rsidP="00773B56">
      <w:pPr>
        <w:spacing w:before="100" w:beforeAutospacing="1" w:after="100" w:afterAutospacing="1" w:line="360" w:lineRule="auto"/>
        <w:rPr>
          <w:rFonts w:ascii="Arial" w:eastAsia="Times New Roman" w:hAnsi="Arial" w:cs="Arial"/>
          <w:kern w:val="0"/>
          <w:sz w:val="22"/>
          <w:szCs w:val="22"/>
          <w:lang w:eastAsia="en-GB"/>
          <w14:ligatures w14:val="none"/>
        </w:rPr>
      </w:pPr>
      <w:r w:rsidRPr="00773B56">
        <w:rPr>
          <w:rFonts w:ascii="Times New Roman" w:eastAsia="Times New Roman" w:hAnsi="Times New Roman" w:cs="Times New Roman"/>
          <w:kern w:val="0"/>
          <w:lang w:eastAsia="en-GB"/>
          <w14:ligatures w14:val="none"/>
        </w:rPr>
        <w:br/>
      </w:r>
      <w:r w:rsidRPr="00773B56">
        <w:rPr>
          <w:rFonts w:ascii="Arial" w:eastAsia="Times New Roman" w:hAnsi="Arial" w:cs="Arial"/>
          <w:kern w:val="0"/>
          <w:sz w:val="22"/>
          <w:szCs w:val="22"/>
          <w:lang w:eastAsia="en-GB"/>
          <w14:ligatures w14:val="none"/>
        </w:rPr>
        <w:t>Separation Anxiety Disorder affects individuals across the lifespan, requiring accurate classification, sensitive diagnosis, and tailored treatment. While CBT and family interventions are effective, adaptations for neurodivergent and culturally diverse populations are essential. Evidence-informed approaches, clinician training, and supportive policies can improve outcomes and ensure comprehensive care for those with SAD.</w:t>
      </w:r>
    </w:p>
    <w:p w14:paraId="677D6041" w14:textId="77777777" w:rsidR="00773B56" w:rsidRPr="00773B56" w:rsidRDefault="00773B56" w:rsidP="00773B56"/>
    <w:p w14:paraId="45A36524" w14:textId="77777777" w:rsidR="008A6D32" w:rsidRPr="008A6D32" w:rsidRDefault="008A6D32" w:rsidP="008A6D32">
      <w:pPr>
        <w:pStyle w:val="NormalWeb"/>
        <w:rPr>
          <w:rFonts w:ascii="Arial" w:hAnsi="Arial" w:cs="Arial"/>
          <w:color w:val="000000"/>
        </w:rPr>
      </w:pPr>
    </w:p>
    <w:p w14:paraId="4F7597D5" w14:textId="77777777" w:rsidR="008A6D32" w:rsidRPr="008A6D32" w:rsidRDefault="008A6D32" w:rsidP="008A6D32">
      <w:pPr>
        <w:pStyle w:val="NormalWeb"/>
        <w:rPr>
          <w:rFonts w:ascii="Arial" w:hAnsi="Arial" w:cs="Arial"/>
          <w:color w:val="000000"/>
        </w:rPr>
      </w:pPr>
    </w:p>
    <w:p w14:paraId="7AD2E81E" w14:textId="77777777" w:rsidR="008A6D32" w:rsidRDefault="008A6D32" w:rsidP="008A6D32">
      <w:pPr>
        <w:pStyle w:val="NormalWeb"/>
        <w:rPr>
          <w:rFonts w:ascii="Arial" w:hAnsi="Arial" w:cs="Arial"/>
          <w:color w:val="000000"/>
        </w:rPr>
      </w:pPr>
    </w:p>
    <w:p w14:paraId="742E7361" w14:textId="77777777" w:rsidR="0006192E" w:rsidRDefault="0006192E" w:rsidP="008A6D32">
      <w:pPr>
        <w:pStyle w:val="NormalWeb"/>
        <w:rPr>
          <w:rFonts w:ascii="Arial" w:hAnsi="Arial" w:cs="Arial"/>
          <w:color w:val="000000"/>
        </w:rPr>
      </w:pPr>
    </w:p>
    <w:p w14:paraId="5C048316" w14:textId="77777777" w:rsidR="0006192E" w:rsidRDefault="0006192E" w:rsidP="008A6D32">
      <w:pPr>
        <w:pStyle w:val="NormalWeb"/>
        <w:rPr>
          <w:rFonts w:ascii="Arial" w:hAnsi="Arial" w:cs="Arial"/>
          <w:color w:val="000000"/>
        </w:rPr>
      </w:pPr>
    </w:p>
    <w:p w14:paraId="2B4AB531" w14:textId="77777777" w:rsidR="0006192E" w:rsidRDefault="0006192E" w:rsidP="008A6D32">
      <w:pPr>
        <w:pStyle w:val="NormalWeb"/>
        <w:rPr>
          <w:rFonts w:ascii="Arial" w:hAnsi="Arial" w:cs="Arial"/>
          <w:color w:val="000000"/>
        </w:rPr>
      </w:pPr>
    </w:p>
    <w:p w14:paraId="2088F512" w14:textId="77777777" w:rsidR="0006192E" w:rsidRDefault="0006192E" w:rsidP="008A6D32">
      <w:pPr>
        <w:pStyle w:val="NormalWeb"/>
        <w:rPr>
          <w:rFonts w:ascii="Arial" w:hAnsi="Arial" w:cs="Arial"/>
          <w:color w:val="000000"/>
        </w:rPr>
      </w:pPr>
    </w:p>
    <w:p w14:paraId="1C4325CF" w14:textId="77777777" w:rsidR="0018491D" w:rsidRDefault="0018491D" w:rsidP="008A6D32">
      <w:pPr>
        <w:pStyle w:val="NormalWeb"/>
        <w:rPr>
          <w:rFonts w:ascii="Arial" w:hAnsi="Arial" w:cs="Arial"/>
          <w:color w:val="000000"/>
        </w:rPr>
      </w:pPr>
    </w:p>
    <w:p w14:paraId="54986C92" w14:textId="77777777" w:rsidR="0018491D" w:rsidRDefault="0018491D" w:rsidP="008A6D32">
      <w:pPr>
        <w:pStyle w:val="NormalWeb"/>
        <w:rPr>
          <w:rFonts w:ascii="Arial" w:hAnsi="Arial" w:cs="Arial"/>
          <w:color w:val="000000"/>
        </w:rPr>
      </w:pPr>
    </w:p>
    <w:p w14:paraId="28BC45CA" w14:textId="77777777" w:rsidR="0018491D" w:rsidRDefault="0018491D" w:rsidP="008A6D32">
      <w:pPr>
        <w:pStyle w:val="NormalWeb"/>
        <w:rPr>
          <w:rFonts w:ascii="Arial" w:hAnsi="Arial" w:cs="Arial"/>
          <w:color w:val="000000"/>
        </w:rPr>
      </w:pPr>
    </w:p>
    <w:p w14:paraId="50B90A74" w14:textId="77777777" w:rsidR="0018491D" w:rsidRDefault="0018491D" w:rsidP="008A6D32">
      <w:pPr>
        <w:pStyle w:val="NormalWeb"/>
        <w:rPr>
          <w:rFonts w:ascii="Arial" w:hAnsi="Arial" w:cs="Arial"/>
          <w:color w:val="000000"/>
        </w:rPr>
      </w:pPr>
    </w:p>
    <w:p w14:paraId="00C791B9" w14:textId="77777777" w:rsidR="00FA47DF" w:rsidRDefault="00FA47DF" w:rsidP="008A6D32">
      <w:pPr>
        <w:pStyle w:val="NormalWeb"/>
        <w:rPr>
          <w:rFonts w:ascii="Arial" w:hAnsi="Arial" w:cs="Arial"/>
          <w:color w:val="000000"/>
        </w:rPr>
      </w:pPr>
    </w:p>
    <w:p w14:paraId="18BC15D9" w14:textId="77777777" w:rsidR="00FA47DF" w:rsidRDefault="00FA47DF" w:rsidP="008A6D32">
      <w:pPr>
        <w:pStyle w:val="NormalWeb"/>
        <w:rPr>
          <w:rFonts w:ascii="Arial" w:hAnsi="Arial" w:cs="Arial"/>
          <w:color w:val="000000"/>
        </w:rPr>
      </w:pPr>
    </w:p>
    <w:p w14:paraId="2452474E" w14:textId="77777777" w:rsidR="00FA47DF" w:rsidRDefault="00FA47DF" w:rsidP="008A6D32">
      <w:pPr>
        <w:pStyle w:val="NormalWeb"/>
        <w:rPr>
          <w:rFonts w:ascii="Arial" w:hAnsi="Arial" w:cs="Arial"/>
          <w:color w:val="000000"/>
        </w:rPr>
      </w:pPr>
    </w:p>
    <w:p w14:paraId="30EFDF8D" w14:textId="77777777" w:rsidR="0006192E" w:rsidRDefault="0006192E" w:rsidP="008A6D32">
      <w:pPr>
        <w:pStyle w:val="NormalWeb"/>
        <w:rPr>
          <w:rFonts w:ascii="Arial" w:hAnsi="Arial" w:cs="Arial"/>
          <w:color w:val="000000"/>
        </w:rPr>
      </w:pPr>
    </w:p>
    <w:p w14:paraId="7118642B" w14:textId="77777777" w:rsidR="005603B1" w:rsidRDefault="005603B1" w:rsidP="008A6D32">
      <w:pPr>
        <w:pStyle w:val="NormalWeb"/>
        <w:rPr>
          <w:rFonts w:ascii="Arial" w:hAnsi="Arial" w:cs="Arial"/>
          <w:color w:val="000000"/>
        </w:rPr>
      </w:pPr>
    </w:p>
    <w:p w14:paraId="05C94DA3" w14:textId="77777777" w:rsidR="00773B56" w:rsidRPr="008A6D32" w:rsidRDefault="00773B56" w:rsidP="008A6D32">
      <w:pPr>
        <w:pStyle w:val="NormalWeb"/>
        <w:rPr>
          <w:rFonts w:ascii="Arial" w:hAnsi="Arial" w:cs="Arial"/>
          <w:color w:val="000000"/>
        </w:rPr>
      </w:pPr>
    </w:p>
    <w:p w14:paraId="464E4062" w14:textId="69272E2B" w:rsidR="008A6D32" w:rsidRPr="00773B56" w:rsidRDefault="008A6D32" w:rsidP="00AE79B0">
      <w:pPr>
        <w:pStyle w:val="Heading1"/>
        <w:numPr>
          <w:ilvl w:val="0"/>
          <w:numId w:val="2"/>
        </w:numPr>
        <w:rPr>
          <w:rFonts w:ascii="Arial" w:hAnsi="Arial" w:cs="Arial"/>
          <w:b/>
          <w:bCs/>
          <w:sz w:val="24"/>
          <w:szCs w:val="24"/>
        </w:rPr>
      </w:pPr>
      <w:bookmarkStart w:id="15" w:name="_Toc216455710"/>
      <w:r w:rsidRPr="00773B56">
        <w:rPr>
          <w:rFonts w:ascii="Arial" w:hAnsi="Arial" w:cs="Arial"/>
          <w:b/>
          <w:bCs/>
          <w:sz w:val="24"/>
          <w:szCs w:val="24"/>
        </w:rPr>
        <w:lastRenderedPageBreak/>
        <w:t>References</w:t>
      </w:r>
      <w:bookmarkEnd w:id="15"/>
      <w:r w:rsidRPr="00773B56">
        <w:rPr>
          <w:rFonts w:ascii="Arial" w:hAnsi="Arial" w:cs="Arial"/>
          <w:b/>
          <w:bCs/>
          <w:sz w:val="24"/>
          <w:szCs w:val="24"/>
        </w:rPr>
        <w:t xml:space="preserve"> </w:t>
      </w:r>
    </w:p>
    <w:p w14:paraId="2D4CBA1F" w14:textId="77777777" w:rsidR="005603B1" w:rsidRPr="005603B1" w:rsidRDefault="005603B1" w:rsidP="005603B1">
      <w:pPr>
        <w:spacing w:after="0" w:line="360" w:lineRule="auto"/>
        <w:rPr>
          <w:rFonts w:ascii="Arial" w:eastAsia="Times New Roman" w:hAnsi="Arial" w:cs="Arial"/>
          <w:kern w:val="0"/>
          <w:sz w:val="22"/>
          <w:szCs w:val="22"/>
          <w:lang w:eastAsia="en-GB"/>
          <w14:ligatures w14:val="none"/>
        </w:rPr>
      </w:pPr>
    </w:p>
    <w:p w14:paraId="738D0C4D" w14:textId="77777777" w:rsidR="005603B1" w:rsidRPr="005603B1" w:rsidRDefault="005603B1" w:rsidP="005603B1">
      <w:pPr>
        <w:pStyle w:val="NormalWeb"/>
        <w:spacing w:before="0" w:beforeAutospacing="0" w:after="240" w:afterAutospacing="0" w:line="360" w:lineRule="auto"/>
        <w:ind w:left="360"/>
        <w:rPr>
          <w:rFonts w:ascii="Arial" w:hAnsi="Arial" w:cs="Arial"/>
          <w:sz w:val="22"/>
          <w:szCs w:val="22"/>
        </w:rPr>
      </w:pPr>
      <w:proofErr w:type="spellStart"/>
      <w:r w:rsidRPr="005603B1">
        <w:rPr>
          <w:rFonts w:ascii="Arial" w:hAnsi="Arial" w:cs="Arial"/>
          <w:sz w:val="22"/>
          <w:szCs w:val="22"/>
        </w:rPr>
        <w:t>Anticich</w:t>
      </w:r>
      <w:proofErr w:type="spellEnd"/>
      <w:r w:rsidRPr="005603B1">
        <w:rPr>
          <w:rFonts w:ascii="Arial" w:hAnsi="Arial" w:cs="Arial"/>
          <w:sz w:val="22"/>
          <w:szCs w:val="22"/>
        </w:rPr>
        <w:t>, S.A., Barrett, P.M., Gillies, R. and Silverman, W., 2012. Recent advances in intervention for early childhood anxiety. </w:t>
      </w:r>
      <w:r w:rsidRPr="005603B1">
        <w:rPr>
          <w:rFonts w:ascii="Arial" w:hAnsi="Arial" w:cs="Arial"/>
          <w:i/>
          <w:iCs/>
          <w:sz w:val="22"/>
          <w:szCs w:val="22"/>
        </w:rPr>
        <w:t>Australian Journal of Guidance and Counselling</w:t>
      </w:r>
      <w:r w:rsidRPr="005603B1">
        <w:rPr>
          <w:rFonts w:ascii="Arial" w:hAnsi="Arial" w:cs="Arial"/>
          <w:sz w:val="22"/>
          <w:szCs w:val="22"/>
        </w:rPr>
        <w:t>, </w:t>
      </w:r>
      <w:r w:rsidRPr="005603B1">
        <w:rPr>
          <w:rFonts w:ascii="Arial" w:hAnsi="Arial" w:cs="Arial"/>
          <w:i/>
          <w:iCs/>
          <w:sz w:val="22"/>
          <w:szCs w:val="22"/>
        </w:rPr>
        <w:t>22</w:t>
      </w:r>
      <w:r w:rsidRPr="005603B1">
        <w:rPr>
          <w:rFonts w:ascii="Arial" w:hAnsi="Arial" w:cs="Arial"/>
          <w:sz w:val="22"/>
          <w:szCs w:val="22"/>
        </w:rPr>
        <w:t>(2), pp.157-172.</w:t>
      </w:r>
      <w:r w:rsidRPr="005603B1">
        <w:rPr>
          <w:rFonts w:ascii="Arial" w:hAnsi="Arial" w:cs="Arial"/>
          <w:sz w:val="22"/>
          <w:szCs w:val="22"/>
        </w:rPr>
        <w:t xml:space="preserve"> (Accessed: 12 December 2025). </w:t>
      </w:r>
    </w:p>
    <w:p w14:paraId="051DEC66" w14:textId="77777777" w:rsidR="005603B1" w:rsidRDefault="005603B1" w:rsidP="005603B1">
      <w:pPr>
        <w:spacing w:after="0" w:line="360" w:lineRule="auto"/>
        <w:ind w:left="360"/>
        <w:rPr>
          <w:rFonts w:ascii="Arial" w:eastAsia="Times New Roman" w:hAnsi="Arial" w:cs="Arial"/>
          <w:kern w:val="0"/>
          <w:sz w:val="22"/>
          <w:szCs w:val="22"/>
          <w:lang w:eastAsia="en-GB"/>
          <w14:ligatures w14:val="none"/>
        </w:rPr>
      </w:pPr>
      <w:r w:rsidRPr="005603B1">
        <w:rPr>
          <w:rFonts w:ascii="Arial" w:eastAsia="Times New Roman" w:hAnsi="Arial" w:cs="Arial"/>
          <w:kern w:val="0"/>
          <w:sz w:val="22"/>
          <w:szCs w:val="22"/>
          <w:lang w:eastAsia="en-GB"/>
          <w14:ligatures w14:val="none"/>
        </w:rPr>
        <w:t xml:space="preserve">Baldwin, D.S. </w:t>
      </w:r>
      <w:r w:rsidRPr="005603B1">
        <w:rPr>
          <w:rFonts w:ascii="Arial" w:eastAsia="Times New Roman" w:hAnsi="Arial" w:cs="Arial"/>
          <w:i/>
          <w:iCs/>
          <w:kern w:val="0"/>
          <w:sz w:val="22"/>
          <w:szCs w:val="22"/>
          <w:lang w:eastAsia="en-GB"/>
          <w14:ligatures w14:val="none"/>
        </w:rPr>
        <w:t>et al.</w:t>
      </w:r>
      <w:r w:rsidRPr="005603B1">
        <w:rPr>
          <w:rFonts w:ascii="Arial" w:eastAsia="Times New Roman" w:hAnsi="Arial" w:cs="Arial"/>
          <w:kern w:val="0"/>
          <w:sz w:val="22"/>
          <w:szCs w:val="22"/>
          <w:lang w:eastAsia="en-GB"/>
          <w14:ligatures w14:val="none"/>
        </w:rPr>
        <w:t xml:space="preserve"> (2016) ‘The separation of adult separation anxiety disorder’, </w:t>
      </w:r>
      <w:r w:rsidRPr="005603B1">
        <w:rPr>
          <w:rFonts w:ascii="Arial" w:eastAsia="Times New Roman" w:hAnsi="Arial" w:cs="Arial"/>
          <w:i/>
          <w:iCs/>
          <w:kern w:val="0"/>
          <w:sz w:val="22"/>
          <w:szCs w:val="22"/>
          <w:lang w:eastAsia="en-GB"/>
          <w14:ligatures w14:val="none"/>
        </w:rPr>
        <w:t>CNS spectrums</w:t>
      </w:r>
      <w:r w:rsidRPr="005603B1">
        <w:rPr>
          <w:rFonts w:ascii="Arial" w:eastAsia="Times New Roman" w:hAnsi="Arial" w:cs="Arial"/>
          <w:kern w:val="0"/>
          <w:sz w:val="22"/>
          <w:szCs w:val="22"/>
          <w:lang w:eastAsia="en-GB"/>
          <w14:ligatures w14:val="none"/>
        </w:rPr>
        <w:t xml:space="preserve">, 21(4), pp. 289–294. Available at: </w:t>
      </w:r>
      <w:hyperlink r:id="rId9" w:history="1">
        <w:r w:rsidRPr="005603B1">
          <w:rPr>
            <w:rStyle w:val="Hyperlink"/>
            <w:rFonts w:ascii="Arial" w:eastAsia="Times New Roman" w:hAnsi="Arial" w:cs="Arial"/>
            <w:kern w:val="0"/>
            <w:sz w:val="22"/>
            <w:szCs w:val="22"/>
            <w:lang w:eastAsia="en-GB"/>
            <w14:ligatures w14:val="none"/>
          </w:rPr>
          <w:t>https://doi.org/10.1017/S1092852916000080</w:t>
        </w:r>
      </w:hyperlink>
      <w:r w:rsidRPr="005603B1">
        <w:rPr>
          <w:rFonts w:ascii="Arial" w:eastAsia="Times New Roman" w:hAnsi="Arial" w:cs="Arial"/>
          <w:kern w:val="0"/>
          <w:sz w:val="22"/>
          <w:szCs w:val="22"/>
          <w:lang w:eastAsia="en-GB"/>
          <w14:ligatures w14:val="none"/>
        </w:rPr>
        <w:t>. (Accessed: 10 December 2025)</w:t>
      </w:r>
    </w:p>
    <w:p w14:paraId="3CD20ED9" w14:textId="77777777" w:rsidR="005603B1" w:rsidRPr="005603B1" w:rsidRDefault="005603B1" w:rsidP="005603B1">
      <w:pPr>
        <w:spacing w:after="0" w:line="360" w:lineRule="auto"/>
        <w:ind w:left="360"/>
        <w:rPr>
          <w:rFonts w:ascii="Arial" w:eastAsia="Times New Roman" w:hAnsi="Arial" w:cs="Arial"/>
          <w:kern w:val="0"/>
          <w:sz w:val="22"/>
          <w:szCs w:val="22"/>
          <w:lang w:eastAsia="en-GB"/>
          <w14:ligatures w14:val="none"/>
        </w:rPr>
      </w:pPr>
    </w:p>
    <w:p w14:paraId="6802B36F" w14:textId="394725BA" w:rsidR="005603B1" w:rsidRDefault="005603B1" w:rsidP="005603B1">
      <w:pPr>
        <w:spacing w:after="0" w:line="360" w:lineRule="auto"/>
        <w:ind w:left="360"/>
        <w:rPr>
          <w:rFonts w:ascii="Arial" w:eastAsia="Times New Roman" w:hAnsi="Arial" w:cs="Arial"/>
          <w:kern w:val="0"/>
          <w:sz w:val="22"/>
          <w:szCs w:val="22"/>
          <w:lang w:eastAsia="en-GB"/>
          <w14:ligatures w14:val="none"/>
        </w:rPr>
      </w:pPr>
      <w:proofErr w:type="spellStart"/>
      <w:r w:rsidRPr="005603B1">
        <w:rPr>
          <w:rFonts w:ascii="Arial" w:eastAsia="Times New Roman" w:hAnsi="Arial" w:cs="Arial"/>
          <w:kern w:val="0"/>
          <w:sz w:val="22"/>
          <w:szCs w:val="22"/>
          <w:lang w:eastAsia="en-GB"/>
          <w14:ligatures w14:val="none"/>
        </w:rPr>
        <w:t>Beesdo</w:t>
      </w:r>
      <w:proofErr w:type="spellEnd"/>
      <w:r w:rsidRPr="005603B1">
        <w:rPr>
          <w:rFonts w:ascii="Arial" w:eastAsia="Times New Roman" w:hAnsi="Arial" w:cs="Arial"/>
          <w:kern w:val="0"/>
          <w:sz w:val="22"/>
          <w:szCs w:val="22"/>
          <w:lang w:eastAsia="en-GB"/>
          <w14:ligatures w14:val="none"/>
        </w:rPr>
        <w:t xml:space="preserve">, K., Knappe, S., &amp; Pine, D. (2019). Anxiety and anxiety disorders in children and adolescents. </w:t>
      </w:r>
      <w:r w:rsidRPr="005603B1">
        <w:rPr>
          <w:rFonts w:ascii="Arial" w:eastAsia="Times New Roman" w:hAnsi="Arial" w:cs="Arial"/>
          <w:i/>
          <w:iCs/>
          <w:kern w:val="0"/>
          <w:sz w:val="22"/>
          <w:szCs w:val="22"/>
          <w:lang w:eastAsia="en-GB"/>
          <w14:ligatures w14:val="none"/>
        </w:rPr>
        <w:t>Psychiatric Clinics of North America, 32</w:t>
      </w:r>
      <w:r w:rsidRPr="005603B1">
        <w:rPr>
          <w:rFonts w:ascii="Arial" w:eastAsia="Times New Roman" w:hAnsi="Arial" w:cs="Arial"/>
          <w:kern w:val="0"/>
          <w:sz w:val="22"/>
          <w:szCs w:val="22"/>
          <w:lang w:eastAsia="en-GB"/>
          <w14:ligatures w14:val="none"/>
        </w:rPr>
        <w:t>(3), 483–524.</w:t>
      </w:r>
      <w:r w:rsidR="007E2358">
        <w:rPr>
          <w:rFonts w:ascii="Arial" w:eastAsia="Times New Roman" w:hAnsi="Arial" w:cs="Arial"/>
          <w:kern w:val="0"/>
          <w:sz w:val="22"/>
          <w:szCs w:val="22"/>
          <w:lang w:eastAsia="en-GB"/>
          <w14:ligatures w14:val="none"/>
        </w:rPr>
        <w:t xml:space="preserve"> </w:t>
      </w:r>
      <w:r w:rsidR="007E2358">
        <w:rPr>
          <w:rFonts w:ascii="Arial" w:eastAsia="Times New Roman" w:hAnsi="Arial" w:cs="Arial"/>
          <w:kern w:val="0"/>
          <w:sz w:val="22"/>
          <w:szCs w:val="22"/>
          <w:lang w:eastAsia="en-GB"/>
          <w14:ligatures w14:val="none"/>
        </w:rPr>
        <w:t>Available at:</w:t>
      </w:r>
      <w:r w:rsidRPr="005603B1">
        <w:rPr>
          <w:rFonts w:ascii="Arial" w:eastAsia="Times New Roman" w:hAnsi="Arial" w:cs="Arial"/>
          <w:kern w:val="0"/>
          <w:sz w:val="22"/>
          <w:szCs w:val="22"/>
          <w:lang w:eastAsia="en-GB"/>
          <w14:ligatures w14:val="none"/>
        </w:rPr>
        <w:br/>
      </w:r>
      <w:hyperlink r:id="rId10" w:history="1">
        <w:r w:rsidRPr="005603B1">
          <w:rPr>
            <w:rStyle w:val="Hyperlink"/>
            <w:rFonts w:ascii="Arial" w:eastAsia="Times New Roman" w:hAnsi="Arial" w:cs="Arial"/>
            <w:kern w:val="0"/>
            <w:sz w:val="22"/>
            <w:szCs w:val="22"/>
            <w:lang w:eastAsia="en-GB"/>
            <w14:ligatures w14:val="none"/>
          </w:rPr>
          <w:t>https://doi.org/10.1016/j.psc.2009.06.002</w:t>
        </w:r>
      </w:hyperlink>
      <w:r w:rsidRPr="005603B1">
        <w:rPr>
          <w:rFonts w:ascii="Arial" w:eastAsia="Times New Roman" w:hAnsi="Arial" w:cs="Arial"/>
          <w:kern w:val="0"/>
          <w:sz w:val="22"/>
          <w:szCs w:val="22"/>
          <w:lang w:eastAsia="en-GB"/>
          <w14:ligatures w14:val="none"/>
        </w:rPr>
        <w:t xml:space="preserve"> (Accessed: 10 December 2025)</w:t>
      </w:r>
    </w:p>
    <w:p w14:paraId="7FCFC585" w14:textId="77777777" w:rsidR="005603B1" w:rsidRPr="005603B1" w:rsidRDefault="005603B1" w:rsidP="005603B1">
      <w:pPr>
        <w:spacing w:after="0" w:line="360" w:lineRule="auto"/>
        <w:ind w:left="360"/>
        <w:rPr>
          <w:rFonts w:ascii="Arial" w:eastAsia="Times New Roman" w:hAnsi="Arial" w:cs="Arial"/>
          <w:kern w:val="0"/>
          <w:sz w:val="22"/>
          <w:szCs w:val="22"/>
          <w:lang w:eastAsia="en-GB"/>
          <w14:ligatures w14:val="none"/>
        </w:rPr>
      </w:pPr>
    </w:p>
    <w:p w14:paraId="4AAA93DF" w14:textId="77777777" w:rsidR="005603B1" w:rsidRDefault="005603B1" w:rsidP="005603B1">
      <w:pPr>
        <w:spacing w:after="0" w:line="360" w:lineRule="auto"/>
        <w:ind w:left="360"/>
        <w:rPr>
          <w:rFonts w:ascii="Arial" w:eastAsia="Times New Roman" w:hAnsi="Arial" w:cs="Arial"/>
          <w:kern w:val="0"/>
          <w:sz w:val="22"/>
          <w:szCs w:val="22"/>
          <w:lang w:eastAsia="en-GB"/>
          <w14:ligatures w14:val="none"/>
        </w:rPr>
      </w:pPr>
      <w:r w:rsidRPr="005603B1">
        <w:rPr>
          <w:rFonts w:ascii="Arial" w:eastAsia="Times New Roman" w:hAnsi="Arial" w:cs="Arial"/>
          <w:kern w:val="0"/>
          <w:sz w:val="22"/>
          <w:szCs w:val="22"/>
          <w:lang w:eastAsia="en-GB"/>
          <w14:ligatures w14:val="none"/>
        </w:rPr>
        <w:t xml:space="preserve">Blatter-Meunier, J.C., Lavallee, K.L. and Schneider, S. (2014) ‘Patterns of Family Identification and Self-Congruence in Childhood Separation Anxiety Disorder’, </w:t>
      </w:r>
      <w:r w:rsidRPr="005603B1">
        <w:rPr>
          <w:rFonts w:ascii="Arial" w:eastAsia="Times New Roman" w:hAnsi="Arial" w:cs="Arial"/>
          <w:i/>
          <w:iCs/>
          <w:kern w:val="0"/>
          <w:sz w:val="22"/>
          <w:szCs w:val="22"/>
          <w:lang w:eastAsia="en-GB"/>
          <w14:ligatures w14:val="none"/>
        </w:rPr>
        <w:t>Psychopathology</w:t>
      </w:r>
      <w:r w:rsidRPr="005603B1">
        <w:rPr>
          <w:rFonts w:ascii="Arial" w:eastAsia="Times New Roman" w:hAnsi="Arial" w:cs="Arial"/>
          <w:kern w:val="0"/>
          <w:sz w:val="22"/>
          <w:szCs w:val="22"/>
          <w:lang w:eastAsia="en-GB"/>
          <w14:ligatures w14:val="none"/>
        </w:rPr>
        <w:t xml:space="preserve">, 47(1), pp. 57–64. Available at: </w:t>
      </w:r>
      <w:hyperlink r:id="rId11" w:history="1">
        <w:r w:rsidRPr="005603B1">
          <w:rPr>
            <w:rStyle w:val="Hyperlink"/>
            <w:rFonts w:ascii="Arial" w:eastAsia="Times New Roman" w:hAnsi="Arial" w:cs="Arial"/>
            <w:kern w:val="0"/>
            <w:sz w:val="22"/>
            <w:szCs w:val="22"/>
            <w:lang w:eastAsia="en-GB"/>
            <w14:ligatures w14:val="none"/>
          </w:rPr>
          <w:t>https://doi.org/10.1159/000348629</w:t>
        </w:r>
      </w:hyperlink>
      <w:r w:rsidRPr="005603B1">
        <w:rPr>
          <w:rFonts w:ascii="Arial" w:eastAsia="Times New Roman" w:hAnsi="Arial" w:cs="Arial"/>
          <w:kern w:val="0"/>
          <w:sz w:val="22"/>
          <w:szCs w:val="22"/>
          <w:lang w:eastAsia="en-GB"/>
          <w14:ligatures w14:val="none"/>
        </w:rPr>
        <w:t>. (Accessed: 10 December 2025)</w:t>
      </w:r>
    </w:p>
    <w:p w14:paraId="1414B672" w14:textId="77777777" w:rsidR="005603B1" w:rsidRPr="005603B1" w:rsidRDefault="005603B1" w:rsidP="005603B1">
      <w:pPr>
        <w:spacing w:after="0" w:line="360" w:lineRule="auto"/>
        <w:ind w:left="360"/>
        <w:rPr>
          <w:rFonts w:ascii="Arial" w:eastAsia="Times New Roman" w:hAnsi="Arial" w:cs="Arial"/>
          <w:kern w:val="0"/>
          <w:sz w:val="22"/>
          <w:szCs w:val="22"/>
          <w:lang w:eastAsia="en-GB"/>
          <w14:ligatures w14:val="none"/>
        </w:rPr>
      </w:pPr>
    </w:p>
    <w:p w14:paraId="0CF7B718" w14:textId="77777777" w:rsidR="005603B1" w:rsidRDefault="005603B1" w:rsidP="005603B1">
      <w:pPr>
        <w:spacing w:after="0" w:line="360" w:lineRule="auto"/>
        <w:ind w:left="360"/>
        <w:rPr>
          <w:rFonts w:ascii="Arial" w:eastAsia="Times New Roman" w:hAnsi="Arial" w:cs="Arial"/>
          <w:kern w:val="0"/>
          <w:sz w:val="22"/>
          <w:szCs w:val="22"/>
          <w:lang w:eastAsia="en-GB"/>
          <w14:ligatures w14:val="none"/>
        </w:rPr>
      </w:pPr>
      <w:r w:rsidRPr="005603B1">
        <w:rPr>
          <w:rFonts w:ascii="Arial" w:eastAsia="Times New Roman" w:hAnsi="Arial" w:cs="Arial"/>
          <w:kern w:val="0"/>
          <w:sz w:val="22"/>
          <w:szCs w:val="22"/>
          <w:lang w:eastAsia="en-GB"/>
          <w14:ligatures w14:val="none"/>
        </w:rPr>
        <w:t>Carlson, J.S. and Askar, S., 2023. Anxiety Disorders (Social, Separation, General) in Children and Adolescents. </w:t>
      </w:r>
      <w:r w:rsidRPr="005603B1">
        <w:rPr>
          <w:rFonts w:ascii="Arial" w:eastAsia="Times New Roman" w:hAnsi="Arial" w:cs="Arial"/>
          <w:i/>
          <w:iCs/>
          <w:kern w:val="0"/>
          <w:sz w:val="22"/>
          <w:szCs w:val="22"/>
          <w:lang w:eastAsia="en-GB"/>
          <w14:ligatures w14:val="none"/>
        </w:rPr>
        <w:t>Desk Reference in School Psychology</w:t>
      </w:r>
      <w:r w:rsidRPr="005603B1">
        <w:rPr>
          <w:rFonts w:ascii="Arial" w:eastAsia="Times New Roman" w:hAnsi="Arial" w:cs="Arial"/>
          <w:kern w:val="0"/>
          <w:sz w:val="22"/>
          <w:szCs w:val="22"/>
          <w:lang w:eastAsia="en-GB"/>
          <w14:ligatures w14:val="none"/>
        </w:rPr>
        <w:t>, p.291. (Accessed: 10 December 2025)</w:t>
      </w:r>
    </w:p>
    <w:p w14:paraId="3C9604DE" w14:textId="77777777" w:rsidR="005603B1" w:rsidRPr="005603B1" w:rsidRDefault="005603B1" w:rsidP="005603B1">
      <w:pPr>
        <w:spacing w:after="0" w:line="360" w:lineRule="auto"/>
        <w:ind w:left="360"/>
        <w:rPr>
          <w:rFonts w:ascii="Arial" w:eastAsia="Times New Roman" w:hAnsi="Arial" w:cs="Arial"/>
          <w:kern w:val="0"/>
          <w:sz w:val="22"/>
          <w:szCs w:val="22"/>
          <w:lang w:eastAsia="en-GB"/>
          <w14:ligatures w14:val="none"/>
        </w:rPr>
      </w:pPr>
    </w:p>
    <w:p w14:paraId="1637C879" w14:textId="77777777" w:rsidR="005603B1" w:rsidRDefault="005603B1" w:rsidP="005603B1">
      <w:pPr>
        <w:spacing w:after="0" w:line="360" w:lineRule="auto"/>
        <w:ind w:left="360"/>
        <w:rPr>
          <w:rFonts w:ascii="Arial" w:eastAsia="Times New Roman" w:hAnsi="Arial" w:cs="Arial"/>
          <w:kern w:val="0"/>
          <w:sz w:val="22"/>
          <w:szCs w:val="22"/>
          <w:lang w:eastAsia="en-GB"/>
          <w14:ligatures w14:val="none"/>
        </w:rPr>
      </w:pPr>
      <w:r w:rsidRPr="005603B1">
        <w:rPr>
          <w:rFonts w:ascii="Arial" w:eastAsia="Times New Roman" w:hAnsi="Arial" w:cs="Arial"/>
          <w:kern w:val="0"/>
          <w:sz w:val="22"/>
          <w:szCs w:val="22"/>
          <w:lang w:eastAsia="en-GB"/>
          <w14:ligatures w14:val="none"/>
        </w:rPr>
        <w:t xml:space="preserve">Dallaire, D.H. and Weinraub, M. (2005) ‘Predicting children’s separation anxiety at age 6: The contributions of infant-mother attachment security, maternal sensitivity, and maternal separation anxiety’, </w:t>
      </w:r>
      <w:r w:rsidRPr="005603B1">
        <w:rPr>
          <w:rFonts w:ascii="Arial" w:eastAsia="Times New Roman" w:hAnsi="Arial" w:cs="Arial"/>
          <w:i/>
          <w:iCs/>
          <w:kern w:val="0"/>
          <w:sz w:val="22"/>
          <w:szCs w:val="22"/>
          <w:lang w:eastAsia="en-GB"/>
          <w14:ligatures w14:val="none"/>
        </w:rPr>
        <w:t>Attachment &amp; human development</w:t>
      </w:r>
      <w:r w:rsidRPr="005603B1">
        <w:rPr>
          <w:rFonts w:ascii="Arial" w:eastAsia="Times New Roman" w:hAnsi="Arial" w:cs="Arial"/>
          <w:kern w:val="0"/>
          <w:sz w:val="22"/>
          <w:szCs w:val="22"/>
          <w:lang w:eastAsia="en-GB"/>
          <w14:ligatures w14:val="none"/>
        </w:rPr>
        <w:t xml:space="preserve">, 7(4), pp. 393–408. Available at: </w:t>
      </w:r>
      <w:hyperlink r:id="rId12" w:history="1">
        <w:r w:rsidRPr="005603B1">
          <w:rPr>
            <w:rStyle w:val="Hyperlink"/>
            <w:rFonts w:ascii="Arial" w:eastAsia="Times New Roman" w:hAnsi="Arial" w:cs="Arial"/>
            <w:kern w:val="0"/>
            <w:sz w:val="22"/>
            <w:szCs w:val="22"/>
            <w:lang w:eastAsia="en-GB"/>
            <w14:ligatures w14:val="none"/>
          </w:rPr>
          <w:t>https://doi.org/10.1080/14616730500365894</w:t>
        </w:r>
      </w:hyperlink>
      <w:r w:rsidRPr="005603B1">
        <w:rPr>
          <w:rFonts w:ascii="Arial" w:eastAsia="Times New Roman" w:hAnsi="Arial" w:cs="Arial"/>
          <w:kern w:val="0"/>
          <w:sz w:val="22"/>
          <w:szCs w:val="22"/>
          <w:lang w:eastAsia="en-GB"/>
          <w14:ligatures w14:val="none"/>
        </w:rPr>
        <w:t xml:space="preserve">. (Accessed: 10 December 2025). </w:t>
      </w:r>
    </w:p>
    <w:p w14:paraId="2084E8EE" w14:textId="77777777" w:rsidR="005603B1" w:rsidRPr="005603B1" w:rsidRDefault="005603B1" w:rsidP="005603B1">
      <w:pPr>
        <w:spacing w:after="0" w:line="360" w:lineRule="auto"/>
        <w:ind w:left="360"/>
        <w:rPr>
          <w:rFonts w:ascii="Arial" w:eastAsia="Times New Roman" w:hAnsi="Arial" w:cs="Arial"/>
          <w:kern w:val="0"/>
          <w:sz w:val="22"/>
          <w:szCs w:val="22"/>
          <w:lang w:eastAsia="en-GB"/>
          <w14:ligatures w14:val="none"/>
        </w:rPr>
      </w:pPr>
    </w:p>
    <w:p w14:paraId="751278A2" w14:textId="6752E31F" w:rsidR="005603B1" w:rsidRPr="005603B1" w:rsidRDefault="005603B1" w:rsidP="005603B1">
      <w:pPr>
        <w:pStyle w:val="NormalWeb"/>
        <w:spacing w:before="0" w:beforeAutospacing="0" w:after="240" w:afterAutospacing="0" w:line="360" w:lineRule="auto"/>
        <w:ind w:left="360"/>
        <w:rPr>
          <w:rFonts w:ascii="Arial" w:hAnsi="Arial" w:cs="Arial"/>
          <w:sz w:val="22"/>
          <w:szCs w:val="22"/>
        </w:rPr>
      </w:pPr>
      <w:r w:rsidRPr="005603B1">
        <w:rPr>
          <w:rFonts w:ascii="Arial" w:hAnsi="Arial" w:cs="Arial"/>
          <w:sz w:val="22"/>
          <w:szCs w:val="22"/>
        </w:rPr>
        <w:t xml:space="preserve">Dogan, B., </w:t>
      </w:r>
      <w:proofErr w:type="spellStart"/>
      <w:r w:rsidRPr="005603B1">
        <w:rPr>
          <w:rFonts w:ascii="Arial" w:hAnsi="Arial" w:cs="Arial"/>
          <w:sz w:val="22"/>
          <w:szCs w:val="22"/>
        </w:rPr>
        <w:t>Yoldas</w:t>
      </w:r>
      <w:proofErr w:type="spellEnd"/>
      <w:r w:rsidRPr="005603B1">
        <w:rPr>
          <w:rFonts w:ascii="Arial" w:hAnsi="Arial" w:cs="Arial"/>
          <w:sz w:val="22"/>
          <w:szCs w:val="22"/>
        </w:rPr>
        <w:t xml:space="preserve">, C., </w:t>
      </w:r>
      <w:proofErr w:type="spellStart"/>
      <w:r w:rsidRPr="005603B1">
        <w:rPr>
          <w:rFonts w:ascii="Arial" w:hAnsi="Arial" w:cs="Arial"/>
          <w:sz w:val="22"/>
          <w:szCs w:val="22"/>
        </w:rPr>
        <w:t>Kocabas</w:t>
      </w:r>
      <w:proofErr w:type="spellEnd"/>
      <w:r w:rsidRPr="005603B1">
        <w:rPr>
          <w:rFonts w:ascii="Arial" w:hAnsi="Arial" w:cs="Arial"/>
          <w:sz w:val="22"/>
          <w:szCs w:val="22"/>
        </w:rPr>
        <w:t xml:space="preserve">, O., Memis, C.O., </w:t>
      </w:r>
      <w:proofErr w:type="spellStart"/>
      <w:r w:rsidRPr="005603B1">
        <w:rPr>
          <w:rFonts w:ascii="Arial" w:hAnsi="Arial" w:cs="Arial"/>
          <w:sz w:val="22"/>
          <w:szCs w:val="22"/>
        </w:rPr>
        <w:t>Sevincok</w:t>
      </w:r>
      <w:proofErr w:type="spellEnd"/>
      <w:r w:rsidRPr="005603B1">
        <w:rPr>
          <w:rFonts w:ascii="Arial" w:hAnsi="Arial" w:cs="Arial"/>
          <w:sz w:val="22"/>
          <w:szCs w:val="22"/>
        </w:rPr>
        <w:t xml:space="preserve">, D. and </w:t>
      </w:r>
      <w:proofErr w:type="spellStart"/>
      <w:r w:rsidRPr="005603B1">
        <w:rPr>
          <w:rFonts w:ascii="Arial" w:hAnsi="Arial" w:cs="Arial"/>
          <w:sz w:val="22"/>
          <w:szCs w:val="22"/>
        </w:rPr>
        <w:t>Sevincok</w:t>
      </w:r>
      <w:proofErr w:type="spellEnd"/>
      <w:r w:rsidRPr="005603B1">
        <w:rPr>
          <w:rFonts w:ascii="Arial" w:hAnsi="Arial" w:cs="Arial"/>
          <w:sz w:val="22"/>
          <w:szCs w:val="22"/>
        </w:rPr>
        <w:t xml:space="preserve">, L. (2019). The characteristics of the comorbidity between social anxiety and separation anxiety disorders in adult patients. </w:t>
      </w:r>
      <w:r w:rsidRPr="005603B1">
        <w:rPr>
          <w:rFonts w:ascii="Arial" w:hAnsi="Arial" w:cs="Arial"/>
          <w:i/>
          <w:iCs/>
          <w:sz w:val="22"/>
          <w:szCs w:val="22"/>
        </w:rPr>
        <w:t>Nordic Journal of Psychiatry</w:t>
      </w:r>
      <w:r w:rsidRPr="005603B1">
        <w:rPr>
          <w:rFonts w:ascii="Arial" w:hAnsi="Arial" w:cs="Arial"/>
          <w:sz w:val="22"/>
          <w:szCs w:val="22"/>
        </w:rPr>
        <w:t xml:space="preserve">, 73(6), pp.380–386. </w:t>
      </w:r>
      <w:r w:rsidR="007E2358">
        <w:rPr>
          <w:rFonts w:ascii="Arial" w:hAnsi="Arial" w:cs="Arial"/>
          <w:sz w:val="22"/>
          <w:szCs w:val="22"/>
        </w:rPr>
        <w:t xml:space="preserve">Available at: </w:t>
      </w:r>
      <w:proofErr w:type="spellStart"/>
      <w:proofErr w:type="gramStart"/>
      <w:r w:rsidRPr="005603B1">
        <w:rPr>
          <w:rFonts w:ascii="Arial" w:hAnsi="Arial" w:cs="Arial"/>
          <w:sz w:val="22"/>
          <w:szCs w:val="22"/>
        </w:rPr>
        <w:t>doi:https</w:t>
      </w:r>
      <w:proofErr w:type="spellEnd"/>
      <w:r w:rsidRPr="005603B1">
        <w:rPr>
          <w:rFonts w:ascii="Arial" w:hAnsi="Arial" w:cs="Arial"/>
          <w:sz w:val="22"/>
          <w:szCs w:val="22"/>
        </w:rPr>
        <w:t>://doi.org/10.1080/08039488.2019.1642381</w:t>
      </w:r>
      <w:proofErr w:type="gramEnd"/>
      <w:r w:rsidRPr="005603B1">
        <w:rPr>
          <w:rFonts w:ascii="Arial" w:hAnsi="Arial" w:cs="Arial"/>
          <w:sz w:val="22"/>
          <w:szCs w:val="22"/>
        </w:rPr>
        <w:t>.</w:t>
      </w:r>
      <w:r w:rsidRPr="005603B1">
        <w:rPr>
          <w:rFonts w:ascii="Arial" w:hAnsi="Arial" w:cs="Arial"/>
          <w:sz w:val="22"/>
          <w:szCs w:val="22"/>
        </w:rPr>
        <w:t xml:space="preserve"> (Accessed: 12 December 2025). </w:t>
      </w:r>
    </w:p>
    <w:p w14:paraId="60AAE545" w14:textId="77777777" w:rsidR="005603B1" w:rsidRPr="005603B1" w:rsidRDefault="005603B1" w:rsidP="005603B1">
      <w:pPr>
        <w:spacing w:after="0" w:line="360" w:lineRule="auto"/>
        <w:ind w:left="360"/>
        <w:rPr>
          <w:rFonts w:ascii="Arial" w:eastAsia="Times New Roman" w:hAnsi="Arial" w:cs="Arial"/>
          <w:kern w:val="0"/>
          <w:sz w:val="22"/>
          <w:szCs w:val="22"/>
          <w:lang w:eastAsia="en-GB"/>
          <w14:ligatures w14:val="none"/>
        </w:rPr>
      </w:pPr>
      <w:proofErr w:type="spellStart"/>
      <w:r w:rsidRPr="005603B1">
        <w:rPr>
          <w:rFonts w:ascii="Arial" w:eastAsia="Times New Roman" w:hAnsi="Arial" w:cs="Arial"/>
          <w:kern w:val="0"/>
          <w:sz w:val="22"/>
          <w:szCs w:val="22"/>
          <w:lang w:eastAsia="en-GB"/>
          <w14:ligatures w14:val="none"/>
        </w:rPr>
        <w:t>Drazheva</w:t>
      </w:r>
      <w:proofErr w:type="spellEnd"/>
      <w:r w:rsidRPr="005603B1">
        <w:rPr>
          <w:rFonts w:ascii="Arial" w:eastAsia="Times New Roman" w:hAnsi="Arial" w:cs="Arial"/>
          <w:kern w:val="0"/>
          <w:sz w:val="22"/>
          <w:szCs w:val="22"/>
          <w:lang w:eastAsia="en-GB"/>
          <w14:ligatures w14:val="none"/>
        </w:rPr>
        <w:t xml:space="preserve">, E. (2025) ‘A Case Study Analysis of Separation Anxiety in the Effect of the Maternal and Paternal Role on Separation Anxiety in Early Childhood’, </w:t>
      </w:r>
      <w:r w:rsidRPr="005603B1">
        <w:rPr>
          <w:rFonts w:ascii="Arial" w:eastAsia="Times New Roman" w:hAnsi="Arial" w:cs="Arial"/>
          <w:i/>
          <w:iCs/>
          <w:kern w:val="0"/>
          <w:sz w:val="22"/>
          <w:szCs w:val="22"/>
          <w:lang w:eastAsia="en-GB"/>
          <w14:ligatures w14:val="none"/>
        </w:rPr>
        <w:t>Global Psychotherapist</w:t>
      </w:r>
      <w:r w:rsidRPr="005603B1">
        <w:rPr>
          <w:rFonts w:ascii="Arial" w:eastAsia="Times New Roman" w:hAnsi="Arial" w:cs="Arial"/>
          <w:kern w:val="0"/>
          <w:sz w:val="22"/>
          <w:szCs w:val="22"/>
          <w:lang w:eastAsia="en-GB"/>
          <w14:ligatures w14:val="none"/>
        </w:rPr>
        <w:t xml:space="preserve">, 5(2), pp. 106–113. Available at: </w:t>
      </w:r>
      <w:hyperlink r:id="rId13" w:history="1">
        <w:r w:rsidRPr="005603B1">
          <w:rPr>
            <w:rStyle w:val="Hyperlink"/>
            <w:rFonts w:ascii="Arial" w:eastAsia="Times New Roman" w:hAnsi="Arial" w:cs="Arial"/>
            <w:kern w:val="0"/>
            <w:sz w:val="22"/>
            <w:szCs w:val="22"/>
            <w:lang w:eastAsia="en-GB"/>
            <w14:ligatures w14:val="none"/>
          </w:rPr>
          <w:t>https://doi.org/10.52982/lkj279</w:t>
        </w:r>
      </w:hyperlink>
      <w:r w:rsidRPr="005603B1">
        <w:rPr>
          <w:rFonts w:ascii="Arial" w:eastAsia="Times New Roman" w:hAnsi="Arial" w:cs="Arial"/>
          <w:kern w:val="0"/>
          <w:sz w:val="22"/>
          <w:szCs w:val="22"/>
          <w:lang w:eastAsia="en-GB"/>
          <w14:ligatures w14:val="none"/>
        </w:rPr>
        <w:t>. (Accessed: 10 December 2025)</w:t>
      </w:r>
    </w:p>
    <w:p w14:paraId="172A832D" w14:textId="46AC9EBF" w:rsidR="005603B1" w:rsidRPr="005603B1" w:rsidRDefault="005603B1" w:rsidP="005603B1">
      <w:pPr>
        <w:pStyle w:val="NormalWeb"/>
        <w:spacing w:before="0" w:beforeAutospacing="0" w:after="240" w:afterAutospacing="0" w:line="360" w:lineRule="auto"/>
        <w:ind w:left="360"/>
        <w:rPr>
          <w:rFonts w:ascii="Arial" w:hAnsi="Arial" w:cs="Arial"/>
          <w:sz w:val="22"/>
          <w:szCs w:val="22"/>
        </w:rPr>
      </w:pPr>
      <w:r w:rsidRPr="005603B1">
        <w:rPr>
          <w:rFonts w:ascii="Arial" w:hAnsi="Arial" w:cs="Arial"/>
          <w:sz w:val="22"/>
          <w:szCs w:val="22"/>
        </w:rPr>
        <w:lastRenderedPageBreak/>
        <w:t xml:space="preserve">Eisen, A.R., Raleigh, H. and Neuhoff, C.C. (2008). The Unique Impact of Parent Training for Separation Anxiety Disorder in Children. </w:t>
      </w:r>
      <w:proofErr w:type="spellStart"/>
      <w:r w:rsidRPr="005603B1">
        <w:rPr>
          <w:rFonts w:ascii="Arial" w:hAnsi="Arial" w:cs="Arial"/>
          <w:i/>
          <w:iCs/>
          <w:sz w:val="22"/>
          <w:szCs w:val="22"/>
        </w:rPr>
        <w:t>Behavior</w:t>
      </w:r>
      <w:proofErr w:type="spellEnd"/>
      <w:r w:rsidRPr="005603B1">
        <w:rPr>
          <w:rFonts w:ascii="Arial" w:hAnsi="Arial" w:cs="Arial"/>
          <w:i/>
          <w:iCs/>
          <w:sz w:val="22"/>
          <w:szCs w:val="22"/>
        </w:rPr>
        <w:t xml:space="preserve"> Therapy</w:t>
      </w:r>
      <w:r w:rsidRPr="005603B1">
        <w:rPr>
          <w:rFonts w:ascii="Arial" w:hAnsi="Arial" w:cs="Arial"/>
          <w:sz w:val="22"/>
          <w:szCs w:val="22"/>
        </w:rPr>
        <w:t>, 39(2), pp.195–206.</w:t>
      </w:r>
      <w:r w:rsidR="007E2358">
        <w:rPr>
          <w:rFonts w:ascii="Arial" w:hAnsi="Arial" w:cs="Arial"/>
          <w:sz w:val="22"/>
          <w:szCs w:val="22"/>
        </w:rPr>
        <w:t xml:space="preserve"> </w:t>
      </w:r>
      <w:r w:rsidR="007E2358">
        <w:rPr>
          <w:rFonts w:ascii="Arial" w:hAnsi="Arial" w:cs="Arial"/>
          <w:sz w:val="22"/>
          <w:szCs w:val="22"/>
        </w:rPr>
        <w:t xml:space="preserve">Available at: </w:t>
      </w:r>
      <w:proofErr w:type="spellStart"/>
      <w:proofErr w:type="gramStart"/>
      <w:r w:rsidRPr="005603B1">
        <w:rPr>
          <w:rFonts w:ascii="Arial" w:hAnsi="Arial" w:cs="Arial"/>
          <w:sz w:val="22"/>
          <w:szCs w:val="22"/>
        </w:rPr>
        <w:t>doi:https</w:t>
      </w:r>
      <w:proofErr w:type="spellEnd"/>
      <w:r w:rsidRPr="005603B1">
        <w:rPr>
          <w:rFonts w:ascii="Arial" w:hAnsi="Arial" w:cs="Arial"/>
          <w:sz w:val="22"/>
          <w:szCs w:val="22"/>
        </w:rPr>
        <w:t>://doi.org/10.1016/j.beth.2007.07.004</w:t>
      </w:r>
      <w:proofErr w:type="gramEnd"/>
      <w:r w:rsidRPr="005603B1">
        <w:rPr>
          <w:rFonts w:ascii="Arial" w:hAnsi="Arial" w:cs="Arial"/>
          <w:sz w:val="22"/>
          <w:szCs w:val="22"/>
        </w:rPr>
        <w:t>.</w:t>
      </w:r>
      <w:r w:rsidRPr="005603B1">
        <w:rPr>
          <w:rFonts w:ascii="Arial" w:hAnsi="Arial" w:cs="Arial"/>
          <w:sz w:val="22"/>
          <w:szCs w:val="22"/>
        </w:rPr>
        <w:t xml:space="preserve"> (Accessed: 12 December 2025). </w:t>
      </w:r>
    </w:p>
    <w:p w14:paraId="54F71988" w14:textId="77777777" w:rsidR="005603B1" w:rsidRPr="005603B1" w:rsidRDefault="005603B1" w:rsidP="005603B1">
      <w:pPr>
        <w:pStyle w:val="NormalWeb"/>
        <w:spacing w:before="0" w:beforeAutospacing="0" w:after="240" w:afterAutospacing="0" w:line="360" w:lineRule="auto"/>
        <w:ind w:left="360"/>
        <w:rPr>
          <w:rFonts w:ascii="Arial" w:hAnsi="Arial" w:cs="Arial"/>
          <w:sz w:val="22"/>
          <w:szCs w:val="22"/>
        </w:rPr>
      </w:pPr>
      <w:proofErr w:type="spellStart"/>
      <w:r w:rsidRPr="005603B1">
        <w:rPr>
          <w:rFonts w:ascii="Arial" w:hAnsi="Arial" w:cs="Arial"/>
          <w:sz w:val="22"/>
          <w:szCs w:val="22"/>
        </w:rPr>
        <w:t>Feriante</w:t>
      </w:r>
      <w:proofErr w:type="spellEnd"/>
      <w:r w:rsidRPr="005603B1">
        <w:rPr>
          <w:rFonts w:ascii="Arial" w:hAnsi="Arial" w:cs="Arial"/>
          <w:sz w:val="22"/>
          <w:szCs w:val="22"/>
        </w:rPr>
        <w:t xml:space="preserve">, J., Bernstein, B. and Torrico, T. (2023). </w:t>
      </w:r>
      <w:r w:rsidRPr="005603B1">
        <w:rPr>
          <w:rFonts w:ascii="Arial" w:hAnsi="Arial" w:cs="Arial"/>
          <w:i/>
          <w:iCs/>
          <w:sz w:val="22"/>
          <w:szCs w:val="22"/>
        </w:rPr>
        <w:t>Separation anxiety disorder</w:t>
      </w:r>
      <w:r w:rsidRPr="005603B1">
        <w:rPr>
          <w:rFonts w:ascii="Arial" w:hAnsi="Arial" w:cs="Arial"/>
          <w:sz w:val="22"/>
          <w:szCs w:val="22"/>
        </w:rPr>
        <w:t xml:space="preserve">. Available at: </w:t>
      </w:r>
      <w:hyperlink r:id="rId14" w:history="1">
        <w:r w:rsidRPr="005603B1">
          <w:rPr>
            <w:rStyle w:val="Hyperlink"/>
            <w:rFonts w:ascii="Arial" w:hAnsi="Arial" w:cs="Arial"/>
            <w:sz w:val="22"/>
            <w:szCs w:val="22"/>
          </w:rPr>
          <w:t>https://www.ncbi.nlm.nih.gov/books/NBK560793/</w:t>
        </w:r>
      </w:hyperlink>
      <w:r w:rsidRPr="005603B1">
        <w:rPr>
          <w:rFonts w:ascii="Arial" w:hAnsi="Arial" w:cs="Arial"/>
          <w:sz w:val="22"/>
          <w:szCs w:val="22"/>
        </w:rPr>
        <w:t>.</w:t>
      </w:r>
      <w:r w:rsidRPr="005603B1">
        <w:rPr>
          <w:rFonts w:ascii="Arial" w:hAnsi="Arial" w:cs="Arial"/>
          <w:sz w:val="22"/>
          <w:szCs w:val="22"/>
        </w:rPr>
        <w:t xml:space="preserve"> (Accessed: 12 December 2025).</w:t>
      </w:r>
    </w:p>
    <w:p w14:paraId="269B5B7D" w14:textId="16D1B02E" w:rsidR="005603B1" w:rsidRPr="005603B1" w:rsidRDefault="005603B1" w:rsidP="005603B1">
      <w:pPr>
        <w:pStyle w:val="NormalWeb"/>
        <w:spacing w:before="0" w:beforeAutospacing="0" w:after="240" w:afterAutospacing="0" w:line="360" w:lineRule="auto"/>
        <w:ind w:left="360"/>
        <w:rPr>
          <w:rFonts w:ascii="Arial" w:hAnsi="Arial" w:cs="Arial"/>
          <w:sz w:val="22"/>
          <w:szCs w:val="22"/>
        </w:rPr>
      </w:pPr>
      <w:r w:rsidRPr="005603B1">
        <w:rPr>
          <w:rFonts w:ascii="Arial" w:hAnsi="Arial" w:cs="Arial"/>
          <w:sz w:val="22"/>
          <w:szCs w:val="22"/>
        </w:rPr>
        <w:t xml:space="preserve">Florian Seemüller (2023). ICD-11 and mental disorders: important changes, controversies, and future directions. </w:t>
      </w:r>
      <w:r w:rsidRPr="005603B1">
        <w:rPr>
          <w:rFonts w:ascii="Arial" w:hAnsi="Arial" w:cs="Arial"/>
          <w:i/>
          <w:iCs/>
          <w:sz w:val="22"/>
          <w:szCs w:val="22"/>
        </w:rPr>
        <w:t>BMC Psychiatry</w:t>
      </w:r>
      <w:r w:rsidRPr="005603B1">
        <w:rPr>
          <w:rFonts w:ascii="Arial" w:hAnsi="Arial" w:cs="Arial"/>
          <w:sz w:val="22"/>
          <w:szCs w:val="22"/>
        </w:rPr>
        <w:t xml:space="preserve">, 23(1). </w:t>
      </w:r>
      <w:r w:rsidR="007E2358">
        <w:rPr>
          <w:rFonts w:ascii="Arial" w:hAnsi="Arial" w:cs="Arial"/>
          <w:sz w:val="22"/>
          <w:szCs w:val="22"/>
        </w:rPr>
        <w:t xml:space="preserve">Available at: </w:t>
      </w:r>
      <w:proofErr w:type="spellStart"/>
      <w:proofErr w:type="gramStart"/>
      <w:r w:rsidRPr="005603B1">
        <w:rPr>
          <w:rFonts w:ascii="Arial" w:hAnsi="Arial" w:cs="Arial"/>
          <w:sz w:val="22"/>
          <w:szCs w:val="22"/>
        </w:rPr>
        <w:t>doi:https</w:t>
      </w:r>
      <w:proofErr w:type="spellEnd"/>
      <w:r w:rsidRPr="005603B1">
        <w:rPr>
          <w:rFonts w:ascii="Arial" w:hAnsi="Arial" w:cs="Arial"/>
          <w:sz w:val="22"/>
          <w:szCs w:val="22"/>
        </w:rPr>
        <w:t>://doi.org/10.1186/s12888-023-05186-w</w:t>
      </w:r>
      <w:proofErr w:type="gramEnd"/>
      <w:r w:rsidRPr="005603B1">
        <w:rPr>
          <w:rFonts w:ascii="Arial" w:hAnsi="Arial" w:cs="Arial"/>
          <w:sz w:val="22"/>
          <w:szCs w:val="22"/>
        </w:rPr>
        <w:t>. (Accessed: 10 December 2025)</w:t>
      </w:r>
    </w:p>
    <w:p w14:paraId="31117F29" w14:textId="77777777" w:rsidR="005603B1" w:rsidRPr="005603B1" w:rsidRDefault="005603B1" w:rsidP="005603B1">
      <w:pPr>
        <w:pStyle w:val="NormalWeb"/>
        <w:spacing w:before="0" w:beforeAutospacing="0" w:after="240" w:afterAutospacing="0" w:line="360" w:lineRule="auto"/>
        <w:ind w:left="360"/>
        <w:rPr>
          <w:rFonts w:ascii="Arial" w:hAnsi="Arial" w:cs="Arial"/>
          <w:sz w:val="22"/>
          <w:szCs w:val="22"/>
        </w:rPr>
      </w:pPr>
      <w:r w:rsidRPr="005603B1">
        <w:rPr>
          <w:rFonts w:ascii="Arial" w:hAnsi="Arial" w:cs="Arial"/>
          <w:sz w:val="22"/>
          <w:szCs w:val="22"/>
        </w:rPr>
        <w:t xml:space="preserve">GALLO, K.P., THOMPSON-HOLLANDS, J.O.H.A.N.N.A., PINCUS, D.B. and BARLOW, D.H., </w:t>
      </w:r>
      <w:r w:rsidRPr="005603B1">
        <w:rPr>
          <w:rFonts w:ascii="Arial" w:hAnsi="Arial" w:cs="Arial"/>
          <w:sz w:val="22"/>
          <w:szCs w:val="22"/>
        </w:rPr>
        <w:t>(</w:t>
      </w:r>
      <w:r w:rsidRPr="005603B1">
        <w:rPr>
          <w:rFonts w:ascii="Arial" w:hAnsi="Arial" w:cs="Arial"/>
          <w:sz w:val="22"/>
          <w:szCs w:val="22"/>
        </w:rPr>
        <w:t>2012</w:t>
      </w:r>
      <w:r w:rsidRPr="005603B1">
        <w:rPr>
          <w:rFonts w:ascii="Arial" w:hAnsi="Arial" w:cs="Arial"/>
          <w:sz w:val="22"/>
          <w:szCs w:val="22"/>
        </w:rPr>
        <w:t>)</w:t>
      </w:r>
      <w:r w:rsidRPr="005603B1">
        <w:rPr>
          <w:rFonts w:ascii="Arial" w:hAnsi="Arial" w:cs="Arial"/>
          <w:sz w:val="22"/>
          <w:szCs w:val="22"/>
        </w:rPr>
        <w:t>. 148 SEPARATION ANXIETY DISORDER OBSESSIVE-COMPULSIVE DISORDER 151 SPECIFIC PHOBIAS 153 SOCIAL PHOBIA (SOCIAL ANXIETY DISORDER) 154. </w:t>
      </w:r>
      <w:r w:rsidRPr="005603B1">
        <w:rPr>
          <w:rFonts w:ascii="Arial" w:hAnsi="Arial" w:cs="Arial"/>
          <w:i/>
          <w:iCs/>
          <w:sz w:val="22"/>
          <w:szCs w:val="22"/>
        </w:rPr>
        <w:t>Handbook of Psychology, Clinical Psychology</w:t>
      </w:r>
      <w:r w:rsidRPr="005603B1">
        <w:rPr>
          <w:rFonts w:ascii="Arial" w:hAnsi="Arial" w:cs="Arial"/>
          <w:sz w:val="22"/>
          <w:szCs w:val="22"/>
        </w:rPr>
        <w:t>, </w:t>
      </w:r>
      <w:r w:rsidRPr="005603B1">
        <w:rPr>
          <w:rFonts w:ascii="Arial" w:hAnsi="Arial" w:cs="Arial"/>
          <w:i/>
          <w:iCs/>
          <w:sz w:val="22"/>
          <w:szCs w:val="22"/>
        </w:rPr>
        <w:t>8</w:t>
      </w:r>
      <w:r w:rsidRPr="005603B1">
        <w:rPr>
          <w:rFonts w:ascii="Arial" w:hAnsi="Arial" w:cs="Arial"/>
          <w:sz w:val="22"/>
          <w:szCs w:val="22"/>
        </w:rPr>
        <w:t>, p.147.</w:t>
      </w:r>
      <w:r w:rsidRPr="005603B1">
        <w:rPr>
          <w:rFonts w:ascii="Arial" w:hAnsi="Arial" w:cs="Arial"/>
          <w:sz w:val="22"/>
          <w:szCs w:val="22"/>
        </w:rPr>
        <w:t xml:space="preserve"> (Accessed: 12 December 2025)</w:t>
      </w:r>
    </w:p>
    <w:p w14:paraId="07481CF1" w14:textId="7D1D8AFA" w:rsidR="005603B1" w:rsidRPr="005603B1" w:rsidRDefault="005603B1" w:rsidP="005603B1">
      <w:pPr>
        <w:pStyle w:val="NormalWeb"/>
        <w:spacing w:before="0" w:beforeAutospacing="0" w:after="240" w:afterAutospacing="0" w:line="360" w:lineRule="auto"/>
        <w:ind w:left="360"/>
        <w:rPr>
          <w:rFonts w:ascii="Arial" w:hAnsi="Arial" w:cs="Arial"/>
          <w:sz w:val="22"/>
          <w:szCs w:val="22"/>
        </w:rPr>
      </w:pPr>
      <w:r w:rsidRPr="005603B1">
        <w:rPr>
          <w:rFonts w:ascii="Arial" w:hAnsi="Arial" w:cs="Arial"/>
          <w:sz w:val="22"/>
          <w:szCs w:val="22"/>
        </w:rPr>
        <w:t>Hockey, R., Philpott</w:t>
      </w:r>
      <w:r w:rsidRPr="005603B1">
        <w:rPr>
          <w:rFonts w:ascii="Cambria Math" w:hAnsi="Cambria Math" w:cs="Cambria Math"/>
          <w:sz w:val="22"/>
          <w:szCs w:val="22"/>
        </w:rPr>
        <w:t>‐</w:t>
      </w:r>
      <w:r w:rsidRPr="005603B1">
        <w:rPr>
          <w:rFonts w:ascii="Arial" w:hAnsi="Arial" w:cs="Arial"/>
          <w:sz w:val="22"/>
          <w:szCs w:val="22"/>
        </w:rPr>
        <w:t>Robinson, K., Haracz, K. and Ray, K. (2025). Trauma</w:t>
      </w:r>
      <w:r w:rsidRPr="005603B1">
        <w:rPr>
          <w:rFonts w:ascii="Cambria Math" w:hAnsi="Cambria Math" w:cs="Cambria Math"/>
          <w:sz w:val="22"/>
          <w:szCs w:val="22"/>
        </w:rPr>
        <w:t>‐</w:t>
      </w:r>
      <w:r w:rsidRPr="005603B1">
        <w:rPr>
          <w:rFonts w:ascii="Arial" w:hAnsi="Arial" w:cs="Arial"/>
          <w:sz w:val="22"/>
          <w:szCs w:val="22"/>
        </w:rPr>
        <w:t>informed or sensory</w:t>
      </w:r>
      <w:r w:rsidRPr="005603B1">
        <w:rPr>
          <w:rFonts w:ascii="Cambria Math" w:hAnsi="Cambria Math" w:cs="Cambria Math"/>
          <w:sz w:val="22"/>
          <w:szCs w:val="22"/>
        </w:rPr>
        <w:t>‐</w:t>
      </w:r>
      <w:r w:rsidRPr="005603B1">
        <w:rPr>
          <w:rFonts w:ascii="Arial" w:hAnsi="Arial" w:cs="Arial"/>
          <w:sz w:val="22"/>
          <w:szCs w:val="22"/>
        </w:rPr>
        <w:t xml:space="preserve">based practices in preschool settings: A scoping review. </w:t>
      </w:r>
      <w:r w:rsidRPr="005603B1">
        <w:rPr>
          <w:rFonts w:ascii="Arial" w:hAnsi="Arial" w:cs="Arial"/>
          <w:i/>
          <w:iCs/>
          <w:sz w:val="22"/>
          <w:szCs w:val="22"/>
        </w:rPr>
        <w:t>Australian Occupational Therapy Journal</w:t>
      </w:r>
      <w:r w:rsidRPr="005603B1">
        <w:rPr>
          <w:rFonts w:ascii="Arial" w:hAnsi="Arial" w:cs="Arial"/>
          <w:sz w:val="22"/>
          <w:szCs w:val="22"/>
        </w:rPr>
        <w:t xml:space="preserve">, 72(3). </w:t>
      </w:r>
      <w:r w:rsidR="007E2358">
        <w:rPr>
          <w:rFonts w:ascii="Arial" w:hAnsi="Arial" w:cs="Arial"/>
          <w:sz w:val="22"/>
          <w:szCs w:val="22"/>
        </w:rPr>
        <w:t xml:space="preserve">Available at: </w:t>
      </w:r>
      <w:proofErr w:type="spellStart"/>
      <w:proofErr w:type="gramStart"/>
      <w:r w:rsidRPr="005603B1">
        <w:rPr>
          <w:rFonts w:ascii="Arial" w:hAnsi="Arial" w:cs="Arial"/>
          <w:sz w:val="22"/>
          <w:szCs w:val="22"/>
        </w:rPr>
        <w:t>doi:https</w:t>
      </w:r>
      <w:proofErr w:type="spellEnd"/>
      <w:r w:rsidRPr="005603B1">
        <w:rPr>
          <w:rFonts w:ascii="Arial" w:hAnsi="Arial" w:cs="Arial"/>
          <w:sz w:val="22"/>
          <w:szCs w:val="22"/>
        </w:rPr>
        <w:t>://doi.org/10.1111/1440-1630.70027</w:t>
      </w:r>
      <w:proofErr w:type="gramEnd"/>
      <w:r w:rsidRPr="005603B1">
        <w:rPr>
          <w:rFonts w:ascii="Arial" w:hAnsi="Arial" w:cs="Arial"/>
          <w:sz w:val="22"/>
          <w:szCs w:val="22"/>
        </w:rPr>
        <w:t>.</w:t>
      </w:r>
      <w:r w:rsidRPr="005603B1">
        <w:rPr>
          <w:rFonts w:ascii="Arial" w:hAnsi="Arial" w:cs="Arial"/>
          <w:sz w:val="22"/>
          <w:szCs w:val="22"/>
        </w:rPr>
        <w:t xml:space="preserve"> (Accessed: 12 December 2025).</w:t>
      </w:r>
    </w:p>
    <w:p w14:paraId="748B033E" w14:textId="62FA65EC" w:rsidR="005603B1" w:rsidRDefault="005603B1" w:rsidP="005603B1">
      <w:pPr>
        <w:spacing w:after="0" w:line="360" w:lineRule="auto"/>
        <w:ind w:left="360"/>
        <w:rPr>
          <w:rFonts w:ascii="Arial" w:eastAsia="Times New Roman" w:hAnsi="Arial" w:cs="Arial"/>
          <w:kern w:val="0"/>
          <w:sz w:val="22"/>
          <w:szCs w:val="22"/>
          <w:lang w:eastAsia="en-GB"/>
          <w14:ligatures w14:val="none"/>
        </w:rPr>
      </w:pPr>
      <w:r w:rsidRPr="005603B1">
        <w:rPr>
          <w:rFonts w:ascii="Arial" w:eastAsia="Times New Roman" w:hAnsi="Arial" w:cs="Arial"/>
          <w:kern w:val="0"/>
          <w:sz w:val="22"/>
          <w:szCs w:val="22"/>
          <w:lang w:eastAsia="en-GB"/>
          <w14:ligatures w14:val="none"/>
        </w:rPr>
        <w:t xml:space="preserve">Kearney, C. A. (2021). School absenteeism and anxiety disorders. </w:t>
      </w:r>
      <w:r w:rsidRPr="005603B1">
        <w:rPr>
          <w:rFonts w:ascii="Arial" w:eastAsia="Times New Roman" w:hAnsi="Arial" w:cs="Arial"/>
          <w:i/>
          <w:iCs/>
          <w:kern w:val="0"/>
          <w:sz w:val="22"/>
          <w:szCs w:val="22"/>
          <w:lang w:eastAsia="en-GB"/>
          <w14:ligatures w14:val="none"/>
        </w:rPr>
        <w:t>Journal of Anxiety Disorders, 76</w:t>
      </w:r>
      <w:r w:rsidRPr="005603B1">
        <w:rPr>
          <w:rFonts w:ascii="Arial" w:eastAsia="Times New Roman" w:hAnsi="Arial" w:cs="Arial"/>
          <w:kern w:val="0"/>
          <w:sz w:val="22"/>
          <w:szCs w:val="22"/>
          <w:lang w:eastAsia="en-GB"/>
          <w14:ligatures w14:val="none"/>
        </w:rPr>
        <w:t>, 102–112.</w:t>
      </w:r>
      <w:r w:rsidR="007E2358">
        <w:rPr>
          <w:rFonts w:ascii="Arial" w:eastAsia="Times New Roman" w:hAnsi="Arial" w:cs="Arial"/>
          <w:kern w:val="0"/>
          <w:sz w:val="22"/>
          <w:szCs w:val="22"/>
          <w:lang w:eastAsia="en-GB"/>
          <w14:ligatures w14:val="none"/>
        </w:rPr>
        <w:t xml:space="preserve"> Available at:</w:t>
      </w:r>
      <w:r w:rsidRPr="005603B1">
        <w:rPr>
          <w:rFonts w:ascii="Arial" w:eastAsia="Times New Roman" w:hAnsi="Arial" w:cs="Arial"/>
          <w:kern w:val="0"/>
          <w:sz w:val="22"/>
          <w:szCs w:val="22"/>
          <w:lang w:eastAsia="en-GB"/>
          <w14:ligatures w14:val="none"/>
        </w:rPr>
        <w:br/>
        <w:t xml:space="preserve"> </w:t>
      </w:r>
      <w:hyperlink r:id="rId15" w:history="1">
        <w:r w:rsidRPr="005603B1">
          <w:rPr>
            <w:rStyle w:val="Hyperlink"/>
            <w:rFonts w:ascii="Arial" w:eastAsia="Times New Roman" w:hAnsi="Arial" w:cs="Arial"/>
            <w:kern w:val="0"/>
            <w:sz w:val="22"/>
            <w:szCs w:val="22"/>
            <w:lang w:eastAsia="en-GB"/>
            <w14:ligatures w14:val="none"/>
          </w:rPr>
          <w:t>https://doi.org/10.1016/j.janxdis.2020.102312</w:t>
        </w:r>
      </w:hyperlink>
      <w:r w:rsidRPr="005603B1">
        <w:rPr>
          <w:rFonts w:ascii="Arial" w:eastAsia="Times New Roman" w:hAnsi="Arial" w:cs="Arial"/>
          <w:kern w:val="0"/>
          <w:sz w:val="22"/>
          <w:szCs w:val="22"/>
          <w:lang w:eastAsia="en-GB"/>
          <w14:ligatures w14:val="none"/>
        </w:rPr>
        <w:t xml:space="preserve"> (Accessed: 10 December 2025)</w:t>
      </w:r>
    </w:p>
    <w:p w14:paraId="6DDE840F" w14:textId="77777777" w:rsidR="005603B1" w:rsidRPr="005603B1" w:rsidRDefault="005603B1" w:rsidP="005603B1">
      <w:pPr>
        <w:spacing w:after="0" w:line="360" w:lineRule="auto"/>
        <w:ind w:left="360"/>
        <w:rPr>
          <w:rFonts w:ascii="Arial" w:eastAsia="Times New Roman" w:hAnsi="Arial" w:cs="Arial"/>
          <w:kern w:val="0"/>
          <w:sz w:val="22"/>
          <w:szCs w:val="22"/>
          <w:lang w:eastAsia="en-GB"/>
          <w14:ligatures w14:val="none"/>
        </w:rPr>
      </w:pPr>
    </w:p>
    <w:p w14:paraId="14085C7C" w14:textId="77777777" w:rsidR="005603B1" w:rsidRDefault="005603B1" w:rsidP="005603B1">
      <w:pPr>
        <w:spacing w:after="0" w:line="360" w:lineRule="auto"/>
        <w:ind w:left="360"/>
        <w:rPr>
          <w:rFonts w:ascii="Arial" w:eastAsia="Times New Roman" w:hAnsi="Arial" w:cs="Arial"/>
          <w:kern w:val="0"/>
          <w:sz w:val="22"/>
          <w:szCs w:val="22"/>
          <w:lang w:eastAsia="en-GB"/>
          <w14:ligatures w14:val="none"/>
        </w:rPr>
      </w:pPr>
      <w:r w:rsidRPr="005603B1">
        <w:rPr>
          <w:rFonts w:ascii="Arial" w:eastAsia="Times New Roman" w:hAnsi="Arial" w:cs="Arial"/>
          <w:kern w:val="0"/>
          <w:sz w:val="22"/>
          <w:szCs w:val="22"/>
          <w:lang w:eastAsia="en-GB"/>
          <w14:ligatures w14:val="none"/>
        </w:rPr>
        <w:t xml:space="preserve">Kossowsky, J. </w:t>
      </w:r>
      <w:r w:rsidRPr="005603B1">
        <w:rPr>
          <w:rFonts w:ascii="Arial" w:eastAsia="Times New Roman" w:hAnsi="Arial" w:cs="Arial"/>
          <w:i/>
          <w:iCs/>
          <w:kern w:val="0"/>
          <w:sz w:val="22"/>
          <w:szCs w:val="22"/>
          <w:lang w:eastAsia="en-GB"/>
          <w14:ligatures w14:val="none"/>
        </w:rPr>
        <w:t>et al.</w:t>
      </w:r>
      <w:r w:rsidRPr="005603B1">
        <w:rPr>
          <w:rFonts w:ascii="Arial" w:eastAsia="Times New Roman" w:hAnsi="Arial" w:cs="Arial"/>
          <w:kern w:val="0"/>
          <w:sz w:val="22"/>
          <w:szCs w:val="22"/>
          <w:lang w:eastAsia="en-GB"/>
          <w14:ligatures w14:val="none"/>
        </w:rPr>
        <w:t xml:space="preserve"> (2012) ‘Separation anxiety disorder in children: disorder-specific responses to experimental separation from the mother’, </w:t>
      </w:r>
      <w:r w:rsidRPr="005603B1">
        <w:rPr>
          <w:rFonts w:ascii="Arial" w:eastAsia="Times New Roman" w:hAnsi="Arial" w:cs="Arial"/>
          <w:i/>
          <w:iCs/>
          <w:kern w:val="0"/>
          <w:sz w:val="22"/>
          <w:szCs w:val="22"/>
          <w:lang w:eastAsia="en-GB"/>
          <w14:ligatures w14:val="none"/>
        </w:rPr>
        <w:t>Journal of child psychology and psychiatry</w:t>
      </w:r>
      <w:r w:rsidRPr="005603B1">
        <w:rPr>
          <w:rFonts w:ascii="Arial" w:eastAsia="Times New Roman" w:hAnsi="Arial" w:cs="Arial"/>
          <w:kern w:val="0"/>
          <w:sz w:val="22"/>
          <w:szCs w:val="22"/>
          <w:lang w:eastAsia="en-GB"/>
          <w14:ligatures w14:val="none"/>
        </w:rPr>
        <w:t xml:space="preserve">, 53(2), pp. 178–187. Available at: </w:t>
      </w:r>
      <w:hyperlink r:id="rId16" w:history="1">
        <w:r w:rsidRPr="005603B1">
          <w:rPr>
            <w:rStyle w:val="Hyperlink"/>
            <w:rFonts w:ascii="Arial" w:eastAsia="Times New Roman" w:hAnsi="Arial" w:cs="Arial"/>
            <w:kern w:val="0"/>
            <w:sz w:val="22"/>
            <w:szCs w:val="22"/>
            <w:lang w:eastAsia="en-GB"/>
            <w14:ligatures w14:val="none"/>
          </w:rPr>
          <w:t>https://doi.org/10.1111/j.1469-7610.2011.02465.x</w:t>
        </w:r>
      </w:hyperlink>
      <w:r w:rsidRPr="005603B1">
        <w:rPr>
          <w:rFonts w:ascii="Arial" w:eastAsia="Times New Roman" w:hAnsi="Arial" w:cs="Arial"/>
          <w:kern w:val="0"/>
          <w:sz w:val="22"/>
          <w:szCs w:val="22"/>
          <w:lang w:eastAsia="en-GB"/>
          <w14:ligatures w14:val="none"/>
        </w:rPr>
        <w:t>. (Accessed: 10 December 2025)</w:t>
      </w:r>
    </w:p>
    <w:p w14:paraId="362E4DB7" w14:textId="77777777" w:rsidR="005603B1" w:rsidRPr="005603B1" w:rsidRDefault="005603B1" w:rsidP="005603B1">
      <w:pPr>
        <w:spacing w:after="0" w:line="360" w:lineRule="auto"/>
        <w:ind w:left="360"/>
        <w:rPr>
          <w:rFonts w:ascii="Arial" w:eastAsia="Times New Roman" w:hAnsi="Arial" w:cs="Arial"/>
          <w:kern w:val="0"/>
          <w:sz w:val="22"/>
          <w:szCs w:val="22"/>
          <w:lang w:eastAsia="en-GB"/>
          <w14:ligatures w14:val="none"/>
        </w:rPr>
      </w:pPr>
    </w:p>
    <w:p w14:paraId="1FD0B75F" w14:textId="77777777" w:rsidR="005603B1" w:rsidRDefault="005603B1" w:rsidP="005603B1">
      <w:pPr>
        <w:spacing w:after="0" w:line="360" w:lineRule="auto"/>
        <w:ind w:left="360"/>
        <w:rPr>
          <w:rFonts w:ascii="Arial" w:eastAsia="Times New Roman" w:hAnsi="Arial" w:cs="Arial"/>
          <w:kern w:val="0"/>
          <w:sz w:val="22"/>
          <w:szCs w:val="22"/>
          <w:lang w:eastAsia="en-GB"/>
          <w14:ligatures w14:val="none"/>
        </w:rPr>
      </w:pPr>
      <w:proofErr w:type="spellStart"/>
      <w:r w:rsidRPr="005603B1">
        <w:rPr>
          <w:rFonts w:ascii="Arial" w:eastAsia="Times New Roman" w:hAnsi="Arial" w:cs="Arial"/>
          <w:kern w:val="0"/>
          <w:sz w:val="22"/>
          <w:szCs w:val="22"/>
          <w:lang w:eastAsia="en-GB"/>
          <w14:ligatures w14:val="none"/>
        </w:rPr>
        <w:t>Maercker</w:t>
      </w:r>
      <w:proofErr w:type="spellEnd"/>
      <w:r w:rsidRPr="005603B1">
        <w:rPr>
          <w:rFonts w:ascii="Arial" w:eastAsia="Times New Roman" w:hAnsi="Arial" w:cs="Arial"/>
          <w:kern w:val="0"/>
          <w:sz w:val="22"/>
          <w:szCs w:val="22"/>
          <w:lang w:eastAsia="en-GB"/>
          <w14:ligatures w14:val="none"/>
        </w:rPr>
        <w:t xml:space="preserve">, A., Brewin, C.R., Bryant, R.A., </w:t>
      </w:r>
      <w:proofErr w:type="spellStart"/>
      <w:r w:rsidRPr="005603B1">
        <w:rPr>
          <w:rFonts w:ascii="Arial" w:eastAsia="Times New Roman" w:hAnsi="Arial" w:cs="Arial"/>
          <w:kern w:val="0"/>
          <w:sz w:val="22"/>
          <w:szCs w:val="22"/>
          <w:lang w:eastAsia="en-GB"/>
          <w14:ligatures w14:val="none"/>
        </w:rPr>
        <w:t>Cloitre</w:t>
      </w:r>
      <w:proofErr w:type="spellEnd"/>
      <w:r w:rsidRPr="005603B1">
        <w:rPr>
          <w:rFonts w:ascii="Arial" w:eastAsia="Times New Roman" w:hAnsi="Arial" w:cs="Arial"/>
          <w:kern w:val="0"/>
          <w:sz w:val="22"/>
          <w:szCs w:val="22"/>
          <w:lang w:eastAsia="en-GB"/>
          <w14:ligatures w14:val="none"/>
        </w:rPr>
        <w:t xml:space="preserve">, M., Reed, G.M., Van Ommeren, M., Humayun, A., Jones, L.M., </w:t>
      </w:r>
      <w:proofErr w:type="spellStart"/>
      <w:r w:rsidRPr="005603B1">
        <w:rPr>
          <w:rFonts w:ascii="Arial" w:eastAsia="Times New Roman" w:hAnsi="Arial" w:cs="Arial"/>
          <w:kern w:val="0"/>
          <w:sz w:val="22"/>
          <w:szCs w:val="22"/>
          <w:lang w:eastAsia="en-GB"/>
          <w14:ligatures w14:val="none"/>
        </w:rPr>
        <w:t>Kagee</w:t>
      </w:r>
      <w:proofErr w:type="spellEnd"/>
      <w:r w:rsidRPr="005603B1">
        <w:rPr>
          <w:rFonts w:ascii="Arial" w:eastAsia="Times New Roman" w:hAnsi="Arial" w:cs="Arial"/>
          <w:kern w:val="0"/>
          <w:sz w:val="22"/>
          <w:szCs w:val="22"/>
          <w:lang w:eastAsia="en-GB"/>
          <w14:ligatures w14:val="none"/>
        </w:rPr>
        <w:t>, A., Llosa, A.E. and Rousseau, C., 2013. Proposals for mental disorders specifically associated with stress in the International Classification of Diseases-11. </w:t>
      </w:r>
      <w:r w:rsidRPr="005603B1">
        <w:rPr>
          <w:rFonts w:ascii="Arial" w:eastAsia="Times New Roman" w:hAnsi="Arial" w:cs="Arial"/>
          <w:i/>
          <w:iCs/>
          <w:kern w:val="0"/>
          <w:sz w:val="22"/>
          <w:szCs w:val="22"/>
          <w:lang w:eastAsia="en-GB"/>
          <w14:ligatures w14:val="none"/>
        </w:rPr>
        <w:t>The Lancet</w:t>
      </w:r>
      <w:r w:rsidRPr="005603B1">
        <w:rPr>
          <w:rFonts w:ascii="Arial" w:eastAsia="Times New Roman" w:hAnsi="Arial" w:cs="Arial"/>
          <w:kern w:val="0"/>
          <w:sz w:val="22"/>
          <w:szCs w:val="22"/>
          <w:lang w:eastAsia="en-GB"/>
          <w14:ligatures w14:val="none"/>
        </w:rPr>
        <w:t>, </w:t>
      </w:r>
      <w:r w:rsidRPr="005603B1">
        <w:rPr>
          <w:rFonts w:ascii="Arial" w:eastAsia="Times New Roman" w:hAnsi="Arial" w:cs="Arial"/>
          <w:i/>
          <w:iCs/>
          <w:kern w:val="0"/>
          <w:sz w:val="22"/>
          <w:szCs w:val="22"/>
          <w:lang w:eastAsia="en-GB"/>
          <w14:ligatures w14:val="none"/>
        </w:rPr>
        <w:t>381</w:t>
      </w:r>
      <w:r w:rsidRPr="005603B1">
        <w:rPr>
          <w:rFonts w:ascii="Arial" w:eastAsia="Times New Roman" w:hAnsi="Arial" w:cs="Arial"/>
          <w:kern w:val="0"/>
          <w:sz w:val="22"/>
          <w:szCs w:val="22"/>
          <w:lang w:eastAsia="en-GB"/>
          <w14:ligatures w14:val="none"/>
        </w:rPr>
        <w:t>(9878), pp.1683-1685. (Accessed: 10 December 2025)</w:t>
      </w:r>
    </w:p>
    <w:p w14:paraId="1D2CF72A" w14:textId="77777777" w:rsidR="005603B1" w:rsidRDefault="005603B1" w:rsidP="005603B1">
      <w:pPr>
        <w:spacing w:after="0" w:line="360" w:lineRule="auto"/>
        <w:ind w:left="360"/>
        <w:rPr>
          <w:rFonts w:ascii="Arial" w:eastAsia="Times New Roman" w:hAnsi="Arial" w:cs="Arial"/>
          <w:kern w:val="0"/>
          <w:sz w:val="22"/>
          <w:szCs w:val="22"/>
          <w:lang w:eastAsia="en-GB"/>
          <w14:ligatures w14:val="none"/>
        </w:rPr>
      </w:pPr>
    </w:p>
    <w:p w14:paraId="2954B17A" w14:textId="77777777" w:rsidR="005603B1" w:rsidRPr="005603B1" w:rsidRDefault="005603B1" w:rsidP="005603B1">
      <w:pPr>
        <w:spacing w:after="0" w:line="360" w:lineRule="auto"/>
        <w:ind w:left="360"/>
        <w:rPr>
          <w:rFonts w:ascii="Arial" w:eastAsia="Times New Roman" w:hAnsi="Arial" w:cs="Arial"/>
          <w:kern w:val="0"/>
          <w:sz w:val="22"/>
          <w:szCs w:val="22"/>
          <w:lang w:eastAsia="en-GB"/>
          <w14:ligatures w14:val="none"/>
        </w:rPr>
      </w:pPr>
    </w:p>
    <w:p w14:paraId="25178570" w14:textId="226FC663" w:rsidR="005603B1" w:rsidRDefault="005603B1" w:rsidP="005603B1">
      <w:pPr>
        <w:spacing w:after="0" w:line="360" w:lineRule="auto"/>
        <w:ind w:left="360"/>
        <w:rPr>
          <w:rFonts w:ascii="Arial" w:hAnsi="Arial" w:cs="Arial"/>
          <w:sz w:val="22"/>
          <w:szCs w:val="22"/>
        </w:rPr>
      </w:pPr>
      <w:r w:rsidRPr="005603B1">
        <w:rPr>
          <w:rFonts w:ascii="Arial" w:eastAsia="Times New Roman" w:hAnsi="Arial" w:cs="Arial"/>
          <w:kern w:val="0"/>
          <w:sz w:val="22"/>
          <w:szCs w:val="22"/>
          <w:lang w:eastAsia="en-GB"/>
          <w14:ligatures w14:val="none"/>
        </w:rPr>
        <w:lastRenderedPageBreak/>
        <w:t xml:space="preserve"> </w:t>
      </w:r>
      <w:r w:rsidRPr="005603B1">
        <w:rPr>
          <w:rFonts w:ascii="Arial" w:hAnsi="Arial" w:cs="Arial"/>
          <w:sz w:val="22"/>
          <w:szCs w:val="22"/>
        </w:rPr>
        <w:t>M</w:t>
      </w:r>
      <w:r w:rsidRPr="005603B1">
        <w:rPr>
          <w:rFonts w:ascii="Arial" w:hAnsi="Arial" w:cs="Arial"/>
          <w:sz w:val="22"/>
          <w:szCs w:val="22"/>
        </w:rPr>
        <w:t>e</w:t>
      </w:r>
      <w:r w:rsidRPr="005603B1">
        <w:rPr>
          <w:rFonts w:ascii="Arial" w:hAnsi="Arial" w:cs="Arial"/>
          <w:sz w:val="22"/>
          <w:szCs w:val="22"/>
        </w:rPr>
        <w:t xml:space="preserve">ndez, X., Espada, J.P., </w:t>
      </w:r>
      <w:proofErr w:type="spellStart"/>
      <w:r w:rsidRPr="005603B1">
        <w:rPr>
          <w:rFonts w:ascii="Arial" w:hAnsi="Arial" w:cs="Arial"/>
          <w:sz w:val="22"/>
          <w:szCs w:val="22"/>
        </w:rPr>
        <w:t>Orgilés</w:t>
      </w:r>
      <w:proofErr w:type="spellEnd"/>
      <w:r w:rsidRPr="005603B1">
        <w:rPr>
          <w:rFonts w:ascii="Arial" w:hAnsi="Arial" w:cs="Arial"/>
          <w:sz w:val="22"/>
          <w:szCs w:val="22"/>
        </w:rPr>
        <w:t xml:space="preserve">, M., </w:t>
      </w:r>
      <w:proofErr w:type="spellStart"/>
      <w:r w:rsidRPr="005603B1">
        <w:rPr>
          <w:rFonts w:ascii="Arial" w:hAnsi="Arial" w:cs="Arial"/>
          <w:sz w:val="22"/>
          <w:szCs w:val="22"/>
        </w:rPr>
        <w:t>Llavona</w:t>
      </w:r>
      <w:proofErr w:type="spellEnd"/>
      <w:r w:rsidRPr="005603B1">
        <w:rPr>
          <w:rFonts w:ascii="Arial" w:hAnsi="Arial" w:cs="Arial"/>
          <w:sz w:val="22"/>
          <w:szCs w:val="22"/>
        </w:rPr>
        <w:t xml:space="preserve">, L.M. and García-Fernández, J.M. (2014). Children’s Separation Anxiety Scale (CSAS): Psychometric Properties. </w:t>
      </w:r>
      <w:proofErr w:type="spellStart"/>
      <w:r w:rsidRPr="005603B1">
        <w:rPr>
          <w:rFonts w:ascii="Arial" w:hAnsi="Arial" w:cs="Arial"/>
          <w:i/>
          <w:iCs/>
          <w:sz w:val="22"/>
          <w:szCs w:val="22"/>
        </w:rPr>
        <w:t>PLoS</w:t>
      </w:r>
      <w:proofErr w:type="spellEnd"/>
      <w:r w:rsidRPr="005603B1">
        <w:rPr>
          <w:rFonts w:ascii="Arial" w:hAnsi="Arial" w:cs="Arial"/>
          <w:i/>
          <w:iCs/>
          <w:sz w:val="22"/>
          <w:szCs w:val="22"/>
        </w:rPr>
        <w:t xml:space="preserve"> ONE</w:t>
      </w:r>
      <w:r w:rsidRPr="005603B1">
        <w:rPr>
          <w:rFonts w:ascii="Arial" w:hAnsi="Arial" w:cs="Arial"/>
          <w:sz w:val="22"/>
          <w:szCs w:val="22"/>
        </w:rPr>
        <w:t>, 9(7), p.e103212.</w:t>
      </w:r>
      <w:r w:rsidR="007E2358">
        <w:rPr>
          <w:rFonts w:ascii="Arial" w:hAnsi="Arial" w:cs="Arial"/>
          <w:sz w:val="22"/>
          <w:szCs w:val="22"/>
        </w:rPr>
        <w:t xml:space="preserve"> Available at:</w:t>
      </w:r>
      <w:r w:rsidRPr="005603B1">
        <w:rPr>
          <w:rFonts w:ascii="Arial" w:hAnsi="Arial" w:cs="Arial"/>
          <w:sz w:val="22"/>
          <w:szCs w:val="22"/>
        </w:rPr>
        <w:t xml:space="preserve"> </w:t>
      </w:r>
      <w:proofErr w:type="spellStart"/>
      <w:proofErr w:type="gramStart"/>
      <w:r w:rsidRPr="005603B1">
        <w:rPr>
          <w:rFonts w:ascii="Arial" w:hAnsi="Arial" w:cs="Arial"/>
          <w:sz w:val="22"/>
          <w:szCs w:val="22"/>
        </w:rPr>
        <w:t>doi:https</w:t>
      </w:r>
      <w:proofErr w:type="spellEnd"/>
      <w:r w:rsidRPr="005603B1">
        <w:rPr>
          <w:rFonts w:ascii="Arial" w:hAnsi="Arial" w:cs="Arial"/>
          <w:sz w:val="22"/>
          <w:szCs w:val="22"/>
        </w:rPr>
        <w:t>://doi.org/10.1371/journal.pone.0103212</w:t>
      </w:r>
      <w:proofErr w:type="gramEnd"/>
      <w:r w:rsidRPr="005603B1">
        <w:rPr>
          <w:rFonts w:ascii="Arial" w:hAnsi="Arial" w:cs="Arial"/>
          <w:sz w:val="22"/>
          <w:szCs w:val="22"/>
        </w:rPr>
        <w:t>.</w:t>
      </w:r>
      <w:r w:rsidRPr="005603B1">
        <w:rPr>
          <w:rFonts w:ascii="Arial" w:hAnsi="Arial" w:cs="Arial"/>
          <w:sz w:val="22"/>
          <w:szCs w:val="22"/>
        </w:rPr>
        <w:t xml:space="preserve"> (Accessed: 12 December 2025). </w:t>
      </w:r>
    </w:p>
    <w:p w14:paraId="18CEE0CB" w14:textId="77777777" w:rsidR="005603B1" w:rsidRPr="005603B1" w:rsidRDefault="005603B1" w:rsidP="005603B1">
      <w:pPr>
        <w:spacing w:after="0" w:line="360" w:lineRule="auto"/>
        <w:ind w:left="360"/>
        <w:rPr>
          <w:rFonts w:ascii="Arial" w:hAnsi="Arial" w:cs="Arial"/>
          <w:sz w:val="22"/>
          <w:szCs w:val="22"/>
        </w:rPr>
      </w:pPr>
    </w:p>
    <w:p w14:paraId="1266EFEF" w14:textId="27A06BFF" w:rsidR="005603B1" w:rsidRPr="005603B1" w:rsidRDefault="005603B1" w:rsidP="007E2358">
      <w:pPr>
        <w:pStyle w:val="NormalWeb"/>
        <w:spacing w:before="0" w:beforeAutospacing="0" w:after="240" w:afterAutospacing="0" w:line="360" w:lineRule="auto"/>
        <w:ind w:left="360"/>
        <w:rPr>
          <w:rFonts w:ascii="Arial" w:hAnsi="Arial" w:cs="Arial"/>
          <w:sz w:val="22"/>
          <w:szCs w:val="22"/>
        </w:rPr>
      </w:pPr>
      <w:proofErr w:type="spellStart"/>
      <w:r w:rsidRPr="005603B1">
        <w:rPr>
          <w:rFonts w:ascii="Arial" w:hAnsi="Arial" w:cs="Arial"/>
          <w:sz w:val="22"/>
          <w:szCs w:val="22"/>
        </w:rPr>
        <w:t>Milrod</w:t>
      </w:r>
      <w:proofErr w:type="spellEnd"/>
      <w:r w:rsidRPr="005603B1">
        <w:rPr>
          <w:rFonts w:ascii="Arial" w:hAnsi="Arial" w:cs="Arial"/>
          <w:sz w:val="22"/>
          <w:szCs w:val="22"/>
        </w:rPr>
        <w:t xml:space="preserve">, B., Altemus, M., Gross, C., Busch, F., Silver, G., Christos, P., Stieber, J. and Schneier, F. (2016). Adult separation anxiety in treatment nonresponders with anxiety disorders: delineation of the syndrome and exploration of attachment-based psychotherapy and biomarkers. </w:t>
      </w:r>
      <w:r w:rsidRPr="005603B1">
        <w:rPr>
          <w:rFonts w:ascii="Arial" w:hAnsi="Arial" w:cs="Arial"/>
          <w:i/>
          <w:iCs/>
          <w:sz w:val="22"/>
          <w:szCs w:val="22"/>
        </w:rPr>
        <w:t>Comprehensive Psychiatry</w:t>
      </w:r>
      <w:r w:rsidRPr="005603B1">
        <w:rPr>
          <w:rFonts w:ascii="Arial" w:hAnsi="Arial" w:cs="Arial"/>
          <w:sz w:val="22"/>
          <w:szCs w:val="22"/>
        </w:rPr>
        <w:t xml:space="preserve">, 66, pp.139–145. </w:t>
      </w:r>
      <w:r w:rsidR="007E2358">
        <w:rPr>
          <w:rFonts w:ascii="Arial" w:hAnsi="Arial" w:cs="Arial"/>
          <w:sz w:val="22"/>
          <w:szCs w:val="22"/>
        </w:rPr>
        <w:t xml:space="preserve">Available at: </w:t>
      </w:r>
      <w:proofErr w:type="spellStart"/>
      <w:proofErr w:type="gramStart"/>
      <w:r w:rsidRPr="005603B1">
        <w:rPr>
          <w:rFonts w:ascii="Arial" w:hAnsi="Arial" w:cs="Arial"/>
          <w:sz w:val="22"/>
          <w:szCs w:val="22"/>
        </w:rPr>
        <w:t>doi:https</w:t>
      </w:r>
      <w:proofErr w:type="spellEnd"/>
      <w:r w:rsidRPr="005603B1">
        <w:rPr>
          <w:rFonts w:ascii="Arial" w:hAnsi="Arial" w:cs="Arial"/>
          <w:sz w:val="22"/>
          <w:szCs w:val="22"/>
        </w:rPr>
        <w:t>://doi.org/10.1016/j.comppsych.2016.01.004</w:t>
      </w:r>
      <w:proofErr w:type="gramEnd"/>
      <w:r w:rsidRPr="005603B1">
        <w:rPr>
          <w:rFonts w:ascii="Arial" w:hAnsi="Arial" w:cs="Arial"/>
          <w:sz w:val="22"/>
          <w:szCs w:val="22"/>
        </w:rPr>
        <w:t>.</w:t>
      </w:r>
      <w:r w:rsidRPr="005603B1">
        <w:rPr>
          <w:rFonts w:ascii="Arial" w:hAnsi="Arial" w:cs="Arial"/>
          <w:sz w:val="22"/>
          <w:szCs w:val="22"/>
        </w:rPr>
        <w:t xml:space="preserve"> </w:t>
      </w:r>
      <w:r w:rsidRPr="005603B1">
        <w:rPr>
          <w:rFonts w:ascii="Arial" w:hAnsi="Arial" w:cs="Arial"/>
          <w:sz w:val="22"/>
          <w:szCs w:val="22"/>
        </w:rPr>
        <w:t>(Accessed: 12 December 2025).</w:t>
      </w:r>
    </w:p>
    <w:p w14:paraId="120F59ED" w14:textId="4A11A133" w:rsidR="005603B1" w:rsidRDefault="005603B1" w:rsidP="005603B1">
      <w:pPr>
        <w:spacing w:after="0" w:line="360" w:lineRule="auto"/>
        <w:ind w:left="360"/>
        <w:rPr>
          <w:rFonts w:ascii="Arial" w:eastAsia="Times New Roman" w:hAnsi="Arial" w:cs="Arial"/>
          <w:kern w:val="0"/>
          <w:sz w:val="22"/>
          <w:szCs w:val="22"/>
          <w:lang w:eastAsia="en-GB"/>
          <w14:ligatures w14:val="none"/>
        </w:rPr>
      </w:pPr>
      <w:r w:rsidRPr="005603B1">
        <w:rPr>
          <w:rFonts w:ascii="Arial" w:eastAsia="Times New Roman" w:hAnsi="Arial" w:cs="Arial"/>
          <w:kern w:val="0"/>
          <w:sz w:val="22"/>
          <w:szCs w:val="22"/>
          <w:lang w:eastAsia="en-GB"/>
          <w14:ligatures w14:val="none"/>
        </w:rPr>
        <w:t xml:space="preserve">Muris, P., &amp; Broeren, S. (2020). Separation anxiety disorder: A critical review. </w:t>
      </w:r>
      <w:r w:rsidRPr="005603B1">
        <w:rPr>
          <w:rFonts w:ascii="Arial" w:eastAsia="Times New Roman" w:hAnsi="Arial" w:cs="Arial"/>
          <w:i/>
          <w:iCs/>
          <w:kern w:val="0"/>
          <w:sz w:val="22"/>
          <w:szCs w:val="22"/>
          <w:lang w:eastAsia="en-GB"/>
          <w14:ligatures w14:val="none"/>
        </w:rPr>
        <w:t>Clinical Child and Family Psychology Review, 23</w:t>
      </w:r>
      <w:r w:rsidRPr="005603B1">
        <w:rPr>
          <w:rFonts w:ascii="Arial" w:eastAsia="Times New Roman" w:hAnsi="Arial" w:cs="Arial"/>
          <w:kern w:val="0"/>
          <w:sz w:val="22"/>
          <w:szCs w:val="22"/>
          <w:lang w:eastAsia="en-GB"/>
          <w14:ligatures w14:val="none"/>
        </w:rPr>
        <w:t>(3), 321–344.</w:t>
      </w:r>
      <w:r w:rsidR="007E2358">
        <w:rPr>
          <w:rFonts w:ascii="Arial" w:eastAsia="Times New Roman" w:hAnsi="Arial" w:cs="Arial"/>
          <w:kern w:val="0"/>
          <w:sz w:val="22"/>
          <w:szCs w:val="22"/>
          <w:lang w:eastAsia="en-GB"/>
          <w14:ligatures w14:val="none"/>
        </w:rPr>
        <w:t xml:space="preserve"> Available at: </w:t>
      </w:r>
      <w:r w:rsidRPr="005603B1">
        <w:rPr>
          <w:rFonts w:ascii="Arial" w:eastAsia="Times New Roman" w:hAnsi="Arial" w:cs="Arial"/>
          <w:kern w:val="0"/>
          <w:sz w:val="22"/>
          <w:szCs w:val="22"/>
          <w:lang w:eastAsia="en-GB"/>
          <w14:ligatures w14:val="none"/>
        </w:rPr>
        <w:br/>
        <w:t xml:space="preserve"> </w:t>
      </w:r>
      <w:hyperlink r:id="rId17" w:history="1">
        <w:r w:rsidRPr="005603B1">
          <w:rPr>
            <w:rStyle w:val="Hyperlink"/>
            <w:rFonts w:ascii="Arial" w:eastAsia="Times New Roman" w:hAnsi="Arial" w:cs="Arial"/>
            <w:kern w:val="0"/>
            <w:sz w:val="22"/>
            <w:szCs w:val="22"/>
            <w:lang w:eastAsia="en-GB"/>
            <w14:ligatures w14:val="none"/>
          </w:rPr>
          <w:t>https://doi.org/10.1007/s10567-020-00318-3</w:t>
        </w:r>
      </w:hyperlink>
      <w:r w:rsidRPr="005603B1">
        <w:rPr>
          <w:rFonts w:ascii="Arial" w:eastAsia="Times New Roman" w:hAnsi="Arial" w:cs="Arial"/>
          <w:kern w:val="0"/>
          <w:sz w:val="22"/>
          <w:szCs w:val="22"/>
          <w:lang w:eastAsia="en-GB"/>
          <w14:ligatures w14:val="none"/>
        </w:rPr>
        <w:t xml:space="preserve"> (Accessed: 10 December 2025)</w:t>
      </w:r>
    </w:p>
    <w:p w14:paraId="3555A8D2" w14:textId="77777777" w:rsidR="005603B1" w:rsidRPr="005603B1" w:rsidRDefault="005603B1" w:rsidP="005603B1">
      <w:pPr>
        <w:spacing w:after="0" w:line="360" w:lineRule="auto"/>
        <w:ind w:left="360"/>
        <w:rPr>
          <w:rFonts w:ascii="Arial" w:eastAsia="Times New Roman" w:hAnsi="Arial" w:cs="Arial"/>
          <w:kern w:val="0"/>
          <w:sz w:val="22"/>
          <w:szCs w:val="22"/>
          <w:lang w:eastAsia="en-GB"/>
          <w14:ligatures w14:val="none"/>
        </w:rPr>
      </w:pPr>
    </w:p>
    <w:p w14:paraId="71F9921E" w14:textId="77777777" w:rsidR="005603B1" w:rsidRDefault="005603B1" w:rsidP="005603B1">
      <w:pPr>
        <w:spacing w:after="0" w:line="360" w:lineRule="auto"/>
        <w:ind w:left="360"/>
        <w:rPr>
          <w:rFonts w:ascii="Arial" w:eastAsia="Times New Roman" w:hAnsi="Arial" w:cs="Arial"/>
          <w:kern w:val="0"/>
          <w:sz w:val="22"/>
          <w:szCs w:val="22"/>
          <w:lang w:eastAsia="en-GB"/>
          <w14:ligatures w14:val="none"/>
        </w:rPr>
      </w:pPr>
      <w:proofErr w:type="spellStart"/>
      <w:r w:rsidRPr="005603B1">
        <w:rPr>
          <w:rFonts w:ascii="Arial" w:eastAsia="Times New Roman" w:hAnsi="Arial" w:cs="Arial"/>
          <w:kern w:val="0"/>
          <w:sz w:val="22"/>
          <w:szCs w:val="22"/>
          <w:lang w:eastAsia="en-GB"/>
          <w14:ligatures w14:val="none"/>
        </w:rPr>
        <w:t>Namlı</w:t>
      </w:r>
      <w:proofErr w:type="spellEnd"/>
      <w:r w:rsidRPr="005603B1">
        <w:rPr>
          <w:rFonts w:ascii="Arial" w:eastAsia="Times New Roman" w:hAnsi="Arial" w:cs="Arial"/>
          <w:kern w:val="0"/>
          <w:sz w:val="22"/>
          <w:szCs w:val="22"/>
          <w:lang w:eastAsia="en-GB"/>
          <w14:ligatures w14:val="none"/>
        </w:rPr>
        <w:t xml:space="preserve">, Z., Özbay, A. and Tamam, L. (2022) ‘Adult Separation Anxiety Disorder: A Review’, </w:t>
      </w:r>
      <w:proofErr w:type="spellStart"/>
      <w:r w:rsidRPr="005603B1">
        <w:rPr>
          <w:rFonts w:ascii="Arial" w:eastAsia="Times New Roman" w:hAnsi="Arial" w:cs="Arial"/>
          <w:i/>
          <w:iCs/>
          <w:kern w:val="0"/>
          <w:sz w:val="22"/>
          <w:szCs w:val="22"/>
          <w:lang w:eastAsia="en-GB"/>
          <w14:ligatures w14:val="none"/>
        </w:rPr>
        <w:t>Psikiyatride</w:t>
      </w:r>
      <w:proofErr w:type="spellEnd"/>
      <w:r w:rsidRPr="005603B1">
        <w:rPr>
          <w:rFonts w:ascii="Arial" w:eastAsia="Times New Roman" w:hAnsi="Arial" w:cs="Arial"/>
          <w:i/>
          <w:iCs/>
          <w:kern w:val="0"/>
          <w:sz w:val="22"/>
          <w:szCs w:val="22"/>
          <w:lang w:eastAsia="en-GB"/>
          <w14:ligatures w14:val="none"/>
        </w:rPr>
        <w:t xml:space="preserve"> </w:t>
      </w:r>
      <w:proofErr w:type="spellStart"/>
      <w:r w:rsidRPr="005603B1">
        <w:rPr>
          <w:rFonts w:ascii="Arial" w:eastAsia="Times New Roman" w:hAnsi="Arial" w:cs="Arial"/>
          <w:i/>
          <w:iCs/>
          <w:kern w:val="0"/>
          <w:sz w:val="22"/>
          <w:szCs w:val="22"/>
          <w:lang w:eastAsia="en-GB"/>
          <w14:ligatures w14:val="none"/>
        </w:rPr>
        <w:t>güncel</w:t>
      </w:r>
      <w:proofErr w:type="spellEnd"/>
      <w:r w:rsidRPr="005603B1">
        <w:rPr>
          <w:rFonts w:ascii="Arial" w:eastAsia="Times New Roman" w:hAnsi="Arial" w:cs="Arial"/>
          <w:i/>
          <w:iCs/>
          <w:kern w:val="0"/>
          <w:sz w:val="22"/>
          <w:szCs w:val="22"/>
          <w:lang w:eastAsia="en-GB"/>
          <w14:ligatures w14:val="none"/>
        </w:rPr>
        <w:t xml:space="preserve"> </w:t>
      </w:r>
      <w:proofErr w:type="spellStart"/>
      <w:r w:rsidRPr="005603B1">
        <w:rPr>
          <w:rFonts w:ascii="Arial" w:eastAsia="Times New Roman" w:hAnsi="Arial" w:cs="Arial"/>
          <w:i/>
          <w:iCs/>
          <w:kern w:val="0"/>
          <w:sz w:val="22"/>
          <w:szCs w:val="22"/>
          <w:lang w:eastAsia="en-GB"/>
          <w14:ligatures w14:val="none"/>
        </w:rPr>
        <w:t>yaklaşimlar</w:t>
      </w:r>
      <w:proofErr w:type="spellEnd"/>
      <w:r w:rsidRPr="005603B1">
        <w:rPr>
          <w:rFonts w:ascii="Arial" w:eastAsia="Times New Roman" w:hAnsi="Arial" w:cs="Arial"/>
          <w:kern w:val="0"/>
          <w:sz w:val="22"/>
          <w:szCs w:val="22"/>
          <w:lang w:eastAsia="en-GB"/>
          <w14:ligatures w14:val="none"/>
        </w:rPr>
        <w:t xml:space="preserve">, 14(1), pp. 46–56. Available at: </w:t>
      </w:r>
      <w:hyperlink r:id="rId18" w:history="1">
        <w:r w:rsidRPr="005603B1">
          <w:rPr>
            <w:rStyle w:val="Hyperlink"/>
            <w:rFonts w:ascii="Arial" w:eastAsia="Times New Roman" w:hAnsi="Arial" w:cs="Arial"/>
            <w:kern w:val="0"/>
            <w:sz w:val="22"/>
            <w:szCs w:val="22"/>
            <w:lang w:eastAsia="en-GB"/>
            <w14:ligatures w14:val="none"/>
          </w:rPr>
          <w:t>https://doi.org/10.18863/pgy.940071</w:t>
        </w:r>
      </w:hyperlink>
      <w:r w:rsidRPr="005603B1">
        <w:rPr>
          <w:rFonts w:ascii="Arial" w:eastAsia="Times New Roman" w:hAnsi="Arial" w:cs="Arial"/>
          <w:kern w:val="0"/>
          <w:sz w:val="22"/>
          <w:szCs w:val="22"/>
          <w:lang w:eastAsia="en-GB"/>
          <w14:ligatures w14:val="none"/>
        </w:rPr>
        <w:t xml:space="preserve">. (Accessed: 10 December 2025). </w:t>
      </w:r>
    </w:p>
    <w:p w14:paraId="02A660EA" w14:textId="77777777" w:rsidR="005603B1" w:rsidRPr="005603B1" w:rsidRDefault="005603B1" w:rsidP="005603B1">
      <w:pPr>
        <w:spacing w:after="0" w:line="360" w:lineRule="auto"/>
        <w:ind w:left="360"/>
        <w:rPr>
          <w:rFonts w:ascii="Arial" w:eastAsia="Times New Roman" w:hAnsi="Arial" w:cs="Arial"/>
          <w:kern w:val="0"/>
          <w:sz w:val="22"/>
          <w:szCs w:val="22"/>
          <w:lang w:eastAsia="en-GB"/>
          <w14:ligatures w14:val="none"/>
        </w:rPr>
      </w:pPr>
    </w:p>
    <w:p w14:paraId="0E676B82" w14:textId="77777777" w:rsidR="005603B1" w:rsidRDefault="005603B1" w:rsidP="005603B1">
      <w:pPr>
        <w:spacing w:after="0" w:line="360" w:lineRule="auto"/>
        <w:ind w:left="360"/>
        <w:rPr>
          <w:rFonts w:ascii="Arial" w:eastAsia="Times New Roman" w:hAnsi="Arial" w:cs="Arial"/>
          <w:kern w:val="0"/>
          <w:sz w:val="22"/>
          <w:szCs w:val="22"/>
          <w:lang w:eastAsia="en-GB"/>
          <w14:ligatures w14:val="none"/>
        </w:rPr>
      </w:pPr>
      <w:r w:rsidRPr="005603B1">
        <w:rPr>
          <w:rFonts w:ascii="Arial" w:eastAsia="Times New Roman" w:hAnsi="Arial" w:cs="Arial"/>
          <w:kern w:val="0"/>
          <w:sz w:val="22"/>
          <w:szCs w:val="22"/>
          <w:lang w:eastAsia="en-GB"/>
          <w14:ligatures w14:val="none"/>
        </w:rPr>
        <w:t xml:space="preserve">Schiele, M.A. and Domschke, K. (2021) ‘Separation anxiety disorder’, </w:t>
      </w:r>
      <w:proofErr w:type="spellStart"/>
      <w:r w:rsidRPr="005603B1">
        <w:rPr>
          <w:rFonts w:ascii="Arial" w:eastAsia="Times New Roman" w:hAnsi="Arial" w:cs="Arial"/>
          <w:i/>
          <w:iCs/>
          <w:kern w:val="0"/>
          <w:sz w:val="22"/>
          <w:szCs w:val="22"/>
          <w:lang w:eastAsia="en-GB"/>
          <w14:ligatures w14:val="none"/>
        </w:rPr>
        <w:t>Nervenarzt</w:t>
      </w:r>
      <w:proofErr w:type="spellEnd"/>
      <w:r w:rsidRPr="005603B1">
        <w:rPr>
          <w:rFonts w:ascii="Arial" w:eastAsia="Times New Roman" w:hAnsi="Arial" w:cs="Arial"/>
          <w:kern w:val="0"/>
          <w:sz w:val="22"/>
          <w:szCs w:val="22"/>
          <w:lang w:eastAsia="en-GB"/>
          <w14:ligatures w14:val="none"/>
        </w:rPr>
        <w:t xml:space="preserve">, 92(5), p. 426. Available at: </w:t>
      </w:r>
      <w:hyperlink r:id="rId19" w:history="1">
        <w:r w:rsidRPr="005603B1">
          <w:rPr>
            <w:rStyle w:val="Hyperlink"/>
            <w:rFonts w:ascii="Arial" w:eastAsia="Times New Roman" w:hAnsi="Arial" w:cs="Arial"/>
            <w:kern w:val="0"/>
            <w:sz w:val="22"/>
            <w:szCs w:val="22"/>
            <w:lang w:eastAsia="en-GB"/>
            <w14:ligatures w14:val="none"/>
          </w:rPr>
          <w:t>https://doi.org/10.1007/s00115-020-01037-1</w:t>
        </w:r>
      </w:hyperlink>
      <w:r w:rsidRPr="005603B1">
        <w:rPr>
          <w:rFonts w:ascii="Arial" w:eastAsia="Times New Roman" w:hAnsi="Arial" w:cs="Arial"/>
          <w:kern w:val="0"/>
          <w:sz w:val="22"/>
          <w:szCs w:val="22"/>
          <w:lang w:eastAsia="en-GB"/>
          <w14:ligatures w14:val="none"/>
        </w:rPr>
        <w:t xml:space="preserve">. (Accessed: 10 December 2025). </w:t>
      </w:r>
    </w:p>
    <w:p w14:paraId="1DFE849C" w14:textId="77777777" w:rsidR="005603B1" w:rsidRPr="005603B1" w:rsidRDefault="005603B1" w:rsidP="005603B1">
      <w:pPr>
        <w:spacing w:after="0" w:line="360" w:lineRule="auto"/>
        <w:ind w:left="360"/>
        <w:rPr>
          <w:rFonts w:ascii="Arial" w:eastAsia="Times New Roman" w:hAnsi="Arial" w:cs="Arial"/>
          <w:kern w:val="0"/>
          <w:sz w:val="22"/>
          <w:szCs w:val="22"/>
          <w:lang w:eastAsia="en-GB"/>
          <w14:ligatures w14:val="none"/>
        </w:rPr>
      </w:pPr>
    </w:p>
    <w:p w14:paraId="30940F34" w14:textId="77777777" w:rsidR="005603B1" w:rsidRDefault="005603B1" w:rsidP="005603B1">
      <w:pPr>
        <w:spacing w:after="0" w:line="360" w:lineRule="auto"/>
        <w:ind w:left="360"/>
        <w:rPr>
          <w:rFonts w:ascii="Arial" w:eastAsia="Times New Roman" w:hAnsi="Arial" w:cs="Arial"/>
          <w:kern w:val="0"/>
          <w:sz w:val="22"/>
          <w:szCs w:val="22"/>
          <w:lang w:eastAsia="en-GB"/>
          <w14:ligatures w14:val="none"/>
        </w:rPr>
      </w:pPr>
      <w:proofErr w:type="spellStart"/>
      <w:r w:rsidRPr="005603B1">
        <w:rPr>
          <w:rFonts w:ascii="Arial" w:eastAsia="Times New Roman" w:hAnsi="Arial" w:cs="Arial"/>
          <w:kern w:val="0"/>
          <w:sz w:val="22"/>
          <w:szCs w:val="22"/>
          <w:lang w:eastAsia="en-GB"/>
          <w14:ligatures w14:val="none"/>
        </w:rPr>
        <w:t>Silove</w:t>
      </w:r>
      <w:proofErr w:type="spellEnd"/>
      <w:r w:rsidRPr="005603B1">
        <w:rPr>
          <w:rFonts w:ascii="Arial" w:eastAsia="Times New Roman" w:hAnsi="Arial" w:cs="Arial"/>
          <w:kern w:val="0"/>
          <w:sz w:val="22"/>
          <w:szCs w:val="22"/>
          <w:lang w:eastAsia="en-GB"/>
          <w14:ligatures w14:val="none"/>
        </w:rPr>
        <w:t xml:space="preserve">, D.M. </w:t>
      </w:r>
      <w:r w:rsidRPr="005603B1">
        <w:rPr>
          <w:rFonts w:ascii="Arial" w:eastAsia="Times New Roman" w:hAnsi="Arial" w:cs="Arial"/>
          <w:i/>
          <w:iCs/>
          <w:kern w:val="0"/>
          <w:sz w:val="22"/>
          <w:szCs w:val="22"/>
          <w:lang w:eastAsia="en-GB"/>
          <w14:ligatures w14:val="none"/>
        </w:rPr>
        <w:t>et al.</w:t>
      </w:r>
      <w:r w:rsidRPr="005603B1">
        <w:rPr>
          <w:rFonts w:ascii="Arial" w:eastAsia="Times New Roman" w:hAnsi="Arial" w:cs="Arial"/>
          <w:kern w:val="0"/>
          <w:sz w:val="22"/>
          <w:szCs w:val="22"/>
          <w:lang w:eastAsia="en-GB"/>
          <w14:ligatures w14:val="none"/>
        </w:rPr>
        <w:t xml:space="preserve"> (2010) ‘The prevalence and correlates of adult separation anxiety disorder in an anxiety clinic’, </w:t>
      </w:r>
      <w:r w:rsidRPr="005603B1">
        <w:rPr>
          <w:rFonts w:ascii="Arial" w:eastAsia="Times New Roman" w:hAnsi="Arial" w:cs="Arial"/>
          <w:i/>
          <w:iCs/>
          <w:kern w:val="0"/>
          <w:sz w:val="22"/>
          <w:szCs w:val="22"/>
          <w:lang w:eastAsia="en-GB"/>
          <w14:ligatures w14:val="none"/>
        </w:rPr>
        <w:t>BMC psychiatry</w:t>
      </w:r>
      <w:r w:rsidRPr="005603B1">
        <w:rPr>
          <w:rFonts w:ascii="Arial" w:eastAsia="Times New Roman" w:hAnsi="Arial" w:cs="Arial"/>
          <w:kern w:val="0"/>
          <w:sz w:val="22"/>
          <w:szCs w:val="22"/>
          <w:lang w:eastAsia="en-GB"/>
          <w14:ligatures w14:val="none"/>
        </w:rPr>
        <w:t xml:space="preserve">, 10(1). Available at: </w:t>
      </w:r>
      <w:hyperlink r:id="rId20" w:history="1">
        <w:r w:rsidRPr="005603B1">
          <w:rPr>
            <w:rStyle w:val="Hyperlink"/>
            <w:rFonts w:ascii="Arial" w:eastAsia="Times New Roman" w:hAnsi="Arial" w:cs="Arial"/>
            <w:kern w:val="0"/>
            <w:sz w:val="22"/>
            <w:szCs w:val="22"/>
            <w:lang w:eastAsia="en-GB"/>
            <w14:ligatures w14:val="none"/>
          </w:rPr>
          <w:t>https://doi.org/10.1186/1471-244X-10-21</w:t>
        </w:r>
      </w:hyperlink>
      <w:r w:rsidRPr="005603B1">
        <w:rPr>
          <w:rFonts w:ascii="Arial" w:eastAsia="Times New Roman" w:hAnsi="Arial" w:cs="Arial"/>
          <w:kern w:val="0"/>
          <w:sz w:val="22"/>
          <w:szCs w:val="22"/>
          <w:lang w:eastAsia="en-GB"/>
          <w14:ligatures w14:val="none"/>
        </w:rPr>
        <w:t xml:space="preserve">. (Accessed: 10 December 2025). </w:t>
      </w:r>
    </w:p>
    <w:p w14:paraId="43B15CFE" w14:textId="77777777" w:rsidR="005603B1" w:rsidRPr="005603B1" w:rsidRDefault="005603B1" w:rsidP="005603B1">
      <w:pPr>
        <w:spacing w:after="0" w:line="360" w:lineRule="auto"/>
        <w:ind w:left="360"/>
        <w:rPr>
          <w:rFonts w:ascii="Arial" w:eastAsia="Times New Roman" w:hAnsi="Arial" w:cs="Arial"/>
          <w:kern w:val="0"/>
          <w:sz w:val="22"/>
          <w:szCs w:val="22"/>
          <w:lang w:eastAsia="en-GB"/>
          <w14:ligatures w14:val="none"/>
        </w:rPr>
      </w:pPr>
    </w:p>
    <w:p w14:paraId="3B18017A" w14:textId="463A2B0D" w:rsidR="005603B1" w:rsidRPr="005603B1" w:rsidRDefault="005603B1" w:rsidP="005603B1">
      <w:pPr>
        <w:pStyle w:val="NormalWeb"/>
        <w:spacing w:before="0" w:beforeAutospacing="0" w:after="240" w:afterAutospacing="0" w:line="360" w:lineRule="auto"/>
        <w:ind w:left="360"/>
        <w:rPr>
          <w:rFonts w:ascii="Arial" w:hAnsi="Arial" w:cs="Arial"/>
          <w:sz w:val="22"/>
          <w:szCs w:val="22"/>
        </w:rPr>
      </w:pPr>
      <w:r w:rsidRPr="005603B1">
        <w:rPr>
          <w:rFonts w:ascii="Arial" w:hAnsi="Arial" w:cs="Arial"/>
          <w:sz w:val="22"/>
          <w:szCs w:val="22"/>
        </w:rPr>
        <w:t xml:space="preserve">WHO (2025). </w:t>
      </w:r>
      <w:r w:rsidRPr="005603B1">
        <w:rPr>
          <w:rFonts w:ascii="Arial" w:hAnsi="Arial" w:cs="Arial"/>
          <w:i/>
          <w:iCs/>
          <w:sz w:val="22"/>
          <w:szCs w:val="22"/>
        </w:rPr>
        <w:t>ICD-11 for Mortality and Morbidity Statistics</w:t>
      </w:r>
      <w:r w:rsidRPr="005603B1">
        <w:rPr>
          <w:rFonts w:ascii="Arial" w:hAnsi="Arial" w:cs="Arial"/>
          <w:sz w:val="22"/>
          <w:szCs w:val="22"/>
        </w:rPr>
        <w:t xml:space="preserve">. Available at: </w:t>
      </w:r>
      <w:hyperlink r:id="rId21" w:history="1">
        <w:r w:rsidRPr="005603B1">
          <w:rPr>
            <w:rStyle w:val="Hyperlink"/>
            <w:rFonts w:ascii="Arial" w:hAnsi="Arial" w:cs="Arial"/>
            <w:sz w:val="22"/>
            <w:szCs w:val="22"/>
          </w:rPr>
          <w:t>https://icd.who.int/browse/2025-01/mms/en#830200631</w:t>
        </w:r>
      </w:hyperlink>
      <w:r w:rsidRPr="005603B1">
        <w:rPr>
          <w:rFonts w:ascii="Arial" w:hAnsi="Arial" w:cs="Arial"/>
          <w:sz w:val="22"/>
          <w:szCs w:val="22"/>
        </w:rPr>
        <w:t>.</w:t>
      </w:r>
      <w:r w:rsidRPr="005603B1">
        <w:rPr>
          <w:rFonts w:ascii="Arial" w:hAnsi="Arial" w:cs="Arial"/>
          <w:sz w:val="22"/>
          <w:szCs w:val="22"/>
        </w:rPr>
        <w:t xml:space="preserve"> </w:t>
      </w:r>
      <w:r w:rsidRPr="005603B1">
        <w:rPr>
          <w:rFonts w:ascii="Arial" w:hAnsi="Arial" w:cs="Arial"/>
          <w:sz w:val="22"/>
          <w:szCs w:val="22"/>
        </w:rPr>
        <w:t>(Accessed: 12 December 2025).</w:t>
      </w:r>
    </w:p>
    <w:p w14:paraId="07786E37" w14:textId="77777777" w:rsidR="000264A1" w:rsidRPr="000264A1" w:rsidRDefault="000264A1" w:rsidP="000264A1">
      <w:pPr>
        <w:rPr>
          <w:rFonts w:ascii="Arial" w:hAnsi="Arial" w:cs="Arial"/>
          <w:sz w:val="36"/>
          <w:szCs w:val="36"/>
        </w:rPr>
      </w:pPr>
    </w:p>
    <w:sectPr w:rsidR="000264A1" w:rsidRPr="000264A1">
      <w:footerReference w:type="even"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858DD" w14:textId="77777777" w:rsidR="007935E5" w:rsidRDefault="007935E5" w:rsidP="000264A1">
      <w:pPr>
        <w:spacing w:after="0" w:line="240" w:lineRule="auto"/>
      </w:pPr>
      <w:r>
        <w:separator/>
      </w:r>
    </w:p>
  </w:endnote>
  <w:endnote w:type="continuationSeparator" w:id="0">
    <w:p w14:paraId="421A9024" w14:textId="77777777" w:rsidR="007935E5" w:rsidRDefault="007935E5"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DCA63" w14:textId="77777777" w:rsidR="007935E5" w:rsidRDefault="007935E5" w:rsidP="000264A1">
      <w:pPr>
        <w:spacing w:after="0" w:line="240" w:lineRule="auto"/>
      </w:pPr>
      <w:r>
        <w:separator/>
      </w:r>
    </w:p>
  </w:footnote>
  <w:footnote w:type="continuationSeparator" w:id="0">
    <w:p w14:paraId="1A332503" w14:textId="77777777" w:rsidR="007935E5" w:rsidRDefault="007935E5"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8B4908"/>
    <w:multiLevelType w:val="hybridMultilevel"/>
    <w:tmpl w:val="0BE81F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FBE63AF"/>
    <w:multiLevelType w:val="multilevel"/>
    <w:tmpl w:val="751C5422"/>
    <w:lvl w:ilvl="0">
      <w:start w:val="1"/>
      <w:numFmt w:val="decimal"/>
      <w:lvlText w:val="%1."/>
      <w:lvlJc w:val="left"/>
      <w:pPr>
        <w:ind w:left="720" w:hanging="360"/>
      </w:pPr>
      <w:rPr>
        <w:rFonts w:asciiTheme="majorHAnsi" w:hAnsiTheme="majorHAnsi" w:cstheme="majorBidi" w:hint="default"/>
        <w:b w:val="0"/>
        <w:color w:val="0F4761" w:themeColor="accent1" w:themeShade="BF"/>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6FDC10D5"/>
    <w:multiLevelType w:val="hybridMultilevel"/>
    <w:tmpl w:val="A1E8F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92176015">
    <w:abstractNumId w:val="0"/>
  </w:num>
  <w:num w:numId="2" w16cid:durableId="320622114">
    <w:abstractNumId w:val="1"/>
  </w:num>
  <w:num w:numId="3" w16cid:durableId="4105441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0070E"/>
    <w:rsid w:val="000264A1"/>
    <w:rsid w:val="00060FB4"/>
    <w:rsid w:val="0006192E"/>
    <w:rsid w:val="000C7CC7"/>
    <w:rsid w:val="00167247"/>
    <w:rsid w:val="0018491D"/>
    <w:rsid w:val="00206A90"/>
    <w:rsid w:val="00333AF0"/>
    <w:rsid w:val="004450F2"/>
    <w:rsid w:val="00556503"/>
    <w:rsid w:val="005603B1"/>
    <w:rsid w:val="005F641E"/>
    <w:rsid w:val="00637171"/>
    <w:rsid w:val="00706023"/>
    <w:rsid w:val="00722ABC"/>
    <w:rsid w:val="00732065"/>
    <w:rsid w:val="00773B56"/>
    <w:rsid w:val="00783499"/>
    <w:rsid w:val="007935E5"/>
    <w:rsid w:val="007E2358"/>
    <w:rsid w:val="00843325"/>
    <w:rsid w:val="008A6D32"/>
    <w:rsid w:val="008D4147"/>
    <w:rsid w:val="009A2354"/>
    <w:rsid w:val="009A2A05"/>
    <w:rsid w:val="009E1288"/>
    <w:rsid w:val="009E5051"/>
    <w:rsid w:val="00AD67BC"/>
    <w:rsid w:val="00AE79B0"/>
    <w:rsid w:val="00BF11BE"/>
    <w:rsid w:val="00FA2045"/>
    <w:rsid w:val="00FA47DF"/>
    <w:rsid w:val="00FA53BE"/>
    <w:rsid w:val="00FB25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character" w:styleId="Hyperlink">
    <w:name w:val="Hyperlink"/>
    <w:basedOn w:val="DefaultParagraphFont"/>
    <w:uiPriority w:val="99"/>
    <w:unhideWhenUsed/>
    <w:rsid w:val="00FA2045"/>
    <w:rPr>
      <w:color w:val="467886" w:themeColor="hyperlink"/>
      <w:u w:val="single"/>
    </w:rPr>
  </w:style>
  <w:style w:type="character" w:styleId="UnresolvedMention">
    <w:name w:val="Unresolved Mention"/>
    <w:basedOn w:val="DefaultParagraphFont"/>
    <w:uiPriority w:val="99"/>
    <w:semiHidden/>
    <w:unhideWhenUsed/>
    <w:rsid w:val="00FA2045"/>
    <w:rPr>
      <w:color w:val="605E5C"/>
      <w:shd w:val="clear" w:color="auto" w:fill="E1DFDD"/>
    </w:rPr>
  </w:style>
  <w:style w:type="character" w:styleId="FollowedHyperlink">
    <w:name w:val="FollowedHyperlink"/>
    <w:basedOn w:val="DefaultParagraphFont"/>
    <w:uiPriority w:val="99"/>
    <w:semiHidden/>
    <w:unhideWhenUsed/>
    <w:rsid w:val="0006192E"/>
    <w:rPr>
      <w:color w:val="96607D" w:themeColor="followedHyperlink"/>
      <w:u w:val="single"/>
    </w:rPr>
  </w:style>
  <w:style w:type="paragraph" w:styleId="TOCHeading">
    <w:name w:val="TOC Heading"/>
    <w:basedOn w:val="Heading1"/>
    <w:next w:val="Normal"/>
    <w:uiPriority w:val="39"/>
    <w:unhideWhenUsed/>
    <w:qFormat/>
    <w:rsid w:val="00AE79B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E79B0"/>
    <w:pPr>
      <w:spacing w:after="100"/>
    </w:pPr>
  </w:style>
  <w:style w:type="paragraph" w:styleId="TOC2">
    <w:name w:val="toc 2"/>
    <w:basedOn w:val="Normal"/>
    <w:next w:val="Normal"/>
    <w:autoRedefine/>
    <w:uiPriority w:val="39"/>
    <w:unhideWhenUsed/>
    <w:rsid w:val="00AE79B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52982/lkj279" TargetMode="External"/><Relationship Id="rId18" Type="http://schemas.openxmlformats.org/officeDocument/2006/relationships/hyperlink" Target="https://doi.org/10.18863/pgy.940071" TargetMode="External"/><Relationship Id="rId3" Type="http://schemas.openxmlformats.org/officeDocument/2006/relationships/styles" Target="styles.xml"/><Relationship Id="rId21" Type="http://schemas.openxmlformats.org/officeDocument/2006/relationships/hyperlink" Target="https://icd.who.int/browse/2025-01/mms/en#830200631" TargetMode="External"/><Relationship Id="rId7" Type="http://schemas.openxmlformats.org/officeDocument/2006/relationships/endnotes" Target="endnotes.xml"/><Relationship Id="rId12" Type="http://schemas.openxmlformats.org/officeDocument/2006/relationships/hyperlink" Target="https://doi.org/10.1080/14616730500365894" TargetMode="External"/><Relationship Id="rId17" Type="http://schemas.openxmlformats.org/officeDocument/2006/relationships/hyperlink" Target="https://doi.org/10.1007/s10567-020-00318-3"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111/j.1469-7610.2011.02465.x" TargetMode="External"/><Relationship Id="rId20" Type="http://schemas.openxmlformats.org/officeDocument/2006/relationships/hyperlink" Target="https://doi.org/10.1186/1471-244X-10-2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59/000348629"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16/j.janxdis.2020.102312" TargetMode="External"/><Relationship Id="rId23" Type="http://schemas.openxmlformats.org/officeDocument/2006/relationships/footer" Target="footer2.xml"/><Relationship Id="rId10" Type="http://schemas.openxmlformats.org/officeDocument/2006/relationships/hyperlink" Target="https://doi.org/10.1016/j.psc.2009.06.002" TargetMode="External"/><Relationship Id="rId19" Type="http://schemas.openxmlformats.org/officeDocument/2006/relationships/hyperlink" Target="https://doi.org/10.1007/s00115-020-01037-1" TargetMode="External"/><Relationship Id="rId4" Type="http://schemas.openxmlformats.org/officeDocument/2006/relationships/settings" Target="settings.xml"/><Relationship Id="rId9" Type="http://schemas.openxmlformats.org/officeDocument/2006/relationships/hyperlink" Target="https://doi.org/10.1017/S1092852916000080" TargetMode="External"/><Relationship Id="rId14" Type="http://schemas.openxmlformats.org/officeDocument/2006/relationships/hyperlink" Target="https://www.ncbi.nlm.nih.gov/books/NBK560793/"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E9A001-3793-47D7-9765-D0522C7FB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13</Pages>
  <Words>4163</Words>
  <Characters>23732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Sarolta B</cp:lastModifiedBy>
  <cp:revision>5</cp:revision>
  <dcterms:created xsi:type="dcterms:W3CDTF">2024-10-03T20:20:00Z</dcterms:created>
  <dcterms:modified xsi:type="dcterms:W3CDTF">2025-12-12T18:14:00Z</dcterms:modified>
</cp:coreProperties>
</file>