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3661" w:rsidRDefault="007A3661" w:rsidP="007A3661">
      <w:pPr>
        <w:pStyle w:val="Default"/>
      </w:pPr>
    </w:p>
    <w:tbl>
      <w:tblPr>
        <w:tblW w:w="0" w:type="auto"/>
        <w:jc w:val="center"/>
        <w:tblBorders>
          <w:top w:val="nil"/>
          <w:left w:val="nil"/>
          <w:bottom w:val="nil"/>
          <w:right w:val="nil"/>
        </w:tblBorders>
        <w:tblLayout w:type="fixed"/>
        <w:tblLook w:val="0000"/>
      </w:tblPr>
      <w:tblGrid>
        <w:gridCol w:w="5355"/>
      </w:tblGrid>
      <w:tr w:rsidR="007A3661" w:rsidTr="007A3661">
        <w:tblPrEx>
          <w:tblCellMar>
            <w:top w:w="0" w:type="dxa"/>
            <w:bottom w:w="0" w:type="dxa"/>
          </w:tblCellMar>
        </w:tblPrEx>
        <w:trPr>
          <w:trHeight w:val="116"/>
          <w:jc w:val="center"/>
        </w:trPr>
        <w:tc>
          <w:tcPr>
            <w:tcW w:w="5355" w:type="dxa"/>
          </w:tcPr>
          <w:p w:rsidR="007A3661" w:rsidRDefault="007A3661">
            <w:pPr>
              <w:pStyle w:val="Default"/>
              <w:rPr>
                <w:sz w:val="22"/>
                <w:szCs w:val="22"/>
              </w:rPr>
            </w:pPr>
            <w:r>
              <w:t xml:space="preserve"> Psychology in Health and Social Care</w:t>
            </w:r>
          </w:p>
        </w:tc>
      </w:tr>
    </w:tbl>
    <w:p w:rsidR="007A3661" w:rsidRPr="00CC3F85" w:rsidRDefault="007A3661" w:rsidP="007A3661">
      <w:pPr>
        <w:rPr>
          <w:color w:val="000000" w:themeColor="text1"/>
          <w:sz w:val="24"/>
          <w:szCs w:val="24"/>
        </w:rPr>
      </w:pPr>
    </w:p>
    <w:p w:rsidR="007A3661" w:rsidRPr="00CC3F85" w:rsidRDefault="007A3661" w:rsidP="007A3661">
      <w:pPr>
        <w:jc w:val="center"/>
        <w:rPr>
          <w:color w:val="000000" w:themeColor="text1"/>
          <w:sz w:val="24"/>
          <w:szCs w:val="24"/>
        </w:rPr>
      </w:pPr>
      <w:r w:rsidRPr="00CC3F85">
        <w:rPr>
          <w:b/>
          <w:bCs/>
          <w:color w:val="000000" w:themeColor="text1"/>
          <w:sz w:val="24"/>
          <w:szCs w:val="24"/>
          <w:u w:val="single"/>
        </w:rPr>
        <w:t>ASSIGNMENT 2</w:t>
      </w:r>
    </w:p>
    <w:p w:rsidR="007A3661" w:rsidRPr="00CC3F85" w:rsidRDefault="007A3661" w:rsidP="007A3661">
      <w:pPr>
        <w:rPr>
          <w:b/>
          <w:bCs/>
          <w:color w:val="000000" w:themeColor="text1"/>
          <w:sz w:val="24"/>
          <w:szCs w:val="24"/>
          <w:u w:val="single"/>
        </w:rPr>
      </w:pPr>
    </w:p>
    <w:p w:rsidR="007A3661" w:rsidRPr="00CC3F85" w:rsidRDefault="007A3661" w:rsidP="007A3661">
      <w:pPr>
        <w:rPr>
          <w:b/>
          <w:bCs/>
          <w:color w:val="000000" w:themeColor="text1"/>
          <w:sz w:val="24"/>
          <w:szCs w:val="24"/>
          <w:u w:val="single"/>
        </w:rPr>
      </w:pPr>
    </w:p>
    <w:p w:rsidR="007A3661" w:rsidRPr="00CC3F85" w:rsidRDefault="007A3661" w:rsidP="007A3661">
      <w:pPr>
        <w:spacing w:line="360" w:lineRule="auto"/>
        <w:rPr>
          <w:b/>
          <w:bCs/>
          <w:color w:val="000000" w:themeColor="text1"/>
          <w:sz w:val="24"/>
          <w:szCs w:val="24"/>
          <w:u w:val="single"/>
        </w:rPr>
      </w:pPr>
    </w:p>
    <w:p w:rsidR="007A3661" w:rsidRPr="007A3661" w:rsidRDefault="007A3661" w:rsidP="007A3661">
      <w:pPr>
        <w:spacing w:line="360" w:lineRule="auto"/>
        <w:rPr>
          <w:b/>
          <w:bCs/>
          <w:color w:val="000000" w:themeColor="text1"/>
          <w:sz w:val="24"/>
          <w:szCs w:val="24"/>
        </w:rPr>
      </w:pPr>
      <w:r w:rsidRPr="007A3661">
        <w:rPr>
          <w:b/>
          <w:bCs/>
          <w:color w:val="000000" w:themeColor="text1"/>
          <w:sz w:val="24"/>
          <w:szCs w:val="24"/>
        </w:rPr>
        <w:t xml:space="preserve">Name of Student:  </w:t>
      </w:r>
      <w:proofErr w:type="spellStart"/>
      <w:r w:rsidRPr="007A3661">
        <w:rPr>
          <w:b/>
          <w:bCs/>
          <w:color w:val="000000" w:themeColor="text1"/>
          <w:sz w:val="24"/>
          <w:szCs w:val="24"/>
        </w:rPr>
        <w:t>Robiul</w:t>
      </w:r>
      <w:proofErr w:type="spellEnd"/>
      <w:r w:rsidRPr="007A3661">
        <w:rPr>
          <w:b/>
          <w:bCs/>
          <w:color w:val="000000" w:themeColor="text1"/>
          <w:sz w:val="24"/>
          <w:szCs w:val="24"/>
        </w:rPr>
        <w:t xml:space="preserve"> </w:t>
      </w:r>
      <w:proofErr w:type="spellStart"/>
      <w:r w:rsidRPr="007A3661">
        <w:rPr>
          <w:b/>
          <w:bCs/>
          <w:color w:val="000000" w:themeColor="text1"/>
          <w:sz w:val="24"/>
          <w:szCs w:val="24"/>
        </w:rPr>
        <w:t>Alom</w:t>
      </w:r>
      <w:proofErr w:type="spellEnd"/>
      <w:r w:rsidRPr="007A3661">
        <w:rPr>
          <w:b/>
          <w:bCs/>
          <w:color w:val="000000" w:themeColor="text1"/>
          <w:sz w:val="24"/>
          <w:szCs w:val="24"/>
        </w:rPr>
        <w:t xml:space="preserve"> </w:t>
      </w:r>
      <w:proofErr w:type="spellStart"/>
      <w:r w:rsidRPr="007A3661">
        <w:rPr>
          <w:b/>
          <w:bCs/>
          <w:color w:val="000000" w:themeColor="text1"/>
          <w:sz w:val="24"/>
          <w:szCs w:val="24"/>
        </w:rPr>
        <w:t>Shahin</w:t>
      </w:r>
      <w:proofErr w:type="spellEnd"/>
    </w:p>
    <w:p w:rsidR="007A3661" w:rsidRPr="007A3661" w:rsidRDefault="007A3661" w:rsidP="007A3661">
      <w:pPr>
        <w:spacing w:line="360" w:lineRule="auto"/>
        <w:rPr>
          <w:b/>
          <w:bCs/>
          <w:color w:val="000000" w:themeColor="text1"/>
          <w:sz w:val="24"/>
          <w:szCs w:val="24"/>
        </w:rPr>
      </w:pPr>
      <w:r w:rsidRPr="007A3661">
        <w:rPr>
          <w:b/>
          <w:bCs/>
          <w:color w:val="000000" w:themeColor="text1"/>
          <w:sz w:val="24"/>
          <w:szCs w:val="24"/>
        </w:rPr>
        <w:t>I.D. Number: 2425096</w:t>
      </w:r>
    </w:p>
    <w:p w:rsidR="007A3661" w:rsidRPr="007A3661" w:rsidRDefault="007A3661" w:rsidP="007A3661">
      <w:pPr>
        <w:spacing w:line="360" w:lineRule="auto"/>
        <w:rPr>
          <w:b/>
          <w:bCs/>
          <w:color w:val="000000" w:themeColor="text1"/>
          <w:sz w:val="24"/>
          <w:szCs w:val="24"/>
        </w:rPr>
      </w:pPr>
      <w:r w:rsidRPr="007A3661">
        <w:rPr>
          <w:b/>
          <w:bCs/>
          <w:color w:val="000000" w:themeColor="text1"/>
          <w:sz w:val="24"/>
          <w:szCs w:val="24"/>
        </w:rPr>
        <w:t xml:space="preserve">Name of Tutor: Farah </w:t>
      </w:r>
      <w:proofErr w:type="spellStart"/>
      <w:r w:rsidRPr="007A3661">
        <w:rPr>
          <w:b/>
          <w:bCs/>
          <w:color w:val="000000" w:themeColor="text1"/>
          <w:sz w:val="24"/>
          <w:szCs w:val="24"/>
        </w:rPr>
        <w:t>Wiita</w:t>
      </w:r>
      <w:proofErr w:type="spellEnd"/>
    </w:p>
    <w:p w:rsidR="007A3661" w:rsidRPr="00CC3F85" w:rsidRDefault="007A3661" w:rsidP="007A3661">
      <w:pPr>
        <w:rPr>
          <w:b/>
          <w:bCs/>
          <w:color w:val="000000" w:themeColor="text1"/>
          <w:sz w:val="24"/>
          <w:szCs w:val="24"/>
          <w:u w:val="single"/>
        </w:rPr>
      </w:pPr>
    </w:p>
    <w:p w:rsidR="007A3661" w:rsidRPr="00CC3F85" w:rsidRDefault="007A3661" w:rsidP="007A3661">
      <w:pPr>
        <w:rPr>
          <w:b/>
          <w:bCs/>
          <w:color w:val="000000" w:themeColor="text1"/>
          <w:sz w:val="24"/>
          <w:szCs w:val="24"/>
          <w:u w:val="single"/>
        </w:rPr>
      </w:pPr>
    </w:p>
    <w:p w:rsidR="007A3661" w:rsidRPr="00CC3F85" w:rsidRDefault="007A3661" w:rsidP="007A3661">
      <w:pPr>
        <w:rPr>
          <w:b/>
          <w:bCs/>
          <w:color w:val="000000" w:themeColor="text1"/>
          <w:sz w:val="24"/>
          <w:szCs w:val="24"/>
          <w:u w:val="single"/>
        </w:rPr>
      </w:pPr>
    </w:p>
    <w:p w:rsidR="007A3661" w:rsidRDefault="007A3661" w:rsidP="007A3661">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w:t>
      </w:r>
      <w:r>
        <w:rPr>
          <w:color w:val="000000" w:themeColor="text1"/>
          <w:sz w:val="24"/>
          <w:szCs w:val="24"/>
        </w:rPr>
        <w:t xml:space="preserve">used AI. I’ve used </w:t>
      </w:r>
      <w:proofErr w:type="spellStart"/>
      <w:r>
        <w:rPr>
          <w:color w:val="000000" w:themeColor="text1"/>
          <w:sz w:val="24"/>
          <w:szCs w:val="24"/>
        </w:rPr>
        <w:t>chatgpt</w:t>
      </w:r>
      <w:proofErr w:type="spellEnd"/>
      <w:r>
        <w:rPr>
          <w:color w:val="000000" w:themeColor="text1"/>
          <w:sz w:val="24"/>
          <w:szCs w:val="24"/>
        </w:rPr>
        <w:t xml:space="preserve"> for grammar fixing and rephrase</w:t>
      </w: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7A3661" w:rsidRDefault="007A3661" w:rsidP="007A3661">
      <w:pPr>
        <w:rPr>
          <w:rFonts w:ascii="Times New Roman" w:eastAsia="Times New Roman" w:hAnsi="Times New Roman" w:cs="Times New Roman"/>
          <w:b/>
          <w:bCs/>
          <w:kern w:val="36"/>
          <w:sz w:val="24"/>
          <w:szCs w:val="24"/>
        </w:rPr>
      </w:pPr>
    </w:p>
    <w:p w:rsidR="000809BE" w:rsidRDefault="000809BE" w:rsidP="007A3661">
      <w:pPr>
        <w:rPr>
          <w:rFonts w:ascii="Times New Roman" w:eastAsia="Times New Roman" w:hAnsi="Times New Roman" w:cs="Times New Roman"/>
          <w:b/>
          <w:bCs/>
          <w:kern w:val="36"/>
          <w:sz w:val="24"/>
          <w:szCs w:val="24"/>
        </w:rPr>
      </w:pPr>
    </w:p>
    <w:p w:rsidR="00BE55C0" w:rsidRPr="00BE55C0" w:rsidRDefault="00BE55C0" w:rsidP="007A3661">
      <w:pPr>
        <w:rPr>
          <w:color w:val="000000" w:themeColor="text1"/>
          <w:sz w:val="24"/>
          <w:szCs w:val="24"/>
        </w:rPr>
      </w:pPr>
      <w:r w:rsidRPr="00BE55C0">
        <w:rPr>
          <w:rFonts w:ascii="Times New Roman" w:eastAsia="Times New Roman" w:hAnsi="Times New Roman" w:cs="Times New Roman"/>
          <w:b/>
          <w:bCs/>
          <w:kern w:val="36"/>
          <w:sz w:val="24"/>
          <w:szCs w:val="24"/>
        </w:rPr>
        <w:lastRenderedPageBreak/>
        <w:t>Psychology in Health and Social Care</w:t>
      </w:r>
    </w:p>
    <w:p w:rsidR="00BE55C0" w:rsidRPr="00BE55C0" w:rsidRDefault="00BE55C0" w:rsidP="00846A28">
      <w:pPr>
        <w:spacing w:before="100" w:beforeAutospacing="1" w:after="100" w:afterAutospacing="1" w:line="360" w:lineRule="auto"/>
        <w:outlineLvl w:val="1"/>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Introduction</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Psychology, the scientific study of human behaviour and mental processes, plays a crucial role in health and social care. Understanding psychological principles helps professionals provide care that is effective, empathetic, person-centred, and responsive to individual needs. This essay examines how psychological theories, particularly those related to lifespan development, inform health and social care practice. Furthermore, it explores the social and biological determinants of human behaviour and how these factors influence interactions with children, young people, and adults in care settings.</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The aim of this essay is to </w:t>
      </w:r>
      <w:proofErr w:type="spellStart"/>
      <w:proofErr w:type="gramStart"/>
      <w:r w:rsidRPr="00BE55C0">
        <w:rPr>
          <w:rFonts w:ascii="Times New Roman" w:eastAsia="Times New Roman" w:hAnsi="Times New Roman" w:cs="Times New Roman"/>
          <w:sz w:val="24"/>
          <w:szCs w:val="24"/>
        </w:rPr>
        <w:t>pro</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vide</w:t>
      </w:r>
      <w:proofErr w:type="spellEnd"/>
      <w:proofErr w:type="gramEnd"/>
      <w:r w:rsidRPr="00BE55C0">
        <w:rPr>
          <w:rFonts w:ascii="Times New Roman" w:eastAsia="Times New Roman" w:hAnsi="Times New Roman" w:cs="Times New Roman"/>
          <w:sz w:val="24"/>
          <w:szCs w:val="24"/>
        </w:rPr>
        <w:t xml:space="preserve"> a comprehensive overview of psychological factors affecting behaviour across the lifespan and their relevance to health and social care practice. By integrating theoretical frameworks with practical applications, this essay demonstrates the importance of psychological insight in promoting wellbeing and supporting holistic care.</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25" style="width:0;height:1.5pt" o:hralign="center" o:hrstd="t" o:hr="t" fillcolor="#a0a0a0" stroked="f"/>
        </w:pict>
      </w:r>
    </w:p>
    <w:p w:rsidR="00BE55C0" w:rsidRPr="00BE55C0" w:rsidRDefault="00BE55C0" w:rsidP="00846A28">
      <w:pPr>
        <w:spacing w:before="100" w:beforeAutospacing="1" w:after="100" w:afterAutospacing="1" w:line="360" w:lineRule="auto"/>
        <w:outlineLvl w:val="1"/>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Theories of Lifespan Development and Their Application in Health and Social Care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Lifespan development theories provide frameworks for understanding the physical, cognitive, emotional, and social changes individuals experience from infancy to old age. Professionals in health and social care use these theories to anticipate developmental needs, identify potential challenges, and implement appropriate interventions. Key theories include Piaget’s cognitive development theory, Erikson’s psychosocial theory, and </w:t>
      </w:r>
      <w:proofErr w:type="spellStart"/>
      <w:r w:rsidRPr="00BE55C0">
        <w:rPr>
          <w:rFonts w:ascii="Times New Roman" w:eastAsia="Times New Roman" w:hAnsi="Times New Roman" w:cs="Times New Roman"/>
          <w:sz w:val="24"/>
          <w:szCs w:val="24"/>
        </w:rPr>
        <w:t>Bowlby’s</w:t>
      </w:r>
      <w:proofErr w:type="spellEnd"/>
      <w:r w:rsidRPr="00BE55C0">
        <w:rPr>
          <w:rFonts w:ascii="Times New Roman" w:eastAsia="Times New Roman" w:hAnsi="Times New Roman" w:cs="Times New Roman"/>
          <w:sz w:val="24"/>
          <w:szCs w:val="24"/>
        </w:rPr>
        <w:t xml:space="preserve"> attachment theory.</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Piaget’s Cognitive Development Theory</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Jean Piaget’s theory </w:t>
      </w:r>
      <w:proofErr w:type="gramStart"/>
      <w:r w:rsidRPr="00BE55C0">
        <w:rPr>
          <w:rFonts w:ascii="Times New Roman" w:eastAsia="Times New Roman" w:hAnsi="Times New Roman" w:cs="Times New Roman"/>
          <w:sz w:val="24"/>
          <w:szCs w:val="24"/>
        </w:rPr>
        <w:t xml:space="preserve">of </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cognitive</w:t>
      </w:r>
      <w:proofErr w:type="gramEnd"/>
      <w:r w:rsidRPr="00BE55C0">
        <w:rPr>
          <w:rFonts w:ascii="Times New Roman" w:eastAsia="Times New Roman" w:hAnsi="Times New Roman" w:cs="Times New Roman"/>
          <w:sz w:val="24"/>
          <w:szCs w:val="24"/>
        </w:rPr>
        <w:t xml:space="preserve"> development posits that children progress through four stages: </w:t>
      </w:r>
      <w:proofErr w:type="spellStart"/>
      <w:r w:rsidRPr="00BE55C0">
        <w:rPr>
          <w:rFonts w:ascii="Times New Roman" w:eastAsia="Times New Roman" w:hAnsi="Times New Roman" w:cs="Times New Roman"/>
          <w:sz w:val="24"/>
          <w:szCs w:val="24"/>
        </w:rPr>
        <w:t>sensorimotor</w:t>
      </w:r>
      <w:proofErr w:type="spellEnd"/>
      <w:r w:rsidRPr="00BE55C0">
        <w:rPr>
          <w:rFonts w:ascii="Times New Roman" w:eastAsia="Times New Roman" w:hAnsi="Times New Roman" w:cs="Times New Roman"/>
          <w:sz w:val="24"/>
          <w:szCs w:val="24"/>
        </w:rPr>
        <w:t xml:space="preserve">, preoperational, concrete operational, and formal operational (Piaget, 1952). Each stage reflects distinct ways of thinking, problem-solving, and understanding the world. In health and social care, </w:t>
      </w:r>
      <w:proofErr w:type="spellStart"/>
      <w:proofErr w:type="gramStart"/>
      <w:r w:rsidRPr="00BE55C0">
        <w:rPr>
          <w:rFonts w:ascii="Times New Roman" w:eastAsia="Times New Roman" w:hAnsi="Times New Roman" w:cs="Times New Roman"/>
          <w:sz w:val="24"/>
          <w:szCs w:val="24"/>
        </w:rPr>
        <w:t>under</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standing</w:t>
      </w:r>
      <w:proofErr w:type="spellEnd"/>
      <w:proofErr w:type="gramEnd"/>
      <w:r w:rsidRPr="00BE55C0">
        <w:rPr>
          <w:rFonts w:ascii="Times New Roman" w:eastAsia="Times New Roman" w:hAnsi="Times New Roman" w:cs="Times New Roman"/>
          <w:sz w:val="24"/>
          <w:szCs w:val="24"/>
        </w:rPr>
        <w:t xml:space="preserve"> cognitive development is critical when interacting with children and young people. For instance, a practitioner working with a preoperational child (ages 2–7) must recognise that the child may struggle with abstract </w:t>
      </w:r>
      <w:r w:rsidRPr="00BE55C0">
        <w:rPr>
          <w:rFonts w:ascii="Times New Roman" w:eastAsia="Times New Roman" w:hAnsi="Times New Roman" w:cs="Times New Roman"/>
          <w:sz w:val="24"/>
          <w:szCs w:val="24"/>
        </w:rPr>
        <w:lastRenderedPageBreak/>
        <w:t xml:space="preserve">reasoning but can engage effectively with concrete, visual information. Cognitive assessments and age-appropriate communication strategies are informed by </w:t>
      </w:r>
      <w:proofErr w:type="spellStart"/>
      <w:r w:rsidRPr="00BE55C0">
        <w:rPr>
          <w:rFonts w:ascii="Times New Roman" w:eastAsia="Times New Roman" w:hAnsi="Times New Roman" w:cs="Times New Roman"/>
          <w:sz w:val="24"/>
          <w:szCs w:val="24"/>
        </w:rPr>
        <w:t>Piagetian</w:t>
      </w:r>
      <w:proofErr w:type="spellEnd"/>
      <w:r w:rsidRPr="00BE55C0">
        <w:rPr>
          <w:rFonts w:ascii="Times New Roman" w:eastAsia="Times New Roman" w:hAnsi="Times New Roman" w:cs="Times New Roman"/>
          <w:sz w:val="24"/>
          <w:szCs w:val="24"/>
        </w:rPr>
        <w:t xml:space="preserve"> principles, ensuring interventions match the child’s developmental stage.</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Erikson’s Psychosocial Theory</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Erik Erikson’s psychosocial theory expands on development across the entire lifespan, emphasising the interaction between social experiences and identity formation (Erikson, 1963). The theory identifies eight stages, each characterised by a psychosocial crisis, such as trust vs. mistrust in infancy or identity vs. role confusion in adolescence. Health and social care professionals apply Erikson’s theory to support individuals through critical life transitions. For example, adolescents experiencing identity crises may benefit from counselling services that promote self-</w:t>
      </w:r>
      <w:proofErr w:type="spellStart"/>
      <w:proofErr w:type="gramStart"/>
      <w:r w:rsidRPr="00BE55C0">
        <w:rPr>
          <w:rFonts w:ascii="Times New Roman" w:eastAsia="Times New Roman" w:hAnsi="Times New Roman" w:cs="Times New Roman"/>
          <w:sz w:val="24"/>
          <w:szCs w:val="24"/>
        </w:rPr>
        <w:t>es</w:t>
      </w:r>
      <w:proofErr w:type="spellEnd"/>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teem</w:t>
      </w:r>
      <w:proofErr w:type="gramEnd"/>
      <w:r w:rsidRPr="00BE55C0">
        <w:rPr>
          <w:rFonts w:ascii="Times New Roman" w:eastAsia="Times New Roman" w:hAnsi="Times New Roman" w:cs="Times New Roman"/>
          <w:sz w:val="24"/>
          <w:szCs w:val="24"/>
        </w:rPr>
        <w:t xml:space="preserve"> and social integration. In older adults, understanding Erikson’s stage of integrity vs. despair can guide interventions to enhance life satisfaction and cope with aging-related challenges.</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proofErr w:type="spellStart"/>
      <w:r w:rsidRPr="00BE55C0">
        <w:rPr>
          <w:rFonts w:ascii="Times New Roman" w:eastAsia="Times New Roman" w:hAnsi="Times New Roman" w:cs="Times New Roman"/>
          <w:b/>
          <w:bCs/>
          <w:sz w:val="24"/>
          <w:szCs w:val="24"/>
        </w:rPr>
        <w:t>Bowlby’s</w:t>
      </w:r>
      <w:proofErr w:type="spellEnd"/>
      <w:r w:rsidRPr="00BE55C0">
        <w:rPr>
          <w:rFonts w:ascii="Times New Roman" w:eastAsia="Times New Roman" w:hAnsi="Times New Roman" w:cs="Times New Roman"/>
          <w:b/>
          <w:bCs/>
          <w:sz w:val="24"/>
          <w:szCs w:val="24"/>
        </w:rPr>
        <w:t xml:space="preserve"> Attachment Theory</w:t>
      </w:r>
      <w:r w:rsidR="00846A28">
        <w:rPr>
          <w:rFonts w:ascii="Times New Roman" w:eastAsia="Times New Roman" w:hAnsi="Times New Roman" w:cs="Times New Roman"/>
          <w:b/>
          <w:bCs/>
          <w:sz w:val="24"/>
          <w:szCs w:val="24"/>
        </w:rPr>
        <w:t xml:space="preserve">  </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John </w:t>
      </w:r>
      <w:proofErr w:type="spellStart"/>
      <w:r w:rsidRPr="00BE55C0">
        <w:rPr>
          <w:rFonts w:ascii="Times New Roman" w:eastAsia="Times New Roman" w:hAnsi="Times New Roman" w:cs="Times New Roman"/>
          <w:sz w:val="24"/>
          <w:szCs w:val="24"/>
        </w:rPr>
        <w:t>Bowlby’s</w:t>
      </w:r>
      <w:proofErr w:type="spellEnd"/>
      <w:r w:rsidRPr="00BE55C0">
        <w:rPr>
          <w:rFonts w:ascii="Times New Roman" w:eastAsia="Times New Roman" w:hAnsi="Times New Roman" w:cs="Times New Roman"/>
          <w:sz w:val="24"/>
          <w:szCs w:val="24"/>
        </w:rPr>
        <w:t xml:space="preserve"> attachment theory underscores the importance of early relationships in shaping emotional and social development. Secure attachment fosters resilience and healthy interpersonal relationships, while insecure attachment may contribute to behavioural and emotional difficulties (</w:t>
      </w:r>
      <w:proofErr w:type="spellStart"/>
      <w:r w:rsidRPr="00BE55C0">
        <w:rPr>
          <w:rFonts w:ascii="Times New Roman" w:eastAsia="Times New Roman" w:hAnsi="Times New Roman" w:cs="Times New Roman"/>
          <w:sz w:val="24"/>
          <w:szCs w:val="24"/>
        </w:rPr>
        <w:t>Bowlby</w:t>
      </w:r>
      <w:proofErr w:type="spellEnd"/>
      <w:r w:rsidRPr="00BE55C0">
        <w:rPr>
          <w:rFonts w:ascii="Times New Roman" w:eastAsia="Times New Roman" w:hAnsi="Times New Roman" w:cs="Times New Roman"/>
          <w:sz w:val="24"/>
          <w:szCs w:val="24"/>
        </w:rPr>
        <w:t>, 1969; Cassidy &amp; Shaver, 2016). In health and social care, attachment theory informs practices such as fostering secure caregiver-child relationships in childcare settings, supporting adoptive families, and addressing the needs of children who have experienced trauma. Professionals may implement attachment-based interventions to improve emotional regulation and reduce behavioural problems.</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Application to Practice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The practical application of lifespan development theories extends to both individual and group care settings. For example, in paediatric health services, professionals assess cognitive and emotional milestones </w:t>
      </w:r>
      <w:proofErr w:type="gramStart"/>
      <w:r w:rsidRPr="00BE55C0">
        <w:rPr>
          <w:rFonts w:ascii="Times New Roman" w:eastAsia="Times New Roman" w:hAnsi="Times New Roman" w:cs="Times New Roman"/>
          <w:sz w:val="24"/>
          <w:szCs w:val="24"/>
        </w:rPr>
        <w:t>to</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 xml:space="preserve"> personalise</w:t>
      </w:r>
      <w:proofErr w:type="gramEnd"/>
      <w:r w:rsidRPr="00BE55C0">
        <w:rPr>
          <w:rFonts w:ascii="Times New Roman" w:eastAsia="Times New Roman" w:hAnsi="Times New Roman" w:cs="Times New Roman"/>
          <w:sz w:val="24"/>
          <w:szCs w:val="24"/>
        </w:rPr>
        <w:t xml:space="preserve"> treatment plans and communicate effectively with children and families (</w:t>
      </w:r>
      <w:proofErr w:type="spellStart"/>
      <w:r w:rsidRPr="00BE55C0">
        <w:rPr>
          <w:rFonts w:ascii="Times New Roman" w:eastAsia="Times New Roman" w:hAnsi="Times New Roman" w:cs="Times New Roman"/>
          <w:sz w:val="24"/>
          <w:szCs w:val="24"/>
        </w:rPr>
        <w:t>Santrock</w:t>
      </w:r>
      <w:proofErr w:type="spellEnd"/>
      <w:r w:rsidRPr="00BE55C0">
        <w:rPr>
          <w:rFonts w:ascii="Times New Roman" w:eastAsia="Times New Roman" w:hAnsi="Times New Roman" w:cs="Times New Roman"/>
          <w:sz w:val="24"/>
          <w:szCs w:val="24"/>
        </w:rPr>
        <w:t xml:space="preserve">, 2021). In adult social care, understanding psychosocial development helps practitioners support clients’ autonomy, manage transitions such as retirement or bereavement, and provide interventions that promote mental wellbeing. By </w:t>
      </w:r>
      <w:r w:rsidRPr="00BE55C0">
        <w:rPr>
          <w:rFonts w:ascii="Times New Roman" w:eastAsia="Times New Roman" w:hAnsi="Times New Roman" w:cs="Times New Roman"/>
          <w:sz w:val="24"/>
          <w:szCs w:val="24"/>
        </w:rPr>
        <w:lastRenderedPageBreak/>
        <w:t>integrating these theories, professionals ensure care is developmentally appropriate and psychologically informed.</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26" style="width:0;height:1.5pt" o:hralign="center" o:hrstd="t" o:hr="t" fillcolor="#a0a0a0" stroked="f"/>
        </w:pict>
      </w:r>
    </w:p>
    <w:p w:rsidR="00BE55C0" w:rsidRPr="00BE55C0" w:rsidRDefault="00BE55C0" w:rsidP="00846A28">
      <w:pPr>
        <w:spacing w:before="100" w:beforeAutospacing="1" w:after="100" w:afterAutospacing="1" w:line="360" w:lineRule="auto"/>
        <w:outlineLvl w:val="1"/>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Social Determinants of Human Behaviour</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Social determinants encompass the conditions in which people are born, grow, live, work, and age. These factors profoundly influence behaviour, health outcomes, and overall wellbeing. In health and social care, recognising social determinants allows practitioners to address the broader context affecting an individual’s health (Marmot, 2015).</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Family and Peer Influence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Family and peer groups are primary socialising agents that shape behaviour, values, and coping mechanisms. For children and young people, parenting styles, family dynamics, and sibling relationships influence social skills, emotional regulation, and academic performance (</w:t>
      </w:r>
      <w:proofErr w:type="spellStart"/>
      <w:r w:rsidRPr="00BE55C0">
        <w:rPr>
          <w:rFonts w:ascii="Times New Roman" w:eastAsia="Times New Roman" w:hAnsi="Times New Roman" w:cs="Times New Roman"/>
          <w:sz w:val="24"/>
          <w:szCs w:val="24"/>
        </w:rPr>
        <w:t>Baumrind</w:t>
      </w:r>
      <w:proofErr w:type="spellEnd"/>
      <w:r w:rsidRPr="00BE55C0">
        <w:rPr>
          <w:rFonts w:ascii="Times New Roman" w:eastAsia="Times New Roman" w:hAnsi="Times New Roman" w:cs="Times New Roman"/>
          <w:sz w:val="24"/>
          <w:szCs w:val="24"/>
        </w:rPr>
        <w:t xml:space="preserve">, 1991). Health and social care </w:t>
      </w:r>
      <w:proofErr w:type="gramStart"/>
      <w:r w:rsidRPr="00BE55C0">
        <w:rPr>
          <w:rFonts w:ascii="Times New Roman" w:eastAsia="Times New Roman" w:hAnsi="Times New Roman" w:cs="Times New Roman"/>
          <w:sz w:val="24"/>
          <w:szCs w:val="24"/>
        </w:rPr>
        <w:t>professionals</w:t>
      </w:r>
      <w:proofErr w:type="gramEnd"/>
      <w:r w:rsidRPr="00BE55C0">
        <w:rPr>
          <w:rFonts w:ascii="Times New Roman" w:eastAsia="Times New Roman" w:hAnsi="Times New Roman" w:cs="Times New Roman"/>
          <w:sz w:val="24"/>
          <w:szCs w:val="24"/>
        </w:rPr>
        <w:t xml:space="preserve"> work with families to promote positive parenting strategies, provide support for children with behavioural difficulties, and foster resilience in at-risk populations. Peer relationships, particularly during adolescence, influence risk-taking </w:t>
      </w:r>
      <w:proofErr w:type="gramStart"/>
      <w:r w:rsidRPr="00BE55C0">
        <w:rPr>
          <w:rFonts w:ascii="Times New Roman" w:eastAsia="Times New Roman" w:hAnsi="Times New Roman" w:cs="Times New Roman"/>
          <w:sz w:val="24"/>
          <w:szCs w:val="24"/>
        </w:rPr>
        <w:t>behaviour</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w:t>
      </w:r>
      <w:proofErr w:type="gramEnd"/>
      <w:r w:rsidRPr="00BE55C0">
        <w:rPr>
          <w:rFonts w:ascii="Times New Roman" w:eastAsia="Times New Roman" w:hAnsi="Times New Roman" w:cs="Times New Roman"/>
          <w:sz w:val="24"/>
          <w:szCs w:val="24"/>
        </w:rPr>
        <w:t xml:space="preserve"> </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self-esteem, and mental health, necessitating interventions such as mentoring programmes and social skills training.</w:t>
      </w:r>
    </w:p>
    <w:p w:rsidR="00BE55C0" w:rsidRPr="00846A28"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Socioeconomic Status</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Socioeconomic status (SES) is a critical social determinant affecting access to resources, educational opportunities, and healthcare. Low SES is associated with higher stress levels, limited social support, and increased vulnerability to mental health issues (Adler &amp; </w:t>
      </w:r>
      <w:proofErr w:type="spellStart"/>
      <w:r w:rsidRPr="00BE55C0">
        <w:rPr>
          <w:rFonts w:ascii="Times New Roman" w:eastAsia="Times New Roman" w:hAnsi="Times New Roman" w:cs="Times New Roman"/>
          <w:sz w:val="24"/>
          <w:szCs w:val="24"/>
        </w:rPr>
        <w:t>Ostrove</w:t>
      </w:r>
      <w:proofErr w:type="spellEnd"/>
      <w:r w:rsidRPr="00BE55C0">
        <w:rPr>
          <w:rFonts w:ascii="Times New Roman" w:eastAsia="Times New Roman" w:hAnsi="Times New Roman" w:cs="Times New Roman"/>
          <w:sz w:val="24"/>
          <w:szCs w:val="24"/>
        </w:rPr>
        <w:t>, 1999). Professionals in health and social care address these disparities by connecting individuals to community resources, advocating for equitable access to services, and implementing preventative health strategies.</w:t>
      </w:r>
    </w:p>
    <w:p w:rsidR="00C32AFB" w:rsidRDefault="00C32AFB" w:rsidP="00846A28">
      <w:pPr>
        <w:spacing w:before="100" w:beforeAutospacing="1" w:after="100" w:afterAutospacing="1" w:line="360" w:lineRule="auto"/>
        <w:outlineLvl w:val="2"/>
        <w:rPr>
          <w:rFonts w:ascii="Times New Roman" w:eastAsia="Times New Roman" w:hAnsi="Times New Roman" w:cs="Times New Roman"/>
          <w:b/>
          <w:bCs/>
          <w:sz w:val="24"/>
          <w:szCs w:val="24"/>
        </w:rPr>
      </w:pPr>
    </w:p>
    <w:p w:rsidR="00C32AFB" w:rsidRDefault="00C32AFB" w:rsidP="00846A28">
      <w:pPr>
        <w:spacing w:before="100" w:beforeAutospacing="1" w:after="100" w:afterAutospacing="1" w:line="360" w:lineRule="auto"/>
        <w:outlineLvl w:val="2"/>
        <w:rPr>
          <w:rFonts w:ascii="Times New Roman" w:eastAsia="Times New Roman" w:hAnsi="Times New Roman" w:cs="Times New Roman"/>
          <w:b/>
          <w:bCs/>
          <w:sz w:val="24"/>
          <w:szCs w:val="24"/>
        </w:rPr>
      </w:pP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lastRenderedPageBreak/>
        <w:t>Cultural and Environmental Factors</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Culture shapes beliefs, attitudes, and behaviours related to health and social care. Cultural competence is essential for professionals to understand health practices, family structures, and communication preferences in diverse populations. Environmental factors, including community safety, housing quality, and exposure to adverse experiences, also impact behaviour and wellbeing. Practitioners may implement interventions that promote safe living environments, community engagement, and supportive social networks (Green &amp; Tones, 2010).</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27" style="width:0;height:1.5pt" o:hralign="center" o:hrstd="t" o:hr="t" fillcolor="#a0a0a0" stroked="f"/>
        </w:pict>
      </w:r>
    </w:p>
    <w:p w:rsidR="00BE55C0" w:rsidRPr="00BE55C0" w:rsidRDefault="00BE55C0" w:rsidP="00846A28">
      <w:pPr>
        <w:spacing w:before="100" w:beforeAutospacing="1" w:after="100" w:afterAutospacing="1" w:line="360" w:lineRule="auto"/>
        <w:outlineLvl w:val="1"/>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Biological Determinants of Human Behaviour</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Biological determinants encompass genetic, neurological, and physiological factors that influence behaviour. Understanding these determinants enables health and social care professionals to assess risk </w:t>
      </w:r>
      <w:proofErr w:type="gramStart"/>
      <w:r w:rsidRPr="00BE55C0">
        <w:rPr>
          <w:rFonts w:ascii="Times New Roman" w:eastAsia="Times New Roman" w:hAnsi="Times New Roman" w:cs="Times New Roman"/>
          <w:sz w:val="24"/>
          <w:szCs w:val="24"/>
        </w:rPr>
        <w:t>factors</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w:t>
      </w:r>
      <w:proofErr w:type="gramEnd"/>
      <w:r w:rsidRPr="00BE55C0">
        <w:rPr>
          <w:rFonts w:ascii="Times New Roman" w:eastAsia="Times New Roman" w:hAnsi="Times New Roman" w:cs="Times New Roman"/>
          <w:sz w:val="24"/>
          <w:szCs w:val="24"/>
        </w:rPr>
        <w:t xml:space="preserve"> identify developmental disorders, and tailor interventions accordingly.</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Genetics and Heredity</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Genetic factors contribute to individual differences in temperament, intelligence, and susceptibility to mental health conditions. For example, research shows a heritable component in conditions such as autism spectrum disorder, attention-deficit/hyperactivity disorder, and depression (</w:t>
      </w:r>
      <w:proofErr w:type="spellStart"/>
      <w:r w:rsidRPr="00BE55C0">
        <w:rPr>
          <w:rFonts w:ascii="Times New Roman" w:eastAsia="Times New Roman" w:hAnsi="Times New Roman" w:cs="Times New Roman"/>
          <w:sz w:val="24"/>
          <w:szCs w:val="24"/>
        </w:rPr>
        <w:t>Rutter</w:t>
      </w:r>
      <w:proofErr w:type="spellEnd"/>
      <w:r w:rsidRPr="00BE55C0">
        <w:rPr>
          <w:rFonts w:ascii="Times New Roman" w:eastAsia="Times New Roman" w:hAnsi="Times New Roman" w:cs="Times New Roman"/>
          <w:sz w:val="24"/>
          <w:szCs w:val="24"/>
        </w:rPr>
        <w:t>, 2006). Practitioners may use genetic information to inform early intervention strategies, provide personalised care plans, and support families in managing inherited conditions.</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Neurobiological Factors</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Brain development and neurological functioning play a pivotal role in behaviour and emotional regulation. Abnormalities in neurotransmitter systems or brain structures can influence mood, cognition, and social be</w:t>
      </w:r>
      <w:r w:rsidR="00846A28">
        <w:rPr>
          <w:rFonts w:ascii="Times New Roman" w:eastAsia="Times New Roman" w:hAnsi="Times New Roman" w:cs="Times New Roman"/>
          <w:sz w:val="24"/>
          <w:szCs w:val="24"/>
        </w:rPr>
        <w:t xml:space="preserve">   </w:t>
      </w:r>
      <w:proofErr w:type="spellStart"/>
      <w:r w:rsidRPr="00BE55C0">
        <w:rPr>
          <w:rFonts w:ascii="Times New Roman" w:eastAsia="Times New Roman" w:hAnsi="Times New Roman" w:cs="Times New Roman"/>
          <w:sz w:val="24"/>
          <w:szCs w:val="24"/>
        </w:rPr>
        <w:t>haviour</w:t>
      </w:r>
      <w:proofErr w:type="spellEnd"/>
      <w:r w:rsidRPr="00BE55C0">
        <w:rPr>
          <w:rFonts w:ascii="Times New Roman" w:eastAsia="Times New Roman" w:hAnsi="Times New Roman" w:cs="Times New Roman"/>
          <w:sz w:val="24"/>
          <w:szCs w:val="24"/>
        </w:rPr>
        <w:t xml:space="preserve">. In children, conditions such as ADHD or developmental delays require targeted interventions that address both neurological and behavioural needs. In adult care, understanding neurodegenerative conditions such as </w:t>
      </w:r>
      <w:r w:rsidRPr="00BE55C0">
        <w:rPr>
          <w:rFonts w:ascii="Times New Roman" w:eastAsia="Times New Roman" w:hAnsi="Times New Roman" w:cs="Times New Roman"/>
          <w:sz w:val="24"/>
          <w:szCs w:val="24"/>
        </w:rPr>
        <w:lastRenderedPageBreak/>
        <w:t>dementia enables professionals to implement person-centred strategies that maintain cognitive function and enhance quality of life (Bick &amp; Nelson, 2016).</w:t>
      </w:r>
    </w:p>
    <w:p w:rsidR="00BE55C0" w:rsidRPr="00846A28"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Health and Physiological Influences</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Physical health and biological processes, including hormonal changes, nutrition, and chronic illness, directly affect behaviour and mental wellbeing. Hormonal fluctuations during puberty, pregnancy, and menopause can influence mood and behaviour, necessitating psychological support in healthcare settings. Chronic illnesses, such as diabetes or cardiovascular disease, may impact mental health, and integrated care approaches are essential to address the interplay between physical and psychological wellbeing (</w:t>
      </w:r>
      <w:proofErr w:type="spellStart"/>
      <w:r w:rsidRPr="00BE55C0">
        <w:rPr>
          <w:rFonts w:ascii="Times New Roman" w:eastAsia="Times New Roman" w:hAnsi="Times New Roman" w:cs="Times New Roman"/>
          <w:sz w:val="24"/>
          <w:szCs w:val="24"/>
        </w:rPr>
        <w:t>Santrock</w:t>
      </w:r>
      <w:proofErr w:type="spellEnd"/>
      <w:r w:rsidRPr="00BE55C0">
        <w:rPr>
          <w:rFonts w:ascii="Times New Roman" w:eastAsia="Times New Roman" w:hAnsi="Times New Roman" w:cs="Times New Roman"/>
          <w:sz w:val="24"/>
          <w:szCs w:val="24"/>
        </w:rPr>
        <w:t>, 2021).</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28" style="width:0;height:1.5pt" o:hralign="center" o:hrstd="t" o:hr="t" fillcolor="#a0a0a0" stroked="f"/>
        </w:pict>
      </w:r>
    </w:p>
    <w:p w:rsidR="00BE55C0" w:rsidRPr="00BE55C0" w:rsidRDefault="00BE55C0" w:rsidP="00846A28">
      <w:pPr>
        <w:spacing w:before="100" w:beforeAutospacing="1" w:after="100" w:afterAutospacing="1" w:line="360" w:lineRule="auto"/>
        <w:outlineLvl w:val="1"/>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Integrating Psychological Understanding into Practice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In health and social care, psychological knowledge informs assessment, planning, and intervention. Practitioners use this </w:t>
      </w:r>
      <w:proofErr w:type="spellStart"/>
      <w:r w:rsidRPr="00BE55C0">
        <w:rPr>
          <w:rFonts w:ascii="Times New Roman" w:eastAsia="Times New Roman" w:hAnsi="Times New Roman" w:cs="Times New Roman"/>
          <w:sz w:val="24"/>
          <w:szCs w:val="24"/>
        </w:rPr>
        <w:t>under</w:t>
      </w:r>
      <w:r w:rsidR="00846A28">
        <w:rPr>
          <w:rFonts w:ascii="Times New Roman" w:eastAsia="Times New Roman" w:hAnsi="Times New Roman" w:cs="Times New Roman"/>
          <w:sz w:val="24"/>
          <w:szCs w:val="24"/>
        </w:rPr>
        <w:t xml:space="preserve"> </w:t>
      </w:r>
      <w:r w:rsidRPr="00BE55C0">
        <w:rPr>
          <w:rFonts w:ascii="Times New Roman" w:eastAsia="Times New Roman" w:hAnsi="Times New Roman" w:cs="Times New Roman"/>
          <w:sz w:val="24"/>
          <w:szCs w:val="24"/>
        </w:rPr>
        <w:t>standing</w:t>
      </w:r>
      <w:proofErr w:type="spellEnd"/>
      <w:r w:rsidRPr="00BE55C0">
        <w:rPr>
          <w:rFonts w:ascii="Times New Roman" w:eastAsia="Times New Roman" w:hAnsi="Times New Roman" w:cs="Times New Roman"/>
          <w:sz w:val="24"/>
          <w:szCs w:val="24"/>
        </w:rPr>
        <w:t xml:space="preserve"> to provide holistic, person-centred care that addresses emotional, cognitive, and social needs alongside physical health.</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Working with Children and Young People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When working with children and young people, professionals apply developmental theories to support learning, emotional regulation, and social skills. Interventions may include cognitive-behavioural therapy for anxiety, attachment-based therapy for trauma, and structured educational support for cognitive development. Understanding social and biological determinants enables practitioners to identify risk factors, such as family stress or genetic predispositions, and implement preventative strategies (</w:t>
      </w:r>
      <w:proofErr w:type="spellStart"/>
      <w:r w:rsidRPr="00BE55C0">
        <w:rPr>
          <w:rFonts w:ascii="Times New Roman" w:eastAsia="Times New Roman" w:hAnsi="Times New Roman" w:cs="Times New Roman"/>
          <w:sz w:val="24"/>
          <w:szCs w:val="24"/>
        </w:rPr>
        <w:t>Bowlby</w:t>
      </w:r>
      <w:proofErr w:type="spellEnd"/>
      <w:r w:rsidRPr="00BE55C0">
        <w:rPr>
          <w:rFonts w:ascii="Times New Roman" w:eastAsia="Times New Roman" w:hAnsi="Times New Roman" w:cs="Times New Roman"/>
          <w:sz w:val="24"/>
          <w:szCs w:val="24"/>
        </w:rPr>
        <w:t>, 1969; Cassidy &amp; Shaver, 2016).</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Supporting Adults and Older People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For adults and older adults, psychological insight guides interventions that promote mental health, independence, and quality of life. Professionals may address psychosocial challenges </w:t>
      </w:r>
      <w:r w:rsidRPr="00BE55C0">
        <w:rPr>
          <w:rFonts w:ascii="Times New Roman" w:eastAsia="Times New Roman" w:hAnsi="Times New Roman" w:cs="Times New Roman"/>
          <w:sz w:val="24"/>
          <w:szCs w:val="24"/>
        </w:rPr>
        <w:lastRenderedPageBreak/>
        <w:t>such as social isolation, grief, or cognitive decline. Applying lifespan development theories allows practitioners to contextualise behaviour, recognise normative versus pathological changes, and implement appropriate interventions. Social support, community engagement, and therapeutic activities enhance wellbeing and reduce the risk of mental health deterioration (Erikson, 1963; Marmot, 2015).</w:t>
      </w:r>
    </w:p>
    <w:p w:rsidR="00BE55C0" w:rsidRPr="00BE55C0" w:rsidRDefault="00BE55C0" w:rsidP="00846A28">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Collaborative and Ethical Practice</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Psychology in health and social care also emphasises ethical and collaborative practice. Professionals work with multidisciplinary teams, integrating psychological knowledge with medical, social, and educational perspectives. Ethical considerations, including confidentiality, informed consent, and respect for autonomy, ensure that interventions are person-centred and culturally sensitive. Reflective practice enables professionals to continually evaluate the effectiveness of interventions and adapt strategies to meet evolving needs.</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29" style="width:0;height:1.5pt" o:hralign="center" o:hrstd="t" o:hr="t" fillcolor="#a0a0a0" stroked="f"/>
        </w:pict>
      </w:r>
    </w:p>
    <w:p w:rsidR="00BE55C0" w:rsidRPr="00BE55C0" w:rsidRDefault="00BE55C0" w:rsidP="00846A28">
      <w:pPr>
        <w:spacing w:before="100" w:beforeAutospacing="1" w:after="100" w:afterAutospacing="1" w:line="360" w:lineRule="auto"/>
        <w:outlineLvl w:val="1"/>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Conclusion</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Psychology is a cornerstone of effective health and social care practice. Lifespan development theories, such as those proposed by Piaget, Erikson, and </w:t>
      </w:r>
      <w:proofErr w:type="spellStart"/>
      <w:r w:rsidRPr="00BE55C0">
        <w:rPr>
          <w:rFonts w:ascii="Times New Roman" w:eastAsia="Times New Roman" w:hAnsi="Times New Roman" w:cs="Times New Roman"/>
          <w:sz w:val="24"/>
          <w:szCs w:val="24"/>
        </w:rPr>
        <w:t>Bowlby</w:t>
      </w:r>
      <w:proofErr w:type="spellEnd"/>
      <w:r w:rsidRPr="00BE55C0">
        <w:rPr>
          <w:rFonts w:ascii="Times New Roman" w:eastAsia="Times New Roman" w:hAnsi="Times New Roman" w:cs="Times New Roman"/>
          <w:sz w:val="24"/>
          <w:szCs w:val="24"/>
        </w:rPr>
        <w:t>, provide essential frameworks for understanding behaviour across all stages of life. Social determinants, including family, peers, socioeconomic status, and culture, interact with biological factors such as genetics, neurobiology, and physical health to shape human behaviour. By integrating psychological insight, health and social care professionals can deliver interventions that are developmentally appropriate, person-centred, and responsive to individual needs.</w:t>
      </w:r>
    </w:p>
    <w:p w:rsidR="00BE55C0" w:rsidRPr="00BE55C0" w:rsidRDefault="00BE55C0" w:rsidP="00846A28">
      <w:p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The application of psychological principles ensures that care is not only focused on physical health but also addresses emotional, social, and cognitive wellbeing. Whether working with children, adolescents, adults, or older adults, practitioners equipped with psychological knowledge can anticipate developmental challenges, identify risk factors, and implement interventions that promote resilience and quality of life. In conclusion, psychology provides </w:t>
      </w:r>
      <w:r w:rsidRPr="00BE55C0">
        <w:rPr>
          <w:rFonts w:ascii="Times New Roman" w:eastAsia="Times New Roman" w:hAnsi="Times New Roman" w:cs="Times New Roman"/>
          <w:sz w:val="24"/>
          <w:szCs w:val="24"/>
        </w:rPr>
        <w:lastRenderedPageBreak/>
        <w:t>both the theoretical foundation and practical guidance necessary for delivering holistic, effective, and ethical care in diverse health and social care settings.</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30" style="width:0;height:1.5pt" o:hralign="center" o:hrstd="t" o:hr="t" fillcolor="#a0a0a0" stroked="f"/>
        </w:pict>
      </w:r>
    </w:p>
    <w:p w:rsidR="000809BE" w:rsidRDefault="00BE55C0" w:rsidP="000809BE">
      <w:pPr>
        <w:spacing w:before="100" w:beforeAutospacing="1" w:after="100" w:afterAutospacing="1" w:line="360" w:lineRule="auto"/>
        <w:outlineLvl w:val="2"/>
        <w:rPr>
          <w:rFonts w:ascii="Times New Roman" w:eastAsia="Times New Roman" w:hAnsi="Times New Roman" w:cs="Times New Roman"/>
          <w:b/>
          <w:bCs/>
          <w:sz w:val="24"/>
          <w:szCs w:val="24"/>
        </w:rPr>
      </w:pPr>
      <w:r w:rsidRPr="00BE55C0">
        <w:rPr>
          <w:rFonts w:ascii="Times New Roman" w:eastAsia="Times New Roman" w:hAnsi="Times New Roman" w:cs="Times New Roman"/>
          <w:b/>
          <w:bCs/>
          <w:sz w:val="24"/>
          <w:szCs w:val="24"/>
        </w:rPr>
        <w:t xml:space="preserve">References </w:t>
      </w:r>
    </w:p>
    <w:p w:rsidR="00BE55C0" w:rsidRPr="00BE55C0" w:rsidRDefault="00BE55C0" w:rsidP="000809BE">
      <w:pPr>
        <w:spacing w:before="100" w:beforeAutospacing="1" w:after="100" w:afterAutospacing="1" w:line="360" w:lineRule="auto"/>
        <w:outlineLvl w:val="2"/>
        <w:rPr>
          <w:rFonts w:ascii="Times New Roman" w:eastAsia="Times New Roman" w:hAnsi="Times New Roman" w:cs="Times New Roman"/>
          <w:sz w:val="24"/>
          <w:szCs w:val="24"/>
        </w:rPr>
      </w:pPr>
      <w:proofErr w:type="gramStart"/>
      <w:r w:rsidRPr="00BE55C0">
        <w:rPr>
          <w:rFonts w:ascii="Times New Roman" w:eastAsia="Times New Roman" w:hAnsi="Times New Roman" w:cs="Times New Roman"/>
          <w:sz w:val="24"/>
          <w:szCs w:val="24"/>
        </w:rPr>
        <w:t xml:space="preserve">Adler, N.E. &amp; </w:t>
      </w:r>
      <w:proofErr w:type="spellStart"/>
      <w:r w:rsidRPr="00BE55C0">
        <w:rPr>
          <w:rFonts w:ascii="Times New Roman" w:eastAsia="Times New Roman" w:hAnsi="Times New Roman" w:cs="Times New Roman"/>
          <w:sz w:val="24"/>
          <w:szCs w:val="24"/>
        </w:rPr>
        <w:t>Ostrove</w:t>
      </w:r>
      <w:proofErr w:type="spellEnd"/>
      <w:r w:rsidRPr="00BE55C0">
        <w:rPr>
          <w:rFonts w:ascii="Times New Roman" w:eastAsia="Times New Roman" w:hAnsi="Times New Roman" w:cs="Times New Roman"/>
          <w:sz w:val="24"/>
          <w:szCs w:val="24"/>
        </w:rPr>
        <w:t>, J.M., 1999.</w:t>
      </w:r>
      <w:proofErr w:type="gramEnd"/>
      <w:r w:rsidRPr="00BE55C0">
        <w:rPr>
          <w:rFonts w:ascii="Times New Roman" w:eastAsia="Times New Roman" w:hAnsi="Times New Roman" w:cs="Times New Roman"/>
          <w:sz w:val="24"/>
          <w:szCs w:val="24"/>
        </w:rPr>
        <w:t xml:space="preserve"> Socioeconomic status and health: what we know and what we don’t. </w:t>
      </w:r>
      <w:r w:rsidRPr="00846A28">
        <w:rPr>
          <w:rFonts w:ascii="Times New Roman" w:eastAsia="Times New Roman" w:hAnsi="Times New Roman" w:cs="Times New Roman"/>
          <w:i/>
          <w:iCs/>
          <w:sz w:val="24"/>
          <w:szCs w:val="24"/>
        </w:rPr>
        <w:t>Annals of the New York Academy of Sciences</w:t>
      </w:r>
      <w:r w:rsidRPr="00BE55C0">
        <w:rPr>
          <w:rFonts w:ascii="Times New Roman" w:eastAsia="Times New Roman" w:hAnsi="Times New Roman" w:cs="Times New Roman"/>
          <w:sz w:val="24"/>
          <w:szCs w:val="24"/>
        </w:rPr>
        <w:t>, 896(1), pp.3–15.</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BE55C0">
        <w:rPr>
          <w:rFonts w:ascii="Times New Roman" w:eastAsia="Times New Roman" w:hAnsi="Times New Roman" w:cs="Times New Roman"/>
          <w:sz w:val="24"/>
          <w:szCs w:val="24"/>
        </w:rPr>
        <w:t>Baumrind</w:t>
      </w:r>
      <w:proofErr w:type="spellEnd"/>
      <w:r w:rsidRPr="00BE55C0">
        <w:rPr>
          <w:rFonts w:ascii="Times New Roman" w:eastAsia="Times New Roman" w:hAnsi="Times New Roman" w:cs="Times New Roman"/>
          <w:sz w:val="24"/>
          <w:szCs w:val="24"/>
        </w:rPr>
        <w:t xml:space="preserve">, D., 1991. The influence of parenting style on adolescent competence and substance use. </w:t>
      </w:r>
      <w:r w:rsidRPr="00846A28">
        <w:rPr>
          <w:rFonts w:ascii="Times New Roman" w:eastAsia="Times New Roman" w:hAnsi="Times New Roman" w:cs="Times New Roman"/>
          <w:i/>
          <w:iCs/>
          <w:sz w:val="24"/>
          <w:szCs w:val="24"/>
        </w:rPr>
        <w:t>Journal of Early Adolescence</w:t>
      </w:r>
      <w:r w:rsidRPr="00BE55C0">
        <w:rPr>
          <w:rFonts w:ascii="Times New Roman" w:eastAsia="Times New Roman" w:hAnsi="Times New Roman" w:cs="Times New Roman"/>
          <w:sz w:val="24"/>
          <w:szCs w:val="24"/>
        </w:rPr>
        <w:t>, 11(1), pp.56–95.</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Bick, J. &amp; Nelson, C.A., 2016. Early adverse experiences and the developing brain. </w:t>
      </w:r>
      <w:proofErr w:type="spellStart"/>
      <w:r w:rsidRPr="00846A28">
        <w:rPr>
          <w:rFonts w:ascii="Times New Roman" w:eastAsia="Times New Roman" w:hAnsi="Times New Roman" w:cs="Times New Roman"/>
          <w:i/>
          <w:iCs/>
          <w:sz w:val="24"/>
          <w:szCs w:val="24"/>
        </w:rPr>
        <w:t>Neuropsychopharmacology</w:t>
      </w:r>
      <w:proofErr w:type="spellEnd"/>
      <w:r w:rsidRPr="00BE55C0">
        <w:rPr>
          <w:rFonts w:ascii="Times New Roman" w:eastAsia="Times New Roman" w:hAnsi="Times New Roman" w:cs="Times New Roman"/>
          <w:sz w:val="24"/>
          <w:szCs w:val="24"/>
        </w:rPr>
        <w:t>, 41(1), pp.177–196.</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BE55C0">
        <w:rPr>
          <w:rFonts w:ascii="Times New Roman" w:eastAsia="Times New Roman" w:hAnsi="Times New Roman" w:cs="Times New Roman"/>
          <w:sz w:val="24"/>
          <w:szCs w:val="24"/>
        </w:rPr>
        <w:t>Bowlby</w:t>
      </w:r>
      <w:proofErr w:type="spellEnd"/>
      <w:r w:rsidRPr="00BE55C0">
        <w:rPr>
          <w:rFonts w:ascii="Times New Roman" w:eastAsia="Times New Roman" w:hAnsi="Times New Roman" w:cs="Times New Roman"/>
          <w:sz w:val="24"/>
          <w:szCs w:val="24"/>
        </w:rPr>
        <w:t xml:space="preserve">, J., 1969. </w:t>
      </w:r>
      <w:r w:rsidRPr="00846A28">
        <w:rPr>
          <w:rFonts w:ascii="Times New Roman" w:eastAsia="Times New Roman" w:hAnsi="Times New Roman" w:cs="Times New Roman"/>
          <w:i/>
          <w:iCs/>
          <w:sz w:val="24"/>
          <w:szCs w:val="24"/>
        </w:rPr>
        <w:t>Attachment and Loss: Volume 1, Attachment</w:t>
      </w:r>
      <w:r w:rsidRPr="00BE55C0">
        <w:rPr>
          <w:rFonts w:ascii="Times New Roman" w:eastAsia="Times New Roman" w:hAnsi="Times New Roman" w:cs="Times New Roman"/>
          <w:sz w:val="24"/>
          <w:szCs w:val="24"/>
        </w:rPr>
        <w:t>. London: Hogarth Press.</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Cassidy, J. &amp; Shaver, P.R., 2016. </w:t>
      </w:r>
      <w:r w:rsidRPr="00846A28">
        <w:rPr>
          <w:rFonts w:ascii="Times New Roman" w:eastAsia="Times New Roman" w:hAnsi="Times New Roman" w:cs="Times New Roman"/>
          <w:i/>
          <w:iCs/>
          <w:sz w:val="24"/>
          <w:szCs w:val="24"/>
        </w:rPr>
        <w:t>Handbook of Attachment: Theory, Research, and Clinical Applications</w:t>
      </w:r>
      <w:r w:rsidRPr="00BE55C0">
        <w:rPr>
          <w:rFonts w:ascii="Times New Roman" w:eastAsia="Times New Roman" w:hAnsi="Times New Roman" w:cs="Times New Roman"/>
          <w:sz w:val="24"/>
          <w:szCs w:val="24"/>
        </w:rPr>
        <w:t xml:space="preserve">. 3rd </w:t>
      </w:r>
      <w:proofErr w:type="gramStart"/>
      <w:r w:rsidRPr="00BE55C0">
        <w:rPr>
          <w:rFonts w:ascii="Times New Roman" w:eastAsia="Times New Roman" w:hAnsi="Times New Roman" w:cs="Times New Roman"/>
          <w:sz w:val="24"/>
          <w:szCs w:val="24"/>
        </w:rPr>
        <w:t>ed</w:t>
      </w:r>
      <w:proofErr w:type="gramEnd"/>
      <w:r w:rsidRPr="00BE55C0">
        <w:rPr>
          <w:rFonts w:ascii="Times New Roman" w:eastAsia="Times New Roman" w:hAnsi="Times New Roman" w:cs="Times New Roman"/>
          <w:sz w:val="24"/>
          <w:szCs w:val="24"/>
        </w:rPr>
        <w:t>. New York: Guilford Press.</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Erikson, E.H., 1963. </w:t>
      </w:r>
      <w:r w:rsidRPr="00846A28">
        <w:rPr>
          <w:rFonts w:ascii="Times New Roman" w:eastAsia="Times New Roman" w:hAnsi="Times New Roman" w:cs="Times New Roman"/>
          <w:i/>
          <w:iCs/>
          <w:sz w:val="24"/>
          <w:szCs w:val="24"/>
        </w:rPr>
        <w:t>Childhood and Society</w:t>
      </w:r>
      <w:r w:rsidRPr="00BE55C0">
        <w:rPr>
          <w:rFonts w:ascii="Times New Roman" w:eastAsia="Times New Roman" w:hAnsi="Times New Roman" w:cs="Times New Roman"/>
          <w:sz w:val="24"/>
          <w:szCs w:val="24"/>
        </w:rPr>
        <w:t xml:space="preserve">. 2nd </w:t>
      </w:r>
      <w:proofErr w:type="gramStart"/>
      <w:r w:rsidRPr="00BE55C0">
        <w:rPr>
          <w:rFonts w:ascii="Times New Roman" w:eastAsia="Times New Roman" w:hAnsi="Times New Roman" w:cs="Times New Roman"/>
          <w:sz w:val="24"/>
          <w:szCs w:val="24"/>
        </w:rPr>
        <w:t>ed</w:t>
      </w:r>
      <w:proofErr w:type="gramEnd"/>
      <w:r w:rsidRPr="00BE55C0">
        <w:rPr>
          <w:rFonts w:ascii="Times New Roman" w:eastAsia="Times New Roman" w:hAnsi="Times New Roman" w:cs="Times New Roman"/>
          <w:sz w:val="24"/>
          <w:szCs w:val="24"/>
        </w:rPr>
        <w:t>. New York: Norton.</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Green, J. &amp; Tones, K., 2010. </w:t>
      </w:r>
      <w:r w:rsidRPr="00846A28">
        <w:rPr>
          <w:rFonts w:ascii="Times New Roman" w:eastAsia="Times New Roman" w:hAnsi="Times New Roman" w:cs="Times New Roman"/>
          <w:i/>
          <w:iCs/>
          <w:sz w:val="24"/>
          <w:szCs w:val="24"/>
        </w:rPr>
        <w:t>Health Promotion: Planning and Strategies</w:t>
      </w:r>
      <w:r w:rsidRPr="00BE55C0">
        <w:rPr>
          <w:rFonts w:ascii="Times New Roman" w:eastAsia="Times New Roman" w:hAnsi="Times New Roman" w:cs="Times New Roman"/>
          <w:sz w:val="24"/>
          <w:szCs w:val="24"/>
        </w:rPr>
        <w:t>. 2nd ed. London: Sage.</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Marmot, M., 2015. </w:t>
      </w:r>
      <w:r w:rsidRPr="00846A28">
        <w:rPr>
          <w:rFonts w:ascii="Times New Roman" w:eastAsia="Times New Roman" w:hAnsi="Times New Roman" w:cs="Times New Roman"/>
          <w:i/>
          <w:iCs/>
          <w:sz w:val="24"/>
          <w:szCs w:val="24"/>
        </w:rPr>
        <w:t>The Health Gap: The Challenge of an Unequal World</w:t>
      </w:r>
      <w:r w:rsidRPr="00BE55C0">
        <w:rPr>
          <w:rFonts w:ascii="Times New Roman" w:eastAsia="Times New Roman" w:hAnsi="Times New Roman" w:cs="Times New Roman"/>
          <w:sz w:val="24"/>
          <w:szCs w:val="24"/>
        </w:rPr>
        <w:t>. London: Bloomsbury.</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t xml:space="preserve">Piaget, J., 1952. </w:t>
      </w:r>
      <w:r w:rsidRPr="00846A28">
        <w:rPr>
          <w:rFonts w:ascii="Times New Roman" w:eastAsia="Times New Roman" w:hAnsi="Times New Roman" w:cs="Times New Roman"/>
          <w:i/>
          <w:iCs/>
          <w:sz w:val="24"/>
          <w:szCs w:val="24"/>
        </w:rPr>
        <w:t>The Origins of Intelligence in Children</w:t>
      </w:r>
      <w:r w:rsidRPr="00BE55C0">
        <w:rPr>
          <w:rFonts w:ascii="Times New Roman" w:eastAsia="Times New Roman" w:hAnsi="Times New Roman" w:cs="Times New Roman"/>
          <w:sz w:val="24"/>
          <w:szCs w:val="24"/>
        </w:rPr>
        <w:t>. New York: International Universities Press.</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BE55C0">
        <w:rPr>
          <w:rFonts w:ascii="Times New Roman" w:eastAsia="Times New Roman" w:hAnsi="Times New Roman" w:cs="Times New Roman"/>
          <w:sz w:val="24"/>
          <w:szCs w:val="24"/>
        </w:rPr>
        <w:t>Rutter</w:t>
      </w:r>
      <w:proofErr w:type="spellEnd"/>
      <w:r w:rsidRPr="00BE55C0">
        <w:rPr>
          <w:rFonts w:ascii="Times New Roman" w:eastAsia="Times New Roman" w:hAnsi="Times New Roman" w:cs="Times New Roman"/>
          <w:sz w:val="24"/>
          <w:szCs w:val="24"/>
        </w:rPr>
        <w:t xml:space="preserve">, M., 2006. Genes and behaviour: Nature-nurture interplay explained. </w:t>
      </w:r>
      <w:r w:rsidRPr="00846A28">
        <w:rPr>
          <w:rFonts w:ascii="Times New Roman" w:eastAsia="Times New Roman" w:hAnsi="Times New Roman" w:cs="Times New Roman"/>
          <w:i/>
          <w:iCs/>
          <w:sz w:val="24"/>
          <w:szCs w:val="24"/>
        </w:rPr>
        <w:t>Blackwell Publishing</w:t>
      </w:r>
      <w:r w:rsidRPr="00BE55C0">
        <w:rPr>
          <w:rFonts w:ascii="Times New Roman" w:eastAsia="Times New Roman" w:hAnsi="Times New Roman" w:cs="Times New Roman"/>
          <w:sz w:val="24"/>
          <w:szCs w:val="24"/>
        </w:rPr>
        <w:t>.</w:t>
      </w:r>
    </w:p>
    <w:p w:rsidR="00BE55C0" w:rsidRPr="00BE55C0" w:rsidRDefault="00BE55C0" w:rsidP="00846A28">
      <w:pPr>
        <w:numPr>
          <w:ilvl w:val="0"/>
          <w:numId w:val="1"/>
        </w:numPr>
        <w:spacing w:before="100" w:beforeAutospacing="1" w:after="100" w:afterAutospacing="1" w:line="360" w:lineRule="auto"/>
        <w:rPr>
          <w:rFonts w:ascii="Times New Roman" w:eastAsia="Times New Roman" w:hAnsi="Times New Roman" w:cs="Times New Roman"/>
          <w:sz w:val="24"/>
          <w:szCs w:val="24"/>
        </w:rPr>
      </w:pPr>
      <w:proofErr w:type="spellStart"/>
      <w:r w:rsidRPr="00BE55C0">
        <w:rPr>
          <w:rFonts w:ascii="Times New Roman" w:eastAsia="Times New Roman" w:hAnsi="Times New Roman" w:cs="Times New Roman"/>
          <w:sz w:val="24"/>
          <w:szCs w:val="24"/>
        </w:rPr>
        <w:t>Santrock</w:t>
      </w:r>
      <w:proofErr w:type="spellEnd"/>
      <w:r w:rsidRPr="00BE55C0">
        <w:rPr>
          <w:rFonts w:ascii="Times New Roman" w:eastAsia="Times New Roman" w:hAnsi="Times New Roman" w:cs="Times New Roman"/>
          <w:sz w:val="24"/>
          <w:szCs w:val="24"/>
        </w:rPr>
        <w:t xml:space="preserve">, J.W., 2021. </w:t>
      </w:r>
      <w:r w:rsidRPr="00846A28">
        <w:rPr>
          <w:rFonts w:ascii="Times New Roman" w:eastAsia="Times New Roman" w:hAnsi="Times New Roman" w:cs="Times New Roman"/>
          <w:i/>
          <w:iCs/>
          <w:sz w:val="24"/>
          <w:szCs w:val="24"/>
        </w:rPr>
        <w:t>Life-Span Development</w:t>
      </w:r>
      <w:r w:rsidRPr="00BE55C0">
        <w:rPr>
          <w:rFonts w:ascii="Times New Roman" w:eastAsia="Times New Roman" w:hAnsi="Times New Roman" w:cs="Times New Roman"/>
          <w:sz w:val="24"/>
          <w:szCs w:val="24"/>
        </w:rPr>
        <w:t xml:space="preserve">. 18th </w:t>
      </w:r>
      <w:proofErr w:type="gramStart"/>
      <w:r w:rsidRPr="00BE55C0">
        <w:rPr>
          <w:rFonts w:ascii="Times New Roman" w:eastAsia="Times New Roman" w:hAnsi="Times New Roman" w:cs="Times New Roman"/>
          <w:sz w:val="24"/>
          <w:szCs w:val="24"/>
        </w:rPr>
        <w:t>ed</w:t>
      </w:r>
      <w:proofErr w:type="gramEnd"/>
      <w:r w:rsidRPr="00BE55C0">
        <w:rPr>
          <w:rFonts w:ascii="Times New Roman" w:eastAsia="Times New Roman" w:hAnsi="Times New Roman" w:cs="Times New Roman"/>
          <w:sz w:val="24"/>
          <w:szCs w:val="24"/>
        </w:rPr>
        <w:t>. New York: McGraw-Hill Education.</w:t>
      </w:r>
    </w:p>
    <w:p w:rsidR="00BE55C0" w:rsidRPr="00BE55C0" w:rsidRDefault="00BE55C0" w:rsidP="00846A28">
      <w:pPr>
        <w:spacing w:after="0" w:line="360" w:lineRule="auto"/>
        <w:rPr>
          <w:rFonts w:ascii="Times New Roman" w:eastAsia="Times New Roman" w:hAnsi="Times New Roman" w:cs="Times New Roman"/>
          <w:sz w:val="24"/>
          <w:szCs w:val="24"/>
        </w:rPr>
      </w:pPr>
      <w:r w:rsidRPr="00BE55C0">
        <w:rPr>
          <w:rFonts w:ascii="Times New Roman" w:eastAsia="Times New Roman" w:hAnsi="Times New Roman" w:cs="Times New Roman"/>
          <w:sz w:val="24"/>
          <w:szCs w:val="24"/>
        </w:rPr>
        <w:pict>
          <v:rect id="_x0000_i1031" style="width:0;height:1.5pt" o:hralign="center" o:hrstd="t" o:hr="t" fillcolor="#a0a0a0" stroked="f"/>
        </w:pict>
      </w:r>
    </w:p>
    <w:p w:rsidR="00265062" w:rsidRPr="00846A28" w:rsidRDefault="00265062" w:rsidP="00846A28">
      <w:pPr>
        <w:spacing w:line="360" w:lineRule="auto"/>
        <w:rPr>
          <w:sz w:val="24"/>
          <w:szCs w:val="24"/>
        </w:rPr>
      </w:pPr>
    </w:p>
    <w:sectPr w:rsidR="00265062" w:rsidRPr="00846A2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CFE01CD"/>
    <w:multiLevelType w:val="multilevel"/>
    <w:tmpl w:val="66486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91"/>
  <w:proofState w:spelling="clean" w:grammar="clean"/>
  <w:defaultTabStop w:val="720"/>
  <w:characterSpacingControl w:val="doNotCompress"/>
  <w:compat>
    <w:useFELayout/>
  </w:compat>
  <w:rsids>
    <w:rsidRoot w:val="00BE55C0"/>
    <w:rsid w:val="000809BE"/>
    <w:rsid w:val="00265062"/>
    <w:rsid w:val="007A3661"/>
    <w:rsid w:val="00846A28"/>
    <w:rsid w:val="00BE55C0"/>
    <w:rsid w:val="00C32AF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E55C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BE55C0"/>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E55C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5C0"/>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BE55C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E55C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E55C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BE55C0"/>
    <w:rPr>
      <w:i/>
      <w:iCs/>
    </w:rPr>
  </w:style>
  <w:style w:type="paragraph" w:styleId="Title">
    <w:name w:val="Title"/>
    <w:basedOn w:val="Normal"/>
    <w:next w:val="Normal"/>
    <w:link w:val="TitleChar"/>
    <w:uiPriority w:val="10"/>
    <w:qFormat/>
    <w:rsid w:val="007A3661"/>
    <w:pPr>
      <w:keepNext/>
      <w:keepLines/>
      <w:suppressAutoHyphens/>
      <w:autoSpaceDN w:val="0"/>
      <w:spacing w:after="60"/>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7A3661"/>
    <w:rPr>
      <w:rFonts w:ascii="Arial" w:eastAsia="Arial" w:hAnsi="Arial" w:cs="Arial"/>
      <w:sz w:val="52"/>
      <w:szCs w:val="52"/>
    </w:rPr>
  </w:style>
  <w:style w:type="paragraph" w:customStyle="1" w:styleId="Default">
    <w:name w:val="Default"/>
    <w:rsid w:val="007A3661"/>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r="http://schemas.openxmlformats.org/officeDocument/2006/relationships" xmlns:w="http://schemas.openxmlformats.org/wordprocessingml/2006/main">
  <w:divs>
    <w:div w:id="1088649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8</Pages>
  <Words>2031</Words>
  <Characters>11577</Characters>
  <Application>Microsoft Office Word</Application>
  <DocSecurity>0</DocSecurity>
  <Lines>96</Lines>
  <Paragraphs>27</Paragraphs>
  <ScaleCrop>false</ScaleCrop>
  <Company/>
  <LinksUpToDate>false</LinksUpToDate>
  <CharactersWithSpaces>13581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Reshad</dc:creator>
  <cp:keywords/>
  <dc:description/>
  <cp:lastModifiedBy>Reshad</cp:lastModifiedBy>
  <cp:revision>6</cp:revision>
  <dcterms:created xsi:type="dcterms:W3CDTF">2025-12-10T23:17:00Z</dcterms:created>
  <dcterms:modified xsi:type="dcterms:W3CDTF">2025-12-10T23:27:00Z</dcterms:modified>
</cp:coreProperties>
</file>