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3921E43" w:rsidP="63921E43" w:rsidRDefault="63921E43" w14:paraId="338E31A6" w14:textId="5010EFA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3E4B8FAF" w14:textId="4D1B00E2">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  </w:t>
      </w:r>
    </w:p>
    <w:p w:rsidR="63921E43" w:rsidP="63921E43" w:rsidRDefault="63921E43" w14:paraId="57CB3416" w14:textId="151B14EF">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the case of Tweddle v Atkinson (1861), it was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the general rule under the doctrine of privity is that if a party has not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consideration for an agreement, they cannot sue to enforce that contract or be sued under it. This is reinforced within the case of Dunlop Pneumatic Tyre Co Ltd v Selfridge &amp; Co Ltd (1915), where the court found that only parties to a contract can sue or be sued upon it. However, there are exceptions, such as third parties can sue manufacturers for faulty goods, though they are not parties to the original contract. Furthermore, Practical Law (2022) states that the UK Contracts (Rights of Third Parties) Act 1999 refined the privity of contract rule, giving someone who is not a party to a contract, a right to enforce a term of that contract in specific circumstances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3EA60427" w14:textId="4B4DEA9C">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54F462A1" w14:textId="2F42738E">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  </w:t>
      </w:r>
    </w:p>
    <w:p w:rsidR="63921E43" w:rsidP="63921E43" w:rsidRDefault="63921E43" w14:paraId="2D46D9CD" w14:textId="4685573E">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 the case of Currie V Misa (1874), the court held that consideration must ‘’consist of either of some right, interest, profit, or benefit accruing to the one party or some forbearance, detriment, loss or responsibility, given, suffered or undertaken by the other’</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Poole, 2012). </w:t>
      </w:r>
    </w:p>
    <w:p w:rsidR="63921E43" w:rsidP="63921E43" w:rsidRDefault="63921E43" w14:paraId="766C060A" w14:textId="3074A784">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However, a promise or an act that was made or performed prior to a contract is considered past consideration. Past consideration is not considered valid consideration as it ‘’is not given in exchange for the intended promise’’ (Ashley, 1913). </w:t>
      </w:r>
    </w:p>
    <w:p w:rsidR="63921E43" w:rsidP="63921E43" w:rsidRDefault="63921E43" w14:paraId="3E672B2F" w14:textId="6DD4BC68">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However, there is an exception to the doctrine of past consideration; the doctrine of implied assumpsit. The doctrine of implied assumpsit applies when someone is asked to carry out a service and the service is usually paid for, and therefore it is assumed it will be paid for. Thus, there is consideration in the form of an ‘’implied promised to pay at a reasonable rate’’ (Croner-I, 2022)</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04B2C4DC" w14:textId="0C85C0D6">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exception to the doctrine of past consideration was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the case of Lampleigh v Braithwaite (1615). The court held that if a party does something at the request of another party, and the same party later promises something in return for the other parties' trouble, then that promise is considered good consideration. This is because the </w:t>
      </w:r>
      <w:proofErr w:type="gramStart"/>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later promise</w:t>
      </w:r>
      <w:proofErr w:type="gramEnd"/>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is considered a part of the same single transaction and thus is enforceable</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68A41A0E" w14:textId="0CF7BE66">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doctrine of implied assumpsit also applies in the case of Pao On v Lau Yin Long (1980). The court held that an act performed before a promise is made can sometimes be valid consideration if the act is done at the promisor's request, and all parties understood that the act would be reimbursed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472A087C" w14:textId="76622843">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Therefore, past consideration does not amount to good consideration unless it falls within the doctrine of implied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assumpsit</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313A0E21" w14:textId="489DB550">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4FE5C27D" w14:textId="571654A8">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59803FC7" w14:textId="73D6EA1D">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2E2E5393" w14:textId="13B52388">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  </w:t>
      </w:r>
    </w:p>
    <w:p w:rsidR="63921E43" w:rsidP="63921E43" w:rsidRDefault="63921E43" w14:paraId="5EA2EDC3" w14:textId="4B197616">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3FC1B483" w14:textId="60F04651">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case of Cutter v Powell (1795) established that if the price is payable on completion of the contract, then to be paid as promised, completion is required. However, this rule has been mitigated through exceptions.  </w:t>
      </w:r>
    </w:p>
    <w:p w:rsidR="63921E43" w:rsidP="63921E43" w:rsidRDefault="63921E43" w14:paraId="4A879429" w14:textId="150EDE5A">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the case of Hoeing v Isaac (1952), the entire performance rule was mitigated by the ‘sustainable performance’ exception. This is where the party can sue for the contract price if they have completed the contract’s main purpose.  </w:t>
      </w:r>
    </w:p>
    <w:p w:rsidR="63921E43" w:rsidP="63921E43" w:rsidRDefault="63921E43" w14:paraId="264D9AC6" w14:textId="73F84DCD">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Additionally, the entire performance rule was mitigated by the possibility of making a claim in restitution for payment for the partial performance of a contract. In Sumpter v Hedges (1898) it was determined that when one party agrees to accept partial performance, then a sum is payable for the work completed. Additionally, in the case of Simantob v Shavleyan (2019) the court held that on the arrangement to perform partial performance of a contract, parties should consider and specify where that agreement is intended to discharge the original obligations of the parties. As well as this, the terms of the contract that allows part performance should be signed as a deed to avoid any uncertainty about whether there is good consideration. Moreover, if the underlying contractual obligation is disputed, it may be argued that the agreement to make part performance was supported by good consideration.  </w:t>
      </w:r>
    </w:p>
    <w:p w:rsidR="63921E43" w:rsidP="63921E43" w:rsidRDefault="63921E43" w14:paraId="5A2C7F0D" w14:textId="22A8E083">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Furthermore, there is an exception to the entire performance rule in severable contracts. Severable contracts are contracts with ‘’two or more agreements that are distinct enough to where the unenforceability or breach of one does not nullify the enforceability of another’’ (Cornell Law School, 2022). In the case of Ritchie V Atkinson (1808), the court held that as the contract between the parties could be divided into separate parts, the claimant was entitled to payment for the work carried out.  </w:t>
      </w:r>
    </w:p>
    <w:p w:rsidR="63921E43" w:rsidP="63921E43" w:rsidRDefault="63921E43" w14:paraId="0A7FCCA0" w14:textId="2E2AC7FB">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3A7283C8" w14:textId="6DF1A562">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  </w:t>
      </w:r>
    </w:p>
    <w:p w:rsidR="63921E43" w:rsidP="63921E43" w:rsidRDefault="63921E43" w14:paraId="3AB27114" w14:textId="7FB96426">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Phillips (1978) states that a contract can only exist when there is an intention to create legal relations, where there is an offer to do or refrain from doing an act, acceptance of that offer, and valid consideration between parties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6C78E3AF" w14:textId="7E1AB98D">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On the first of May, Arthur posted an advert selling his Antique Rolex watch. In the case of Partridge v Crittenden (1968), the court held that advertisements are considered an invitation to treat and not an offer. Therefore, an invitation to treat cannot be accepted. Consequently, an offer must be placed and then accepted for an invitation to treat to result in a valid agreement. </w:t>
      </w:r>
    </w:p>
    <w:p w:rsidR="63921E43" w:rsidP="63921E43" w:rsidRDefault="63921E43" w14:paraId="0C6FC810" w14:textId="03547744">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Moreover, advertisements of a bilateral contract are considered invitations to treat. As the advertisement for the sale of the Rolex watch is a two-way exchange of money for the sale of the watch, it is considered a bilateral contract. Additionally, in the case of Clifton v Palumbo (1944), a mere statement of price was not considered an offer. Therefore, although Arthur states in his advertisement that he is prepared to sell his watch for £15000, it is an invitation to treat, not an offer. Consequently, the advertisement of the Antique Rolex watch was an invitation to treat and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thus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can be viewed as an invite to an offer or an invitation to negotiate</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20927A87" w14:textId="516400E2">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As a result of Arthur's advertisement being an invitation to treat, Ben’s postal offer on the Fourth of May of £15000 for Arthur’s watch, must be accepted by Arthur for a valid agreement to take place. Although in the case of Adams v Lindsell (1818) it is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acceptance takes effect on posting, the contract is made at the time of posting and therefore, takes priority over another contract made after the original acceptance is posted. As Arthur's advertisement was an invitation to treat, not an offer, it cannot be accepted for a valid agreement to take place. Therefore, the postal rule does not apply and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consequently</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Ben has posted an offer, not acceptance</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76458EDA" w14:textId="294E4E7D">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 Arthur does not accept Ben’s offer, no valid agreement takes place between Arthur and Ben. Thus, no valid contract was created between Arthur and Ben through Ben's letter</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1F3EED30" w14:textId="74EC04C2">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On the fifth of May, Christine offered £11,000 for Arthur's £15,000 watch. On the same day, Arthur responded to Christine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stating</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he is willing to accept £13,000 for his watch. In the case of Hyde v Wrench (1840), it is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an offer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containing</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new terms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has the same effect as rejecting the original offer and thus ends the original offer. As Arthur responded to Christine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stating</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he is willing to accept £13,000, not £11,000, he has created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new terms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rejecting, and ending Christine’s offer. Additionally, in the case of Pickfords Ltd v Celestica Ltd (2003) the court held that by the offeror making a second offer to the same offeree, it could imply that the first offer is revoked although not specifically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Therefore, although not specifically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Arthur has rejected Christine's offer of £11,000 for his watch</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723E80FF" w14:textId="7FD024FB">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Christine then responded to Arthur's counteroffer,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stating</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she is willing to pay £11,000 and then the remaining £2000 later. Although this offer amounts to the £13000 Arthur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he is willing to accept for his watch, Christine's offer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contains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new terms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therefore, does not follow the mirror image rule. Consequently, Christine’s offer is not acceptance but is considered rejection of the original offer, as a counteroffer has been made, as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the case of Hyde v Wrench (1840). Moreover, Arthur does not accept Christine's offer. As a result of this, no valid acceptance or agreement takes place between Arthur and Christine on the fifth of May</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3686C38C" w14:textId="5D951363">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On the sixth of May, Christine offered to pay Arthur the full £13000. However, as Christine on the fifth of May offered a counteroffer to Arthur, rejecting and ending Arthur's original offer of £13000, this is not considered acceptance.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However, it</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is considered a new offer to Arthur, to which he must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accepted for</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valid agreement to take place. </w:t>
      </w:r>
    </w:p>
    <w:p w:rsidR="63921E43" w:rsidP="63921E43" w:rsidRDefault="63921E43" w14:paraId="70900092" w14:textId="19DEC78D">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As Arthur does not accept Christine’s offer of £13000 for his watch, no valid agreement, acceptance, or contract is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between Arthur and Christine on the sixth of May</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67D6E0E9" w14:textId="494EDC05">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Moreover, on the Sixth of May, Dennis emailed Arthur conveying his interest in his watch. Arthur responded, clearly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stating</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he is willing to sell his watch for £13000. In the case of Clifton v Palumbo (1944) it is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an offer reveals the offeror’s intention to create a legally binding contract and therefore, a valid contract would be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if the offeree accepts. Hence, Arthur's response to Dennis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he has the intention to create a legally binding contract</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7F597935" w14:textId="153E7C35">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Dennis then responded on the same day, agreeing to Arthur's offer of £13000 for his watch. In the case of Blue v Ashley (2017), the court held that there is no intention to create legal relations through vague language or a social context. As the email from Dennis was not through a social context and his language was clear when accepting Arthur’s offer, it is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demonstrated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there is an intention to create legal relations on both Arthurs and Dennis’s part. Additionally, in the case of Clifton v Palumbo (1944), the court held that a valid contract is concluded if the offeree accepts the offeror's offer, to which Dennis does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4ACDA3BA" w14:textId="6E1E0E99">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addition, in the case of Gibson v Manchester city council (1979), the House of Lords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agreement exists when a clear offer is made mirrored with clear acceptance. Arthur clearly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he is willing to sell his Rolex watch for £13000, to which Dennis agreed to pay with no modifications. As well as this, as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the Entores v Miles Far East Corporation (1955) case, acceptance must be fully communicated to be valid, which Dennis does through email. Therefore, there is a valid agreement between Arthur and Dennis. Additionally, Arthur made the offer to sell his watch for £13000 to Dennis, to which he accepted, creating a valid agreement, as the invitation to treat resulted in an offer being made and then acceptance</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0753D025" w14:textId="5871576E">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Moreover, in the case of Brinkibon Ltd v Stahag Stahl (1983), the court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deemed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acceptance sent by instantaneous forms of communication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is</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effective from when they are received, rather than from when they are sent. As Arthur is using a personal email to which he would have access at all hours, and Dennis replied to Arthur's email at a reasonable time of day, Dennis's acceptance was valid when received at five o'clock on the sixth of May</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1AB0C1A2" w14:textId="32DC5148">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Furthermore, within the agreement between Arthur and Dennis, there is valid consideration. In the case of Currie v Misa (1875), consideration is described as something of value or benefit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accruing</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one party or some loss or responsibility given, suffered, or undertaken by the other. Therefore, the consideration between Arthur and Dennis is the promise to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provide</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watch in exchange for the promise of payment of £13000, also known as executory consideration. Additionally, in the case of Chappel and Co Ltd v Nestle Ltd (1959), the court held that consideration did not need to be adequate but must be of sufficient value, and therefore must be of some legal worth, to which the exchange of the watch for £13000 acts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 accordance with</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Moreover, in the case of Thomas v Thomas (1842), it is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established</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consideration is something that has value in the eyes of the law, to which the watch and the £13000 both have. Therefore, there is valid consideration exchanged between Dennis and Arthur</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2955F27B" w14:textId="06FC90E8">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Consequently, Arthur and Dennis have all the elements for a valid contract to be formed: a valid offer, valid acceptance of that offer, valid consideration, and intention to create legal relations. Therefore, a valid contract exists between Dennis and Arthur for the sale of Arthur's watch</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3921E43" w:rsidP="63921E43" w:rsidRDefault="63921E43" w14:paraId="0AC116E2" w14:textId="78A61705">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However, in the case of Stevenson Jaques and Co. V McLean (1880), the court ruled that inquiring for more information to see if an offer could be changed, is not a counteroffer if there is no specific wording that indicates that a counteroffer is being made. Therefore, the courts could consider Christine’s email on the Fifth of May to pay £11000 now, and then £2000 later for Arthur's watch as a request for information, not a counteroffer. This would then mean Arthur’s offer of £13000 for his watch to Christine on the fifth of May, remained open and did not end. Consequently, Christine’s email on the sixth of May would be considered valid acceptance. Therefore, a valid contract would exist between Arthur and Christine, as Arthur and Christine would also have all the elements of a valid contract.</w:t>
      </w:r>
    </w:p>
    <w:p w:rsidR="63921E43" w:rsidP="63921E43" w:rsidRDefault="63921E43" w14:paraId="012F2303" w14:textId="5F73F139">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30920002" w14:textId="6F95B4B6">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64166E05" w14:textId="62D8E3DB">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4808295F" w14:textId="0852A9A5">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56E364B1" w14:textId="28DCC29C">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627875CB" w14:textId="5BEFFC17">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2FE8114A" w14:textId="60236277">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0001C240" w14:textId="31EAAE49">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17379FDD" w14:textId="1A7269AD">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7A40DE35" w14:textId="3588EDA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27D82239" w14:textId="308153B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22891450" w14:textId="4EF667E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01E5C009" w14:textId="2B6A41D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3432F796" w14:textId="6A0A3A9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5B17947C" w14:textId="5F5791D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6FD4E8B1" w14:textId="4D66A5B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73D3670C" w14:textId="213F37C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0EC34750" w14:textId="67B24A7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3921E43" w:rsidP="63921E43" w:rsidRDefault="63921E43" w14:paraId="181D26C5" w14:textId="776AE788">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p>
    <w:p w:rsidR="63921E43" w:rsidP="63921E43" w:rsidRDefault="63921E43" w14:paraId="54A8D5C9" w14:textId="6197CCCF">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p>
    <w:p w:rsidR="63921E43" w:rsidP="63921E43" w:rsidRDefault="63921E43" w14:paraId="7FB6AE33" w14:textId="76A34634">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p>
    <w:p w:rsidR="63921E43" w:rsidP="63921E43" w:rsidRDefault="63921E43" w14:paraId="68DEE1E0" w14:textId="32E61B39">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p>
    <w:p w:rsidR="63921E43" w:rsidP="63921E43" w:rsidRDefault="63921E43" w14:paraId="1499B00C" w14:textId="5889783C">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p>
    <w:p w:rsidR="63921E43" w:rsidP="63921E43" w:rsidRDefault="63921E43" w14:paraId="3083BBAE" w14:textId="5D3DD860">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p>
    <w:p w:rsidR="63921E43" w:rsidP="63921E43" w:rsidRDefault="63921E43" w14:paraId="055F05E1" w14:textId="40E3BCA3">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p>
    <w:p w:rsidR="63921E43" w:rsidP="63921E43" w:rsidRDefault="63921E43" w14:paraId="7FFA7849" w14:textId="22FC23D8">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p>
    <w:p w:rsidR="63921E43" w:rsidP="63921E43" w:rsidRDefault="63921E43" w14:paraId="0753C248" w14:textId="7443D02A">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t>Reference List</w:t>
      </w:r>
    </w:p>
    <w:p xmlns:wp14="http://schemas.microsoft.com/office/word/2010/wordml" w:rsidP="63921E43" w14:paraId="55A54024" wp14:textId="75F0A6B8">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4471C4" w:themeColor="accent1" w:themeTint="99" w:themeShade="FF"/>
          <w:sz w:val="24"/>
          <w:szCs w:val="24"/>
          <w:lang w:val="en-US"/>
        </w:rPr>
      </w:pPr>
    </w:p>
    <w:p xmlns:wp14="http://schemas.microsoft.com/office/word/2010/wordml" w:rsidP="63921E43" w14:paraId="242A2DA7" wp14:textId="2FBDC688">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4471C4" w:themeColor="accent1" w:themeTint="99" w:themeShade="FF"/>
          <w:sz w:val="24"/>
          <w:szCs w:val="24"/>
          <w:lang w:val="en-US"/>
        </w:rPr>
      </w:pPr>
    </w:p>
    <w:p xmlns:wp14="http://schemas.microsoft.com/office/word/2010/wordml" w:rsidP="63921E43" w14:paraId="2C078E63" wp14:textId="75E39706">
      <w:pPr>
        <w:pStyle w:val="Normal"/>
        <w:rPr>
          <w:rFonts w:ascii="Calibri" w:hAnsi="Calibri" w:eastAsia="Calibri" w:cs="Calibri" w:asciiTheme="minorAscii" w:hAnsiTheme="minorAscii" w:eastAsiaTheme="minorAscii" w:cstheme="minorAscii"/>
          <w:b w:val="1"/>
          <w:bCs w:val="1"/>
          <w:sz w:val="24"/>
          <w:szCs w:val="24"/>
        </w:rPr>
      </w:pPr>
      <w:r w:rsidRPr="63921E43" w:rsidR="63921E43">
        <w:rPr>
          <w:rFonts w:ascii="Calibri" w:hAnsi="Calibri" w:eastAsia="Calibri" w:cs="Calibri" w:asciiTheme="minorAscii" w:hAnsiTheme="minorAscii" w:eastAsiaTheme="minorAscii" w:cstheme="minorAscii"/>
          <w:b w:val="1"/>
          <w:bCs w:val="1"/>
          <w:sz w:val="24"/>
          <w:szCs w:val="24"/>
        </w:rPr>
        <w:t xml:space="preserve">Academic Literature References </w:t>
      </w:r>
    </w:p>
    <w:p w:rsidR="63921E43" w:rsidP="63921E43" w:rsidRDefault="63921E43" w14:paraId="4B8A1D7F" w14:textId="1CD4E281">
      <w:pPr>
        <w:rPr>
          <w:rFonts w:ascii="Calibri" w:hAnsi="Calibri" w:eastAsia="Calibri" w:cs="Calibri" w:asciiTheme="minorAscii" w:hAnsiTheme="minorAscii" w:eastAsiaTheme="minorAscii" w:cstheme="minorAscii"/>
          <w:b w:val="0"/>
          <w:bC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noProof w:val="0"/>
          <w:color w:val="auto"/>
          <w:sz w:val="24"/>
          <w:szCs w:val="24"/>
          <w:lang w:val="en-US"/>
        </w:rPr>
        <w:t>Ashley, D. (1913) ‘The Doctrine of Consideration’,</w:t>
      </w:r>
      <w:r w:rsidRPr="63921E43" w:rsidR="63921E43">
        <w:rPr>
          <w:rFonts w:ascii="Calibri" w:hAnsi="Calibri" w:eastAsia="Calibri" w:cs="Calibri" w:asciiTheme="minorAscii" w:hAnsiTheme="minorAscii" w:eastAsiaTheme="minorAscii" w:cstheme="minorAscii"/>
          <w:b w:val="0"/>
          <w:bCs w:val="0"/>
          <w:noProof w:val="0"/>
          <w:color w:val="auto"/>
          <w:sz w:val="24"/>
          <w:szCs w:val="24"/>
          <w:lang w:val="en-US"/>
        </w:rPr>
        <w:t xml:space="preserve"> </w:t>
      </w:r>
      <w:r w:rsidRPr="63921E43" w:rsidR="63921E43">
        <w:rPr>
          <w:rFonts w:ascii="Calibri" w:hAnsi="Calibri" w:eastAsia="Calibri" w:cs="Calibri" w:asciiTheme="minorAscii" w:hAnsiTheme="minorAscii" w:eastAsiaTheme="minorAscii" w:cstheme="minorAscii"/>
          <w:b w:val="0"/>
          <w:bCs w:val="0"/>
          <w:i w:val="1"/>
          <w:iCs w:val="1"/>
          <w:noProof w:val="0"/>
          <w:color w:val="auto"/>
          <w:sz w:val="24"/>
          <w:szCs w:val="24"/>
          <w:lang w:val="en-US"/>
        </w:rPr>
        <w:t xml:space="preserve">Harvard Law </w:t>
      </w:r>
      <w:r w:rsidRPr="63921E43" w:rsidR="63921E43">
        <w:rPr>
          <w:rFonts w:ascii="Calibri" w:hAnsi="Calibri" w:eastAsia="Calibri" w:cs="Calibri" w:asciiTheme="minorAscii" w:hAnsiTheme="minorAscii" w:eastAsiaTheme="minorAscii" w:cstheme="minorAscii"/>
          <w:b w:val="0"/>
          <w:bCs w:val="0"/>
          <w:i w:val="1"/>
          <w:iCs w:val="1"/>
          <w:noProof w:val="0"/>
          <w:color w:val="auto"/>
          <w:sz w:val="24"/>
          <w:szCs w:val="24"/>
          <w:lang w:val="en-US"/>
        </w:rPr>
        <w:t>Review</w:t>
      </w:r>
      <w:r w:rsidRPr="63921E43" w:rsidR="63921E43">
        <w:rPr>
          <w:rFonts w:ascii="Calibri" w:hAnsi="Calibri" w:eastAsia="Calibri" w:cs="Calibri" w:asciiTheme="minorAscii" w:hAnsiTheme="minorAscii" w:eastAsiaTheme="minorAscii" w:cstheme="minorAscii"/>
          <w:b w:val="0"/>
          <w:bCs w:val="0"/>
          <w:noProof w:val="0"/>
          <w:color w:val="auto"/>
          <w:sz w:val="24"/>
          <w:szCs w:val="24"/>
          <w:lang w:val="en-US"/>
        </w:rPr>
        <w:t>, 26</w:t>
      </w:r>
      <w:r w:rsidRPr="63921E43" w:rsidR="63921E43">
        <w:rPr>
          <w:rFonts w:ascii="Calibri" w:hAnsi="Calibri" w:eastAsia="Calibri" w:cs="Calibri" w:asciiTheme="minorAscii" w:hAnsiTheme="minorAscii" w:eastAsiaTheme="minorAscii" w:cstheme="minorAscii"/>
          <w:b w:val="0"/>
          <w:bCs w:val="0"/>
          <w:noProof w:val="0"/>
          <w:color w:val="auto"/>
          <w:sz w:val="24"/>
          <w:szCs w:val="24"/>
          <w:lang w:val="en-US"/>
        </w:rPr>
        <w:t xml:space="preserve">(5), pp. 429–436. </w:t>
      </w:r>
      <w:hyperlink r:id="R2039c3d135584aeb">
        <w:r w:rsidRPr="63921E43" w:rsidR="63921E43">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https://doi.org/10.2307/1326089</w:t>
        </w:r>
      </w:hyperlink>
      <w:r w:rsidRPr="63921E43" w:rsidR="63921E43">
        <w:rPr>
          <w:rFonts w:ascii="Calibri" w:hAnsi="Calibri" w:eastAsia="Calibri" w:cs="Calibri" w:asciiTheme="minorAscii" w:hAnsiTheme="minorAscii" w:eastAsiaTheme="minorAscii" w:cstheme="minorAscii"/>
          <w:b w:val="0"/>
          <w:bCs w:val="0"/>
          <w:noProof w:val="0"/>
          <w:color w:val="auto"/>
          <w:sz w:val="24"/>
          <w:szCs w:val="24"/>
          <w:lang w:val="en-US"/>
        </w:rPr>
        <w:t xml:space="preserve">. </w:t>
      </w:r>
    </w:p>
    <w:p w:rsidR="4D30D988" w:rsidP="63921E43" w:rsidRDefault="4D30D988" w14:paraId="30F04987" w14:textId="3AE8E32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Cornell Law School (2022) </w:t>
      </w:r>
      <w:r w:rsidRPr="63921E43" w:rsidR="4D30D988">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Severable Contract</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Available at: </w:t>
      </w:r>
      <w:hyperlink w:anchor=":~:text=A%20severable%20contract%20is%20a,cannot%20recover%20for%20part%20performance" r:id="Rba09c4cdf09941c9">
        <w:r w:rsidRPr="63921E43" w:rsidR="4D30D98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https://www.law.cornell.edu/wex/severable_contract#:~:text=A%20severable%20contract%20is%20a,cannot%20recover%20for%20part%20performance</w:t>
        </w:r>
      </w:hyperlink>
      <w:r w:rsidRPr="63921E43" w:rsidR="4D30D98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(Accessed: 21 February 2022).</w:t>
      </w:r>
    </w:p>
    <w:p w:rsidR="4D30D988" w:rsidP="63921E43" w:rsidRDefault="4D30D988" w14:paraId="2C30BD0A" w14:textId="22F205A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Croner-I (2022) </w:t>
      </w:r>
      <w:r w:rsidRPr="63921E43" w:rsidR="4D30D98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Implied Contractual Terms. </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Available at: </w:t>
      </w:r>
      <w:hyperlink r:id="Rb63c6e49d4234f46">
        <w:r w:rsidRPr="63921E43" w:rsidR="4D30D98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https://app.croneri.co.uk/feature-articles/implied-contractual-terms</w:t>
        </w:r>
      </w:hyperlink>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(Accessed: 21 February 2022).</w:t>
      </w:r>
    </w:p>
    <w:p w:rsidR="63921E43" w:rsidP="63921E43" w:rsidRDefault="63921E43" w14:paraId="1D8EF5AB" w14:textId="44CEE8B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Practical Law</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(2022) </w:t>
      </w:r>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Privity of Contract.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Available at: </w:t>
      </w:r>
      <w:hyperlink r:id="R0bc8a5eb107e4413">
        <w:r w:rsidRPr="63921E43" w:rsidR="63921E43">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https://uk.practicallaw.thomsonreuters.com/8-107-7056?transitionType=Default&amp;contextData=(sc.Default</w:t>
        </w:r>
      </w:hyperlink>
      <w:r w:rsidRPr="63921E43" w:rsidR="63921E4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(Accessed: 21 February 2022).</w:t>
      </w:r>
    </w:p>
    <w:p w:rsidR="63921E43" w:rsidP="63921E43" w:rsidRDefault="63921E43" w14:paraId="39A36167" w14:textId="1294904F">
      <w:pPr>
        <w:pStyle w:val="Normal"/>
        <w:spacing w:after="160" w:line="259" w:lineRule="auto"/>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Phillips, J. (1978) ‘Offer and Acceptance from Felthouse to Council House’, </w:t>
      </w:r>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Dublin ULJ</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2</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p.36</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Available at: </w:t>
      </w:r>
      <w:hyperlink r:id="R1106a9ff72d04ff7">
        <w:r w:rsidRPr="63921E43" w:rsidR="63921E43">
          <w:rPr>
            <w:rStyle w:val="Hyperlink"/>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https://heinonline.org/HOL/LandingPage?handle=hein.journals/dubulj2&amp;div=10&amp;id=&amp;page=</w:t>
        </w:r>
      </w:hyperlink>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Accessed: 25 February 2022).</w:t>
      </w:r>
    </w:p>
    <w:p w:rsidR="63921E43" w:rsidP="63921E43" w:rsidRDefault="63921E43" w14:paraId="06AA025D" w14:textId="02B7355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Poole,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J.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2012) </w:t>
      </w:r>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Textbook on Contract Law. 13</w:t>
      </w:r>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vertAlign w:val="superscript"/>
          <w:lang w:val="en-US"/>
        </w:rPr>
        <w:t>th</w:t>
      </w:r>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w:t>
      </w:r>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edn</w:t>
      </w:r>
      <w:r w:rsidRPr="63921E43" w:rsidR="63921E4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w:t>
      </w: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Oxford: Oxford University Press.</w:t>
      </w:r>
    </w:p>
    <w:p w:rsidR="63921E43" w:rsidP="63921E43" w:rsidRDefault="63921E43" w14:paraId="50C5F7A4" w14:textId="6B0A1E9E">
      <w:pPr>
        <w:pStyle w:val="Normal"/>
        <w:bidi w:val="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pPr>
    </w:p>
    <w:p w:rsidR="63921E43" w:rsidP="63921E43" w:rsidRDefault="63921E43" w14:paraId="38331EE6" w14:textId="203303B1">
      <w:pPr>
        <w:pStyle w:val="Normal"/>
        <w:rPr>
          <w:rFonts w:ascii="Calibri" w:hAnsi="Calibri" w:eastAsia="Calibri" w:cs="Calibri" w:asciiTheme="minorAscii" w:hAnsiTheme="minorAscii" w:eastAsiaTheme="minorAscii" w:cstheme="minorAscii"/>
          <w:b w:val="1"/>
          <w:bCs w:val="1"/>
          <w:sz w:val="24"/>
          <w:szCs w:val="24"/>
        </w:rPr>
      </w:pPr>
      <w:r w:rsidRPr="63921E43" w:rsidR="63921E43">
        <w:rPr>
          <w:rFonts w:ascii="Calibri" w:hAnsi="Calibri" w:eastAsia="Calibri" w:cs="Calibri" w:asciiTheme="minorAscii" w:hAnsiTheme="minorAscii" w:eastAsiaTheme="minorAscii" w:cstheme="minorAscii"/>
          <w:b w:val="1"/>
          <w:bCs w:val="1"/>
          <w:sz w:val="24"/>
          <w:szCs w:val="24"/>
        </w:rPr>
        <w:t xml:space="preserve">Case Law References </w:t>
      </w:r>
    </w:p>
    <w:p w:rsidR="4D30D988" w:rsidP="63921E43" w:rsidRDefault="4D30D988" w14:paraId="65357AD8" w14:textId="09EEDB0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Adams v Lindsell [1818] 106 ER 250</w:t>
      </w:r>
    </w:p>
    <w:p w:rsidR="4D30D988" w:rsidP="63921E43" w:rsidRDefault="4D30D988" w14:paraId="393C1A99" w14:textId="7FDAC24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Brinkibon</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Ltd v </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Stahag</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Stahl [1983] 2 AC 34</w:t>
      </w:r>
    </w:p>
    <w:p w:rsidR="4D30D988" w:rsidP="63921E43" w:rsidRDefault="4D30D988" w14:paraId="1BE5ABCB" w14:textId="1066381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Blue v Ashley [2017] EWHC 1928</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4D30D988" w:rsidP="63921E43" w:rsidRDefault="4D30D988" w14:paraId="1A7AA7EE" w14:textId="17B6A13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Chappell &amp; Co Ltd v Nestle Co Ltd [1959] UKHL 1</w:t>
      </w:r>
    </w:p>
    <w:p w:rsidR="4D30D988" w:rsidP="63921E43" w:rsidRDefault="4D30D988" w14:paraId="5E2B0BDF" w14:textId="488B67BA">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Clifton v Palumbo</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[1944] 2 ALL ER 497</w:t>
      </w:r>
    </w:p>
    <w:p w:rsidR="4D30D988" w:rsidP="63921E43" w:rsidRDefault="4D30D988" w14:paraId="4AC061C8" w14:textId="2EB32757">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Currie v Misa [1875] LR 10 Ex 153</w:t>
      </w:r>
    </w:p>
    <w:p w:rsidR="4D30D988" w:rsidP="63921E43" w:rsidRDefault="4D30D988" w14:paraId="1AA59646" w14:textId="3A6FEA2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Cutter v Powell [1795] 6 TR 320</w:t>
      </w:r>
    </w:p>
    <w:p w:rsidR="63921E43" w:rsidP="63921E43" w:rsidRDefault="63921E43" w14:paraId="66126C74" w14:textId="18AAA74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Dunlop Pneumatic Tyre Co Ltd v Selfridge &amp; Co Ltd [1915] AC 847</w:t>
      </w:r>
    </w:p>
    <w:p w:rsidR="4D30D988" w:rsidP="63921E43" w:rsidRDefault="4D30D988" w14:paraId="6A5ACF81" w14:textId="4B04BDF1">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Entores v Miles Far East corporation [1955] 2 QQB 327</w:t>
      </w:r>
    </w:p>
    <w:p w:rsidR="4D30D988" w:rsidP="63921E43" w:rsidRDefault="4D30D988" w14:paraId="0D125A77" w14:textId="6FFB91B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Gibson v Manchester city council [1979</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1</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WLR 294</w:t>
      </w:r>
    </w:p>
    <w:p w:rsidR="4D30D988" w:rsidP="63921E43" w:rsidRDefault="4D30D988" w14:paraId="46C64E5F" w14:textId="7207284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Hoeing v Isaacs [1952] 2 All ER 176</w:t>
      </w:r>
    </w:p>
    <w:p w:rsidR="4D30D988" w:rsidP="63921E43" w:rsidRDefault="4D30D988" w14:paraId="41BEC408" w14:textId="0E81D69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Hyde v Wrench [1840] 49 ER 132</w:t>
      </w:r>
    </w:p>
    <w:p w:rsidR="63921E43" w:rsidP="63921E43" w:rsidRDefault="63921E43" w14:paraId="2A719B9C" w14:textId="5C21238C">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Lampleigh v Braithwaite [1615] Hob 105</w:t>
      </w:r>
    </w:p>
    <w:p w:rsidR="4D30D988" w:rsidP="63921E43" w:rsidRDefault="4D30D988" w14:paraId="554273C7" w14:textId="55C90F3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Pao On v Lau Yiu Long [1980] AC 614</w:t>
      </w:r>
    </w:p>
    <w:p w:rsidR="4D30D988" w:rsidP="63921E43" w:rsidRDefault="4D30D988" w14:paraId="32B642AC" w14:textId="4CEF7FF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Partridge v Crittenden [1968] 2 ALL ER 421</w:t>
      </w:r>
    </w:p>
    <w:p w:rsidR="4D30D988" w:rsidP="63921E43" w:rsidRDefault="4D30D988" w14:paraId="6F902D23" w14:textId="5F038AF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Pickfords Ltd v Celestica Ltd [2003] EWCA Civ 1741</w:t>
      </w:r>
    </w:p>
    <w:p w:rsidR="4D30D988" w:rsidP="63921E43" w:rsidRDefault="4D30D988" w14:paraId="26173544" w14:textId="5664D959">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Ritchie v Atkinson</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[1808] 10 East 295</w:t>
      </w:r>
    </w:p>
    <w:p w:rsidR="4D30D988" w:rsidP="63921E43" w:rsidRDefault="4D30D988" w14:paraId="134F335F" w14:textId="1E4CCCC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Simantob</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v </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Shavleyan</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[2019] EWCA Civ 1105</w:t>
      </w:r>
    </w:p>
    <w:p w:rsidR="63921E43" w:rsidP="63921E43" w:rsidRDefault="63921E43" w14:paraId="1013D272" w14:textId="4EE55004">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US"/>
        </w:rPr>
        <w:t>Stevenson Jaques &amp; Co. v McLean [1880] 5 QBD 346</w:t>
      </w:r>
    </w:p>
    <w:p w:rsidR="4D30D988" w:rsidP="63921E43" w:rsidRDefault="4D30D988" w14:paraId="4F8B64B0" w14:textId="414A218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Sumpter v Hedges</w:t>
      </w: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[1898] 1 QB 673</w:t>
      </w:r>
    </w:p>
    <w:p w:rsidR="4D30D988" w:rsidP="63921E43" w:rsidRDefault="4D30D988" w14:paraId="47CF1394" w14:textId="04FC3ED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Taylor v Laird [1856] 25 LJ Ex 329</w:t>
      </w:r>
    </w:p>
    <w:p w:rsidR="4D30D988" w:rsidP="63921E43" w:rsidRDefault="4D30D988" w14:paraId="1168C4BA" w14:textId="0D4D606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3921E43" w:rsidR="4D30D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Thomas v Thomas [1842] 2 QB 851;114 ER 330</w:t>
      </w:r>
    </w:p>
    <w:p w:rsidR="63921E43" w:rsidP="63921E43" w:rsidRDefault="63921E43" w14:paraId="7DDDBC32" w14:textId="4366675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3921E43" w:rsidR="63921E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Tweddle v Atkinson [1861] 1 B&amp;S 393</w:t>
      </w:r>
    </w:p>
    <w:p w:rsidR="63921E43" w:rsidP="63921E43" w:rsidRDefault="63921E43" w14:paraId="1F8F3F64" w14:textId="4BF81C9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0"/>
      </oel:ext>
    </int:extLst>
  </int:IntelligenceSettings>
  <int:Manifest>
    <int:ParagraphRange paragraphId="455029526" textId="1018344713" start="712" length="5" invalidationStart="712" invalidationLength="5" id="nwCB0WfN"/>
    <int:WordHash hashCode="izCP/yCSxdXjVb" id="NquWJf0W"/>
    <int:ParagraphRange paragraphId="1506110850" textId="1397270390" start="84" length="4" invalidationStart="84" invalidationLength="4" id="QWaGWXPs"/>
    <int:WordHash hashCode="TkBUtZrkGIB0xq" id="3dMPykNs"/>
    <int:ParagraphRange paragraphId="385891138" textId="1439301171" start="130" length="6" invalidationStart="130" invalidationLength="6" id="XLzC1GvM"/>
    <int:ParagraphRange paragraphId="385891138" textId="1439301171" start="145" length="10" invalidationStart="145" invalidationLength="10" id="UtRvzXUW"/>
    <int:WordHash hashCode="mhbZ86jHh8fVeO" id="6Cbst5Ku"/>
    <int:WordHash hashCode="ksQowEudxct5TD" id="R64j4q84"/>
    <int:ParagraphRange paragraphId="486729735" textId="583550628" start="231" length="13" invalidationStart="231" invalidationLength="13" id="ZD1xVlMr"/>
    <int:ParagraphRange paragraphId="486729735" textId="583550628" start="431" length="10" invalidationStart="431" invalidationLength="10" id="Ty3ehmjR"/>
    <int:ParagraphRange paragraphId="1897811511" textId="2014443804" start="138" length="13" invalidationStart="138" invalidationLength="13" id="CqISDviA"/>
    <int:WordHash hashCode="RW69o7UjDZZ26U" id="F6dLbVui"/>
    <int:ParagraphRange paragraphId="1720681065" textId="1214041460" start="182" length="6" invalidationStart="182" invalidationLength="6" id="DdRc3lS5"/>
    <int:ParagraphRange paragraphId="1921530175" textId="1731441995" start="207" length="2" invalidationStart="207" invalidationLength="2" id="C1FHvZfX"/>
    <int:ParagraphRange paragraphId="385891138" textId="1439301171" start="679" length="6" invalidationStart="679" invalidationLength="6" id="PW8tU5cW"/>
    <int:WordHash hashCode="txKC4C74zaFRwb" id="UazCGukv"/>
    <int:WordHash hashCode="4qTJozoQRSVNQT" id="A1KUIBNk"/>
    <int:ParagraphRange paragraphId="385891138" textId="846265638" start="679" length="6" invalidationStart="679" invalidationLength="6" id="uELP5zpC"/>
    <int:ParagraphRange paragraphId="385891138" textId="846265638" start="130" length="6" invalidationStart="130" invalidationLength="6" id="wYYPvfEg"/>
    <int:ParagraphRange paragraphId="385891138" textId="846265638" start="145" length="10" invalidationStart="145" invalidationLength="10" id="fFkldyo5"/>
    <int:WordHash hashCode="7nsz71Hgdv2Q6x" id="lqQFmuxA"/>
    <int:WordHash hashCode="Gl9O4WP20AbTT6" id="k6gTvP0d"/>
    <int:ParagraphRange paragraphId="1506110850" textId="2014533963" start="84" length="4" invalidationStart="84" invalidationLength="4" id="UAzKqUqg"/>
    <int:WordHash hashCode="WzQtwixHDFy4VY" id="jD8yZYm3"/>
    <int:WordHash hashCode="a2Elz8dU03M6CK" id="PTUVEehA"/>
    <int:WordHash hashCode="irUq8GBhqwJdF3" id="WQd8jFLm"/>
    <int:ParagraphRange paragraphId="1962680453" textId="2134438074" start="104" length="7" invalidationStart="104" invalidationLength="7" id="qR9hQulp"/>
    <int:ParagraphRange paragraphId="1720681065" textId="117735491" start="244" length="9" invalidationStart="244" invalidationLength="9" id="xGd13CEv"/>
    <int:ParagraphRange paragraphId="1897811511" textId="143350478" start="42" length="2" invalidationStart="42" invalidationLength="2" id="lPi5KAtV"/>
    <int:WordHash hashCode="GBiVCBU08/stjY" id="ImvvFZl8"/>
    <int:WordHash hashCode="HV6DiByd639idI" id="19UjiEQ2"/>
    <int:WordHash hashCode="6iHq7Y+YNjbl+t" id="B0r0l0aI"/>
    <int:ParagraphRange paragraphId="1897811511" textId="1121671614" start="358" length="2" invalidationStart="358" invalidationLength="2" id="dtbbQjWx"/>
    <int:ParagraphRange paragraphId="1640169901" textId="848220888" start="104" length="7" invalidationStart="104" invalidationLength="7" id="eZM5iR8o"/>
    <int:ParagraphRange paragraphId="2019097780" textId="93580129" start="115" length="9" invalidationStart="115" invalidationLength="9" id="MYXOhN9K"/>
    <int:ParagraphRange paragraphId="870262388" textId="2064565914" start="140" length="3" invalidationStart="140" invalidationLength="3" id="8ObkmnTr"/>
    <int:WordHash hashCode="Y7rxyEYEGk+h8X" id="LoyV3wmM"/>
    <int:ParagraphRange paragraphId="84470743" textId="671471160" start="102" length="4" invalidationStart="102" invalidationLength="4" id="tKiPLCJ9"/>
    <int:ParagraphRange paragraphId="1203464137" textId="341936148" start="129" length="9" invalidationStart="129" invalidationLength="9" id="D8MIyl0G"/>
    <int:ParagraphRange paragraphId="2136570165" textId="386915548" start="106" length="4" invalidationStart="106" invalidationLength="4" id="UX57EjmO"/>
    <int:ParagraphRange paragraphId="1193937020" textId="1986144323" start="115" length="9" invalidationStart="115" invalidationLength="9" id="zsg1tahA"/>
    <int:ParagraphRange paragraphId="1755585038" textId="297330070" start="66" length="2" invalidationStart="66" invalidationLength="2" id="Jfrqq892"/>
    <int:ParagraphRange paragraphId="1755585038" textId="297330070" start="24" length="9" invalidationStart="24" invalidationLength="9" id="3ErJVp9A"/>
    <int:ParagraphRange paragraphId="1046948655" textId="1917424759" start="129" length="9" invalidationStart="129" invalidationLength="9" id="oQ4hERYh"/>
    <int:ParagraphRange paragraphId="1046948655" textId="1917424759" start="94" length="9" invalidationStart="94" invalidationLength="9" id="VkMxfNP9"/>
    <int:ParagraphRange paragraphId="1046948655" textId="1917424759" start="55" length="14" invalidationStart="55" invalidationLength="14" id="RRyUDv6W"/>
    <int:WordHash hashCode="kbcyWg/HyKu0cB" id="MKErOdZs"/>
    <int:WordHash hashCode="ySefCfgpa56y9i" id="RwejqaR9"/>
    <int:WordHash hashCode="JE+YiVl3jA0m8J" id="KGcV72gG"/>
    <int:WordHash hashCode="VRyAVr/dM977IK" id="0aHfVZNY"/>
    <int:WordHash hashCode="m2H+qlBAKMLYwg" id="OAPwscbU"/>
  </int:Manifest>
  <int:Observations>
    <int:Content id="nwCB0WfN">
      <int:Rejection type="LegacyProofing"/>
    </int:Content>
    <int:Content id="NquWJf0W">
      <int:Rejection type="LegacyProofing"/>
    </int:Content>
    <int:Content id="QWaGWXPs">
      <int:Rejection type="LegacyProofing"/>
    </int:Content>
    <int:Content id="3dMPykNs">
      <int:Rejection type="LegacyProofing"/>
    </int:Content>
    <int:Content id="XLzC1GvM">
      <int:Rejection type="LegacyProofing"/>
    </int:Content>
    <int:Content id="UtRvzXUW">
      <int:Rejection type="LegacyProofing"/>
    </int:Content>
    <int:Content id="6Cbst5Ku">
      <int:Rejection type="LegacyProofing"/>
    </int:Content>
    <int:Content id="R64j4q84">
      <int:Rejection type="LegacyProofing"/>
    </int:Content>
    <int:Content id="ZD1xVlMr">
      <int:Rejection type="LegacyProofing"/>
    </int:Content>
    <int:Content id="Ty3ehmjR">
      <int:Rejection type="LegacyProofing"/>
    </int:Content>
    <int:Content id="CqISDviA">
      <int:Rejection type="LegacyProofing"/>
    </int:Content>
    <int:Content id="F6dLbVui">
      <int:Rejection type="LegacyProofing"/>
    </int:Content>
    <int:Content id="DdRc3lS5">
      <int:Rejection type="LegacyProofing"/>
    </int:Content>
    <int:Content id="C1FHvZfX">
      <int:Rejection type="LegacyProofing"/>
    </int:Content>
    <int:Content id="PW8tU5cW">
      <int:Rejection type="LegacyProofing"/>
    </int:Content>
    <int:Content id="UazCGukv">
      <int:Rejection type="LegacyProofing"/>
    </int:Content>
    <int:Content id="A1KUIBNk">
      <int:Rejection type="LegacyProofing"/>
    </int:Content>
    <int:Content id="uELP5zpC">
      <int:Rejection type="LegacyProofing"/>
    </int:Content>
    <int:Content id="wYYPvfEg">
      <int:Rejection type="LegacyProofing"/>
    </int:Content>
    <int:Content id="fFkldyo5">
      <int:Rejection type="LegacyProofing"/>
    </int:Content>
    <int:Content id="lqQFmuxA">
      <int:Rejection type="LegacyProofing"/>
    </int:Content>
    <int:Content id="k6gTvP0d">
      <int:Rejection type="LegacyProofing"/>
    </int:Content>
    <int:Content id="UAzKqUqg">
      <int:Rejection type="LegacyProofing"/>
    </int:Content>
    <int:Content id="jD8yZYm3">
      <int:Rejection type="AugLoop_Text_Critique"/>
    </int:Content>
    <int:Content id="PTUVEehA">
      <int:Rejection type="AugLoop_Text_Critique"/>
    </int:Content>
    <int:Content id="WQd8jFLm">
      <int:Rejection type="AugLoop_Text_Critique"/>
    </int:Content>
    <int:Content id="qR9hQulp">
      <int:Rejection type="LegacyProofing"/>
    </int:Content>
    <int:Content id="xGd13CEv">
      <int:Rejection type="LegacyProofing"/>
    </int:Content>
    <int:Content id="lPi5KAtV">
      <int:Rejection type="LegacyProofing"/>
    </int:Content>
    <int:Content id="ImvvFZl8">
      <int:Rejection type="LegacyProofing"/>
    </int:Content>
    <int:Content id="19UjiEQ2">
      <int:Rejection type="LegacyProofing"/>
    </int:Content>
    <int:Content id="B0r0l0aI">
      <int:Rejection type="LegacyProofing"/>
    </int:Content>
    <int:Content id="dtbbQjWx">
      <int:Rejection type="LegacyProofing"/>
    </int:Content>
    <int:Content id="eZM5iR8o">
      <int:Rejection type="LegacyProofing"/>
    </int:Content>
    <int:Content id="MYXOhN9K">
      <int:Rejection type="LegacyProofing"/>
    </int:Content>
    <int:Content id="8ObkmnTr">
      <int:Rejection type="LegacyProofing"/>
    </int:Content>
    <int:Content id="LoyV3wmM">
      <int:Rejection type="LegacyProofing"/>
    </int:Content>
    <int:Content id="tKiPLCJ9">
      <int:Rejection type="LegacyProofing"/>
    </int:Content>
    <int:Content id="D8MIyl0G">
      <int:Rejection type="LegacyProofing"/>
    </int:Content>
    <int:Content id="UX57EjmO">
      <int:Rejection type="LegacyProofing"/>
    </int:Content>
    <int:Content id="zsg1tahA">
      <int:Rejection type="LegacyProofing"/>
    </int:Content>
    <int:Content id="Jfrqq892">
      <int:Rejection type="LegacyProofing"/>
    </int:Content>
    <int:Content id="3ErJVp9A">
      <int:Rejection type="LegacyProofing"/>
    </int:Content>
    <int:Content id="oQ4hERYh">
      <int:Rejection type="LegacyProofing"/>
    </int:Content>
    <int:Content id="VkMxfNP9">
      <int:Rejection type="LegacyProofing"/>
    </int:Content>
    <int:Content id="RRyUDv6W">
      <int:Rejection type="LegacyProofing"/>
    </int:Content>
    <int:Content id="MKErOdZs">
      <int:Rejection type="AugLoop_Text_Critique"/>
    </int:Content>
    <int:Content id="RwejqaR9">
      <int:Rejection type="AugLoop_Text_Critique"/>
    </int:Content>
    <int:Content id="KGcV72gG">
      <int:Rejection type="AugLoop_Text_Critique"/>
    </int:Content>
    <int:Content id="0aHfVZNY">
      <int:Rejection type="AugLoop_Text_Critique"/>
    </int:Content>
    <int:Content id="OAPwscbU">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902089"/>
    <w:rsid w:val="001A44C8"/>
    <w:rsid w:val="00209C3D"/>
    <w:rsid w:val="00236433"/>
    <w:rsid w:val="002F050F"/>
    <w:rsid w:val="00DFAAEF"/>
    <w:rsid w:val="016F219C"/>
    <w:rsid w:val="0212993B"/>
    <w:rsid w:val="029614BA"/>
    <w:rsid w:val="02C0B398"/>
    <w:rsid w:val="02FEDAF2"/>
    <w:rsid w:val="031015C9"/>
    <w:rsid w:val="0347C990"/>
    <w:rsid w:val="03E67C85"/>
    <w:rsid w:val="0446608B"/>
    <w:rsid w:val="046A2EAF"/>
    <w:rsid w:val="04ABE62A"/>
    <w:rsid w:val="04AD735C"/>
    <w:rsid w:val="051B44F0"/>
    <w:rsid w:val="0553B61B"/>
    <w:rsid w:val="05677D54"/>
    <w:rsid w:val="05824CE6"/>
    <w:rsid w:val="05997B57"/>
    <w:rsid w:val="06256F4E"/>
    <w:rsid w:val="0636D7DB"/>
    <w:rsid w:val="069E4693"/>
    <w:rsid w:val="06F0A9D9"/>
    <w:rsid w:val="07034DB5"/>
    <w:rsid w:val="071CA7E8"/>
    <w:rsid w:val="073163FC"/>
    <w:rsid w:val="077C0EA8"/>
    <w:rsid w:val="07A1CF71"/>
    <w:rsid w:val="07D24C15"/>
    <w:rsid w:val="07E5141E"/>
    <w:rsid w:val="08779973"/>
    <w:rsid w:val="08AEBABE"/>
    <w:rsid w:val="08B501A7"/>
    <w:rsid w:val="08EB30CC"/>
    <w:rsid w:val="08EB95A5"/>
    <w:rsid w:val="098D6E09"/>
    <w:rsid w:val="09D0D066"/>
    <w:rsid w:val="09DAAD6A"/>
    <w:rsid w:val="0A06DF2A"/>
    <w:rsid w:val="0A2D1B8B"/>
    <w:rsid w:val="0A601B19"/>
    <w:rsid w:val="0AD20F8D"/>
    <w:rsid w:val="0B231534"/>
    <w:rsid w:val="0B3C740A"/>
    <w:rsid w:val="0B6C2810"/>
    <w:rsid w:val="0B79EA86"/>
    <w:rsid w:val="0B79EA86"/>
    <w:rsid w:val="0B93FBFE"/>
    <w:rsid w:val="0BBE7D6D"/>
    <w:rsid w:val="0BCB8D81"/>
    <w:rsid w:val="0BF18E6A"/>
    <w:rsid w:val="0C7FC607"/>
    <w:rsid w:val="0C938F5B"/>
    <w:rsid w:val="0CBBBAFA"/>
    <w:rsid w:val="0CD1B836"/>
    <w:rsid w:val="0D1CA319"/>
    <w:rsid w:val="0D1CA319"/>
    <w:rsid w:val="0D902089"/>
    <w:rsid w:val="0D9D3CB3"/>
    <w:rsid w:val="0DC3501A"/>
    <w:rsid w:val="0EA1119B"/>
    <w:rsid w:val="0EA5A522"/>
    <w:rsid w:val="0EB8737A"/>
    <w:rsid w:val="0ECB9CC0"/>
    <w:rsid w:val="0ED0F08F"/>
    <w:rsid w:val="0EDF5AB0"/>
    <w:rsid w:val="0F162B62"/>
    <w:rsid w:val="0F292F2C"/>
    <w:rsid w:val="0F31EE0D"/>
    <w:rsid w:val="0F338C3C"/>
    <w:rsid w:val="0F5A7250"/>
    <w:rsid w:val="0FCCE0B6"/>
    <w:rsid w:val="0FDD5DFA"/>
    <w:rsid w:val="1056D45A"/>
    <w:rsid w:val="108D2838"/>
    <w:rsid w:val="10A0A446"/>
    <w:rsid w:val="10A15A26"/>
    <w:rsid w:val="10A61FDC"/>
    <w:rsid w:val="10FFBFB1"/>
    <w:rsid w:val="11128E22"/>
    <w:rsid w:val="112EDE71"/>
    <w:rsid w:val="1136F38E"/>
    <w:rsid w:val="11478C55"/>
    <w:rsid w:val="11792E5B"/>
    <w:rsid w:val="11AB99B1"/>
    <w:rsid w:val="11D26CC1"/>
    <w:rsid w:val="11DD45E4"/>
    <w:rsid w:val="11ED661E"/>
    <w:rsid w:val="1216FB72"/>
    <w:rsid w:val="12323923"/>
    <w:rsid w:val="125652E4"/>
    <w:rsid w:val="128878A8"/>
    <w:rsid w:val="12B86C5F"/>
    <w:rsid w:val="12F41938"/>
    <w:rsid w:val="132E2719"/>
    <w:rsid w:val="1331B1DF"/>
    <w:rsid w:val="13CE0984"/>
    <w:rsid w:val="13D69F66"/>
    <w:rsid w:val="13DE02ED"/>
    <w:rsid w:val="145654E4"/>
    <w:rsid w:val="1494D2F9"/>
    <w:rsid w:val="14B0CF1D"/>
    <w:rsid w:val="14C9F77A"/>
    <w:rsid w:val="152FA284"/>
    <w:rsid w:val="152FA284"/>
    <w:rsid w:val="154D8504"/>
    <w:rsid w:val="158DF3A6"/>
    <w:rsid w:val="15C3752B"/>
    <w:rsid w:val="15F00D21"/>
    <w:rsid w:val="15F565F2"/>
    <w:rsid w:val="16597FD7"/>
    <w:rsid w:val="1665C7DB"/>
    <w:rsid w:val="16B0B707"/>
    <w:rsid w:val="16C0D741"/>
    <w:rsid w:val="16CB72E5"/>
    <w:rsid w:val="16D526A1"/>
    <w:rsid w:val="174322DA"/>
    <w:rsid w:val="17459A20"/>
    <w:rsid w:val="17A29DAA"/>
    <w:rsid w:val="17CEEB01"/>
    <w:rsid w:val="18052302"/>
    <w:rsid w:val="18180AC2"/>
    <w:rsid w:val="18360731"/>
    <w:rsid w:val="185E8D3B"/>
    <w:rsid w:val="18AA49D5"/>
    <w:rsid w:val="1929C607"/>
    <w:rsid w:val="19BDF2BD"/>
    <w:rsid w:val="19DF385E"/>
    <w:rsid w:val="1A0313A7"/>
    <w:rsid w:val="1A163CED"/>
    <w:rsid w:val="1A549E16"/>
    <w:rsid w:val="1A6EE358"/>
    <w:rsid w:val="1AEF32A7"/>
    <w:rsid w:val="1B59C31E"/>
    <w:rsid w:val="1B5C637A"/>
    <w:rsid w:val="1B5C637A"/>
    <w:rsid w:val="1B8AB217"/>
    <w:rsid w:val="1C60F692"/>
    <w:rsid w:val="1C7580CD"/>
    <w:rsid w:val="1CF833DB"/>
    <w:rsid w:val="1D05FCFB"/>
    <w:rsid w:val="1D0FE547"/>
    <w:rsid w:val="1D16D920"/>
    <w:rsid w:val="1D3AB469"/>
    <w:rsid w:val="1D4DDDAF"/>
    <w:rsid w:val="1DD52646"/>
    <w:rsid w:val="1DF0EE06"/>
    <w:rsid w:val="1E4B6313"/>
    <w:rsid w:val="1E94043C"/>
    <w:rsid w:val="1E9C085A"/>
    <w:rsid w:val="1EA1CD5C"/>
    <w:rsid w:val="1EB2A981"/>
    <w:rsid w:val="1EEC0C87"/>
    <w:rsid w:val="1F4988CB"/>
    <w:rsid w:val="1FCAF2A6"/>
    <w:rsid w:val="1FEC7F60"/>
    <w:rsid w:val="202FD49D"/>
    <w:rsid w:val="20633A29"/>
    <w:rsid w:val="2065A599"/>
    <w:rsid w:val="20DA2F45"/>
    <w:rsid w:val="21145401"/>
    <w:rsid w:val="21872722"/>
    <w:rsid w:val="21B02BBC"/>
    <w:rsid w:val="21B4488E"/>
    <w:rsid w:val="2238E42F"/>
    <w:rsid w:val="22C706CC"/>
    <w:rsid w:val="22E8C022"/>
    <w:rsid w:val="22FC8B78"/>
    <w:rsid w:val="231ED436"/>
    <w:rsid w:val="234FC32F"/>
    <w:rsid w:val="23B4AD39"/>
    <w:rsid w:val="23F41FB6"/>
    <w:rsid w:val="2415C59E"/>
    <w:rsid w:val="243B3C2F"/>
    <w:rsid w:val="249E7FD0"/>
    <w:rsid w:val="249E7FD0"/>
    <w:rsid w:val="24C4BC31"/>
    <w:rsid w:val="24D3D340"/>
    <w:rsid w:val="24EB9390"/>
    <w:rsid w:val="254A3E8F"/>
    <w:rsid w:val="2559C2C7"/>
    <w:rsid w:val="255B056E"/>
    <w:rsid w:val="2587DFA2"/>
    <w:rsid w:val="25DA3943"/>
    <w:rsid w:val="26077EC6"/>
    <w:rsid w:val="2609585C"/>
    <w:rsid w:val="262127D4"/>
    <w:rsid w:val="262A1916"/>
    <w:rsid w:val="263E4364"/>
    <w:rsid w:val="26746864"/>
    <w:rsid w:val="26911C96"/>
    <w:rsid w:val="26D27BAD"/>
    <w:rsid w:val="26EC4DFB"/>
    <w:rsid w:val="26FD88D2"/>
    <w:rsid w:val="27038046"/>
    <w:rsid w:val="271A7B0C"/>
    <w:rsid w:val="274D6660"/>
    <w:rsid w:val="27623049"/>
    <w:rsid w:val="277609A4"/>
    <w:rsid w:val="279A77EF"/>
    <w:rsid w:val="27B37B3A"/>
    <w:rsid w:val="27C5E977"/>
    <w:rsid w:val="286E4C0E"/>
    <w:rsid w:val="286E89E7"/>
    <w:rsid w:val="28E936C1"/>
    <w:rsid w:val="28F87FD2"/>
    <w:rsid w:val="29330D52"/>
    <w:rsid w:val="2938B241"/>
    <w:rsid w:val="2945BF33"/>
    <w:rsid w:val="2968460D"/>
    <w:rsid w:val="2971F0F3"/>
    <w:rsid w:val="2975E426"/>
    <w:rsid w:val="2986B1C0"/>
    <w:rsid w:val="29C0CFD2"/>
    <w:rsid w:val="2A078B7B"/>
    <w:rsid w:val="2A77101C"/>
    <w:rsid w:val="2AA1F5BD"/>
    <w:rsid w:val="2AE8DAC2"/>
    <w:rsid w:val="2AF8C873"/>
    <w:rsid w:val="2B0DC154"/>
    <w:rsid w:val="2B0DC154"/>
    <w:rsid w:val="2B38FACC"/>
    <w:rsid w:val="2B499C69"/>
    <w:rsid w:val="2B5AD514"/>
    <w:rsid w:val="2BB45C8A"/>
    <w:rsid w:val="2BBFBF1E"/>
    <w:rsid w:val="2BBFBF1E"/>
    <w:rsid w:val="2BF4D2DD"/>
    <w:rsid w:val="2C107280"/>
    <w:rsid w:val="2C302094"/>
    <w:rsid w:val="2C705303"/>
    <w:rsid w:val="2C74E68A"/>
    <w:rsid w:val="2C7A7A66"/>
    <w:rsid w:val="2C84AB23"/>
    <w:rsid w:val="2C8506C4"/>
    <w:rsid w:val="2CC984B9"/>
    <w:rsid w:val="2CD38968"/>
    <w:rsid w:val="2D153986"/>
    <w:rsid w:val="2D1759FD"/>
    <w:rsid w:val="2D513C38"/>
    <w:rsid w:val="2D9D54A8"/>
    <w:rsid w:val="2D9D91B2"/>
    <w:rsid w:val="2DA2F683"/>
    <w:rsid w:val="2DD36F1E"/>
    <w:rsid w:val="2E1AD843"/>
    <w:rsid w:val="2E20D725"/>
    <w:rsid w:val="2E65551A"/>
    <w:rsid w:val="2E65AA2A"/>
    <w:rsid w:val="2E9275D6"/>
    <w:rsid w:val="2E96DAD3"/>
    <w:rsid w:val="2E9C2E7B"/>
    <w:rsid w:val="2EA2269F"/>
    <w:rsid w:val="2EDBAF6A"/>
    <w:rsid w:val="2F1E3B00"/>
    <w:rsid w:val="2F2EEAE5"/>
    <w:rsid w:val="2F6F3F7F"/>
    <w:rsid w:val="2F935EEF"/>
    <w:rsid w:val="2F98AF54"/>
    <w:rsid w:val="2FA7F3C5"/>
    <w:rsid w:val="2FA9BF56"/>
    <w:rsid w:val="2FAE1ACD"/>
    <w:rsid w:val="2FB6A8A4"/>
    <w:rsid w:val="3001257B"/>
    <w:rsid w:val="300D01A5"/>
    <w:rsid w:val="301E736D"/>
    <w:rsid w:val="304845A1"/>
    <w:rsid w:val="3074DE7C"/>
    <w:rsid w:val="3088DCFA"/>
    <w:rsid w:val="30BA0B61"/>
    <w:rsid w:val="3213502C"/>
    <w:rsid w:val="3224AD5B"/>
    <w:rsid w:val="322F00A2"/>
    <w:rsid w:val="322F00A2"/>
    <w:rsid w:val="32444BF1"/>
    <w:rsid w:val="328639BB"/>
    <w:rsid w:val="331C83C1"/>
    <w:rsid w:val="33422C30"/>
    <w:rsid w:val="33847B0A"/>
    <w:rsid w:val="33AF208D"/>
    <w:rsid w:val="33D11683"/>
    <w:rsid w:val="3423CE6C"/>
    <w:rsid w:val="34464C40"/>
    <w:rsid w:val="345DB0A7"/>
    <w:rsid w:val="347908B6"/>
    <w:rsid w:val="34818BF0"/>
    <w:rsid w:val="348CB82F"/>
    <w:rsid w:val="349AB44D"/>
    <w:rsid w:val="349AB44D"/>
    <w:rsid w:val="34E87EB3"/>
    <w:rsid w:val="34EC3EBC"/>
    <w:rsid w:val="352F2742"/>
    <w:rsid w:val="353CB323"/>
    <w:rsid w:val="35431A08"/>
    <w:rsid w:val="354AF0EE"/>
    <w:rsid w:val="35F98108"/>
    <w:rsid w:val="362769AC"/>
    <w:rsid w:val="3629D51C"/>
    <w:rsid w:val="363B3ED1"/>
    <w:rsid w:val="36880F1D"/>
    <w:rsid w:val="36A947AC"/>
    <w:rsid w:val="36AB17B9"/>
    <w:rsid w:val="36B71E48"/>
    <w:rsid w:val="36BC7194"/>
    <w:rsid w:val="36C696F0"/>
    <w:rsid w:val="36F70F31"/>
    <w:rsid w:val="370271C5"/>
    <w:rsid w:val="37298631"/>
    <w:rsid w:val="37782251"/>
    <w:rsid w:val="378B356F"/>
    <w:rsid w:val="378B356F"/>
    <w:rsid w:val="37C5A57D"/>
    <w:rsid w:val="37CB6CDD"/>
    <w:rsid w:val="37D2550F"/>
    <w:rsid w:val="37EAF3DD"/>
    <w:rsid w:val="38177DD4"/>
    <w:rsid w:val="383D7E90"/>
    <w:rsid w:val="3876FDFC"/>
    <w:rsid w:val="389E4226"/>
    <w:rsid w:val="389E4226"/>
    <w:rsid w:val="392705D0"/>
    <w:rsid w:val="396E2570"/>
    <w:rsid w:val="3978DCBC"/>
    <w:rsid w:val="39AE147E"/>
    <w:rsid w:val="39BB3BBB"/>
    <w:rsid w:val="39EEBF0A"/>
    <w:rsid w:val="3A096AC8"/>
    <w:rsid w:val="3A367D93"/>
    <w:rsid w:val="3A3C5362"/>
    <w:rsid w:val="3A42000D"/>
    <w:rsid w:val="3A42000D"/>
    <w:rsid w:val="3A5B32A6"/>
    <w:rsid w:val="3A6126F3"/>
    <w:rsid w:val="3A62934C"/>
    <w:rsid w:val="3A82AC12"/>
    <w:rsid w:val="3ABABD4D"/>
    <w:rsid w:val="3AC2D631"/>
    <w:rsid w:val="3ACCF22B"/>
    <w:rsid w:val="3AE1B272"/>
    <w:rsid w:val="3AFD463F"/>
    <w:rsid w:val="3B520F05"/>
    <w:rsid w:val="3B570C1C"/>
    <w:rsid w:val="3B7AB183"/>
    <w:rsid w:val="3BC7A318"/>
    <w:rsid w:val="3C2EE051"/>
    <w:rsid w:val="3C68C28C"/>
    <w:rsid w:val="3C9916A0"/>
    <w:rsid w:val="3C9EDE00"/>
    <w:rsid w:val="3CF2DC7D"/>
    <w:rsid w:val="3CF2DC7D"/>
    <w:rsid w:val="3D265FCC"/>
    <w:rsid w:val="3D2770C7"/>
    <w:rsid w:val="3D3A3927"/>
    <w:rsid w:val="3D441530"/>
    <w:rsid w:val="3D5EA772"/>
    <w:rsid w:val="3DACB26B"/>
    <w:rsid w:val="3DDDFC0A"/>
    <w:rsid w:val="3E3AAE61"/>
    <w:rsid w:val="3E5C0BE6"/>
    <w:rsid w:val="3E89AFC7"/>
    <w:rsid w:val="3EAD6644"/>
    <w:rsid w:val="3EB88078"/>
    <w:rsid w:val="3ECDB933"/>
    <w:rsid w:val="3EDB80A5"/>
    <w:rsid w:val="3F389D57"/>
    <w:rsid w:val="3FD67EC2"/>
    <w:rsid w:val="3FD67EC2"/>
    <w:rsid w:val="401417C2"/>
    <w:rsid w:val="4029C75F"/>
    <w:rsid w:val="40346ADE"/>
    <w:rsid w:val="405450D9"/>
    <w:rsid w:val="405F1189"/>
    <w:rsid w:val="405F36D9"/>
    <w:rsid w:val="408A08B2"/>
    <w:rsid w:val="40A29611"/>
    <w:rsid w:val="414F1A60"/>
    <w:rsid w:val="41724F23"/>
    <w:rsid w:val="417BC7D4"/>
    <w:rsid w:val="4188A142"/>
    <w:rsid w:val="41C597C3"/>
    <w:rsid w:val="41C64DA0"/>
    <w:rsid w:val="41D03B3F"/>
    <w:rsid w:val="41D6EF3D"/>
    <w:rsid w:val="41D71000"/>
    <w:rsid w:val="41EC8CE5"/>
    <w:rsid w:val="421B1DFE"/>
    <w:rsid w:val="422C358A"/>
    <w:rsid w:val="4239160D"/>
    <w:rsid w:val="42535772"/>
    <w:rsid w:val="42ABB649"/>
    <w:rsid w:val="42BAD4F8"/>
    <w:rsid w:val="42BF46C1"/>
    <w:rsid w:val="42E91101"/>
    <w:rsid w:val="42EAEAC1"/>
    <w:rsid w:val="42ECC457"/>
    <w:rsid w:val="42FDA5D7"/>
    <w:rsid w:val="43155149"/>
    <w:rsid w:val="432632DA"/>
    <w:rsid w:val="43621E01"/>
    <w:rsid w:val="43621E01"/>
    <w:rsid w:val="4372BF9E"/>
    <w:rsid w:val="4383281F"/>
    <w:rsid w:val="43A12A56"/>
    <w:rsid w:val="43CDE8F6"/>
    <w:rsid w:val="43D052E7"/>
    <w:rsid w:val="43FE0E42"/>
    <w:rsid w:val="43FF2B24"/>
    <w:rsid w:val="44A9EFE5"/>
    <w:rsid w:val="44B2250D"/>
    <w:rsid w:val="44B77006"/>
    <w:rsid w:val="4502F667"/>
    <w:rsid w:val="45242DA7"/>
    <w:rsid w:val="452F7973"/>
    <w:rsid w:val="453E5CBB"/>
    <w:rsid w:val="4569023E"/>
    <w:rsid w:val="458AF834"/>
    <w:rsid w:val="462CFD8B"/>
    <w:rsid w:val="4649FA5A"/>
    <w:rsid w:val="464CF20B"/>
    <w:rsid w:val="469618A3"/>
    <w:rsid w:val="4699BEC3"/>
    <w:rsid w:val="47475E35"/>
    <w:rsid w:val="476FDD8F"/>
    <w:rsid w:val="47ADE5D1"/>
    <w:rsid w:val="47B362B9"/>
    <w:rsid w:val="47E5CABB"/>
    <w:rsid w:val="47E8C26C"/>
    <w:rsid w:val="47F33025"/>
    <w:rsid w:val="48B465F0"/>
    <w:rsid w:val="49065BB3"/>
    <w:rsid w:val="491BA478"/>
    <w:rsid w:val="493CFE3C"/>
    <w:rsid w:val="495C05DB"/>
    <w:rsid w:val="497855D6"/>
    <w:rsid w:val="497F872E"/>
    <w:rsid w:val="4993B327"/>
    <w:rsid w:val="49AF892A"/>
    <w:rsid w:val="49D15F85"/>
    <w:rsid w:val="49D15F85"/>
    <w:rsid w:val="4A3FC564"/>
    <w:rsid w:val="4A68978C"/>
    <w:rsid w:val="4A98C621"/>
    <w:rsid w:val="4A9CE56A"/>
    <w:rsid w:val="4AB61413"/>
    <w:rsid w:val="4AB6A943"/>
    <w:rsid w:val="4AD90F5A"/>
    <w:rsid w:val="4B11F63F"/>
    <w:rsid w:val="4B2FA273"/>
    <w:rsid w:val="4B3D8EDE"/>
    <w:rsid w:val="4B40A5EF"/>
    <w:rsid w:val="4BA0E9A0"/>
    <w:rsid w:val="4BA8D7E7"/>
    <w:rsid w:val="4BDB64CC"/>
    <w:rsid w:val="4C349682"/>
    <w:rsid w:val="4C51E474"/>
    <w:rsid w:val="4C8F2726"/>
    <w:rsid w:val="4CC07E4C"/>
    <w:rsid w:val="4CC6A148"/>
    <w:rsid w:val="4CFC26EF"/>
    <w:rsid w:val="4D2BB19C"/>
    <w:rsid w:val="4D3030D0"/>
    <w:rsid w:val="4D30D988"/>
    <w:rsid w:val="4D557A31"/>
    <w:rsid w:val="4DC21B56"/>
    <w:rsid w:val="4DEE17E7"/>
    <w:rsid w:val="4E025443"/>
    <w:rsid w:val="4E074044"/>
    <w:rsid w:val="4E252B73"/>
    <w:rsid w:val="4E38E841"/>
    <w:rsid w:val="4E3BCF8F"/>
    <w:rsid w:val="4E6271A9"/>
    <w:rsid w:val="4E8A6686"/>
    <w:rsid w:val="4ED4EC20"/>
    <w:rsid w:val="4EE320BE"/>
    <w:rsid w:val="4EEB3553"/>
    <w:rsid w:val="4F1DAA4B"/>
    <w:rsid w:val="4F7205CF"/>
    <w:rsid w:val="50014997"/>
    <w:rsid w:val="50141712"/>
    <w:rsid w:val="5040A109"/>
    <w:rsid w:val="5040A109"/>
    <w:rsid w:val="50573F73"/>
    <w:rsid w:val="509004B8"/>
    <w:rsid w:val="50C38526"/>
    <w:rsid w:val="50C7655B"/>
    <w:rsid w:val="50D6D9CA"/>
    <w:rsid w:val="50D6D9CA"/>
    <w:rsid w:val="50F204FD"/>
    <w:rsid w:val="51255597"/>
    <w:rsid w:val="51396C01"/>
    <w:rsid w:val="513B9FBA"/>
    <w:rsid w:val="514EBEEE"/>
    <w:rsid w:val="515C74B1"/>
    <w:rsid w:val="5167E74B"/>
    <w:rsid w:val="51859CAF"/>
    <w:rsid w:val="51979238"/>
    <w:rsid w:val="51F30FD4"/>
    <w:rsid w:val="5272AA2B"/>
    <w:rsid w:val="52E3E082"/>
    <w:rsid w:val="52F84512"/>
    <w:rsid w:val="532504BB"/>
    <w:rsid w:val="53336299"/>
    <w:rsid w:val="537F1038"/>
    <w:rsid w:val="538EE035"/>
    <w:rsid w:val="53F08D6E"/>
    <w:rsid w:val="53FF061D"/>
    <w:rsid w:val="53FF061D"/>
    <w:rsid w:val="540DF549"/>
    <w:rsid w:val="5447EAFD"/>
    <w:rsid w:val="545CF659"/>
    <w:rsid w:val="548E5071"/>
    <w:rsid w:val="54CF32FA"/>
    <w:rsid w:val="54D5B5E6"/>
    <w:rsid w:val="54E42887"/>
    <w:rsid w:val="54E42887"/>
    <w:rsid w:val="55245042"/>
    <w:rsid w:val="55AA4AED"/>
    <w:rsid w:val="55BA3545"/>
    <w:rsid w:val="55F8C6BA"/>
    <w:rsid w:val="560C7081"/>
    <w:rsid w:val="562FE5D4"/>
    <w:rsid w:val="56757114"/>
    <w:rsid w:val="56D94E56"/>
    <w:rsid w:val="56E60460"/>
    <w:rsid w:val="56F64738"/>
    <w:rsid w:val="5706151C"/>
    <w:rsid w:val="573A5D19"/>
    <w:rsid w:val="57432695"/>
    <w:rsid w:val="57443357"/>
    <w:rsid w:val="57461B4E"/>
    <w:rsid w:val="57461B4E"/>
    <w:rsid w:val="579B1EC0"/>
    <w:rsid w:val="57BC0834"/>
    <w:rsid w:val="57BE0072"/>
    <w:rsid w:val="57F64818"/>
    <w:rsid w:val="57F64818"/>
    <w:rsid w:val="5805BEFB"/>
    <w:rsid w:val="5807D71F"/>
    <w:rsid w:val="58751EB7"/>
    <w:rsid w:val="5949F2EB"/>
    <w:rsid w:val="59833DE0"/>
    <w:rsid w:val="59840136"/>
    <w:rsid w:val="5990AE94"/>
    <w:rsid w:val="59B35756"/>
    <w:rsid w:val="5A10EF18"/>
    <w:rsid w:val="5A2B18D6"/>
    <w:rsid w:val="5A42507A"/>
    <w:rsid w:val="5A4910E5"/>
    <w:rsid w:val="5A7BD419"/>
    <w:rsid w:val="5ACC9AEF"/>
    <w:rsid w:val="5AF5A134"/>
    <w:rsid w:val="5AF6B22F"/>
    <w:rsid w:val="5B1FD197"/>
    <w:rsid w:val="5B262644"/>
    <w:rsid w:val="5B3D7FA3"/>
    <w:rsid w:val="5B48E237"/>
    <w:rsid w:val="5B870C5E"/>
    <w:rsid w:val="5B8F1DE2"/>
    <w:rsid w:val="5C686B50"/>
    <w:rsid w:val="5C6C42A9"/>
    <w:rsid w:val="5CBB47E9"/>
    <w:rsid w:val="5CC1F6A5"/>
    <w:rsid w:val="5CC3D630"/>
    <w:rsid w:val="5CDB4842"/>
    <w:rsid w:val="5CE0933B"/>
    <w:rsid w:val="5CE2BC86"/>
    <w:rsid w:val="5D22DCBF"/>
    <w:rsid w:val="5D28AD09"/>
    <w:rsid w:val="5D4356EF"/>
    <w:rsid w:val="5DD8758B"/>
    <w:rsid w:val="5DE642EF"/>
    <w:rsid w:val="5DFEA980"/>
    <w:rsid w:val="5E1828C5"/>
    <w:rsid w:val="5E1AC8C5"/>
    <w:rsid w:val="5E23DE8E"/>
    <w:rsid w:val="5E3828EC"/>
    <w:rsid w:val="5E5132CB"/>
    <w:rsid w:val="5E789573"/>
    <w:rsid w:val="5E789573"/>
    <w:rsid w:val="5E8082F9"/>
    <w:rsid w:val="5EABBAAF"/>
    <w:rsid w:val="5EB39495"/>
    <w:rsid w:val="5EC406B5"/>
    <w:rsid w:val="5ECFDD73"/>
    <w:rsid w:val="5ED192DC"/>
    <w:rsid w:val="5ED7BC12"/>
    <w:rsid w:val="5F13629D"/>
    <w:rsid w:val="5F1C8208"/>
    <w:rsid w:val="5F3116DE"/>
    <w:rsid w:val="5F4F10AC"/>
    <w:rsid w:val="5F8D0848"/>
    <w:rsid w:val="5FB0FAF5"/>
    <w:rsid w:val="603457FB"/>
    <w:rsid w:val="6053DE5F"/>
    <w:rsid w:val="605A7D81"/>
    <w:rsid w:val="607550C3"/>
    <w:rsid w:val="609CFE20"/>
    <w:rsid w:val="60D30E47"/>
    <w:rsid w:val="60D30E47"/>
    <w:rsid w:val="60ECFD94"/>
    <w:rsid w:val="60F0F0C7"/>
    <w:rsid w:val="60F3D1F6"/>
    <w:rsid w:val="611339F5"/>
    <w:rsid w:val="61315F69"/>
    <w:rsid w:val="6149C21D"/>
    <w:rsid w:val="617C7C91"/>
    <w:rsid w:val="62502059"/>
    <w:rsid w:val="6262DBC3"/>
    <w:rsid w:val="6268B7A0"/>
    <w:rsid w:val="6279F2BA"/>
    <w:rsid w:val="627F6E37"/>
    <w:rsid w:val="629DA1F0"/>
    <w:rsid w:val="62C1E956"/>
    <w:rsid w:val="62C8FAF2"/>
    <w:rsid w:val="62EB99E8"/>
    <w:rsid w:val="6364C170"/>
    <w:rsid w:val="63921E43"/>
    <w:rsid w:val="63A503FF"/>
    <w:rsid w:val="63FEAC24"/>
    <w:rsid w:val="640AAF09"/>
    <w:rsid w:val="641B3E98"/>
    <w:rsid w:val="641CEF34"/>
    <w:rsid w:val="647B6ABB"/>
    <w:rsid w:val="65695BB6"/>
    <w:rsid w:val="657A86DD"/>
    <w:rsid w:val="6598E825"/>
    <w:rsid w:val="65C461EA"/>
    <w:rsid w:val="66009BB4"/>
    <w:rsid w:val="663A5211"/>
    <w:rsid w:val="6661A69D"/>
    <w:rsid w:val="666E798E"/>
    <w:rsid w:val="66C31FE3"/>
    <w:rsid w:val="66E2CDF7"/>
    <w:rsid w:val="66E9851A"/>
    <w:rsid w:val="670C3FA4"/>
    <w:rsid w:val="673901D8"/>
    <w:rsid w:val="6749CC32"/>
    <w:rsid w:val="6752DF5A"/>
    <w:rsid w:val="677416F6"/>
    <w:rsid w:val="6775048A"/>
    <w:rsid w:val="6786C2B0"/>
    <w:rsid w:val="6796A015"/>
    <w:rsid w:val="6827653F"/>
    <w:rsid w:val="68320BE5"/>
    <w:rsid w:val="6858D7E0"/>
    <w:rsid w:val="6866C369"/>
    <w:rsid w:val="686E2938"/>
    <w:rsid w:val="6885557B"/>
    <w:rsid w:val="68E29DE1"/>
    <w:rsid w:val="68E59C93"/>
    <w:rsid w:val="68F06057"/>
    <w:rsid w:val="691FA2D1"/>
    <w:rsid w:val="6A43E066"/>
    <w:rsid w:val="6A6AD58B"/>
    <w:rsid w:val="6A79F08D"/>
    <w:rsid w:val="6A8D19D3"/>
    <w:rsid w:val="6AACA54C"/>
    <w:rsid w:val="6ABD38D1"/>
    <w:rsid w:val="6AE692D7"/>
    <w:rsid w:val="6B0B933C"/>
    <w:rsid w:val="6B5F0601"/>
    <w:rsid w:val="6B642609"/>
    <w:rsid w:val="6C06A5EC"/>
    <w:rsid w:val="6C1D3D55"/>
    <w:rsid w:val="6C2239B9"/>
    <w:rsid w:val="6C50D2E2"/>
    <w:rsid w:val="6CA7639D"/>
    <w:rsid w:val="6CD0CFF4"/>
    <w:rsid w:val="6CF41868"/>
    <w:rsid w:val="6D5D9371"/>
    <w:rsid w:val="6D7B8128"/>
    <w:rsid w:val="6DBE0A1A"/>
    <w:rsid w:val="6DC4BA95"/>
    <w:rsid w:val="6DFF0D0A"/>
    <w:rsid w:val="6E196B69"/>
    <w:rsid w:val="6E96A6C3"/>
    <w:rsid w:val="6E9FF73B"/>
    <w:rsid w:val="6EC66346"/>
    <w:rsid w:val="6EEFA42C"/>
    <w:rsid w:val="6EFE292C"/>
    <w:rsid w:val="6F22947C"/>
    <w:rsid w:val="6F3F4D65"/>
    <w:rsid w:val="6F66D3A0"/>
    <w:rsid w:val="6F8873A4"/>
    <w:rsid w:val="6F96AC00"/>
    <w:rsid w:val="6FA34DD0"/>
    <w:rsid w:val="6FB53BCA"/>
    <w:rsid w:val="6FC87A72"/>
    <w:rsid w:val="6FD4AA76"/>
    <w:rsid w:val="6FF2ACAD"/>
    <w:rsid w:val="70386E98"/>
    <w:rsid w:val="705D7DE1"/>
    <w:rsid w:val="7065A6F8"/>
    <w:rsid w:val="70FB723C"/>
    <w:rsid w:val="710926ED"/>
    <w:rsid w:val="715501C2"/>
    <w:rsid w:val="717D7330"/>
    <w:rsid w:val="717DA506"/>
    <w:rsid w:val="719F6BAE"/>
    <w:rsid w:val="71CE4785"/>
    <w:rsid w:val="71F9E0BB"/>
    <w:rsid w:val="71FE0408"/>
    <w:rsid w:val="72061DCB"/>
    <w:rsid w:val="72740DDA"/>
    <w:rsid w:val="728D31A5"/>
    <w:rsid w:val="72C53147"/>
    <w:rsid w:val="72F0D223"/>
    <w:rsid w:val="72F15BC0"/>
    <w:rsid w:val="73001B34"/>
    <w:rsid w:val="73197567"/>
    <w:rsid w:val="733DE3B2"/>
    <w:rsid w:val="73798C55"/>
    <w:rsid w:val="7395B11C"/>
    <w:rsid w:val="743312FE"/>
    <w:rsid w:val="743312FE"/>
    <w:rsid w:val="746B8D9C"/>
    <w:rsid w:val="748CA284"/>
    <w:rsid w:val="749F742F"/>
    <w:rsid w:val="74B13162"/>
    <w:rsid w:val="75338F76"/>
    <w:rsid w:val="7535A4CA"/>
    <w:rsid w:val="755EE5B0"/>
    <w:rsid w:val="7571B851"/>
    <w:rsid w:val="759A2CE4"/>
    <w:rsid w:val="75B7723D"/>
    <w:rsid w:val="75E6C85D"/>
    <w:rsid w:val="75F35402"/>
    <w:rsid w:val="75FCE834"/>
    <w:rsid w:val="7627E9E1"/>
    <w:rsid w:val="765A8BB3"/>
    <w:rsid w:val="7684FB57"/>
    <w:rsid w:val="76D1752B"/>
    <w:rsid w:val="76DAC69E"/>
    <w:rsid w:val="76DFA229"/>
    <w:rsid w:val="76FAB611"/>
    <w:rsid w:val="7707F97C"/>
    <w:rsid w:val="7712DCF4"/>
    <w:rsid w:val="777833E1"/>
    <w:rsid w:val="777F5ACB"/>
    <w:rsid w:val="77B59A13"/>
    <w:rsid w:val="783D8909"/>
    <w:rsid w:val="784CFD78"/>
    <w:rsid w:val="78901D88"/>
    <w:rsid w:val="7891F503"/>
    <w:rsid w:val="78C2EA5E"/>
    <w:rsid w:val="78E62FAB"/>
    <w:rsid w:val="78F6D475"/>
    <w:rsid w:val="79516A74"/>
    <w:rsid w:val="7995C3DD"/>
    <w:rsid w:val="7A0915ED"/>
    <w:rsid w:val="7A395AF0"/>
    <w:rsid w:val="7A3F9A3E"/>
    <w:rsid w:val="7A61B352"/>
    <w:rsid w:val="7A91387D"/>
    <w:rsid w:val="7AA8916C"/>
    <w:rsid w:val="7AA9A0B9"/>
    <w:rsid w:val="7AC6C525"/>
    <w:rsid w:val="7B0EB5B3"/>
    <w:rsid w:val="7B12796C"/>
    <w:rsid w:val="7B33C36D"/>
    <w:rsid w:val="7B3D0963"/>
    <w:rsid w:val="7B48F597"/>
    <w:rsid w:val="7B793BA6"/>
    <w:rsid w:val="7B8B729C"/>
    <w:rsid w:val="7BA4E64E"/>
    <w:rsid w:val="7BC38826"/>
    <w:rsid w:val="7BD52B51"/>
    <w:rsid w:val="7C1CC9B6"/>
    <w:rsid w:val="7CCDCB61"/>
    <w:rsid w:val="7DC7FEAC"/>
    <w:rsid w:val="7DD48F93"/>
    <w:rsid w:val="7DE1417B"/>
    <w:rsid w:val="7E141587"/>
    <w:rsid w:val="7E431479"/>
    <w:rsid w:val="7E7E7466"/>
    <w:rsid w:val="7E809659"/>
    <w:rsid w:val="7E809659"/>
    <w:rsid w:val="7E84CBDB"/>
    <w:rsid w:val="7E964CCA"/>
    <w:rsid w:val="7EA24FAF"/>
    <w:rsid w:val="7EAC036B"/>
    <w:rsid w:val="7F130B61"/>
    <w:rsid w:val="7FA06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2089"/>
  <w15:chartTrackingRefBased/>
  <w15:docId w15:val="{A038F3E7-F6F2-4E26-B53A-E4E68986B7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28a8def7156e48b4" /><Relationship Type="http://schemas.openxmlformats.org/officeDocument/2006/relationships/numbering" Target="numbering.xml" Id="Rbd3e13a82c44451b" /><Relationship Type="http://schemas.openxmlformats.org/officeDocument/2006/relationships/hyperlink" Target="https://doi.org/10.2307/1326089" TargetMode="External" Id="R2039c3d135584aeb" /><Relationship Type="http://schemas.openxmlformats.org/officeDocument/2006/relationships/hyperlink" Target="https://www.law.cornell.edu/wex/severable_contract" TargetMode="External" Id="Rba09c4cdf09941c9" /><Relationship Type="http://schemas.openxmlformats.org/officeDocument/2006/relationships/hyperlink" Target="https://app.croneri.co.uk/feature-articles/implied-contractual-terms" TargetMode="External" Id="Rb63c6e49d4234f46" /><Relationship Type="http://schemas.openxmlformats.org/officeDocument/2006/relationships/hyperlink" Target="https://uk.practicallaw.thomsonreuters.com/8-107-7056?transitionType=Default&amp;contextData=(sc.Default" TargetMode="External" Id="R0bc8a5eb107e4413" /><Relationship Type="http://schemas.openxmlformats.org/officeDocument/2006/relationships/hyperlink" Target="https://heinonline.org/HOL/LandingPage?handle=hein.journals/dubulj2&amp;div=10&amp;id=&amp;page=" TargetMode="External" Id="R1106a9ff72d04f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2022-02-18T22:59:53.9587532Z</dcterms:created>
  <dcterms:modified xsi:type="dcterms:W3CDTF">2022-03-04T04:41:47.2392602Z</dcterms:modified>
  <dc:creator>Frances Williams (1904925)</dc:creator>
  <lastModifiedBy>Frances Williams (1904925)</lastModifiedBy>
</coreProperties>
</file>