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02B2F54" w14:textId="77777777" w:rsidR="00E23744" w:rsidRDefault="00DA4069" w:rsidP="00DA4069">
      <w:pPr>
        <w:pBdr>
          <w:top w:val="single" w:sz="4" w:space="1" w:color="auto"/>
          <w:left w:val="single" w:sz="4" w:space="4" w:color="auto"/>
          <w:bottom w:val="single" w:sz="4" w:space="1" w:color="auto"/>
          <w:right w:val="single" w:sz="4" w:space="4" w:color="auto"/>
        </w:pBdr>
        <w:jc w:val="center"/>
        <w:rPr>
          <w:b/>
          <w:bCs/>
        </w:rPr>
      </w:pPr>
      <w:r w:rsidRPr="00DA4069">
        <w:rPr>
          <w:b/>
          <w:bCs/>
        </w:rPr>
        <w:t>MAJOR PROJECT QUESTIONS</w:t>
      </w:r>
    </w:p>
    <w:p w14:paraId="73C394E3" w14:textId="77777777" w:rsidR="00DA4069" w:rsidRDefault="00DA4069" w:rsidP="00DA4069">
      <w:pPr>
        <w:rPr>
          <w:b/>
          <w:bCs/>
        </w:rPr>
      </w:pPr>
    </w:p>
    <w:p w14:paraId="2692A8BD" w14:textId="53B90D80" w:rsidR="00DA4069" w:rsidRDefault="00DA4069" w:rsidP="00016C09">
      <w:pPr>
        <w:spacing w:after="120"/>
        <w:rPr>
          <w:b/>
          <w:bCs/>
          <w:u w:val="single"/>
        </w:rPr>
      </w:pPr>
      <w:r w:rsidRPr="00DA4069">
        <w:rPr>
          <w:b/>
          <w:bCs/>
          <w:u w:val="single"/>
        </w:rPr>
        <w:t>QUESTION ONE</w:t>
      </w:r>
    </w:p>
    <w:p w14:paraId="6D5E8CC7" w14:textId="0D3A12CF" w:rsidR="005C5199" w:rsidRPr="00BD56F1" w:rsidRDefault="00B40A4B" w:rsidP="00BD56F1">
      <w:pPr>
        <w:rPr>
          <w:bCs/>
        </w:rPr>
      </w:pPr>
      <w:r>
        <w:rPr>
          <w:bCs/>
        </w:rPr>
        <w:t xml:space="preserve">In section 6.1.2.2 (pg 60), you discuss some of the findings from the audit/review conducted at Amcor and their comments relating to variation in their product (composition). When you identified that the quarantined foil had a different composition to the known ‘good’ foil, which specification metric would measure this difference and was this within the product specification (as originally defined by OCD)?  </w:t>
      </w:r>
    </w:p>
    <w:tbl>
      <w:tblPr>
        <w:tblStyle w:val="TableGrid"/>
        <w:tblW w:w="0" w:type="auto"/>
        <w:tblLook w:val="04A0" w:firstRow="1" w:lastRow="0" w:firstColumn="1" w:lastColumn="0" w:noHBand="0" w:noVBand="1"/>
      </w:tblPr>
      <w:tblGrid>
        <w:gridCol w:w="9016"/>
      </w:tblGrid>
      <w:tr w:rsidR="0088217D" w14:paraId="0D1085A7" w14:textId="77777777" w:rsidTr="0088217D">
        <w:tc>
          <w:tcPr>
            <w:tcW w:w="9016" w:type="dxa"/>
          </w:tcPr>
          <w:p w14:paraId="28CA468C" w14:textId="77777777" w:rsidR="00BD56F1" w:rsidRDefault="00BD56F1" w:rsidP="00BD56F1">
            <w:pPr>
              <w:jc w:val="both"/>
              <w:rPr>
                <w:rFonts w:cs="Arial"/>
              </w:rPr>
            </w:pPr>
          </w:p>
          <w:p w14:paraId="592E0DDC" w14:textId="664293F6" w:rsidR="00854E9D" w:rsidRPr="005B03CF" w:rsidRDefault="005C5199" w:rsidP="00BD56F1">
            <w:pPr>
              <w:pStyle w:val="Caption"/>
              <w:spacing w:before="120" w:after="120"/>
              <w:jc w:val="center"/>
              <w:rPr>
                <w:rFonts w:cs="Arial"/>
                <w:highlight w:val="yellow"/>
              </w:rPr>
            </w:pPr>
            <w:bookmarkStart w:id="0" w:name="_Toc43064661"/>
            <w:bookmarkStart w:id="1" w:name="_Ref44012874"/>
            <w:r>
              <w:t xml:space="preserve">Table </w:t>
            </w:r>
            <w:fldSimple w:instr=" SEQ Table \* ARABIC ">
              <w:r>
                <w:rPr>
                  <w:noProof/>
                </w:rPr>
                <w:t>1</w:t>
              </w:r>
            </w:fldSimple>
            <w:bookmarkEnd w:id="1"/>
            <w:r w:rsidR="00854E9D" w:rsidRPr="00303397">
              <w:rPr>
                <w:rFonts w:cs="Arial"/>
              </w:rPr>
              <w:t>–</w:t>
            </w:r>
            <w:r w:rsidR="00854E9D">
              <w:rPr>
                <w:rFonts w:cs="Arial"/>
              </w:rPr>
              <w:t xml:space="preserve"> Amcor Foil Material Specification.</w:t>
            </w:r>
            <w:bookmarkEnd w:id="0"/>
          </w:p>
          <w:tbl>
            <w:tblPr>
              <w:tblW w:w="6804" w:type="dxa"/>
              <w:jc w:val="center"/>
              <w:tblLook w:val="04A0" w:firstRow="1" w:lastRow="0" w:firstColumn="1" w:lastColumn="0" w:noHBand="0" w:noVBand="1"/>
            </w:tblPr>
            <w:tblGrid>
              <w:gridCol w:w="1559"/>
              <w:gridCol w:w="1985"/>
              <w:gridCol w:w="3260"/>
            </w:tblGrid>
            <w:tr w:rsidR="00854E9D" w:rsidRPr="00303397" w14:paraId="02EBE61B" w14:textId="77777777" w:rsidTr="00421ACE">
              <w:trPr>
                <w:trHeight w:val="300"/>
                <w:jc w:val="center"/>
              </w:trPr>
              <w:tc>
                <w:tcPr>
                  <w:tcW w:w="6804" w:type="dxa"/>
                  <w:gridSpan w:val="3"/>
                  <w:tcBorders>
                    <w:top w:val="single" w:sz="4" w:space="0" w:color="auto"/>
                    <w:left w:val="single" w:sz="4" w:space="0" w:color="auto"/>
                    <w:bottom w:val="single" w:sz="4" w:space="0" w:color="auto"/>
                    <w:right w:val="single" w:sz="4" w:space="0" w:color="000000"/>
                  </w:tcBorders>
                  <w:shd w:val="clear" w:color="000000" w:fill="D9E1F2"/>
                  <w:noWrap/>
                  <w:vAlign w:val="center"/>
                  <w:hideMark/>
                </w:tcPr>
                <w:p w14:paraId="56D6A103" w14:textId="77777777" w:rsidR="00854E9D" w:rsidRPr="00FD0C65" w:rsidRDefault="00854E9D" w:rsidP="00854E9D">
                  <w:pPr>
                    <w:spacing w:after="0" w:line="240" w:lineRule="auto"/>
                    <w:jc w:val="center"/>
                    <w:rPr>
                      <w:rFonts w:eastAsia="Times New Roman" w:cs="Arial"/>
                      <w:b/>
                      <w:bCs/>
                      <w:color w:val="000000"/>
                      <w:sz w:val="20"/>
                      <w:lang w:eastAsia="en-GB"/>
                    </w:rPr>
                  </w:pPr>
                  <w:r w:rsidRPr="00FD0C65">
                    <w:rPr>
                      <w:rFonts w:eastAsia="Times New Roman" w:cs="Arial"/>
                      <w:b/>
                      <w:bCs/>
                      <w:color w:val="000000"/>
                      <w:sz w:val="20"/>
                      <w:lang w:eastAsia="en-GB"/>
                    </w:rPr>
                    <w:t>Material Composition</w:t>
                  </w:r>
                </w:p>
              </w:tc>
            </w:tr>
            <w:tr w:rsidR="00854E9D" w:rsidRPr="00303397" w14:paraId="2581B71E" w14:textId="77777777" w:rsidTr="00421ACE">
              <w:trPr>
                <w:trHeight w:val="300"/>
                <w:jc w:val="center"/>
              </w:trPr>
              <w:tc>
                <w:tcPr>
                  <w:tcW w:w="1559" w:type="dxa"/>
                  <w:vMerge w:val="restart"/>
                  <w:tcBorders>
                    <w:top w:val="nil"/>
                    <w:left w:val="single" w:sz="4" w:space="0" w:color="auto"/>
                    <w:bottom w:val="single" w:sz="4" w:space="0" w:color="000000"/>
                    <w:right w:val="single" w:sz="4" w:space="0" w:color="auto"/>
                  </w:tcBorders>
                  <w:shd w:val="clear" w:color="auto" w:fill="F2F2F2" w:themeFill="background1" w:themeFillShade="F2"/>
                  <w:noWrap/>
                  <w:vAlign w:val="center"/>
                  <w:hideMark/>
                </w:tcPr>
                <w:p w14:paraId="2EE75082" w14:textId="77777777" w:rsidR="00854E9D" w:rsidRPr="00FD0C65" w:rsidRDefault="00854E9D" w:rsidP="00854E9D">
                  <w:pPr>
                    <w:spacing w:after="0" w:line="240" w:lineRule="auto"/>
                    <w:jc w:val="center"/>
                    <w:rPr>
                      <w:rFonts w:eastAsia="Times New Roman" w:cs="Arial"/>
                      <w:b/>
                      <w:bCs/>
                      <w:color w:val="000000"/>
                      <w:sz w:val="20"/>
                      <w:lang w:eastAsia="en-GB"/>
                    </w:rPr>
                  </w:pPr>
                  <w:r w:rsidRPr="00FD0C65">
                    <w:rPr>
                      <w:rFonts w:eastAsia="Times New Roman" w:cs="Arial"/>
                      <w:b/>
                      <w:bCs/>
                      <w:color w:val="000000"/>
                      <w:sz w:val="20"/>
                      <w:lang w:eastAsia="en-GB"/>
                    </w:rPr>
                    <w:t>Top Lacquer</w:t>
                  </w:r>
                </w:p>
              </w:tc>
              <w:tc>
                <w:tcPr>
                  <w:tcW w:w="1985" w:type="dxa"/>
                  <w:tcBorders>
                    <w:top w:val="nil"/>
                    <w:left w:val="nil"/>
                    <w:bottom w:val="single" w:sz="4" w:space="0" w:color="auto"/>
                    <w:right w:val="single" w:sz="4" w:space="0" w:color="auto"/>
                  </w:tcBorders>
                  <w:shd w:val="clear" w:color="auto" w:fill="F2F2F2" w:themeFill="background1" w:themeFillShade="F2"/>
                  <w:noWrap/>
                  <w:vAlign w:val="center"/>
                  <w:hideMark/>
                </w:tcPr>
                <w:p w14:paraId="7B0855A1" w14:textId="77777777" w:rsidR="00854E9D" w:rsidRPr="00FD0C65" w:rsidRDefault="00854E9D" w:rsidP="00854E9D">
                  <w:pPr>
                    <w:spacing w:after="0" w:line="240" w:lineRule="auto"/>
                    <w:jc w:val="center"/>
                    <w:rPr>
                      <w:rFonts w:eastAsia="Times New Roman" w:cs="Arial"/>
                      <w:bCs/>
                      <w:color w:val="000000"/>
                      <w:sz w:val="20"/>
                      <w:lang w:eastAsia="en-GB"/>
                    </w:rPr>
                  </w:pPr>
                  <w:r w:rsidRPr="00FD0C65">
                    <w:rPr>
                      <w:rFonts w:eastAsia="Times New Roman" w:cs="Arial"/>
                      <w:bCs/>
                      <w:color w:val="000000"/>
                      <w:sz w:val="20"/>
                      <w:lang w:eastAsia="en-GB"/>
                    </w:rPr>
                    <w:t>Chemical Base</w:t>
                  </w:r>
                </w:p>
              </w:tc>
              <w:tc>
                <w:tcPr>
                  <w:tcW w:w="3260" w:type="dxa"/>
                  <w:tcBorders>
                    <w:top w:val="nil"/>
                    <w:left w:val="nil"/>
                    <w:bottom w:val="single" w:sz="4" w:space="0" w:color="auto"/>
                    <w:right w:val="single" w:sz="4" w:space="0" w:color="auto"/>
                  </w:tcBorders>
                  <w:shd w:val="clear" w:color="auto" w:fill="auto"/>
                  <w:noWrap/>
                  <w:vAlign w:val="center"/>
                  <w:hideMark/>
                </w:tcPr>
                <w:p w14:paraId="09CA007F" w14:textId="77777777" w:rsidR="00854E9D" w:rsidRPr="00FD0C65" w:rsidRDefault="00854E9D" w:rsidP="00854E9D">
                  <w:pPr>
                    <w:spacing w:after="0" w:line="240" w:lineRule="auto"/>
                    <w:jc w:val="center"/>
                    <w:rPr>
                      <w:rFonts w:eastAsia="Times New Roman" w:cs="Arial"/>
                      <w:sz w:val="20"/>
                      <w:lang w:eastAsia="en-GB"/>
                    </w:rPr>
                  </w:pPr>
                  <w:r w:rsidRPr="00FD0C65">
                    <w:rPr>
                      <w:rFonts w:eastAsia="Times New Roman" w:cs="Arial"/>
                      <w:sz w:val="20"/>
                      <w:lang w:eastAsia="en-GB"/>
                    </w:rPr>
                    <w:t>Epoxy</w:t>
                  </w:r>
                </w:p>
              </w:tc>
            </w:tr>
            <w:tr w:rsidR="00854E9D" w:rsidRPr="00303397" w14:paraId="5E2B0A9A" w14:textId="77777777" w:rsidTr="00421ACE">
              <w:trPr>
                <w:trHeight w:val="300"/>
                <w:jc w:val="center"/>
              </w:trPr>
              <w:tc>
                <w:tcPr>
                  <w:tcW w:w="1559" w:type="dxa"/>
                  <w:vMerge/>
                  <w:tcBorders>
                    <w:top w:val="nil"/>
                    <w:left w:val="single" w:sz="4" w:space="0" w:color="auto"/>
                    <w:bottom w:val="single" w:sz="4" w:space="0" w:color="000000"/>
                    <w:right w:val="single" w:sz="4" w:space="0" w:color="auto"/>
                  </w:tcBorders>
                  <w:shd w:val="clear" w:color="auto" w:fill="F2F2F2" w:themeFill="background1" w:themeFillShade="F2"/>
                  <w:vAlign w:val="center"/>
                  <w:hideMark/>
                </w:tcPr>
                <w:p w14:paraId="7C5ACF77" w14:textId="77777777" w:rsidR="00854E9D" w:rsidRPr="00FD0C65" w:rsidRDefault="00854E9D" w:rsidP="00854E9D">
                  <w:pPr>
                    <w:spacing w:after="0" w:line="240" w:lineRule="auto"/>
                    <w:rPr>
                      <w:rFonts w:eastAsia="Times New Roman" w:cs="Arial"/>
                      <w:b/>
                      <w:bCs/>
                      <w:color w:val="000000"/>
                      <w:sz w:val="20"/>
                      <w:lang w:eastAsia="en-GB"/>
                    </w:rPr>
                  </w:pPr>
                </w:p>
              </w:tc>
              <w:tc>
                <w:tcPr>
                  <w:tcW w:w="1985" w:type="dxa"/>
                  <w:tcBorders>
                    <w:top w:val="nil"/>
                    <w:left w:val="nil"/>
                    <w:bottom w:val="single" w:sz="4" w:space="0" w:color="auto"/>
                    <w:right w:val="single" w:sz="4" w:space="0" w:color="auto"/>
                  </w:tcBorders>
                  <w:shd w:val="clear" w:color="auto" w:fill="F2F2F2" w:themeFill="background1" w:themeFillShade="F2"/>
                  <w:noWrap/>
                  <w:vAlign w:val="center"/>
                  <w:hideMark/>
                </w:tcPr>
                <w:p w14:paraId="42D5F2B4" w14:textId="77777777" w:rsidR="00854E9D" w:rsidRPr="00FD0C65" w:rsidRDefault="00854E9D" w:rsidP="00854E9D">
                  <w:pPr>
                    <w:spacing w:after="0" w:line="240" w:lineRule="auto"/>
                    <w:jc w:val="center"/>
                    <w:rPr>
                      <w:rFonts w:eastAsia="Times New Roman" w:cs="Arial"/>
                      <w:bCs/>
                      <w:color w:val="000000"/>
                      <w:sz w:val="20"/>
                      <w:lang w:eastAsia="en-GB"/>
                    </w:rPr>
                  </w:pPr>
                  <w:r w:rsidRPr="00FD0C65">
                    <w:rPr>
                      <w:rFonts w:eastAsia="Times New Roman" w:cs="Arial"/>
                      <w:bCs/>
                      <w:color w:val="000000"/>
                      <w:sz w:val="20"/>
                      <w:lang w:eastAsia="en-GB"/>
                    </w:rPr>
                    <w:t>Colour</w:t>
                  </w:r>
                </w:p>
              </w:tc>
              <w:tc>
                <w:tcPr>
                  <w:tcW w:w="3260" w:type="dxa"/>
                  <w:tcBorders>
                    <w:top w:val="nil"/>
                    <w:left w:val="nil"/>
                    <w:bottom w:val="single" w:sz="4" w:space="0" w:color="auto"/>
                    <w:right w:val="single" w:sz="4" w:space="0" w:color="auto"/>
                  </w:tcBorders>
                  <w:shd w:val="clear" w:color="auto" w:fill="auto"/>
                  <w:noWrap/>
                  <w:vAlign w:val="center"/>
                  <w:hideMark/>
                </w:tcPr>
                <w:p w14:paraId="24CCC194" w14:textId="77777777" w:rsidR="00854E9D" w:rsidRPr="00FD0C65" w:rsidRDefault="00854E9D" w:rsidP="00854E9D">
                  <w:pPr>
                    <w:spacing w:after="0" w:line="240" w:lineRule="auto"/>
                    <w:jc w:val="center"/>
                    <w:rPr>
                      <w:rFonts w:eastAsia="Times New Roman" w:cs="Arial"/>
                      <w:sz w:val="20"/>
                      <w:lang w:eastAsia="en-GB"/>
                    </w:rPr>
                  </w:pPr>
                  <w:r w:rsidRPr="00FD0C65">
                    <w:rPr>
                      <w:rFonts w:eastAsia="Times New Roman" w:cs="Arial"/>
                      <w:sz w:val="20"/>
                      <w:lang w:eastAsia="en-GB"/>
                    </w:rPr>
                    <w:t>Gold</w:t>
                  </w:r>
                </w:p>
              </w:tc>
            </w:tr>
            <w:tr w:rsidR="00854E9D" w:rsidRPr="00303397" w14:paraId="4A23A146" w14:textId="77777777" w:rsidTr="00421ACE">
              <w:trPr>
                <w:trHeight w:val="300"/>
                <w:jc w:val="center"/>
              </w:trPr>
              <w:tc>
                <w:tcPr>
                  <w:tcW w:w="1559" w:type="dxa"/>
                  <w:vMerge/>
                  <w:tcBorders>
                    <w:top w:val="nil"/>
                    <w:left w:val="single" w:sz="4" w:space="0" w:color="auto"/>
                    <w:bottom w:val="single" w:sz="4" w:space="0" w:color="000000"/>
                    <w:right w:val="single" w:sz="4" w:space="0" w:color="auto"/>
                  </w:tcBorders>
                  <w:shd w:val="clear" w:color="auto" w:fill="F2F2F2" w:themeFill="background1" w:themeFillShade="F2"/>
                  <w:vAlign w:val="center"/>
                  <w:hideMark/>
                </w:tcPr>
                <w:p w14:paraId="3442ACDC" w14:textId="77777777" w:rsidR="00854E9D" w:rsidRPr="00FD0C65" w:rsidRDefault="00854E9D" w:rsidP="00854E9D">
                  <w:pPr>
                    <w:spacing w:after="0" w:line="240" w:lineRule="auto"/>
                    <w:rPr>
                      <w:rFonts w:eastAsia="Times New Roman" w:cs="Arial"/>
                      <w:b/>
                      <w:bCs/>
                      <w:color w:val="000000"/>
                      <w:sz w:val="20"/>
                      <w:lang w:eastAsia="en-GB"/>
                    </w:rPr>
                  </w:pPr>
                </w:p>
              </w:tc>
              <w:tc>
                <w:tcPr>
                  <w:tcW w:w="1985" w:type="dxa"/>
                  <w:tcBorders>
                    <w:top w:val="nil"/>
                    <w:left w:val="nil"/>
                    <w:bottom w:val="single" w:sz="4" w:space="0" w:color="auto"/>
                    <w:right w:val="single" w:sz="4" w:space="0" w:color="auto"/>
                  </w:tcBorders>
                  <w:shd w:val="clear" w:color="auto" w:fill="F2F2F2" w:themeFill="background1" w:themeFillShade="F2"/>
                  <w:noWrap/>
                  <w:vAlign w:val="center"/>
                  <w:hideMark/>
                </w:tcPr>
                <w:p w14:paraId="7CEE3182" w14:textId="77777777" w:rsidR="00854E9D" w:rsidRPr="00FD0C65" w:rsidRDefault="00854E9D" w:rsidP="00854E9D">
                  <w:pPr>
                    <w:spacing w:after="0" w:line="240" w:lineRule="auto"/>
                    <w:jc w:val="center"/>
                    <w:rPr>
                      <w:rFonts w:eastAsia="Times New Roman" w:cs="Arial"/>
                      <w:bCs/>
                      <w:color w:val="000000"/>
                      <w:sz w:val="20"/>
                      <w:lang w:eastAsia="en-GB"/>
                    </w:rPr>
                  </w:pPr>
                  <w:r w:rsidRPr="00FD0C65">
                    <w:rPr>
                      <w:rFonts w:eastAsia="Times New Roman" w:cs="Arial"/>
                      <w:bCs/>
                      <w:color w:val="000000"/>
                      <w:sz w:val="20"/>
                      <w:lang w:eastAsia="en-GB"/>
                    </w:rPr>
                    <w:t>Weight</w:t>
                  </w:r>
                </w:p>
              </w:tc>
              <w:tc>
                <w:tcPr>
                  <w:tcW w:w="3260" w:type="dxa"/>
                  <w:tcBorders>
                    <w:top w:val="nil"/>
                    <w:left w:val="nil"/>
                    <w:bottom w:val="single" w:sz="4" w:space="0" w:color="auto"/>
                    <w:right w:val="single" w:sz="4" w:space="0" w:color="auto"/>
                  </w:tcBorders>
                  <w:shd w:val="clear" w:color="auto" w:fill="auto"/>
                  <w:noWrap/>
                  <w:vAlign w:val="center"/>
                  <w:hideMark/>
                </w:tcPr>
                <w:p w14:paraId="58EE5444" w14:textId="77777777" w:rsidR="00854E9D" w:rsidRPr="00FD0C65" w:rsidRDefault="00854E9D" w:rsidP="00854E9D">
                  <w:pPr>
                    <w:spacing w:after="0" w:line="240" w:lineRule="auto"/>
                    <w:jc w:val="center"/>
                    <w:rPr>
                      <w:rFonts w:eastAsia="Times New Roman" w:cs="Arial"/>
                      <w:color w:val="000000"/>
                      <w:sz w:val="20"/>
                      <w:lang w:eastAsia="en-GB"/>
                    </w:rPr>
                  </w:pPr>
                  <w:r w:rsidRPr="00FD0C65">
                    <w:rPr>
                      <w:rFonts w:eastAsia="Times New Roman" w:cs="Arial"/>
                      <w:color w:val="000000"/>
                      <w:sz w:val="20"/>
                      <w:lang w:eastAsia="en-GB"/>
                    </w:rPr>
                    <w:t>3g/m² ± 0.9g/m²</w:t>
                  </w:r>
                </w:p>
              </w:tc>
            </w:tr>
            <w:tr w:rsidR="00854E9D" w:rsidRPr="00303397" w14:paraId="0D747FAE" w14:textId="77777777" w:rsidTr="00421ACE">
              <w:trPr>
                <w:trHeight w:val="20"/>
                <w:jc w:val="center"/>
              </w:trPr>
              <w:tc>
                <w:tcPr>
                  <w:tcW w:w="6804" w:type="dxa"/>
                  <w:gridSpan w:val="3"/>
                  <w:tcBorders>
                    <w:top w:val="single" w:sz="4" w:space="0" w:color="auto"/>
                    <w:left w:val="single" w:sz="4" w:space="0" w:color="auto"/>
                    <w:bottom w:val="single" w:sz="4" w:space="0" w:color="auto"/>
                    <w:right w:val="single" w:sz="4" w:space="0" w:color="000000"/>
                  </w:tcBorders>
                  <w:shd w:val="clear" w:color="auto" w:fill="D9E2F3" w:themeFill="accent1" w:themeFillTint="33"/>
                  <w:noWrap/>
                  <w:vAlign w:val="center"/>
                  <w:hideMark/>
                </w:tcPr>
                <w:p w14:paraId="53EEDBD6" w14:textId="77777777" w:rsidR="00854E9D" w:rsidRPr="00FD0C65" w:rsidRDefault="00854E9D" w:rsidP="00854E9D">
                  <w:pPr>
                    <w:spacing w:after="0" w:line="240" w:lineRule="auto"/>
                    <w:rPr>
                      <w:rFonts w:eastAsia="Times New Roman" w:cs="Arial"/>
                      <w:b/>
                      <w:bCs/>
                      <w:color w:val="000000"/>
                      <w:sz w:val="20"/>
                      <w:lang w:eastAsia="en-GB"/>
                    </w:rPr>
                  </w:pPr>
                </w:p>
              </w:tc>
            </w:tr>
            <w:tr w:rsidR="00854E9D" w:rsidRPr="00303397" w14:paraId="51978A6F" w14:textId="77777777" w:rsidTr="00421ACE">
              <w:trPr>
                <w:trHeight w:val="300"/>
                <w:jc w:val="center"/>
              </w:trPr>
              <w:tc>
                <w:tcPr>
                  <w:tcW w:w="1559" w:type="dxa"/>
                  <w:vMerge w:val="restart"/>
                  <w:tcBorders>
                    <w:top w:val="nil"/>
                    <w:left w:val="single" w:sz="4" w:space="0" w:color="auto"/>
                    <w:bottom w:val="single" w:sz="4" w:space="0" w:color="000000"/>
                    <w:right w:val="single" w:sz="4" w:space="0" w:color="auto"/>
                  </w:tcBorders>
                  <w:shd w:val="clear" w:color="auto" w:fill="F2F2F2" w:themeFill="background1" w:themeFillShade="F2"/>
                  <w:noWrap/>
                  <w:vAlign w:val="center"/>
                  <w:hideMark/>
                </w:tcPr>
                <w:p w14:paraId="4952EF02" w14:textId="77777777" w:rsidR="00854E9D" w:rsidRPr="00FD0C65" w:rsidRDefault="00854E9D" w:rsidP="00854E9D">
                  <w:pPr>
                    <w:spacing w:after="0" w:line="240" w:lineRule="auto"/>
                    <w:jc w:val="center"/>
                    <w:rPr>
                      <w:rFonts w:eastAsia="Times New Roman" w:cs="Arial"/>
                      <w:b/>
                      <w:bCs/>
                      <w:color w:val="000000"/>
                      <w:sz w:val="20"/>
                      <w:lang w:eastAsia="en-GB"/>
                    </w:rPr>
                  </w:pPr>
                  <w:r w:rsidRPr="00FD0C65">
                    <w:rPr>
                      <w:rFonts w:eastAsia="Times New Roman" w:cs="Arial"/>
                      <w:b/>
                      <w:bCs/>
                      <w:color w:val="000000"/>
                      <w:sz w:val="20"/>
                      <w:lang w:eastAsia="en-GB"/>
                    </w:rPr>
                    <w:t xml:space="preserve">Foil </w:t>
                  </w:r>
                </w:p>
              </w:tc>
              <w:tc>
                <w:tcPr>
                  <w:tcW w:w="1985" w:type="dxa"/>
                  <w:tcBorders>
                    <w:top w:val="nil"/>
                    <w:left w:val="nil"/>
                    <w:bottom w:val="single" w:sz="4" w:space="0" w:color="auto"/>
                    <w:right w:val="single" w:sz="4" w:space="0" w:color="auto"/>
                  </w:tcBorders>
                  <w:shd w:val="clear" w:color="auto" w:fill="F2F2F2" w:themeFill="background1" w:themeFillShade="F2"/>
                  <w:noWrap/>
                  <w:vAlign w:val="center"/>
                  <w:hideMark/>
                </w:tcPr>
                <w:p w14:paraId="0DA7ED6E" w14:textId="77777777" w:rsidR="00854E9D" w:rsidRPr="00FD0C65" w:rsidRDefault="00854E9D" w:rsidP="00854E9D">
                  <w:pPr>
                    <w:spacing w:after="0" w:line="240" w:lineRule="auto"/>
                    <w:jc w:val="center"/>
                    <w:rPr>
                      <w:rFonts w:eastAsia="Times New Roman" w:cs="Arial"/>
                      <w:bCs/>
                      <w:color w:val="000000"/>
                      <w:sz w:val="20"/>
                      <w:lang w:eastAsia="en-GB"/>
                    </w:rPr>
                  </w:pPr>
                  <w:r w:rsidRPr="00FD0C65">
                    <w:rPr>
                      <w:rFonts w:eastAsia="Times New Roman" w:cs="Arial"/>
                      <w:bCs/>
                      <w:color w:val="000000"/>
                      <w:sz w:val="20"/>
                      <w:lang w:eastAsia="en-GB"/>
                    </w:rPr>
                    <w:t>Material</w:t>
                  </w:r>
                </w:p>
              </w:tc>
              <w:tc>
                <w:tcPr>
                  <w:tcW w:w="3260" w:type="dxa"/>
                  <w:tcBorders>
                    <w:top w:val="nil"/>
                    <w:left w:val="nil"/>
                    <w:bottom w:val="single" w:sz="4" w:space="0" w:color="auto"/>
                    <w:right w:val="single" w:sz="4" w:space="0" w:color="auto"/>
                  </w:tcBorders>
                  <w:shd w:val="clear" w:color="auto" w:fill="auto"/>
                  <w:noWrap/>
                  <w:vAlign w:val="center"/>
                  <w:hideMark/>
                </w:tcPr>
                <w:p w14:paraId="7E4C564C" w14:textId="77777777" w:rsidR="00854E9D" w:rsidRPr="00FD0C65" w:rsidRDefault="00854E9D" w:rsidP="00854E9D">
                  <w:pPr>
                    <w:spacing w:after="0" w:line="240" w:lineRule="auto"/>
                    <w:jc w:val="center"/>
                    <w:rPr>
                      <w:rFonts w:eastAsia="Times New Roman" w:cs="Arial"/>
                      <w:sz w:val="20"/>
                      <w:lang w:eastAsia="en-GB"/>
                    </w:rPr>
                  </w:pPr>
                  <w:r w:rsidRPr="00FD0C65">
                    <w:rPr>
                      <w:rFonts w:eastAsia="Times New Roman" w:cs="Arial"/>
                      <w:sz w:val="20"/>
                      <w:lang w:eastAsia="en-GB"/>
                    </w:rPr>
                    <w:t>Aluminium</w:t>
                  </w:r>
                </w:p>
              </w:tc>
            </w:tr>
            <w:tr w:rsidR="00854E9D" w:rsidRPr="00303397" w14:paraId="507FEE96" w14:textId="77777777" w:rsidTr="00421ACE">
              <w:trPr>
                <w:trHeight w:val="300"/>
                <w:jc w:val="center"/>
              </w:trPr>
              <w:tc>
                <w:tcPr>
                  <w:tcW w:w="1559" w:type="dxa"/>
                  <w:vMerge/>
                  <w:tcBorders>
                    <w:top w:val="nil"/>
                    <w:left w:val="single" w:sz="4" w:space="0" w:color="auto"/>
                    <w:bottom w:val="single" w:sz="4" w:space="0" w:color="000000"/>
                    <w:right w:val="single" w:sz="4" w:space="0" w:color="auto"/>
                  </w:tcBorders>
                  <w:shd w:val="clear" w:color="auto" w:fill="F2F2F2" w:themeFill="background1" w:themeFillShade="F2"/>
                  <w:vAlign w:val="center"/>
                  <w:hideMark/>
                </w:tcPr>
                <w:p w14:paraId="3DA6A2A9" w14:textId="77777777" w:rsidR="00854E9D" w:rsidRPr="00FD0C65" w:rsidRDefault="00854E9D" w:rsidP="00854E9D">
                  <w:pPr>
                    <w:spacing w:after="0" w:line="240" w:lineRule="auto"/>
                    <w:rPr>
                      <w:rFonts w:eastAsia="Times New Roman" w:cs="Arial"/>
                      <w:b/>
                      <w:bCs/>
                      <w:color w:val="000000"/>
                      <w:sz w:val="20"/>
                      <w:lang w:eastAsia="en-GB"/>
                    </w:rPr>
                  </w:pPr>
                </w:p>
              </w:tc>
              <w:tc>
                <w:tcPr>
                  <w:tcW w:w="1985" w:type="dxa"/>
                  <w:tcBorders>
                    <w:top w:val="nil"/>
                    <w:left w:val="nil"/>
                    <w:bottom w:val="single" w:sz="4" w:space="0" w:color="auto"/>
                    <w:right w:val="single" w:sz="4" w:space="0" w:color="auto"/>
                  </w:tcBorders>
                  <w:shd w:val="clear" w:color="auto" w:fill="F2F2F2" w:themeFill="background1" w:themeFillShade="F2"/>
                  <w:noWrap/>
                  <w:vAlign w:val="center"/>
                  <w:hideMark/>
                </w:tcPr>
                <w:p w14:paraId="3CBAFB2C" w14:textId="77777777" w:rsidR="00854E9D" w:rsidRPr="00FD0C65" w:rsidRDefault="00854E9D" w:rsidP="00854E9D">
                  <w:pPr>
                    <w:spacing w:after="0" w:line="240" w:lineRule="auto"/>
                    <w:jc w:val="center"/>
                    <w:rPr>
                      <w:rFonts w:eastAsia="Times New Roman" w:cs="Arial"/>
                      <w:bCs/>
                      <w:color w:val="000000"/>
                      <w:sz w:val="20"/>
                      <w:lang w:eastAsia="en-GB"/>
                    </w:rPr>
                  </w:pPr>
                  <w:r w:rsidRPr="00FD0C65">
                    <w:rPr>
                      <w:rFonts w:eastAsia="Times New Roman" w:cs="Arial"/>
                      <w:bCs/>
                      <w:color w:val="000000"/>
                      <w:sz w:val="20"/>
                      <w:lang w:eastAsia="en-GB"/>
                    </w:rPr>
                    <w:t>Specification</w:t>
                  </w:r>
                </w:p>
              </w:tc>
              <w:tc>
                <w:tcPr>
                  <w:tcW w:w="3260" w:type="dxa"/>
                  <w:tcBorders>
                    <w:top w:val="nil"/>
                    <w:left w:val="nil"/>
                    <w:bottom w:val="single" w:sz="4" w:space="0" w:color="auto"/>
                    <w:right w:val="single" w:sz="4" w:space="0" w:color="auto"/>
                  </w:tcBorders>
                  <w:shd w:val="clear" w:color="auto" w:fill="auto"/>
                  <w:noWrap/>
                  <w:vAlign w:val="center"/>
                  <w:hideMark/>
                </w:tcPr>
                <w:p w14:paraId="6C428F4A" w14:textId="77777777" w:rsidR="00854E9D" w:rsidRPr="00FD0C65" w:rsidRDefault="00854E9D" w:rsidP="00854E9D">
                  <w:pPr>
                    <w:spacing w:after="0" w:line="240" w:lineRule="auto"/>
                    <w:jc w:val="center"/>
                    <w:rPr>
                      <w:rFonts w:eastAsia="Times New Roman" w:cs="Arial"/>
                      <w:sz w:val="20"/>
                      <w:lang w:eastAsia="en-GB"/>
                    </w:rPr>
                  </w:pPr>
                  <w:r w:rsidRPr="00FD0C65">
                    <w:rPr>
                      <w:rFonts w:eastAsia="Times New Roman" w:cs="Arial"/>
                      <w:sz w:val="20"/>
                      <w:lang w:eastAsia="en-GB"/>
                    </w:rPr>
                    <w:t>EN AW-8021B</w:t>
                  </w:r>
                </w:p>
              </w:tc>
            </w:tr>
            <w:tr w:rsidR="00854E9D" w:rsidRPr="00303397" w14:paraId="3A16A450" w14:textId="77777777" w:rsidTr="00421ACE">
              <w:trPr>
                <w:trHeight w:val="300"/>
                <w:jc w:val="center"/>
              </w:trPr>
              <w:tc>
                <w:tcPr>
                  <w:tcW w:w="1559" w:type="dxa"/>
                  <w:vMerge/>
                  <w:tcBorders>
                    <w:top w:val="nil"/>
                    <w:left w:val="single" w:sz="4" w:space="0" w:color="auto"/>
                    <w:bottom w:val="single" w:sz="4" w:space="0" w:color="000000"/>
                    <w:right w:val="single" w:sz="4" w:space="0" w:color="auto"/>
                  </w:tcBorders>
                  <w:shd w:val="clear" w:color="auto" w:fill="F2F2F2" w:themeFill="background1" w:themeFillShade="F2"/>
                  <w:vAlign w:val="center"/>
                  <w:hideMark/>
                </w:tcPr>
                <w:p w14:paraId="56F0CF20" w14:textId="77777777" w:rsidR="00854E9D" w:rsidRPr="00FD0C65" w:rsidRDefault="00854E9D" w:rsidP="00854E9D">
                  <w:pPr>
                    <w:spacing w:after="0" w:line="240" w:lineRule="auto"/>
                    <w:rPr>
                      <w:rFonts w:eastAsia="Times New Roman" w:cs="Arial"/>
                      <w:b/>
                      <w:bCs/>
                      <w:color w:val="000000"/>
                      <w:sz w:val="20"/>
                      <w:lang w:eastAsia="en-GB"/>
                    </w:rPr>
                  </w:pPr>
                </w:p>
              </w:tc>
              <w:tc>
                <w:tcPr>
                  <w:tcW w:w="1985" w:type="dxa"/>
                  <w:tcBorders>
                    <w:top w:val="nil"/>
                    <w:left w:val="nil"/>
                    <w:bottom w:val="single" w:sz="4" w:space="0" w:color="auto"/>
                    <w:right w:val="single" w:sz="4" w:space="0" w:color="auto"/>
                  </w:tcBorders>
                  <w:shd w:val="clear" w:color="auto" w:fill="F2F2F2" w:themeFill="background1" w:themeFillShade="F2"/>
                  <w:noWrap/>
                  <w:vAlign w:val="center"/>
                  <w:hideMark/>
                </w:tcPr>
                <w:p w14:paraId="6F46E845" w14:textId="77777777" w:rsidR="00854E9D" w:rsidRPr="00FD0C65" w:rsidRDefault="00854E9D" w:rsidP="00854E9D">
                  <w:pPr>
                    <w:spacing w:after="0" w:line="240" w:lineRule="auto"/>
                    <w:jc w:val="center"/>
                    <w:rPr>
                      <w:rFonts w:eastAsia="Times New Roman" w:cs="Arial"/>
                      <w:bCs/>
                      <w:color w:val="000000"/>
                      <w:sz w:val="20"/>
                      <w:lang w:eastAsia="en-GB"/>
                    </w:rPr>
                  </w:pPr>
                  <w:r w:rsidRPr="00FD0C65">
                    <w:rPr>
                      <w:rFonts w:eastAsia="Times New Roman" w:cs="Arial"/>
                      <w:bCs/>
                      <w:color w:val="000000"/>
                      <w:sz w:val="20"/>
                      <w:lang w:eastAsia="en-GB"/>
                    </w:rPr>
                    <w:t>Thickness</w:t>
                  </w:r>
                </w:p>
              </w:tc>
              <w:tc>
                <w:tcPr>
                  <w:tcW w:w="3260" w:type="dxa"/>
                  <w:tcBorders>
                    <w:top w:val="nil"/>
                    <w:left w:val="nil"/>
                    <w:bottom w:val="single" w:sz="4" w:space="0" w:color="auto"/>
                    <w:right w:val="single" w:sz="4" w:space="0" w:color="auto"/>
                  </w:tcBorders>
                  <w:shd w:val="clear" w:color="auto" w:fill="auto"/>
                  <w:noWrap/>
                  <w:vAlign w:val="center"/>
                  <w:hideMark/>
                </w:tcPr>
                <w:p w14:paraId="0E49A39E" w14:textId="77777777" w:rsidR="00854E9D" w:rsidRPr="00FD0C65" w:rsidRDefault="00854E9D" w:rsidP="00854E9D">
                  <w:pPr>
                    <w:spacing w:after="0" w:line="240" w:lineRule="auto"/>
                    <w:jc w:val="center"/>
                    <w:rPr>
                      <w:rFonts w:eastAsia="Times New Roman" w:cs="Arial"/>
                      <w:sz w:val="20"/>
                      <w:lang w:eastAsia="en-GB"/>
                    </w:rPr>
                  </w:pPr>
                  <w:r w:rsidRPr="00FD0C65">
                    <w:rPr>
                      <w:rFonts w:eastAsia="Times New Roman" w:cs="Arial"/>
                      <w:sz w:val="20"/>
                      <w:lang w:eastAsia="en-GB"/>
                    </w:rPr>
                    <w:t>70µm ± 5.6 microns</w:t>
                  </w:r>
                </w:p>
              </w:tc>
            </w:tr>
            <w:tr w:rsidR="00854E9D" w:rsidRPr="00303397" w14:paraId="517AD599" w14:textId="77777777" w:rsidTr="00421ACE">
              <w:trPr>
                <w:trHeight w:val="170"/>
                <w:jc w:val="center"/>
              </w:trPr>
              <w:tc>
                <w:tcPr>
                  <w:tcW w:w="6804" w:type="dxa"/>
                  <w:gridSpan w:val="3"/>
                  <w:tcBorders>
                    <w:top w:val="single" w:sz="4" w:space="0" w:color="auto"/>
                    <w:left w:val="single" w:sz="4" w:space="0" w:color="auto"/>
                    <w:bottom w:val="single" w:sz="4" w:space="0" w:color="auto"/>
                    <w:right w:val="single" w:sz="4" w:space="0" w:color="000000"/>
                  </w:tcBorders>
                  <w:shd w:val="clear" w:color="auto" w:fill="D9E2F3" w:themeFill="accent1" w:themeFillTint="33"/>
                  <w:noWrap/>
                  <w:vAlign w:val="center"/>
                  <w:hideMark/>
                </w:tcPr>
                <w:p w14:paraId="11AA6895" w14:textId="77777777" w:rsidR="00854E9D" w:rsidRPr="00FD0C65" w:rsidRDefault="00854E9D" w:rsidP="00854E9D">
                  <w:pPr>
                    <w:spacing w:after="0" w:line="240" w:lineRule="auto"/>
                    <w:jc w:val="center"/>
                    <w:rPr>
                      <w:rFonts w:eastAsia="Times New Roman" w:cs="Arial"/>
                      <w:color w:val="000000"/>
                      <w:sz w:val="20"/>
                      <w:lang w:eastAsia="en-GB"/>
                    </w:rPr>
                  </w:pPr>
                  <w:r w:rsidRPr="00FD0C65">
                    <w:rPr>
                      <w:rFonts w:eastAsia="Times New Roman" w:cs="Arial"/>
                      <w:color w:val="000000"/>
                      <w:sz w:val="20"/>
                      <w:lang w:eastAsia="en-GB"/>
                    </w:rPr>
                    <w:t> </w:t>
                  </w:r>
                </w:p>
              </w:tc>
            </w:tr>
            <w:tr w:rsidR="00854E9D" w:rsidRPr="00303397" w14:paraId="6A4556A1" w14:textId="77777777" w:rsidTr="00421ACE">
              <w:trPr>
                <w:trHeight w:val="300"/>
                <w:jc w:val="center"/>
              </w:trPr>
              <w:tc>
                <w:tcPr>
                  <w:tcW w:w="1559" w:type="dxa"/>
                  <w:vMerge w:val="restart"/>
                  <w:tcBorders>
                    <w:top w:val="nil"/>
                    <w:left w:val="single" w:sz="4" w:space="0" w:color="auto"/>
                    <w:bottom w:val="single" w:sz="4" w:space="0" w:color="000000"/>
                    <w:right w:val="single" w:sz="4" w:space="0" w:color="auto"/>
                  </w:tcBorders>
                  <w:shd w:val="clear" w:color="auto" w:fill="F2F2F2" w:themeFill="background1" w:themeFillShade="F2"/>
                  <w:noWrap/>
                  <w:vAlign w:val="center"/>
                  <w:hideMark/>
                </w:tcPr>
                <w:p w14:paraId="706134A2" w14:textId="571A3A3C" w:rsidR="00854E9D" w:rsidRPr="00FD0C65" w:rsidRDefault="00854E9D" w:rsidP="00854E9D">
                  <w:pPr>
                    <w:spacing w:after="0" w:line="240" w:lineRule="auto"/>
                    <w:jc w:val="center"/>
                    <w:rPr>
                      <w:rFonts w:eastAsia="Times New Roman" w:cs="Arial"/>
                      <w:b/>
                      <w:bCs/>
                      <w:color w:val="000000"/>
                      <w:sz w:val="20"/>
                      <w:lang w:eastAsia="en-GB"/>
                    </w:rPr>
                  </w:pPr>
                  <w:r w:rsidRPr="00FD0C65">
                    <w:rPr>
                      <w:rFonts w:eastAsia="Times New Roman" w:cs="Arial"/>
                      <w:b/>
                      <w:bCs/>
                      <w:color w:val="000000"/>
                      <w:sz w:val="20"/>
                      <w:lang w:eastAsia="en-GB"/>
                    </w:rPr>
                    <w:t>Heat Seal</w:t>
                  </w:r>
                </w:p>
              </w:tc>
              <w:tc>
                <w:tcPr>
                  <w:tcW w:w="1985" w:type="dxa"/>
                  <w:tcBorders>
                    <w:top w:val="nil"/>
                    <w:left w:val="nil"/>
                    <w:bottom w:val="single" w:sz="4" w:space="0" w:color="auto"/>
                    <w:right w:val="single" w:sz="4" w:space="0" w:color="auto"/>
                  </w:tcBorders>
                  <w:shd w:val="clear" w:color="auto" w:fill="F2F2F2" w:themeFill="background1" w:themeFillShade="F2"/>
                  <w:noWrap/>
                  <w:vAlign w:val="center"/>
                  <w:hideMark/>
                </w:tcPr>
                <w:p w14:paraId="5C2D13D3" w14:textId="475C83C5" w:rsidR="00854E9D" w:rsidRPr="00FD0C65" w:rsidRDefault="00854E9D" w:rsidP="00854E9D">
                  <w:pPr>
                    <w:spacing w:after="0" w:line="240" w:lineRule="auto"/>
                    <w:jc w:val="center"/>
                    <w:rPr>
                      <w:rFonts w:eastAsia="Times New Roman" w:cs="Arial"/>
                      <w:bCs/>
                      <w:color w:val="000000"/>
                      <w:sz w:val="20"/>
                      <w:lang w:eastAsia="en-GB"/>
                    </w:rPr>
                  </w:pPr>
                  <w:r w:rsidRPr="00FD0C65">
                    <w:rPr>
                      <w:rFonts w:eastAsia="Times New Roman" w:cs="Arial"/>
                      <w:bCs/>
                      <w:color w:val="000000"/>
                      <w:sz w:val="20"/>
                      <w:lang w:eastAsia="en-GB"/>
                    </w:rPr>
                    <w:t>Material</w:t>
                  </w:r>
                </w:p>
              </w:tc>
              <w:tc>
                <w:tcPr>
                  <w:tcW w:w="3260" w:type="dxa"/>
                  <w:tcBorders>
                    <w:top w:val="nil"/>
                    <w:left w:val="nil"/>
                    <w:bottom w:val="single" w:sz="4" w:space="0" w:color="auto"/>
                    <w:right w:val="single" w:sz="4" w:space="0" w:color="auto"/>
                  </w:tcBorders>
                  <w:shd w:val="clear" w:color="auto" w:fill="auto"/>
                  <w:noWrap/>
                  <w:vAlign w:val="center"/>
                  <w:hideMark/>
                </w:tcPr>
                <w:p w14:paraId="485E71EC" w14:textId="6BEE217B" w:rsidR="00854E9D" w:rsidRPr="00FD0C65" w:rsidRDefault="00854E9D" w:rsidP="00854E9D">
                  <w:pPr>
                    <w:spacing w:after="0" w:line="240" w:lineRule="auto"/>
                    <w:jc w:val="center"/>
                    <w:rPr>
                      <w:rFonts w:eastAsia="Times New Roman" w:cs="Arial"/>
                      <w:color w:val="000000"/>
                      <w:sz w:val="20"/>
                      <w:lang w:eastAsia="en-GB"/>
                    </w:rPr>
                  </w:pPr>
                  <w:r w:rsidRPr="00FD0C65">
                    <w:rPr>
                      <w:rFonts w:eastAsia="Times New Roman" w:cs="Arial"/>
                      <w:color w:val="000000"/>
                      <w:sz w:val="20"/>
                      <w:lang w:eastAsia="en-GB"/>
                    </w:rPr>
                    <w:t>Polypropylene Epoxy</w:t>
                  </w:r>
                </w:p>
              </w:tc>
            </w:tr>
            <w:tr w:rsidR="00854E9D" w:rsidRPr="00303397" w14:paraId="22C33B1B" w14:textId="77777777" w:rsidTr="00421ACE">
              <w:trPr>
                <w:trHeight w:val="300"/>
                <w:jc w:val="center"/>
              </w:trPr>
              <w:tc>
                <w:tcPr>
                  <w:tcW w:w="1559" w:type="dxa"/>
                  <w:vMerge/>
                  <w:tcBorders>
                    <w:top w:val="nil"/>
                    <w:left w:val="single" w:sz="4" w:space="0" w:color="auto"/>
                    <w:bottom w:val="single" w:sz="4" w:space="0" w:color="000000"/>
                    <w:right w:val="single" w:sz="4" w:space="0" w:color="auto"/>
                  </w:tcBorders>
                  <w:shd w:val="clear" w:color="auto" w:fill="F2F2F2" w:themeFill="background1" w:themeFillShade="F2"/>
                  <w:vAlign w:val="center"/>
                  <w:hideMark/>
                </w:tcPr>
                <w:p w14:paraId="01194DE9" w14:textId="77777777" w:rsidR="00854E9D" w:rsidRPr="00FD0C65" w:rsidRDefault="00854E9D" w:rsidP="00854E9D">
                  <w:pPr>
                    <w:spacing w:after="0" w:line="240" w:lineRule="auto"/>
                    <w:rPr>
                      <w:rFonts w:eastAsia="Times New Roman" w:cs="Arial"/>
                      <w:b/>
                      <w:bCs/>
                      <w:color w:val="000000"/>
                      <w:sz w:val="20"/>
                      <w:lang w:eastAsia="en-GB"/>
                    </w:rPr>
                  </w:pPr>
                </w:p>
              </w:tc>
              <w:tc>
                <w:tcPr>
                  <w:tcW w:w="1985" w:type="dxa"/>
                  <w:tcBorders>
                    <w:top w:val="nil"/>
                    <w:left w:val="nil"/>
                    <w:bottom w:val="single" w:sz="4" w:space="0" w:color="auto"/>
                    <w:right w:val="single" w:sz="4" w:space="0" w:color="auto"/>
                  </w:tcBorders>
                  <w:shd w:val="clear" w:color="auto" w:fill="F2F2F2" w:themeFill="background1" w:themeFillShade="F2"/>
                  <w:noWrap/>
                  <w:vAlign w:val="center"/>
                  <w:hideMark/>
                </w:tcPr>
                <w:p w14:paraId="42CE9AF1" w14:textId="41C878B7" w:rsidR="00854E9D" w:rsidRPr="00FD0C65" w:rsidRDefault="00854E9D" w:rsidP="00854E9D">
                  <w:pPr>
                    <w:spacing w:after="0" w:line="240" w:lineRule="auto"/>
                    <w:jc w:val="center"/>
                    <w:rPr>
                      <w:rFonts w:eastAsia="Times New Roman" w:cs="Arial"/>
                      <w:bCs/>
                      <w:color w:val="000000"/>
                      <w:sz w:val="20"/>
                      <w:lang w:eastAsia="en-GB"/>
                    </w:rPr>
                  </w:pPr>
                  <w:r w:rsidRPr="00FD0C65">
                    <w:rPr>
                      <w:rFonts w:eastAsia="Times New Roman" w:cs="Arial"/>
                      <w:bCs/>
                      <w:color w:val="000000"/>
                      <w:sz w:val="20"/>
                      <w:lang w:eastAsia="en-GB"/>
                    </w:rPr>
                    <w:t>Weight</w:t>
                  </w:r>
                </w:p>
              </w:tc>
              <w:tc>
                <w:tcPr>
                  <w:tcW w:w="3260" w:type="dxa"/>
                  <w:tcBorders>
                    <w:top w:val="nil"/>
                    <w:left w:val="nil"/>
                    <w:bottom w:val="single" w:sz="4" w:space="0" w:color="auto"/>
                    <w:right w:val="single" w:sz="4" w:space="0" w:color="auto"/>
                  </w:tcBorders>
                  <w:shd w:val="clear" w:color="auto" w:fill="auto"/>
                  <w:noWrap/>
                  <w:vAlign w:val="center"/>
                  <w:hideMark/>
                </w:tcPr>
                <w:p w14:paraId="0B1AEB58" w14:textId="4338029E" w:rsidR="00854E9D" w:rsidRPr="00FD0C65" w:rsidRDefault="007059C0" w:rsidP="00854E9D">
                  <w:pPr>
                    <w:spacing w:after="0" w:line="240" w:lineRule="auto"/>
                    <w:jc w:val="center"/>
                    <w:rPr>
                      <w:rFonts w:eastAsia="Times New Roman" w:cs="Arial"/>
                      <w:color w:val="000000"/>
                      <w:sz w:val="20"/>
                      <w:lang w:eastAsia="en-GB"/>
                    </w:rPr>
                  </w:pPr>
                  <w:r>
                    <w:rPr>
                      <w:noProof/>
                    </w:rPr>
                    <mc:AlternateContent>
                      <mc:Choice Requires="wps">
                        <w:drawing>
                          <wp:anchor distT="0" distB="0" distL="114300" distR="114300" simplePos="0" relativeHeight="251659264" behindDoc="0" locked="0" layoutInCell="1" allowOverlap="1" wp14:anchorId="3B5723DF" wp14:editId="7B2FE4D2">
                            <wp:simplePos x="0" y="0"/>
                            <wp:positionH relativeFrom="column">
                              <wp:posOffset>-1351915</wp:posOffset>
                            </wp:positionH>
                            <wp:positionV relativeFrom="paragraph">
                              <wp:posOffset>-13970</wp:posOffset>
                            </wp:positionV>
                            <wp:extent cx="3354070" cy="222885"/>
                            <wp:effectExtent l="19050" t="19050" r="17780" b="24765"/>
                            <wp:wrapNone/>
                            <wp:docPr id="2" name="Rectangle 2"/>
                            <wp:cNvGraphicFramePr/>
                            <a:graphic xmlns:a="http://schemas.openxmlformats.org/drawingml/2006/main">
                              <a:graphicData uri="http://schemas.microsoft.com/office/word/2010/wordprocessingShape">
                                <wps:wsp>
                                  <wps:cNvSpPr/>
                                  <wps:spPr>
                                    <a:xfrm>
                                      <a:off x="0" y="0"/>
                                      <a:ext cx="3354070" cy="222885"/>
                                    </a:xfrm>
                                    <a:prstGeom prst="rect">
                                      <a:avLst/>
                                    </a:prstGeom>
                                    <a:noFill/>
                                    <a:ln w="38100">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AFA215E" id="Rectangle 2" o:spid="_x0000_s1026" style="position:absolute;margin-left:-106.45pt;margin-top:-1.1pt;width:264.1pt;height:17.5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6EYImwIAAI8FAAAOAAAAZHJzL2Uyb0RvYy54bWysVFFv2yAQfp+0/4B4X+24yZpGdaqoVaZJ&#10;VVu1nfpMMMSWMMeAxMl+/Q6w3air9jAtDwR8d9/xfdzd1fWhVWQvrGtAl3RyllMiNIeq0duS/nhZ&#10;f5lT4jzTFVOgRUmPwtHr5edPV51ZiAJqUJWwBEG0W3SmpLX3ZpFljteiZe4MjNBolGBb5vFot1ll&#10;WYforcqKPP+adWArY4EL5/DrbTLSZcSXUnD/IKUTnqiS4t18XG1cN2HNlldssbXM1A3vr8H+4RYt&#10;azQmHaFumWdkZ5s/oNqGW3Ag/RmHNgMpGy4iB2Qzyd+xea6ZEZELiuPMKJP7f7D8fv9oSVOVtKBE&#10;sxaf6AlFY3qrBCmCPJ1xC/R6No+2PzncBq4HadvwjyzIIUp6HCUVB084fjw/n03zC1Seo60oivl8&#10;FkCzt2hjnf8moCVhU1KL2aOSbH/nfHIdXEIyDetGKfzOFkqTDjPMJ3keIxyopgrWYHR2u7lRluwZ&#10;vvx6neOvT3zihtdQGm8TOCZWceePSqQET0KiOMijSBlCWYoRlnEutJ8kU80qkbLNTpMNEZGz0ggY&#10;kCXecsTuAQbPBDJgJwV6/xAqYlWPwT31vwWPETEzaD8Gt40G+xEzhaz6zMl/EClJE1TaQHXE0rGQ&#10;esoZvm7wBe+Y84/MYhPho+Ng8A+4SAX4UtDvKKnB/vroe/DH2kYrJR02ZUndzx2zghL1XWPVX06m&#10;09DF8TCdXRR4sKeWzalF79obwNef4AgyPG6Dv1fDVlpoX3F+rEJWNDHNMXdJubfD4canYYETiIvV&#10;Krph5xrm7/Sz4QE8qBoq9OXwyqzpy9hjA9zD0MBs8a6ak2+I1LDaeZBNLPU3XXu9setj4fQTKoyV&#10;03P0epujy98AAAD//wMAUEsDBBQABgAIAAAAIQC7OFL73QAAAAoBAAAPAAAAZHJzL2Rvd25yZXYu&#10;eG1sTI/NTsMwEITvSLyDtUjcWicufw1xKoQEiN4IrbhuE5NEsddR7Dbh7dme4Dar+TQ7k29mZ8XJ&#10;jKHzpCFdJiAMVb7uqNGw+3xZPIAIEalG68lo+DEBNsXlRY5Z7Sf6MKcyNoJDKGSooY1xyKQMVWsc&#10;hqUfDLH37UeHkc+xkfWIE4c7K1WS3EmHHfGHFgfz3JqqL49Ow/ukbPfV4Pat7Mt9729e0/u10/r6&#10;an56BBHNHP9gONfn6lBwp4M/Uh2E1bBQqVoze1YKBBOr9HYF4sCCDVnk8v+E4hcAAP//AwBQSwEC&#10;LQAUAAYACAAAACEAtoM4kv4AAADhAQAAEwAAAAAAAAAAAAAAAAAAAAAAW0NvbnRlbnRfVHlwZXNd&#10;LnhtbFBLAQItABQABgAIAAAAIQA4/SH/1gAAAJQBAAALAAAAAAAAAAAAAAAAAC8BAABfcmVscy8u&#10;cmVsc1BLAQItABQABgAIAAAAIQDJ6EYImwIAAI8FAAAOAAAAAAAAAAAAAAAAAC4CAABkcnMvZTJv&#10;RG9jLnhtbFBLAQItABQABgAIAAAAIQC7OFL73QAAAAoBAAAPAAAAAAAAAAAAAAAAAPUEAABkcnMv&#10;ZG93bnJldi54bWxQSwUGAAAAAAQABADzAAAA/wUAAAAA&#10;" filled="f" strokecolor="red" strokeweight="3pt"/>
                        </w:pict>
                      </mc:Fallback>
                    </mc:AlternateContent>
                  </w:r>
                  <w:r w:rsidR="00854E9D" w:rsidRPr="00FD0C65">
                    <w:rPr>
                      <w:rFonts w:eastAsia="Times New Roman" w:cs="Arial"/>
                      <w:color w:val="000000"/>
                      <w:sz w:val="20"/>
                      <w:lang w:eastAsia="en-GB"/>
                    </w:rPr>
                    <w:t>9g/m² ± 1.8g/m²</w:t>
                  </w:r>
                </w:p>
              </w:tc>
            </w:tr>
            <w:tr w:rsidR="00854E9D" w:rsidRPr="00303397" w14:paraId="5F4B5918" w14:textId="77777777" w:rsidTr="00421ACE">
              <w:trPr>
                <w:trHeight w:val="227"/>
                <w:jc w:val="center"/>
              </w:trPr>
              <w:tc>
                <w:tcPr>
                  <w:tcW w:w="6804" w:type="dxa"/>
                  <w:gridSpan w:val="3"/>
                  <w:tcBorders>
                    <w:top w:val="single" w:sz="4" w:space="0" w:color="auto"/>
                    <w:left w:val="single" w:sz="4" w:space="0" w:color="auto"/>
                    <w:bottom w:val="single" w:sz="4" w:space="0" w:color="auto"/>
                    <w:right w:val="single" w:sz="4" w:space="0" w:color="000000"/>
                  </w:tcBorders>
                  <w:shd w:val="clear" w:color="auto" w:fill="D9E2F3" w:themeFill="accent1" w:themeFillTint="33"/>
                  <w:noWrap/>
                  <w:vAlign w:val="center"/>
                  <w:hideMark/>
                </w:tcPr>
                <w:p w14:paraId="36BF2DC3" w14:textId="77777777" w:rsidR="00854E9D" w:rsidRPr="00FD0C65" w:rsidRDefault="00854E9D" w:rsidP="00854E9D">
                  <w:pPr>
                    <w:spacing w:after="0" w:line="240" w:lineRule="auto"/>
                    <w:jc w:val="center"/>
                    <w:rPr>
                      <w:rFonts w:eastAsia="Times New Roman" w:cs="Arial"/>
                      <w:color w:val="000000"/>
                      <w:sz w:val="20"/>
                      <w:lang w:eastAsia="en-GB"/>
                    </w:rPr>
                  </w:pPr>
                  <w:r w:rsidRPr="00FD0C65">
                    <w:rPr>
                      <w:rFonts w:eastAsia="Times New Roman" w:cs="Arial"/>
                      <w:color w:val="000000"/>
                      <w:sz w:val="20"/>
                      <w:lang w:eastAsia="en-GB"/>
                    </w:rPr>
                    <w:t> </w:t>
                  </w:r>
                </w:p>
              </w:tc>
            </w:tr>
            <w:tr w:rsidR="00854E9D" w:rsidRPr="00303397" w14:paraId="7629963D" w14:textId="77777777" w:rsidTr="00421ACE">
              <w:trPr>
                <w:trHeight w:val="300"/>
                <w:jc w:val="center"/>
              </w:trPr>
              <w:tc>
                <w:tcPr>
                  <w:tcW w:w="1559" w:type="dxa"/>
                  <w:vMerge w:val="restart"/>
                  <w:tcBorders>
                    <w:top w:val="nil"/>
                    <w:left w:val="single" w:sz="4" w:space="0" w:color="auto"/>
                    <w:bottom w:val="single" w:sz="4" w:space="0" w:color="000000"/>
                    <w:right w:val="single" w:sz="4" w:space="0" w:color="auto"/>
                  </w:tcBorders>
                  <w:shd w:val="clear" w:color="auto" w:fill="F2F2F2" w:themeFill="background1" w:themeFillShade="F2"/>
                  <w:noWrap/>
                  <w:vAlign w:val="center"/>
                  <w:hideMark/>
                </w:tcPr>
                <w:p w14:paraId="68A5E3F4" w14:textId="77777777" w:rsidR="00854E9D" w:rsidRPr="00FD0C65" w:rsidRDefault="00854E9D" w:rsidP="00854E9D">
                  <w:pPr>
                    <w:spacing w:after="0" w:line="240" w:lineRule="auto"/>
                    <w:jc w:val="center"/>
                    <w:rPr>
                      <w:rFonts w:eastAsia="Times New Roman" w:cs="Arial"/>
                      <w:b/>
                      <w:bCs/>
                      <w:color w:val="000000"/>
                      <w:sz w:val="20"/>
                      <w:lang w:eastAsia="en-GB"/>
                    </w:rPr>
                  </w:pPr>
                  <w:r w:rsidRPr="00FD0C65">
                    <w:rPr>
                      <w:rFonts w:eastAsia="Times New Roman" w:cs="Arial"/>
                      <w:b/>
                      <w:bCs/>
                      <w:color w:val="000000"/>
                      <w:sz w:val="20"/>
                      <w:lang w:eastAsia="en-GB"/>
                    </w:rPr>
                    <w:t>Total</w:t>
                  </w:r>
                </w:p>
              </w:tc>
              <w:tc>
                <w:tcPr>
                  <w:tcW w:w="1985" w:type="dxa"/>
                  <w:tcBorders>
                    <w:top w:val="nil"/>
                    <w:left w:val="nil"/>
                    <w:bottom w:val="single" w:sz="4" w:space="0" w:color="auto"/>
                    <w:right w:val="single" w:sz="4" w:space="0" w:color="auto"/>
                  </w:tcBorders>
                  <w:shd w:val="clear" w:color="auto" w:fill="F2F2F2" w:themeFill="background1" w:themeFillShade="F2"/>
                  <w:noWrap/>
                  <w:vAlign w:val="center"/>
                  <w:hideMark/>
                </w:tcPr>
                <w:p w14:paraId="3F26F99B" w14:textId="77777777" w:rsidR="00854E9D" w:rsidRPr="00FD0C65" w:rsidRDefault="00854E9D" w:rsidP="00854E9D">
                  <w:pPr>
                    <w:spacing w:after="0" w:line="240" w:lineRule="auto"/>
                    <w:jc w:val="center"/>
                    <w:rPr>
                      <w:rFonts w:eastAsia="Times New Roman" w:cs="Arial"/>
                      <w:bCs/>
                      <w:color w:val="000000"/>
                      <w:sz w:val="20"/>
                      <w:lang w:eastAsia="en-GB"/>
                    </w:rPr>
                  </w:pPr>
                  <w:r w:rsidRPr="00FD0C65">
                    <w:rPr>
                      <w:rFonts w:eastAsia="Times New Roman" w:cs="Arial"/>
                      <w:bCs/>
                      <w:color w:val="000000"/>
                      <w:sz w:val="20"/>
                      <w:lang w:eastAsia="en-GB"/>
                    </w:rPr>
                    <w:t>Thickness</w:t>
                  </w:r>
                </w:p>
              </w:tc>
              <w:tc>
                <w:tcPr>
                  <w:tcW w:w="3260" w:type="dxa"/>
                  <w:tcBorders>
                    <w:top w:val="nil"/>
                    <w:left w:val="nil"/>
                    <w:bottom w:val="single" w:sz="4" w:space="0" w:color="auto"/>
                    <w:right w:val="single" w:sz="4" w:space="0" w:color="auto"/>
                  </w:tcBorders>
                  <w:shd w:val="clear" w:color="auto" w:fill="auto"/>
                  <w:noWrap/>
                  <w:vAlign w:val="center"/>
                  <w:hideMark/>
                </w:tcPr>
                <w:p w14:paraId="554293B6" w14:textId="77777777" w:rsidR="00854E9D" w:rsidRPr="00FD0C65" w:rsidRDefault="00854E9D" w:rsidP="00854E9D">
                  <w:pPr>
                    <w:spacing w:after="0" w:line="240" w:lineRule="auto"/>
                    <w:jc w:val="center"/>
                    <w:rPr>
                      <w:rFonts w:eastAsia="Times New Roman" w:cs="Arial"/>
                      <w:color w:val="000000"/>
                      <w:sz w:val="20"/>
                      <w:lang w:eastAsia="en-GB"/>
                    </w:rPr>
                  </w:pPr>
                  <w:bookmarkStart w:id="2" w:name="_Hlk536685951"/>
                  <w:r w:rsidRPr="00FD0C65">
                    <w:rPr>
                      <w:rFonts w:eastAsia="Times New Roman" w:cs="Arial"/>
                      <w:color w:val="000000"/>
                      <w:sz w:val="20"/>
                      <w:lang w:eastAsia="en-GB"/>
                    </w:rPr>
                    <w:t>82µm ± 16µm</w:t>
                  </w:r>
                  <w:bookmarkEnd w:id="2"/>
                </w:p>
              </w:tc>
            </w:tr>
            <w:tr w:rsidR="00854E9D" w:rsidRPr="00303397" w14:paraId="436082C6" w14:textId="77777777" w:rsidTr="00421ACE">
              <w:trPr>
                <w:trHeight w:val="300"/>
                <w:jc w:val="center"/>
              </w:trPr>
              <w:tc>
                <w:tcPr>
                  <w:tcW w:w="1559" w:type="dxa"/>
                  <w:vMerge/>
                  <w:tcBorders>
                    <w:top w:val="nil"/>
                    <w:left w:val="single" w:sz="4" w:space="0" w:color="auto"/>
                    <w:bottom w:val="single" w:sz="4" w:space="0" w:color="000000"/>
                    <w:right w:val="single" w:sz="4" w:space="0" w:color="auto"/>
                  </w:tcBorders>
                  <w:shd w:val="clear" w:color="auto" w:fill="F2F2F2" w:themeFill="background1" w:themeFillShade="F2"/>
                  <w:vAlign w:val="center"/>
                  <w:hideMark/>
                </w:tcPr>
                <w:p w14:paraId="34759C4B" w14:textId="77777777" w:rsidR="00854E9D" w:rsidRPr="00FD0C65" w:rsidRDefault="00854E9D" w:rsidP="00854E9D">
                  <w:pPr>
                    <w:spacing w:after="0" w:line="240" w:lineRule="auto"/>
                    <w:rPr>
                      <w:rFonts w:eastAsia="Times New Roman" w:cs="Arial"/>
                      <w:b/>
                      <w:bCs/>
                      <w:color w:val="000000"/>
                      <w:sz w:val="20"/>
                      <w:lang w:eastAsia="en-GB"/>
                    </w:rPr>
                  </w:pPr>
                </w:p>
              </w:tc>
              <w:tc>
                <w:tcPr>
                  <w:tcW w:w="1985" w:type="dxa"/>
                  <w:tcBorders>
                    <w:top w:val="nil"/>
                    <w:left w:val="nil"/>
                    <w:bottom w:val="single" w:sz="4" w:space="0" w:color="auto"/>
                    <w:right w:val="single" w:sz="4" w:space="0" w:color="auto"/>
                  </w:tcBorders>
                  <w:shd w:val="clear" w:color="auto" w:fill="F2F2F2" w:themeFill="background1" w:themeFillShade="F2"/>
                  <w:noWrap/>
                  <w:vAlign w:val="center"/>
                  <w:hideMark/>
                </w:tcPr>
                <w:p w14:paraId="1EF9C616" w14:textId="77777777" w:rsidR="00854E9D" w:rsidRPr="00FD0C65" w:rsidRDefault="00854E9D" w:rsidP="00854E9D">
                  <w:pPr>
                    <w:spacing w:after="0" w:line="240" w:lineRule="auto"/>
                    <w:jc w:val="center"/>
                    <w:rPr>
                      <w:rFonts w:eastAsia="Times New Roman" w:cs="Arial"/>
                      <w:bCs/>
                      <w:color w:val="000000"/>
                      <w:sz w:val="20"/>
                      <w:lang w:eastAsia="en-GB"/>
                    </w:rPr>
                  </w:pPr>
                  <w:r w:rsidRPr="00FD0C65">
                    <w:rPr>
                      <w:rFonts w:eastAsia="Times New Roman" w:cs="Arial"/>
                      <w:bCs/>
                      <w:color w:val="000000"/>
                      <w:sz w:val="20"/>
                      <w:lang w:eastAsia="en-GB"/>
                    </w:rPr>
                    <w:t>Weight</w:t>
                  </w:r>
                </w:p>
              </w:tc>
              <w:tc>
                <w:tcPr>
                  <w:tcW w:w="3260" w:type="dxa"/>
                  <w:tcBorders>
                    <w:top w:val="nil"/>
                    <w:left w:val="nil"/>
                    <w:bottom w:val="single" w:sz="4" w:space="0" w:color="auto"/>
                    <w:right w:val="single" w:sz="4" w:space="0" w:color="auto"/>
                  </w:tcBorders>
                  <w:shd w:val="clear" w:color="auto" w:fill="auto"/>
                  <w:noWrap/>
                  <w:vAlign w:val="center"/>
                  <w:hideMark/>
                </w:tcPr>
                <w:p w14:paraId="6F30EF7D" w14:textId="77777777" w:rsidR="00854E9D" w:rsidRPr="00FD0C65" w:rsidRDefault="00854E9D" w:rsidP="00854E9D">
                  <w:pPr>
                    <w:keepNext/>
                    <w:spacing w:after="0" w:line="240" w:lineRule="auto"/>
                    <w:jc w:val="center"/>
                    <w:rPr>
                      <w:rFonts w:eastAsia="Times New Roman" w:cs="Arial"/>
                      <w:color w:val="000000"/>
                      <w:sz w:val="20"/>
                      <w:lang w:eastAsia="en-GB"/>
                    </w:rPr>
                  </w:pPr>
                  <w:r w:rsidRPr="00FD0C65">
                    <w:rPr>
                      <w:rFonts w:eastAsia="Times New Roman" w:cs="Arial"/>
                      <w:color w:val="000000"/>
                      <w:sz w:val="20"/>
                      <w:lang w:eastAsia="en-GB"/>
                    </w:rPr>
                    <w:t>201g/m² ± 17.8g/m²</w:t>
                  </w:r>
                </w:p>
              </w:tc>
            </w:tr>
          </w:tbl>
          <w:p w14:paraId="6D5F06EB" w14:textId="77777777" w:rsidR="00A57A57" w:rsidRDefault="00A57A57" w:rsidP="00BD56F1">
            <w:pPr>
              <w:rPr>
                <w:lang w:eastAsia="en-US"/>
              </w:rPr>
            </w:pPr>
          </w:p>
          <w:p w14:paraId="4D6D84C9" w14:textId="3B26C4FB" w:rsidR="007059C0" w:rsidRDefault="00B63CE4" w:rsidP="00B63CE4">
            <w:pPr>
              <w:jc w:val="both"/>
            </w:pPr>
            <w:r>
              <w:rPr>
                <w:lang w:eastAsia="en-US"/>
              </w:rPr>
              <w:t xml:space="preserve">The aluminium foil composition was chemically analysed and then compared to the </w:t>
            </w:r>
            <w:r w:rsidR="007059C0">
              <w:rPr>
                <w:lang w:eastAsia="en-US"/>
              </w:rPr>
              <w:t xml:space="preserve">Critical to Quality (CTQ) </w:t>
            </w:r>
            <w:r>
              <w:rPr>
                <w:rFonts w:cs="Arial"/>
              </w:rPr>
              <w:t xml:space="preserve">material properties specified </w:t>
            </w:r>
            <w:r w:rsidR="007059C0">
              <w:rPr>
                <w:rFonts w:cs="Arial"/>
              </w:rPr>
              <w:t>within</w:t>
            </w:r>
            <w:r>
              <w:rPr>
                <w:rFonts w:cs="Arial"/>
              </w:rPr>
              <w:t xml:space="preserve"> </w:t>
            </w:r>
            <w:r w:rsidR="007059C0">
              <w:rPr>
                <w:rFonts w:cs="Arial"/>
              </w:rPr>
              <w:t xml:space="preserve">Amcor’s </w:t>
            </w:r>
            <w:r>
              <w:rPr>
                <w:rFonts w:cs="Arial"/>
              </w:rPr>
              <w:t xml:space="preserve">data sheet as shown in </w:t>
            </w:r>
            <w:r w:rsidR="00BD56F1">
              <w:rPr>
                <w:rFonts w:cs="Arial"/>
              </w:rPr>
              <w:fldChar w:fldCharType="begin"/>
            </w:r>
            <w:r w:rsidR="00BD56F1">
              <w:rPr>
                <w:rFonts w:cs="Arial"/>
              </w:rPr>
              <w:instrText xml:space="preserve"> REF _Ref44012874 \h </w:instrText>
            </w:r>
            <w:r w:rsidR="00BD56F1">
              <w:rPr>
                <w:rFonts w:cs="Arial"/>
              </w:rPr>
            </w:r>
            <w:r w:rsidR="00BD56F1">
              <w:rPr>
                <w:rFonts w:cs="Arial"/>
              </w:rPr>
              <w:fldChar w:fldCharType="separate"/>
            </w:r>
            <w:r w:rsidR="00BD56F1">
              <w:t xml:space="preserve">Table </w:t>
            </w:r>
            <w:r w:rsidR="00BD56F1">
              <w:rPr>
                <w:noProof/>
              </w:rPr>
              <w:t>1</w:t>
            </w:r>
            <w:r w:rsidR="00BD56F1">
              <w:rPr>
                <w:rFonts w:cs="Arial"/>
              </w:rPr>
              <w:fldChar w:fldCharType="end"/>
            </w:r>
            <w:r>
              <w:rPr>
                <w:rFonts w:cs="Arial"/>
              </w:rPr>
              <w:t xml:space="preserve">. </w:t>
            </w:r>
            <w:r w:rsidR="00854E9D" w:rsidRPr="00BD56F1">
              <w:t>The foil passed the material specification defined by OCD</w:t>
            </w:r>
            <w:r>
              <w:t xml:space="preserve"> however</w:t>
            </w:r>
            <w:r w:rsidR="007059C0">
              <w:t>,</w:t>
            </w:r>
            <w:r>
              <w:t xml:space="preserve"> the weight of the heat seal was on the upper</w:t>
            </w:r>
            <w:r w:rsidR="007059C0">
              <w:t>most</w:t>
            </w:r>
            <w:r>
              <w:t xml:space="preserve"> end of the specification at 10.7</w:t>
            </w:r>
            <w:r w:rsidRPr="00B63CE4">
              <w:t>g/m²</w:t>
            </w:r>
            <w:r w:rsidR="007059C0">
              <w:t xml:space="preserve"> where the maximum passable criteria </w:t>
            </w:r>
            <w:r w:rsidR="00A57A57">
              <w:t>was</w:t>
            </w:r>
            <w:r w:rsidR="007059C0">
              <w:t xml:space="preserve"> 10.8</w:t>
            </w:r>
            <w:r w:rsidR="007059C0" w:rsidRPr="00B63CE4">
              <w:t>g/m²</w:t>
            </w:r>
            <w:r>
              <w:t xml:space="preserve">. </w:t>
            </w:r>
          </w:p>
          <w:p w14:paraId="7C975F41" w14:textId="77777777" w:rsidR="007059C0" w:rsidRDefault="007059C0" w:rsidP="00B63CE4">
            <w:pPr>
              <w:jc w:val="both"/>
            </w:pPr>
          </w:p>
          <w:p w14:paraId="37EA47B9" w14:textId="4469A8F0" w:rsidR="00B63CE4" w:rsidRDefault="007059C0" w:rsidP="006C15EB">
            <w:pPr>
              <w:jc w:val="both"/>
            </w:pPr>
            <w:r>
              <w:t>Next, t</w:t>
            </w:r>
            <w:r w:rsidR="00B63CE4">
              <w:t xml:space="preserve">he </w:t>
            </w:r>
            <w:r w:rsidR="006C15EB">
              <w:t>lower preforming aluminium</w:t>
            </w:r>
            <w:r w:rsidR="00B63CE4">
              <w:t xml:space="preserve"> foil was compositionally compared to the </w:t>
            </w:r>
            <w:r>
              <w:t xml:space="preserve">known ‘good’ foil, it was immediately apparent that the heat seal was the only critical variant that changed considerably. Theoretically, the higher heat seal weight also provides confirmation that </w:t>
            </w:r>
            <w:r w:rsidR="006C15EB">
              <w:t>increasing the heat-sealing parameters i</w:t>
            </w:r>
            <w:r w:rsidR="00A57A57">
              <w:t>s</w:t>
            </w:r>
            <w:r w:rsidR="006C15EB">
              <w:t xml:space="preserve"> the right approach to take</w:t>
            </w:r>
            <w:r w:rsidR="00A57A57">
              <w:t>. T</w:t>
            </w:r>
            <w:r w:rsidR="006C15EB">
              <w:t xml:space="preserve">he </w:t>
            </w:r>
            <w:r>
              <w:t xml:space="preserve">increased </w:t>
            </w:r>
            <w:r w:rsidR="006C15EB">
              <w:t>heat seal weight signifies that there are more polymer bonds, therefore more work is required to achieve the same level of seal integrity.</w:t>
            </w:r>
            <w:r w:rsidR="009507B8">
              <w:t xml:space="preserve"> </w:t>
            </w:r>
            <w:r w:rsidR="006C15EB">
              <w:t xml:space="preserve">If not enough Temperature, Pressure or Dwell Time is received then the part will not </w:t>
            </w:r>
            <w:r w:rsidR="00A57A57">
              <w:t>produce a peel force strength above the 4.1 Newton limit.</w:t>
            </w:r>
            <w:r w:rsidR="006C15EB">
              <w:t xml:space="preserve"> </w:t>
            </w:r>
          </w:p>
          <w:p w14:paraId="2482D80E" w14:textId="4AA754E5" w:rsidR="009507B8" w:rsidRDefault="009507B8" w:rsidP="006C15EB">
            <w:pPr>
              <w:jc w:val="both"/>
            </w:pPr>
          </w:p>
          <w:p w14:paraId="1070BDCB" w14:textId="25ACB890" w:rsidR="009507B8" w:rsidRDefault="009507B8" w:rsidP="006C15EB">
            <w:pPr>
              <w:jc w:val="both"/>
            </w:pPr>
            <w:r>
              <w:t xml:space="preserve">Unfortunately, due to COVID-19, OCD were unable to visit the material specialists who conducted the foil composition analysis for further details. It has been identified however that there is a reduced level of material understanding within the Engineering team and therefore </w:t>
            </w:r>
            <w:r w:rsidR="00DA3E5F">
              <w:t>it has been requested that training is provided. An increased material knowledge within the team will prove beneficial for the continuation of the Foil Recovery project, and also for all future supplier quality issues too.</w:t>
            </w:r>
          </w:p>
          <w:p w14:paraId="2E730195" w14:textId="37C10BEC" w:rsidR="00BC6CA4" w:rsidRDefault="00BC6CA4" w:rsidP="00B40A4B">
            <w:pPr>
              <w:rPr>
                <w:b/>
                <w:bCs/>
                <w:u w:val="single"/>
              </w:rPr>
            </w:pPr>
          </w:p>
        </w:tc>
      </w:tr>
    </w:tbl>
    <w:p w14:paraId="6630882F" w14:textId="77777777" w:rsidR="00E43697" w:rsidRDefault="00E43697">
      <w:pPr>
        <w:rPr>
          <w:b/>
          <w:bCs/>
          <w:u w:val="single"/>
        </w:rPr>
      </w:pPr>
      <w:r>
        <w:rPr>
          <w:b/>
          <w:bCs/>
          <w:u w:val="single"/>
        </w:rPr>
        <w:br w:type="page"/>
      </w:r>
    </w:p>
    <w:p w14:paraId="7CB10555" w14:textId="61DC9442" w:rsidR="00DA4069" w:rsidRDefault="00DA4069" w:rsidP="00016C09">
      <w:pPr>
        <w:spacing w:after="120"/>
        <w:jc w:val="both"/>
        <w:rPr>
          <w:b/>
          <w:bCs/>
          <w:u w:val="single"/>
        </w:rPr>
      </w:pPr>
      <w:r w:rsidRPr="00DA4069">
        <w:rPr>
          <w:b/>
          <w:bCs/>
          <w:u w:val="single"/>
        </w:rPr>
        <w:lastRenderedPageBreak/>
        <w:t xml:space="preserve">QUESTION </w:t>
      </w:r>
      <w:r>
        <w:rPr>
          <w:b/>
          <w:bCs/>
          <w:u w:val="single"/>
        </w:rPr>
        <w:t>TWO</w:t>
      </w:r>
    </w:p>
    <w:p w14:paraId="0E76F5A3" w14:textId="6544F9D7" w:rsidR="00037464" w:rsidRDefault="00B40A4B" w:rsidP="00037464">
      <w:pPr>
        <w:jc w:val="both"/>
      </w:pPr>
      <w:r>
        <w:t>When</w:t>
      </w:r>
      <w:r w:rsidR="00552A3E">
        <w:t xml:space="preserve"> conducting your</w:t>
      </w:r>
      <w:r>
        <w:t xml:space="preserve"> root cause analysis</w:t>
      </w:r>
      <w:r w:rsidR="00552A3E">
        <w:t xml:space="preserve"> studies, were you mindful of any cognitive biases and how they may be mitigated? </w:t>
      </w:r>
    </w:p>
    <w:tbl>
      <w:tblPr>
        <w:tblStyle w:val="TableGrid"/>
        <w:tblW w:w="0" w:type="auto"/>
        <w:tblLook w:val="04A0" w:firstRow="1" w:lastRow="0" w:firstColumn="1" w:lastColumn="0" w:noHBand="0" w:noVBand="1"/>
      </w:tblPr>
      <w:tblGrid>
        <w:gridCol w:w="9016"/>
      </w:tblGrid>
      <w:tr w:rsidR="00BC6CA4" w14:paraId="5DB42052" w14:textId="77777777" w:rsidTr="00BC6CA4">
        <w:tc>
          <w:tcPr>
            <w:tcW w:w="9016" w:type="dxa"/>
          </w:tcPr>
          <w:p w14:paraId="6F008CD8" w14:textId="4FD59FA5" w:rsidR="009B350C" w:rsidRDefault="007A66D2" w:rsidP="007A66D2">
            <w:pPr>
              <w:jc w:val="both"/>
            </w:pPr>
            <w:r>
              <w:t>Within manufacturing, I am always mindful of c</w:t>
            </w:r>
            <w:r w:rsidR="00787FC9">
              <w:t>ognitive bias</w:t>
            </w:r>
            <w:r>
              <w:t xml:space="preserve">es and the detrimental affects they can have on the success of a project. Throughout my </w:t>
            </w:r>
            <w:r w:rsidR="009679F0">
              <w:t>career</w:t>
            </w:r>
            <w:r>
              <w:t xml:space="preserve"> my </w:t>
            </w:r>
            <w:r w:rsidR="009679F0">
              <w:t>mentors have</w:t>
            </w:r>
            <w:r>
              <w:t xml:space="preserve"> continuously encouraged the use of the ‘Is, Is-Not’ problem solving tool</w:t>
            </w:r>
            <w:r w:rsidR="009B350C">
              <w:t xml:space="preserve"> as a rational process to confirm facts and rule out assumptions which could misguide root cause analysis. </w:t>
            </w:r>
          </w:p>
          <w:p w14:paraId="3B751C95" w14:textId="77777777" w:rsidR="003B675B" w:rsidRDefault="003B675B" w:rsidP="00037464">
            <w:pPr>
              <w:jc w:val="both"/>
            </w:pPr>
          </w:p>
          <w:p w14:paraId="60AE6DAE" w14:textId="61BC1EB3" w:rsidR="00D956F8" w:rsidRDefault="00D956F8" w:rsidP="003B675B">
            <w:pPr>
              <w:tabs>
                <w:tab w:val="left" w:pos="1224"/>
              </w:tabs>
              <w:jc w:val="both"/>
            </w:pPr>
            <w:r>
              <w:t xml:space="preserve">The literature review within the Foil Recovery dissertation improved my understanding of the different types of cognitive biases, </w:t>
            </w:r>
            <w:r w:rsidR="007D0158">
              <w:t xml:space="preserve">as shown in </w:t>
            </w:r>
            <w:r w:rsidR="007D0158">
              <w:fldChar w:fldCharType="begin"/>
            </w:r>
            <w:r w:rsidR="007D0158">
              <w:instrText xml:space="preserve"> REF _Ref44001701 \h </w:instrText>
            </w:r>
            <w:r w:rsidR="007D0158">
              <w:fldChar w:fldCharType="separate"/>
            </w:r>
            <w:r w:rsidR="007D0158">
              <w:t xml:space="preserve">Figure </w:t>
            </w:r>
            <w:r w:rsidR="007D0158">
              <w:rPr>
                <w:noProof/>
              </w:rPr>
              <w:t>1</w:t>
            </w:r>
            <w:r w:rsidR="007D0158">
              <w:fldChar w:fldCharType="end"/>
            </w:r>
            <w:r w:rsidR="007D0158">
              <w:t xml:space="preserve"> and therefore prompted me to think of mitigating methods.</w:t>
            </w:r>
          </w:p>
          <w:p w14:paraId="399555C4" w14:textId="4DF91F57" w:rsidR="00D956F8" w:rsidRDefault="00D956F8" w:rsidP="00640D19">
            <w:pPr>
              <w:pStyle w:val="Caption"/>
              <w:spacing w:after="0"/>
              <w:jc w:val="center"/>
            </w:pPr>
            <w:bookmarkStart w:id="3" w:name="_Ref44001701"/>
            <w:r>
              <w:t xml:space="preserve">Figure </w:t>
            </w:r>
            <w:fldSimple w:instr=" SEQ Figure \* ARABIC ">
              <w:r>
                <w:rPr>
                  <w:noProof/>
                </w:rPr>
                <w:t>1</w:t>
              </w:r>
            </w:fldSimple>
            <w:bookmarkEnd w:id="3"/>
            <w:r>
              <w:t xml:space="preserve"> </w:t>
            </w:r>
            <w:bookmarkStart w:id="4" w:name="_Ref44001675"/>
            <w:r>
              <w:t>–</w:t>
            </w:r>
            <w:bookmarkEnd w:id="4"/>
            <w:r w:rsidR="007D0158">
              <w:t xml:space="preserve"> Cognitive Biases</w:t>
            </w:r>
            <w:r w:rsidR="00214433">
              <w:t xml:space="preserve"> </w:t>
            </w:r>
            <w:sdt>
              <w:sdtPr>
                <w:id w:val="-141194129"/>
                <w:citation/>
              </w:sdtPr>
              <w:sdtContent>
                <w:r w:rsidR="00214433">
                  <w:fldChar w:fldCharType="begin"/>
                </w:r>
                <w:r w:rsidR="00214433">
                  <w:rPr>
                    <w:lang w:val="en-US"/>
                  </w:rPr>
                  <w:instrText xml:space="preserve"> CITATION LiN09 \l 1033 </w:instrText>
                </w:r>
                <w:r w:rsidR="00214433">
                  <w:fldChar w:fldCharType="separate"/>
                </w:r>
                <w:r w:rsidR="00214433">
                  <w:rPr>
                    <w:noProof/>
                    <w:lang w:val="en-US"/>
                  </w:rPr>
                  <w:t>(Li Niu, 2009)</w:t>
                </w:r>
                <w:r w:rsidR="00214433">
                  <w:fldChar w:fldCharType="end"/>
                </w:r>
              </w:sdtContent>
            </w:sdt>
            <w:r w:rsidR="00214433">
              <w:t>.</w:t>
            </w:r>
          </w:p>
          <w:p w14:paraId="10D17311" w14:textId="498146E5" w:rsidR="00BC6CA4" w:rsidRDefault="00D956F8" w:rsidP="00016C09">
            <w:pPr>
              <w:pStyle w:val="Caption"/>
              <w:spacing w:before="120" w:after="120"/>
              <w:jc w:val="center"/>
            </w:pPr>
            <w:r>
              <w:rPr>
                <w:noProof/>
              </w:rPr>
              <w:drawing>
                <wp:inline distT="0" distB="0" distL="0" distR="0" wp14:anchorId="5496604A" wp14:editId="5B3ECBD2">
                  <wp:extent cx="4419600" cy="3383538"/>
                  <wp:effectExtent l="0" t="0" r="0" b="7620"/>
                  <wp:docPr id="1" name="Picture 1" descr="How to Reduce the Impact of Cognitive Biases on Project Decisio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ow to Reduce the Impact of Cognitive Biases on Project Decisions"/>
                          <pic:cNvPicPr>
                            <a:picLocks noChangeAspect="1" noChangeArrowheads="1"/>
                          </pic:cNvPicPr>
                        </pic:nvPicPr>
                        <pic:blipFill rotWithShape="1">
                          <a:blip r:embed="rId11" cstate="print">
                            <a:extLst>
                              <a:ext uri="{28A0092B-C50C-407E-A947-70E740481C1C}">
                                <a14:useLocalDpi xmlns:a14="http://schemas.microsoft.com/office/drawing/2010/main" val="0"/>
                              </a:ext>
                            </a:extLst>
                          </a:blip>
                          <a:srcRect b="8669"/>
                          <a:stretch/>
                        </pic:blipFill>
                        <pic:spPr bwMode="auto">
                          <a:xfrm>
                            <a:off x="0" y="0"/>
                            <a:ext cx="4471573" cy="3423327"/>
                          </a:xfrm>
                          <a:prstGeom prst="rect">
                            <a:avLst/>
                          </a:prstGeom>
                          <a:noFill/>
                          <a:ln>
                            <a:noFill/>
                          </a:ln>
                          <a:extLst>
                            <a:ext uri="{53640926-AAD7-44D8-BBD7-CCE9431645EC}">
                              <a14:shadowObscured xmlns:a14="http://schemas.microsoft.com/office/drawing/2010/main"/>
                            </a:ext>
                          </a:extLst>
                        </pic:spPr>
                      </pic:pic>
                    </a:graphicData>
                  </a:graphic>
                </wp:inline>
              </w:drawing>
            </w:r>
          </w:p>
          <w:p w14:paraId="5A15BE35" w14:textId="73A5F468" w:rsidR="007D0158" w:rsidRDefault="007D0158" w:rsidP="007D0158">
            <w:pPr>
              <w:jc w:val="both"/>
            </w:pPr>
            <w:r>
              <w:t xml:space="preserve">An ‘Is, Is-Not’ was conducted during the daily meeting on the BioVue production line to gather a full understanding of all core departmental inputs, as well as </w:t>
            </w:r>
            <w:r w:rsidR="004C2FD6">
              <w:t xml:space="preserve">remove </w:t>
            </w:r>
            <w:r>
              <w:t>any unproven conceptions. One comment continuously raised by the team was that the aluminium foil was the problem, but no one could answer why they thought this. Others however blamed the robustness of the heat-sealing process and pinned the reduced seal integrity on PT100 temperature probe issues, again not based on facts. Consequently, the first two investigations were exclusively focused on material and process analysis.</w:t>
            </w:r>
          </w:p>
          <w:p w14:paraId="05D6E9D9" w14:textId="20D5CCAD" w:rsidR="007D0158" w:rsidRDefault="007D0158" w:rsidP="007D0158">
            <w:pPr>
              <w:jc w:val="both"/>
            </w:pPr>
          </w:p>
          <w:p w14:paraId="4519D994" w14:textId="6DE59ACB" w:rsidR="007D0158" w:rsidRDefault="007D0158" w:rsidP="007D0158">
            <w:pPr>
              <w:jc w:val="both"/>
            </w:pPr>
            <w:r>
              <w:t>The material analysis investigation confirmed that the</w:t>
            </w:r>
            <w:r w:rsidR="00F7070C">
              <w:t xml:space="preserve"> composition of the</w:t>
            </w:r>
            <w:r>
              <w:t xml:space="preserve"> foil aluminium was a root cause, </w:t>
            </w:r>
            <w:r w:rsidR="00495B74">
              <w:t xml:space="preserve">however this time OCD had </w:t>
            </w:r>
            <w:r w:rsidR="006847B5">
              <w:t>statistical data to pinpoint exactly what the material</w:t>
            </w:r>
            <w:r w:rsidR="004C2FD6">
              <w:t xml:space="preserve"> composition</w:t>
            </w:r>
            <w:r w:rsidR="006847B5">
              <w:t xml:space="preserve"> issues w</w:t>
            </w:r>
            <w:r w:rsidR="004C2FD6">
              <w:t>ere</w:t>
            </w:r>
            <w:r w:rsidR="006847B5">
              <w:t xml:space="preserve">, and therefore </w:t>
            </w:r>
            <w:r w:rsidR="00640D19">
              <w:t>could feedback their findings to the supplier. Without data OCD could have potentially wrongly accused the supplier of fault</w:t>
            </w:r>
            <w:r w:rsidR="007E079C">
              <w:t xml:space="preserve"> due to ‘overconfidence’ bias. </w:t>
            </w:r>
          </w:p>
          <w:p w14:paraId="7A0FED7F" w14:textId="501726BC" w:rsidR="00640D19" w:rsidRDefault="00640D19" w:rsidP="007D0158">
            <w:pPr>
              <w:jc w:val="both"/>
            </w:pPr>
          </w:p>
          <w:p w14:paraId="27ED8280" w14:textId="18D7F6B4" w:rsidR="007D0158" w:rsidRDefault="00640D19" w:rsidP="00640D19">
            <w:pPr>
              <w:jc w:val="both"/>
            </w:pPr>
            <w:r>
              <w:t xml:space="preserve">Secondly, the process </w:t>
            </w:r>
            <w:r w:rsidR="007E079C">
              <w:t>analysis investigation</w:t>
            </w:r>
            <w:r>
              <w:t xml:space="preserve"> concluded that there were process</w:t>
            </w:r>
            <w:r w:rsidR="007E079C">
              <w:t xml:space="preserve"> weaknesses, however not associated to the PT100 temperature probes as first thought. Instead the weaknesses were linked to </w:t>
            </w:r>
            <w:r w:rsidR="00016C09">
              <w:t>P</w:t>
            </w:r>
            <w:r w:rsidR="007E079C">
              <w:t xml:space="preserve">ressure inconsistencies, </w:t>
            </w:r>
            <w:r w:rsidR="00016C09">
              <w:t>D</w:t>
            </w:r>
            <w:r w:rsidR="007E079C">
              <w:t xml:space="preserve">well </w:t>
            </w:r>
            <w:r w:rsidR="00016C09">
              <w:t>Ti</w:t>
            </w:r>
            <w:r w:rsidR="007E079C">
              <w:t>me discrepancies and non-optimised heat</w:t>
            </w:r>
            <w:r w:rsidR="004C2FD6">
              <w:t>-</w:t>
            </w:r>
            <w:r w:rsidR="007E079C">
              <w:t xml:space="preserve">sealing parameters </w:t>
            </w:r>
            <w:r w:rsidR="00016C09">
              <w:t>therefore</w:t>
            </w:r>
            <w:r w:rsidR="004C2FD6">
              <w:t>,</w:t>
            </w:r>
            <w:r w:rsidR="00016C09">
              <w:t xml:space="preserve"> </w:t>
            </w:r>
            <w:r w:rsidR="007E079C">
              <w:t xml:space="preserve">none of these findings </w:t>
            </w:r>
            <w:r w:rsidR="004C2FD6">
              <w:t>aligned</w:t>
            </w:r>
            <w:r w:rsidR="00016C09">
              <w:t xml:space="preserve"> with initial process ‘anchoring’ bias thoughts. </w:t>
            </w:r>
          </w:p>
        </w:tc>
      </w:tr>
    </w:tbl>
    <w:p w14:paraId="5472EC39" w14:textId="77777777" w:rsidR="009507B8" w:rsidRDefault="009507B8" w:rsidP="00037464">
      <w:pPr>
        <w:jc w:val="both"/>
        <w:rPr>
          <w:b/>
          <w:bCs/>
          <w:u w:val="single"/>
        </w:rPr>
      </w:pPr>
    </w:p>
    <w:p w14:paraId="0B5718E1" w14:textId="4EC0C5D9" w:rsidR="00DA4069" w:rsidRDefault="00DA4069" w:rsidP="00037464">
      <w:pPr>
        <w:jc w:val="both"/>
        <w:rPr>
          <w:b/>
          <w:bCs/>
          <w:u w:val="single"/>
        </w:rPr>
      </w:pPr>
      <w:r w:rsidRPr="00DA4069">
        <w:rPr>
          <w:b/>
          <w:bCs/>
          <w:u w:val="single"/>
        </w:rPr>
        <w:lastRenderedPageBreak/>
        <w:t xml:space="preserve">QUESTION </w:t>
      </w:r>
      <w:r>
        <w:rPr>
          <w:b/>
          <w:bCs/>
          <w:u w:val="single"/>
        </w:rPr>
        <w:t>THREE</w:t>
      </w:r>
    </w:p>
    <w:p w14:paraId="27623559" w14:textId="32B57DC5" w:rsidR="00DA4069" w:rsidRDefault="00552A3E" w:rsidP="00037464">
      <w:pPr>
        <w:jc w:val="both"/>
      </w:pPr>
      <w:r>
        <w:t xml:space="preserve">Has the learning from this study been captured and disseminated within the organisation for future reference? If so, by which means? </w:t>
      </w:r>
    </w:p>
    <w:tbl>
      <w:tblPr>
        <w:tblStyle w:val="TableGrid"/>
        <w:tblW w:w="0" w:type="auto"/>
        <w:tblLook w:val="04A0" w:firstRow="1" w:lastRow="0" w:firstColumn="1" w:lastColumn="0" w:noHBand="0" w:noVBand="1"/>
      </w:tblPr>
      <w:tblGrid>
        <w:gridCol w:w="9016"/>
      </w:tblGrid>
      <w:tr w:rsidR="00BC6CA4" w14:paraId="5D46B381" w14:textId="77777777" w:rsidTr="00BC6CA4">
        <w:tc>
          <w:tcPr>
            <w:tcW w:w="9016" w:type="dxa"/>
          </w:tcPr>
          <w:p w14:paraId="165BC8AC" w14:textId="77777777" w:rsidR="00E43697" w:rsidRDefault="00E43697" w:rsidP="00037464">
            <w:pPr>
              <w:jc w:val="both"/>
            </w:pPr>
          </w:p>
          <w:p w14:paraId="3CC858DA" w14:textId="70BCCEF0" w:rsidR="00BC6CA4" w:rsidRDefault="00BC6CA4" w:rsidP="00037464">
            <w:pPr>
              <w:jc w:val="both"/>
            </w:pPr>
            <w:r>
              <w:t>The project had 3 improvement investigations:</w:t>
            </w:r>
          </w:p>
          <w:p w14:paraId="3788B990" w14:textId="7F899ECC" w:rsidR="00BC6CA4" w:rsidRDefault="00BC6CA4" w:rsidP="00BC6CA4">
            <w:pPr>
              <w:pStyle w:val="ListParagraph"/>
              <w:numPr>
                <w:ilvl w:val="0"/>
                <w:numId w:val="2"/>
              </w:numPr>
              <w:jc w:val="both"/>
            </w:pPr>
            <w:r>
              <w:t>Material Review</w:t>
            </w:r>
          </w:p>
          <w:p w14:paraId="511949B2" w14:textId="1BB6B8B8" w:rsidR="00BC6CA4" w:rsidRDefault="00BC6CA4" w:rsidP="00BC6CA4">
            <w:pPr>
              <w:pStyle w:val="ListParagraph"/>
              <w:numPr>
                <w:ilvl w:val="0"/>
                <w:numId w:val="2"/>
              </w:numPr>
              <w:jc w:val="both"/>
            </w:pPr>
            <w:r>
              <w:t>Process Review</w:t>
            </w:r>
          </w:p>
          <w:p w14:paraId="4BD926B6" w14:textId="4A27A628" w:rsidR="00BC6CA4" w:rsidRDefault="00BC6CA4" w:rsidP="00BC6CA4">
            <w:pPr>
              <w:pStyle w:val="ListParagraph"/>
              <w:numPr>
                <w:ilvl w:val="0"/>
                <w:numId w:val="2"/>
              </w:numPr>
              <w:jc w:val="both"/>
            </w:pPr>
            <w:r>
              <w:t xml:space="preserve">Machine Parameter Optimisation </w:t>
            </w:r>
          </w:p>
          <w:p w14:paraId="0DFD6AD5" w14:textId="724F3AA8" w:rsidR="00BC6CA4" w:rsidRDefault="00BC6CA4" w:rsidP="00037464">
            <w:pPr>
              <w:jc w:val="both"/>
            </w:pPr>
          </w:p>
          <w:p w14:paraId="648A2349" w14:textId="342B28BE" w:rsidR="00BC6CA4" w:rsidRDefault="00C51865" w:rsidP="00037464">
            <w:pPr>
              <w:jc w:val="both"/>
            </w:pPr>
            <w:r>
              <w:t xml:space="preserve">Investigation </w:t>
            </w:r>
            <w:r w:rsidR="00016C09">
              <w:t xml:space="preserve">2 </w:t>
            </w:r>
            <w:r>
              <w:t xml:space="preserve">yielded the </w:t>
            </w:r>
            <w:r w:rsidR="00016C09">
              <w:t>faste</w:t>
            </w:r>
            <w:r w:rsidR="004C2FD6">
              <w:t>st</w:t>
            </w:r>
            <w:r>
              <w:t xml:space="preserve"> improvements </w:t>
            </w:r>
            <w:r w:rsidR="00016C09">
              <w:t>because the</w:t>
            </w:r>
            <w:r>
              <w:t xml:space="preserve"> issues associated to Pressure and Dwell Time were directly addressed. Pressure variance was reduced from 0.6Bar to 0.06Bar, a mere 10% resulting in an improved Standard Deviation of 21.93 to 2.84; this improved the </w:t>
            </w:r>
            <w:r w:rsidR="00016C09">
              <w:t>repeatability</w:t>
            </w:r>
            <w:r>
              <w:t xml:space="preserve"> of the heat-sealing pressure.</w:t>
            </w:r>
            <w:r w:rsidR="00172E50">
              <w:t xml:space="preserve"> The dissertation drove a</w:t>
            </w:r>
            <w:r w:rsidR="009B24B4">
              <w:t xml:space="preserve">n OCD site </w:t>
            </w:r>
            <w:r w:rsidR="00172E50">
              <w:t xml:space="preserve">wide </w:t>
            </w:r>
            <w:r w:rsidR="00A83A5A">
              <w:t>pressure system review</w:t>
            </w:r>
            <w:r w:rsidR="009B24B4">
              <w:t xml:space="preserve">, which </w:t>
            </w:r>
            <w:r w:rsidR="00A83A5A">
              <w:t xml:space="preserve">found that </w:t>
            </w:r>
            <w:r w:rsidR="009B24B4">
              <w:t xml:space="preserve">large </w:t>
            </w:r>
            <w:r w:rsidR="00A83A5A">
              <w:t xml:space="preserve">pressure variation was common across </w:t>
            </w:r>
            <w:r w:rsidR="009B24B4">
              <w:t>all manufacturing lines</w:t>
            </w:r>
            <w:r w:rsidR="00A83A5A">
              <w:t xml:space="preserve">. </w:t>
            </w:r>
            <w:r w:rsidR="009B24B4">
              <w:t xml:space="preserve">Resultantly, more </w:t>
            </w:r>
            <w:r w:rsidR="009B24B4" w:rsidRPr="009B24B4">
              <w:t>300-litre receiver</w:t>
            </w:r>
            <w:r w:rsidR="009B24B4">
              <w:t>s were introduced t</w:t>
            </w:r>
            <w:r w:rsidR="009B24B4" w:rsidRPr="009B24B4">
              <w:t xml:space="preserve">o accommodate </w:t>
            </w:r>
            <w:r w:rsidR="009B24B4">
              <w:t>any</w:t>
            </w:r>
            <w:r w:rsidR="009B24B4" w:rsidRPr="009B24B4">
              <w:t xml:space="preserve"> peak pressures </w:t>
            </w:r>
            <w:r w:rsidR="009B24B4">
              <w:t>and reduce process pressure variation. Furthermore, line P</w:t>
            </w:r>
            <w:r w:rsidR="00016C09">
              <w:t>ressure</w:t>
            </w:r>
            <w:r>
              <w:t xml:space="preserve"> capacity </w:t>
            </w:r>
            <w:r w:rsidR="009B24B4">
              <w:t>was increased f</w:t>
            </w:r>
            <w:r w:rsidR="00016C09">
              <w:t xml:space="preserve">rom </w:t>
            </w:r>
            <w:r>
              <w:t>5Bar</w:t>
            </w:r>
            <w:r w:rsidR="00016C09">
              <w:t>,</w:t>
            </w:r>
            <w:r>
              <w:t xml:space="preserve"> up to a maximum of 10Bar </w:t>
            </w:r>
            <w:r w:rsidR="00016C09">
              <w:t>to</w:t>
            </w:r>
            <w:r>
              <w:t xml:space="preserve"> allow OCD to </w:t>
            </w:r>
            <w:r w:rsidR="00016C09">
              <w:t xml:space="preserve">provide </w:t>
            </w:r>
            <w:r w:rsidR="00AD21F3">
              <w:t>more pressure during the heat-seal to encourage the entanglement of polymers.</w:t>
            </w:r>
            <w:r w:rsidR="00BE286D">
              <w:t xml:space="preserve"> Lastly, </w:t>
            </w:r>
            <w:r w:rsidR="00BE286D">
              <w:t>discrepancies</w:t>
            </w:r>
            <w:r w:rsidR="00BE286D">
              <w:t xml:space="preserve"> with Dwell Time was mitigated by improved control of cylinder set heights as discussed within the dissertation report.</w:t>
            </w:r>
          </w:p>
          <w:p w14:paraId="32AE3D01" w14:textId="61671DF6" w:rsidR="00E0158E" w:rsidRDefault="00E0158E" w:rsidP="00037464">
            <w:pPr>
              <w:jc w:val="both"/>
            </w:pPr>
          </w:p>
          <w:p w14:paraId="4BF554F6" w14:textId="18533521" w:rsidR="00E0158E" w:rsidRDefault="00E0158E" w:rsidP="00037464">
            <w:pPr>
              <w:jc w:val="both"/>
            </w:pPr>
            <w:r>
              <w:t xml:space="preserve">One of the largest learnings disseminated from the Foil Recovery project was in relation </w:t>
            </w:r>
            <w:r w:rsidR="00BE286D">
              <w:t>to</w:t>
            </w:r>
            <w:r>
              <w:t xml:space="preserve"> how to conduct a Design of Experiments (DOE) study. Previously, the engineering team </w:t>
            </w:r>
            <w:r w:rsidR="00AD21F3">
              <w:t xml:space="preserve">had only </w:t>
            </w:r>
            <w:r>
              <w:t xml:space="preserve">used One-Factor-At-Time </w:t>
            </w:r>
            <w:r w:rsidR="00BE286D">
              <w:t xml:space="preserve">(OFAT) </w:t>
            </w:r>
            <w:r>
              <w:t xml:space="preserve">methodology which resulted in </w:t>
            </w:r>
            <w:r w:rsidR="00BE286D">
              <w:t xml:space="preserve">the necessity to use </w:t>
            </w:r>
            <w:r>
              <w:t xml:space="preserve">large sampling groups </w:t>
            </w:r>
            <w:r w:rsidR="00BE286D">
              <w:t>in the attempt to</w:t>
            </w:r>
            <w:r>
              <w:t xml:space="preserve"> try </w:t>
            </w:r>
            <w:r w:rsidR="00BE286D">
              <w:t xml:space="preserve">and </w:t>
            </w:r>
            <w:r>
              <w:t xml:space="preserve">capture the interaction between factors. The alternative DOE methodology yielded lots of interest, and the training given from myself to others </w:t>
            </w:r>
            <w:r w:rsidR="00BE286D">
              <w:t xml:space="preserve">which </w:t>
            </w:r>
            <w:r>
              <w:t>was very well received.</w:t>
            </w:r>
          </w:p>
          <w:p w14:paraId="5449BF37" w14:textId="77777777" w:rsidR="00BC6CA4" w:rsidRDefault="00BC6CA4" w:rsidP="00037464">
            <w:pPr>
              <w:jc w:val="both"/>
            </w:pPr>
          </w:p>
          <w:p w14:paraId="33B98101" w14:textId="371A6795" w:rsidR="000C7D67" w:rsidRDefault="000C7D67" w:rsidP="00037464">
            <w:pPr>
              <w:jc w:val="both"/>
            </w:pPr>
            <w:r>
              <w:t>Furthermore, there has been an increased understanding at OCD of the criticality of product testing incoming materials at lower, nominal, and upper tolerances to ensure that material specifications are appropriately determined. The addition of this pre-requisite testing criteria has also been included for all future validations of new incoming raw material</w:t>
            </w:r>
            <w:r w:rsidR="00C80415">
              <w:t>,</w:t>
            </w:r>
            <w:r>
              <w:t xml:space="preserve"> to improve </w:t>
            </w:r>
            <w:r w:rsidR="00C80415">
              <w:t xml:space="preserve">supplier confidence reliability. </w:t>
            </w:r>
          </w:p>
          <w:p w14:paraId="7941682E" w14:textId="2C3977E6" w:rsidR="000C7D67" w:rsidRDefault="000C7D67" w:rsidP="00037464">
            <w:pPr>
              <w:jc w:val="both"/>
            </w:pPr>
          </w:p>
        </w:tc>
      </w:tr>
    </w:tbl>
    <w:p w14:paraId="7E930282" w14:textId="5C24A736" w:rsidR="00E0158E" w:rsidRDefault="00E0158E">
      <w:pPr>
        <w:rPr>
          <w:b/>
          <w:u w:val="single"/>
        </w:rPr>
      </w:pPr>
    </w:p>
    <w:p w14:paraId="559B128A" w14:textId="77777777" w:rsidR="00F7070C" w:rsidRDefault="00F7070C">
      <w:pPr>
        <w:rPr>
          <w:b/>
          <w:u w:val="single"/>
        </w:rPr>
      </w:pPr>
      <w:r>
        <w:rPr>
          <w:b/>
          <w:u w:val="single"/>
        </w:rPr>
        <w:br w:type="page"/>
      </w:r>
    </w:p>
    <w:p w14:paraId="320CA6C5" w14:textId="2C1FA8CA" w:rsidR="00B550FB" w:rsidRPr="00726440" w:rsidRDefault="006F4906" w:rsidP="00DA4069">
      <w:pPr>
        <w:rPr>
          <w:b/>
          <w:u w:val="single"/>
        </w:rPr>
      </w:pPr>
      <w:r w:rsidRPr="00726440">
        <w:rPr>
          <w:b/>
          <w:u w:val="single"/>
        </w:rPr>
        <w:lastRenderedPageBreak/>
        <w:t xml:space="preserve">QUESTION FOUR </w:t>
      </w:r>
    </w:p>
    <w:p w14:paraId="22959ABE" w14:textId="68D44443" w:rsidR="00726440" w:rsidRDefault="00552A3E" w:rsidP="00DA4069">
      <w:r>
        <w:t xml:space="preserve">Are there any measures which you would recommend the company puts in place to ameliorate or mitigate quality issues such as this in the future?  </w:t>
      </w:r>
    </w:p>
    <w:tbl>
      <w:tblPr>
        <w:tblStyle w:val="TableGrid"/>
        <w:tblW w:w="0" w:type="auto"/>
        <w:tblLook w:val="04A0" w:firstRow="1" w:lastRow="0" w:firstColumn="1" w:lastColumn="0" w:noHBand="0" w:noVBand="1"/>
      </w:tblPr>
      <w:tblGrid>
        <w:gridCol w:w="9016"/>
      </w:tblGrid>
      <w:tr w:rsidR="00E0158E" w14:paraId="5F030163" w14:textId="77777777" w:rsidTr="00BC1A63">
        <w:trPr>
          <w:trHeight w:val="4047"/>
        </w:trPr>
        <w:tc>
          <w:tcPr>
            <w:tcW w:w="9016" w:type="dxa"/>
          </w:tcPr>
          <w:p w14:paraId="45D8EE28" w14:textId="77777777" w:rsidR="00F7070C" w:rsidRDefault="00F7070C" w:rsidP="00B6672D">
            <w:pPr>
              <w:jc w:val="both"/>
              <w:rPr>
                <w:b/>
                <w:bCs/>
                <w:u w:val="single"/>
              </w:rPr>
            </w:pPr>
          </w:p>
          <w:p w14:paraId="3B826B88" w14:textId="0746E557" w:rsidR="00BC1A63" w:rsidRPr="00BC1A63" w:rsidRDefault="00BC1A63" w:rsidP="00B6672D">
            <w:pPr>
              <w:jc w:val="both"/>
              <w:rPr>
                <w:b/>
                <w:bCs/>
                <w:u w:val="single"/>
              </w:rPr>
            </w:pPr>
            <w:r w:rsidRPr="00BC1A63">
              <w:rPr>
                <w:b/>
                <w:bCs/>
                <w:u w:val="single"/>
              </w:rPr>
              <w:t>Short Term</w:t>
            </w:r>
          </w:p>
          <w:p w14:paraId="55BAFC5B" w14:textId="53C3A2E2" w:rsidR="00E762A9" w:rsidRDefault="004461C8" w:rsidP="00B6672D">
            <w:pPr>
              <w:jc w:val="both"/>
            </w:pPr>
            <w:r>
              <w:t>OCD were incredibly lucky to trial the new material</w:t>
            </w:r>
            <w:r w:rsidR="00237EC4">
              <w:t xml:space="preserve"> </w:t>
            </w:r>
            <w:r>
              <w:t xml:space="preserve">weeks before the old stock was depleted. Even though the heat-sealing parameters have been optimised which improves the overall seal integrity, the root cause has not been addressed. OCD are aware of the </w:t>
            </w:r>
            <w:r w:rsidR="00AD21F3">
              <w:t xml:space="preserve">likelihood of repeat </w:t>
            </w:r>
            <w:r>
              <w:t xml:space="preserve">material issues </w:t>
            </w:r>
            <w:r w:rsidR="00237EC4">
              <w:t>and therefore s</w:t>
            </w:r>
            <w:r>
              <w:t xml:space="preserve">hould </w:t>
            </w:r>
            <w:r w:rsidR="00AD21F3">
              <w:t>introduce control</w:t>
            </w:r>
            <w:r>
              <w:t xml:space="preserve"> measures to either</w:t>
            </w:r>
            <w:r w:rsidR="00237EC4">
              <w:t>:</w:t>
            </w:r>
          </w:p>
          <w:p w14:paraId="234718F1" w14:textId="0FA32C70" w:rsidR="00E762A9" w:rsidRDefault="004461C8" w:rsidP="00E762A9">
            <w:pPr>
              <w:pStyle w:val="ListParagraph"/>
              <w:numPr>
                <w:ilvl w:val="0"/>
                <w:numId w:val="4"/>
              </w:numPr>
              <w:jc w:val="both"/>
            </w:pPr>
            <w:r>
              <w:t xml:space="preserve">reduce the material </w:t>
            </w:r>
            <w:r w:rsidR="00F7070C">
              <w:t xml:space="preserve">composition </w:t>
            </w:r>
            <w:r>
              <w:t>variability and fix the root cause</w:t>
            </w:r>
            <w:r w:rsidR="00AD21F3">
              <w:t>,</w:t>
            </w:r>
            <w:r>
              <w:t xml:space="preserve"> or </w:t>
            </w:r>
          </w:p>
          <w:p w14:paraId="6B11B753" w14:textId="7A2062FC" w:rsidR="00E0158E" w:rsidRDefault="004461C8" w:rsidP="00E762A9">
            <w:pPr>
              <w:pStyle w:val="ListParagraph"/>
              <w:numPr>
                <w:ilvl w:val="0"/>
                <w:numId w:val="4"/>
              </w:numPr>
              <w:jc w:val="both"/>
            </w:pPr>
            <w:r>
              <w:t>introduce precautionary measures to sample incoming goods to underst</w:t>
            </w:r>
            <w:r w:rsidR="00AD21F3">
              <w:t xml:space="preserve">and if the aluminium foil is </w:t>
            </w:r>
            <w:r w:rsidR="00E762A9">
              <w:t xml:space="preserve">comparatively similar. If similar, production can continue to manufacturer as per optimised parameters. If not, then another DOE study will be required to uniquely optimise </w:t>
            </w:r>
            <w:r w:rsidR="00907118">
              <w:t xml:space="preserve">parameters to account for the material variation. </w:t>
            </w:r>
          </w:p>
          <w:p w14:paraId="685D8F68" w14:textId="77777777" w:rsidR="004461C8" w:rsidRDefault="004461C8" w:rsidP="00DA4069"/>
          <w:p w14:paraId="71780865" w14:textId="399E6271" w:rsidR="004461C8" w:rsidRDefault="00B26038" w:rsidP="008953F3">
            <w:pPr>
              <w:jc w:val="both"/>
            </w:pPr>
            <w:r>
              <w:t>Currently at OCD there are incoming inspection activities conducted by Quality Control</w:t>
            </w:r>
            <w:r w:rsidR="008953F3">
              <w:t xml:space="preserve"> </w:t>
            </w:r>
            <w:r>
              <w:t xml:space="preserve">however, the </w:t>
            </w:r>
            <w:r w:rsidR="008953F3">
              <w:t xml:space="preserve">inspection tasks do not include physically heat-sealing cassettes with multiple aluminium foil samples to test the peel strength. The introduction of this check will not mitigate the variability of the foil, but instead allow OCD to plan accordingly. Dependent on the foil composition, the parameter may require </w:t>
            </w:r>
            <w:r w:rsidR="00BC1A63">
              <w:t>further optimisation to be unique to th</w:t>
            </w:r>
            <w:r w:rsidR="00787FC9">
              <w:t>e next</w:t>
            </w:r>
            <w:r w:rsidR="00BC1A63">
              <w:t xml:space="preserve"> batch of foil.</w:t>
            </w:r>
          </w:p>
          <w:p w14:paraId="4B6689DF" w14:textId="77777777" w:rsidR="00BC1A63" w:rsidRDefault="00BC1A63" w:rsidP="008953F3">
            <w:pPr>
              <w:jc w:val="both"/>
            </w:pPr>
          </w:p>
          <w:p w14:paraId="53C06515" w14:textId="77777777" w:rsidR="00BC1A63" w:rsidRPr="00BC1A63" w:rsidRDefault="00BC1A63" w:rsidP="008953F3">
            <w:pPr>
              <w:jc w:val="both"/>
              <w:rPr>
                <w:b/>
                <w:bCs/>
                <w:u w:val="single"/>
              </w:rPr>
            </w:pPr>
            <w:r w:rsidRPr="00BC1A63">
              <w:rPr>
                <w:b/>
                <w:bCs/>
                <w:u w:val="single"/>
              </w:rPr>
              <w:t>Long Term</w:t>
            </w:r>
          </w:p>
          <w:p w14:paraId="2F7282A0" w14:textId="64EFBAF2" w:rsidR="00FF2DBD" w:rsidRDefault="00F7070C" w:rsidP="008953F3">
            <w:pPr>
              <w:jc w:val="both"/>
            </w:pPr>
            <w:r>
              <w:t>The</w:t>
            </w:r>
            <w:r w:rsidR="00BC1A63">
              <w:t xml:space="preserve"> Foil Recovery Project highlighted to upper management the shear volume of time and resource spent optimising the equipment parameters, and yet, the root cause was not resolved. To prevent the need to repeat the parameter optimisation stud</w:t>
            </w:r>
            <w:r>
              <w:t>ies</w:t>
            </w:r>
            <w:r w:rsidR="00BC1A63">
              <w:t xml:space="preserve"> </w:t>
            </w:r>
            <w:r w:rsidR="00B777D8">
              <w:t xml:space="preserve">to accommodate for the foil composition variation, OCD must direct resource efforts to either </w:t>
            </w:r>
            <w:r w:rsidR="00FF2DBD">
              <w:t>completing supplier initiatives with Amcor or consider an alternative supplier as suggested within the dissertation.</w:t>
            </w:r>
          </w:p>
          <w:p w14:paraId="4E0CE03A" w14:textId="5C792AF9" w:rsidR="00B777D8" w:rsidRDefault="00FF2DBD" w:rsidP="008953F3">
            <w:pPr>
              <w:jc w:val="both"/>
            </w:pPr>
            <w:r>
              <w:t xml:space="preserve"> </w:t>
            </w:r>
          </w:p>
        </w:tc>
      </w:tr>
    </w:tbl>
    <w:p w14:paraId="324BB51A" w14:textId="77777777" w:rsidR="00E0158E" w:rsidRDefault="00E0158E" w:rsidP="00DA4069"/>
    <w:p w14:paraId="153843CF" w14:textId="77777777" w:rsidR="00F7070C" w:rsidRDefault="00F7070C">
      <w:pPr>
        <w:rPr>
          <w:b/>
          <w:u w:val="single"/>
        </w:rPr>
      </w:pPr>
      <w:r>
        <w:rPr>
          <w:b/>
          <w:u w:val="single"/>
        </w:rPr>
        <w:br w:type="page"/>
      </w:r>
    </w:p>
    <w:p w14:paraId="15F5C3FA" w14:textId="39232B13" w:rsidR="00726440" w:rsidRPr="00726440" w:rsidRDefault="00726440" w:rsidP="00DA4069">
      <w:pPr>
        <w:rPr>
          <w:b/>
          <w:u w:val="single"/>
        </w:rPr>
      </w:pPr>
      <w:r w:rsidRPr="00726440">
        <w:rPr>
          <w:b/>
          <w:u w:val="single"/>
        </w:rPr>
        <w:lastRenderedPageBreak/>
        <w:t>QUESTION FIVE</w:t>
      </w:r>
    </w:p>
    <w:p w14:paraId="06FF2929" w14:textId="42856FA9" w:rsidR="00726440" w:rsidRPr="00DA4069" w:rsidRDefault="00C167CB" w:rsidP="00DA4069">
      <w:r>
        <w:t xml:space="preserve">One of your proposed Control phase recommendations is to consider alternative suppliers. As you identify, this may prove problematic from the point of view of maintaining a good relationship with your supplier. Are there any principles, practices, theories which could help you to manage this relationship whilst addressing quality issues forthrightly? How do you think this could be taken forward? </w:t>
      </w:r>
    </w:p>
    <w:tbl>
      <w:tblPr>
        <w:tblStyle w:val="TableGrid"/>
        <w:tblW w:w="0" w:type="auto"/>
        <w:tblLook w:val="04A0" w:firstRow="1" w:lastRow="0" w:firstColumn="1" w:lastColumn="0" w:noHBand="0" w:noVBand="1"/>
      </w:tblPr>
      <w:tblGrid>
        <w:gridCol w:w="9016"/>
      </w:tblGrid>
      <w:tr w:rsidR="00D03CE7" w14:paraId="66D856F7" w14:textId="77777777" w:rsidTr="00D03CE7">
        <w:tc>
          <w:tcPr>
            <w:tcW w:w="9016" w:type="dxa"/>
          </w:tcPr>
          <w:p w14:paraId="1C2ABB69" w14:textId="77777777" w:rsidR="00DA27BF" w:rsidRDefault="00DA27BF" w:rsidP="00DA4069"/>
          <w:p w14:paraId="0B1FFAD1" w14:textId="4C63C4A4" w:rsidR="00D03CE7" w:rsidRDefault="00DA27BF" w:rsidP="00FD6F26">
            <w:pPr>
              <w:jc w:val="both"/>
            </w:pPr>
            <w:r>
              <w:t xml:space="preserve">Within </w:t>
            </w:r>
            <w:r w:rsidR="00FD6F26">
              <w:t>the</w:t>
            </w:r>
            <w:r>
              <w:t xml:space="preserve"> supplier contract </w:t>
            </w:r>
            <w:r w:rsidR="00AB707F">
              <w:t>with</w:t>
            </w:r>
            <w:r>
              <w:t xml:space="preserve"> Amcor, </w:t>
            </w:r>
            <w:r w:rsidR="00FD6F26">
              <w:t xml:space="preserve">OCD’s </w:t>
            </w:r>
            <w:r w:rsidR="008C46F7">
              <w:t xml:space="preserve">customer </w:t>
            </w:r>
            <w:r>
              <w:t>expectations</w:t>
            </w:r>
            <w:r w:rsidR="00FD6F26">
              <w:t xml:space="preserve"> </w:t>
            </w:r>
            <w:r w:rsidR="00AB707F">
              <w:t>are outlined which includes</w:t>
            </w:r>
            <w:r>
              <w:t xml:space="preserve"> the </w:t>
            </w:r>
            <w:r w:rsidR="008C46F7">
              <w:t xml:space="preserve">required </w:t>
            </w:r>
            <w:r>
              <w:t>level of contact from both parties</w:t>
            </w:r>
            <w:r w:rsidR="00FD6F26">
              <w:t xml:space="preserve">. The contract also specifies regulatory standards such as </w:t>
            </w:r>
            <w:r w:rsidR="00F7070C" w:rsidRPr="00F7070C">
              <w:t>ISO 13485 &amp; 14971</w:t>
            </w:r>
            <w:r w:rsidR="00FD6F26">
              <w:t xml:space="preserve"> as well as an ‘Audit Level’. Amcor was categorised as the highest Audit Level of 4, due to the criticality of the aluminium foil on the products seal integrity</w:t>
            </w:r>
            <w:r w:rsidR="00717F4C">
              <w:t xml:space="preserve">. </w:t>
            </w:r>
          </w:p>
          <w:p w14:paraId="3B74F41E" w14:textId="10C607FB" w:rsidR="00AB707F" w:rsidRDefault="00AB707F" w:rsidP="00DA4069"/>
          <w:p w14:paraId="323485F3" w14:textId="7F2BBEAE" w:rsidR="005A3A49" w:rsidRDefault="00FD6F26" w:rsidP="005A3A49">
            <w:pPr>
              <w:jc w:val="both"/>
            </w:pPr>
            <w:r>
              <w:t xml:space="preserve">Even though an Audit Level of 4 naturally promotes a </w:t>
            </w:r>
            <w:r w:rsidR="00E86E32">
              <w:t>close working relationship with Amcor, OCD should remain mindful that i</w:t>
            </w:r>
            <w:r w:rsidR="008C46F7">
              <w:t xml:space="preserve">t is recommended </w:t>
            </w:r>
            <w:r w:rsidR="005A428E">
              <w:t>within the Supplier Relationship Management Model</w:t>
            </w:r>
            <w:r w:rsidR="008C46F7">
              <w:t xml:space="preserve"> to meet with suppliers</w:t>
            </w:r>
            <w:r w:rsidR="00DA27BF" w:rsidRPr="00DA27BF">
              <w:t> face-to-face </w:t>
            </w:r>
            <w:r w:rsidR="008C46F7">
              <w:t xml:space="preserve">to build professional working relations and to improve </w:t>
            </w:r>
            <w:r w:rsidR="00F7070C">
              <w:t xml:space="preserve">their </w:t>
            </w:r>
            <w:r w:rsidR="008C46F7">
              <w:t xml:space="preserve">understanding of </w:t>
            </w:r>
            <w:r w:rsidR="00DA27BF" w:rsidRPr="00DA27BF">
              <w:t xml:space="preserve">how </w:t>
            </w:r>
            <w:r w:rsidR="00717F4C">
              <w:t>OCD as a</w:t>
            </w:r>
            <w:r w:rsidR="00DA27BF" w:rsidRPr="00DA27BF">
              <w:t xml:space="preserve"> business operates.</w:t>
            </w:r>
            <w:r w:rsidR="00717F4C">
              <w:t xml:space="preserve"> Transparency and clarity between OCD and the supplier ensure that Amcor have a true appreciation for the large resultant affects minor material composition variance can cause on the end user, a blood diagnostic patient. </w:t>
            </w:r>
            <w:r w:rsidR="00DA27BF" w:rsidRPr="00DA27BF">
              <w:t xml:space="preserve">Understanding </w:t>
            </w:r>
            <w:r w:rsidR="00717F4C">
              <w:t xml:space="preserve">both </w:t>
            </w:r>
            <w:r w:rsidR="00DA27BF" w:rsidRPr="00DA27BF">
              <w:t xml:space="preserve">how </w:t>
            </w:r>
            <w:r w:rsidR="008C46F7">
              <w:t xml:space="preserve">a </w:t>
            </w:r>
            <w:r w:rsidR="00DA27BF" w:rsidRPr="00DA27BF">
              <w:t>supplier</w:t>
            </w:r>
            <w:r w:rsidR="00717F4C">
              <w:t xml:space="preserve"> and customer</w:t>
            </w:r>
            <w:r w:rsidR="00DA27BF" w:rsidRPr="00DA27BF">
              <w:t xml:space="preserve"> work </w:t>
            </w:r>
            <w:r w:rsidR="008C46F7">
              <w:t xml:space="preserve">will provide </w:t>
            </w:r>
            <w:r w:rsidR="00DA27BF" w:rsidRPr="00DA27BF">
              <w:t xml:space="preserve">a better sense of how </w:t>
            </w:r>
            <w:r w:rsidR="00717F4C">
              <w:t>each can support one another</w:t>
            </w:r>
            <w:r w:rsidR="005A3A49">
              <w:t xml:space="preserve">, as well as plan </w:t>
            </w:r>
            <w:r w:rsidR="00DA27BF" w:rsidRPr="00DA27BF">
              <w:t xml:space="preserve">strategic changes </w:t>
            </w:r>
            <w:r w:rsidR="005A3A49">
              <w:t xml:space="preserve">to </w:t>
            </w:r>
            <w:r w:rsidR="00DA27BF" w:rsidRPr="00DA27BF">
              <w:t>adapt</w:t>
            </w:r>
            <w:r w:rsidR="00E473C0">
              <w:t xml:space="preserve"> and continuously improve. </w:t>
            </w:r>
          </w:p>
          <w:p w14:paraId="198173AE" w14:textId="77777777" w:rsidR="00DB5A66" w:rsidRDefault="00DB5A66" w:rsidP="00657D67">
            <w:pPr>
              <w:jc w:val="both"/>
            </w:pPr>
          </w:p>
          <w:p w14:paraId="501A84DA" w14:textId="2D786128" w:rsidR="005A428E" w:rsidRPr="00DA27BF" w:rsidRDefault="00DB5A66" w:rsidP="00657D67">
            <w:pPr>
              <w:jc w:val="both"/>
            </w:pPr>
            <w:r>
              <w:t xml:space="preserve">Common quality principles to prompt higher </w:t>
            </w:r>
            <w:r w:rsidR="00E473C0">
              <w:t>quality</w:t>
            </w:r>
            <w:r>
              <w:t xml:space="preserve"> of incoming materials include Material Review Board</w:t>
            </w:r>
            <w:r w:rsidR="00E473C0">
              <w:t>s</w:t>
            </w:r>
            <w:r>
              <w:t xml:space="preserve"> (MRB), </w:t>
            </w:r>
            <w:r w:rsidR="00E473C0">
              <w:t>Continuous Improvement (CI)</w:t>
            </w:r>
            <w:r w:rsidR="00E473C0">
              <w:t xml:space="preserve"> tasks as well as</w:t>
            </w:r>
            <w:r w:rsidR="00E473C0">
              <w:t xml:space="preserve"> </w:t>
            </w:r>
            <w:r>
              <w:t xml:space="preserve">Supplier Corrective Action Requests (SCARS) too. All these initiatives </w:t>
            </w:r>
            <w:r w:rsidR="00E473C0">
              <w:t>can only be implemented</w:t>
            </w:r>
            <w:r>
              <w:t xml:space="preserve"> </w:t>
            </w:r>
            <w:r w:rsidR="00E473C0">
              <w:t>once</w:t>
            </w:r>
            <w:r>
              <w:t xml:space="preserve"> the Root Cause </w:t>
            </w:r>
            <w:r w:rsidR="00E473C0">
              <w:t>ha</w:t>
            </w:r>
            <w:r>
              <w:t>s</w:t>
            </w:r>
            <w:r w:rsidR="00E473C0">
              <w:t xml:space="preserve"> been</w:t>
            </w:r>
            <w:r>
              <w:t xml:space="preserve"> determined. It is critical for OCD to </w:t>
            </w:r>
            <w:r w:rsidR="00E473C0">
              <w:t>verify</w:t>
            </w:r>
            <w:r>
              <w:t xml:space="preserve"> whether Amcor have the necessary capability to achieve the required material specification</w:t>
            </w:r>
            <w:r w:rsidR="00421ACE">
              <w:t xml:space="preserve"> </w:t>
            </w:r>
            <w:r>
              <w:t>and if not</w:t>
            </w:r>
            <w:r w:rsidR="00421ACE">
              <w:t>, to determine as a customer if Amcor have the scope to be supported to raise the quality standard</w:t>
            </w:r>
            <w:r w:rsidR="00F60255">
              <w:t>, by narrowing the foil specification limits</w:t>
            </w:r>
            <w:r w:rsidR="00421ACE">
              <w:t>.</w:t>
            </w:r>
          </w:p>
          <w:p w14:paraId="78FFA09B" w14:textId="77777777" w:rsidR="005A428E" w:rsidRDefault="005A428E" w:rsidP="00DA4069"/>
          <w:p w14:paraId="4F0CDD03" w14:textId="64FE9CBA" w:rsidR="00292150" w:rsidRDefault="00725664" w:rsidP="00292150">
            <w:pPr>
              <w:jc w:val="both"/>
            </w:pPr>
            <w:r>
              <w:t>S</w:t>
            </w:r>
            <w:r w:rsidR="00E86E32">
              <w:t>ome companies mistakenly swap suppliers too quickly,</w:t>
            </w:r>
            <w:r w:rsidR="008C46F7" w:rsidRPr="00AB707F">
              <w:t xml:space="preserve"> </w:t>
            </w:r>
            <w:r>
              <w:t>which can have a detrimental effect on product quality. It could</w:t>
            </w:r>
            <w:r w:rsidR="008C46F7" w:rsidRPr="00AB707F">
              <w:t xml:space="preserve"> </w:t>
            </w:r>
            <w:r w:rsidR="007A211B">
              <w:t xml:space="preserve">prove beneficial to remain loyal </w:t>
            </w:r>
            <w:r w:rsidR="008C46F7" w:rsidRPr="00AB707F">
              <w:t xml:space="preserve">with </w:t>
            </w:r>
            <w:r w:rsidR="00E86E32">
              <w:t>a</w:t>
            </w:r>
            <w:r w:rsidR="008C46F7" w:rsidRPr="00AB707F">
              <w:t xml:space="preserve"> current supplier</w:t>
            </w:r>
            <w:r w:rsidR="00515896">
              <w:t>, as</w:t>
            </w:r>
            <w:r w:rsidR="00E86E32">
              <w:t xml:space="preserve"> </w:t>
            </w:r>
            <w:r w:rsidR="00515896">
              <w:t>over</w:t>
            </w:r>
            <w:r w:rsidR="008C46F7" w:rsidRPr="00AB707F">
              <w:t xml:space="preserve"> time</w:t>
            </w:r>
            <w:r w:rsidR="00E86E32">
              <w:t xml:space="preserve"> a </w:t>
            </w:r>
            <w:r w:rsidR="008C46F7" w:rsidRPr="00AB707F">
              <w:t>strong</w:t>
            </w:r>
            <w:r w:rsidR="00E86E32">
              <w:t xml:space="preserve"> working</w:t>
            </w:r>
            <w:r w:rsidR="008C46F7" w:rsidRPr="00AB707F">
              <w:t xml:space="preserve"> relationship</w:t>
            </w:r>
            <w:r w:rsidR="00E86E32">
              <w:t xml:space="preserve"> </w:t>
            </w:r>
            <w:r w:rsidR="00515896">
              <w:t xml:space="preserve">can be developed because </w:t>
            </w:r>
            <w:r w:rsidR="00E86E32">
              <w:t>the</w:t>
            </w:r>
            <w:r w:rsidR="008C46F7" w:rsidRPr="00AB707F">
              <w:t xml:space="preserve"> supplier</w:t>
            </w:r>
            <w:r w:rsidR="005A428E">
              <w:t xml:space="preserve"> </w:t>
            </w:r>
            <w:r w:rsidR="008C46F7" w:rsidRPr="00AB707F">
              <w:t xml:space="preserve">will begin to better understand </w:t>
            </w:r>
            <w:r w:rsidR="00515896">
              <w:t>OCD’s</w:t>
            </w:r>
            <w:r w:rsidR="008C46F7" w:rsidRPr="00AB707F">
              <w:t xml:space="preserve"> business needs.</w:t>
            </w:r>
            <w:r w:rsidR="00F60255">
              <w:t xml:space="preserve"> </w:t>
            </w:r>
            <w:r w:rsidR="005A428E">
              <w:t xml:space="preserve">Moreover, if a company </w:t>
            </w:r>
            <w:r w:rsidR="008C46F7" w:rsidRPr="00AB707F">
              <w:t>need</w:t>
            </w:r>
            <w:r>
              <w:t>s</w:t>
            </w:r>
            <w:r w:rsidR="008C46F7" w:rsidRPr="00AB707F">
              <w:t xml:space="preserve"> to move suppliers</w:t>
            </w:r>
            <w:r w:rsidR="005A428E">
              <w:t xml:space="preserve"> to improve quality, then it is important th</w:t>
            </w:r>
            <w:r>
              <w:t>at the</w:t>
            </w:r>
            <w:r w:rsidR="005A428E">
              <w:t xml:space="preserve"> project is planned wisely to prevent manufacturing disturbances. </w:t>
            </w:r>
          </w:p>
          <w:p w14:paraId="7A2BEB90" w14:textId="01F8FE9C" w:rsidR="00F60255" w:rsidRDefault="00F60255" w:rsidP="00292150">
            <w:pPr>
              <w:jc w:val="both"/>
            </w:pPr>
          </w:p>
          <w:p w14:paraId="6444E149" w14:textId="615804E5" w:rsidR="00E473C0" w:rsidRDefault="00F60255" w:rsidP="00292150">
            <w:pPr>
              <w:jc w:val="both"/>
            </w:pPr>
            <w:r>
              <w:t>The introduction of a new foil manufacturer however is not a small task, especially as OCD is a highly regulated medical engineering company. The project would be very expensive and take may months of hard work by multiple departments including Process Engineering, Supplier Quality, Quality Engineering, Regulatory, Technical Authority, Operations, Purchasing and more. All of OCD’s customers however want to see a solution to the problem statement, it is not good enough to accept the likelihood of manufacturing BioVue cassettes with a peel strength lower than the 4.1N lower limit defined and resultantly risk of false blood diagnostic results.</w:t>
            </w:r>
            <w:r w:rsidR="00725664">
              <w:t xml:space="preserve"> </w:t>
            </w:r>
            <w:r w:rsidR="00725664" w:rsidRPr="00936480">
              <w:t xml:space="preserve">Building healthy relationships with suppliers is not a complicated process, however ignoring it completely can lead to confusions and misunderstandings </w:t>
            </w:r>
            <w:r w:rsidR="00725664">
              <w:t>which</w:t>
            </w:r>
            <w:r w:rsidR="00725664" w:rsidRPr="00936480">
              <w:t xml:space="preserve"> is not good for any </w:t>
            </w:r>
            <w:r w:rsidR="00725664">
              <w:t>businesses.</w:t>
            </w:r>
          </w:p>
          <w:p w14:paraId="7F6BD507" w14:textId="69C730EC" w:rsidR="009B1ABB" w:rsidRDefault="009B1ABB" w:rsidP="009B1ABB">
            <w:pPr>
              <w:jc w:val="both"/>
            </w:pPr>
          </w:p>
        </w:tc>
      </w:tr>
    </w:tbl>
    <w:p w14:paraId="2A669C53" w14:textId="77777777" w:rsidR="00DA4069" w:rsidRPr="00DA4069" w:rsidRDefault="00DA4069" w:rsidP="00DA4069"/>
    <w:p w14:paraId="3D87DDF1" w14:textId="77777777" w:rsidR="00DA4069" w:rsidRPr="00DA4069" w:rsidRDefault="00DA4069" w:rsidP="00DA4069"/>
    <w:sectPr w:rsidR="00DA4069" w:rsidRPr="00DA406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63EA0CC" w14:textId="77777777" w:rsidR="00421ACE" w:rsidRDefault="00421ACE" w:rsidP="00037464">
      <w:pPr>
        <w:spacing w:after="0" w:line="240" w:lineRule="auto"/>
      </w:pPr>
      <w:r>
        <w:separator/>
      </w:r>
    </w:p>
  </w:endnote>
  <w:endnote w:type="continuationSeparator" w:id="0">
    <w:p w14:paraId="31F63A7D" w14:textId="77777777" w:rsidR="00421ACE" w:rsidRDefault="00421ACE" w:rsidP="0003746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AFF" w:usb1="C0007843"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A0002AEF" w:usb1="4000207B" w:usb2="00000000"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9A9C494" w14:textId="77777777" w:rsidR="00421ACE" w:rsidRDefault="00421ACE" w:rsidP="00037464">
      <w:pPr>
        <w:spacing w:after="0" w:line="240" w:lineRule="auto"/>
      </w:pPr>
      <w:r>
        <w:separator/>
      </w:r>
    </w:p>
  </w:footnote>
  <w:footnote w:type="continuationSeparator" w:id="0">
    <w:p w14:paraId="71316320" w14:textId="77777777" w:rsidR="00421ACE" w:rsidRDefault="00421ACE" w:rsidP="0003746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632694B"/>
    <w:multiLevelType w:val="multilevel"/>
    <w:tmpl w:val="054C6DC0"/>
    <w:lvl w:ilvl="0">
      <w:start w:val="1"/>
      <w:numFmt w:val="decimal"/>
      <w:lvlText w:val="%1."/>
      <w:lvlJc w:val="left"/>
      <w:pPr>
        <w:ind w:left="432" w:hanging="432"/>
      </w:pPr>
      <w:rPr>
        <w:rFonts w:hint="default"/>
      </w:rPr>
    </w:lvl>
    <w:lvl w:ilvl="1">
      <w:start w:val="1"/>
      <w:numFmt w:val="decimal"/>
      <w:pStyle w:val="Heading2"/>
      <w:lvlText w:val="%1.%2"/>
      <w:lvlJc w:val="left"/>
      <w:pPr>
        <w:ind w:left="576" w:hanging="576"/>
      </w:pPr>
      <w:rPr>
        <w:b w:val="0"/>
        <w:bCs w:val="0"/>
        <w:i w:val="0"/>
        <w:iCs w:val="0"/>
        <w:caps w:val="0"/>
        <w:smallCaps w:val="0"/>
        <w:strike w:val="0"/>
        <w:dstrike w:val="0"/>
        <w:outline w:val="0"/>
        <w:shadow w:val="0"/>
        <w:emboss w:val="0"/>
        <w:imprint w:val="0"/>
        <w:noProof w:val="0"/>
        <w:vanish w:val="0"/>
        <w:spacing w:val="0"/>
        <w:kern w:val="0"/>
        <w:position w:val="0"/>
        <w:u w:val="none"/>
        <w:effect w:val="none"/>
        <w:vertAlign w:val="baseline"/>
        <w:em w:val="none"/>
        <w:specVanish w:val="0"/>
        <w14:glow w14:rad="0">
          <w14:srgbClr w14:val="000000"/>
        </w14:glow>
        <w14:shadow w14:blurRad="0" w14:dist="0" w14:dir="0" w14:sx="0" w14:sy="0" w14:kx="0" w14:ky="0" w14:algn="none">
          <w14:srgbClr w14:val="000000"/>
        </w14:shadow>
        <w14:reflection w14:blurRad="0" w14:stA="0" w14:stPos="0" w14:endA="0" w14:endPos="0" w14:dist="0" w14:dir="0" w14:fadeDir="0" w14:sx="0" w14:sy="0" w14:kx="0" w14:ky="0" w14:algn="none"/>
        <w14:textOutline w14:w="0" w14:cap="rnd" w14:cmpd="sng" w14:algn="ctr">
          <w14:noFill/>
          <w14:prstDash w14:val="solid"/>
          <w14:bevel/>
        </w14:textOutline>
        <w14:scene3d>
          <w14:camera w14:prst="orthographicFront"/>
          <w14:lightRig w14:rig="threePt" w14:dir="t">
            <w14:rot w14:lat="0" w14:lon="0" w14:rev="0"/>
          </w14:lightRig>
        </w14:scene3d>
        <w14:props3d w14:extrusionH="0" w14:contourW="0" w14:prstMaterial="none"/>
        <w14:ligatures w14:val="none"/>
        <w14:numForm w14:val="default"/>
        <w14:numSpacing w14:val="default"/>
        <w14:stylisticSets/>
        <w14:cntxtAlts w14:val="0"/>
      </w:rPr>
    </w:lvl>
    <w:lvl w:ilvl="2">
      <w:start w:val="1"/>
      <w:numFmt w:val="decimal"/>
      <w:pStyle w:val="Heading3"/>
      <w:lvlText w:val="%1.%2.%3"/>
      <w:lvlJc w:val="left"/>
      <w:pPr>
        <w:ind w:left="720" w:hanging="720"/>
      </w:pPr>
      <w:rPr>
        <w:rFonts w:hint="default"/>
      </w:rPr>
    </w:lvl>
    <w:lvl w:ilvl="3">
      <w:start w:val="1"/>
      <w:numFmt w:val="decimal"/>
      <w:pStyle w:val="Heading4"/>
      <w:lvlText w:val="%1.%2.%3.%4"/>
      <w:lvlJc w:val="left"/>
      <w:pPr>
        <w:ind w:left="864" w:hanging="864"/>
      </w:pPr>
      <w:rPr>
        <w:b w:val="0"/>
        <w:bCs w:val="0"/>
        <w:i w:val="0"/>
        <w:iCs w:val="0"/>
        <w:caps w:val="0"/>
        <w:smallCaps w:val="0"/>
        <w:strike w:val="0"/>
        <w:dstrike w:val="0"/>
        <w:outline w:val="0"/>
        <w:shadow w:val="0"/>
        <w:emboss w:val="0"/>
        <w:imprint w:val="0"/>
        <w:noProof w:val="0"/>
        <w:vanish w:val="0"/>
        <w:spacing w:val="0"/>
        <w:kern w:val="0"/>
        <w:position w:val="0"/>
        <w:u w:val="none"/>
        <w:effect w:val="none"/>
        <w:vertAlign w:val="baseline"/>
        <w:em w:val="none"/>
        <w:specVanish w:val="0"/>
        <w14:glow w14:rad="0">
          <w14:srgbClr w14:val="000000"/>
        </w14:glow>
        <w14:shadow w14:blurRad="0" w14:dist="0" w14:dir="0" w14:sx="0" w14:sy="0" w14:kx="0" w14:ky="0" w14:algn="none">
          <w14:srgbClr w14:val="000000"/>
        </w14:shadow>
        <w14:reflection w14:blurRad="0" w14:stA="0" w14:stPos="0" w14:endA="0" w14:endPos="0" w14:dist="0" w14:dir="0" w14:fadeDir="0" w14:sx="0" w14:sy="0" w14:kx="0" w14:ky="0" w14:algn="none"/>
        <w14:textOutline w14:w="0" w14:cap="rnd" w14:cmpd="sng" w14:algn="ctr">
          <w14:noFill/>
          <w14:prstDash w14:val="solid"/>
          <w14:bevel/>
        </w14:textOutline>
        <w14:scene3d>
          <w14:camera w14:prst="orthographicFront"/>
          <w14:lightRig w14:rig="threePt" w14:dir="t">
            <w14:rot w14:lat="0" w14:lon="0" w14:rev="0"/>
          </w14:lightRig>
        </w14:scene3d>
        <w14:props3d w14:extrusionH="0" w14:contourW="0" w14:prstMaterial="none"/>
        <w14:ligatures w14:val="none"/>
        <w14:numForm w14:val="default"/>
        <w14:numSpacing w14:val="default"/>
        <w14:stylisticSets/>
        <w14:cntxtAlts w14:val="0"/>
      </w:rPr>
    </w:lvl>
    <w:lvl w:ilvl="4">
      <w:start w:val="1"/>
      <w:numFmt w:val="decimal"/>
      <w:pStyle w:val="Heading5"/>
      <w:lvlText w:val="%1.%2.%3.%4.%5"/>
      <w:lvlJc w:val="left"/>
      <w:pPr>
        <w:ind w:left="1008" w:hanging="1008"/>
      </w:pPr>
      <w:rPr>
        <w:rFonts w:hint="default"/>
      </w:rPr>
    </w:lvl>
    <w:lvl w:ilvl="5">
      <w:start w:val="1"/>
      <w:numFmt w:val="decimal"/>
      <w:pStyle w:val="Heading6"/>
      <w:lvlText w:val="%1.%2.%3.%4.%5.%6"/>
      <w:lvlJc w:val="left"/>
      <w:pPr>
        <w:ind w:left="1152" w:hanging="1152"/>
      </w:pPr>
      <w:rPr>
        <w:rFonts w:hint="default"/>
      </w:rPr>
    </w:lvl>
    <w:lvl w:ilvl="6">
      <w:start w:val="1"/>
      <w:numFmt w:val="decimal"/>
      <w:pStyle w:val="Heading7"/>
      <w:lvlText w:val="%1.%2.%3.%4.%5.%6.%7"/>
      <w:lvlJc w:val="left"/>
      <w:pPr>
        <w:ind w:left="1296" w:hanging="1296"/>
      </w:pPr>
      <w:rPr>
        <w:rFonts w:hint="default"/>
      </w:rPr>
    </w:lvl>
    <w:lvl w:ilvl="7">
      <w:start w:val="1"/>
      <w:numFmt w:val="decimal"/>
      <w:pStyle w:val="Heading8"/>
      <w:lvlText w:val="%1.%2.%3.%4.%5.%6.%7.%8"/>
      <w:lvlJc w:val="left"/>
      <w:pPr>
        <w:ind w:left="1440" w:hanging="1440"/>
      </w:pPr>
      <w:rPr>
        <w:rFonts w:hint="default"/>
      </w:rPr>
    </w:lvl>
    <w:lvl w:ilvl="8">
      <w:start w:val="1"/>
      <w:numFmt w:val="decimal"/>
      <w:pStyle w:val="Heading9"/>
      <w:lvlText w:val="%1.%2.%3.%4.%5.%6.%7.%8.%9"/>
      <w:lvlJc w:val="left"/>
      <w:pPr>
        <w:ind w:left="1584" w:hanging="1584"/>
      </w:pPr>
      <w:rPr>
        <w:rFonts w:hint="default"/>
      </w:rPr>
    </w:lvl>
  </w:abstractNum>
  <w:abstractNum w:abstractNumId="1" w15:restartNumberingAfterBreak="0">
    <w:nsid w:val="0B991537"/>
    <w:multiLevelType w:val="multilevel"/>
    <w:tmpl w:val="433A54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CFC40E0"/>
    <w:multiLevelType w:val="hybridMultilevel"/>
    <w:tmpl w:val="13DC571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AAE3DA2"/>
    <w:multiLevelType w:val="hybridMultilevel"/>
    <w:tmpl w:val="8BD61980"/>
    <w:lvl w:ilvl="0" w:tplc="0EF2AEF6">
      <w:start w:val="1"/>
      <w:numFmt w:val="bullet"/>
      <w:lvlText w:val="-"/>
      <w:lvlJc w:val="left"/>
      <w:pPr>
        <w:ind w:left="720" w:hanging="360"/>
      </w:pPr>
      <w:rPr>
        <w:rFonts w:ascii="Calibri" w:eastAsiaTheme="minorEastAsia"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8D45A82"/>
    <w:multiLevelType w:val="hybridMultilevel"/>
    <w:tmpl w:val="EC90CE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4"/>
  </w:num>
  <w:num w:numId="2">
    <w:abstractNumId w:val="2"/>
  </w:num>
  <w:num w:numId="3">
    <w:abstractNumId w:val="1"/>
  </w:num>
  <w:num w:numId="4">
    <w:abstractNumId w:val="3"/>
  </w:num>
  <w:num w:numId="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10"/>
  <w:defaultTabStop w:val="720"/>
  <w:characterSpacingControl w:val="doNotCompress"/>
  <w:hdrShapeDefaults>
    <o:shapedefaults v:ext="edit" spidmax="8193"/>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A4069"/>
    <w:rsid w:val="00016C09"/>
    <w:rsid w:val="000212A8"/>
    <w:rsid w:val="00031965"/>
    <w:rsid w:val="00033698"/>
    <w:rsid w:val="00037464"/>
    <w:rsid w:val="000432A0"/>
    <w:rsid w:val="00046621"/>
    <w:rsid w:val="000519BD"/>
    <w:rsid w:val="0005440B"/>
    <w:rsid w:val="000777F6"/>
    <w:rsid w:val="000817DC"/>
    <w:rsid w:val="000834B8"/>
    <w:rsid w:val="000939FF"/>
    <w:rsid w:val="00094A12"/>
    <w:rsid w:val="000A5E4C"/>
    <w:rsid w:val="000C256E"/>
    <w:rsid w:val="000C7D67"/>
    <w:rsid w:val="000D55EC"/>
    <w:rsid w:val="000E5ABF"/>
    <w:rsid w:val="000E6C3D"/>
    <w:rsid w:val="000F0DAD"/>
    <w:rsid w:val="000F39ED"/>
    <w:rsid w:val="000F68C9"/>
    <w:rsid w:val="00110E64"/>
    <w:rsid w:val="00114FE2"/>
    <w:rsid w:val="00117D79"/>
    <w:rsid w:val="00127190"/>
    <w:rsid w:val="001339D1"/>
    <w:rsid w:val="00135F5F"/>
    <w:rsid w:val="00140B14"/>
    <w:rsid w:val="00142D22"/>
    <w:rsid w:val="00144814"/>
    <w:rsid w:val="00146AC9"/>
    <w:rsid w:val="00155AFD"/>
    <w:rsid w:val="0017072B"/>
    <w:rsid w:val="00172E50"/>
    <w:rsid w:val="00176B9C"/>
    <w:rsid w:val="00197FCE"/>
    <w:rsid w:val="001A0745"/>
    <w:rsid w:val="001A22E7"/>
    <w:rsid w:val="001A39B1"/>
    <w:rsid w:val="001C3495"/>
    <w:rsid w:val="001E0C32"/>
    <w:rsid w:val="001E38A4"/>
    <w:rsid w:val="001E6CDE"/>
    <w:rsid w:val="001F59D8"/>
    <w:rsid w:val="00206163"/>
    <w:rsid w:val="00214433"/>
    <w:rsid w:val="002154F7"/>
    <w:rsid w:val="00226749"/>
    <w:rsid w:val="00237EC4"/>
    <w:rsid w:val="002667C4"/>
    <w:rsid w:val="00281082"/>
    <w:rsid w:val="00292150"/>
    <w:rsid w:val="002A1069"/>
    <w:rsid w:val="002A33D6"/>
    <w:rsid w:val="002B08E6"/>
    <w:rsid w:val="002B21CE"/>
    <w:rsid w:val="002B54C7"/>
    <w:rsid w:val="002B618A"/>
    <w:rsid w:val="002D4B91"/>
    <w:rsid w:val="002E3059"/>
    <w:rsid w:val="002F53FF"/>
    <w:rsid w:val="002F5489"/>
    <w:rsid w:val="002F7AB9"/>
    <w:rsid w:val="00304429"/>
    <w:rsid w:val="00305B77"/>
    <w:rsid w:val="0031652F"/>
    <w:rsid w:val="00325E09"/>
    <w:rsid w:val="003311A3"/>
    <w:rsid w:val="00332C89"/>
    <w:rsid w:val="00353E76"/>
    <w:rsid w:val="00356D6B"/>
    <w:rsid w:val="00357DE5"/>
    <w:rsid w:val="00372EA2"/>
    <w:rsid w:val="00392D75"/>
    <w:rsid w:val="003A1363"/>
    <w:rsid w:val="003A3F54"/>
    <w:rsid w:val="003A555F"/>
    <w:rsid w:val="003B4218"/>
    <w:rsid w:val="003B47C6"/>
    <w:rsid w:val="003B675B"/>
    <w:rsid w:val="003C0407"/>
    <w:rsid w:val="003C08E9"/>
    <w:rsid w:val="003C262E"/>
    <w:rsid w:val="003C3FDC"/>
    <w:rsid w:val="003D0F98"/>
    <w:rsid w:val="004018B5"/>
    <w:rsid w:val="00406D57"/>
    <w:rsid w:val="00406E23"/>
    <w:rsid w:val="00416F97"/>
    <w:rsid w:val="00421ACE"/>
    <w:rsid w:val="0044383C"/>
    <w:rsid w:val="004461C8"/>
    <w:rsid w:val="0047503D"/>
    <w:rsid w:val="00476D85"/>
    <w:rsid w:val="00487AF2"/>
    <w:rsid w:val="00491950"/>
    <w:rsid w:val="00495B74"/>
    <w:rsid w:val="004A7862"/>
    <w:rsid w:val="004C2FD6"/>
    <w:rsid w:val="004F185E"/>
    <w:rsid w:val="004F37F3"/>
    <w:rsid w:val="00500DC3"/>
    <w:rsid w:val="00501520"/>
    <w:rsid w:val="00501DCC"/>
    <w:rsid w:val="00504A33"/>
    <w:rsid w:val="00510BA0"/>
    <w:rsid w:val="00515896"/>
    <w:rsid w:val="005207A2"/>
    <w:rsid w:val="0054118B"/>
    <w:rsid w:val="00542E60"/>
    <w:rsid w:val="00546D96"/>
    <w:rsid w:val="00552A3E"/>
    <w:rsid w:val="00553ABB"/>
    <w:rsid w:val="00555A87"/>
    <w:rsid w:val="0055796A"/>
    <w:rsid w:val="005622E9"/>
    <w:rsid w:val="005729ED"/>
    <w:rsid w:val="00577803"/>
    <w:rsid w:val="00590CD5"/>
    <w:rsid w:val="00596BDB"/>
    <w:rsid w:val="005A1210"/>
    <w:rsid w:val="005A3A49"/>
    <w:rsid w:val="005A428E"/>
    <w:rsid w:val="005A485B"/>
    <w:rsid w:val="005A5500"/>
    <w:rsid w:val="005A6AA0"/>
    <w:rsid w:val="005C5199"/>
    <w:rsid w:val="005D1566"/>
    <w:rsid w:val="005D1D3E"/>
    <w:rsid w:val="005D3C72"/>
    <w:rsid w:val="005D443F"/>
    <w:rsid w:val="005E1E14"/>
    <w:rsid w:val="005E4E84"/>
    <w:rsid w:val="005F23CC"/>
    <w:rsid w:val="005F555D"/>
    <w:rsid w:val="00607B4B"/>
    <w:rsid w:val="00612BCF"/>
    <w:rsid w:val="00616C7F"/>
    <w:rsid w:val="00624AEE"/>
    <w:rsid w:val="00640D19"/>
    <w:rsid w:val="0064313F"/>
    <w:rsid w:val="00644C85"/>
    <w:rsid w:val="006521EC"/>
    <w:rsid w:val="00653AC3"/>
    <w:rsid w:val="00654BDA"/>
    <w:rsid w:val="00656BD6"/>
    <w:rsid w:val="00657D67"/>
    <w:rsid w:val="00661AB2"/>
    <w:rsid w:val="00663777"/>
    <w:rsid w:val="00676B43"/>
    <w:rsid w:val="00677DFD"/>
    <w:rsid w:val="006847B5"/>
    <w:rsid w:val="00687E55"/>
    <w:rsid w:val="006946AB"/>
    <w:rsid w:val="006A00FD"/>
    <w:rsid w:val="006A53E3"/>
    <w:rsid w:val="006A5CD6"/>
    <w:rsid w:val="006B6ED6"/>
    <w:rsid w:val="006C15EB"/>
    <w:rsid w:val="006C3B35"/>
    <w:rsid w:val="006C3E30"/>
    <w:rsid w:val="006D46F7"/>
    <w:rsid w:val="006F4906"/>
    <w:rsid w:val="007032A6"/>
    <w:rsid w:val="007059C0"/>
    <w:rsid w:val="007065C3"/>
    <w:rsid w:val="00712A6C"/>
    <w:rsid w:val="00712FAD"/>
    <w:rsid w:val="00717F4C"/>
    <w:rsid w:val="007217FC"/>
    <w:rsid w:val="00723CA9"/>
    <w:rsid w:val="00724B97"/>
    <w:rsid w:val="00725664"/>
    <w:rsid w:val="00726440"/>
    <w:rsid w:val="00734E93"/>
    <w:rsid w:val="00735B62"/>
    <w:rsid w:val="00784E3A"/>
    <w:rsid w:val="00787FC9"/>
    <w:rsid w:val="007914B5"/>
    <w:rsid w:val="007A211B"/>
    <w:rsid w:val="007A5318"/>
    <w:rsid w:val="007A66D2"/>
    <w:rsid w:val="007C70C2"/>
    <w:rsid w:val="007D0158"/>
    <w:rsid w:val="007D17C1"/>
    <w:rsid w:val="007D67C8"/>
    <w:rsid w:val="007E079C"/>
    <w:rsid w:val="007F083F"/>
    <w:rsid w:val="007F225E"/>
    <w:rsid w:val="007F2B2A"/>
    <w:rsid w:val="008108D2"/>
    <w:rsid w:val="00817A4D"/>
    <w:rsid w:val="0082047A"/>
    <w:rsid w:val="00827834"/>
    <w:rsid w:val="00840D6B"/>
    <w:rsid w:val="00841BAF"/>
    <w:rsid w:val="008520AD"/>
    <w:rsid w:val="00854E9D"/>
    <w:rsid w:val="00855CA6"/>
    <w:rsid w:val="0086286F"/>
    <w:rsid w:val="00865AEA"/>
    <w:rsid w:val="0088217D"/>
    <w:rsid w:val="00891481"/>
    <w:rsid w:val="008953F3"/>
    <w:rsid w:val="0089656E"/>
    <w:rsid w:val="008A153A"/>
    <w:rsid w:val="008A2C1E"/>
    <w:rsid w:val="008A79B3"/>
    <w:rsid w:val="008B3371"/>
    <w:rsid w:val="008C46F7"/>
    <w:rsid w:val="008D0CB3"/>
    <w:rsid w:val="008D60B1"/>
    <w:rsid w:val="008F357D"/>
    <w:rsid w:val="008F5875"/>
    <w:rsid w:val="008F5F62"/>
    <w:rsid w:val="008F7AD9"/>
    <w:rsid w:val="00907118"/>
    <w:rsid w:val="0091312D"/>
    <w:rsid w:val="00917A4A"/>
    <w:rsid w:val="009213BD"/>
    <w:rsid w:val="009254DB"/>
    <w:rsid w:val="009335D2"/>
    <w:rsid w:val="009357D5"/>
    <w:rsid w:val="00936160"/>
    <w:rsid w:val="00936480"/>
    <w:rsid w:val="009373DC"/>
    <w:rsid w:val="009507B8"/>
    <w:rsid w:val="00950869"/>
    <w:rsid w:val="00956EA6"/>
    <w:rsid w:val="009679F0"/>
    <w:rsid w:val="00971D62"/>
    <w:rsid w:val="00974D44"/>
    <w:rsid w:val="00976C66"/>
    <w:rsid w:val="00996281"/>
    <w:rsid w:val="009A047A"/>
    <w:rsid w:val="009A137C"/>
    <w:rsid w:val="009B1ABB"/>
    <w:rsid w:val="009B24B4"/>
    <w:rsid w:val="009B350C"/>
    <w:rsid w:val="009B710F"/>
    <w:rsid w:val="009C226E"/>
    <w:rsid w:val="009C33F9"/>
    <w:rsid w:val="009C3880"/>
    <w:rsid w:val="009D22F9"/>
    <w:rsid w:val="009D32BD"/>
    <w:rsid w:val="009D40C0"/>
    <w:rsid w:val="009E2C86"/>
    <w:rsid w:val="009E694C"/>
    <w:rsid w:val="009F2469"/>
    <w:rsid w:val="00A121A7"/>
    <w:rsid w:val="00A12256"/>
    <w:rsid w:val="00A14038"/>
    <w:rsid w:val="00A203C0"/>
    <w:rsid w:val="00A21C72"/>
    <w:rsid w:val="00A2630C"/>
    <w:rsid w:val="00A26D60"/>
    <w:rsid w:val="00A31681"/>
    <w:rsid w:val="00A33C33"/>
    <w:rsid w:val="00A40D77"/>
    <w:rsid w:val="00A44145"/>
    <w:rsid w:val="00A57A57"/>
    <w:rsid w:val="00A60A96"/>
    <w:rsid w:val="00A62E90"/>
    <w:rsid w:val="00A71D55"/>
    <w:rsid w:val="00A7724C"/>
    <w:rsid w:val="00A7780B"/>
    <w:rsid w:val="00A83A5A"/>
    <w:rsid w:val="00AA23B6"/>
    <w:rsid w:val="00AA6946"/>
    <w:rsid w:val="00AB4DC0"/>
    <w:rsid w:val="00AB707F"/>
    <w:rsid w:val="00AC3CF7"/>
    <w:rsid w:val="00AD201D"/>
    <w:rsid w:val="00AD21F3"/>
    <w:rsid w:val="00AD6AE1"/>
    <w:rsid w:val="00AE03CC"/>
    <w:rsid w:val="00AE1741"/>
    <w:rsid w:val="00B15125"/>
    <w:rsid w:val="00B220E0"/>
    <w:rsid w:val="00B2269B"/>
    <w:rsid w:val="00B23054"/>
    <w:rsid w:val="00B26038"/>
    <w:rsid w:val="00B3133B"/>
    <w:rsid w:val="00B313A1"/>
    <w:rsid w:val="00B35F41"/>
    <w:rsid w:val="00B40A4B"/>
    <w:rsid w:val="00B47D2A"/>
    <w:rsid w:val="00B513CF"/>
    <w:rsid w:val="00B54E56"/>
    <w:rsid w:val="00B54E84"/>
    <w:rsid w:val="00B550FB"/>
    <w:rsid w:val="00B63CE4"/>
    <w:rsid w:val="00B6672D"/>
    <w:rsid w:val="00B70E8E"/>
    <w:rsid w:val="00B777D8"/>
    <w:rsid w:val="00B92C48"/>
    <w:rsid w:val="00B94407"/>
    <w:rsid w:val="00BC1A63"/>
    <w:rsid w:val="00BC6CA4"/>
    <w:rsid w:val="00BD0C7E"/>
    <w:rsid w:val="00BD3184"/>
    <w:rsid w:val="00BD531E"/>
    <w:rsid w:val="00BD56F1"/>
    <w:rsid w:val="00BE286D"/>
    <w:rsid w:val="00BE51F7"/>
    <w:rsid w:val="00C02AAF"/>
    <w:rsid w:val="00C07910"/>
    <w:rsid w:val="00C12F48"/>
    <w:rsid w:val="00C167CB"/>
    <w:rsid w:val="00C16E5D"/>
    <w:rsid w:val="00C2093B"/>
    <w:rsid w:val="00C24777"/>
    <w:rsid w:val="00C3081A"/>
    <w:rsid w:val="00C350B4"/>
    <w:rsid w:val="00C453C8"/>
    <w:rsid w:val="00C51865"/>
    <w:rsid w:val="00C57AC8"/>
    <w:rsid w:val="00C62213"/>
    <w:rsid w:val="00C62A50"/>
    <w:rsid w:val="00C80415"/>
    <w:rsid w:val="00C82E6F"/>
    <w:rsid w:val="00C974FF"/>
    <w:rsid w:val="00CA7085"/>
    <w:rsid w:val="00CB16B6"/>
    <w:rsid w:val="00CB68FB"/>
    <w:rsid w:val="00CC1A6F"/>
    <w:rsid w:val="00CC5B4B"/>
    <w:rsid w:val="00CC6711"/>
    <w:rsid w:val="00CE50F7"/>
    <w:rsid w:val="00CF00FE"/>
    <w:rsid w:val="00D03CE7"/>
    <w:rsid w:val="00D23655"/>
    <w:rsid w:val="00D2605F"/>
    <w:rsid w:val="00D302A3"/>
    <w:rsid w:val="00D34FA3"/>
    <w:rsid w:val="00D35A5A"/>
    <w:rsid w:val="00D4492F"/>
    <w:rsid w:val="00D51C67"/>
    <w:rsid w:val="00D5711A"/>
    <w:rsid w:val="00D63591"/>
    <w:rsid w:val="00D64971"/>
    <w:rsid w:val="00D850FF"/>
    <w:rsid w:val="00D868B8"/>
    <w:rsid w:val="00D92BB1"/>
    <w:rsid w:val="00D956F8"/>
    <w:rsid w:val="00D96764"/>
    <w:rsid w:val="00DA27BF"/>
    <w:rsid w:val="00DA3E5F"/>
    <w:rsid w:val="00DA4069"/>
    <w:rsid w:val="00DA5CE6"/>
    <w:rsid w:val="00DB5A66"/>
    <w:rsid w:val="00DC601B"/>
    <w:rsid w:val="00DC6F01"/>
    <w:rsid w:val="00DC73A6"/>
    <w:rsid w:val="00DD052D"/>
    <w:rsid w:val="00DE27F1"/>
    <w:rsid w:val="00DF4532"/>
    <w:rsid w:val="00E0158E"/>
    <w:rsid w:val="00E100B0"/>
    <w:rsid w:val="00E1155C"/>
    <w:rsid w:val="00E23744"/>
    <w:rsid w:val="00E31DF6"/>
    <w:rsid w:val="00E43697"/>
    <w:rsid w:val="00E46ADB"/>
    <w:rsid w:val="00E473C0"/>
    <w:rsid w:val="00E5105B"/>
    <w:rsid w:val="00E5318C"/>
    <w:rsid w:val="00E60388"/>
    <w:rsid w:val="00E762A9"/>
    <w:rsid w:val="00E81008"/>
    <w:rsid w:val="00E8218D"/>
    <w:rsid w:val="00E83D73"/>
    <w:rsid w:val="00E86E32"/>
    <w:rsid w:val="00EA2D93"/>
    <w:rsid w:val="00EB0BCF"/>
    <w:rsid w:val="00EB4FE9"/>
    <w:rsid w:val="00EB5BC1"/>
    <w:rsid w:val="00EB6DF7"/>
    <w:rsid w:val="00ED1C37"/>
    <w:rsid w:val="00EE3840"/>
    <w:rsid w:val="00EE4B4A"/>
    <w:rsid w:val="00EF6EF3"/>
    <w:rsid w:val="00F02A1F"/>
    <w:rsid w:val="00F0450F"/>
    <w:rsid w:val="00F04D56"/>
    <w:rsid w:val="00F14E20"/>
    <w:rsid w:val="00F17D6A"/>
    <w:rsid w:val="00F46C85"/>
    <w:rsid w:val="00F60255"/>
    <w:rsid w:val="00F7070C"/>
    <w:rsid w:val="00F75782"/>
    <w:rsid w:val="00FA4F42"/>
    <w:rsid w:val="00FA732C"/>
    <w:rsid w:val="00FB1D56"/>
    <w:rsid w:val="00FB74AF"/>
    <w:rsid w:val="00FC06A5"/>
    <w:rsid w:val="00FC4023"/>
    <w:rsid w:val="00FD08BC"/>
    <w:rsid w:val="00FD223D"/>
    <w:rsid w:val="00FD362E"/>
    <w:rsid w:val="00FD474C"/>
    <w:rsid w:val="00FD4DB7"/>
    <w:rsid w:val="00FD6F26"/>
    <w:rsid w:val="00FF1333"/>
    <w:rsid w:val="00FF2DBD"/>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8193"/>
    <o:shapelayout v:ext="edit">
      <o:idmap v:ext="edit" data="1"/>
    </o:shapelayout>
  </w:shapeDefaults>
  <w:decimalSymbol w:val="."/>
  <w:listSeparator w:val=","/>
  <w14:docId w14:val="48CC2438"/>
  <w15:chartTrackingRefBased/>
  <w15:docId w15:val="{C89D560B-FE57-449E-81C8-0683B0CC665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next w:val="Normal"/>
    <w:link w:val="Heading2Char"/>
    <w:uiPriority w:val="9"/>
    <w:unhideWhenUsed/>
    <w:qFormat/>
    <w:rsid w:val="00854E9D"/>
    <w:pPr>
      <w:keepNext/>
      <w:keepLines/>
      <w:numPr>
        <w:ilvl w:val="1"/>
        <w:numId w:val="5"/>
      </w:numPr>
      <w:spacing w:before="40" w:after="0"/>
      <w:outlineLvl w:val="1"/>
    </w:pPr>
    <w:rPr>
      <w:rFonts w:ascii="Arial" w:eastAsiaTheme="majorEastAsia" w:hAnsi="Arial" w:cstheme="majorBidi"/>
      <w:color w:val="2F5496" w:themeColor="accent1" w:themeShade="BF"/>
      <w:sz w:val="26"/>
      <w:szCs w:val="26"/>
      <w:lang w:eastAsia="en-US"/>
    </w:rPr>
  </w:style>
  <w:style w:type="paragraph" w:styleId="Heading3">
    <w:name w:val="heading 3"/>
    <w:basedOn w:val="Normal"/>
    <w:next w:val="Normal"/>
    <w:link w:val="Heading3Char"/>
    <w:uiPriority w:val="9"/>
    <w:unhideWhenUsed/>
    <w:qFormat/>
    <w:rsid w:val="00854E9D"/>
    <w:pPr>
      <w:keepNext/>
      <w:keepLines/>
      <w:numPr>
        <w:ilvl w:val="2"/>
        <w:numId w:val="5"/>
      </w:numPr>
      <w:spacing w:before="40" w:after="0"/>
      <w:outlineLvl w:val="2"/>
    </w:pPr>
    <w:rPr>
      <w:rFonts w:ascii="Arial" w:eastAsiaTheme="majorEastAsia" w:hAnsi="Arial" w:cstheme="majorBidi"/>
      <w:color w:val="1F3763" w:themeColor="accent1" w:themeShade="7F"/>
      <w:sz w:val="24"/>
      <w:szCs w:val="24"/>
      <w:lang w:eastAsia="en-US"/>
    </w:rPr>
  </w:style>
  <w:style w:type="paragraph" w:styleId="Heading4">
    <w:name w:val="heading 4"/>
    <w:basedOn w:val="Normal"/>
    <w:next w:val="Normal"/>
    <w:link w:val="Heading4Char"/>
    <w:uiPriority w:val="9"/>
    <w:unhideWhenUsed/>
    <w:qFormat/>
    <w:rsid w:val="00854E9D"/>
    <w:pPr>
      <w:keepNext/>
      <w:keepLines/>
      <w:numPr>
        <w:ilvl w:val="3"/>
        <w:numId w:val="5"/>
      </w:numPr>
      <w:spacing w:before="40" w:after="0"/>
      <w:outlineLvl w:val="3"/>
    </w:pPr>
    <w:rPr>
      <w:rFonts w:ascii="Arial" w:eastAsiaTheme="majorEastAsia" w:hAnsi="Arial" w:cstheme="majorBidi"/>
      <w:i/>
      <w:iCs/>
      <w:color w:val="2F5496" w:themeColor="accent1" w:themeShade="BF"/>
      <w:lang w:eastAsia="en-US"/>
    </w:rPr>
  </w:style>
  <w:style w:type="paragraph" w:styleId="Heading5">
    <w:name w:val="heading 5"/>
    <w:basedOn w:val="Normal"/>
    <w:next w:val="Normal"/>
    <w:link w:val="Heading5Char"/>
    <w:uiPriority w:val="9"/>
    <w:unhideWhenUsed/>
    <w:qFormat/>
    <w:rsid w:val="00854E9D"/>
    <w:pPr>
      <w:keepNext/>
      <w:keepLines/>
      <w:numPr>
        <w:ilvl w:val="4"/>
        <w:numId w:val="5"/>
      </w:numPr>
      <w:spacing w:before="40" w:after="0"/>
      <w:outlineLvl w:val="4"/>
    </w:pPr>
    <w:rPr>
      <w:rFonts w:asciiTheme="majorHAnsi" w:eastAsiaTheme="majorEastAsia" w:hAnsiTheme="majorHAnsi" w:cstheme="majorBidi"/>
      <w:color w:val="2F5496" w:themeColor="accent1" w:themeShade="BF"/>
      <w:lang w:eastAsia="en-US"/>
    </w:rPr>
  </w:style>
  <w:style w:type="paragraph" w:styleId="Heading6">
    <w:name w:val="heading 6"/>
    <w:basedOn w:val="Normal"/>
    <w:next w:val="Normal"/>
    <w:link w:val="Heading6Char"/>
    <w:uiPriority w:val="9"/>
    <w:semiHidden/>
    <w:unhideWhenUsed/>
    <w:qFormat/>
    <w:rsid w:val="00854E9D"/>
    <w:pPr>
      <w:keepNext/>
      <w:keepLines/>
      <w:numPr>
        <w:ilvl w:val="5"/>
        <w:numId w:val="5"/>
      </w:numPr>
      <w:spacing w:before="40" w:after="0"/>
      <w:outlineLvl w:val="5"/>
    </w:pPr>
    <w:rPr>
      <w:rFonts w:asciiTheme="majorHAnsi" w:eastAsiaTheme="majorEastAsia" w:hAnsiTheme="majorHAnsi" w:cstheme="majorBidi"/>
      <w:color w:val="1F3763" w:themeColor="accent1" w:themeShade="7F"/>
      <w:lang w:eastAsia="en-US"/>
    </w:rPr>
  </w:style>
  <w:style w:type="paragraph" w:styleId="Heading7">
    <w:name w:val="heading 7"/>
    <w:basedOn w:val="Normal"/>
    <w:next w:val="Normal"/>
    <w:link w:val="Heading7Char"/>
    <w:uiPriority w:val="9"/>
    <w:semiHidden/>
    <w:unhideWhenUsed/>
    <w:qFormat/>
    <w:rsid w:val="00854E9D"/>
    <w:pPr>
      <w:keepNext/>
      <w:keepLines/>
      <w:numPr>
        <w:ilvl w:val="6"/>
        <w:numId w:val="5"/>
      </w:numPr>
      <w:spacing w:before="40" w:after="0"/>
      <w:outlineLvl w:val="6"/>
    </w:pPr>
    <w:rPr>
      <w:rFonts w:asciiTheme="majorHAnsi" w:eastAsiaTheme="majorEastAsia" w:hAnsiTheme="majorHAnsi" w:cstheme="majorBidi"/>
      <w:i/>
      <w:iCs/>
      <w:color w:val="1F3763" w:themeColor="accent1" w:themeShade="7F"/>
      <w:lang w:eastAsia="en-US"/>
    </w:rPr>
  </w:style>
  <w:style w:type="paragraph" w:styleId="Heading8">
    <w:name w:val="heading 8"/>
    <w:basedOn w:val="Normal"/>
    <w:next w:val="Normal"/>
    <w:link w:val="Heading8Char"/>
    <w:uiPriority w:val="9"/>
    <w:semiHidden/>
    <w:unhideWhenUsed/>
    <w:qFormat/>
    <w:rsid w:val="00854E9D"/>
    <w:pPr>
      <w:keepNext/>
      <w:keepLines/>
      <w:numPr>
        <w:ilvl w:val="7"/>
        <w:numId w:val="5"/>
      </w:numPr>
      <w:spacing w:before="40" w:after="0"/>
      <w:outlineLvl w:val="7"/>
    </w:pPr>
    <w:rPr>
      <w:rFonts w:asciiTheme="majorHAnsi" w:eastAsiaTheme="majorEastAsia" w:hAnsiTheme="majorHAnsi" w:cstheme="majorBidi"/>
      <w:color w:val="272727" w:themeColor="text1" w:themeTint="D8"/>
      <w:sz w:val="21"/>
      <w:szCs w:val="21"/>
      <w:lang w:eastAsia="en-US"/>
    </w:rPr>
  </w:style>
  <w:style w:type="paragraph" w:styleId="Heading9">
    <w:name w:val="heading 9"/>
    <w:basedOn w:val="Normal"/>
    <w:next w:val="Normal"/>
    <w:link w:val="Heading9Char"/>
    <w:uiPriority w:val="9"/>
    <w:semiHidden/>
    <w:unhideWhenUsed/>
    <w:qFormat/>
    <w:rsid w:val="00854E9D"/>
    <w:pPr>
      <w:keepNext/>
      <w:keepLines/>
      <w:numPr>
        <w:ilvl w:val="8"/>
        <w:numId w:val="5"/>
      </w:numPr>
      <w:spacing w:before="40" w:after="0"/>
      <w:outlineLvl w:val="8"/>
    </w:pPr>
    <w:rPr>
      <w:rFonts w:asciiTheme="majorHAnsi" w:eastAsiaTheme="majorEastAsia" w:hAnsiTheme="majorHAnsi" w:cstheme="majorBidi"/>
      <w:i/>
      <w:iCs/>
      <w:color w:val="272727" w:themeColor="text1" w:themeTint="D8"/>
      <w:sz w:val="21"/>
      <w:szCs w:val="21"/>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37464"/>
    <w:pPr>
      <w:tabs>
        <w:tab w:val="center" w:pos="4513"/>
        <w:tab w:val="right" w:pos="9026"/>
      </w:tabs>
      <w:spacing w:after="0" w:line="240" w:lineRule="auto"/>
    </w:pPr>
  </w:style>
  <w:style w:type="character" w:customStyle="1" w:styleId="HeaderChar">
    <w:name w:val="Header Char"/>
    <w:basedOn w:val="DefaultParagraphFont"/>
    <w:link w:val="Header"/>
    <w:uiPriority w:val="99"/>
    <w:rsid w:val="00037464"/>
  </w:style>
  <w:style w:type="paragraph" w:styleId="Footer">
    <w:name w:val="footer"/>
    <w:basedOn w:val="Normal"/>
    <w:link w:val="FooterChar"/>
    <w:uiPriority w:val="99"/>
    <w:unhideWhenUsed/>
    <w:rsid w:val="00037464"/>
    <w:pPr>
      <w:tabs>
        <w:tab w:val="center" w:pos="4513"/>
        <w:tab w:val="right" w:pos="9026"/>
      </w:tabs>
      <w:spacing w:after="0" w:line="240" w:lineRule="auto"/>
    </w:pPr>
  </w:style>
  <w:style w:type="character" w:customStyle="1" w:styleId="FooterChar">
    <w:name w:val="Footer Char"/>
    <w:basedOn w:val="DefaultParagraphFont"/>
    <w:link w:val="Footer"/>
    <w:uiPriority w:val="99"/>
    <w:rsid w:val="00037464"/>
  </w:style>
  <w:style w:type="character" w:styleId="PlaceholderText">
    <w:name w:val="Placeholder Text"/>
    <w:basedOn w:val="DefaultParagraphFont"/>
    <w:uiPriority w:val="99"/>
    <w:semiHidden/>
    <w:rsid w:val="00037464"/>
    <w:rPr>
      <w:color w:val="808080"/>
    </w:rPr>
  </w:style>
  <w:style w:type="table" w:styleId="TableGrid">
    <w:name w:val="Table Grid"/>
    <w:basedOn w:val="TableNormal"/>
    <w:uiPriority w:val="39"/>
    <w:rsid w:val="0088217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BC6CA4"/>
    <w:pPr>
      <w:ind w:left="720"/>
      <w:contextualSpacing/>
    </w:pPr>
  </w:style>
  <w:style w:type="paragraph" w:styleId="BalloonText">
    <w:name w:val="Balloon Text"/>
    <w:basedOn w:val="Normal"/>
    <w:link w:val="BalloonTextChar"/>
    <w:uiPriority w:val="99"/>
    <w:semiHidden/>
    <w:unhideWhenUsed/>
    <w:rsid w:val="004461C8"/>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4461C8"/>
    <w:rPr>
      <w:rFonts w:ascii="Segoe UI" w:hAnsi="Segoe UI" w:cs="Segoe UI"/>
      <w:sz w:val="18"/>
      <w:szCs w:val="18"/>
    </w:rPr>
  </w:style>
  <w:style w:type="character" w:styleId="Strong">
    <w:name w:val="Strong"/>
    <w:basedOn w:val="DefaultParagraphFont"/>
    <w:uiPriority w:val="22"/>
    <w:qFormat/>
    <w:rsid w:val="00DA27BF"/>
    <w:rPr>
      <w:b/>
      <w:bCs/>
    </w:rPr>
  </w:style>
  <w:style w:type="character" w:styleId="Hyperlink">
    <w:name w:val="Hyperlink"/>
    <w:basedOn w:val="DefaultParagraphFont"/>
    <w:uiPriority w:val="99"/>
    <w:semiHidden/>
    <w:unhideWhenUsed/>
    <w:rsid w:val="00DA27BF"/>
    <w:rPr>
      <w:color w:val="0000FF"/>
      <w:u w:val="single"/>
    </w:rPr>
  </w:style>
  <w:style w:type="paragraph" w:styleId="NormalWeb">
    <w:name w:val="Normal (Web)"/>
    <w:basedOn w:val="Normal"/>
    <w:uiPriority w:val="99"/>
    <w:unhideWhenUsed/>
    <w:rsid w:val="008C46F7"/>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Caption">
    <w:name w:val="caption"/>
    <w:basedOn w:val="Normal"/>
    <w:next w:val="Normal"/>
    <w:uiPriority w:val="35"/>
    <w:unhideWhenUsed/>
    <w:qFormat/>
    <w:rsid w:val="00D956F8"/>
    <w:pPr>
      <w:spacing w:after="200" w:line="240" w:lineRule="auto"/>
    </w:pPr>
    <w:rPr>
      <w:i/>
      <w:iCs/>
      <w:color w:val="44546A" w:themeColor="text2"/>
      <w:sz w:val="18"/>
      <w:szCs w:val="18"/>
    </w:rPr>
  </w:style>
  <w:style w:type="character" w:customStyle="1" w:styleId="Heading2Char">
    <w:name w:val="Heading 2 Char"/>
    <w:basedOn w:val="DefaultParagraphFont"/>
    <w:link w:val="Heading2"/>
    <w:uiPriority w:val="9"/>
    <w:rsid w:val="00854E9D"/>
    <w:rPr>
      <w:rFonts w:ascii="Arial" w:eastAsiaTheme="majorEastAsia" w:hAnsi="Arial" w:cstheme="majorBidi"/>
      <w:color w:val="2F5496" w:themeColor="accent1" w:themeShade="BF"/>
      <w:sz w:val="26"/>
      <w:szCs w:val="26"/>
      <w:lang w:eastAsia="en-US"/>
    </w:rPr>
  </w:style>
  <w:style w:type="character" w:customStyle="1" w:styleId="Heading3Char">
    <w:name w:val="Heading 3 Char"/>
    <w:basedOn w:val="DefaultParagraphFont"/>
    <w:link w:val="Heading3"/>
    <w:uiPriority w:val="9"/>
    <w:rsid w:val="00854E9D"/>
    <w:rPr>
      <w:rFonts w:ascii="Arial" w:eastAsiaTheme="majorEastAsia" w:hAnsi="Arial" w:cstheme="majorBidi"/>
      <w:color w:val="1F3763" w:themeColor="accent1" w:themeShade="7F"/>
      <w:sz w:val="24"/>
      <w:szCs w:val="24"/>
      <w:lang w:eastAsia="en-US"/>
    </w:rPr>
  </w:style>
  <w:style w:type="character" w:customStyle="1" w:styleId="Heading4Char">
    <w:name w:val="Heading 4 Char"/>
    <w:basedOn w:val="DefaultParagraphFont"/>
    <w:link w:val="Heading4"/>
    <w:uiPriority w:val="9"/>
    <w:rsid w:val="00854E9D"/>
    <w:rPr>
      <w:rFonts w:ascii="Arial" w:eastAsiaTheme="majorEastAsia" w:hAnsi="Arial" w:cstheme="majorBidi"/>
      <w:i/>
      <w:iCs/>
      <w:color w:val="2F5496" w:themeColor="accent1" w:themeShade="BF"/>
      <w:lang w:eastAsia="en-US"/>
    </w:rPr>
  </w:style>
  <w:style w:type="character" w:customStyle="1" w:styleId="Heading5Char">
    <w:name w:val="Heading 5 Char"/>
    <w:basedOn w:val="DefaultParagraphFont"/>
    <w:link w:val="Heading5"/>
    <w:uiPriority w:val="9"/>
    <w:rsid w:val="00854E9D"/>
    <w:rPr>
      <w:rFonts w:asciiTheme="majorHAnsi" w:eastAsiaTheme="majorEastAsia" w:hAnsiTheme="majorHAnsi" w:cstheme="majorBidi"/>
      <w:color w:val="2F5496" w:themeColor="accent1" w:themeShade="BF"/>
      <w:lang w:eastAsia="en-US"/>
    </w:rPr>
  </w:style>
  <w:style w:type="character" w:customStyle="1" w:styleId="Heading6Char">
    <w:name w:val="Heading 6 Char"/>
    <w:basedOn w:val="DefaultParagraphFont"/>
    <w:link w:val="Heading6"/>
    <w:uiPriority w:val="9"/>
    <w:semiHidden/>
    <w:rsid w:val="00854E9D"/>
    <w:rPr>
      <w:rFonts w:asciiTheme="majorHAnsi" w:eastAsiaTheme="majorEastAsia" w:hAnsiTheme="majorHAnsi" w:cstheme="majorBidi"/>
      <w:color w:val="1F3763" w:themeColor="accent1" w:themeShade="7F"/>
      <w:lang w:eastAsia="en-US"/>
    </w:rPr>
  </w:style>
  <w:style w:type="character" w:customStyle="1" w:styleId="Heading7Char">
    <w:name w:val="Heading 7 Char"/>
    <w:basedOn w:val="DefaultParagraphFont"/>
    <w:link w:val="Heading7"/>
    <w:uiPriority w:val="9"/>
    <w:semiHidden/>
    <w:rsid w:val="00854E9D"/>
    <w:rPr>
      <w:rFonts w:asciiTheme="majorHAnsi" w:eastAsiaTheme="majorEastAsia" w:hAnsiTheme="majorHAnsi" w:cstheme="majorBidi"/>
      <w:i/>
      <w:iCs/>
      <w:color w:val="1F3763" w:themeColor="accent1" w:themeShade="7F"/>
      <w:lang w:eastAsia="en-US"/>
    </w:rPr>
  </w:style>
  <w:style w:type="character" w:customStyle="1" w:styleId="Heading8Char">
    <w:name w:val="Heading 8 Char"/>
    <w:basedOn w:val="DefaultParagraphFont"/>
    <w:link w:val="Heading8"/>
    <w:uiPriority w:val="9"/>
    <w:semiHidden/>
    <w:rsid w:val="00854E9D"/>
    <w:rPr>
      <w:rFonts w:asciiTheme="majorHAnsi" w:eastAsiaTheme="majorEastAsia" w:hAnsiTheme="majorHAnsi" w:cstheme="majorBidi"/>
      <w:color w:val="272727" w:themeColor="text1" w:themeTint="D8"/>
      <w:sz w:val="21"/>
      <w:szCs w:val="21"/>
      <w:lang w:eastAsia="en-US"/>
    </w:rPr>
  </w:style>
  <w:style w:type="character" w:customStyle="1" w:styleId="Heading9Char">
    <w:name w:val="Heading 9 Char"/>
    <w:basedOn w:val="DefaultParagraphFont"/>
    <w:link w:val="Heading9"/>
    <w:uiPriority w:val="9"/>
    <w:semiHidden/>
    <w:rsid w:val="00854E9D"/>
    <w:rPr>
      <w:rFonts w:asciiTheme="majorHAnsi" w:eastAsiaTheme="majorEastAsia" w:hAnsiTheme="majorHAnsi" w:cstheme="majorBidi"/>
      <w:i/>
      <w:iCs/>
      <w:color w:val="272727" w:themeColor="text1" w:themeTint="D8"/>
      <w:sz w:val="21"/>
      <w:szCs w:val="21"/>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27943781">
      <w:bodyDiv w:val="1"/>
      <w:marLeft w:val="0"/>
      <w:marRight w:val="0"/>
      <w:marTop w:val="0"/>
      <w:marBottom w:val="0"/>
      <w:divBdr>
        <w:top w:val="none" w:sz="0" w:space="0" w:color="auto"/>
        <w:left w:val="none" w:sz="0" w:space="0" w:color="auto"/>
        <w:bottom w:val="none" w:sz="0" w:space="0" w:color="auto"/>
        <w:right w:val="none" w:sz="0" w:space="0" w:color="auto"/>
      </w:divBdr>
    </w:div>
    <w:div w:id="424419361">
      <w:bodyDiv w:val="1"/>
      <w:marLeft w:val="0"/>
      <w:marRight w:val="0"/>
      <w:marTop w:val="0"/>
      <w:marBottom w:val="0"/>
      <w:divBdr>
        <w:top w:val="none" w:sz="0" w:space="0" w:color="auto"/>
        <w:left w:val="none" w:sz="0" w:space="0" w:color="auto"/>
        <w:bottom w:val="none" w:sz="0" w:space="0" w:color="auto"/>
        <w:right w:val="none" w:sz="0" w:space="0" w:color="auto"/>
      </w:divBdr>
    </w:div>
    <w:div w:id="103823521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AB438F96E705D6469403A46F42FBE3CB" ma:contentTypeVersion="13" ma:contentTypeDescription="Create a new document." ma:contentTypeScope="" ma:versionID="f14e96c220db6f8151757ac5da342965">
  <xsd:schema xmlns:xsd="http://www.w3.org/2001/XMLSchema" xmlns:xs="http://www.w3.org/2001/XMLSchema" xmlns:p="http://schemas.microsoft.com/office/2006/metadata/properties" xmlns:ns3="a3276f14-397d-4ed7-b8c7-ece791485ff1" xmlns:ns4="bf13d2f1-3fb4-4d24-806f-713eb38c1b0e" targetNamespace="http://schemas.microsoft.com/office/2006/metadata/properties" ma:root="true" ma:fieldsID="6f7a74a60de34baf2fba493e5a63046f" ns3:_="" ns4:_="">
    <xsd:import namespace="a3276f14-397d-4ed7-b8c7-ece791485ff1"/>
    <xsd:import namespace="bf13d2f1-3fb4-4d24-806f-713eb38c1b0e"/>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DateTaken" minOccurs="0"/>
                <xsd:element ref="ns4:MediaServiceAutoTags" minOccurs="0"/>
                <xsd:element ref="ns4:MediaServiceOCR" minOccurs="0"/>
                <xsd:element ref="ns4:MediaServiceLocation" minOccurs="0"/>
                <xsd:element ref="ns4:MediaServiceGenerationTime" minOccurs="0"/>
                <xsd:element ref="ns4:MediaServiceEventHashCode" minOccurs="0"/>
                <xsd:element ref="ns4:MediaServiceAutoKeyPoints" minOccurs="0"/>
                <xsd:element ref="ns4: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3276f14-397d-4ed7-b8c7-ece791485ff1" elementFormDefault="qualified">
    <xsd:import namespace="http://schemas.microsoft.com/office/2006/documentManagement/types"/>
    <xsd:import namespace="http://schemas.microsoft.com/office/infopath/2007/PartnerControls"/>
    <xsd:element name="SharedWithUsers" ma:index="8"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element name="SharingHintHash" ma:index="10" nillable="true" ma:displayName="Sharing Hint Hash" ma:description=""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bf13d2f1-3fb4-4d24-806f-713eb38c1b0e"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DateTaken" ma:index="13" nillable="true" ma:displayName="MediaServiceDateTaken" ma:hidden="true" ma:internalName="MediaServiceDateTaken" ma:readOnly="true">
      <xsd:simpleType>
        <xsd:restriction base="dms:Text"/>
      </xsd:simpleType>
    </xsd:element>
    <xsd:element name="MediaServiceAutoTags" ma:index="14" nillable="true" ma:displayName="Tags" ma:internalName="MediaServiceAutoTags" ma:readOnly="true">
      <xsd:simpleType>
        <xsd:restriction base="dms:Text"/>
      </xsd:simpleType>
    </xsd:element>
    <xsd:element name="MediaServiceOCR" ma:index="15" nillable="true" ma:displayName="Extracted Text" ma:internalName="MediaServiceOCR" ma:readOnly="true">
      <xsd:simpleType>
        <xsd:restriction base="dms:Note">
          <xsd:maxLength value="255"/>
        </xsd:restriction>
      </xsd:simpleType>
    </xsd:element>
    <xsd:element name="MediaServiceLocation" ma:index="16" nillable="true" ma:displayName="Location" ma:internalName="MediaServiceLocation"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AutoKeyPoints" ma:index="19" nillable="true" ma:displayName="MediaServiceAutoKeyPoints" ma:hidden="true" ma:internalName="MediaServiceAutoKeyPoints" ma:readOnly="true">
      <xsd:simpleType>
        <xsd:restriction base="dms:Note"/>
      </xsd:simpleType>
    </xsd:element>
    <xsd:element name="MediaServiceKeyPoints" ma:index="20"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b:Source>
    <b:Tag>LiN09</b:Tag>
    <b:SourceType>Book</b:SourceType>
    <b:Guid>{6611DBE3-E528-457F-AA5D-91EC2DBA0F5B}</b:Guid>
    <b:Title>Cognitive Biases within Businesses</b:Title>
    <b:Year>2009</b:Year>
    <b:Author>
      <b:Author>
        <b:NameList>
          <b:Person>
            <b:Last>Li Niu</b:Last>
            <b:First>‎Jie</b:First>
            <b:Middle>Lu, ‎Guangquan Zhang</b:Middle>
          </b:Person>
        </b:NameList>
      </b:Author>
    </b:Author>
    <b:City>London</b:City>
    <b:Publisher>Springer</b:Publisher>
    <b:RefOrder>1</b:RefOrder>
  </b:Source>
</b:Sources>
</file>

<file path=customXml/itemProps1.xml><?xml version="1.0" encoding="utf-8"?>
<ds:datastoreItem xmlns:ds="http://schemas.openxmlformats.org/officeDocument/2006/customXml" ds:itemID="{083754D1-5055-49A1-B62B-54E55B08B42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3276f14-397d-4ed7-b8c7-ece791485ff1"/>
    <ds:schemaRef ds:uri="bf13d2f1-3fb4-4d24-806f-713eb38c1b0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618206C9-F73A-419A-B094-9F11B9CF35C4}">
  <ds:schemaRefs>
    <ds:schemaRef ds:uri="http://schemas.microsoft.com/sharepoint/v3/contenttype/forms"/>
  </ds:schemaRefs>
</ds:datastoreItem>
</file>

<file path=customXml/itemProps3.xml><?xml version="1.0" encoding="utf-8"?>
<ds:datastoreItem xmlns:ds="http://schemas.openxmlformats.org/officeDocument/2006/customXml" ds:itemID="{C87E60F6-C74C-430D-93F2-B088058D5059}">
  <ds:schemaRefs>
    <ds:schemaRef ds:uri="http://schemas.microsoft.com/office/2006/documentManagement/types"/>
    <ds:schemaRef ds:uri="http://schemas.microsoft.com/office/infopath/2007/PartnerControls"/>
    <ds:schemaRef ds:uri="a3276f14-397d-4ed7-b8c7-ece791485ff1"/>
    <ds:schemaRef ds:uri="http://purl.org/dc/elements/1.1/"/>
    <ds:schemaRef ds:uri="http://schemas.microsoft.com/office/2006/metadata/properties"/>
    <ds:schemaRef ds:uri="http://purl.org/dc/terms/"/>
    <ds:schemaRef ds:uri="http://schemas.openxmlformats.org/package/2006/metadata/core-properties"/>
    <ds:schemaRef ds:uri="bf13d2f1-3fb4-4d24-806f-713eb38c1b0e"/>
    <ds:schemaRef ds:uri="http://www.w3.org/XML/1998/namespace"/>
    <ds:schemaRef ds:uri="http://purl.org/dc/dcmitype/"/>
  </ds:schemaRefs>
</ds:datastoreItem>
</file>

<file path=customXml/itemProps4.xml><?xml version="1.0" encoding="utf-8"?>
<ds:datastoreItem xmlns:ds="http://schemas.openxmlformats.org/officeDocument/2006/customXml" ds:itemID="{7BB85F8E-E321-4D8B-BB4D-C0EDA7366AB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5966</TotalTime>
  <Pages>5</Pages>
  <Words>1785</Words>
  <Characters>10181</Characters>
  <Application>Microsoft Office Word</Application>
  <DocSecurity>0</DocSecurity>
  <Lines>84</Lines>
  <Paragraphs>23</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11943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Arnaud Marotin</dc:creator>
  <cp:keywords/>
  <dc:description/>
  <cp:lastModifiedBy>Nia Rossiter</cp:lastModifiedBy>
  <cp:revision>11</cp:revision>
  <dcterms:created xsi:type="dcterms:W3CDTF">2020-06-19T13:43:00Z</dcterms:created>
  <dcterms:modified xsi:type="dcterms:W3CDTF">2020-06-25T22:49:00Z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0x010100AB438F96E705D6469403A46F42FBE3CB</vt:lpwstr>
  </property>
</Properties>
</file>