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B7F6B" w14:textId="77777777" w:rsidR="00D76423" w:rsidRDefault="00D76423" w:rsidP="00852C65">
      <w:pPr>
        <w:spacing w:line="360" w:lineRule="auto"/>
        <w:jc w:val="both"/>
        <w:rPr>
          <w:rStyle w:val="Heading1Char"/>
        </w:rPr>
      </w:pPr>
    </w:p>
    <w:p w14:paraId="3C9B7F6C" w14:textId="6E3F3729" w:rsidR="00D76423" w:rsidRDefault="00D76423" w:rsidP="00656D7B">
      <w:pPr>
        <w:jc w:val="center"/>
        <w:rPr>
          <w:rFonts w:ascii="Arial" w:hAnsi="Arial" w:cs="Arial"/>
          <w:b/>
        </w:rPr>
      </w:pPr>
      <w:r>
        <w:rPr>
          <w:rFonts w:ascii="Arial" w:hAnsi="Arial" w:cs="Arial"/>
          <w:b/>
        </w:rPr>
        <w:t>BMPL4009: Criminal Law</w:t>
      </w:r>
      <w:r w:rsidR="000E5AE9">
        <w:rPr>
          <w:rFonts w:ascii="Arial" w:hAnsi="Arial" w:cs="Arial"/>
          <w:b/>
        </w:rPr>
        <w:t xml:space="preserve">  </w:t>
      </w:r>
    </w:p>
    <w:p w14:paraId="0C055950" w14:textId="77777777" w:rsidR="000E5AE9" w:rsidRDefault="000E5AE9" w:rsidP="00656D7B">
      <w:pPr>
        <w:jc w:val="center"/>
        <w:rPr>
          <w:rFonts w:ascii="Arial" w:hAnsi="Arial" w:cs="Arial"/>
          <w:b/>
        </w:rPr>
      </w:pPr>
    </w:p>
    <w:p w14:paraId="690CDAB0" w14:textId="77777777" w:rsidR="000E5AE9" w:rsidRDefault="000E5AE9" w:rsidP="00656D7B">
      <w:pPr>
        <w:jc w:val="center"/>
        <w:rPr>
          <w:rFonts w:ascii="Arial" w:hAnsi="Arial" w:cs="Arial"/>
          <w:b/>
        </w:rPr>
      </w:pPr>
    </w:p>
    <w:p w14:paraId="6C78B9F7" w14:textId="77777777" w:rsidR="000E5AE9" w:rsidRDefault="000E5AE9" w:rsidP="00656D7B">
      <w:pPr>
        <w:jc w:val="center"/>
        <w:rPr>
          <w:rFonts w:ascii="Arial" w:hAnsi="Arial" w:cs="Arial"/>
          <w:b/>
        </w:rPr>
      </w:pPr>
    </w:p>
    <w:p w14:paraId="3ACD1EEA" w14:textId="77777777" w:rsidR="000E5AE9" w:rsidRDefault="000E5AE9" w:rsidP="00656D7B">
      <w:pPr>
        <w:jc w:val="center"/>
        <w:rPr>
          <w:rFonts w:ascii="Arial" w:hAnsi="Arial" w:cs="Arial"/>
          <w:b/>
        </w:rPr>
      </w:pPr>
    </w:p>
    <w:p w14:paraId="13EE6D3B" w14:textId="77777777" w:rsidR="000E5AE9" w:rsidRDefault="000E5AE9" w:rsidP="00656D7B">
      <w:pPr>
        <w:jc w:val="center"/>
        <w:rPr>
          <w:rFonts w:ascii="Arial" w:hAnsi="Arial" w:cs="Arial"/>
          <w:b/>
        </w:rPr>
      </w:pPr>
    </w:p>
    <w:p w14:paraId="27788D4C" w14:textId="77777777" w:rsidR="000E5AE9" w:rsidRDefault="000E5AE9" w:rsidP="00656D7B">
      <w:pPr>
        <w:jc w:val="center"/>
        <w:rPr>
          <w:rFonts w:ascii="Arial" w:hAnsi="Arial" w:cs="Arial"/>
          <w:b/>
        </w:rPr>
      </w:pPr>
    </w:p>
    <w:p w14:paraId="395012C4" w14:textId="77777777" w:rsidR="000E5AE9" w:rsidRDefault="000E5AE9" w:rsidP="00656D7B">
      <w:pPr>
        <w:jc w:val="center"/>
        <w:rPr>
          <w:rFonts w:ascii="Arial" w:hAnsi="Arial" w:cs="Arial"/>
          <w:b/>
        </w:rPr>
      </w:pPr>
    </w:p>
    <w:p w14:paraId="46F82635" w14:textId="77777777" w:rsidR="000E5AE9" w:rsidRDefault="000E5AE9" w:rsidP="00656D7B">
      <w:pPr>
        <w:jc w:val="center"/>
        <w:rPr>
          <w:rFonts w:ascii="Arial" w:hAnsi="Arial" w:cs="Arial"/>
          <w:b/>
        </w:rPr>
      </w:pPr>
    </w:p>
    <w:p w14:paraId="4BFD9DE9" w14:textId="77777777" w:rsidR="000E5AE9" w:rsidRDefault="000E5AE9" w:rsidP="00656D7B">
      <w:pPr>
        <w:jc w:val="center"/>
        <w:rPr>
          <w:rFonts w:ascii="Arial" w:hAnsi="Arial" w:cs="Arial"/>
          <w:b/>
        </w:rPr>
      </w:pPr>
    </w:p>
    <w:p w14:paraId="1E8F0938" w14:textId="77777777" w:rsidR="000E5AE9" w:rsidRDefault="000E5AE9" w:rsidP="00656D7B">
      <w:pPr>
        <w:jc w:val="center"/>
        <w:rPr>
          <w:rFonts w:ascii="Arial" w:hAnsi="Arial" w:cs="Arial"/>
          <w:b/>
        </w:rPr>
      </w:pPr>
    </w:p>
    <w:p w14:paraId="63E7A24D" w14:textId="77777777" w:rsidR="000E5AE9" w:rsidRDefault="000E5AE9" w:rsidP="00656D7B">
      <w:pPr>
        <w:jc w:val="center"/>
        <w:rPr>
          <w:rFonts w:ascii="Arial" w:hAnsi="Arial" w:cs="Arial"/>
          <w:b/>
        </w:rPr>
      </w:pPr>
    </w:p>
    <w:p w14:paraId="67037A43" w14:textId="77777777" w:rsidR="000E5AE9" w:rsidRDefault="000E5AE9" w:rsidP="00656D7B">
      <w:pPr>
        <w:jc w:val="center"/>
        <w:rPr>
          <w:rFonts w:ascii="Arial" w:hAnsi="Arial" w:cs="Arial"/>
          <w:b/>
        </w:rPr>
      </w:pPr>
    </w:p>
    <w:p w14:paraId="53B5759A" w14:textId="77777777" w:rsidR="000E5AE9" w:rsidRDefault="000E5AE9" w:rsidP="00656D7B">
      <w:pPr>
        <w:jc w:val="center"/>
        <w:rPr>
          <w:rFonts w:ascii="Arial" w:hAnsi="Arial" w:cs="Arial"/>
          <w:b/>
        </w:rPr>
      </w:pPr>
    </w:p>
    <w:p w14:paraId="4AACCAC2" w14:textId="77777777" w:rsidR="000E5AE9" w:rsidRDefault="000E5AE9" w:rsidP="00656D7B">
      <w:pPr>
        <w:jc w:val="center"/>
        <w:rPr>
          <w:rFonts w:ascii="Arial" w:hAnsi="Arial" w:cs="Arial"/>
          <w:b/>
        </w:rPr>
      </w:pPr>
    </w:p>
    <w:p w14:paraId="19F1D911" w14:textId="77777777" w:rsidR="000E5AE9" w:rsidRDefault="000E5AE9" w:rsidP="00656D7B">
      <w:pPr>
        <w:jc w:val="center"/>
        <w:rPr>
          <w:rFonts w:ascii="Arial" w:hAnsi="Arial" w:cs="Arial"/>
          <w:b/>
        </w:rPr>
      </w:pPr>
    </w:p>
    <w:p w14:paraId="09863549" w14:textId="77777777" w:rsidR="000E5AE9" w:rsidRDefault="000E5AE9" w:rsidP="00656D7B">
      <w:pPr>
        <w:jc w:val="center"/>
        <w:rPr>
          <w:rFonts w:ascii="Arial" w:hAnsi="Arial" w:cs="Arial"/>
          <w:b/>
        </w:rPr>
      </w:pPr>
    </w:p>
    <w:p w14:paraId="12E5D3CC" w14:textId="77777777" w:rsidR="00DD2684" w:rsidRDefault="00DD2684" w:rsidP="00656D7B">
      <w:pPr>
        <w:jc w:val="center"/>
        <w:rPr>
          <w:rFonts w:ascii="Arial" w:hAnsi="Arial" w:cs="Arial"/>
          <w:b/>
        </w:rPr>
      </w:pPr>
    </w:p>
    <w:p w14:paraId="564A688D" w14:textId="77777777" w:rsidR="00DD2684" w:rsidRDefault="00DD2684" w:rsidP="00656D7B">
      <w:pPr>
        <w:jc w:val="center"/>
        <w:rPr>
          <w:rFonts w:ascii="Arial" w:hAnsi="Arial" w:cs="Arial"/>
          <w:b/>
        </w:rPr>
      </w:pPr>
    </w:p>
    <w:p w14:paraId="4AA619EC" w14:textId="77777777" w:rsidR="00DD2684" w:rsidRDefault="00DD2684" w:rsidP="00656D7B">
      <w:pPr>
        <w:jc w:val="center"/>
        <w:rPr>
          <w:rFonts w:ascii="Arial" w:hAnsi="Arial" w:cs="Arial"/>
          <w:b/>
        </w:rPr>
      </w:pPr>
    </w:p>
    <w:p w14:paraId="072B3B07" w14:textId="77777777" w:rsidR="00DD2684" w:rsidRDefault="00DD2684" w:rsidP="00656D7B">
      <w:pPr>
        <w:jc w:val="center"/>
        <w:rPr>
          <w:rFonts w:ascii="Arial" w:hAnsi="Arial" w:cs="Arial"/>
          <w:b/>
        </w:rPr>
      </w:pPr>
    </w:p>
    <w:p w14:paraId="09A52926" w14:textId="77777777" w:rsidR="00DD2684" w:rsidRDefault="00DD2684" w:rsidP="00656D7B">
      <w:pPr>
        <w:jc w:val="center"/>
        <w:rPr>
          <w:rFonts w:ascii="Arial" w:hAnsi="Arial" w:cs="Arial"/>
          <w:b/>
        </w:rPr>
      </w:pPr>
    </w:p>
    <w:p w14:paraId="43E1C766" w14:textId="5C87F60B" w:rsidR="00DD2684" w:rsidRDefault="006E3A14" w:rsidP="00656D7B">
      <w:pPr>
        <w:jc w:val="center"/>
        <w:rPr>
          <w:rFonts w:ascii="Arial" w:hAnsi="Arial" w:cs="Arial"/>
          <w:b/>
        </w:rPr>
      </w:pPr>
      <w:r>
        <w:rPr>
          <w:rFonts w:ascii="Arial" w:hAnsi="Arial" w:cs="Arial"/>
          <w:b/>
        </w:rPr>
        <w:t xml:space="preserve">                                                                                                               </w:t>
      </w:r>
      <w:r w:rsidR="00D12055">
        <w:rPr>
          <w:rFonts w:ascii="Arial" w:hAnsi="Arial" w:cs="Arial"/>
          <w:b/>
        </w:rPr>
        <w:t>Galina Zasheva-22274</w:t>
      </w:r>
      <w:r>
        <w:rPr>
          <w:rFonts w:ascii="Arial" w:hAnsi="Arial" w:cs="Arial"/>
          <w:b/>
        </w:rPr>
        <w:t>56</w:t>
      </w:r>
    </w:p>
    <w:p w14:paraId="3C9B7F6D" w14:textId="77777777" w:rsidR="00D76423" w:rsidRDefault="00D76423">
      <w:pPr>
        <w:rPr>
          <w:rFonts w:ascii="Arial" w:hAnsi="Arial" w:cs="Arial"/>
          <w:b/>
        </w:rPr>
      </w:pPr>
      <w:r>
        <w:rPr>
          <w:rFonts w:ascii="Arial" w:hAnsi="Arial" w:cs="Arial"/>
          <w:b/>
        </w:rPr>
        <w:br w:type="page"/>
      </w:r>
    </w:p>
    <w:p w14:paraId="3C9B7F6E" w14:textId="77777777" w:rsidR="00D76423" w:rsidRDefault="00D76423" w:rsidP="00D76423">
      <w:pPr>
        <w:rPr>
          <w:rFonts w:ascii="Arial" w:hAnsi="Arial" w:cs="Arial"/>
          <w:b/>
        </w:rPr>
      </w:pPr>
    </w:p>
    <w:p w14:paraId="3C9B7F6F" w14:textId="77777777" w:rsidR="00D76423" w:rsidRDefault="00D76423" w:rsidP="00D76423">
      <w:pPr>
        <w:rPr>
          <w:rFonts w:ascii="Arial" w:hAnsi="Arial" w:cs="Arial"/>
          <w:b/>
        </w:rPr>
      </w:pPr>
    </w:p>
    <w:sdt>
      <w:sdtPr>
        <w:rPr>
          <w:rFonts w:asciiTheme="minorHAnsi" w:eastAsiaTheme="minorHAnsi" w:hAnsiTheme="minorHAnsi" w:cstheme="minorBidi"/>
          <w:b w:val="0"/>
          <w:bCs w:val="0"/>
          <w:color w:val="auto"/>
          <w:sz w:val="22"/>
          <w:szCs w:val="22"/>
        </w:rPr>
        <w:id w:val="7248017"/>
        <w:docPartObj>
          <w:docPartGallery w:val="Table of Contents"/>
          <w:docPartUnique/>
        </w:docPartObj>
      </w:sdtPr>
      <w:sdtContent>
        <w:p w14:paraId="3C9B7F70" w14:textId="77777777" w:rsidR="00D76423" w:rsidRDefault="00D76423">
          <w:pPr>
            <w:pStyle w:val="TOCHeading"/>
          </w:pPr>
          <w:r>
            <w:t>Contents</w:t>
          </w:r>
        </w:p>
        <w:p w14:paraId="3C9B7F71" w14:textId="77777777" w:rsidR="00656D7B" w:rsidRDefault="00D76423">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49258050" w:history="1">
            <w:r w:rsidR="00656D7B" w:rsidRPr="00ED06E9">
              <w:rPr>
                <w:rStyle w:val="Hyperlink"/>
                <w:noProof/>
              </w:rPr>
              <w:t>Introduction</w:t>
            </w:r>
            <w:r w:rsidR="00656D7B">
              <w:rPr>
                <w:noProof/>
                <w:webHidden/>
              </w:rPr>
              <w:tab/>
            </w:r>
            <w:r w:rsidR="00656D7B">
              <w:rPr>
                <w:noProof/>
                <w:webHidden/>
              </w:rPr>
              <w:fldChar w:fldCharType="begin"/>
            </w:r>
            <w:r w:rsidR="00656D7B">
              <w:rPr>
                <w:noProof/>
                <w:webHidden/>
              </w:rPr>
              <w:instrText xml:space="preserve"> PAGEREF _Toc149258050 \h </w:instrText>
            </w:r>
            <w:r w:rsidR="00656D7B">
              <w:rPr>
                <w:noProof/>
                <w:webHidden/>
              </w:rPr>
            </w:r>
            <w:r w:rsidR="00656D7B">
              <w:rPr>
                <w:noProof/>
                <w:webHidden/>
              </w:rPr>
              <w:fldChar w:fldCharType="separate"/>
            </w:r>
            <w:r w:rsidR="00656D7B">
              <w:rPr>
                <w:noProof/>
                <w:webHidden/>
              </w:rPr>
              <w:t>3</w:t>
            </w:r>
            <w:r w:rsidR="00656D7B">
              <w:rPr>
                <w:noProof/>
                <w:webHidden/>
              </w:rPr>
              <w:fldChar w:fldCharType="end"/>
            </w:r>
          </w:hyperlink>
        </w:p>
        <w:p w14:paraId="3C9B7F72" w14:textId="77777777" w:rsidR="00656D7B" w:rsidRDefault="00000000">
          <w:pPr>
            <w:pStyle w:val="TOC1"/>
            <w:tabs>
              <w:tab w:val="right" w:leader="dot" w:pos="9350"/>
            </w:tabs>
            <w:rPr>
              <w:rFonts w:eastAsiaTheme="minorEastAsia"/>
              <w:noProof/>
            </w:rPr>
          </w:pPr>
          <w:hyperlink w:anchor="_Toc149258051" w:history="1">
            <w:r w:rsidR="00656D7B" w:rsidRPr="00ED06E9">
              <w:rPr>
                <w:rStyle w:val="Hyperlink"/>
                <w:noProof/>
              </w:rPr>
              <w:t>Consent in Battery Charges</w:t>
            </w:r>
            <w:r w:rsidR="00656D7B">
              <w:rPr>
                <w:noProof/>
                <w:webHidden/>
              </w:rPr>
              <w:tab/>
            </w:r>
            <w:r w:rsidR="00656D7B">
              <w:rPr>
                <w:noProof/>
                <w:webHidden/>
              </w:rPr>
              <w:fldChar w:fldCharType="begin"/>
            </w:r>
            <w:r w:rsidR="00656D7B">
              <w:rPr>
                <w:noProof/>
                <w:webHidden/>
              </w:rPr>
              <w:instrText xml:space="preserve"> PAGEREF _Toc149258051 \h </w:instrText>
            </w:r>
            <w:r w:rsidR="00656D7B">
              <w:rPr>
                <w:noProof/>
                <w:webHidden/>
              </w:rPr>
            </w:r>
            <w:r w:rsidR="00656D7B">
              <w:rPr>
                <w:noProof/>
                <w:webHidden/>
              </w:rPr>
              <w:fldChar w:fldCharType="separate"/>
            </w:r>
            <w:r w:rsidR="00656D7B">
              <w:rPr>
                <w:noProof/>
                <w:webHidden/>
              </w:rPr>
              <w:t>3</w:t>
            </w:r>
            <w:r w:rsidR="00656D7B">
              <w:rPr>
                <w:noProof/>
                <w:webHidden/>
              </w:rPr>
              <w:fldChar w:fldCharType="end"/>
            </w:r>
          </w:hyperlink>
        </w:p>
        <w:p w14:paraId="3C9B7F73" w14:textId="77777777" w:rsidR="00656D7B" w:rsidRDefault="00000000">
          <w:pPr>
            <w:pStyle w:val="TOC1"/>
            <w:tabs>
              <w:tab w:val="right" w:leader="dot" w:pos="9350"/>
            </w:tabs>
            <w:rPr>
              <w:rFonts w:eastAsiaTheme="minorEastAsia"/>
              <w:noProof/>
            </w:rPr>
          </w:pPr>
          <w:hyperlink w:anchor="_Toc149258052" w:history="1">
            <w:r w:rsidR="00656D7B" w:rsidRPr="00ED06E9">
              <w:rPr>
                <w:rStyle w:val="Hyperlink"/>
                <w:noProof/>
              </w:rPr>
              <w:t>Conclusion</w:t>
            </w:r>
            <w:r w:rsidR="00656D7B">
              <w:rPr>
                <w:noProof/>
                <w:webHidden/>
              </w:rPr>
              <w:tab/>
            </w:r>
            <w:r w:rsidR="00656D7B">
              <w:rPr>
                <w:noProof/>
                <w:webHidden/>
              </w:rPr>
              <w:fldChar w:fldCharType="begin"/>
            </w:r>
            <w:r w:rsidR="00656D7B">
              <w:rPr>
                <w:noProof/>
                <w:webHidden/>
              </w:rPr>
              <w:instrText xml:space="preserve"> PAGEREF _Toc149258052 \h </w:instrText>
            </w:r>
            <w:r w:rsidR="00656D7B">
              <w:rPr>
                <w:noProof/>
                <w:webHidden/>
              </w:rPr>
            </w:r>
            <w:r w:rsidR="00656D7B">
              <w:rPr>
                <w:noProof/>
                <w:webHidden/>
              </w:rPr>
              <w:fldChar w:fldCharType="separate"/>
            </w:r>
            <w:r w:rsidR="00656D7B">
              <w:rPr>
                <w:noProof/>
                <w:webHidden/>
              </w:rPr>
              <w:t>6</w:t>
            </w:r>
            <w:r w:rsidR="00656D7B">
              <w:rPr>
                <w:noProof/>
                <w:webHidden/>
              </w:rPr>
              <w:fldChar w:fldCharType="end"/>
            </w:r>
          </w:hyperlink>
        </w:p>
        <w:p w14:paraId="3C9B7F74" w14:textId="77777777" w:rsidR="00656D7B" w:rsidRDefault="00000000">
          <w:pPr>
            <w:pStyle w:val="TOC1"/>
            <w:tabs>
              <w:tab w:val="right" w:leader="dot" w:pos="9350"/>
            </w:tabs>
            <w:rPr>
              <w:rFonts w:eastAsiaTheme="minorEastAsia"/>
              <w:noProof/>
            </w:rPr>
          </w:pPr>
          <w:hyperlink w:anchor="_Toc149258053" w:history="1">
            <w:r w:rsidR="00656D7B" w:rsidRPr="00ED06E9">
              <w:rPr>
                <w:rStyle w:val="Hyperlink"/>
                <w:noProof/>
              </w:rPr>
              <w:t>Bibliography</w:t>
            </w:r>
            <w:r w:rsidR="00656D7B">
              <w:rPr>
                <w:noProof/>
                <w:webHidden/>
              </w:rPr>
              <w:tab/>
            </w:r>
            <w:r w:rsidR="00656D7B">
              <w:rPr>
                <w:noProof/>
                <w:webHidden/>
              </w:rPr>
              <w:fldChar w:fldCharType="begin"/>
            </w:r>
            <w:r w:rsidR="00656D7B">
              <w:rPr>
                <w:noProof/>
                <w:webHidden/>
              </w:rPr>
              <w:instrText xml:space="preserve"> PAGEREF _Toc149258053 \h </w:instrText>
            </w:r>
            <w:r w:rsidR="00656D7B">
              <w:rPr>
                <w:noProof/>
                <w:webHidden/>
              </w:rPr>
            </w:r>
            <w:r w:rsidR="00656D7B">
              <w:rPr>
                <w:noProof/>
                <w:webHidden/>
              </w:rPr>
              <w:fldChar w:fldCharType="separate"/>
            </w:r>
            <w:r w:rsidR="00656D7B">
              <w:rPr>
                <w:noProof/>
                <w:webHidden/>
              </w:rPr>
              <w:t>7</w:t>
            </w:r>
            <w:r w:rsidR="00656D7B">
              <w:rPr>
                <w:noProof/>
                <w:webHidden/>
              </w:rPr>
              <w:fldChar w:fldCharType="end"/>
            </w:r>
          </w:hyperlink>
        </w:p>
        <w:p w14:paraId="3C9B7F75" w14:textId="77777777" w:rsidR="00D76423" w:rsidRDefault="00D76423">
          <w:r>
            <w:fldChar w:fldCharType="end"/>
          </w:r>
        </w:p>
      </w:sdtContent>
    </w:sdt>
    <w:p w14:paraId="3C9B7F76" w14:textId="77777777" w:rsidR="00D76423" w:rsidRDefault="00D76423" w:rsidP="00D76423">
      <w:pPr>
        <w:rPr>
          <w:rStyle w:val="Heading1Char"/>
        </w:rPr>
      </w:pPr>
    </w:p>
    <w:p w14:paraId="3C9B7F77" w14:textId="77777777" w:rsidR="00D76423" w:rsidRDefault="00D76423">
      <w:pPr>
        <w:rPr>
          <w:rStyle w:val="Heading1Char"/>
        </w:rPr>
      </w:pPr>
      <w:r>
        <w:rPr>
          <w:rStyle w:val="Heading1Char"/>
        </w:rPr>
        <w:br w:type="page"/>
      </w:r>
    </w:p>
    <w:p w14:paraId="3C9B7F78" w14:textId="77777777" w:rsidR="00DD6476" w:rsidRDefault="00DD6476" w:rsidP="00852C65">
      <w:pPr>
        <w:spacing w:line="360" w:lineRule="auto"/>
        <w:jc w:val="both"/>
        <w:rPr>
          <w:rFonts w:ascii="Times New Roman" w:hAnsi="Times New Roman" w:cs="Times New Roman"/>
          <w:sz w:val="24"/>
          <w:szCs w:val="24"/>
        </w:rPr>
      </w:pPr>
      <w:bookmarkStart w:id="0" w:name="_Toc149258050"/>
      <w:r w:rsidRPr="00D76423">
        <w:rPr>
          <w:rStyle w:val="Heading1Char"/>
        </w:rPr>
        <w:lastRenderedPageBreak/>
        <w:t>Introduction</w:t>
      </w:r>
      <w:bookmarkEnd w:id="0"/>
      <w:r>
        <w:rPr>
          <w:rFonts w:ascii="Times New Roman" w:hAnsi="Times New Roman" w:cs="Times New Roman"/>
          <w:sz w:val="24"/>
          <w:szCs w:val="24"/>
        </w:rPr>
        <w:t xml:space="preserve">: </w:t>
      </w:r>
      <w:r w:rsidR="00B37B1C" w:rsidRPr="00B37B1C">
        <w:rPr>
          <w:rFonts w:ascii="Times New Roman" w:hAnsi="Times New Roman" w:cs="Times New Roman"/>
          <w:sz w:val="24"/>
          <w:szCs w:val="24"/>
        </w:rPr>
        <w:t>A person can be prosecuted with battery in the United Kingdom if it is alleged that they used physical force on another individual without obtaining their permission, thereby causing either bodily injury or emotional distress in eithe</w:t>
      </w:r>
      <w:r w:rsidR="00A55306">
        <w:rPr>
          <w:rFonts w:ascii="Times New Roman" w:hAnsi="Times New Roman" w:cs="Times New Roman"/>
          <w:sz w:val="24"/>
          <w:szCs w:val="24"/>
        </w:rPr>
        <w:t>r of the parties involved. Battery</w:t>
      </w:r>
      <w:r w:rsidR="00B37B1C" w:rsidRPr="00B37B1C">
        <w:rPr>
          <w:rFonts w:ascii="Times New Roman" w:hAnsi="Times New Roman" w:cs="Times New Roman"/>
          <w:sz w:val="24"/>
          <w:szCs w:val="24"/>
        </w:rPr>
        <w:t xml:space="preserve"> can manifest itself physically, for example, in the form of a punch, a slap, or a push</w:t>
      </w:r>
      <w:r w:rsidR="00A55306">
        <w:rPr>
          <w:rFonts w:ascii="Times New Roman" w:hAnsi="Times New Roman" w:cs="Times New Roman"/>
          <w:sz w:val="24"/>
          <w:szCs w:val="24"/>
        </w:rPr>
        <w:t xml:space="preserve"> </w:t>
      </w:r>
      <w:r w:rsidR="00A55306" w:rsidRPr="00A55306">
        <w:rPr>
          <w:rFonts w:ascii="Times New Roman" w:hAnsi="Times New Roman" w:cs="Times New Roman"/>
          <w:sz w:val="24"/>
          <w:szCs w:val="24"/>
        </w:rPr>
        <w:t>(Herring, 2021)</w:t>
      </w:r>
      <w:r w:rsidR="00B37B1C" w:rsidRPr="00B37B1C">
        <w:rPr>
          <w:rFonts w:ascii="Times New Roman" w:hAnsi="Times New Roman" w:cs="Times New Roman"/>
          <w:sz w:val="24"/>
          <w:szCs w:val="24"/>
        </w:rPr>
        <w:t>.</w:t>
      </w:r>
      <w:r w:rsidR="00A55306">
        <w:rPr>
          <w:rFonts w:ascii="Times New Roman" w:hAnsi="Times New Roman" w:cs="Times New Roman"/>
          <w:sz w:val="24"/>
          <w:szCs w:val="24"/>
        </w:rPr>
        <w:t xml:space="preserve"> In this essay, the principles of consent and its role in battery will be discussed.</w:t>
      </w:r>
    </w:p>
    <w:p w14:paraId="3C9B7F79" w14:textId="77777777" w:rsidR="00522E55" w:rsidRDefault="00B37B1C" w:rsidP="00852C65">
      <w:pPr>
        <w:spacing w:line="360" w:lineRule="auto"/>
        <w:jc w:val="both"/>
        <w:rPr>
          <w:rFonts w:ascii="Times New Roman" w:hAnsi="Times New Roman" w:cs="Times New Roman"/>
          <w:sz w:val="24"/>
          <w:szCs w:val="24"/>
        </w:rPr>
      </w:pPr>
      <w:bookmarkStart w:id="1" w:name="_Toc149258051"/>
      <w:r w:rsidRPr="00D76423">
        <w:rPr>
          <w:rStyle w:val="Heading1Char"/>
        </w:rPr>
        <w:t>Consent in Battery Charges</w:t>
      </w:r>
      <w:bookmarkEnd w:id="1"/>
      <w:r>
        <w:rPr>
          <w:rFonts w:ascii="Times New Roman" w:hAnsi="Times New Roman" w:cs="Times New Roman"/>
          <w:sz w:val="24"/>
          <w:szCs w:val="24"/>
        </w:rPr>
        <w:t xml:space="preserve">: </w:t>
      </w:r>
      <w:r w:rsidR="00522E55" w:rsidRPr="00522E55">
        <w:rPr>
          <w:rFonts w:ascii="Times New Roman" w:hAnsi="Times New Roman" w:cs="Times New Roman"/>
          <w:sz w:val="24"/>
          <w:szCs w:val="24"/>
        </w:rPr>
        <w:t>When a person agrees to anything that was suggested to them by another individual, they are said to have given their consent to that activity.</w:t>
      </w:r>
    </w:p>
    <w:p w14:paraId="3C9B7F7A" w14:textId="77777777" w:rsidR="00103671" w:rsidRPr="00522E55" w:rsidRDefault="00852C65" w:rsidP="00522E55">
      <w:pPr>
        <w:pStyle w:val="ListParagraph"/>
        <w:numPr>
          <w:ilvl w:val="0"/>
          <w:numId w:val="1"/>
        </w:numPr>
        <w:spacing w:line="360" w:lineRule="auto"/>
        <w:jc w:val="both"/>
        <w:rPr>
          <w:rFonts w:ascii="Times New Roman" w:hAnsi="Times New Roman" w:cs="Times New Roman"/>
          <w:sz w:val="24"/>
          <w:szCs w:val="24"/>
        </w:rPr>
      </w:pPr>
      <w:r w:rsidRPr="00522E55">
        <w:rPr>
          <w:rFonts w:ascii="Times New Roman" w:hAnsi="Times New Roman" w:cs="Times New Roman"/>
          <w:sz w:val="24"/>
          <w:szCs w:val="24"/>
        </w:rPr>
        <w:t>D</w:t>
      </w:r>
      <w:r w:rsidR="00103671" w:rsidRPr="00522E55">
        <w:rPr>
          <w:rFonts w:ascii="Times New Roman" w:hAnsi="Times New Roman" w:cs="Times New Roman"/>
          <w:sz w:val="24"/>
          <w:szCs w:val="24"/>
        </w:rPr>
        <w:t>one so voluntarily (without any form of duress or deception) and without any type of duress or deception.</w:t>
      </w:r>
    </w:p>
    <w:p w14:paraId="3C9B7F7B" w14:textId="77777777" w:rsidR="00103671" w:rsidRPr="00852C65" w:rsidRDefault="00852C65" w:rsidP="00852C65">
      <w:pPr>
        <w:pStyle w:val="ListParagraph"/>
        <w:numPr>
          <w:ilvl w:val="0"/>
          <w:numId w:val="1"/>
        </w:numPr>
        <w:spacing w:line="360" w:lineRule="auto"/>
        <w:jc w:val="both"/>
        <w:rPr>
          <w:rFonts w:ascii="Times New Roman" w:hAnsi="Times New Roman" w:cs="Times New Roman"/>
          <w:sz w:val="24"/>
          <w:szCs w:val="24"/>
        </w:rPr>
      </w:pPr>
      <w:r w:rsidRPr="00852C65">
        <w:rPr>
          <w:rFonts w:ascii="Times New Roman" w:hAnsi="Times New Roman" w:cs="Times New Roman"/>
          <w:sz w:val="24"/>
          <w:szCs w:val="24"/>
        </w:rPr>
        <w:t>In</w:t>
      </w:r>
      <w:r w:rsidR="00103671" w:rsidRPr="00852C65">
        <w:rPr>
          <w:rFonts w:ascii="Times New Roman" w:hAnsi="Times New Roman" w:cs="Times New Roman"/>
          <w:sz w:val="24"/>
          <w:szCs w:val="24"/>
        </w:rPr>
        <w:t xml:space="preserve"> the control of a party that is accountable</w:t>
      </w:r>
    </w:p>
    <w:p w14:paraId="3C9B7F7C" w14:textId="77777777" w:rsidR="00103671" w:rsidRPr="00852C65" w:rsidRDefault="00852C65" w:rsidP="00852C65">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Provided by </w:t>
      </w:r>
      <w:r w:rsidR="00103671" w:rsidRPr="00852C65">
        <w:rPr>
          <w:rFonts w:ascii="Times New Roman" w:hAnsi="Times New Roman" w:cs="Times New Roman"/>
          <w:sz w:val="24"/>
          <w:szCs w:val="24"/>
        </w:rPr>
        <w:t>somebody who is completely knowledgeable on the subject being discussed</w:t>
      </w:r>
      <w:r w:rsidR="00A55306">
        <w:rPr>
          <w:rFonts w:ascii="Times New Roman" w:hAnsi="Times New Roman" w:cs="Times New Roman"/>
          <w:sz w:val="24"/>
          <w:szCs w:val="24"/>
        </w:rPr>
        <w:t xml:space="preserve"> </w:t>
      </w:r>
      <w:r w:rsidR="00A55306" w:rsidRPr="00A55306">
        <w:rPr>
          <w:rFonts w:ascii="Times New Roman" w:hAnsi="Times New Roman" w:cs="Times New Roman"/>
          <w:sz w:val="24"/>
          <w:szCs w:val="24"/>
        </w:rPr>
        <w:t>(Padfield, 2016)</w:t>
      </w:r>
      <w:r w:rsidR="00103671" w:rsidRPr="00852C65">
        <w:rPr>
          <w:rFonts w:ascii="Times New Roman" w:hAnsi="Times New Roman" w:cs="Times New Roman"/>
          <w:sz w:val="24"/>
          <w:szCs w:val="24"/>
        </w:rPr>
        <w:t>.</w:t>
      </w:r>
    </w:p>
    <w:p w14:paraId="3C9B7F7D" w14:textId="77777777" w:rsidR="00103671" w:rsidRPr="00852C65" w:rsidRDefault="00103671" w:rsidP="00852C65">
      <w:pPr>
        <w:spacing w:line="360" w:lineRule="auto"/>
        <w:jc w:val="both"/>
        <w:rPr>
          <w:rFonts w:ascii="Times New Roman" w:hAnsi="Times New Roman" w:cs="Times New Roman"/>
          <w:sz w:val="24"/>
          <w:szCs w:val="24"/>
        </w:rPr>
      </w:pPr>
      <w:r w:rsidRPr="00852C65">
        <w:rPr>
          <w:rFonts w:ascii="Times New Roman" w:hAnsi="Times New Roman" w:cs="Times New Roman"/>
          <w:sz w:val="24"/>
          <w:szCs w:val="24"/>
        </w:rPr>
        <w:t>It is possible to give one's consent either vocally, in writing, or even implicitly. The patient's signature on a consent form does not constitute his or her actual assent to the proposed medical treatment; rather, it serves as proof that consent has been obtained (since most consent forms feature sections where the patient can write which components of the procedure they understand). In other words, the patient's actual assent to the proposed medical treatment is not indicated by the patient's signature on the consent form. One example of providing implied consent is when a person offers up their arm for the purpose of collecting blood samples. Because a patient could argue that they were misunderstood and that they did not intend to offer their consent, it is not always reliable</w:t>
      </w:r>
      <w:r w:rsidR="00A55306">
        <w:rPr>
          <w:rFonts w:ascii="Times New Roman" w:hAnsi="Times New Roman" w:cs="Times New Roman"/>
          <w:sz w:val="24"/>
          <w:szCs w:val="24"/>
        </w:rPr>
        <w:t xml:space="preserve"> </w:t>
      </w:r>
      <w:r w:rsidR="00A55306" w:rsidRPr="00A55306">
        <w:rPr>
          <w:rFonts w:ascii="Times New Roman" w:hAnsi="Times New Roman" w:cs="Times New Roman"/>
          <w:sz w:val="24"/>
          <w:szCs w:val="24"/>
        </w:rPr>
        <w:t>(Finch and Fafinski, 2019)</w:t>
      </w:r>
      <w:r w:rsidRPr="00852C65">
        <w:rPr>
          <w:rFonts w:ascii="Times New Roman" w:hAnsi="Times New Roman" w:cs="Times New Roman"/>
          <w:sz w:val="24"/>
          <w:szCs w:val="24"/>
        </w:rPr>
        <w:t>.</w:t>
      </w:r>
    </w:p>
    <w:p w14:paraId="3C9B7F7E" w14:textId="77777777" w:rsidR="00103671" w:rsidRPr="00852C65" w:rsidRDefault="00103671" w:rsidP="00852C65">
      <w:pPr>
        <w:spacing w:line="360" w:lineRule="auto"/>
        <w:jc w:val="both"/>
        <w:rPr>
          <w:rFonts w:ascii="Times New Roman" w:hAnsi="Times New Roman" w:cs="Times New Roman"/>
          <w:sz w:val="24"/>
          <w:szCs w:val="24"/>
        </w:rPr>
      </w:pPr>
      <w:r w:rsidRPr="00852C65">
        <w:rPr>
          <w:rFonts w:ascii="Times New Roman" w:hAnsi="Times New Roman" w:cs="Times New Roman"/>
          <w:sz w:val="24"/>
          <w:szCs w:val="24"/>
        </w:rPr>
        <w:t>Under the legislation, individuals who have not reached the age of 18 are regarded to be minors. The Family Law Reform Act of 1969 states that a kid is legally deemed an adult at the age of 16 or 17, at which point they are able to offer informed authorization for medical care and are no longer considered minors. As is the case with giving consent in general, the individual's doctor needs to have faith in the patient's capacity to think things through and make a decision about this particular issue. In addition, it is possible to override a patient's decision to refuse treatment that would sustain their life</w:t>
      </w:r>
      <w:r w:rsidR="00A55306">
        <w:rPr>
          <w:rFonts w:ascii="Times New Roman" w:hAnsi="Times New Roman" w:cs="Times New Roman"/>
          <w:sz w:val="24"/>
          <w:szCs w:val="24"/>
        </w:rPr>
        <w:t xml:space="preserve"> </w:t>
      </w:r>
      <w:r w:rsidR="00A55306" w:rsidRPr="00A55306">
        <w:rPr>
          <w:rFonts w:ascii="Times New Roman" w:hAnsi="Times New Roman" w:cs="Times New Roman"/>
          <w:sz w:val="24"/>
          <w:szCs w:val="24"/>
        </w:rPr>
        <w:t>(Elliott and Quinn, 2016)</w:t>
      </w:r>
      <w:r w:rsidRPr="00852C65">
        <w:rPr>
          <w:rFonts w:ascii="Times New Roman" w:hAnsi="Times New Roman" w:cs="Times New Roman"/>
          <w:sz w:val="24"/>
          <w:szCs w:val="24"/>
        </w:rPr>
        <w:t>.</w:t>
      </w:r>
    </w:p>
    <w:p w14:paraId="3C9B7F7F" w14:textId="77777777" w:rsidR="00103671" w:rsidRPr="00852C65" w:rsidRDefault="00103671" w:rsidP="00852C65">
      <w:pPr>
        <w:spacing w:line="360" w:lineRule="auto"/>
        <w:jc w:val="both"/>
        <w:rPr>
          <w:rFonts w:ascii="Times New Roman" w:hAnsi="Times New Roman" w:cs="Times New Roman"/>
          <w:sz w:val="24"/>
          <w:szCs w:val="24"/>
        </w:rPr>
      </w:pPr>
      <w:r w:rsidRPr="00852C65">
        <w:rPr>
          <w:rFonts w:ascii="Times New Roman" w:hAnsi="Times New Roman" w:cs="Times New Roman"/>
          <w:sz w:val="24"/>
          <w:szCs w:val="24"/>
        </w:rPr>
        <w:lastRenderedPageBreak/>
        <w:t>There is no universal rule regarding whether or not a kid under the age of 16 possesses the necessary understanding to offer informed consent (sometimes referred to as "Gillick competence"3). This determination is made on an individual basis. Because of this, it is absolutely essential that they have a solid understanding of not only the medical aspects, but also the moral and ethical considerations involved. A parent or legal guardian who has parental responsibility can make decisions on behalf of a child who lacks the mental capacity to give informed consent. These decisions, however, can be overturned by a court if it is determined that they are not in the child's best interests. Even if the child does not want to participate in therapy, the consent of the parents is still necessary</w:t>
      </w:r>
      <w:r w:rsidR="00A55306">
        <w:rPr>
          <w:rFonts w:ascii="Times New Roman" w:hAnsi="Times New Roman" w:cs="Times New Roman"/>
          <w:sz w:val="24"/>
          <w:szCs w:val="24"/>
        </w:rPr>
        <w:t xml:space="preserve"> </w:t>
      </w:r>
      <w:r w:rsidR="00A55306" w:rsidRPr="00A55306">
        <w:rPr>
          <w:rFonts w:ascii="Times New Roman" w:hAnsi="Times New Roman" w:cs="Times New Roman"/>
          <w:sz w:val="24"/>
          <w:szCs w:val="24"/>
        </w:rPr>
        <w:t>(Herring, 2022)</w:t>
      </w:r>
      <w:r w:rsidRPr="00852C65">
        <w:rPr>
          <w:rFonts w:ascii="Times New Roman" w:hAnsi="Times New Roman" w:cs="Times New Roman"/>
          <w:sz w:val="24"/>
          <w:szCs w:val="24"/>
        </w:rPr>
        <w:t>. The courts have the authority to also provide consent on behalf of a minor when requested. In many instances in which a Jehovah's Witness family refused to provide consent to a life-saving blood transfusion, the court ultimately overruled the child's and the parents' reluctance to give their agreement for the treatment. This occurred both when the child was younger and when the child was older. Before a court will decide against a parent's refusal to give consent for life-saving treatment, a child must meet the criteria established by the Gillick Competence Scale. The courts frequently embrace a paternalistic approach to the "best interests" of juveniles who want to end their lives, even if this may appear contradictory</w:t>
      </w:r>
      <w:r w:rsidR="00A55306">
        <w:rPr>
          <w:rFonts w:ascii="Times New Roman" w:hAnsi="Times New Roman" w:cs="Times New Roman"/>
          <w:sz w:val="24"/>
          <w:szCs w:val="24"/>
        </w:rPr>
        <w:t xml:space="preserve"> </w:t>
      </w:r>
      <w:r w:rsidR="00A55306" w:rsidRPr="00A55306">
        <w:rPr>
          <w:rFonts w:ascii="Times New Roman" w:hAnsi="Times New Roman" w:cs="Times New Roman"/>
          <w:sz w:val="24"/>
          <w:szCs w:val="24"/>
        </w:rPr>
        <w:t>(Mclean, 2017)</w:t>
      </w:r>
      <w:r w:rsidRPr="00852C65">
        <w:rPr>
          <w:rFonts w:ascii="Times New Roman" w:hAnsi="Times New Roman" w:cs="Times New Roman"/>
          <w:sz w:val="24"/>
          <w:szCs w:val="24"/>
        </w:rPr>
        <w:t>.</w:t>
      </w:r>
    </w:p>
    <w:p w14:paraId="3C9B7F80" w14:textId="77777777" w:rsidR="00103671" w:rsidRPr="00852C65" w:rsidRDefault="00103671" w:rsidP="00852C65">
      <w:pPr>
        <w:spacing w:line="360" w:lineRule="auto"/>
        <w:jc w:val="both"/>
        <w:rPr>
          <w:rFonts w:ascii="Times New Roman" w:hAnsi="Times New Roman" w:cs="Times New Roman"/>
          <w:sz w:val="24"/>
          <w:szCs w:val="24"/>
        </w:rPr>
      </w:pPr>
      <w:r w:rsidRPr="00852C65">
        <w:rPr>
          <w:rFonts w:ascii="Times New Roman" w:hAnsi="Times New Roman" w:cs="Times New Roman"/>
          <w:sz w:val="24"/>
          <w:szCs w:val="24"/>
        </w:rPr>
        <w:t>If a person is unable to make a choice for themselves, another person may do so on their behalf if it is in their best interests. When assessing what is in the patient's best interests, it is important to take into account the patient's own beliefs as well as the beliefs of their loved ones; nonetheless, no one is allowed to give authorization for medical treatment on behalf of an adult who lacks capacity. If a patient believes that they will lose the ability to make decisions regarding their own medical treatment in the near future, they have the option of appointing an agent to act on their behalf. In these kinds of situations, the person may have already formally declared their preferences in the eyes of the law by the use of a predetermined decision or the designation of a lasting power of attorney. Both of these legal tools, if they are applicable, are given the appropriate amount of weight when managerial decisions are being made</w:t>
      </w:r>
      <w:r w:rsidR="00F1024F">
        <w:rPr>
          <w:rFonts w:ascii="Times New Roman" w:hAnsi="Times New Roman" w:cs="Times New Roman"/>
          <w:sz w:val="24"/>
          <w:szCs w:val="24"/>
        </w:rPr>
        <w:t xml:space="preserve"> </w:t>
      </w:r>
      <w:r w:rsidR="00F1024F" w:rsidRPr="00F1024F">
        <w:rPr>
          <w:rFonts w:ascii="Times New Roman" w:hAnsi="Times New Roman" w:cs="Times New Roman"/>
          <w:sz w:val="24"/>
          <w:szCs w:val="24"/>
        </w:rPr>
        <w:t>(Burton et al., 2015)</w:t>
      </w:r>
      <w:r w:rsidRPr="00852C65">
        <w:rPr>
          <w:rFonts w:ascii="Times New Roman" w:hAnsi="Times New Roman" w:cs="Times New Roman"/>
          <w:sz w:val="24"/>
          <w:szCs w:val="24"/>
        </w:rPr>
        <w:t>.</w:t>
      </w:r>
    </w:p>
    <w:p w14:paraId="3C9B7F81" w14:textId="77777777" w:rsidR="00FA0A18" w:rsidRPr="00852C65" w:rsidRDefault="00FA0A18" w:rsidP="00852C65">
      <w:pPr>
        <w:spacing w:line="360" w:lineRule="auto"/>
        <w:jc w:val="both"/>
        <w:rPr>
          <w:rFonts w:ascii="Times New Roman" w:hAnsi="Times New Roman" w:cs="Times New Roman"/>
          <w:sz w:val="24"/>
          <w:szCs w:val="24"/>
        </w:rPr>
      </w:pPr>
      <w:r w:rsidRPr="00852C65">
        <w:rPr>
          <w:rFonts w:ascii="Times New Roman" w:hAnsi="Times New Roman" w:cs="Times New Roman"/>
          <w:sz w:val="24"/>
          <w:szCs w:val="24"/>
        </w:rPr>
        <w:t xml:space="preserve">Battery, which is a serious violation of the law, refers to any act in which one person uses force against another individual without first obtaining that individual's agreement. The four fundamental elements needed to prove battery are an act, intent, a lack of consent, and a hurt or </w:t>
      </w:r>
      <w:r w:rsidRPr="00852C65">
        <w:rPr>
          <w:rFonts w:ascii="Times New Roman" w:hAnsi="Times New Roman" w:cs="Times New Roman"/>
          <w:sz w:val="24"/>
          <w:szCs w:val="24"/>
        </w:rPr>
        <w:lastRenderedPageBreak/>
        <w:t>offence caused by the act. A person commits a battery when they subject another person to an unwanted physical touch in which the other person does not have permission to do so. The only sort of permission that counts is one that has been thoughtfully and voluntarily provided.</w:t>
      </w:r>
      <w:r w:rsidR="00852C65">
        <w:rPr>
          <w:rFonts w:ascii="Times New Roman" w:hAnsi="Times New Roman" w:cs="Times New Roman"/>
          <w:sz w:val="24"/>
          <w:szCs w:val="24"/>
        </w:rPr>
        <w:t xml:space="preserve"> </w:t>
      </w:r>
      <w:r w:rsidRPr="00852C65">
        <w:rPr>
          <w:rFonts w:ascii="Times New Roman" w:hAnsi="Times New Roman" w:cs="Times New Roman"/>
          <w:sz w:val="24"/>
          <w:szCs w:val="24"/>
        </w:rPr>
        <w:t>Once the recipient has shown that they are willing to participate, their participation can be considered voluntary for any and all further contacts</w:t>
      </w:r>
      <w:r w:rsidR="00F1024F">
        <w:rPr>
          <w:rFonts w:ascii="Times New Roman" w:hAnsi="Times New Roman" w:cs="Times New Roman"/>
          <w:sz w:val="24"/>
          <w:szCs w:val="24"/>
        </w:rPr>
        <w:t xml:space="preserve"> </w:t>
      </w:r>
      <w:r w:rsidR="00F1024F" w:rsidRPr="00F1024F">
        <w:rPr>
          <w:rFonts w:ascii="Times New Roman" w:hAnsi="Times New Roman" w:cs="Times New Roman"/>
          <w:sz w:val="24"/>
          <w:szCs w:val="24"/>
        </w:rPr>
        <w:t>(Ashworth and Kelly, 2021)</w:t>
      </w:r>
      <w:r w:rsidRPr="00852C65">
        <w:rPr>
          <w:rFonts w:ascii="Times New Roman" w:hAnsi="Times New Roman" w:cs="Times New Roman"/>
          <w:sz w:val="24"/>
          <w:szCs w:val="24"/>
        </w:rPr>
        <w:t>.</w:t>
      </w:r>
    </w:p>
    <w:p w14:paraId="3C9B7F82" w14:textId="77777777" w:rsidR="00852C65" w:rsidRPr="00852C65" w:rsidRDefault="00FA0A18" w:rsidP="00852C65">
      <w:pPr>
        <w:spacing w:line="360" w:lineRule="auto"/>
        <w:jc w:val="both"/>
        <w:rPr>
          <w:rFonts w:ascii="Times New Roman" w:hAnsi="Times New Roman" w:cs="Times New Roman"/>
          <w:sz w:val="24"/>
          <w:szCs w:val="24"/>
        </w:rPr>
      </w:pPr>
      <w:r w:rsidRPr="00852C65">
        <w:rPr>
          <w:rFonts w:ascii="Times New Roman" w:hAnsi="Times New Roman" w:cs="Times New Roman"/>
          <w:sz w:val="24"/>
          <w:szCs w:val="24"/>
        </w:rPr>
        <w:t>It's possible that a person's consent can't be considered legitimate if they are too mentally handicapped, too young, or under the influence of drugs or alcohol.</w:t>
      </w:r>
      <w:r w:rsidR="00852C65">
        <w:rPr>
          <w:rFonts w:ascii="Times New Roman" w:hAnsi="Times New Roman" w:cs="Times New Roman"/>
          <w:sz w:val="24"/>
          <w:szCs w:val="24"/>
        </w:rPr>
        <w:t xml:space="preserve"> </w:t>
      </w:r>
      <w:r w:rsidRPr="00852C65">
        <w:rPr>
          <w:rFonts w:ascii="Times New Roman" w:hAnsi="Times New Roman" w:cs="Times New Roman"/>
          <w:sz w:val="24"/>
          <w:szCs w:val="24"/>
        </w:rPr>
        <w:t>To determine whether an action constituted battery or whether the contact was permitted by both parties, it is crucial to ascertain whether or not consent was obtained before to the action in question.</w:t>
      </w:r>
      <w:r w:rsidR="00852C65">
        <w:rPr>
          <w:rFonts w:ascii="Times New Roman" w:hAnsi="Times New Roman" w:cs="Times New Roman"/>
          <w:sz w:val="24"/>
          <w:szCs w:val="24"/>
        </w:rPr>
        <w:t xml:space="preserve"> The defendant</w:t>
      </w:r>
      <w:r w:rsidR="00852C65" w:rsidRPr="00852C65">
        <w:rPr>
          <w:rFonts w:ascii="Times New Roman" w:hAnsi="Times New Roman" w:cs="Times New Roman"/>
          <w:sz w:val="24"/>
          <w:szCs w:val="24"/>
        </w:rPr>
        <w:t xml:space="preserve"> is not liable for any wrongdoing that occurred while they were either actively engaged in the activity at question (such as when playing a sport with the defendant) or giving their express or implicit approval to the activity</w:t>
      </w:r>
      <w:r w:rsidR="00F1024F">
        <w:rPr>
          <w:rFonts w:ascii="Times New Roman" w:hAnsi="Times New Roman" w:cs="Times New Roman"/>
          <w:sz w:val="24"/>
          <w:szCs w:val="24"/>
        </w:rPr>
        <w:t xml:space="preserve"> </w:t>
      </w:r>
      <w:r w:rsidR="00F1024F" w:rsidRPr="00F1024F">
        <w:rPr>
          <w:rFonts w:ascii="Times New Roman" w:hAnsi="Times New Roman" w:cs="Times New Roman"/>
          <w:sz w:val="24"/>
          <w:szCs w:val="24"/>
        </w:rPr>
        <w:t>(Child et al., 2022)</w:t>
      </w:r>
      <w:r w:rsidR="00852C65" w:rsidRPr="00852C65">
        <w:rPr>
          <w:rFonts w:ascii="Times New Roman" w:hAnsi="Times New Roman" w:cs="Times New Roman"/>
          <w:sz w:val="24"/>
          <w:szCs w:val="24"/>
        </w:rPr>
        <w:t>. The defendant is not responsible for any wrongdoing that occurred while the plaintiff was actively engaged in the activity at issue (such as while playing a sport with the defendant). In this particular scenario, consent can only be demonstrated if three requirements are satisfied. To begin, the consent of a person cannot be considered lawful under any circumstances in which they are at risk of suffering significant physical injury. Second, it needs to be made abundantly obvious that the damage was a natural and foreseeable result of the action, and that it was a fair exchange for the benefits that were obtained. The individual must get some advantage from the activity in order for their assent to be legitimate. This is the third requirement for justifiable consent</w:t>
      </w:r>
      <w:r w:rsidR="00F1024F">
        <w:rPr>
          <w:rFonts w:ascii="Times New Roman" w:hAnsi="Times New Roman" w:cs="Times New Roman"/>
          <w:sz w:val="24"/>
          <w:szCs w:val="24"/>
        </w:rPr>
        <w:t xml:space="preserve"> </w:t>
      </w:r>
      <w:r w:rsidR="00F1024F" w:rsidRPr="00F1024F">
        <w:rPr>
          <w:rFonts w:ascii="Times New Roman" w:hAnsi="Times New Roman" w:cs="Times New Roman"/>
          <w:sz w:val="24"/>
          <w:szCs w:val="24"/>
        </w:rPr>
        <w:t>(Cross, 2020)</w:t>
      </w:r>
      <w:r w:rsidR="00852C65" w:rsidRPr="00852C65">
        <w:rPr>
          <w:rFonts w:ascii="Times New Roman" w:hAnsi="Times New Roman" w:cs="Times New Roman"/>
          <w:sz w:val="24"/>
          <w:szCs w:val="24"/>
        </w:rPr>
        <w:t>.</w:t>
      </w:r>
    </w:p>
    <w:p w14:paraId="3C9B7F83" w14:textId="77777777" w:rsidR="00F1024F" w:rsidRDefault="00852C65" w:rsidP="00852C65">
      <w:pPr>
        <w:spacing w:line="360" w:lineRule="auto"/>
        <w:jc w:val="both"/>
        <w:rPr>
          <w:rFonts w:ascii="Times New Roman" w:hAnsi="Times New Roman" w:cs="Times New Roman"/>
          <w:sz w:val="24"/>
          <w:szCs w:val="24"/>
        </w:rPr>
      </w:pPr>
      <w:r w:rsidRPr="00852C65">
        <w:rPr>
          <w:rFonts w:ascii="Times New Roman" w:hAnsi="Times New Roman" w:cs="Times New Roman"/>
          <w:sz w:val="24"/>
          <w:szCs w:val="24"/>
        </w:rPr>
        <w:t>Because of the singular nature of these requirements, they are only applicable in extraordinary circumstances, the majority of the time being during athletic competition. Participation in a sport like boxing or rugby, for instance, could be construed as tacit consent to the use of physical force. The burden of proof rests squarely on the shoulders of the criminal defendant, who must demonstrate not only that permission was granted but also that the person who granted it had the legal power to do so. It is not sufficient to simply declare that an individual consented to particular actions or conduct in order to use consent as a defense in a criminal court. It is necessary to demonstrate that the subject actually did consen</w:t>
      </w:r>
      <w:r w:rsidR="00F1024F">
        <w:rPr>
          <w:rFonts w:ascii="Times New Roman" w:hAnsi="Times New Roman" w:cs="Times New Roman"/>
          <w:sz w:val="24"/>
          <w:szCs w:val="24"/>
        </w:rPr>
        <w:t xml:space="preserve">t to the activities or conduct </w:t>
      </w:r>
      <w:r w:rsidR="00F1024F" w:rsidRPr="00F1024F">
        <w:rPr>
          <w:rFonts w:ascii="Times New Roman" w:hAnsi="Times New Roman" w:cs="Times New Roman"/>
          <w:sz w:val="24"/>
          <w:szCs w:val="24"/>
        </w:rPr>
        <w:t>(Ashworth and Kelly, 2021)</w:t>
      </w:r>
      <w:r w:rsidRPr="00852C65">
        <w:rPr>
          <w:rFonts w:ascii="Times New Roman" w:hAnsi="Times New Roman" w:cs="Times New Roman"/>
          <w:sz w:val="24"/>
          <w:szCs w:val="24"/>
        </w:rPr>
        <w:t xml:space="preserve">. </w:t>
      </w:r>
    </w:p>
    <w:p w14:paraId="3C9B7F84" w14:textId="77777777" w:rsidR="00852C65" w:rsidRPr="00852C65" w:rsidRDefault="00F1024F" w:rsidP="00852C6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In the United Kingdom</w:t>
      </w:r>
      <w:r w:rsidR="00852C65" w:rsidRPr="00852C65">
        <w:rPr>
          <w:rFonts w:ascii="Times New Roman" w:hAnsi="Times New Roman" w:cs="Times New Roman"/>
          <w:sz w:val="24"/>
          <w:szCs w:val="24"/>
        </w:rPr>
        <w:t>, consent is not considered to be legally enforceable if any of the following requirements are met:</w:t>
      </w:r>
    </w:p>
    <w:p w14:paraId="3C9B7F85" w14:textId="77777777" w:rsidR="00852C65" w:rsidRDefault="00852C65" w:rsidP="00852C65">
      <w:pPr>
        <w:spacing w:line="360" w:lineRule="auto"/>
        <w:jc w:val="both"/>
        <w:rPr>
          <w:rFonts w:ascii="Times New Roman" w:hAnsi="Times New Roman" w:cs="Times New Roman"/>
          <w:sz w:val="24"/>
          <w:szCs w:val="24"/>
        </w:rPr>
      </w:pPr>
      <w:r w:rsidRPr="00852C65">
        <w:rPr>
          <w:rFonts w:ascii="Times New Roman" w:hAnsi="Times New Roman" w:cs="Times New Roman"/>
          <w:sz w:val="24"/>
          <w:szCs w:val="24"/>
        </w:rPr>
        <w:t>The consent is genuinely given by an individual who does not possess the authority to do so. Given that a person does not have the legal authority to seize the property of his neighbor, it is impossible for that person to grant authorization to do so.</w:t>
      </w:r>
      <w:r w:rsidR="00F1024F">
        <w:rPr>
          <w:rFonts w:ascii="Times New Roman" w:hAnsi="Times New Roman" w:cs="Times New Roman"/>
          <w:sz w:val="24"/>
          <w:szCs w:val="24"/>
        </w:rPr>
        <w:t xml:space="preserve"> </w:t>
      </w:r>
      <w:r w:rsidRPr="00852C65">
        <w:rPr>
          <w:rFonts w:ascii="Times New Roman" w:hAnsi="Times New Roman" w:cs="Times New Roman"/>
          <w:sz w:val="24"/>
          <w:szCs w:val="24"/>
        </w:rPr>
        <w:t>The person who is granting permission is thought to be incapable of making an informed judgment regarding the behavior that is in question due to factors such as their age, mental state, or level of intoxication.</w:t>
      </w:r>
      <w:r>
        <w:rPr>
          <w:rFonts w:ascii="Times New Roman" w:hAnsi="Times New Roman" w:cs="Times New Roman"/>
          <w:sz w:val="24"/>
          <w:szCs w:val="24"/>
        </w:rPr>
        <w:t xml:space="preserve"> </w:t>
      </w:r>
      <w:r w:rsidRPr="00852C65">
        <w:rPr>
          <w:rFonts w:ascii="Times New Roman" w:hAnsi="Times New Roman" w:cs="Times New Roman"/>
          <w:sz w:val="24"/>
          <w:szCs w:val="24"/>
        </w:rPr>
        <w:t>The law does not take into account the victim's permission in situations when statutory rape has occurred, for example.</w:t>
      </w:r>
      <w:r>
        <w:rPr>
          <w:rFonts w:ascii="Times New Roman" w:hAnsi="Times New Roman" w:cs="Times New Roman"/>
          <w:sz w:val="24"/>
          <w:szCs w:val="24"/>
        </w:rPr>
        <w:t xml:space="preserve"> It has to be maintained that </w:t>
      </w:r>
      <w:r w:rsidRPr="00852C65">
        <w:rPr>
          <w:rFonts w:ascii="Times New Roman" w:hAnsi="Times New Roman" w:cs="Times New Roman"/>
          <w:sz w:val="24"/>
          <w:szCs w:val="24"/>
        </w:rPr>
        <w:t>approval was not freely given but rather was obtained by coercion.</w:t>
      </w:r>
      <w:r>
        <w:rPr>
          <w:rFonts w:ascii="Times New Roman" w:hAnsi="Times New Roman" w:cs="Times New Roman"/>
          <w:sz w:val="24"/>
          <w:szCs w:val="24"/>
        </w:rPr>
        <w:t xml:space="preserve"> </w:t>
      </w:r>
      <w:r w:rsidRPr="00852C65">
        <w:rPr>
          <w:rFonts w:ascii="Times New Roman" w:hAnsi="Times New Roman" w:cs="Times New Roman"/>
          <w:sz w:val="24"/>
          <w:szCs w:val="24"/>
        </w:rPr>
        <w:t>It is possible to argue that consent should be accepted as a defense in each of these circumstances; but, the courts are likely to decide that the defendant's consent was legally flawed and, as a result, ineffectual</w:t>
      </w:r>
      <w:r w:rsidR="00F1024F">
        <w:rPr>
          <w:rFonts w:ascii="Times New Roman" w:hAnsi="Times New Roman" w:cs="Times New Roman"/>
          <w:sz w:val="24"/>
          <w:szCs w:val="24"/>
        </w:rPr>
        <w:t xml:space="preserve"> </w:t>
      </w:r>
      <w:r w:rsidR="00F1024F" w:rsidRPr="00F1024F">
        <w:rPr>
          <w:rFonts w:ascii="Times New Roman" w:hAnsi="Times New Roman" w:cs="Times New Roman"/>
          <w:sz w:val="24"/>
          <w:szCs w:val="24"/>
        </w:rPr>
        <w:t>(Finch and Fafinski, 2019)</w:t>
      </w:r>
      <w:r w:rsidRPr="00852C65">
        <w:rPr>
          <w:rFonts w:ascii="Times New Roman" w:hAnsi="Times New Roman" w:cs="Times New Roman"/>
          <w:sz w:val="24"/>
          <w:szCs w:val="24"/>
        </w:rPr>
        <w:t>.</w:t>
      </w:r>
    </w:p>
    <w:p w14:paraId="3C9B7F86" w14:textId="77777777" w:rsidR="00852C65" w:rsidRPr="00852C65" w:rsidRDefault="00051695" w:rsidP="00852C65">
      <w:pPr>
        <w:spacing w:line="360" w:lineRule="auto"/>
        <w:jc w:val="both"/>
        <w:rPr>
          <w:rFonts w:ascii="Times New Roman" w:hAnsi="Times New Roman" w:cs="Times New Roman"/>
          <w:sz w:val="24"/>
          <w:szCs w:val="24"/>
        </w:rPr>
      </w:pPr>
      <w:bookmarkStart w:id="2" w:name="_Toc149258052"/>
      <w:r w:rsidRPr="00D76423">
        <w:rPr>
          <w:rStyle w:val="Heading1Char"/>
        </w:rPr>
        <w:t>Conclusion</w:t>
      </w:r>
      <w:bookmarkEnd w:id="2"/>
      <w:r>
        <w:rPr>
          <w:rFonts w:ascii="Times New Roman" w:hAnsi="Times New Roman" w:cs="Times New Roman"/>
          <w:sz w:val="24"/>
          <w:szCs w:val="24"/>
        </w:rPr>
        <w:t xml:space="preserve">: </w:t>
      </w:r>
      <w:r w:rsidR="00D76423" w:rsidRPr="00D76423">
        <w:rPr>
          <w:rFonts w:ascii="Times New Roman" w:hAnsi="Times New Roman" w:cs="Times New Roman"/>
          <w:sz w:val="24"/>
          <w:szCs w:val="24"/>
        </w:rPr>
        <w:t>To put it another way, a battery cannot be crea</w:t>
      </w:r>
      <w:r w:rsidR="00D76423">
        <w:rPr>
          <w:rFonts w:ascii="Times New Roman" w:hAnsi="Times New Roman" w:cs="Times New Roman"/>
          <w:sz w:val="24"/>
          <w:szCs w:val="24"/>
        </w:rPr>
        <w:t>ted unless the individual</w:t>
      </w:r>
      <w:r w:rsidR="00D76423" w:rsidRPr="00D76423">
        <w:rPr>
          <w:rFonts w:ascii="Times New Roman" w:hAnsi="Times New Roman" w:cs="Times New Roman"/>
          <w:sz w:val="24"/>
          <w:szCs w:val="24"/>
        </w:rPr>
        <w:t xml:space="preserve"> come into direct and direct physical touch with one another. In order to be held criminally responsible for battery, an individual must first have the intent to continue doing something that wou</w:t>
      </w:r>
      <w:r w:rsidR="00D76423">
        <w:rPr>
          <w:rFonts w:ascii="Times New Roman" w:hAnsi="Times New Roman" w:cs="Times New Roman"/>
          <w:sz w:val="24"/>
          <w:szCs w:val="24"/>
        </w:rPr>
        <w:t>ld cause harm to another person without their consent.</w:t>
      </w:r>
      <w:r w:rsidR="00D76423" w:rsidRPr="00D76423">
        <w:rPr>
          <w:rFonts w:ascii="Times New Roman" w:hAnsi="Times New Roman" w:cs="Times New Roman"/>
          <w:sz w:val="24"/>
          <w:szCs w:val="24"/>
        </w:rPr>
        <w:t xml:space="preserve"> </w:t>
      </w:r>
    </w:p>
    <w:p w14:paraId="3C9B7F87" w14:textId="77777777" w:rsidR="00852C65" w:rsidRPr="00852C65" w:rsidRDefault="00852C65" w:rsidP="00852C65">
      <w:pPr>
        <w:spacing w:line="360" w:lineRule="auto"/>
        <w:jc w:val="both"/>
        <w:rPr>
          <w:rFonts w:ascii="Times New Roman" w:hAnsi="Times New Roman" w:cs="Times New Roman"/>
          <w:sz w:val="24"/>
          <w:szCs w:val="24"/>
        </w:rPr>
      </w:pPr>
    </w:p>
    <w:p w14:paraId="3C9B7F88" w14:textId="77777777" w:rsidR="00852C65" w:rsidRPr="00852C65" w:rsidRDefault="00852C65" w:rsidP="00852C65">
      <w:pPr>
        <w:spacing w:line="360" w:lineRule="auto"/>
        <w:jc w:val="both"/>
        <w:rPr>
          <w:rFonts w:ascii="Times New Roman" w:hAnsi="Times New Roman" w:cs="Times New Roman"/>
          <w:sz w:val="24"/>
          <w:szCs w:val="24"/>
        </w:rPr>
      </w:pPr>
    </w:p>
    <w:p w14:paraId="3C9B7F89" w14:textId="77777777" w:rsidR="00662CEE" w:rsidRDefault="00662CEE">
      <w:pPr>
        <w:rPr>
          <w:rFonts w:ascii="Times New Roman" w:hAnsi="Times New Roman" w:cs="Times New Roman"/>
          <w:sz w:val="24"/>
          <w:szCs w:val="24"/>
        </w:rPr>
      </w:pPr>
      <w:r>
        <w:rPr>
          <w:rFonts w:ascii="Times New Roman" w:hAnsi="Times New Roman" w:cs="Times New Roman"/>
          <w:sz w:val="24"/>
          <w:szCs w:val="24"/>
        </w:rPr>
        <w:br w:type="page"/>
      </w:r>
    </w:p>
    <w:p w14:paraId="3C9B7F8A" w14:textId="77777777" w:rsidR="00AD145F" w:rsidRDefault="00662CEE" w:rsidP="0075322E">
      <w:pPr>
        <w:pStyle w:val="Heading1"/>
      </w:pPr>
      <w:bookmarkStart w:id="3" w:name="_Toc149258053"/>
      <w:r>
        <w:lastRenderedPageBreak/>
        <w:t>Bibliography</w:t>
      </w:r>
      <w:bookmarkEnd w:id="3"/>
    </w:p>
    <w:p w14:paraId="3C9B7F8B" w14:textId="77777777" w:rsidR="0075322E" w:rsidRDefault="0075322E" w:rsidP="0075322E">
      <w:pPr>
        <w:pStyle w:val="NormalWeb"/>
        <w:spacing w:before="0" w:beforeAutospacing="0" w:after="240" w:afterAutospacing="0" w:line="360" w:lineRule="auto"/>
      </w:pPr>
      <w:r>
        <w:t xml:space="preserve">Ashworth, A. and Kelly, R. (2021). </w:t>
      </w:r>
      <w:r>
        <w:rPr>
          <w:i/>
          <w:iCs/>
        </w:rPr>
        <w:t>Sentencing and Criminal Justice</w:t>
      </w:r>
      <w:r>
        <w:t>. Bloomsbury Publishing.</w:t>
      </w:r>
    </w:p>
    <w:p w14:paraId="3C9B7F8C" w14:textId="77777777" w:rsidR="0075322E" w:rsidRDefault="0075322E" w:rsidP="0075322E">
      <w:pPr>
        <w:pStyle w:val="NormalWeb"/>
        <w:spacing w:before="0" w:beforeAutospacing="0" w:after="240" w:afterAutospacing="0" w:line="360" w:lineRule="auto"/>
      </w:pPr>
      <w:r>
        <w:t xml:space="preserve">Burton, M., Cammiss, S., Sanders, A. and Young, R. (2015). </w:t>
      </w:r>
      <w:r>
        <w:rPr>
          <w:i/>
          <w:iCs/>
        </w:rPr>
        <w:t>Sanders &amp; Young’s Criminal Justice.</w:t>
      </w:r>
      <w:r>
        <w:t xml:space="preserve"> Oxford Univ Pr.</w:t>
      </w:r>
    </w:p>
    <w:p w14:paraId="3C9B7F8D" w14:textId="77777777" w:rsidR="0075322E" w:rsidRDefault="0075322E" w:rsidP="0075322E">
      <w:pPr>
        <w:pStyle w:val="NormalWeb"/>
        <w:spacing w:before="0" w:beforeAutospacing="0" w:after="240" w:afterAutospacing="0" w:line="360" w:lineRule="auto"/>
      </w:pPr>
      <w:r>
        <w:t xml:space="preserve">Child, J.J., Simester, A.P., Spencer, J.R., Stark, F. and Virgo, G.J. (2022). </w:t>
      </w:r>
      <w:r>
        <w:rPr>
          <w:i/>
          <w:iCs/>
        </w:rPr>
        <w:t>Simester and Sullivan’s Criminal Law</w:t>
      </w:r>
      <w:r>
        <w:t>. Bloomsbury Publishing.</w:t>
      </w:r>
    </w:p>
    <w:p w14:paraId="3C9B7F8E" w14:textId="77777777" w:rsidR="0075322E" w:rsidRDefault="0075322E" w:rsidP="0075322E">
      <w:pPr>
        <w:pStyle w:val="NormalWeb"/>
        <w:spacing w:before="0" w:beforeAutospacing="0" w:after="240" w:afterAutospacing="0" w:line="360" w:lineRule="auto"/>
      </w:pPr>
      <w:r>
        <w:t xml:space="preserve">Cross, N. (2020). </w:t>
      </w:r>
      <w:r>
        <w:rPr>
          <w:i/>
          <w:iCs/>
        </w:rPr>
        <w:t>Criminal Law for Criminologists</w:t>
      </w:r>
      <w:r>
        <w:t>. Routledge.</w:t>
      </w:r>
    </w:p>
    <w:p w14:paraId="3C9B7F8F" w14:textId="77777777" w:rsidR="0075322E" w:rsidRDefault="0075322E" w:rsidP="0075322E">
      <w:pPr>
        <w:pStyle w:val="NormalWeb"/>
        <w:spacing w:before="0" w:beforeAutospacing="0" w:after="240" w:afterAutospacing="0" w:line="360" w:lineRule="auto"/>
      </w:pPr>
      <w:r>
        <w:t xml:space="preserve">Elliott, C. and Quinn, F. (2016). </w:t>
      </w:r>
      <w:r>
        <w:rPr>
          <w:i/>
          <w:iCs/>
        </w:rPr>
        <w:t>Criminal law</w:t>
      </w:r>
      <w:r>
        <w:t>. Harlow: Pearson.</w:t>
      </w:r>
    </w:p>
    <w:p w14:paraId="3C9B7F90" w14:textId="77777777" w:rsidR="0075322E" w:rsidRDefault="0075322E" w:rsidP="0075322E">
      <w:pPr>
        <w:pStyle w:val="NormalWeb"/>
        <w:spacing w:before="0" w:beforeAutospacing="0" w:after="240" w:afterAutospacing="0" w:line="360" w:lineRule="auto"/>
      </w:pPr>
      <w:r>
        <w:t xml:space="preserve">Finch, E. and Fafinski, S. (2019). </w:t>
      </w:r>
      <w:r>
        <w:rPr>
          <w:i/>
          <w:iCs/>
        </w:rPr>
        <w:t>Criminal law</w:t>
      </w:r>
      <w:r>
        <w:t>. 7th ed. Upper Saddle River: Pearson.</w:t>
      </w:r>
    </w:p>
    <w:p w14:paraId="3C9B7F91" w14:textId="77777777" w:rsidR="0075322E" w:rsidRDefault="0075322E" w:rsidP="0075322E">
      <w:pPr>
        <w:pStyle w:val="NormalWeb"/>
        <w:spacing w:before="0" w:beforeAutospacing="0" w:after="240" w:afterAutospacing="0" w:line="360" w:lineRule="auto"/>
      </w:pPr>
      <w:r>
        <w:t xml:space="preserve">Herring, J. (2021). </w:t>
      </w:r>
      <w:r>
        <w:rPr>
          <w:i/>
          <w:iCs/>
        </w:rPr>
        <w:t>Criminal law.</w:t>
      </w:r>
      <w:r>
        <w:t xml:space="preserve"> 12th ed. London: Macmillan Education.</w:t>
      </w:r>
    </w:p>
    <w:p w14:paraId="3C9B7F92" w14:textId="77777777" w:rsidR="0075322E" w:rsidRDefault="0075322E" w:rsidP="0075322E">
      <w:pPr>
        <w:pStyle w:val="NormalWeb"/>
        <w:spacing w:before="0" w:beforeAutospacing="0" w:after="240" w:afterAutospacing="0" w:line="360" w:lineRule="auto"/>
      </w:pPr>
      <w:r>
        <w:t xml:space="preserve">Herring, J. (2022). </w:t>
      </w:r>
      <w:r>
        <w:rPr>
          <w:i/>
          <w:iCs/>
        </w:rPr>
        <w:t>Medical Law And Ethics.</w:t>
      </w:r>
      <w:r>
        <w:t xml:space="preserve"> S.L.: Oxford Univ Press.</w:t>
      </w:r>
    </w:p>
    <w:p w14:paraId="3C9B7F93" w14:textId="77777777" w:rsidR="0075322E" w:rsidRDefault="0075322E" w:rsidP="0075322E">
      <w:pPr>
        <w:pStyle w:val="NormalWeb"/>
        <w:spacing w:before="0" w:beforeAutospacing="0" w:after="240" w:afterAutospacing="0" w:line="360" w:lineRule="auto"/>
      </w:pPr>
      <w:r>
        <w:t xml:space="preserve">Mclean, S. (2017). </w:t>
      </w:r>
      <w:r>
        <w:rPr>
          <w:i/>
          <w:iCs/>
        </w:rPr>
        <w:t>Medical law and ethics.</w:t>
      </w:r>
      <w:r>
        <w:t xml:space="preserve"> Taylor &amp; Francis.</w:t>
      </w:r>
    </w:p>
    <w:p w14:paraId="3C9B7F94" w14:textId="77777777" w:rsidR="0075322E" w:rsidRDefault="0075322E" w:rsidP="0075322E">
      <w:pPr>
        <w:pStyle w:val="NormalWeb"/>
        <w:spacing w:before="0" w:beforeAutospacing="0" w:after="240" w:afterAutospacing="0" w:line="360" w:lineRule="auto"/>
      </w:pPr>
      <w:r>
        <w:t xml:space="preserve">Padfield, N. (2016). </w:t>
      </w:r>
      <w:r>
        <w:rPr>
          <w:i/>
          <w:iCs/>
        </w:rPr>
        <w:t>Criminal Law</w:t>
      </w:r>
      <w:r>
        <w:t>. 10th ed. Oxford, United Kingdom ; New York, Ny: Oxford University Press.</w:t>
      </w:r>
    </w:p>
    <w:p w14:paraId="3C9B7F95" w14:textId="77777777" w:rsidR="00662CEE" w:rsidRPr="00852C65" w:rsidRDefault="00662CEE" w:rsidP="00852C65">
      <w:pPr>
        <w:spacing w:line="360" w:lineRule="auto"/>
        <w:jc w:val="both"/>
        <w:rPr>
          <w:rFonts w:ascii="Times New Roman" w:hAnsi="Times New Roman" w:cs="Times New Roman"/>
          <w:sz w:val="24"/>
          <w:szCs w:val="24"/>
        </w:rPr>
      </w:pPr>
    </w:p>
    <w:sectPr w:rsidR="00662CEE" w:rsidRPr="00852C65" w:rsidSect="00222AC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BFB1B" w14:textId="77777777" w:rsidR="00222AC9" w:rsidRDefault="00222AC9" w:rsidP="00D76423">
      <w:pPr>
        <w:spacing w:after="0" w:line="240" w:lineRule="auto"/>
      </w:pPr>
      <w:r>
        <w:separator/>
      </w:r>
    </w:p>
  </w:endnote>
  <w:endnote w:type="continuationSeparator" w:id="0">
    <w:p w14:paraId="69B364D9" w14:textId="77777777" w:rsidR="00222AC9" w:rsidRDefault="00222AC9" w:rsidP="00D76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48016"/>
      <w:docPartObj>
        <w:docPartGallery w:val="Page Numbers (Bottom of Page)"/>
        <w:docPartUnique/>
      </w:docPartObj>
    </w:sdtPr>
    <w:sdtContent>
      <w:p w14:paraId="3C9B7F9A" w14:textId="77777777" w:rsidR="00D76423" w:rsidRDefault="00000000">
        <w:pPr>
          <w:pStyle w:val="Footer"/>
          <w:jc w:val="center"/>
        </w:pPr>
        <w:r>
          <w:fldChar w:fldCharType="begin"/>
        </w:r>
        <w:r>
          <w:instrText xml:space="preserve"> PAGE   \* MERGEFORMAT </w:instrText>
        </w:r>
        <w:r>
          <w:fldChar w:fldCharType="separate"/>
        </w:r>
        <w:r w:rsidR="00656D7B">
          <w:rPr>
            <w:noProof/>
          </w:rPr>
          <w:t>2</w:t>
        </w:r>
        <w:r>
          <w:rPr>
            <w:noProof/>
          </w:rPr>
          <w:fldChar w:fldCharType="end"/>
        </w:r>
      </w:p>
    </w:sdtContent>
  </w:sdt>
  <w:p w14:paraId="3C9B7F9B" w14:textId="77777777" w:rsidR="00D76423" w:rsidRDefault="00D764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23B1F" w14:textId="77777777" w:rsidR="00222AC9" w:rsidRDefault="00222AC9" w:rsidP="00D76423">
      <w:pPr>
        <w:spacing w:after="0" w:line="240" w:lineRule="auto"/>
      </w:pPr>
      <w:r>
        <w:separator/>
      </w:r>
    </w:p>
  </w:footnote>
  <w:footnote w:type="continuationSeparator" w:id="0">
    <w:p w14:paraId="7B33A76C" w14:textId="77777777" w:rsidR="00222AC9" w:rsidRDefault="00222AC9" w:rsidP="00D764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4207F0"/>
    <w:multiLevelType w:val="hybridMultilevel"/>
    <w:tmpl w:val="8A7E9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590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03671"/>
    <w:rsid w:val="00051695"/>
    <w:rsid w:val="000E5AE9"/>
    <w:rsid w:val="00103671"/>
    <w:rsid w:val="00222AC9"/>
    <w:rsid w:val="00522E55"/>
    <w:rsid w:val="00656D7B"/>
    <w:rsid w:val="00662CEE"/>
    <w:rsid w:val="006E3A14"/>
    <w:rsid w:val="0075322E"/>
    <w:rsid w:val="00852C65"/>
    <w:rsid w:val="00A55306"/>
    <w:rsid w:val="00AD145F"/>
    <w:rsid w:val="00B37B1C"/>
    <w:rsid w:val="00D12055"/>
    <w:rsid w:val="00D76423"/>
    <w:rsid w:val="00DD2684"/>
    <w:rsid w:val="00DD6476"/>
    <w:rsid w:val="00F1024F"/>
    <w:rsid w:val="00FA0A18"/>
    <w:rsid w:val="00FB24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B7F6B"/>
  <w15:docId w15:val="{C78A63CE-79B5-4F26-9DA9-754E66658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145F"/>
  </w:style>
  <w:style w:type="paragraph" w:styleId="Heading1">
    <w:name w:val="heading 1"/>
    <w:basedOn w:val="Normal"/>
    <w:next w:val="Normal"/>
    <w:link w:val="Heading1Char"/>
    <w:uiPriority w:val="9"/>
    <w:qFormat/>
    <w:rsid w:val="00D7642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2C65"/>
    <w:pPr>
      <w:ind w:left="720"/>
      <w:contextualSpacing/>
    </w:pPr>
  </w:style>
  <w:style w:type="character" w:customStyle="1" w:styleId="Heading1Char">
    <w:name w:val="Heading 1 Char"/>
    <w:basedOn w:val="DefaultParagraphFont"/>
    <w:link w:val="Heading1"/>
    <w:uiPriority w:val="9"/>
    <w:rsid w:val="00D76423"/>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D764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76423"/>
  </w:style>
  <w:style w:type="paragraph" w:styleId="Footer">
    <w:name w:val="footer"/>
    <w:basedOn w:val="Normal"/>
    <w:link w:val="FooterChar"/>
    <w:uiPriority w:val="99"/>
    <w:unhideWhenUsed/>
    <w:rsid w:val="00D764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6423"/>
  </w:style>
  <w:style w:type="paragraph" w:styleId="TOCHeading">
    <w:name w:val="TOC Heading"/>
    <w:basedOn w:val="Heading1"/>
    <w:next w:val="Normal"/>
    <w:uiPriority w:val="39"/>
    <w:semiHidden/>
    <w:unhideWhenUsed/>
    <w:qFormat/>
    <w:rsid w:val="00D76423"/>
    <w:pPr>
      <w:outlineLvl w:val="9"/>
    </w:pPr>
  </w:style>
  <w:style w:type="paragraph" w:styleId="TOC1">
    <w:name w:val="toc 1"/>
    <w:basedOn w:val="Normal"/>
    <w:next w:val="Normal"/>
    <w:autoRedefine/>
    <w:uiPriority w:val="39"/>
    <w:unhideWhenUsed/>
    <w:rsid w:val="00D76423"/>
    <w:pPr>
      <w:spacing w:after="100"/>
    </w:pPr>
  </w:style>
  <w:style w:type="character" w:styleId="Hyperlink">
    <w:name w:val="Hyperlink"/>
    <w:basedOn w:val="DefaultParagraphFont"/>
    <w:uiPriority w:val="99"/>
    <w:unhideWhenUsed/>
    <w:rsid w:val="00D76423"/>
    <w:rPr>
      <w:color w:val="0000FF" w:themeColor="hyperlink"/>
      <w:u w:val="single"/>
    </w:rPr>
  </w:style>
  <w:style w:type="paragraph" w:styleId="BalloonText">
    <w:name w:val="Balloon Text"/>
    <w:basedOn w:val="Normal"/>
    <w:link w:val="BalloonTextChar"/>
    <w:uiPriority w:val="99"/>
    <w:semiHidden/>
    <w:unhideWhenUsed/>
    <w:rsid w:val="00D764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423"/>
    <w:rPr>
      <w:rFonts w:ascii="Tahoma" w:hAnsi="Tahoma" w:cs="Tahoma"/>
      <w:sz w:val="16"/>
      <w:szCs w:val="16"/>
    </w:rPr>
  </w:style>
  <w:style w:type="paragraph" w:styleId="NormalWeb">
    <w:name w:val="Normal (Web)"/>
    <w:basedOn w:val="Normal"/>
    <w:uiPriority w:val="99"/>
    <w:semiHidden/>
    <w:unhideWhenUsed/>
    <w:rsid w:val="0075322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026385">
      <w:bodyDiv w:val="1"/>
      <w:marLeft w:val="0"/>
      <w:marRight w:val="0"/>
      <w:marTop w:val="0"/>
      <w:marBottom w:val="0"/>
      <w:divBdr>
        <w:top w:val="none" w:sz="0" w:space="0" w:color="auto"/>
        <w:left w:val="none" w:sz="0" w:space="0" w:color="auto"/>
        <w:bottom w:val="none" w:sz="0" w:space="0" w:color="auto"/>
        <w:right w:val="none" w:sz="0" w:space="0" w:color="auto"/>
      </w:divBdr>
      <w:divsChild>
        <w:div w:id="16362548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CC359-E90A-432B-B8F6-4D7EF255C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7</Pages>
  <Words>1589</Words>
  <Characters>9061</Characters>
  <Application>Microsoft Office Word</Application>
  <DocSecurity>0</DocSecurity>
  <Lines>75</Lines>
  <Paragraphs>21</Paragraphs>
  <ScaleCrop>false</ScaleCrop>
  <Company/>
  <LinksUpToDate>false</LinksUpToDate>
  <CharactersWithSpaces>10629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IZ Building</cp:lastModifiedBy>
  <cp:revision>18</cp:revision>
  <dcterms:created xsi:type="dcterms:W3CDTF">2023-10-26T17:22:00Z</dcterms:created>
  <dcterms:modified xsi:type="dcterms:W3CDTF">2024-03-13T22:13:00Z</dcterms:modified>
</cp:coreProperties>
</file>