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A">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COMMUNITY ENGAGEMENT</w:t>
      </w:r>
    </w:p>
    <w:p w:rsidR="00000000" w:rsidDel="00000000" w:rsidP="00000000" w:rsidRDefault="00000000" w:rsidRPr="00000000" w14:paraId="0000000D">
      <w:pPr>
        <w:spacing w:after="20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ASSIGMENT 1</w:t>
      </w:r>
    </w:p>
    <w:p w:rsidR="00000000" w:rsidDel="00000000" w:rsidP="00000000" w:rsidRDefault="00000000" w:rsidRPr="00000000" w14:paraId="0000000E">
      <w:pPr>
        <w:spacing w:after="20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Module code: LCBB4002</w:t>
      </w:r>
    </w:p>
    <w:p w:rsidR="00000000" w:rsidDel="00000000" w:rsidP="00000000" w:rsidRDefault="00000000" w:rsidRPr="00000000" w14:paraId="0000000F">
      <w:pPr>
        <w:spacing w:after="20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Emil Slavov (2122223)</w:t>
      </w:r>
    </w:p>
    <w:p w:rsidR="00000000" w:rsidDel="00000000" w:rsidP="00000000" w:rsidRDefault="00000000" w:rsidRPr="00000000" w14:paraId="00000010">
      <w:pPr>
        <w:spacing w:after="20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28"/>
          <w:szCs w:val="28"/>
          <w:rtl w:val="0"/>
        </w:rPr>
        <w:t xml:space="preserve">Lecturer's name: Anita Nan</w:t>
      </w:r>
      <w:r w:rsidDel="00000000" w:rsidR="00000000" w:rsidRPr="00000000">
        <w:br w:type="page"/>
      </w: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1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engagement is a process of working with identified groups of people which requires intentional interactions between public decision-makers and communities. Community engagements can be evaluated with their purposes and other possibilities of engaging stakeholders with impacts. The study also discusses the different benefits and challenges of community engagement programs by exploring some positive ways of communicating with community members. Lastly, the study provides a summary to define community participation, diversity, and collaboration in the context of multiculturalism and social-cultural integration.</w:t>
      </w:r>
    </w:p>
    <w:p w:rsidR="00000000" w:rsidDel="00000000" w:rsidP="00000000" w:rsidRDefault="00000000" w:rsidRPr="00000000" w14:paraId="0000001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Discussion</w:t>
      </w:r>
    </w:p>
    <w:p w:rsidR="00000000" w:rsidDel="00000000" w:rsidP="00000000" w:rsidRDefault="00000000" w:rsidRPr="00000000" w14:paraId="0000001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engagement programs emphasize the living experience of community members by evaluating local knowledge and helping community members to take the right decisions against the challenges through top-down approaches. Community engagement purpose also enables public decision making in turn demonstrating the impact of community contribution to building stronger, deeper, and more trusted relationships between communities and public organizations. There are three types of community engagement based on concepts and workability related to planning and decision-making community engagement, community building, and engaging people in service delivery or fulfilling organizational goals. On the other hand, </w:t>
      </w:r>
      <w:r w:rsidDel="00000000" w:rsidR="00000000" w:rsidRPr="00000000">
        <w:rPr>
          <w:rFonts w:ascii="Times New Roman" w:cs="Times New Roman" w:eastAsia="Times New Roman" w:hAnsi="Times New Roman"/>
          <w:color w:val="222222"/>
          <w:sz w:val="24"/>
          <w:szCs w:val="24"/>
          <w:highlight w:val="white"/>
          <w:rtl w:val="0"/>
        </w:rPr>
        <w:t xml:space="preserve">Dahles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sz w:val="24"/>
          <w:szCs w:val="24"/>
          <w:rtl w:val="0"/>
        </w:rPr>
        <w:t xml:space="preserve">(2020), community engagement principles can help to value and promote sustainable decisions to the needs and interests of all participants and facilitate the involvement of these potential participants. The principles can be based on understanding the community where personal profiles can help businesses to understand community needs, their uses, behaviors, experience, and goals. On the other hand, </w:t>
      </w:r>
      <w:r w:rsidDel="00000000" w:rsidR="00000000" w:rsidRPr="00000000">
        <w:rPr>
          <w:rFonts w:ascii="Times New Roman" w:cs="Times New Roman" w:eastAsia="Times New Roman" w:hAnsi="Times New Roman"/>
          <w:color w:val="222222"/>
          <w:sz w:val="24"/>
          <w:szCs w:val="24"/>
          <w:highlight w:val="white"/>
          <w:rtl w:val="0"/>
        </w:rPr>
        <w:t xml:space="preserve">Galiatsatos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sz w:val="24"/>
          <w:szCs w:val="24"/>
          <w:rtl w:val="0"/>
        </w:rPr>
        <w:t xml:space="preserve">(2020), making intellectual connections with each of the members can highlight individuals with success stories, and skills and find connections for bringing genuine relationships to the mission statement of a community program. Also, community engagement can support brainstorming tactics whereas community leaders can enhance the motivation of community members by helping them to participate in the decision-making. </w:t>
      </w:r>
    </w:p>
    <w:p w:rsidR="00000000" w:rsidDel="00000000" w:rsidP="00000000" w:rsidRDefault="00000000" w:rsidRPr="00000000" w14:paraId="0000001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engagement standards can be based on fairness, inclusion, and equality to underpin both community engagement policies as well as the involvement of community members. The 3C of community engagement can be the standard to measure capability, commitment, and contribution to the community requiring integrity in every action involved, improvement in the process, improving the health of the community and the corporate body as well as making long-term relationships (</w:t>
      </w:r>
      <w:r w:rsidDel="00000000" w:rsidR="00000000" w:rsidRPr="00000000">
        <w:rPr>
          <w:rFonts w:ascii="Times New Roman" w:cs="Times New Roman" w:eastAsia="Times New Roman" w:hAnsi="Times New Roman"/>
          <w:color w:val="222222"/>
          <w:sz w:val="24"/>
          <w:szCs w:val="24"/>
          <w:highlight w:val="white"/>
          <w:rtl w:val="0"/>
        </w:rPr>
        <w:t xml:space="preserve">Evans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2018</w:t>
      </w:r>
      <w:r w:rsidDel="00000000" w:rsidR="00000000" w:rsidRPr="00000000">
        <w:rPr>
          <w:rFonts w:ascii="Times New Roman" w:cs="Times New Roman" w:eastAsia="Times New Roman" w:hAnsi="Times New Roman"/>
          <w:sz w:val="24"/>
          <w:szCs w:val="24"/>
          <w:rtl w:val="0"/>
        </w:rPr>
        <w:t xml:space="preserve">). Despite that, community engagement benefits enable public decision-making organizations and governments to turn and demonstrate feedback through more trusting relationships as well as make members more satisfied with better job access, greater outcomes the health, and better decision-making improving relationships with communities affecting the well-being of people. As per the views of </w:t>
      </w:r>
      <w:r w:rsidDel="00000000" w:rsidR="00000000" w:rsidRPr="00000000">
        <w:rPr>
          <w:rFonts w:ascii="Times New Roman" w:cs="Times New Roman" w:eastAsia="Times New Roman" w:hAnsi="Times New Roman"/>
          <w:color w:val="222222"/>
          <w:sz w:val="24"/>
          <w:szCs w:val="24"/>
          <w:highlight w:val="white"/>
          <w:rtl w:val="0"/>
        </w:rPr>
        <w:t xml:space="preserve">Odugleh-Kolev, and Parrish-Sprowl </w:t>
      </w:r>
      <w:r w:rsidDel="00000000" w:rsidR="00000000" w:rsidRPr="00000000">
        <w:rPr>
          <w:rFonts w:ascii="Times New Roman" w:cs="Times New Roman" w:eastAsia="Times New Roman" w:hAnsi="Times New Roman"/>
          <w:sz w:val="24"/>
          <w:szCs w:val="24"/>
          <w:rtl w:val="0"/>
        </w:rPr>
        <w:t xml:space="preserve">(2018), strong community engagement perspectives also can bring out behavioral and environmental changes where most organizations respond to nationally and globally recognized community needs by building mutual understanding. However, </w:t>
      </w:r>
      <w:r w:rsidDel="00000000" w:rsidR="00000000" w:rsidRPr="00000000">
        <w:rPr>
          <w:rFonts w:ascii="Times New Roman" w:cs="Times New Roman" w:eastAsia="Times New Roman" w:hAnsi="Times New Roman"/>
          <w:color w:val="222222"/>
          <w:sz w:val="24"/>
          <w:szCs w:val="24"/>
          <w:highlight w:val="white"/>
          <w:rtl w:val="0"/>
        </w:rPr>
        <w:t xml:space="preserve">Johnston and Lane </w:t>
      </w:r>
      <w:r w:rsidDel="00000000" w:rsidR="00000000" w:rsidRPr="00000000">
        <w:rPr>
          <w:rFonts w:ascii="Times New Roman" w:cs="Times New Roman" w:eastAsia="Times New Roman" w:hAnsi="Times New Roman"/>
          <w:sz w:val="24"/>
          <w:szCs w:val="24"/>
          <w:rtl w:val="0"/>
        </w:rPr>
        <w:t xml:space="preserve">(2018), some of the challenges are present with inadequate resourcing, maintaining accessibility and flexibility, and managing representativeness and equity in completing a strategy in committing agents. The biggest challenge is the lack of expertise and time to effectively plan community development agendas, priorities, perspectives, values, language, and beliefs. Other challenges can be based on a lack of interest of community members and understanding of Local governance, evaluating negative perceptions and lack of trust in public institutions as well as lack of perceived skills and confidence in spreading awareness through community members (</w:t>
      </w:r>
      <w:r w:rsidDel="00000000" w:rsidR="00000000" w:rsidRPr="00000000">
        <w:rPr>
          <w:rFonts w:ascii="Times New Roman" w:cs="Times New Roman" w:eastAsia="Times New Roman" w:hAnsi="Times New Roman"/>
          <w:color w:val="222222"/>
          <w:sz w:val="24"/>
          <w:szCs w:val="24"/>
          <w:highlight w:val="white"/>
          <w:rtl w:val="0"/>
        </w:rPr>
        <w:t xml:space="preserve">Sufri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sz w:val="24"/>
          <w:szCs w:val="24"/>
          <w:rtl w:val="0"/>
        </w:rPr>
        <w:t xml:space="preserve">). The participants can correlate with different challenges and emphasize building a better world for practicing or influencing a variety of outcomes, relationship building, consultations, negotiation, communication, and compromise. The most welcomed stakeholders in community engagement include employees, stakeholders, suppliers, customers, government representatives and regulators, local communities and media, and also non-government organizations mainly supporting the community project, gathering information for the recognition, resolving project issues, and reducing conflicts to enhance the reputation of the community stakeholder engagement (</w:t>
      </w:r>
      <w:r w:rsidDel="00000000" w:rsidR="00000000" w:rsidRPr="00000000">
        <w:rPr>
          <w:rFonts w:ascii="Times New Roman" w:cs="Times New Roman" w:eastAsia="Times New Roman" w:hAnsi="Times New Roman"/>
          <w:color w:val="222222"/>
          <w:sz w:val="24"/>
          <w:szCs w:val="24"/>
          <w:highlight w:val="white"/>
          <w:rtl w:val="0"/>
        </w:rPr>
        <w:t xml:space="preserve">Litchman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2018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stakeholders are involved in not just increasing earnings through each stage of the community engagement projects but also building relationships by sharing a journey, building capacity and ownership as well as developing long-term trust. As opined by </w:t>
      </w:r>
      <w:r w:rsidDel="00000000" w:rsidR="00000000" w:rsidRPr="00000000">
        <w:rPr>
          <w:rFonts w:ascii="Times New Roman" w:cs="Times New Roman" w:eastAsia="Times New Roman" w:hAnsi="Times New Roman"/>
          <w:color w:val="222222"/>
          <w:sz w:val="24"/>
          <w:szCs w:val="24"/>
          <w:highlight w:val="white"/>
          <w:rtl w:val="0"/>
        </w:rPr>
        <w:t xml:space="preserve">Lowe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sz w:val="24"/>
          <w:szCs w:val="24"/>
          <w:rtl w:val="0"/>
        </w:rPr>
        <w:t xml:space="preserve">(2019), the benefits of stakeholder engagement can be based on the number of stakeholders involved in the process of a community engagement program. There are the inherently political processes of people and also economic, social, and environmental based people claiming basic rights to manage different resources, playing passive roles of community mobilization, advocacy, and implementation as well as draw improvements in outcomes such as residents, government workers, community groups developers, business owners, commission members, neighborhood leaders and other groups from the community source their development, and finance. The important stakeholders can control project scheduling and budgetary issues as well as provide legal decision-making rights to the businesses that include scheduling parameters and create an opportunity for arriving at trustful relationships for the successful designing and implementation of social policy programs. On the other hand, </w:t>
      </w:r>
      <w:r w:rsidDel="00000000" w:rsidR="00000000" w:rsidRPr="00000000">
        <w:rPr>
          <w:rFonts w:ascii="Times New Roman" w:cs="Times New Roman" w:eastAsia="Times New Roman" w:hAnsi="Times New Roman"/>
          <w:color w:val="222222"/>
          <w:sz w:val="24"/>
          <w:szCs w:val="24"/>
          <w:highlight w:val="white"/>
          <w:rtl w:val="0"/>
        </w:rPr>
        <w:t xml:space="preserve">Lin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sz w:val="24"/>
          <w:szCs w:val="24"/>
          <w:rtl w:val="0"/>
        </w:rPr>
        <w:t xml:space="preserve">(2020), the benefits of stakeholder participation can develop better risk prevention and accountability with a broader range of stakeholders where sustainable community development projects can be placed, implemented, and monitored through approaches. It can also be added that community projects can allow top-down participation of other stakeholders rather than only identifying the needs of individuals in the community and ownership of the projects. However, Henderson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(2020), the traditional top-down development approaches may have a lack of involvement and participation of stakeholders which include conflicts in priorities. The shift in approach to community development processes to articulate community as an important concept and holistic nature of concern to start with public action and set agendas for bringing the change on equality, social justice, and inclusion. Moreover, it can be said that the community engagement approaches develop different perspectives related to community meetings, online engagements, focus groups, and surveys for developing community members’ relationships with a group of stakeholders of being connected for consultation and reaching the intended outcome of community engagement initiatives.</w:t>
      </w:r>
    </w:p>
    <w:p w:rsidR="00000000" w:rsidDel="00000000" w:rsidP="00000000" w:rsidRDefault="00000000" w:rsidRPr="00000000" w14:paraId="0000001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engagement and development encourage stakeholders to participate in the effort both indirectly and directly. There can be different tactics for consulting the participation of different stakeholders in community initiatives and projects. When working with stakeholder groups, community projects must support leaders and facilities within the group to understand what are the intentions and which stakeholders can be connected to for influencing effective relationships. As per the views of Wilson (2019), the role of social media can engage stakeholders by maintaining irrelevant presence and social networks by the project members as well as search for stakeholder conversations and target them according to their interests. Social media can be used for improving community engagement perspectives by sharing success stories from past stakeholders, heading for their emotions, sharing their feedback with potential audiences, and holding contests to meet the needs of different groups of stakeholders. On the other hand, the use of social media sites such as Twitter, and Facebook can primarily be looked for in reaching out to persons interested to engage with the project and community development consultations must be considered by using social media monitoring and empowering the online reputation of the community engagement project. Also, the stakeholders can be attracted by using Google alerts by flagging up conversations and providing online mentions of chosen keywords. Email marketing and sharing content can be relevant to audiences of stakeholders by creating an able performance of the project and the aim of community engagements. The strategies can be used for stakeholders interactions creating a strategy, innovations and making community development progress internally, and considering social development externally. However, there can be different strategies to outrage on social media platforms in supporting different projects of community engagement. According to </w:t>
      </w:r>
      <w:r w:rsidDel="00000000" w:rsidR="00000000" w:rsidRPr="00000000">
        <w:rPr>
          <w:rFonts w:ascii="Times New Roman" w:cs="Times New Roman" w:eastAsia="Times New Roman" w:hAnsi="Times New Roman"/>
          <w:color w:val="222222"/>
          <w:sz w:val="24"/>
          <w:szCs w:val="24"/>
          <w:highlight w:val="white"/>
          <w:rtl w:val="0"/>
        </w:rPr>
        <w:t xml:space="preserve">Spiliotopoulou, and Roseland </w:t>
      </w:r>
      <w:r w:rsidDel="00000000" w:rsidR="00000000" w:rsidRPr="00000000">
        <w:rPr>
          <w:rFonts w:ascii="Times New Roman" w:cs="Times New Roman" w:eastAsia="Times New Roman" w:hAnsi="Times New Roman"/>
          <w:sz w:val="24"/>
          <w:szCs w:val="24"/>
          <w:rtl w:val="0"/>
        </w:rPr>
        <w:t xml:space="preserve">(2020), organizations can promote community participation by creating urgency, leveraging solicit earned media and using social media strategically, providing public participation by calling on actions as well as driving the engagement for the community to participate. In the planning process soliciting social media can be effective for great social media campaigns requiring consistent effort by business planners and associating with stakeholders even with the minimal budget, time, and resources. Social media channels can be effective for promoting the aims of the projects to the community by sharing content with their networks (</w:t>
      </w:r>
      <w:r w:rsidDel="00000000" w:rsidR="00000000" w:rsidRPr="00000000">
        <w:rPr>
          <w:rFonts w:ascii="Times New Roman" w:cs="Times New Roman" w:eastAsia="Times New Roman" w:hAnsi="Times New Roman"/>
          <w:color w:val="222222"/>
          <w:sz w:val="24"/>
          <w:szCs w:val="24"/>
          <w:highlight w:val="white"/>
          <w:rtl w:val="0"/>
        </w:rPr>
        <w:t xml:space="preserve">Ryan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sz w:val="24"/>
          <w:szCs w:val="24"/>
          <w:rtl w:val="0"/>
        </w:rPr>
        <w:t xml:space="preserve">). Collaboration can be another key to success where stakeholders can collaborate with different business organizations promoting opportunity and space for community engagements and helping the project team to make better decisions and drive advocacy throughout the organization. </w:t>
      </w:r>
    </w:p>
    <w:p w:rsidR="00000000" w:rsidDel="00000000" w:rsidP="00000000" w:rsidRDefault="00000000" w:rsidRPr="00000000" w14:paraId="0000001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Collaboration with non-profit and government-affiliated organizations, community development, and engagement projects can increase the value perception of quality, reduced the cost of the project speed, and closure risks as well as plan for the long-term. However, diversity and inclusion can target a broader range of stakeholders by including the right people, choosing accessible locations, and using language carefully (</w:t>
      </w:r>
      <w:r w:rsidDel="00000000" w:rsidR="00000000" w:rsidRPr="00000000">
        <w:rPr>
          <w:rFonts w:ascii="Times New Roman" w:cs="Times New Roman" w:eastAsia="Times New Roman" w:hAnsi="Times New Roman"/>
          <w:color w:val="222222"/>
          <w:sz w:val="24"/>
          <w:szCs w:val="24"/>
          <w:highlight w:val="white"/>
          <w:rtl w:val="0"/>
        </w:rPr>
        <w:t xml:space="preserve">Adhikari, Pell, and Cheah 2020</w:t>
      </w:r>
      <w:r w:rsidDel="00000000" w:rsidR="00000000" w:rsidRPr="00000000">
        <w:rPr>
          <w:rFonts w:ascii="Times New Roman" w:cs="Times New Roman" w:eastAsia="Times New Roman" w:hAnsi="Times New Roman"/>
          <w:sz w:val="24"/>
          <w:szCs w:val="24"/>
          <w:rtl w:val="0"/>
        </w:rPr>
        <w:t xml:space="preserve">). Diversity and inclusion strategically aimed at traditionally targeted stakeholders such as community members, advocacy groups of people, media and others increase the competitiveness of enterprises to adapt diversity management strategy that aims to influence community members’ positions, resolve issues related to diversity and inclusion as well as reaching the flexibility of great and good. This can help to develop community capacity building to evaluate multicultural education as a critical component within a transnational era. Community engagement helps to facilitate diversity and conversations around cultures through programs, leadership opportunities, and events. It can target most of the community engagement members and stakeholders to encourage open-mindedness amongst different groups of people and reduce negative stereotypes. Social media can have intercultural adaptation and enable social-cultural integration where people mostly use social media for learning and maintaining relationships. Social media channels can be used for socializing and participating in online channels to create new connections with people and understand global societies by promoting the interconnectedness of individual cultures. Another impact of social media can develop the intercultural exchange of messages throughout the globe by using only the internet to communicate and collaborate. Stakeholders from multicultural aspects can be included in the community development agenda without being face-to-face with each other (</w:t>
      </w:r>
      <w:r w:rsidDel="00000000" w:rsidR="00000000" w:rsidRPr="00000000">
        <w:rPr>
          <w:rFonts w:ascii="Times New Roman" w:cs="Times New Roman" w:eastAsia="Times New Roman" w:hAnsi="Times New Roman"/>
          <w:color w:val="222222"/>
          <w:sz w:val="24"/>
          <w:szCs w:val="24"/>
          <w:highlight w:val="white"/>
          <w:rtl w:val="0"/>
        </w:rPr>
        <w:t xml:space="preserve">David-Chavez, and Gavin 2018</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broader range of stakeholders can be evaluated for developing skills for interpersonal interactions and competent practice to incorporate ethics and values for community practice. The skills required for effectively communicating, working, and interacting with individuals in a community can be based on verbal and non-verbal communication and developing tactics in social situations, community development, and interacting with others including speaking, listening, and questioning skills. On the other hand, cognitive skills can be more reliable and quantifiable for stakeholders to outreach to support the project and foster the level of success achieved. Community project initiatives must be creative to help to turn the followers into an active, Thriving, and engaged community. Creative engagement also on the other hand can be the approach to community engagement using Artistic experiences and creative tools for helping diverse stakeholders with planning processes and sparking creative problem-solving. On the other hand, </w:t>
      </w:r>
      <w:r w:rsidDel="00000000" w:rsidR="00000000" w:rsidRPr="00000000">
        <w:rPr>
          <w:rFonts w:ascii="Times New Roman" w:cs="Times New Roman" w:eastAsia="Times New Roman" w:hAnsi="Times New Roman"/>
          <w:color w:val="222222"/>
          <w:sz w:val="24"/>
          <w:szCs w:val="24"/>
          <w:highlight w:val="white"/>
          <w:rtl w:val="0"/>
        </w:rPr>
        <w:t xml:space="preserve">Di Napoli, Dolce, and Arcidiacono </w:t>
      </w:r>
      <w:r w:rsidDel="00000000" w:rsidR="00000000" w:rsidRPr="00000000">
        <w:rPr>
          <w:rFonts w:ascii="Times New Roman" w:cs="Times New Roman" w:eastAsia="Times New Roman" w:hAnsi="Times New Roman"/>
          <w:sz w:val="24"/>
          <w:szCs w:val="24"/>
          <w:rtl w:val="0"/>
        </w:rPr>
        <w:t xml:space="preserve">(2019), the approaches can include stories, reflections, and other performance spaces to culturally inspire and make connections that transcend the community development agenda with engagement strategies. Professional skills can be required for community engagement related to empathy and member support, new member equipment, facilitating connections, creating responses and escalations, listening and analyzing as well as promoting products behaviors there can be community strategy development, advocacy, and promotion to promote productive behaviors of community members and influence essential strategic skills and value across all community roles.</w:t>
      </w:r>
    </w:p>
    <w:p w:rsidR="00000000" w:rsidDel="00000000" w:rsidP="00000000" w:rsidRDefault="00000000" w:rsidRPr="00000000" w14:paraId="0000001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1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 of social media also can focus on public governance in supporting and connecting like-minded individuals, supporting coordination, and forming applications like social network websites. Online networks can foster mutual engagements to reduce coordination and transaction costs. Social media can make it easier for like-minded stakeholders to come together across foci of their interests. Communication and integration can be evaluated for engaging different information throughout the world community as spread information that is quickly accessible on the internet. Social media sites can develop opportunities for to stakeholders express their opinions and participate in conversations and dialogue influencing cultural differences, behavior, and values. </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1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Adhikari, B., Pell, C. and Cheah, P.Y., 2020. Community engagement and ethical global health research. </w:t>
      </w:r>
      <w:r w:rsidDel="00000000" w:rsidR="00000000" w:rsidRPr="00000000">
        <w:rPr>
          <w:rFonts w:ascii="Times New Roman" w:cs="Times New Roman" w:eastAsia="Times New Roman" w:hAnsi="Times New Roman"/>
          <w:i w:val="1"/>
          <w:color w:val="222222"/>
          <w:sz w:val="24"/>
          <w:szCs w:val="24"/>
          <w:highlight w:val="white"/>
          <w:rtl w:val="0"/>
        </w:rPr>
        <w:t xml:space="preserve">Global Bioethics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31</w:t>
      </w:r>
      <w:r w:rsidDel="00000000" w:rsidR="00000000" w:rsidRPr="00000000">
        <w:rPr>
          <w:rFonts w:ascii="Times New Roman" w:cs="Times New Roman" w:eastAsia="Times New Roman" w:hAnsi="Times New Roman"/>
          <w:color w:val="222222"/>
          <w:sz w:val="24"/>
          <w:szCs w:val="24"/>
          <w:highlight w:val="white"/>
          <w:rtl w:val="0"/>
        </w:rPr>
        <w:t xml:space="preserve">(1), pp.1-12.</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Dahles, H., Khieng, S., Verver, M. and Manders, I., 2020. Social entrepreneurship and tourism in Cambodia: Advancing community engagement. </w:t>
      </w:r>
      <w:r w:rsidDel="00000000" w:rsidR="00000000" w:rsidRPr="00000000">
        <w:rPr>
          <w:rFonts w:ascii="Times New Roman" w:cs="Times New Roman" w:eastAsia="Times New Roman" w:hAnsi="Times New Roman"/>
          <w:i w:val="1"/>
          <w:color w:val="222222"/>
          <w:sz w:val="24"/>
          <w:szCs w:val="24"/>
          <w:highlight w:val="white"/>
          <w:rtl w:val="0"/>
        </w:rPr>
        <w:t xml:space="preserve">Journal of Sustainable Tourism</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28</w:t>
      </w:r>
      <w:r w:rsidDel="00000000" w:rsidR="00000000" w:rsidRPr="00000000">
        <w:rPr>
          <w:rFonts w:ascii="Times New Roman" w:cs="Times New Roman" w:eastAsia="Times New Roman" w:hAnsi="Times New Roman"/>
          <w:color w:val="222222"/>
          <w:sz w:val="24"/>
          <w:szCs w:val="24"/>
          <w:highlight w:val="white"/>
          <w:rtl w:val="0"/>
        </w:rPr>
        <w:t xml:space="preserve">(6), pp.816-833.</w:t>
      </w: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David-Chavez, D.M. and Gavin, M.C., 2018. A global assessment of Indigenous community engagement in climate research. </w:t>
      </w:r>
      <w:r w:rsidDel="00000000" w:rsidR="00000000" w:rsidRPr="00000000">
        <w:rPr>
          <w:rFonts w:ascii="Times New Roman" w:cs="Times New Roman" w:eastAsia="Times New Roman" w:hAnsi="Times New Roman"/>
          <w:i w:val="1"/>
          <w:color w:val="222222"/>
          <w:sz w:val="24"/>
          <w:szCs w:val="24"/>
          <w:highlight w:val="white"/>
          <w:rtl w:val="0"/>
        </w:rPr>
        <w:t xml:space="preserve">Environmental Research Letters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13</w:t>
      </w:r>
      <w:r w:rsidDel="00000000" w:rsidR="00000000" w:rsidRPr="00000000">
        <w:rPr>
          <w:rFonts w:ascii="Times New Roman" w:cs="Times New Roman" w:eastAsia="Times New Roman" w:hAnsi="Times New Roman"/>
          <w:color w:val="222222"/>
          <w:sz w:val="24"/>
          <w:szCs w:val="24"/>
          <w:highlight w:val="white"/>
          <w:rtl w:val="0"/>
        </w:rPr>
        <w:t xml:space="preserve">(12), p.123005.</w:t>
      </w:r>
    </w:p>
    <w:p w:rsidR="00000000" w:rsidDel="00000000" w:rsidP="00000000" w:rsidRDefault="00000000" w:rsidRPr="00000000" w14:paraId="0000002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Di Napoli, I., Dolce, P. and Arcidiacono, C., 2019. Community trust: A social indicator related to community engagement. </w:t>
      </w:r>
      <w:r w:rsidDel="00000000" w:rsidR="00000000" w:rsidRPr="00000000">
        <w:rPr>
          <w:rFonts w:ascii="Times New Roman" w:cs="Times New Roman" w:eastAsia="Times New Roman" w:hAnsi="Times New Roman"/>
          <w:i w:val="1"/>
          <w:color w:val="222222"/>
          <w:sz w:val="24"/>
          <w:szCs w:val="24"/>
          <w:highlight w:val="white"/>
          <w:rtl w:val="0"/>
        </w:rPr>
        <w:t xml:space="preserve">Social Indicators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145</w:t>
      </w:r>
      <w:r w:rsidDel="00000000" w:rsidR="00000000" w:rsidRPr="00000000">
        <w:rPr>
          <w:rFonts w:ascii="Times New Roman" w:cs="Times New Roman" w:eastAsia="Times New Roman" w:hAnsi="Times New Roman"/>
          <w:color w:val="222222"/>
          <w:sz w:val="24"/>
          <w:szCs w:val="24"/>
          <w:highlight w:val="white"/>
          <w:rtl w:val="0"/>
        </w:rPr>
        <w:t xml:space="preserve">(2), pp.551-579.</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Evans, E., Funes, M., Hong, H., Reuter, K., Ahmed, S., Calhoun, K., Corbie-Smith, G., Dave, G., DeFino, M., Harwood, E. and Kissack, A., 2018. Defining and measuring community engagement and community-engaged research: clinical and translational science institutional practices. </w:t>
      </w:r>
      <w:r w:rsidDel="00000000" w:rsidR="00000000" w:rsidRPr="00000000">
        <w:rPr>
          <w:rFonts w:ascii="Times New Roman" w:cs="Times New Roman" w:eastAsia="Times New Roman" w:hAnsi="Times New Roman"/>
          <w:i w:val="1"/>
          <w:color w:val="222222"/>
          <w:sz w:val="24"/>
          <w:szCs w:val="24"/>
          <w:highlight w:val="white"/>
          <w:rtl w:val="0"/>
        </w:rPr>
        <w:t xml:space="preserve">Progress in community health partnerships: research, education, and action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12</w:t>
      </w:r>
      <w:r w:rsidDel="00000000" w:rsidR="00000000" w:rsidRPr="00000000">
        <w:rPr>
          <w:rFonts w:ascii="Times New Roman" w:cs="Times New Roman" w:eastAsia="Times New Roman" w:hAnsi="Times New Roman"/>
          <w:color w:val="222222"/>
          <w:sz w:val="24"/>
          <w:szCs w:val="24"/>
          <w:highlight w:val="white"/>
          <w:rtl w:val="0"/>
        </w:rPr>
        <w:t xml:space="preserve">(2), pp.145-156.</w:t>
      </w: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Galiatsatos, P., Monson, K., Oluyinka, M., Negro, D., Hughes, N., Maydan, D., Golden, S.H., Teague, P. and Hale, W.D., 2020. Community calls: lessons and insights gained from a medical–religious community engagement during the COVID-19 pandemic. </w:t>
      </w:r>
      <w:r w:rsidDel="00000000" w:rsidR="00000000" w:rsidRPr="00000000">
        <w:rPr>
          <w:rFonts w:ascii="Times New Roman" w:cs="Times New Roman" w:eastAsia="Times New Roman" w:hAnsi="Times New Roman"/>
          <w:i w:val="1"/>
          <w:color w:val="222222"/>
          <w:sz w:val="24"/>
          <w:szCs w:val="24"/>
          <w:highlight w:val="white"/>
          <w:rtl w:val="0"/>
        </w:rPr>
        <w:t xml:space="preserve">Journal of religion and health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59</w:t>
      </w:r>
      <w:r w:rsidDel="00000000" w:rsidR="00000000" w:rsidRPr="00000000">
        <w:rPr>
          <w:rFonts w:ascii="Times New Roman" w:cs="Times New Roman" w:eastAsia="Times New Roman" w:hAnsi="Times New Roman"/>
          <w:color w:val="222222"/>
          <w:sz w:val="24"/>
          <w:szCs w:val="24"/>
          <w:highlight w:val="white"/>
          <w:rtl w:val="0"/>
        </w:rPr>
        <w:t xml:space="preserve">(5), pp.2256-2262.</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Henderson, F., Steiner, A., Farmer, J. and Whittam, G., 2020. Challenges of community engagement in a rural area: The impact of flood protection and policy. Journal of Rural Studies, 73, pp.225-233.</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Johnston, K.A. and Lane, A.B., 2018. Building relational capital: The contribution of episodic and relational community engagement. </w:t>
      </w:r>
      <w:r w:rsidDel="00000000" w:rsidR="00000000" w:rsidRPr="00000000">
        <w:rPr>
          <w:rFonts w:ascii="Times New Roman" w:cs="Times New Roman" w:eastAsia="Times New Roman" w:hAnsi="Times New Roman"/>
          <w:i w:val="1"/>
          <w:color w:val="222222"/>
          <w:sz w:val="24"/>
          <w:szCs w:val="24"/>
          <w:highlight w:val="white"/>
          <w:rtl w:val="0"/>
        </w:rPr>
        <w:t xml:space="preserve">Public Relations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44</w:t>
      </w:r>
      <w:r w:rsidDel="00000000" w:rsidR="00000000" w:rsidRPr="00000000">
        <w:rPr>
          <w:rFonts w:ascii="Times New Roman" w:cs="Times New Roman" w:eastAsia="Times New Roman" w:hAnsi="Times New Roman"/>
          <w:color w:val="222222"/>
          <w:sz w:val="24"/>
          <w:szCs w:val="24"/>
          <w:highlight w:val="white"/>
          <w:rtl w:val="0"/>
        </w:rPr>
        <w:t xml:space="preserve">(5), pp.633-644.</w:t>
      </w: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Lin, C.Y., Loyola-Sanchez, A., Boyling, E. and Barnabe, C., 2020. Community engagement approaches for Indigenous health research: recommendations based on an integrative review. </w:t>
      </w:r>
      <w:r w:rsidDel="00000000" w:rsidR="00000000" w:rsidRPr="00000000">
        <w:rPr>
          <w:rFonts w:ascii="Times New Roman" w:cs="Times New Roman" w:eastAsia="Times New Roman" w:hAnsi="Times New Roman"/>
          <w:i w:val="1"/>
          <w:color w:val="222222"/>
          <w:sz w:val="24"/>
          <w:szCs w:val="24"/>
          <w:highlight w:val="white"/>
          <w:rtl w:val="0"/>
        </w:rPr>
        <w:t xml:space="preserve">BMJ open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w:t>
      </w:r>
      <w:r w:rsidDel="00000000" w:rsidR="00000000" w:rsidRPr="00000000">
        <w:rPr>
          <w:rFonts w:ascii="Times New Roman" w:cs="Times New Roman" w:eastAsia="Times New Roman" w:hAnsi="Times New Roman"/>
          <w:color w:val="222222"/>
          <w:sz w:val="24"/>
          <w:szCs w:val="24"/>
          <w:highlight w:val="white"/>
          <w:rtl w:val="0"/>
        </w:rPr>
        <w:t xml:space="preserve">(11), p.e039736.</w:t>
      </w: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Litchman, M.L., Edelman, L.S. and Donaldson, G.W., 2018. Effect of diabetes online community engagement on health indicators: cross-sectional study. </w:t>
      </w:r>
      <w:r w:rsidDel="00000000" w:rsidR="00000000" w:rsidRPr="00000000">
        <w:rPr>
          <w:rFonts w:ascii="Times New Roman" w:cs="Times New Roman" w:eastAsia="Times New Roman" w:hAnsi="Times New Roman"/>
          <w:i w:val="1"/>
          <w:color w:val="222222"/>
          <w:sz w:val="24"/>
          <w:szCs w:val="24"/>
          <w:highlight w:val="white"/>
          <w:rtl w:val="0"/>
        </w:rPr>
        <w:t xml:space="preserve">JMIR diabetes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w:t>
      </w:r>
      <w:r w:rsidDel="00000000" w:rsidR="00000000" w:rsidRPr="00000000">
        <w:rPr>
          <w:rFonts w:ascii="Times New Roman" w:cs="Times New Roman" w:eastAsia="Times New Roman" w:hAnsi="Times New Roman"/>
          <w:color w:val="222222"/>
          <w:sz w:val="24"/>
          <w:szCs w:val="24"/>
          <w:highlight w:val="white"/>
          <w:rtl w:val="0"/>
        </w:rPr>
        <w:t xml:space="preserve">(2), p.e8603.</w:t>
      </w: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Lowe, K., Harrison, N., Tennent, C., Guenther, J., Vass, G. and Moodie, N., 2019. Factors affecting the development of school and Indigenous community engagement: A systematic review. </w:t>
      </w:r>
      <w:r w:rsidDel="00000000" w:rsidR="00000000" w:rsidRPr="00000000">
        <w:rPr>
          <w:rFonts w:ascii="Times New Roman" w:cs="Times New Roman" w:eastAsia="Times New Roman" w:hAnsi="Times New Roman"/>
          <w:i w:val="1"/>
          <w:color w:val="222222"/>
          <w:sz w:val="24"/>
          <w:szCs w:val="24"/>
          <w:highlight w:val="white"/>
          <w:rtl w:val="0"/>
        </w:rPr>
        <w:t xml:space="preserve">The Australian Educational Researcher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(2), pp.253-271.</w:t>
      </w: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Odugleh-Kolev, A. and Parrish-Sprowl, J., 2018. Universal health coverage and community engagement. </w:t>
      </w:r>
      <w:r w:rsidDel="00000000" w:rsidR="00000000" w:rsidRPr="00000000">
        <w:rPr>
          <w:rFonts w:ascii="Times New Roman" w:cs="Times New Roman" w:eastAsia="Times New Roman" w:hAnsi="Times New Roman"/>
          <w:i w:val="1"/>
          <w:color w:val="222222"/>
          <w:sz w:val="24"/>
          <w:szCs w:val="24"/>
          <w:highlight w:val="white"/>
          <w:rtl w:val="0"/>
        </w:rPr>
        <w:t xml:space="preserve">Bulletin of the World Health Organization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96</w:t>
      </w:r>
      <w:r w:rsidDel="00000000" w:rsidR="00000000" w:rsidRPr="00000000">
        <w:rPr>
          <w:rFonts w:ascii="Times New Roman" w:cs="Times New Roman" w:eastAsia="Times New Roman" w:hAnsi="Times New Roman"/>
          <w:color w:val="222222"/>
          <w:sz w:val="24"/>
          <w:szCs w:val="24"/>
          <w:highlight w:val="white"/>
          <w:rtl w:val="0"/>
        </w:rPr>
        <w:t xml:space="preserve">(9), p.660.</w:t>
      </w: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Ryan, B., Johnston, K.A., Taylor, M. and McAndrew, R., 2020. Community engagement for disaster preparedness: A systematic literature review.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disaster risk reduction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49</w:t>
      </w:r>
      <w:r w:rsidDel="00000000" w:rsidR="00000000" w:rsidRPr="00000000">
        <w:rPr>
          <w:rFonts w:ascii="Times New Roman" w:cs="Times New Roman" w:eastAsia="Times New Roman" w:hAnsi="Times New Roman"/>
          <w:color w:val="222222"/>
          <w:sz w:val="24"/>
          <w:szCs w:val="24"/>
          <w:highlight w:val="white"/>
          <w:rtl w:val="0"/>
        </w:rPr>
        <w:t xml:space="preserve">, p.101655.</w:t>
      </w:r>
    </w:p>
    <w:p w:rsidR="00000000" w:rsidDel="00000000" w:rsidP="00000000" w:rsidRDefault="00000000" w:rsidRPr="00000000" w14:paraId="0000002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Spiliotopoulou, M. and Roseland, M., 2020. Theories and concepts influencing sustainable community development: introducing the concept of community productivity. In </w:t>
      </w:r>
      <w:r w:rsidDel="00000000" w:rsidR="00000000" w:rsidRPr="00000000">
        <w:rPr>
          <w:rFonts w:ascii="Times New Roman" w:cs="Times New Roman" w:eastAsia="Times New Roman" w:hAnsi="Times New Roman"/>
          <w:i w:val="1"/>
          <w:color w:val="222222"/>
          <w:sz w:val="24"/>
          <w:szCs w:val="24"/>
          <w:highlight w:val="white"/>
          <w:rtl w:val="0"/>
        </w:rPr>
        <w:t xml:space="preserve">Research handbook on community development</w:t>
      </w:r>
      <w:r w:rsidDel="00000000" w:rsidR="00000000" w:rsidRPr="00000000">
        <w:rPr>
          <w:rFonts w:ascii="Times New Roman" w:cs="Times New Roman" w:eastAsia="Times New Roman" w:hAnsi="Times New Roman"/>
          <w:color w:val="222222"/>
          <w:sz w:val="24"/>
          <w:szCs w:val="24"/>
          <w:highlight w:val="white"/>
          <w:rtl w:val="0"/>
        </w:rPr>
        <w:t xml:space="preserve"> (pp. 337-347). Edward Elgar Publishing.</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Sufri, S., Dwirahmadi, F., Phung, D. and Rutherford, S., 2020. A systematic review of community engagement (CE) in disaster early warning systems (EWSs). </w:t>
      </w:r>
      <w:r w:rsidDel="00000000" w:rsidR="00000000" w:rsidRPr="00000000">
        <w:rPr>
          <w:rFonts w:ascii="Times New Roman" w:cs="Times New Roman" w:eastAsia="Times New Roman" w:hAnsi="Times New Roman"/>
          <w:i w:val="1"/>
          <w:color w:val="222222"/>
          <w:sz w:val="24"/>
          <w:szCs w:val="24"/>
          <w:highlight w:val="white"/>
          <w:rtl w:val="0"/>
        </w:rPr>
        <w:t xml:space="preserve">Progress in Disaster Science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 p.100058.</w:t>
      </w: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Wilson, P.A., 2019. The heart of community engagement: Practitioner stories from across the globe. Routledge.</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tl w:val="0"/>
        </w:rPr>
      </w:r>
    </w:p>
    <w:sectPr>
      <w:headerReference r:id="rId7" w:type="default"/>
      <w:headerReference r:id="rId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3">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COMMUNITY ENGAGEMENT</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480" w:lineRule="auto"/>
      <w:jc w:val="both"/>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line="480" w:lineRule="auto"/>
      <w:jc w:val="both"/>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Header">
    <w:name w:val="header"/>
    <w:basedOn w:val="Normal"/>
    <w:link w:val="HeaderChar"/>
    <w:uiPriority w:val="99"/>
    <w:unhideWhenUsed w:val="1"/>
    <w:rsid w:val="00DE1BB9"/>
    <w:pPr>
      <w:tabs>
        <w:tab w:val="center" w:pos="4513"/>
        <w:tab w:val="right" w:pos="9026"/>
      </w:tabs>
      <w:spacing w:line="240" w:lineRule="auto"/>
    </w:pPr>
  </w:style>
  <w:style w:type="character" w:styleId="HeaderChar" w:customStyle="1">
    <w:name w:val="Header Char"/>
    <w:basedOn w:val="DefaultParagraphFont"/>
    <w:link w:val="Header"/>
    <w:uiPriority w:val="99"/>
    <w:rsid w:val="00DE1BB9"/>
  </w:style>
  <w:style w:type="paragraph" w:styleId="Footer">
    <w:name w:val="footer"/>
    <w:basedOn w:val="Normal"/>
    <w:link w:val="FooterChar"/>
    <w:uiPriority w:val="99"/>
    <w:unhideWhenUsed w:val="1"/>
    <w:rsid w:val="00DE1BB9"/>
    <w:pPr>
      <w:tabs>
        <w:tab w:val="center" w:pos="4513"/>
        <w:tab w:val="right" w:pos="9026"/>
      </w:tabs>
      <w:spacing w:line="240" w:lineRule="auto"/>
    </w:pPr>
  </w:style>
  <w:style w:type="character" w:styleId="FooterChar" w:customStyle="1">
    <w:name w:val="Footer Char"/>
    <w:basedOn w:val="DefaultParagraphFont"/>
    <w:link w:val="Footer"/>
    <w:uiPriority w:val="99"/>
    <w:rsid w:val="00DE1BB9"/>
  </w:style>
  <w:style w:type="paragraph" w:styleId="ListParagraph">
    <w:name w:val="List Paragraph"/>
    <w:basedOn w:val="Normal"/>
    <w:uiPriority w:val="34"/>
    <w:qFormat w:val="1"/>
    <w:rsid w:val="00783796"/>
    <w:pPr>
      <w:spacing w:after="160" w:line="259" w:lineRule="auto"/>
      <w:ind w:left="720"/>
      <w:contextualSpacing w:val="1"/>
    </w:pPr>
    <w:rPr>
      <w:rFonts w:asciiTheme="minorHAnsi" w:cstheme="minorBidi" w:eastAsiaTheme="minorHAnsi" w:hAnsiTheme="minorHAnsi"/>
      <w:lang w:eastAsia="en-US" w:val="en-IN"/>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Ecg/M7kMjxZNmo6daqts6DiseQ==">AMUW2mUYrV224jd3vrVVq0VsBc6UXNDu2D/BAvETPLbc8hkT6K5A5FnKTlMccMtBkTX6fuDoGFch8RWbPD/2wyibwJseQfJBnQd5q5UbGpkgGBDI64dV9IY=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2022-09-04T17:50:00Z</dcterms:created>
</cp:coreProperties>
</file>