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1A8A2A" w14:textId="77777777" w:rsidR="00E11F02" w:rsidRPr="00863CDE" w:rsidRDefault="00E11F02" w:rsidP="00817A44">
      <w:pPr>
        <w:spacing w:after="0" w:line="480" w:lineRule="auto"/>
        <w:rPr>
          <w:rFonts w:ascii="Georgia" w:hAnsi="Georgia"/>
          <w:sz w:val="24"/>
          <w:szCs w:val="24"/>
        </w:rPr>
      </w:pPr>
      <w:r w:rsidRPr="00863CDE">
        <w:rPr>
          <w:rFonts w:ascii="Georgia" w:hAnsi="Georgia"/>
          <w:sz w:val="24"/>
          <w:szCs w:val="24"/>
        </w:rPr>
        <w:t>Mary Bowen-Perkins</w:t>
      </w:r>
      <w:r w:rsidR="00BD07BF">
        <w:rPr>
          <w:rFonts w:ascii="Georgia" w:hAnsi="Georgia"/>
          <w:sz w:val="24"/>
          <w:szCs w:val="24"/>
        </w:rPr>
        <w:t xml:space="preserve"> (1601141)</w:t>
      </w:r>
    </w:p>
    <w:p w14:paraId="7333601F" w14:textId="77777777" w:rsidR="00026059" w:rsidRPr="00863CDE" w:rsidRDefault="001B7AE4" w:rsidP="00817A44">
      <w:pPr>
        <w:spacing w:after="0" w:line="480" w:lineRule="auto"/>
        <w:rPr>
          <w:rFonts w:ascii="Georgia" w:hAnsi="Georgia"/>
          <w:sz w:val="24"/>
          <w:szCs w:val="24"/>
        </w:rPr>
      </w:pPr>
      <w:r>
        <w:rPr>
          <w:rFonts w:ascii="Georgia" w:hAnsi="Georgia"/>
          <w:sz w:val="24"/>
          <w:szCs w:val="24"/>
        </w:rPr>
        <w:t xml:space="preserve">Introduction to </w:t>
      </w:r>
      <w:r w:rsidR="003D08EA">
        <w:rPr>
          <w:rFonts w:ascii="Georgia" w:hAnsi="Georgia"/>
          <w:sz w:val="24"/>
          <w:szCs w:val="24"/>
        </w:rPr>
        <w:t xml:space="preserve">American </w:t>
      </w:r>
      <w:r>
        <w:rPr>
          <w:rFonts w:ascii="Georgia" w:hAnsi="Georgia"/>
          <w:sz w:val="24"/>
          <w:szCs w:val="24"/>
        </w:rPr>
        <w:t>History (AHHI</w:t>
      </w:r>
      <w:r w:rsidR="003D08EA">
        <w:rPr>
          <w:rFonts w:ascii="Georgia" w:hAnsi="Georgia"/>
          <w:sz w:val="24"/>
          <w:szCs w:val="24"/>
        </w:rPr>
        <w:t>5016</w:t>
      </w:r>
      <w:r>
        <w:rPr>
          <w:rFonts w:ascii="Georgia" w:hAnsi="Georgia"/>
          <w:sz w:val="24"/>
          <w:szCs w:val="24"/>
        </w:rPr>
        <w:t>)</w:t>
      </w:r>
    </w:p>
    <w:p w14:paraId="14FB70A3" w14:textId="29CCE5AF" w:rsidR="00026059" w:rsidRPr="00863CDE" w:rsidRDefault="00F93085" w:rsidP="00817A44">
      <w:pPr>
        <w:spacing w:after="0" w:line="480" w:lineRule="auto"/>
        <w:rPr>
          <w:rFonts w:ascii="Georgia" w:hAnsi="Georgia"/>
          <w:sz w:val="24"/>
          <w:szCs w:val="24"/>
        </w:rPr>
      </w:pPr>
      <w:r>
        <w:rPr>
          <w:rFonts w:ascii="Georgia" w:hAnsi="Georgia"/>
          <w:sz w:val="24"/>
          <w:szCs w:val="24"/>
        </w:rPr>
        <w:t>12</w:t>
      </w:r>
      <w:r w:rsidR="0056442C" w:rsidRPr="0056442C">
        <w:rPr>
          <w:rFonts w:ascii="Georgia" w:hAnsi="Georgia"/>
          <w:sz w:val="24"/>
          <w:szCs w:val="24"/>
          <w:vertAlign w:val="superscript"/>
        </w:rPr>
        <w:t>th</w:t>
      </w:r>
      <w:r w:rsidR="0056442C">
        <w:rPr>
          <w:rFonts w:ascii="Georgia" w:hAnsi="Georgia"/>
          <w:sz w:val="24"/>
          <w:szCs w:val="24"/>
        </w:rPr>
        <w:t xml:space="preserve"> January 2018</w:t>
      </w:r>
    </w:p>
    <w:p w14:paraId="0D1CDBEF" w14:textId="7D40E360" w:rsidR="00026059" w:rsidRPr="00863CDE" w:rsidRDefault="00026059" w:rsidP="003D08EA">
      <w:pPr>
        <w:tabs>
          <w:tab w:val="left" w:pos="3300"/>
        </w:tabs>
        <w:spacing w:after="0" w:line="480" w:lineRule="auto"/>
        <w:rPr>
          <w:rFonts w:ascii="Georgia" w:hAnsi="Georgia"/>
          <w:bCs/>
          <w:sz w:val="24"/>
          <w:szCs w:val="24"/>
          <w:shd w:val="clear" w:color="auto" w:fill="FFFFFF"/>
        </w:rPr>
      </w:pPr>
      <w:r w:rsidRPr="00863CDE">
        <w:rPr>
          <w:rFonts w:ascii="Georgia" w:hAnsi="Georgia"/>
          <w:sz w:val="24"/>
          <w:szCs w:val="24"/>
        </w:rPr>
        <w:t xml:space="preserve">Assignment: </w:t>
      </w:r>
      <w:r w:rsidR="003D08EA">
        <w:rPr>
          <w:rFonts w:ascii="Georgia" w:hAnsi="Georgia"/>
          <w:bCs/>
          <w:color w:val="000000"/>
          <w:sz w:val="24"/>
          <w:szCs w:val="24"/>
          <w:shd w:val="clear" w:color="auto" w:fill="FFFFFF"/>
        </w:rPr>
        <w:t xml:space="preserve">Essay - </w:t>
      </w:r>
      <w:r w:rsidR="0056442C" w:rsidRPr="0056442C">
        <w:rPr>
          <w:rFonts w:ascii="Georgia" w:hAnsi="Georgia"/>
          <w:bCs/>
          <w:color w:val="000000"/>
          <w:sz w:val="24"/>
          <w:szCs w:val="24"/>
          <w:shd w:val="clear" w:color="auto" w:fill="FFFFFF"/>
        </w:rPr>
        <w:t>What was “the problem with no name” identified by Betty Friedan in The Feminine Mystique (1963), and how did this inform her critique of mid-20th-century American society?</w:t>
      </w:r>
    </w:p>
    <w:p w14:paraId="272E1493" w14:textId="77777777" w:rsidR="00E7589F" w:rsidRPr="00863CDE" w:rsidRDefault="00E7589F" w:rsidP="00817A44">
      <w:pPr>
        <w:spacing w:after="0" w:line="480" w:lineRule="auto"/>
        <w:rPr>
          <w:rFonts w:ascii="Georgia" w:hAnsi="Georgia"/>
        </w:rPr>
      </w:pPr>
    </w:p>
    <w:p w14:paraId="2DD82073" w14:textId="424474B7" w:rsidR="00F82D04" w:rsidRPr="00FA2B64" w:rsidRDefault="00622B17" w:rsidP="00F82D04">
      <w:pPr>
        <w:shd w:val="clear" w:color="auto" w:fill="FFFFFF"/>
        <w:tabs>
          <w:tab w:val="left" w:pos="6945"/>
        </w:tabs>
        <w:spacing w:after="0" w:line="480" w:lineRule="auto"/>
        <w:jc w:val="center"/>
        <w:rPr>
          <w:rFonts w:ascii="Georgia" w:hAnsi="Georgia"/>
          <w:sz w:val="28"/>
          <w:szCs w:val="28"/>
        </w:rPr>
      </w:pPr>
      <w:r w:rsidRPr="00196142">
        <w:rPr>
          <w:rFonts w:ascii="Georgia" w:hAnsi="Georgia"/>
          <w:i/>
          <w:sz w:val="28"/>
          <w:szCs w:val="28"/>
        </w:rPr>
        <w:t>The Feminine Mystique</w:t>
      </w:r>
      <w:r>
        <w:rPr>
          <w:rFonts w:ascii="Georgia" w:hAnsi="Georgia"/>
          <w:sz w:val="28"/>
          <w:szCs w:val="28"/>
        </w:rPr>
        <w:t>: From 196</w:t>
      </w:r>
      <w:r w:rsidR="00775EAB">
        <w:rPr>
          <w:rFonts w:ascii="Georgia" w:hAnsi="Georgia"/>
          <w:sz w:val="28"/>
          <w:szCs w:val="28"/>
        </w:rPr>
        <w:t>3</w:t>
      </w:r>
      <w:r>
        <w:rPr>
          <w:rFonts w:ascii="Georgia" w:hAnsi="Georgia"/>
          <w:sz w:val="28"/>
          <w:szCs w:val="28"/>
        </w:rPr>
        <w:t xml:space="preserve"> to Today</w:t>
      </w:r>
    </w:p>
    <w:p w14:paraId="365699C6" w14:textId="05C98749" w:rsidR="006B71DC" w:rsidRDefault="00236CA9" w:rsidP="00F00FD3">
      <w:pPr>
        <w:shd w:val="clear" w:color="auto" w:fill="FFFFFF"/>
        <w:tabs>
          <w:tab w:val="left" w:pos="1080"/>
        </w:tabs>
        <w:spacing w:after="0" w:line="480" w:lineRule="auto"/>
        <w:jc w:val="both"/>
        <w:rPr>
          <w:rFonts w:ascii="Georgia" w:hAnsi="Georgia"/>
          <w:sz w:val="24"/>
          <w:szCs w:val="24"/>
        </w:rPr>
      </w:pPr>
      <w:r w:rsidRPr="00196142">
        <w:rPr>
          <w:rFonts w:ascii="Georgia" w:hAnsi="Georgia"/>
          <w:i/>
          <w:sz w:val="24"/>
          <w:szCs w:val="24"/>
        </w:rPr>
        <w:t>The Feminine Mystique</w:t>
      </w:r>
      <w:r>
        <w:rPr>
          <w:rFonts w:ascii="Georgia" w:hAnsi="Georgia"/>
          <w:sz w:val="24"/>
          <w:szCs w:val="24"/>
        </w:rPr>
        <w:t xml:space="preserve"> is a seminal text in the history of American feminism. It came at a time when there was a strong idea in the popular culture about how a woman should ideally look, live, and </w:t>
      </w:r>
      <w:r w:rsidR="00196142">
        <w:rPr>
          <w:rFonts w:ascii="Georgia" w:hAnsi="Georgia"/>
          <w:sz w:val="24"/>
          <w:szCs w:val="24"/>
        </w:rPr>
        <w:t xml:space="preserve">(possibly) </w:t>
      </w:r>
      <w:r>
        <w:rPr>
          <w:rFonts w:ascii="Georgia" w:hAnsi="Georgia"/>
          <w:sz w:val="24"/>
          <w:szCs w:val="24"/>
        </w:rPr>
        <w:t>work</w:t>
      </w:r>
      <w:r w:rsidR="00196142">
        <w:rPr>
          <w:rFonts w:ascii="Georgia" w:hAnsi="Georgia"/>
          <w:sz w:val="24"/>
          <w:szCs w:val="24"/>
        </w:rPr>
        <w:t xml:space="preserve"> </w:t>
      </w:r>
      <w:r w:rsidR="00183C98">
        <w:rPr>
          <w:rFonts w:ascii="Georgia" w:hAnsi="Georgia"/>
          <w:sz w:val="24"/>
          <w:szCs w:val="24"/>
        </w:rPr>
        <w:t xml:space="preserve">– an idea that today is </w:t>
      </w:r>
      <w:r w:rsidR="00815110">
        <w:rPr>
          <w:rFonts w:ascii="Georgia" w:hAnsi="Georgia"/>
          <w:sz w:val="24"/>
          <w:szCs w:val="24"/>
        </w:rPr>
        <w:t>personified in the trope of the 1950s housewife</w:t>
      </w:r>
      <w:r>
        <w:rPr>
          <w:rFonts w:ascii="Georgia" w:hAnsi="Georgia"/>
          <w:sz w:val="24"/>
          <w:szCs w:val="24"/>
        </w:rPr>
        <w:t>.</w:t>
      </w:r>
      <w:r w:rsidR="00C63ED0">
        <w:rPr>
          <w:rStyle w:val="FootnoteReference"/>
          <w:rFonts w:ascii="Georgia" w:hAnsi="Georgia"/>
          <w:sz w:val="24"/>
          <w:szCs w:val="24"/>
        </w:rPr>
        <w:footnoteReference w:id="1"/>
      </w:r>
      <w:r>
        <w:rPr>
          <w:rFonts w:ascii="Georgia" w:hAnsi="Georgia"/>
          <w:sz w:val="24"/>
          <w:szCs w:val="24"/>
        </w:rPr>
        <w:t xml:space="preserve"> </w:t>
      </w:r>
      <w:r w:rsidR="00196142">
        <w:rPr>
          <w:rFonts w:ascii="Georgia" w:hAnsi="Georgia"/>
          <w:sz w:val="24"/>
          <w:szCs w:val="24"/>
        </w:rPr>
        <w:t xml:space="preserve">When </w:t>
      </w:r>
      <w:r w:rsidR="00115B49">
        <w:rPr>
          <w:rFonts w:ascii="Georgia" w:hAnsi="Georgia"/>
          <w:sz w:val="24"/>
          <w:szCs w:val="24"/>
        </w:rPr>
        <w:t>Friedan</w:t>
      </w:r>
      <w:r>
        <w:rPr>
          <w:rFonts w:ascii="Georgia" w:hAnsi="Georgia"/>
          <w:sz w:val="24"/>
          <w:szCs w:val="24"/>
        </w:rPr>
        <w:t xml:space="preserve">’s book came out, it put words to the dissatisfaction many supposedly lucky women in America were feeling at the time. </w:t>
      </w:r>
      <w:r w:rsidR="00815110">
        <w:rPr>
          <w:rFonts w:ascii="Georgia" w:hAnsi="Georgia"/>
          <w:sz w:val="24"/>
          <w:szCs w:val="24"/>
        </w:rPr>
        <w:t>This does</w:t>
      </w:r>
      <w:r w:rsidR="00C44D53">
        <w:rPr>
          <w:rFonts w:ascii="Georgia" w:hAnsi="Georgia"/>
          <w:sz w:val="24"/>
          <w:szCs w:val="24"/>
        </w:rPr>
        <w:t xml:space="preserve"> no</w:t>
      </w:r>
      <w:r w:rsidR="00815110">
        <w:rPr>
          <w:rFonts w:ascii="Georgia" w:hAnsi="Georgia"/>
          <w:sz w:val="24"/>
          <w:szCs w:val="24"/>
        </w:rPr>
        <w:t xml:space="preserve">t immediately come across as revolutionary to today’s readers, as a key part of our idea of the </w:t>
      </w:r>
      <w:r w:rsidR="00196142">
        <w:rPr>
          <w:rFonts w:ascii="Georgia" w:hAnsi="Georgia"/>
          <w:sz w:val="24"/>
          <w:szCs w:val="24"/>
        </w:rPr>
        <w:t>19</w:t>
      </w:r>
      <w:r w:rsidR="00815110">
        <w:rPr>
          <w:rFonts w:ascii="Georgia" w:hAnsi="Georgia"/>
          <w:sz w:val="24"/>
          <w:szCs w:val="24"/>
        </w:rPr>
        <w:t xml:space="preserve">50s housewife stereotype is that she is unhappy. From the </w:t>
      </w:r>
      <w:r w:rsidR="00873C28">
        <w:rPr>
          <w:rFonts w:ascii="Georgia" w:hAnsi="Georgia"/>
          <w:sz w:val="24"/>
          <w:szCs w:val="24"/>
        </w:rPr>
        <w:t xml:space="preserve">suicidal Laura in </w:t>
      </w:r>
      <w:r w:rsidR="00873C28" w:rsidRPr="00BC2599">
        <w:rPr>
          <w:rFonts w:ascii="Georgia" w:hAnsi="Georgia"/>
          <w:i/>
          <w:sz w:val="24"/>
          <w:szCs w:val="24"/>
        </w:rPr>
        <w:t>The Hours</w:t>
      </w:r>
      <w:r w:rsidR="00873C28">
        <w:rPr>
          <w:rFonts w:ascii="Georgia" w:hAnsi="Georgia"/>
          <w:sz w:val="24"/>
          <w:szCs w:val="24"/>
        </w:rPr>
        <w:t xml:space="preserve"> to the unnaturally perfect </w:t>
      </w:r>
      <w:r w:rsidR="00873C28" w:rsidRPr="00BC2599">
        <w:rPr>
          <w:rFonts w:ascii="Georgia" w:hAnsi="Georgia"/>
          <w:i/>
          <w:sz w:val="24"/>
          <w:szCs w:val="24"/>
        </w:rPr>
        <w:t>Stepford Wives</w:t>
      </w:r>
      <w:r w:rsidR="00873C28">
        <w:rPr>
          <w:rFonts w:ascii="Georgia" w:hAnsi="Georgia"/>
          <w:sz w:val="24"/>
          <w:szCs w:val="24"/>
        </w:rPr>
        <w:t>, media rarely p</w:t>
      </w:r>
      <w:r w:rsidR="00C63ED0">
        <w:rPr>
          <w:rFonts w:ascii="Georgia" w:hAnsi="Georgia"/>
          <w:sz w:val="24"/>
          <w:szCs w:val="24"/>
        </w:rPr>
        <w:t xml:space="preserve">resents the </w:t>
      </w:r>
      <w:r w:rsidR="00196142">
        <w:rPr>
          <w:rFonts w:ascii="Georgia" w:hAnsi="Georgia"/>
          <w:sz w:val="24"/>
          <w:szCs w:val="24"/>
        </w:rPr>
        <w:t>19</w:t>
      </w:r>
      <w:r w:rsidR="007A08D1">
        <w:rPr>
          <w:rFonts w:ascii="Georgia" w:hAnsi="Georgia"/>
          <w:sz w:val="24"/>
          <w:szCs w:val="24"/>
        </w:rPr>
        <w:t>50s housewife unironically</w:t>
      </w:r>
      <w:r w:rsidR="00A64DB7">
        <w:rPr>
          <w:rFonts w:ascii="Georgia" w:hAnsi="Georgia"/>
          <w:sz w:val="24"/>
          <w:szCs w:val="24"/>
        </w:rPr>
        <w:t xml:space="preserve"> or without </w:t>
      </w:r>
      <w:r w:rsidR="00BC2599">
        <w:rPr>
          <w:rFonts w:ascii="Georgia" w:hAnsi="Georgia"/>
          <w:sz w:val="24"/>
          <w:szCs w:val="24"/>
        </w:rPr>
        <w:t xml:space="preserve">somehow deconstructing the unrealistic ideal of happiness which they are meant to aspire to within their society. Yet if the dissatisfaction is a given in our perception of the 1950s housewife image, then Betty </w:t>
      </w:r>
      <w:r w:rsidR="00115B49">
        <w:rPr>
          <w:rFonts w:ascii="Georgia" w:hAnsi="Georgia"/>
          <w:sz w:val="24"/>
          <w:szCs w:val="24"/>
        </w:rPr>
        <w:t>Friedan</w:t>
      </w:r>
      <w:r w:rsidR="00BC2599">
        <w:rPr>
          <w:rFonts w:ascii="Georgia" w:hAnsi="Georgia"/>
          <w:sz w:val="24"/>
          <w:szCs w:val="24"/>
        </w:rPr>
        <w:t xml:space="preserve"> is at least partially to thank for that. It is no coincidence that she referred to this widespread malaise among middle-class, suburban women in American as ‘the problem that has no name’ – before </w:t>
      </w:r>
      <w:r w:rsidR="00115B49">
        <w:rPr>
          <w:rFonts w:ascii="Georgia" w:hAnsi="Georgia"/>
          <w:sz w:val="24"/>
          <w:szCs w:val="24"/>
        </w:rPr>
        <w:t>Friedan</w:t>
      </w:r>
      <w:r w:rsidR="00BC2599">
        <w:rPr>
          <w:rFonts w:ascii="Georgia" w:hAnsi="Georgia"/>
          <w:sz w:val="24"/>
          <w:szCs w:val="24"/>
        </w:rPr>
        <w:t xml:space="preserve">, most women genuinely did not have the language to </w:t>
      </w:r>
      <w:r w:rsidR="00BC2599">
        <w:rPr>
          <w:rFonts w:ascii="Georgia" w:hAnsi="Georgia"/>
          <w:sz w:val="24"/>
          <w:szCs w:val="24"/>
        </w:rPr>
        <w:lastRenderedPageBreak/>
        <w:t xml:space="preserve">communicate the invisible struggle they were facing. In this respect at least, </w:t>
      </w:r>
      <w:r w:rsidR="00115B49">
        <w:rPr>
          <w:rFonts w:ascii="Georgia" w:hAnsi="Georgia"/>
          <w:sz w:val="24"/>
          <w:szCs w:val="24"/>
        </w:rPr>
        <w:t>Friedan</w:t>
      </w:r>
      <w:r w:rsidR="00BC2599">
        <w:rPr>
          <w:rFonts w:ascii="Georgia" w:hAnsi="Georgia"/>
          <w:sz w:val="24"/>
          <w:szCs w:val="24"/>
        </w:rPr>
        <w:t xml:space="preserve">’s </w:t>
      </w:r>
      <w:r w:rsidR="00BC2599" w:rsidRPr="00BC2599">
        <w:rPr>
          <w:rFonts w:ascii="Georgia" w:hAnsi="Georgia"/>
          <w:i/>
          <w:sz w:val="24"/>
          <w:szCs w:val="24"/>
        </w:rPr>
        <w:t>Feminine Mystique</w:t>
      </w:r>
      <w:r w:rsidR="00BC2599">
        <w:rPr>
          <w:rFonts w:ascii="Georgia" w:hAnsi="Georgia"/>
          <w:i/>
          <w:sz w:val="24"/>
          <w:szCs w:val="24"/>
        </w:rPr>
        <w:t xml:space="preserve"> </w:t>
      </w:r>
      <w:r w:rsidR="00BC2599">
        <w:rPr>
          <w:rFonts w:ascii="Georgia" w:hAnsi="Georgia"/>
          <w:sz w:val="24"/>
          <w:szCs w:val="24"/>
        </w:rPr>
        <w:t>is a landmark piece of feminist literature. However, its limitations within this field are perhaps more obvious to the modern reader</w:t>
      </w:r>
      <w:r w:rsidR="00196142">
        <w:rPr>
          <w:rFonts w:ascii="Georgia" w:hAnsi="Georgia"/>
          <w:sz w:val="24"/>
          <w:szCs w:val="24"/>
        </w:rPr>
        <w:t xml:space="preserve"> than they would have been to a woman in the 1960s</w:t>
      </w:r>
      <w:r w:rsidR="00BC2599">
        <w:rPr>
          <w:rFonts w:ascii="Georgia" w:hAnsi="Georgia"/>
          <w:sz w:val="24"/>
          <w:szCs w:val="24"/>
        </w:rPr>
        <w:t xml:space="preserve">. This is not to diminish the revolutionary significance of </w:t>
      </w:r>
      <w:r w:rsidR="00BC2599" w:rsidRPr="00280BED">
        <w:rPr>
          <w:rFonts w:ascii="Georgia" w:hAnsi="Georgia"/>
          <w:i/>
          <w:sz w:val="24"/>
          <w:szCs w:val="24"/>
        </w:rPr>
        <w:t>The Feminine Mystique</w:t>
      </w:r>
      <w:r w:rsidR="00BC2599">
        <w:rPr>
          <w:rFonts w:ascii="Georgia" w:hAnsi="Georgia"/>
          <w:sz w:val="24"/>
          <w:szCs w:val="24"/>
        </w:rPr>
        <w:t xml:space="preserve">, but it is true that in the context of today’s feminism it struggles to maintain the same authority it held when it was first published in the 1960s. From the obvious lack of intersectionality to </w:t>
      </w:r>
      <w:r w:rsidR="00115B49">
        <w:rPr>
          <w:rFonts w:ascii="Georgia" w:hAnsi="Georgia"/>
          <w:sz w:val="24"/>
          <w:szCs w:val="24"/>
        </w:rPr>
        <w:t>Friedan</w:t>
      </w:r>
      <w:r w:rsidR="00BC2599">
        <w:rPr>
          <w:rFonts w:ascii="Georgia" w:hAnsi="Georgia"/>
          <w:sz w:val="24"/>
          <w:szCs w:val="24"/>
        </w:rPr>
        <w:t xml:space="preserve">’s out-dated views on homosexuality, </w:t>
      </w:r>
      <w:r w:rsidR="00BC2599" w:rsidRPr="00280BED">
        <w:rPr>
          <w:rFonts w:ascii="Georgia" w:hAnsi="Georgia"/>
          <w:i/>
          <w:sz w:val="24"/>
          <w:szCs w:val="24"/>
        </w:rPr>
        <w:t>The Feminine Mystique</w:t>
      </w:r>
      <w:r w:rsidR="00BC2599">
        <w:rPr>
          <w:rFonts w:ascii="Georgia" w:hAnsi="Georgia"/>
          <w:sz w:val="24"/>
          <w:szCs w:val="24"/>
        </w:rPr>
        <w:t xml:space="preserve"> is clearly a product of its time. That said, there is no denying that the book remains a work of great historical importance, both as a reflection of history and an influencer of it.</w:t>
      </w:r>
    </w:p>
    <w:p w14:paraId="3FCE22E5" w14:textId="4B9750AC" w:rsidR="000D7155" w:rsidRDefault="000D7155" w:rsidP="00F00FD3">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r>
      <w:r w:rsidR="001F6B67">
        <w:rPr>
          <w:rFonts w:ascii="Georgia" w:hAnsi="Georgia"/>
          <w:sz w:val="24"/>
          <w:szCs w:val="24"/>
        </w:rPr>
        <w:t xml:space="preserve">When Betty </w:t>
      </w:r>
      <w:r w:rsidR="00115B49">
        <w:rPr>
          <w:rFonts w:ascii="Georgia" w:hAnsi="Georgia"/>
          <w:sz w:val="24"/>
          <w:szCs w:val="24"/>
        </w:rPr>
        <w:t>Friedan</w:t>
      </w:r>
      <w:r w:rsidR="001F6B67">
        <w:rPr>
          <w:rFonts w:ascii="Georgia" w:hAnsi="Georgia"/>
          <w:sz w:val="24"/>
          <w:szCs w:val="24"/>
        </w:rPr>
        <w:t xml:space="preserve"> first began her research into what would eventually become </w:t>
      </w:r>
      <w:r w:rsidR="001F6B67" w:rsidRPr="00196142">
        <w:rPr>
          <w:rFonts w:ascii="Georgia" w:hAnsi="Georgia"/>
          <w:i/>
          <w:sz w:val="24"/>
          <w:szCs w:val="24"/>
        </w:rPr>
        <w:t>The Feminine Mystique</w:t>
      </w:r>
      <w:r w:rsidR="001F6B67">
        <w:rPr>
          <w:rFonts w:ascii="Georgia" w:hAnsi="Georgia"/>
          <w:sz w:val="24"/>
          <w:szCs w:val="24"/>
        </w:rPr>
        <w:t xml:space="preserve">, </w:t>
      </w:r>
      <w:r w:rsidR="00DF4D7F">
        <w:rPr>
          <w:rFonts w:ascii="Georgia" w:hAnsi="Georgia"/>
          <w:sz w:val="24"/>
          <w:szCs w:val="24"/>
        </w:rPr>
        <w:t>the</w:t>
      </w:r>
      <w:r w:rsidR="00196142">
        <w:rPr>
          <w:rFonts w:ascii="Georgia" w:hAnsi="Georgia"/>
          <w:sz w:val="24"/>
          <w:szCs w:val="24"/>
        </w:rPr>
        <w:t xml:space="preserve">re </w:t>
      </w:r>
      <w:r w:rsidR="00DF4D7F">
        <w:rPr>
          <w:rFonts w:ascii="Georgia" w:hAnsi="Georgia"/>
          <w:sz w:val="24"/>
          <w:szCs w:val="24"/>
        </w:rPr>
        <w:t xml:space="preserve">was </w:t>
      </w:r>
      <w:r w:rsidR="00196142">
        <w:rPr>
          <w:rFonts w:ascii="Georgia" w:hAnsi="Georgia"/>
          <w:sz w:val="24"/>
          <w:szCs w:val="24"/>
        </w:rPr>
        <w:t xml:space="preserve">a popular perception </w:t>
      </w:r>
      <w:r w:rsidR="00DF4D7F">
        <w:rPr>
          <w:rFonts w:ascii="Georgia" w:hAnsi="Georgia"/>
          <w:sz w:val="24"/>
          <w:szCs w:val="24"/>
        </w:rPr>
        <w:t>that women had never had it better</w:t>
      </w:r>
      <w:r w:rsidR="001F6B67">
        <w:rPr>
          <w:rFonts w:ascii="Georgia" w:hAnsi="Georgia"/>
          <w:sz w:val="24"/>
          <w:szCs w:val="24"/>
        </w:rPr>
        <w:t xml:space="preserve">. </w:t>
      </w:r>
      <w:r w:rsidR="00C10F5F">
        <w:rPr>
          <w:rFonts w:ascii="Georgia" w:hAnsi="Georgia"/>
          <w:sz w:val="24"/>
          <w:szCs w:val="24"/>
        </w:rPr>
        <w:t>It was the time of the Baby Boom, of a growing middle class</w:t>
      </w:r>
      <w:r w:rsidR="00196142">
        <w:rPr>
          <w:rFonts w:ascii="Georgia" w:hAnsi="Georgia"/>
          <w:sz w:val="24"/>
          <w:szCs w:val="24"/>
        </w:rPr>
        <w:t>,</w:t>
      </w:r>
      <w:r w:rsidR="00C10F5F">
        <w:rPr>
          <w:rFonts w:ascii="Georgia" w:hAnsi="Georgia"/>
          <w:sz w:val="24"/>
          <w:szCs w:val="24"/>
        </w:rPr>
        <w:t xml:space="preserve"> and of a mass </w:t>
      </w:r>
      <w:r w:rsidR="00DF4D7F">
        <w:rPr>
          <w:rFonts w:ascii="Georgia" w:hAnsi="Georgia"/>
          <w:sz w:val="24"/>
          <w:szCs w:val="24"/>
        </w:rPr>
        <w:t>movement</w:t>
      </w:r>
      <w:r w:rsidR="00C10F5F">
        <w:rPr>
          <w:rFonts w:ascii="Georgia" w:hAnsi="Georgia"/>
          <w:sz w:val="24"/>
          <w:szCs w:val="24"/>
        </w:rPr>
        <w:t xml:space="preserve"> of new families into the recently-established suburbs. </w:t>
      </w:r>
      <w:r w:rsidR="001F6B67">
        <w:rPr>
          <w:rFonts w:ascii="Georgia" w:hAnsi="Georgia"/>
          <w:sz w:val="24"/>
          <w:szCs w:val="24"/>
        </w:rPr>
        <w:t xml:space="preserve">The Second World War had finished, bringing home thousands of ex-soldiers, ready to relieve American women of the work the war had forced them to undertake – or so was the </w:t>
      </w:r>
      <w:r w:rsidR="00DF4D7F">
        <w:rPr>
          <w:rFonts w:ascii="Georgia" w:hAnsi="Georgia"/>
          <w:sz w:val="24"/>
          <w:szCs w:val="24"/>
        </w:rPr>
        <w:t>view</w:t>
      </w:r>
      <w:r w:rsidR="001F6B67">
        <w:rPr>
          <w:rFonts w:ascii="Georgia" w:hAnsi="Georgia"/>
          <w:sz w:val="24"/>
          <w:szCs w:val="24"/>
        </w:rPr>
        <w:t xml:space="preserve"> at the time. </w:t>
      </w:r>
      <w:r w:rsidR="00DF6FC3">
        <w:rPr>
          <w:rFonts w:ascii="Georgia" w:hAnsi="Georgia"/>
          <w:sz w:val="24"/>
          <w:szCs w:val="24"/>
        </w:rPr>
        <w:t xml:space="preserve">As the war effort no longer required women to take on the jobs men had left behind as they went to fight for their country, the newly-unemployed </w:t>
      </w:r>
      <w:r w:rsidR="00DF4D7F">
        <w:rPr>
          <w:rFonts w:ascii="Georgia" w:hAnsi="Georgia"/>
          <w:sz w:val="24"/>
          <w:szCs w:val="24"/>
        </w:rPr>
        <w:t xml:space="preserve">(or otherwise less urgently employed) </w:t>
      </w:r>
      <w:r w:rsidR="00DF6FC3">
        <w:rPr>
          <w:rFonts w:ascii="Georgia" w:hAnsi="Georgia"/>
          <w:sz w:val="24"/>
          <w:szCs w:val="24"/>
        </w:rPr>
        <w:t>women were now apparently free to pursue the</w:t>
      </w:r>
      <w:r w:rsidR="00DF4D7F">
        <w:rPr>
          <w:rFonts w:ascii="Georgia" w:hAnsi="Georgia"/>
          <w:sz w:val="24"/>
          <w:szCs w:val="24"/>
        </w:rPr>
        <w:t>ir sex’s</w:t>
      </w:r>
      <w:r w:rsidR="00DF6FC3">
        <w:rPr>
          <w:rFonts w:ascii="Georgia" w:hAnsi="Georgia"/>
          <w:sz w:val="24"/>
          <w:szCs w:val="24"/>
        </w:rPr>
        <w:t xml:space="preserve"> </w:t>
      </w:r>
      <w:proofErr w:type="gramStart"/>
      <w:r w:rsidR="00DF6FC3">
        <w:rPr>
          <w:rFonts w:ascii="Georgia" w:hAnsi="Georgia"/>
          <w:sz w:val="24"/>
          <w:szCs w:val="24"/>
        </w:rPr>
        <w:t>ultimate goal</w:t>
      </w:r>
      <w:proofErr w:type="gramEnd"/>
      <w:r w:rsidR="00DF6FC3">
        <w:rPr>
          <w:rFonts w:ascii="Georgia" w:hAnsi="Georgia"/>
          <w:sz w:val="24"/>
          <w:szCs w:val="24"/>
        </w:rPr>
        <w:t xml:space="preserve">: marriage and </w:t>
      </w:r>
      <w:r w:rsidR="00891A17">
        <w:rPr>
          <w:rFonts w:ascii="Georgia" w:hAnsi="Georgia"/>
          <w:sz w:val="24"/>
          <w:szCs w:val="24"/>
        </w:rPr>
        <w:t xml:space="preserve">starting a </w:t>
      </w:r>
      <w:r w:rsidR="00DF6FC3">
        <w:rPr>
          <w:rFonts w:ascii="Georgia" w:hAnsi="Georgia"/>
          <w:sz w:val="24"/>
          <w:szCs w:val="24"/>
        </w:rPr>
        <w:t xml:space="preserve">family. </w:t>
      </w:r>
      <w:r w:rsidR="0032591B">
        <w:rPr>
          <w:rFonts w:ascii="Georgia" w:hAnsi="Georgia"/>
          <w:sz w:val="24"/>
          <w:szCs w:val="24"/>
        </w:rPr>
        <w:t xml:space="preserve">Marriage rates rose during this period, while the average age at which people got married dropped significantly. </w:t>
      </w:r>
      <w:r w:rsidR="00DF4D7F">
        <w:rPr>
          <w:rFonts w:ascii="Georgia" w:hAnsi="Georgia"/>
          <w:sz w:val="24"/>
          <w:szCs w:val="24"/>
        </w:rPr>
        <w:t xml:space="preserve">The birth-rate </w:t>
      </w:r>
      <w:r w:rsidR="00196142">
        <w:rPr>
          <w:rFonts w:ascii="Georgia" w:hAnsi="Georgia"/>
          <w:sz w:val="24"/>
          <w:szCs w:val="24"/>
        </w:rPr>
        <w:t>went up</w:t>
      </w:r>
      <w:r w:rsidR="00DF4D7F">
        <w:rPr>
          <w:rFonts w:ascii="Georgia" w:hAnsi="Georgia"/>
          <w:sz w:val="24"/>
          <w:szCs w:val="24"/>
        </w:rPr>
        <w:t xml:space="preserve"> and f</w:t>
      </w:r>
      <w:r w:rsidR="0032591B">
        <w:rPr>
          <w:rFonts w:ascii="Georgia" w:hAnsi="Georgia"/>
          <w:sz w:val="24"/>
          <w:szCs w:val="24"/>
        </w:rPr>
        <w:t xml:space="preserve">amilies also grew rapidly, </w:t>
      </w:r>
      <w:r w:rsidR="00DF4D7F">
        <w:rPr>
          <w:rFonts w:ascii="Georgia" w:hAnsi="Georgia"/>
          <w:sz w:val="24"/>
          <w:szCs w:val="24"/>
        </w:rPr>
        <w:t xml:space="preserve">with couples usually having their first child soon after their </w:t>
      </w:r>
      <w:r w:rsidR="00196142">
        <w:rPr>
          <w:rFonts w:ascii="Georgia" w:hAnsi="Georgia"/>
          <w:sz w:val="24"/>
          <w:szCs w:val="24"/>
        </w:rPr>
        <w:t>wedding</w:t>
      </w:r>
      <w:r w:rsidR="00DF4D7F">
        <w:rPr>
          <w:rFonts w:ascii="Georgia" w:hAnsi="Georgia"/>
          <w:sz w:val="24"/>
          <w:szCs w:val="24"/>
        </w:rPr>
        <w:t xml:space="preserve">, followed by several more not long afterwards. At this point, it was common for </w:t>
      </w:r>
      <w:r w:rsidR="00DF4D7F">
        <w:rPr>
          <w:rFonts w:ascii="Georgia" w:hAnsi="Georgia"/>
          <w:sz w:val="24"/>
          <w:szCs w:val="24"/>
        </w:rPr>
        <w:lastRenderedPageBreak/>
        <w:t xml:space="preserve">women to drop out of college or to leave their careers </w:t>
      </w:r>
      <w:proofErr w:type="gramStart"/>
      <w:r w:rsidR="00DF4D7F">
        <w:rPr>
          <w:rFonts w:ascii="Georgia" w:hAnsi="Georgia"/>
          <w:sz w:val="24"/>
          <w:szCs w:val="24"/>
        </w:rPr>
        <w:t>in order to</w:t>
      </w:r>
      <w:proofErr w:type="gramEnd"/>
      <w:r w:rsidR="00DF4D7F">
        <w:rPr>
          <w:rFonts w:ascii="Georgia" w:hAnsi="Georgia"/>
          <w:sz w:val="24"/>
          <w:szCs w:val="24"/>
        </w:rPr>
        <w:t xml:space="preserve"> raise families and become homemakers.</w:t>
      </w:r>
      <w:r w:rsidR="00DF4D7F">
        <w:rPr>
          <w:rStyle w:val="FootnoteReference"/>
          <w:rFonts w:ascii="Georgia" w:hAnsi="Georgia"/>
          <w:sz w:val="24"/>
          <w:szCs w:val="24"/>
        </w:rPr>
        <w:footnoteReference w:id="2"/>
      </w:r>
    </w:p>
    <w:p w14:paraId="5780D2C3" w14:textId="3170C3CA" w:rsidR="00115B49" w:rsidRDefault="00115B49" w:rsidP="00F00FD3">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t xml:space="preserve">If these changes would seem almost certain to divide men and women into separate spheres, this was not seen as a negative at the time. On the contrary, after the war, </w:t>
      </w:r>
      <w:r w:rsidR="009742A6">
        <w:rPr>
          <w:rFonts w:ascii="Georgia" w:hAnsi="Georgia"/>
          <w:sz w:val="24"/>
          <w:szCs w:val="24"/>
        </w:rPr>
        <w:t xml:space="preserve">all manner of social ills </w:t>
      </w:r>
      <w:proofErr w:type="gramStart"/>
      <w:r>
        <w:rPr>
          <w:rFonts w:ascii="Georgia" w:hAnsi="Georgia"/>
          <w:sz w:val="24"/>
          <w:szCs w:val="24"/>
        </w:rPr>
        <w:t>were</w:t>
      </w:r>
      <w:proofErr w:type="gramEnd"/>
      <w:r>
        <w:rPr>
          <w:rFonts w:ascii="Georgia" w:hAnsi="Georgia"/>
          <w:sz w:val="24"/>
          <w:szCs w:val="24"/>
        </w:rPr>
        <w:t xml:space="preserve"> seen as caused by women going to work and not staying home to look after the house and children.</w:t>
      </w:r>
      <w:r w:rsidR="009742A6">
        <w:rPr>
          <w:rStyle w:val="FootnoteReference"/>
          <w:rFonts w:ascii="Georgia" w:hAnsi="Georgia"/>
          <w:sz w:val="24"/>
          <w:szCs w:val="24"/>
        </w:rPr>
        <w:footnoteReference w:id="3"/>
      </w:r>
      <w:r>
        <w:rPr>
          <w:rFonts w:ascii="Georgia" w:hAnsi="Georgia"/>
          <w:sz w:val="24"/>
          <w:szCs w:val="24"/>
        </w:rPr>
        <w:t xml:space="preserve"> </w:t>
      </w:r>
      <w:r w:rsidR="008C275E">
        <w:rPr>
          <w:rFonts w:ascii="Georgia" w:hAnsi="Georgia"/>
          <w:sz w:val="24"/>
          <w:szCs w:val="24"/>
        </w:rPr>
        <w:t xml:space="preserve">Meanwhile, the housewife was glamorised in women’s media, </w:t>
      </w:r>
      <w:r w:rsidR="00196142">
        <w:rPr>
          <w:rFonts w:ascii="Georgia" w:hAnsi="Georgia"/>
          <w:sz w:val="24"/>
          <w:szCs w:val="24"/>
        </w:rPr>
        <w:t xml:space="preserve">her job </w:t>
      </w:r>
      <w:r w:rsidR="008C275E">
        <w:rPr>
          <w:rFonts w:ascii="Georgia" w:hAnsi="Georgia"/>
          <w:sz w:val="24"/>
          <w:szCs w:val="24"/>
        </w:rPr>
        <w:t>held up as the most noble calling for a woman. Betty Friedan dubbed these images of idealised female homemakers the ‘happy housewife heroines’</w:t>
      </w:r>
      <w:r w:rsidR="00BD2B63">
        <w:rPr>
          <w:rFonts w:ascii="Georgia" w:hAnsi="Georgia"/>
          <w:sz w:val="24"/>
          <w:szCs w:val="24"/>
        </w:rPr>
        <w:t>, and she was critical of the unrealistic, limiting visions of femininity they put across.</w:t>
      </w:r>
      <w:r w:rsidR="008C275E">
        <w:rPr>
          <w:rStyle w:val="FootnoteReference"/>
          <w:rFonts w:ascii="Georgia" w:hAnsi="Georgia"/>
          <w:sz w:val="24"/>
          <w:szCs w:val="24"/>
        </w:rPr>
        <w:footnoteReference w:id="4"/>
      </w:r>
      <w:r w:rsidR="00BD2B63">
        <w:rPr>
          <w:rFonts w:ascii="Georgia" w:hAnsi="Georgia"/>
          <w:sz w:val="24"/>
          <w:szCs w:val="24"/>
        </w:rPr>
        <w:t xml:space="preserve"> However, some </w:t>
      </w:r>
      <w:r w:rsidR="00F0688C">
        <w:rPr>
          <w:rFonts w:ascii="Georgia" w:hAnsi="Georgia"/>
          <w:sz w:val="24"/>
          <w:szCs w:val="24"/>
        </w:rPr>
        <w:t xml:space="preserve">of the arguments floating around at the time must have convinced a number of women (subconsciously or otherwise) that housewifery was the right path for them, </w:t>
      </w:r>
      <w:r w:rsidR="007D08AC">
        <w:rPr>
          <w:rFonts w:ascii="Georgia" w:hAnsi="Georgia"/>
          <w:sz w:val="24"/>
          <w:szCs w:val="24"/>
        </w:rPr>
        <w:t>given that women were getting married earlier and apparently prioritising husbands over education, if statistics are to be believed.</w:t>
      </w:r>
      <w:r w:rsidR="005D0F99">
        <w:rPr>
          <w:rStyle w:val="FootnoteReference"/>
          <w:rFonts w:ascii="Georgia" w:hAnsi="Georgia"/>
          <w:sz w:val="24"/>
          <w:szCs w:val="24"/>
        </w:rPr>
        <w:footnoteReference w:id="5"/>
      </w:r>
      <w:r w:rsidR="007D08AC">
        <w:rPr>
          <w:rFonts w:ascii="Georgia" w:hAnsi="Georgia"/>
          <w:sz w:val="24"/>
          <w:szCs w:val="24"/>
        </w:rPr>
        <w:t xml:space="preserve"> </w:t>
      </w:r>
    </w:p>
    <w:p w14:paraId="4A9BCF6A" w14:textId="16169C0A" w:rsidR="00B11F4F" w:rsidRDefault="00B11F4F" w:rsidP="00F00FD3">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r>
      <w:r w:rsidR="00C945C6">
        <w:rPr>
          <w:rFonts w:ascii="Georgia" w:hAnsi="Georgia"/>
          <w:sz w:val="24"/>
          <w:szCs w:val="24"/>
        </w:rPr>
        <w:t>As it was,</w:t>
      </w:r>
      <w:r>
        <w:rPr>
          <w:rFonts w:ascii="Georgia" w:hAnsi="Georgia"/>
          <w:sz w:val="24"/>
          <w:szCs w:val="24"/>
        </w:rPr>
        <w:t xml:space="preserve"> women </w:t>
      </w:r>
      <w:r w:rsidR="000A19A6">
        <w:rPr>
          <w:rFonts w:ascii="Georgia" w:hAnsi="Georgia"/>
          <w:sz w:val="24"/>
          <w:szCs w:val="24"/>
        </w:rPr>
        <w:t xml:space="preserve">were putting their education and careers on hold </w:t>
      </w:r>
      <w:proofErr w:type="gramStart"/>
      <w:r w:rsidR="000A19A6">
        <w:rPr>
          <w:rFonts w:ascii="Georgia" w:hAnsi="Georgia"/>
          <w:sz w:val="24"/>
          <w:szCs w:val="24"/>
        </w:rPr>
        <w:t>in order to</w:t>
      </w:r>
      <w:proofErr w:type="gramEnd"/>
      <w:r w:rsidR="000A19A6">
        <w:rPr>
          <w:rFonts w:ascii="Georgia" w:hAnsi="Georgia"/>
          <w:sz w:val="24"/>
          <w:szCs w:val="24"/>
        </w:rPr>
        <w:t xml:space="preserve"> pursue lives as housewives and mothers. Apparently, they were choosing to do so, and according to American culture this was the correct decision, both for the women themselves and for </w:t>
      </w:r>
      <w:proofErr w:type="gramStart"/>
      <w:r w:rsidR="000A19A6">
        <w:rPr>
          <w:rFonts w:ascii="Georgia" w:hAnsi="Georgia"/>
          <w:sz w:val="24"/>
          <w:szCs w:val="24"/>
        </w:rPr>
        <w:t>society as a whole</w:t>
      </w:r>
      <w:proofErr w:type="gramEnd"/>
      <w:r w:rsidR="000A19A6">
        <w:rPr>
          <w:rFonts w:ascii="Georgia" w:hAnsi="Georgia"/>
          <w:sz w:val="24"/>
          <w:szCs w:val="24"/>
        </w:rPr>
        <w:t xml:space="preserve">. Following that logic, everyone should have been happy in this situation.  </w:t>
      </w:r>
      <w:r w:rsidR="00AC64DD">
        <w:rPr>
          <w:rFonts w:ascii="Georgia" w:hAnsi="Georgia"/>
          <w:sz w:val="24"/>
          <w:szCs w:val="24"/>
        </w:rPr>
        <w:t xml:space="preserve">However, there was one woman who did not see this to be the case: Betty Friedan. </w:t>
      </w:r>
      <w:r w:rsidR="00DD5405">
        <w:rPr>
          <w:rFonts w:ascii="Georgia" w:hAnsi="Georgia"/>
          <w:sz w:val="24"/>
          <w:szCs w:val="24"/>
        </w:rPr>
        <w:t xml:space="preserve">Friedan was a journalist, wife, and mother, who decided in 1957 to do a survey of her </w:t>
      </w:r>
      <w:r w:rsidR="001943BF">
        <w:rPr>
          <w:rFonts w:ascii="Georgia" w:hAnsi="Georgia"/>
          <w:sz w:val="24"/>
          <w:szCs w:val="24"/>
        </w:rPr>
        <w:t>old classmates at</w:t>
      </w:r>
      <w:r w:rsidR="00DD5405">
        <w:rPr>
          <w:rFonts w:ascii="Georgia" w:hAnsi="Georgia"/>
          <w:sz w:val="24"/>
          <w:szCs w:val="24"/>
        </w:rPr>
        <w:t xml:space="preserve"> Smith College</w:t>
      </w:r>
      <w:r w:rsidR="001943BF">
        <w:rPr>
          <w:rFonts w:ascii="Georgia" w:hAnsi="Georgia"/>
          <w:sz w:val="24"/>
          <w:szCs w:val="24"/>
        </w:rPr>
        <w:t xml:space="preserve">. In doing so, she found that many of the women interviewed felt a sense of unhappiness and discontentment with their lives, </w:t>
      </w:r>
      <w:r w:rsidR="001943BF">
        <w:rPr>
          <w:rFonts w:ascii="Georgia" w:hAnsi="Georgia"/>
          <w:sz w:val="24"/>
          <w:szCs w:val="24"/>
        </w:rPr>
        <w:lastRenderedPageBreak/>
        <w:t>even when they outwardly fit the ideal of the happy housewife heroine. Friedan wrote, ‘There was a strange discrepancy between the reality of our lives as women and the image to which we were trying to conform, the image that I came to call the feminine mystique.’</w:t>
      </w:r>
      <w:r w:rsidR="001943BF">
        <w:rPr>
          <w:rStyle w:val="FootnoteReference"/>
          <w:rFonts w:ascii="Georgia" w:hAnsi="Georgia"/>
          <w:sz w:val="24"/>
          <w:szCs w:val="24"/>
        </w:rPr>
        <w:footnoteReference w:id="6"/>
      </w:r>
      <w:r w:rsidR="001943BF">
        <w:rPr>
          <w:rFonts w:ascii="Georgia" w:hAnsi="Georgia"/>
          <w:sz w:val="24"/>
          <w:szCs w:val="24"/>
        </w:rPr>
        <w:t xml:space="preserve"> </w:t>
      </w:r>
      <w:r w:rsidR="003C6824">
        <w:rPr>
          <w:rFonts w:ascii="Georgia" w:hAnsi="Georgia"/>
          <w:sz w:val="24"/>
          <w:szCs w:val="24"/>
        </w:rPr>
        <w:t>The concept of the feminine mystique proved to be a key element in Friedan’s writings, informing her judgement of American society as a whole in addition to perhaps her most famous idea, ‘the problem that has no name’.</w:t>
      </w:r>
    </w:p>
    <w:p w14:paraId="11917CA5" w14:textId="4EDAFD52" w:rsidR="00775EAB" w:rsidRDefault="00661C27" w:rsidP="00F00FD3">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r>
      <w:r w:rsidR="002A4E69">
        <w:rPr>
          <w:rFonts w:ascii="Georgia" w:hAnsi="Georgia"/>
          <w:sz w:val="24"/>
          <w:szCs w:val="24"/>
        </w:rPr>
        <w:t xml:space="preserve">Understanding the meaning of Friedan’s iconic ‘problem’ is crucial to grasping the importance of her work, particularly why it resonated with so many women at the time. Part of the reason is because the ‘problem with no name’ was just that, a problem which nobody had the words to describe, much less explain. For Friedan to be one of the first popularly successful people to articulate the problem, even if she did so while drawing attention to the difficulty involved in talking about it, was nothing short of </w:t>
      </w:r>
      <w:r w:rsidR="000F0531">
        <w:rPr>
          <w:rFonts w:ascii="Georgia" w:hAnsi="Georgia"/>
          <w:sz w:val="24"/>
          <w:szCs w:val="24"/>
        </w:rPr>
        <w:t>ground</w:t>
      </w:r>
      <w:r w:rsidR="00F50E09">
        <w:rPr>
          <w:rFonts w:ascii="Georgia" w:hAnsi="Georgia"/>
          <w:sz w:val="24"/>
          <w:szCs w:val="24"/>
        </w:rPr>
        <w:t>-</w:t>
      </w:r>
      <w:r w:rsidR="000F0531">
        <w:rPr>
          <w:rFonts w:ascii="Georgia" w:hAnsi="Georgia"/>
          <w:sz w:val="24"/>
          <w:szCs w:val="24"/>
        </w:rPr>
        <w:t>breaking</w:t>
      </w:r>
      <w:r w:rsidR="002A4E69">
        <w:rPr>
          <w:rFonts w:ascii="Georgia" w:hAnsi="Georgia"/>
          <w:sz w:val="24"/>
          <w:szCs w:val="24"/>
        </w:rPr>
        <w:t xml:space="preserve">. </w:t>
      </w:r>
      <w:proofErr w:type="gramStart"/>
      <w:r w:rsidR="002A4E69">
        <w:rPr>
          <w:rFonts w:ascii="Georgia" w:hAnsi="Georgia"/>
          <w:sz w:val="24"/>
          <w:szCs w:val="24"/>
        </w:rPr>
        <w:t>So</w:t>
      </w:r>
      <w:proofErr w:type="gramEnd"/>
      <w:r w:rsidR="002A4E69">
        <w:rPr>
          <w:rFonts w:ascii="Georgia" w:hAnsi="Georgia"/>
          <w:sz w:val="24"/>
          <w:szCs w:val="24"/>
        </w:rPr>
        <w:t xml:space="preserve"> what exactly was this problem? For Friedan it was intimately connected with her </w:t>
      </w:r>
      <w:proofErr w:type="gramStart"/>
      <w:r w:rsidR="002A4E69">
        <w:rPr>
          <w:rFonts w:ascii="Georgia" w:hAnsi="Georgia"/>
          <w:sz w:val="24"/>
          <w:szCs w:val="24"/>
        </w:rPr>
        <w:t>aforementioned idea</w:t>
      </w:r>
      <w:proofErr w:type="gramEnd"/>
      <w:r w:rsidR="002A4E69">
        <w:rPr>
          <w:rFonts w:ascii="Georgia" w:hAnsi="Georgia"/>
          <w:sz w:val="24"/>
          <w:szCs w:val="24"/>
        </w:rPr>
        <w:t xml:space="preserve"> of the feminine mystique. The problem was essentially the result of the clash between real life women and the mystique which they were meant to aspire to</w:t>
      </w:r>
      <w:r w:rsidR="000F0531">
        <w:rPr>
          <w:rFonts w:ascii="Georgia" w:hAnsi="Georgia"/>
          <w:sz w:val="24"/>
          <w:szCs w:val="24"/>
        </w:rPr>
        <w:t xml:space="preserve">: </w:t>
      </w:r>
      <w:r w:rsidR="002A4E69">
        <w:rPr>
          <w:rFonts w:ascii="Georgia" w:hAnsi="Georgia"/>
          <w:sz w:val="24"/>
          <w:szCs w:val="24"/>
        </w:rPr>
        <w:t xml:space="preserve">a sense of lack where they had been taught there should be none. </w:t>
      </w:r>
    </w:p>
    <w:p w14:paraId="7ED5E1B6" w14:textId="77777777" w:rsidR="00775EAB" w:rsidRDefault="00775EAB" w:rsidP="00775EAB">
      <w:pPr>
        <w:shd w:val="clear" w:color="auto" w:fill="FFFFFF"/>
        <w:tabs>
          <w:tab w:val="left" w:pos="1080"/>
        </w:tabs>
        <w:spacing w:after="0" w:line="240" w:lineRule="auto"/>
        <w:jc w:val="both"/>
        <w:rPr>
          <w:rFonts w:ascii="Georgia" w:hAnsi="Georgia"/>
          <w:sz w:val="24"/>
          <w:szCs w:val="24"/>
        </w:rPr>
      </w:pPr>
    </w:p>
    <w:p w14:paraId="059F880D" w14:textId="3639D32F" w:rsidR="00B11F4F" w:rsidRDefault="002A4E69" w:rsidP="00775EAB">
      <w:pPr>
        <w:shd w:val="clear" w:color="auto" w:fill="FFFFFF"/>
        <w:tabs>
          <w:tab w:val="left" w:pos="1080"/>
        </w:tabs>
        <w:spacing w:after="0" w:line="240" w:lineRule="auto"/>
        <w:jc w:val="both"/>
        <w:rPr>
          <w:rFonts w:ascii="Georgia" w:hAnsi="Georgia"/>
          <w:sz w:val="24"/>
          <w:szCs w:val="24"/>
        </w:rPr>
      </w:pPr>
      <w:r>
        <w:rPr>
          <w:rFonts w:ascii="Georgia" w:hAnsi="Georgia"/>
          <w:sz w:val="24"/>
          <w:szCs w:val="24"/>
        </w:rPr>
        <w:t>‘The problem lay buried, unspoken, for many years in the minds of American women. It was a strange stirring, a sense of dissatisfaction, a yearning that women suffered in the middle of the twentieth century in the United States. Each suburban wife struggled with it alon</w:t>
      </w:r>
      <w:r w:rsidRPr="000F0531">
        <w:rPr>
          <w:rFonts w:ascii="Georgia" w:hAnsi="Georgia"/>
          <w:sz w:val="24"/>
          <w:szCs w:val="24"/>
        </w:rPr>
        <w:t>e. [...] [S]he</w:t>
      </w:r>
      <w:r>
        <w:rPr>
          <w:rFonts w:ascii="Georgia" w:hAnsi="Georgia"/>
          <w:sz w:val="24"/>
          <w:szCs w:val="24"/>
        </w:rPr>
        <w:t xml:space="preserve"> was afraid to ask even of herself the silent question: “is this all?”’</w:t>
      </w:r>
      <w:r w:rsidR="009B776D">
        <w:rPr>
          <w:rStyle w:val="FootnoteReference"/>
          <w:rFonts w:ascii="Georgia" w:hAnsi="Georgia"/>
          <w:sz w:val="24"/>
          <w:szCs w:val="24"/>
        </w:rPr>
        <w:footnoteReference w:id="7"/>
      </w:r>
      <w:r>
        <w:rPr>
          <w:rFonts w:ascii="Georgia" w:hAnsi="Georgia"/>
          <w:sz w:val="24"/>
          <w:szCs w:val="24"/>
        </w:rPr>
        <w:t xml:space="preserve"> </w:t>
      </w:r>
    </w:p>
    <w:p w14:paraId="21894C9E" w14:textId="77777777" w:rsidR="00AC4467" w:rsidRDefault="00AC4467" w:rsidP="00775EAB">
      <w:pPr>
        <w:shd w:val="clear" w:color="auto" w:fill="FFFFFF"/>
        <w:tabs>
          <w:tab w:val="left" w:pos="1080"/>
        </w:tabs>
        <w:spacing w:after="0" w:line="240" w:lineRule="auto"/>
        <w:jc w:val="both"/>
        <w:rPr>
          <w:rFonts w:ascii="Georgia" w:hAnsi="Georgia"/>
          <w:sz w:val="24"/>
          <w:szCs w:val="24"/>
        </w:rPr>
      </w:pPr>
    </w:p>
    <w:p w14:paraId="64A191B3" w14:textId="7F143CE6" w:rsidR="009B776D" w:rsidRDefault="00AC4467" w:rsidP="00F00FD3">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 xml:space="preserve">This, in a nutshell, was the problem. </w:t>
      </w:r>
      <w:r w:rsidR="00780CC4">
        <w:rPr>
          <w:rFonts w:ascii="Georgia" w:hAnsi="Georgia"/>
          <w:sz w:val="24"/>
          <w:szCs w:val="24"/>
        </w:rPr>
        <w:t xml:space="preserve">No matter how much fulfilment was granted to her by way of a clean house, a successful husband, and precious children, a housewife might </w:t>
      </w:r>
      <w:r w:rsidR="00780CC4">
        <w:rPr>
          <w:rFonts w:ascii="Georgia" w:hAnsi="Georgia"/>
          <w:sz w:val="24"/>
          <w:szCs w:val="24"/>
        </w:rPr>
        <w:lastRenderedPageBreak/>
        <w:t xml:space="preserve">still feel unhappy. As if this were not a large enough </w:t>
      </w:r>
      <w:proofErr w:type="gramStart"/>
      <w:r w:rsidR="00780CC4">
        <w:rPr>
          <w:rFonts w:ascii="Georgia" w:hAnsi="Georgia"/>
          <w:sz w:val="24"/>
          <w:szCs w:val="24"/>
        </w:rPr>
        <w:t>problem in itself, the</w:t>
      </w:r>
      <w:proofErr w:type="gramEnd"/>
      <w:r w:rsidR="00780CC4">
        <w:rPr>
          <w:rFonts w:ascii="Georgia" w:hAnsi="Georgia"/>
          <w:sz w:val="24"/>
          <w:szCs w:val="24"/>
        </w:rPr>
        <w:t xml:space="preserve"> omnipresent feminine mystique made them feel guilty, because their current lives were supposed to be enough for them – better than that, they were supposed to be all they could want and more. </w:t>
      </w:r>
      <w:r w:rsidR="00DA04B3">
        <w:rPr>
          <w:rFonts w:ascii="Georgia" w:hAnsi="Georgia"/>
          <w:sz w:val="24"/>
          <w:szCs w:val="24"/>
        </w:rPr>
        <w:t xml:space="preserve">Yet Friedan, as a suburban wife and mother herself and in contact with many others, was aware that </w:t>
      </w:r>
      <w:r w:rsidR="000F0531">
        <w:rPr>
          <w:rFonts w:ascii="Georgia" w:hAnsi="Georgia"/>
          <w:sz w:val="24"/>
          <w:szCs w:val="24"/>
        </w:rPr>
        <w:t>the idealised vision of housewifery was not always as satisfying as the feminine mystique would have women believe.</w:t>
      </w:r>
    </w:p>
    <w:p w14:paraId="6EFEEBAC" w14:textId="7DDCA2F5" w:rsidR="00C45852" w:rsidRDefault="00C45852" w:rsidP="00F00FD3">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r>
      <w:r w:rsidR="00906CCB">
        <w:rPr>
          <w:rFonts w:ascii="Georgia" w:hAnsi="Georgia"/>
          <w:sz w:val="24"/>
          <w:szCs w:val="24"/>
        </w:rPr>
        <w:t xml:space="preserve">Friedan’s book, </w:t>
      </w:r>
      <w:r w:rsidR="00906CCB" w:rsidRPr="003B297B">
        <w:rPr>
          <w:rFonts w:ascii="Georgia" w:hAnsi="Georgia"/>
          <w:i/>
          <w:sz w:val="24"/>
          <w:szCs w:val="24"/>
        </w:rPr>
        <w:t>The Feminine Mystique</w:t>
      </w:r>
      <w:r w:rsidR="00906CCB">
        <w:rPr>
          <w:rFonts w:ascii="Georgia" w:hAnsi="Georgia"/>
          <w:sz w:val="24"/>
          <w:szCs w:val="24"/>
        </w:rPr>
        <w:t>, was a scathing critique</w:t>
      </w:r>
      <w:r w:rsidR="000F0531">
        <w:rPr>
          <w:rFonts w:ascii="Georgia" w:hAnsi="Georgia"/>
          <w:sz w:val="24"/>
          <w:szCs w:val="24"/>
        </w:rPr>
        <w:t xml:space="preserve"> of</w:t>
      </w:r>
      <w:r w:rsidR="00906CCB">
        <w:rPr>
          <w:rFonts w:ascii="Georgia" w:hAnsi="Georgia"/>
          <w:sz w:val="24"/>
          <w:szCs w:val="24"/>
        </w:rPr>
        <w:t xml:space="preserve"> </w:t>
      </w:r>
      <w:r w:rsidR="00676A00">
        <w:rPr>
          <w:rFonts w:ascii="Georgia" w:hAnsi="Georgia"/>
          <w:sz w:val="24"/>
          <w:szCs w:val="24"/>
        </w:rPr>
        <w:t xml:space="preserve">patriarchal American society. </w:t>
      </w:r>
      <w:r w:rsidR="000F0531">
        <w:rPr>
          <w:rFonts w:ascii="Georgia" w:hAnsi="Georgia"/>
          <w:sz w:val="24"/>
          <w:szCs w:val="24"/>
        </w:rPr>
        <w:t>In it, s</w:t>
      </w:r>
      <w:r w:rsidR="00676A00">
        <w:rPr>
          <w:rFonts w:ascii="Georgia" w:hAnsi="Georgia"/>
          <w:sz w:val="24"/>
          <w:szCs w:val="24"/>
        </w:rPr>
        <w:t xml:space="preserve">he outlined the numerous areas in which sexist ideas about women negatively impacted them, although her focus was largely (if not entirely) on the problems of middle-class, suburban </w:t>
      </w:r>
      <w:r w:rsidR="00A139CB">
        <w:rPr>
          <w:rFonts w:ascii="Georgia" w:hAnsi="Georgia"/>
          <w:sz w:val="24"/>
          <w:szCs w:val="24"/>
        </w:rPr>
        <w:t>wives and mothers</w:t>
      </w:r>
      <w:r w:rsidR="00676A00">
        <w:rPr>
          <w:rFonts w:ascii="Georgia" w:hAnsi="Georgia"/>
          <w:sz w:val="24"/>
          <w:szCs w:val="24"/>
        </w:rPr>
        <w:t xml:space="preserve">. </w:t>
      </w:r>
      <w:r w:rsidR="00255819">
        <w:rPr>
          <w:rFonts w:ascii="Georgia" w:hAnsi="Georgia"/>
          <w:sz w:val="24"/>
          <w:szCs w:val="24"/>
        </w:rPr>
        <w:t xml:space="preserve">Despite its limited scope, </w:t>
      </w:r>
      <w:r w:rsidR="00255819" w:rsidRPr="008C4245">
        <w:rPr>
          <w:rFonts w:ascii="Georgia" w:hAnsi="Georgia"/>
          <w:i/>
          <w:sz w:val="24"/>
          <w:szCs w:val="24"/>
        </w:rPr>
        <w:t>The Feminine Mystique</w:t>
      </w:r>
      <w:r w:rsidR="00255819">
        <w:rPr>
          <w:rFonts w:ascii="Georgia" w:hAnsi="Georgia"/>
          <w:sz w:val="24"/>
          <w:szCs w:val="24"/>
        </w:rPr>
        <w:t xml:space="preserve"> was nevertheless a landmark in the history of American feminist literature. Although books like Simone de Beauvoir’s </w:t>
      </w:r>
      <w:r w:rsidR="00255819" w:rsidRPr="008C4245">
        <w:rPr>
          <w:rFonts w:ascii="Georgia" w:hAnsi="Georgia"/>
          <w:i/>
          <w:sz w:val="24"/>
          <w:szCs w:val="24"/>
        </w:rPr>
        <w:t>The Second Sex</w:t>
      </w:r>
      <w:r w:rsidR="00255819">
        <w:rPr>
          <w:rFonts w:ascii="Georgia" w:hAnsi="Georgia"/>
          <w:sz w:val="24"/>
          <w:szCs w:val="24"/>
        </w:rPr>
        <w:t xml:space="preserve"> had found audiences abroad, America was somewhat lacking when it came to homegrown writers of the gender studies </w:t>
      </w:r>
      <w:r w:rsidR="000F1F60">
        <w:rPr>
          <w:rFonts w:ascii="Georgia" w:hAnsi="Georgia"/>
          <w:sz w:val="24"/>
          <w:szCs w:val="24"/>
        </w:rPr>
        <w:t>variety</w:t>
      </w:r>
      <w:r w:rsidR="00255819">
        <w:rPr>
          <w:rFonts w:ascii="Georgia" w:hAnsi="Georgia"/>
          <w:sz w:val="24"/>
          <w:szCs w:val="24"/>
        </w:rPr>
        <w:t>.</w:t>
      </w:r>
      <w:r w:rsidR="008C4245">
        <w:rPr>
          <w:rFonts w:ascii="Georgia" w:hAnsi="Georgia"/>
          <w:sz w:val="24"/>
          <w:szCs w:val="24"/>
        </w:rPr>
        <w:t xml:space="preserve"> </w:t>
      </w:r>
      <w:r w:rsidR="008C4245" w:rsidRPr="00D74333">
        <w:rPr>
          <w:rFonts w:ascii="Georgia" w:hAnsi="Georgia"/>
          <w:i/>
          <w:sz w:val="24"/>
          <w:szCs w:val="24"/>
        </w:rPr>
        <w:t>The Feminine Mystique</w:t>
      </w:r>
      <w:r w:rsidR="008C4245">
        <w:rPr>
          <w:rFonts w:ascii="Georgia" w:hAnsi="Georgia"/>
          <w:sz w:val="24"/>
          <w:szCs w:val="24"/>
        </w:rPr>
        <w:t xml:space="preserve"> was then, fittingly, a decidedly American book. It focused </w:t>
      </w:r>
      <w:r w:rsidR="00893F58">
        <w:rPr>
          <w:rFonts w:ascii="Georgia" w:hAnsi="Georgia"/>
          <w:sz w:val="24"/>
          <w:szCs w:val="24"/>
        </w:rPr>
        <w:t xml:space="preserve">on America’s </w:t>
      </w:r>
      <w:proofErr w:type="gramStart"/>
      <w:r w:rsidR="00893F58">
        <w:rPr>
          <w:rFonts w:ascii="Georgia" w:hAnsi="Georgia"/>
          <w:sz w:val="24"/>
          <w:szCs w:val="24"/>
        </w:rPr>
        <w:t>particular variety</w:t>
      </w:r>
      <w:proofErr w:type="gramEnd"/>
      <w:r w:rsidR="00893F58">
        <w:rPr>
          <w:rFonts w:ascii="Georgia" w:hAnsi="Georgia"/>
          <w:sz w:val="24"/>
          <w:szCs w:val="24"/>
        </w:rPr>
        <w:t xml:space="preserve"> of patriarchy, one which was informed heavily by the country’s </w:t>
      </w:r>
      <w:r w:rsidR="00EE59A8">
        <w:rPr>
          <w:rFonts w:ascii="Georgia" w:hAnsi="Georgia"/>
          <w:sz w:val="24"/>
          <w:szCs w:val="24"/>
        </w:rPr>
        <w:t>capitalism and consumerist culture.</w:t>
      </w:r>
      <w:r w:rsidR="00D74333">
        <w:rPr>
          <w:rFonts w:ascii="Georgia" w:hAnsi="Georgia"/>
          <w:sz w:val="24"/>
          <w:szCs w:val="24"/>
        </w:rPr>
        <w:t xml:space="preserve"> The feminine mystique </w:t>
      </w:r>
      <w:r w:rsidR="00995963">
        <w:rPr>
          <w:rFonts w:ascii="Georgia" w:hAnsi="Georgia"/>
          <w:sz w:val="24"/>
          <w:szCs w:val="24"/>
        </w:rPr>
        <w:t xml:space="preserve">was peddled by popular media, while it was frequently the job of said media to serve the consumerist culture, often by advertising. This created an interaction between media and the mystique which involved the former utilising the latter </w:t>
      </w:r>
      <w:r w:rsidR="000F0531">
        <w:rPr>
          <w:rFonts w:ascii="Georgia" w:hAnsi="Georgia"/>
          <w:sz w:val="24"/>
          <w:szCs w:val="24"/>
        </w:rPr>
        <w:t>for the purposes of</w:t>
      </w:r>
      <w:r w:rsidR="00995963">
        <w:rPr>
          <w:rFonts w:ascii="Georgia" w:hAnsi="Georgia"/>
          <w:sz w:val="24"/>
          <w:szCs w:val="24"/>
        </w:rPr>
        <w:t xml:space="preserve"> advertis</w:t>
      </w:r>
      <w:r w:rsidR="000F0531">
        <w:rPr>
          <w:rFonts w:ascii="Georgia" w:hAnsi="Georgia"/>
          <w:sz w:val="24"/>
          <w:szCs w:val="24"/>
        </w:rPr>
        <w:t>ing</w:t>
      </w:r>
      <w:r w:rsidR="00995963">
        <w:rPr>
          <w:rFonts w:ascii="Georgia" w:hAnsi="Georgia"/>
          <w:sz w:val="24"/>
          <w:szCs w:val="24"/>
        </w:rPr>
        <w:t xml:space="preserve">, while this in turn strengthened the image of the mystique. Friedan was </w:t>
      </w:r>
      <w:proofErr w:type="gramStart"/>
      <w:r w:rsidR="00995963">
        <w:rPr>
          <w:rFonts w:ascii="Georgia" w:hAnsi="Georgia"/>
          <w:sz w:val="24"/>
          <w:szCs w:val="24"/>
        </w:rPr>
        <w:t>well aware</w:t>
      </w:r>
      <w:proofErr w:type="gramEnd"/>
      <w:r w:rsidR="00995963">
        <w:rPr>
          <w:rFonts w:ascii="Georgia" w:hAnsi="Georgia"/>
          <w:sz w:val="24"/>
          <w:szCs w:val="24"/>
        </w:rPr>
        <w:t xml:space="preserve"> of the symbiotic relationship between the two, so much so that she devoted a chapter of her book to it, called ‘The Sexual Sell’. She summarised it thus:</w:t>
      </w:r>
    </w:p>
    <w:p w14:paraId="72B2A537" w14:textId="4A8E01E7" w:rsidR="00995963" w:rsidRDefault="00995963" w:rsidP="000F0531">
      <w:pPr>
        <w:shd w:val="clear" w:color="auto" w:fill="FFFFFF"/>
        <w:tabs>
          <w:tab w:val="left" w:pos="1080"/>
        </w:tabs>
        <w:spacing w:after="0" w:line="240" w:lineRule="auto"/>
        <w:jc w:val="both"/>
        <w:rPr>
          <w:rFonts w:ascii="Georgia" w:hAnsi="Georgia"/>
          <w:sz w:val="24"/>
          <w:szCs w:val="24"/>
        </w:rPr>
      </w:pPr>
      <w:r>
        <w:rPr>
          <w:rFonts w:ascii="Georgia" w:hAnsi="Georgia"/>
          <w:sz w:val="24"/>
          <w:szCs w:val="24"/>
        </w:rPr>
        <w:t xml:space="preserve">‘Why is it never said that the </w:t>
      </w:r>
      <w:proofErr w:type="gramStart"/>
      <w:r>
        <w:rPr>
          <w:rFonts w:ascii="Georgia" w:hAnsi="Georgia"/>
          <w:sz w:val="24"/>
          <w:szCs w:val="24"/>
        </w:rPr>
        <w:t>really crucial</w:t>
      </w:r>
      <w:proofErr w:type="gramEnd"/>
      <w:r>
        <w:rPr>
          <w:rFonts w:ascii="Georgia" w:hAnsi="Georgia"/>
          <w:sz w:val="24"/>
          <w:szCs w:val="24"/>
        </w:rPr>
        <w:t xml:space="preserve"> function, the really important role that women serve as housewives </w:t>
      </w:r>
      <w:r w:rsidR="00B21C10">
        <w:rPr>
          <w:rFonts w:ascii="Georgia" w:hAnsi="Georgia"/>
          <w:sz w:val="24"/>
          <w:szCs w:val="24"/>
        </w:rPr>
        <w:t xml:space="preserve">is </w:t>
      </w:r>
      <w:r w:rsidR="00B21C10" w:rsidRPr="002616E0">
        <w:rPr>
          <w:rFonts w:ascii="Georgia" w:hAnsi="Georgia"/>
          <w:i/>
          <w:sz w:val="24"/>
          <w:szCs w:val="24"/>
        </w:rPr>
        <w:t>to buy more things for the house</w:t>
      </w:r>
      <w:r w:rsidR="00B21C10">
        <w:rPr>
          <w:rFonts w:ascii="Georgia" w:hAnsi="Georgia"/>
          <w:sz w:val="24"/>
          <w:szCs w:val="24"/>
        </w:rPr>
        <w:t xml:space="preserve">? </w:t>
      </w:r>
      <w:r w:rsidR="002616E0">
        <w:rPr>
          <w:rFonts w:ascii="Georgia" w:hAnsi="Georgia"/>
          <w:sz w:val="24"/>
          <w:szCs w:val="24"/>
        </w:rPr>
        <w:t xml:space="preserve">In all the talk of femininity and woman’s role, one forgets that the real business of America is business. </w:t>
      </w:r>
      <w:r w:rsidR="002616E0">
        <w:rPr>
          <w:rFonts w:ascii="Georgia" w:hAnsi="Georgia"/>
          <w:sz w:val="24"/>
          <w:szCs w:val="24"/>
        </w:rPr>
        <w:lastRenderedPageBreak/>
        <w:t>But the perpetuation of housewifery, the growth of the feminine mystique, makes sense (and dollars) when one realizes that women are the chief customers of American business. Somehow, somewhere, someone must have figured out that women will buy more things if they are kept in the underused, nameless-yearning, energy-to-get-rid-of state of being housewives.’</w:t>
      </w:r>
      <w:r w:rsidR="00CC2EE8">
        <w:rPr>
          <w:rStyle w:val="FootnoteReference"/>
          <w:rFonts w:ascii="Georgia" w:hAnsi="Georgia"/>
          <w:sz w:val="24"/>
          <w:szCs w:val="24"/>
        </w:rPr>
        <w:footnoteReference w:id="8"/>
      </w:r>
    </w:p>
    <w:p w14:paraId="4D57E3E9" w14:textId="77777777" w:rsidR="000F0531" w:rsidRDefault="000F0531" w:rsidP="000F0531">
      <w:pPr>
        <w:shd w:val="clear" w:color="auto" w:fill="FFFFFF"/>
        <w:tabs>
          <w:tab w:val="left" w:pos="1080"/>
        </w:tabs>
        <w:spacing w:after="0" w:line="240" w:lineRule="auto"/>
        <w:jc w:val="both"/>
        <w:rPr>
          <w:rFonts w:ascii="Georgia" w:hAnsi="Georgia"/>
          <w:sz w:val="24"/>
          <w:szCs w:val="24"/>
        </w:rPr>
      </w:pPr>
    </w:p>
    <w:p w14:paraId="2BF49689" w14:textId="4FD3B052" w:rsidR="002616E0" w:rsidRDefault="002616E0" w:rsidP="00F00FD3">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t xml:space="preserve">Although it periodically expands slightly beyond its usual scope, </w:t>
      </w:r>
      <w:r w:rsidRPr="00DF1855">
        <w:rPr>
          <w:rFonts w:ascii="Georgia" w:hAnsi="Georgia"/>
          <w:i/>
          <w:sz w:val="24"/>
          <w:szCs w:val="24"/>
        </w:rPr>
        <w:t xml:space="preserve">The Feminine Mystique </w:t>
      </w:r>
      <w:r>
        <w:rPr>
          <w:rFonts w:ascii="Georgia" w:hAnsi="Georgia"/>
          <w:sz w:val="24"/>
          <w:szCs w:val="24"/>
        </w:rPr>
        <w:t xml:space="preserve">focuses </w:t>
      </w:r>
      <w:r w:rsidR="00DF1855">
        <w:rPr>
          <w:rFonts w:ascii="Georgia" w:hAnsi="Georgia"/>
          <w:sz w:val="24"/>
          <w:szCs w:val="24"/>
        </w:rPr>
        <w:t xml:space="preserve">primarily </w:t>
      </w:r>
      <w:r>
        <w:rPr>
          <w:rFonts w:ascii="Georgia" w:hAnsi="Georgia"/>
          <w:sz w:val="24"/>
          <w:szCs w:val="24"/>
        </w:rPr>
        <w:t xml:space="preserve">on the plight of the American middle-class woman, from her daily battles with the consumerism that surrounds her to that deciding conflict of </w:t>
      </w:r>
      <w:r w:rsidR="00D34409">
        <w:rPr>
          <w:rFonts w:ascii="Georgia" w:hAnsi="Georgia"/>
          <w:sz w:val="24"/>
          <w:szCs w:val="24"/>
        </w:rPr>
        <w:t xml:space="preserve">working woman vs. housewife – the conflict between these supposedly mutually exclusive occupations was actually more complex, as many women took on jobs after they finished having children, but popular culture </w:t>
      </w:r>
      <w:r w:rsidR="00CF3318">
        <w:rPr>
          <w:rFonts w:ascii="Georgia" w:hAnsi="Georgia"/>
          <w:sz w:val="24"/>
          <w:szCs w:val="24"/>
        </w:rPr>
        <w:t xml:space="preserve">at the time </w:t>
      </w:r>
      <w:r w:rsidR="00D34409">
        <w:rPr>
          <w:rFonts w:ascii="Georgia" w:hAnsi="Georgia"/>
          <w:sz w:val="24"/>
          <w:szCs w:val="24"/>
        </w:rPr>
        <w:t>presented the two as oppositional</w:t>
      </w:r>
      <w:r w:rsidR="00427CC1">
        <w:rPr>
          <w:rFonts w:ascii="Georgia" w:hAnsi="Georgia"/>
          <w:sz w:val="24"/>
          <w:szCs w:val="24"/>
        </w:rPr>
        <w:t xml:space="preserve"> (as Friedan described in her chapter on the ‘Happy Housewife Heroine’ and the unhappy career woman). </w:t>
      </w:r>
      <w:r w:rsidR="00DF1855">
        <w:rPr>
          <w:rFonts w:ascii="Georgia" w:hAnsi="Georgia"/>
          <w:sz w:val="24"/>
          <w:szCs w:val="24"/>
        </w:rPr>
        <w:t xml:space="preserve">The targeting of Friedan’s feminist analysis towards a certain category of women is in some ways a positive, as it may have given her work greater resonance to those women. However, the limited range of her writings can also </w:t>
      </w:r>
      <w:proofErr w:type="gramStart"/>
      <w:r w:rsidR="00DF1855">
        <w:rPr>
          <w:rFonts w:ascii="Georgia" w:hAnsi="Georgia"/>
          <w:sz w:val="24"/>
          <w:szCs w:val="24"/>
        </w:rPr>
        <w:t>be seen as</w:t>
      </w:r>
      <w:proofErr w:type="gramEnd"/>
      <w:r w:rsidR="00DF1855">
        <w:rPr>
          <w:rFonts w:ascii="Georgia" w:hAnsi="Georgia"/>
          <w:sz w:val="24"/>
          <w:szCs w:val="24"/>
        </w:rPr>
        <w:t xml:space="preserve"> a negative, particularly in the light of modern-day feminism.</w:t>
      </w:r>
    </w:p>
    <w:p w14:paraId="072018E0" w14:textId="19B11714" w:rsidR="00DF1855" w:rsidRDefault="00DF1855" w:rsidP="00F00FD3">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r>
      <w:r w:rsidR="00126413">
        <w:rPr>
          <w:rFonts w:ascii="Georgia" w:hAnsi="Georgia"/>
          <w:sz w:val="24"/>
          <w:szCs w:val="24"/>
        </w:rPr>
        <w:t xml:space="preserve">While Friedan’s </w:t>
      </w:r>
      <w:r w:rsidR="00126413" w:rsidRPr="00E37FB5">
        <w:rPr>
          <w:rFonts w:ascii="Georgia" w:hAnsi="Georgia"/>
          <w:i/>
          <w:sz w:val="24"/>
          <w:szCs w:val="24"/>
        </w:rPr>
        <w:t>Feminine Mystique</w:t>
      </w:r>
      <w:r w:rsidR="00126413">
        <w:rPr>
          <w:rFonts w:ascii="Georgia" w:hAnsi="Georgia"/>
          <w:sz w:val="24"/>
          <w:szCs w:val="24"/>
        </w:rPr>
        <w:t xml:space="preserve"> was no doubt an era-defining piece of work, as well as a book which changed the lives of many women of the day, </w:t>
      </w:r>
      <w:r w:rsidR="00003C80">
        <w:rPr>
          <w:rFonts w:ascii="Georgia" w:hAnsi="Georgia"/>
          <w:sz w:val="24"/>
          <w:szCs w:val="24"/>
        </w:rPr>
        <w:t xml:space="preserve">it has not entirely aged well. In her introduction to the 2010 Penguin Modern Classics edition of </w:t>
      </w:r>
      <w:r w:rsidR="00003C80" w:rsidRPr="00003C80">
        <w:rPr>
          <w:rFonts w:ascii="Georgia" w:hAnsi="Georgia"/>
          <w:i/>
          <w:sz w:val="24"/>
          <w:szCs w:val="24"/>
        </w:rPr>
        <w:t>The Feminine Mystique</w:t>
      </w:r>
      <w:r w:rsidR="00003C80">
        <w:rPr>
          <w:rFonts w:ascii="Georgia" w:hAnsi="Georgia"/>
          <w:sz w:val="24"/>
          <w:szCs w:val="24"/>
        </w:rPr>
        <w:t xml:space="preserve">, novelist Lionel Shriver </w:t>
      </w:r>
      <w:r w:rsidR="00CB5D22">
        <w:rPr>
          <w:rFonts w:ascii="Georgia" w:hAnsi="Georgia"/>
          <w:sz w:val="24"/>
          <w:szCs w:val="24"/>
        </w:rPr>
        <w:t>is quick to point out the present-day resonance of Friedan’s points. The feminine mystique, she asserts, is alive and well today, and women can still learn much from reading Friedan’s work on it.</w:t>
      </w:r>
      <w:r w:rsidR="00CB4796">
        <w:rPr>
          <w:rFonts w:ascii="Georgia" w:hAnsi="Georgia"/>
          <w:sz w:val="24"/>
          <w:szCs w:val="24"/>
        </w:rPr>
        <w:t xml:space="preserve"> She also defends Friedan against recent feminist criticism, such as that which points out the limits of Friedan’s focusing </w:t>
      </w:r>
      <w:r w:rsidR="00F25D41">
        <w:rPr>
          <w:rFonts w:ascii="Georgia" w:hAnsi="Georgia"/>
          <w:sz w:val="24"/>
          <w:szCs w:val="24"/>
        </w:rPr>
        <w:t xml:space="preserve">on what Shriver </w:t>
      </w:r>
      <w:r w:rsidR="00224BDE">
        <w:rPr>
          <w:rFonts w:ascii="Georgia" w:hAnsi="Georgia"/>
          <w:sz w:val="24"/>
          <w:szCs w:val="24"/>
        </w:rPr>
        <w:t>conceded as largely</w:t>
      </w:r>
      <w:r w:rsidR="00CB4796">
        <w:rPr>
          <w:rFonts w:ascii="Georgia" w:hAnsi="Georgia"/>
          <w:sz w:val="24"/>
          <w:szCs w:val="24"/>
        </w:rPr>
        <w:t xml:space="preserve"> ‘white, middle- and </w:t>
      </w:r>
      <w:r w:rsidR="00CB4796">
        <w:rPr>
          <w:rFonts w:ascii="Georgia" w:hAnsi="Georgia"/>
          <w:sz w:val="24"/>
          <w:szCs w:val="24"/>
        </w:rPr>
        <w:lastRenderedPageBreak/>
        <w:t>upper-class women’: ‘There’s nothing wrong with focusing on a predominantly white, middle-class malaise. No rule dictates that authors have to write about everybody.’</w:t>
      </w:r>
      <w:r w:rsidR="00CB4796">
        <w:rPr>
          <w:rStyle w:val="FootnoteReference"/>
          <w:rFonts w:ascii="Georgia" w:hAnsi="Georgia"/>
          <w:sz w:val="24"/>
          <w:szCs w:val="24"/>
        </w:rPr>
        <w:footnoteReference w:id="9"/>
      </w:r>
      <w:r w:rsidR="00CB4796">
        <w:rPr>
          <w:rFonts w:ascii="Georgia" w:hAnsi="Georgia"/>
          <w:sz w:val="24"/>
          <w:szCs w:val="24"/>
        </w:rPr>
        <w:t xml:space="preserve"> </w:t>
      </w:r>
    </w:p>
    <w:p w14:paraId="6E70F6B4" w14:textId="3C3DD8D6" w:rsidR="000D7155" w:rsidRDefault="00224BDE" w:rsidP="00F00FD3">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t xml:space="preserve">Shriver’s excuse may work when placing Friedan’s work in the context of second-wave feminism, but it fails to be quite as convincing when one is trying to demonstrate </w:t>
      </w:r>
      <w:r w:rsidRPr="00224BDE">
        <w:rPr>
          <w:rFonts w:ascii="Georgia" w:hAnsi="Georgia"/>
          <w:i/>
          <w:sz w:val="24"/>
          <w:szCs w:val="24"/>
        </w:rPr>
        <w:t>The Feminine Mystique’s</w:t>
      </w:r>
      <w:r>
        <w:rPr>
          <w:rFonts w:ascii="Georgia" w:hAnsi="Georgia"/>
          <w:sz w:val="24"/>
          <w:szCs w:val="24"/>
        </w:rPr>
        <w:t xml:space="preserve"> usefulness in the present day. </w:t>
      </w:r>
      <w:r w:rsidR="00D81369">
        <w:rPr>
          <w:rFonts w:ascii="Georgia" w:hAnsi="Georgia"/>
          <w:sz w:val="24"/>
          <w:szCs w:val="24"/>
        </w:rPr>
        <w:t xml:space="preserve">With the current trend in feminism towards intersectionality, Friedan’s work comes across as exclusive rather than specific. It is certainly true that Friedan’s book rarely goes beyond the middle- and upper-class realm of American society, </w:t>
      </w:r>
      <w:r w:rsidR="006F7298">
        <w:rPr>
          <w:rFonts w:ascii="Georgia" w:hAnsi="Georgia"/>
          <w:sz w:val="24"/>
          <w:szCs w:val="24"/>
        </w:rPr>
        <w:t xml:space="preserve">while the struggles of women of colour (along with those of women from other marginalised groups) are neglected. </w:t>
      </w:r>
      <w:r w:rsidR="00D524A0">
        <w:rPr>
          <w:rFonts w:ascii="Georgia" w:hAnsi="Georgia"/>
          <w:sz w:val="24"/>
          <w:szCs w:val="24"/>
        </w:rPr>
        <w:t xml:space="preserve">Although she is generally defensive of Friedan’s work, </w:t>
      </w:r>
      <w:r w:rsidR="007802C1">
        <w:rPr>
          <w:rFonts w:ascii="Georgia" w:hAnsi="Georgia"/>
          <w:sz w:val="24"/>
          <w:szCs w:val="24"/>
        </w:rPr>
        <w:t>the academic Stephanie Coontz has admitted an initial dislike for Friedan’s ‘egotism’ and her ignorance of women’s lives beyond her own experience. Upon first encountering the book, she ‘was indignant that Friedan portrayed all women in that era as passive and preoccupied with their homes.’</w:t>
      </w:r>
      <w:r w:rsidR="007802C1">
        <w:rPr>
          <w:rStyle w:val="FootnoteReference"/>
          <w:rFonts w:ascii="Georgia" w:hAnsi="Georgia"/>
          <w:sz w:val="24"/>
          <w:szCs w:val="24"/>
        </w:rPr>
        <w:footnoteReference w:id="10"/>
      </w:r>
      <w:r w:rsidR="007802C1">
        <w:rPr>
          <w:rFonts w:ascii="Georgia" w:hAnsi="Georgia"/>
          <w:sz w:val="24"/>
          <w:szCs w:val="24"/>
        </w:rPr>
        <w:t xml:space="preserve"> To do so, she felt, was to exclude the African-American civil rights activists and female labour organisers of the time. </w:t>
      </w:r>
    </w:p>
    <w:p w14:paraId="3BCA416B" w14:textId="17B7F4FD" w:rsidR="00B40386" w:rsidRDefault="00B40386" w:rsidP="00F00FD3">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r>
      <w:r w:rsidR="004D1C60">
        <w:rPr>
          <w:rFonts w:ascii="Georgia" w:hAnsi="Georgia"/>
          <w:sz w:val="24"/>
          <w:szCs w:val="24"/>
        </w:rPr>
        <w:t xml:space="preserve">In the same vein of exclusivity, Friedan’s </w:t>
      </w:r>
      <w:r w:rsidR="00A7123A">
        <w:rPr>
          <w:rFonts w:ascii="Georgia" w:hAnsi="Georgia"/>
          <w:sz w:val="24"/>
          <w:szCs w:val="24"/>
        </w:rPr>
        <w:t xml:space="preserve">attitude towards LGBT+ issues </w:t>
      </w:r>
      <w:proofErr w:type="gramStart"/>
      <w:r w:rsidR="00A7123A">
        <w:rPr>
          <w:rFonts w:ascii="Georgia" w:hAnsi="Georgia"/>
          <w:sz w:val="24"/>
          <w:szCs w:val="24"/>
        </w:rPr>
        <w:t>has</w:t>
      </w:r>
      <w:proofErr w:type="gramEnd"/>
      <w:r w:rsidR="00A7123A">
        <w:rPr>
          <w:rFonts w:ascii="Georgia" w:hAnsi="Georgia"/>
          <w:sz w:val="24"/>
          <w:szCs w:val="24"/>
        </w:rPr>
        <w:t xml:space="preserve"> also posed a problem for modern feminists. In </w:t>
      </w:r>
      <w:proofErr w:type="gramStart"/>
      <w:r w:rsidR="00A7123A" w:rsidRPr="00A7123A">
        <w:rPr>
          <w:rFonts w:ascii="Georgia" w:hAnsi="Georgia"/>
          <w:i/>
          <w:sz w:val="24"/>
          <w:szCs w:val="24"/>
        </w:rPr>
        <w:t>The</w:t>
      </w:r>
      <w:proofErr w:type="gramEnd"/>
      <w:r w:rsidR="00A7123A" w:rsidRPr="00A7123A">
        <w:rPr>
          <w:rFonts w:ascii="Georgia" w:hAnsi="Georgia"/>
          <w:i/>
          <w:sz w:val="24"/>
          <w:szCs w:val="24"/>
        </w:rPr>
        <w:t xml:space="preserve"> Feminine Mystique</w:t>
      </w:r>
      <w:r w:rsidR="00A7123A">
        <w:rPr>
          <w:rFonts w:ascii="Georgia" w:hAnsi="Georgia"/>
          <w:sz w:val="24"/>
          <w:szCs w:val="24"/>
        </w:rPr>
        <w:t>, Friedan claims that ‘homosexuality is spreading like a murky fog over the American scene’.</w:t>
      </w:r>
      <w:r w:rsidR="00A7123A">
        <w:rPr>
          <w:rStyle w:val="FootnoteReference"/>
          <w:rFonts w:ascii="Georgia" w:hAnsi="Georgia"/>
          <w:sz w:val="24"/>
          <w:szCs w:val="24"/>
        </w:rPr>
        <w:footnoteReference w:id="11"/>
      </w:r>
      <w:r w:rsidR="00A7123A">
        <w:rPr>
          <w:rFonts w:ascii="Georgia" w:hAnsi="Georgia"/>
          <w:sz w:val="24"/>
          <w:szCs w:val="24"/>
        </w:rPr>
        <w:t xml:space="preserve"> </w:t>
      </w:r>
      <w:r w:rsidR="00F824BD">
        <w:rPr>
          <w:rFonts w:ascii="Georgia" w:hAnsi="Georgia"/>
          <w:sz w:val="24"/>
          <w:szCs w:val="24"/>
        </w:rPr>
        <w:t xml:space="preserve">She references Freudian psychology that traces the origins of homosexuality back to a man’s relationship with his mother, while at the same time attributing an apparent rise in the number of gay men to the same feminine mystique which oppresses women. </w:t>
      </w:r>
      <w:r w:rsidR="00F36929">
        <w:rPr>
          <w:rFonts w:ascii="Georgia" w:hAnsi="Georgia"/>
          <w:sz w:val="24"/>
          <w:szCs w:val="24"/>
        </w:rPr>
        <w:t>As president of the organisation which she founded after publish</w:t>
      </w:r>
      <w:r w:rsidR="00E37FB5">
        <w:rPr>
          <w:rFonts w:ascii="Georgia" w:hAnsi="Georgia"/>
          <w:sz w:val="24"/>
          <w:szCs w:val="24"/>
        </w:rPr>
        <w:t>ing</w:t>
      </w:r>
      <w:r w:rsidR="00F36929">
        <w:rPr>
          <w:rFonts w:ascii="Georgia" w:hAnsi="Georgia"/>
          <w:sz w:val="24"/>
          <w:szCs w:val="24"/>
        </w:rPr>
        <w:t xml:space="preserve"> </w:t>
      </w:r>
      <w:r w:rsidR="00F36929" w:rsidRPr="00E37FB5">
        <w:rPr>
          <w:rFonts w:ascii="Georgia" w:hAnsi="Georgia"/>
          <w:i/>
          <w:sz w:val="24"/>
          <w:szCs w:val="24"/>
        </w:rPr>
        <w:t xml:space="preserve">The Feminine </w:t>
      </w:r>
      <w:r w:rsidR="00F36929" w:rsidRPr="00E37FB5">
        <w:rPr>
          <w:rFonts w:ascii="Georgia" w:hAnsi="Georgia"/>
          <w:i/>
          <w:sz w:val="24"/>
          <w:szCs w:val="24"/>
        </w:rPr>
        <w:lastRenderedPageBreak/>
        <w:t>Mystique</w:t>
      </w:r>
      <w:r w:rsidR="00F36929">
        <w:rPr>
          <w:rFonts w:ascii="Georgia" w:hAnsi="Georgia"/>
          <w:sz w:val="24"/>
          <w:szCs w:val="24"/>
        </w:rPr>
        <w:t>, the National Organisation for Women (NOW), Friedan was keen to exclude queer women from the group. In 1970</w:t>
      </w:r>
      <w:r w:rsidR="00E37FB5">
        <w:rPr>
          <w:rFonts w:ascii="Georgia" w:hAnsi="Georgia"/>
          <w:sz w:val="24"/>
          <w:szCs w:val="24"/>
        </w:rPr>
        <w:t>,</w:t>
      </w:r>
      <w:r w:rsidR="00F36929">
        <w:rPr>
          <w:rFonts w:ascii="Georgia" w:hAnsi="Georgia"/>
          <w:sz w:val="24"/>
          <w:szCs w:val="24"/>
        </w:rPr>
        <w:t xml:space="preserve"> she referred to lesbians within the organisation as a ‘lavender menace’, claiming that attempts to tie the feminist effort to LGBT+ causes would tarnish both the reputation and effectiveness of NOW’s activism. This led to an exodus of queer women from NOW, some leaving </w:t>
      </w:r>
      <w:r w:rsidR="00E37FB5">
        <w:rPr>
          <w:rFonts w:ascii="Georgia" w:hAnsi="Georgia"/>
          <w:sz w:val="24"/>
          <w:szCs w:val="24"/>
        </w:rPr>
        <w:t xml:space="preserve">by </w:t>
      </w:r>
      <w:r w:rsidR="00F36929">
        <w:rPr>
          <w:rFonts w:ascii="Georgia" w:hAnsi="Georgia"/>
          <w:sz w:val="24"/>
          <w:szCs w:val="24"/>
        </w:rPr>
        <w:t xml:space="preserve">choice while others were pressured to go. </w:t>
      </w:r>
      <w:r w:rsidR="00C11040">
        <w:rPr>
          <w:rFonts w:ascii="Georgia" w:hAnsi="Georgia"/>
          <w:sz w:val="24"/>
          <w:szCs w:val="24"/>
        </w:rPr>
        <w:t xml:space="preserve">While the title of Lavender Menace </w:t>
      </w:r>
      <w:r w:rsidR="00C9000A">
        <w:rPr>
          <w:rFonts w:ascii="Georgia" w:hAnsi="Georgia"/>
          <w:sz w:val="24"/>
          <w:szCs w:val="24"/>
        </w:rPr>
        <w:t>was afterwards reclaimed by groups of lesbian activists, Friedan failed to welcome queer women back into NOW, or to incorporate them into her feminism more broadly.</w:t>
      </w:r>
      <w:r w:rsidR="00C9000A">
        <w:rPr>
          <w:rStyle w:val="FootnoteReference"/>
          <w:rFonts w:ascii="Georgia" w:hAnsi="Georgia"/>
          <w:sz w:val="24"/>
          <w:szCs w:val="24"/>
        </w:rPr>
        <w:footnoteReference w:id="12"/>
      </w:r>
      <w:r w:rsidR="005B5A9C">
        <w:rPr>
          <w:rFonts w:ascii="Georgia" w:hAnsi="Georgia"/>
          <w:sz w:val="24"/>
          <w:szCs w:val="24"/>
        </w:rPr>
        <w:t xml:space="preserve"> This is yet another example of the lack of progressivism in Friedan’s feminism, a </w:t>
      </w:r>
      <w:r w:rsidR="00C65059">
        <w:rPr>
          <w:rFonts w:ascii="Georgia" w:hAnsi="Georgia"/>
          <w:sz w:val="24"/>
          <w:szCs w:val="24"/>
        </w:rPr>
        <w:t>trait which roots it firmly in the past.</w:t>
      </w:r>
    </w:p>
    <w:p w14:paraId="0FC9B2D0" w14:textId="4F3F8EAF" w:rsidR="00C65059" w:rsidRDefault="00C65059" w:rsidP="00F00FD3">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r>
      <w:r w:rsidR="00BA72F2">
        <w:rPr>
          <w:rFonts w:ascii="Georgia" w:hAnsi="Georgia"/>
          <w:sz w:val="24"/>
          <w:szCs w:val="24"/>
        </w:rPr>
        <w:t xml:space="preserve">Betty Friedan’s </w:t>
      </w:r>
      <w:r w:rsidR="00BA72F2" w:rsidRPr="00BA72F2">
        <w:rPr>
          <w:rFonts w:ascii="Georgia" w:hAnsi="Georgia"/>
          <w:i/>
          <w:sz w:val="24"/>
          <w:szCs w:val="24"/>
        </w:rPr>
        <w:t>Feminine Mystique</w:t>
      </w:r>
      <w:r w:rsidR="00BA72F2">
        <w:rPr>
          <w:rFonts w:ascii="Georgia" w:hAnsi="Georgia"/>
          <w:sz w:val="24"/>
          <w:szCs w:val="24"/>
        </w:rPr>
        <w:t xml:space="preserve"> has become an iconic work for a reason. </w:t>
      </w:r>
      <w:r w:rsidR="00232A31">
        <w:rPr>
          <w:rFonts w:ascii="Georgia" w:hAnsi="Georgia"/>
          <w:sz w:val="24"/>
          <w:szCs w:val="24"/>
        </w:rPr>
        <w:t xml:space="preserve">There is perhaps no work which better crystallised the </w:t>
      </w:r>
      <w:r w:rsidR="00E37FB5">
        <w:rPr>
          <w:rFonts w:ascii="Georgia" w:hAnsi="Georgia"/>
          <w:sz w:val="24"/>
          <w:szCs w:val="24"/>
        </w:rPr>
        <w:t>oppression</w:t>
      </w:r>
      <w:r w:rsidR="00232A31">
        <w:rPr>
          <w:rFonts w:ascii="Georgia" w:hAnsi="Georgia"/>
          <w:sz w:val="24"/>
          <w:szCs w:val="24"/>
        </w:rPr>
        <w:t xml:space="preserve"> felt by middle- and upper-class suburban women in the 1960s, and for this reason it resonated with many. Its ideas of a pervasive feminine mystique and a patriarchy that is inextricably bound up with capitalism remain relevant to this day. However, </w:t>
      </w:r>
      <w:r w:rsidR="00232A31" w:rsidRPr="00E37FB5">
        <w:rPr>
          <w:rFonts w:ascii="Georgia" w:hAnsi="Georgia"/>
          <w:i/>
          <w:sz w:val="24"/>
          <w:szCs w:val="24"/>
        </w:rPr>
        <w:t xml:space="preserve">The Feminine Mystique </w:t>
      </w:r>
      <w:r w:rsidR="00232A31">
        <w:rPr>
          <w:rFonts w:ascii="Georgia" w:hAnsi="Georgia"/>
          <w:sz w:val="24"/>
          <w:szCs w:val="24"/>
        </w:rPr>
        <w:t xml:space="preserve">is ultimately the work of a </w:t>
      </w:r>
      <w:proofErr w:type="gramStart"/>
      <w:r w:rsidR="00232A31">
        <w:rPr>
          <w:rFonts w:ascii="Georgia" w:hAnsi="Georgia"/>
          <w:sz w:val="24"/>
          <w:szCs w:val="24"/>
        </w:rPr>
        <w:t>particular era</w:t>
      </w:r>
      <w:proofErr w:type="gramEnd"/>
      <w:r w:rsidR="00232A31">
        <w:rPr>
          <w:rFonts w:ascii="Georgia" w:hAnsi="Georgia"/>
          <w:sz w:val="24"/>
          <w:szCs w:val="24"/>
        </w:rPr>
        <w:t xml:space="preserve">, for better or worse. The text seems dated today, with its period-typical exclusivity and lack of radical solutions to problems which feminists have </w:t>
      </w:r>
      <w:r w:rsidR="0016257E">
        <w:rPr>
          <w:rFonts w:ascii="Georgia" w:hAnsi="Georgia"/>
          <w:sz w:val="24"/>
          <w:szCs w:val="24"/>
        </w:rPr>
        <w:t xml:space="preserve">long been aware of by now. </w:t>
      </w:r>
      <w:r w:rsidR="00674777">
        <w:rPr>
          <w:rFonts w:ascii="Georgia" w:hAnsi="Georgia"/>
          <w:sz w:val="24"/>
          <w:szCs w:val="24"/>
        </w:rPr>
        <w:t xml:space="preserve">As feminist analyses go, Friedan’s is a thoroughly bourgeois, American, liberal one. This may be a positive or a negative, depending on what one is looking for in the work, but the fact remains that </w:t>
      </w:r>
      <w:r w:rsidR="00B34E81">
        <w:rPr>
          <w:rFonts w:ascii="Georgia" w:hAnsi="Georgia"/>
          <w:sz w:val="24"/>
          <w:szCs w:val="24"/>
        </w:rPr>
        <w:t xml:space="preserve">the book’s </w:t>
      </w:r>
      <w:r w:rsidR="00C83FFF">
        <w:rPr>
          <w:rFonts w:ascii="Georgia" w:hAnsi="Georgia"/>
          <w:sz w:val="24"/>
          <w:szCs w:val="24"/>
        </w:rPr>
        <w:t>relevance</w:t>
      </w:r>
      <w:r w:rsidR="00B34E81">
        <w:rPr>
          <w:rFonts w:ascii="Georgia" w:hAnsi="Georgia"/>
          <w:sz w:val="24"/>
          <w:szCs w:val="24"/>
        </w:rPr>
        <w:t xml:space="preserve"> today </w:t>
      </w:r>
      <w:r w:rsidR="00996BD9">
        <w:rPr>
          <w:rFonts w:ascii="Georgia" w:hAnsi="Georgia"/>
          <w:sz w:val="24"/>
          <w:szCs w:val="24"/>
        </w:rPr>
        <w:t>pales in comparison to how</w:t>
      </w:r>
      <w:r w:rsidR="00B34E81">
        <w:rPr>
          <w:rFonts w:ascii="Georgia" w:hAnsi="Georgia"/>
          <w:sz w:val="24"/>
          <w:szCs w:val="24"/>
        </w:rPr>
        <w:t xml:space="preserve"> revolutionary it seemed at the time of publication.</w:t>
      </w:r>
      <w:r w:rsidR="00232A31">
        <w:rPr>
          <w:rFonts w:ascii="Georgia" w:hAnsi="Georgia"/>
          <w:sz w:val="24"/>
          <w:szCs w:val="24"/>
        </w:rPr>
        <w:t xml:space="preserve"> </w:t>
      </w:r>
    </w:p>
    <w:p w14:paraId="20DA2B4C" w14:textId="37DD7D02" w:rsidR="0042210E" w:rsidRDefault="004836A2" w:rsidP="00BD3FDE">
      <w:pPr>
        <w:shd w:val="clear" w:color="auto" w:fill="FFFFFF"/>
        <w:tabs>
          <w:tab w:val="left" w:pos="1080"/>
        </w:tabs>
        <w:spacing w:after="0" w:line="480" w:lineRule="auto"/>
        <w:jc w:val="both"/>
        <w:rPr>
          <w:rFonts w:ascii="Georgia" w:hAnsi="Georgia"/>
          <w:sz w:val="28"/>
          <w:szCs w:val="28"/>
        </w:rPr>
      </w:pPr>
      <w:r>
        <w:rPr>
          <w:rFonts w:ascii="Georgia" w:hAnsi="Georgia"/>
          <w:sz w:val="24"/>
          <w:szCs w:val="24"/>
        </w:rPr>
        <w:tab/>
      </w:r>
    </w:p>
    <w:p w14:paraId="798CECEB" w14:textId="77777777" w:rsidR="008E2BF6" w:rsidRPr="00863CDE" w:rsidRDefault="0014185B" w:rsidP="00890603">
      <w:pPr>
        <w:spacing w:line="480" w:lineRule="auto"/>
        <w:jc w:val="center"/>
        <w:rPr>
          <w:rFonts w:ascii="Georgia" w:hAnsi="Georgia"/>
          <w:sz w:val="24"/>
          <w:szCs w:val="24"/>
        </w:rPr>
      </w:pPr>
      <w:r w:rsidRPr="00863CDE">
        <w:rPr>
          <w:rFonts w:ascii="Georgia" w:hAnsi="Georgia"/>
          <w:sz w:val="28"/>
          <w:szCs w:val="28"/>
        </w:rPr>
        <w:lastRenderedPageBreak/>
        <w:t>Bibliography</w:t>
      </w:r>
    </w:p>
    <w:p w14:paraId="0CD99D97" w14:textId="77777777" w:rsidR="00965B6C" w:rsidRPr="00D3026B" w:rsidRDefault="00965B6C" w:rsidP="00E361EF">
      <w:pPr>
        <w:spacing w:after="0" w:line="480" w:lineRule="auto"/>
        <w:ind w:left="360" w:hanging="360"/>
        <w:jc w:val="both"/>
        <w:rPr>
          <w:rFonts w:ascii="Georgia" w:hAnsi="Georgia"/>
          <w:sz w:val="24"/>
          <w:szCs w:val="24"/>
          <w:lang w:val="en-US"/>
        </w:rPr>
      </w:pPr>
      <w:proofErr w:type="spellStart"/>
      <w:r>
        <w:rPr>
          <w:rFonts w:ascii="Georgia" w:hAnsi="Georgia"/>
          <w:sz w:val="24"/>
          <w:szCs w:val="24"/>
        </w:rPr>
        <w:t>Berkin</w:t>
      </w:r>
      <w:proofErr w:type="spellEnd"/>
      <w:r>
        <w:rPr>
          <w:rFonts w:ascii="Georgia" w:hAnsi="Georgia"/>
          <w:sz w:val="24"/>
          <w:szCs w:val="24"/>
        </w:rPr>
        <w:t xml:space="preserve">, </w:t>
      </w:r>
      <w:r w:rsidRPr="00D3026B">
        <w:rPr>
          <w:rFonts w:ascii="Georgia" w:hAnsi="Georgia"/>
          <w:sz w:val="24"/>
          <w:szCs w:val="24"/>
        </w:rPr>
        <w:t xml:space="preserve">Carol Ruth and Mary Beth Norton, </w:t>
      </w:r>
      <w:r w:rsidRPr="00D3026B">
        <w:rPr>
          <w:rFonts w:ascii="Georgia" w:hAnsi="Georgia"/>
          <w:i/>
          <w:sz w:val="24"/>
          <w:szCs w:val="24"/>
          <w:lang w:val="en-US"/>
        </w:rPr>
        <w:t>Women of America: A History</w:t>
      </w:r>
      <w:r w:rsidRPr="00D3026B">
        <w:rPr>
          <w:rFonts w:ascii="Georgia" w:hAnsi="Georgia"/>
          <w:sz w:val="24"/>
          <w:szCs w:val="24"/>
          <w:lang w:val="en-US"/>
        </w:rPr>
        <w:t xml:space="preserve"> (Boston: Houghton Mifflin Company,</w:t>
      </w:r>
      <w:r>
        <w:rPr>
          <w:rFonts w:ascii="Georgia" w:hAnsi="Georgia"/>
          <w:sz w:val="24"/>
          <w:szCs w:val="24"/>
          <w:lang w:val="en-US"/>
        </w:rPr>
        <w:t xml:space="preserve"> </w:t>
      </w:r>
      <w:r w:rsidRPr="00D3026B">
        <w:rPr>
          <w:rFonts w:ascii="Georgia" w:hAnsi="Georgia"/>
          <w:sz w:val="24"/>
          <w:szCs w:val="24"/>
          <w:lang w:val="en-US"/>
        </w:rPr>
        <w:t>1979</w:t>
      </w:r>
      <w:r>
        <w:rPr>
          <w:rFonts w:ascii="Georgia" w:hAnsi="Georgia"/>
          <w:sz w:val="24"/>
          <w:szCs w:val="24"/>
          <w:lang w:val="en-US"/>
        </w:rPr>
        <w:t>)</w:t>
      </w:r>
    </w:p>
    <w:p w14:paraId="137F60DB" w14:textId="77777777" w:rsidR="00965B6C" w:rsidRPr="00D3026B" w:rsidRDefault="00965B6C" w:rsidP="00E361EF">
      <w:pPr>
        <w:spacing w:after="0" w:line="480" w:lineRule="auto"/>
        <w:ind w:left="360" w:hanging="360"/>
        <w:jc w:val="both"/>
        <w:rPr>
          <w:rFonts w:ascii="Georgia" w:hAnsi="Georgia"/>
          <w:sz w:val="24"/>
          <w:szCs w:val="24"/>
          <w:lang w:val="en-US"/>
        </w:rPr>
      </w:pPr>
      <w:r w:rsidRPr="00D3026B">
        <w:rPr>
          <w:rFonts w:ascii="Georgia" w:hAnsi="Georgia"/>
          <w:sz w:val="24"/>
          <w:szCs w:val="24"/>
          <w:lang w:val="en-US"/>
        </w:rPr>
        <w:t>Coontz,</w:t>
      </w:r>
      <w:r>
        <w:rPr>
          <w:rFonts w:ascii="Georgia" w:hAnsi="Georgia"/>
          <w:sz w:val="24"/>
          <w:szCs w:val="24"/>
          <w:lang w:val="en-US"/>
        </w:rPr>
        <w:t xml:space="preserve"> </w:t>
      </w:r>
      <w:r w:rsidRPr="00D3026B">
        <w:rPr>
          <w:rFonts w:ascii="Georgia" w:hAnsi="Georgia"/>
          <w:sz w:val="24"/>
          <w:szCs w:val="24"/>
          <w:lang w:val="en-US"/>
        </w:rPr>
        <w:t>Stephanie</w:t>
      </w:r>
      <w:r>
        <w:rPr>
          <w:rFonts w:ascii="Georgia" w:hAnsi="Georgia"/>
          <w:sz w:val="24"/>
          <w:szCs w:val="24"/>
          <w:lang w:val="en-US"/>
        </w:rPr>
        <w:t>,</w:t>
      </w:r>
      <w:r w:rsidRPr="00D3026B">
        <w:rPr>
          <w:rFonts w:ascii="Georgia" w:hAnsi="Georgia"/>
          <w:sz w:val="24"/>
          <w:szCs w:val="24"/>
          <w:lang w:val="en-US"/>
        </w:rPr>
        <w:t xml:space="preserve"> </w:t>
      </w:r>
      <w:r w:rsidRPr="00D3026B">
        <w:rPr>
          <w:rFonts w:ascii="Georgia" w:hAnsi="Georgia"/>
          <w:i/>
          <w:sz w:val="24"/>
          <w:szCs w:val="24"/>
          <w:lang w:val="en-US"/>
        </w:rPr>
        <w:t>A Strange Stirring</w:t>
      </w:r>
      <w:r w:rsidRPr="00D3026B">
        <w:rPr>
          <w:rFonts w:ascii="Georgia" w:hAnsi="Georgia"/>
          <w:sz w:val="24"/>
          <w:szCs w:val="24"/>
          <w:lang w:val="en-US"/>
        </w:rPr>
        <w:t xml:space="preserve"> (New York: Basic Books, 2011)</w:t>
      </w:r>
      <w:r>
        <w:rPr>
          <w:rFonts w:ascii="Georgia" w:hAnsi="Georgia"/>
          <w:sz w:val="24"/>
          <w:szCs w:val="24"/>
          <w:lang w:val="en-US"/>
        </w:rPr>
        <w:t>.</w:t>
      </w:r>
    </w:p>
    <w:p w14:paraId="18B3717A" w14:textId="77777777" w:rsidR="00965B6C" w:rsidRDefault="00965B6C" w:rsidP="00E361EF">
      <w:pPr>
        <w:pStyle w:val="FootnoteText"/>
        <w:spacing w:line="480" w:lineRule="auto"/>
        <w:ind w:left="360" w:hanging="360"/>
        <w:rPr>
          <w:rFonts w:ascii="Georgia" w:hAnsi="Georgia"/>
          <w:sz w:val="24"/>
          <w:szCs w:val="24"/>
          <w:lang w:val="en-US"/>
        </w:rPr>
      </w:pPr>
      <w:r w:rsidRPr="00D3026B">
        <w:rPr>
          <w:rFonts w:ascii="Georgia" w:hAnsi="Georgia"/>
          <w:sz w:val="24"/>
          <w:szCs w:val="24"/>
        </w:rPr>
        <w:t>Friedan,</w:t>
      </w:r>
      <w:r w:rsidRPr="00D3026B">
        <w:rPr>
          <w:rFonts w:ascii="Georgia" w:hAnsi="Georgia"/>
          <w:sz w:val="24"/>
          <w:szCs w:val="24"/>
        </w:rPr>
        <w:t xml:space="preserve"> </w:t>
      </w:r>
      <w:r w:rsidRPr="00D3026B">
        <w:rPr>
          <w:rFonts w:ascii="Georgia" w:hAnsi="Georgia"/>
          <w:sz w:val="24"/>
          <w:szCs w:val="24"/>
        </w:rPr>
        <w:t>Betty</w:t>
      </w:r>
      <w:r>
        <w:rPr>
          <w:rFonts w:ascii="Georgia" w:hAnsi="Georgia"/>
          <w:sz w:val="24"/>
          <w:szCs w:val="24"/>
        </w:rPr>
        <w:t>,</w:t>
      </w:r>
      <w:r w:rsidRPr="00D3026B">
        <w:rPr>
          <w:rFonts w:ascii="Georgia" w:hAnsi="Georgia"/>
          <w:sz w:val="24"/>
          <w:szCs w:val="24"/>
        </w:rPr>
        <w:t xml:space="preserve"> </w:t>
      </w:r>
      <w:r w:rsidRPr="00D3026B">
        <w:rPr>
          <w:rFonts w:ascii="Georgia" w:hAnsi="Georgia"/>
          <w:i/>
          <w:sz w:val="24"/>
          <w:szCs w:val="24"/>
          <w:lang w:val="en-US"/>
        </w:rPr>
        <w:t>The Feminine Mystique</w:t>
      </w:r>
      <w:r w:rsidRPr="00D3026B">
        <w:rPr>
          <w:rFonts w:ascii="Georgia" w:hAnsi="Georgia"/>
          <w:sz w:val="24"/>
          <w:szCs w:val="24"/>
          <w:lang w:val="en-US"/>
        </w:rPr>
        <w:t xml:space="preserve"> (London: Penguin, 2010)</w:t>
      </w:r>
    </w:p>
    <w:p w14:paraId="37150679" w14:textId="77777777" w:rsidR="00965B6C" w:rsidRPr="00D3026B" w:rsidRDefault="00965B6C" w:rsidP="00E361EF">
      <w:pPr>
        <w:spacing w:after="0" w:line="480" w:lineRule="auto"/>
        <w:ind w:left="360" w:hanging="360"/>
        <w:jc w:val="both"/>
        <w:rPr>
          <w:rFonts w:ascii="Georgia" w:hAnsi="Georgia"/>
          <w:sz w:val="24"/>
          <w:szCs w:val="24"/>
        </w:rPr>
      </w:pPr>
      <w:r>
        <w:rPr>
          <w:rFonts w:ascii="Georgia" w:hAnsi="Georgia"/>
          <w:sz w:val="24"/>
          <w:szCs w:val="24"/>
        </w:rPr>
        <w:t xml:space="preserve">Ortega, Bren Murphy, ‘Reflections on the Feminine Mystique’, </w:t>
      </w:r>
      <w:r w:rsidRPr="00EA389C">
        <w:rPr>
          <w:rFonts w:ascii="Georgia" w:hAnsi="Georgia"/>
          <w:i/>
          <w:sz w:val="24"/>
          <w:szCs w:val="24"/>
        </w:rPr>
        <w:t>Women and Language</w:t>
      </w:r>
      <w:r>
        <w:rPr>
          <w:rFonts w:ascii="Georgia" w:hAnsi="Georgia"/>
          <w:sz w:val="24"/>
          <w:szCs w:val="24"/>
        </w:rPr>
        <w:t>, 36.1 (2013), 63-66</w:t>
      </w:r>
    </w:p>
    <w:p w14:paraId="3CA62FCA" w14:textId="77777777" w:rsidR="00965B6C" w:rsidRDefault="00965B6C" w:rsidP="00E361EF">
      <w:pPr>
        <w:spacing w:after="0" w:line="480" w:lineRule="auto"/>
        <w:ind w:left="360" w:hanging="360"/>
        <w:jc w:val="both"/>
        <w:rPr>
          <w:rFonts w:ascii="Georgia" w:hAnsi="Georgia"/>
          <w:sz w:val="24"/>
          <w:szCs w:val="24"/>
        </w:rPr>
      </w:pPr>
      <w:r w:rsidRPr="00D3026B">
        <w:rPr>
          <w:rFonts w:ascii="Georgia" w:hAnsi="Georgia"/>
          <w:sz w:val="24"/>
          <w:szCs w:val="24"/>
        </w:rPr>
        <w:t xml:space="preserve">Poirot, </w:t>
      </w:r>
      <w:proofErr w:type="spellStart"/>
      <w:r w:rsidRPr="00D3026B">
        <w:rPr>
          <w:rFonts w:ascii="Georgia" w:hAnsi="Georgia"/>
          <w:sz w:val="24"/>
          <w:szCs w:val="24"/>
        </w:rPr>
        <w:t>Kristan</w:t>
      </w:r>
      <w:proofErr w:type="spellEnd"/>
      <w:r>
        <w:rPr>
          <w:rFonts w:ascii="Georgia" w:hAnsi="Georgia"/>
          <w:sz w:val="24"/>
          <w:szCs w:val="24"/>
        </w:rPr>
        <w:t>,</w:t>
      </w:r>
      <w:r w:rsidRPr="00D3026B">
        <w:rPr>
          <w:rFonts w:ascii="Georgia" w:hAnsi="Georgia"/>
          <w:sz w:val="24"/>
          <w:szCs w:val="24"/>
        </w:rPr>
        <w:t xml:space="preserve"> ‘Domesticating the Liberated Woman: Containment </w:t>
      </w:r>
      <w:proofErr w:type="spellStart"/>
      <w:r w:rsidRPr="00D3026B">
        <w:rPr>
          <w:rFonts w:ascii="Georgia" w:hAnsi="Georgia"/>
          <w:sz w:val="24"/>
          <w:szCs w:val="24"/>
        </w:rPr>
        <w:t>Rhetorics</w:t>
      </w:r>
      <w:proofErr w:type="spellEnd"/>
      <w:r w:rsidRPr="00D3026B">
        <w:rPr>
          <w:rFonts w:ascii="Georgia" w:hAnsi="Georgia"/>
          <w:sz w:val="24"/>
          <w:szCs w:val="24"/>
        </w:rPr>
        <w:t xml:space="preserve"> of Second Wave Radical/Lesbian Feminism’, </w:t>
      </w:r>
      <w:r w:rsidRPr="00D3026B">
        <w:rPr>
          <w:rFonts w:ascii="Georgia" w:hAnsi="Georgia"/>
          <w:i/>
          <w:sz w:val="24"/>
          <w:szCs w:val="24"/>
        </w:rPr>
        <w:t>Women’s Studies in Communication</w:t>
      </w:r>
      <w:r w:rsidRPr="00D3026B">
        <w:rPr>
          <w:rFonts w:ascii="Georgia" w:hAnsi="Georgia"/>
          <w:sz w:val="24"/>
          <w:szCs w:val="24"/>
        </w:rPr>
        <w:t>, 32.3 (2009), 263-292</w:t>
      </w:r>
    </w:p>
    <w:p w14:paraId="4E843E6F" w14:textId="77777777" w:rsidR="00965B6C" w:rsidRDefault="00965B6C" w:rsidP="00E361EF">
      <w:pPr>
        <w:spacing w:after="0" w:line="480" w:lineRule="auto"/>
        <w:ind w:left="360" w:hanging="360"/>
        <w:jc w:val="both"/>
        <w:rPr>
          <w:rFonts w:ascii="Georgia" w:hAnsi="Georgia"/>
          <w:sz w:val="24"/>
          <w:szCs w:val="24"/>
        </w:rPr>
      </w:pPr>
      <w:r>
        <w:rPr>
          <w:rFonts w:ascii="Georgia" w:hAnsi="Georgia"/>
          <w:sz w:val="24"/>
          <w:szCs w:val="24"/>
        </w:rPr>
        <w:t xml:space="preserve">Seaman, Donna, ‘Another Look At: Betty Friedan’s The Feminine Mystique’, </w:t>
      </w:r>
      <w:r w:rsidRPr="009A6C2A">
        <w:rPr>
          <w:rFonts w:ascii="Georgia" w:hAnsi="Georgia"/>
          <w:i/>
          <w:sz w:val="24"/>
          <w:szCs w:val="24"/>
        </w:rPr>
        <w:t>The Booklist</w:t>
      </w:r>
      <w:r>
        <w:rPr>
          <w:rFonts w:ascii="Georgia" w:hAnsi="Georgia"/>
          <w:sz w:val="24"/>
          <w:szCs w:val="24"/>
        </w:rPr>
        <w:t>, 109.13 (2013), 9</w:t>
      </w:r>
    </w:p>
    <w:p w14:paraId="425C114D" w14:textId="77777777" w:rsidR="00965B6C" w:rsidRDefault="00965B6C" w:rsidP="00E361EF">
      <w:pPr>
        <w:pStyle w:val="FootnoteText"/>
        <w:spacing w:line="480" w:lineRule="auto"/>
        <w:ind w:left="360" w:hanging="360"/>
        <w:rPr>
          <w:rFonts w:ascii="Georgia" w:hAnsi="Georgia"/>
          <w:sz w:val="24"/>
          <w:szCs w:val="24"/>
          <w:lang w:val="en-US"/>
        </w:rPr>
      </w:pPr>
      <w:r w:rsidRPr="00D3026B">
        <w:rPr>
          <w:rFonts w:ascii="Georgia" w:hAnsi="Georgia"/>
          <w:sz w:val="24"/>
          <w:szCs w:val="24"/>
          <w:lang w:val="en-US"/>
        </w:rPr>
        <w:t>Shriver, Lionel</w:t>
      </w:r>
      <w:r>
        <w:rPr>
          <w:rFonts w:ascii="Georgia" w:hAnsi="Georgia"/>
          <w:sz w:val="24"/>
          <w:szCs w:val="24"/>
          <w:lang w:val="en-US"/>
        </w:rPr>
        <w:t xml:space="preserve">, </w:t>
      </w:r>
      <w:r w:rsidRPr="00D3026B">
        <w:rPr>
          <w:rFonts w:ascii="Georgia" w:hAnsi="Georgia"/>
          <w:sz w:val="24"/>
          <w:szCs w:val="24"/>
          <w:lang w:val="en-US"/>
        </w:rPr>
        <w:t xml:space="preserve">‘Introduction’ in </w:t>
      </w:r>
      <w:r w:rsidRPr="00D3026B">
        <w:rPr>
          <w:rFonts w:ascii="Georgia" w:hAnsi="Georgia"/>
          <w:i/>
          <w:sz w:val="24"/>
          <w:szCs w:val="24"/>
          <w:lang w:val="en-US"/>
        </w:rPr>
        <w:t>The Feminine Mystique</w:t>
      </w:r>
      <w:r>
        <w:rPr>
          <w:rFonts w:ascii="Georgia" w:hAnsi="Georgia"/>
          <w:sz w:val="24"/>
          <w:szCs w:val="24"/>
          <w:lang w:val="en-US"/>
        </w:rPr>
        <w:t xml:space="preserve"> (London: Penguin, 2010)</w:t>
      </w:r>
    </w:p>
    <w:p w14:paraId="61107CCE" w14:textId="77777777" w:rsidR="00965B6C" w:rsidRPr="00D3026B" w:rsidRDefault="00965B6C" w:rsidP="00E361EF">
      <w:pPr>
        <w:pStyle w:val="FootnoteText"/>
        <w:spacing w:line="480" w:lineRule="auto"/>
        <w:ind w:left="360" w:hanging="360"/>
        <w:rPr>
          <w:rFonts w:ascii="Georgia" w:hAnsi="Georgia"/>
          <w:sz w:val="24"/>
          <w:szCs w:val="24"/>
          <w:lang w:val="en-US"/>
        </w:rPr>
      </w:pPr>
      <w:r>
        <w:rPr>
          <w:rFonts w:ascii="Georgia" w:hAnsi="Georgia"/>
          <w:sz w:val="24"/>
          <w:szCs w:val="24"/>
          <w:lang w:val="en-US"/>
        </w:rPr>
        <w:t xml:space="preserve">Taylor, Anita, ‘Putting the Feminine Mystique in Context’, </w:t>
      </w:r>
      <w:r w:rsidRPr="00C14F51">
        <w:rPr>
          <w:rFonts w:ascii="Georgia" w:hAnsi="Georgia"/>
          <w:i/>
          <w:sz w:val="24"/>
          <w:szCs w:val="24"/>
          <w:lang w:val="en-US"/>
        </w:rPr>
        <w:t>Women &amp; Language</w:t>
      </w:r>
      <w:r>
        <w:rPr>
          <w:rFonts w:ascii="Georgia" w:hAnsi="Georgia"/>
          <w:sz w:val="24"/>
          <w:szCs w:val="24"/>
          <w:lang w:val="en-US"/>
        </w:rPr>
        <w:t>, 36.1 (2013), 71-76</w:t>
      </w:r>
    </w:p>
    <w:p w14:paraId="5090CFC3" w14:textId="77777777" w:rsidR="00965B6C" w:rsidRPr="00D3026B" w:rsidRDefault="00965B6C" w:rsidP="002D083C">
      <w:pPr>
        <w:spacing w:after="0" w:line="480" w:lineRule="auto"/>
        <w:ind w:left="360" w:hanging="360"/>
        <w:jc w:val="both"/>
        <w:rPr>
          <w:rFonts w:ascii="Georgia" w:hAnsi="Georgia"/>
          <w:sz w:val="24"/>
          <w:szCs w:val="24"/>
        </w:rPr>
      </w:pPr>
      <w:r>
        <w:rPr>
          <w:rFonts w:ascii="Georgia" w:hAnsi="Georgia"/>
          <w:sz w:val="24"/>
          <w:szCs w:val="24"/>
        </w:rPr>
        <w:t>Whittier, Nancy, ‘</w:t>
      </w:r>
      <w:r w:rsidRPr="00110DEE">
        <w:rPr>
          <w:rFonts w:ascii="Georgia" w:hAnsi="Georgia"/>
          <w:sz w:val="24"/>
          <w:szCs w:val="24"/>
        </w:rPr>
        <w:t>Everyday Readers and Social Movements: Considering the Impact of The Feminine M</w:t>
      </w:r>
      <w:bookmarkStart w:id="0" w:name="_GoBack"/>
      <w:bookmarkEnd w:id="0"/>
      <w:r w:rsidRPr="00110DEE">
        <w:rPr>
          <w:rFonts w:ascii="Georgia" w:hAnsi="Georgia"/>
          <w:sz w:val="24"/>
          <w:szCs w:val="24"/>
        </w:rPr>
        <w:t>ystique</w:t>
      </w:r>
      <w:r>
        <w:rPr>
          <w:rFonts w:ascii="Georgia" w:hAnsi="Georgia"/>
          <w:sz w:val="24"/>
          <w:szCs w:val="24"/>
        </w:rPr>
        <w:t xml:space="preserve">’, </w:t>
      </w:r>
      <w:r w:rsidRPr="009B3003">
        <w:rPr>
          <w:rFonts w:ascii="Georgia" w:hAnsi="Georgia"/>
          <w:i/>
          <w:sz w:val="24"/>
          <w:szCs w:val="24"/>
        </w:rPr>
        <w:t>Gender and Society</w:t>
      </w:r>
      <w:r>
        <w:rPr>
          <w:rFonts w:ascii="Georgia" w:hAnsi="Georgia"/>
          <w:sz w:val="24"/>
          <w:szCs w:val="24"/>
        </w:rPr>
        <w:t>, 27.1 (</w:t>
      </w:r>
      <w:r w:rsidRPr="00110DEE">
        <w:rPr>
          <w:rFonts w:ascii="Georgia" w:hAnsi="Georgia"/>
          <w:sz w:val="24"/>
          <w:szCs w:val="24"/>
        </w:rPr>
        <w:t>2013), 112-115</w:t>
      </w:r>
    </w:p>
    <w:sectPr w:rsidR="00965B6C" w:rsidRPr="00D3026B" w:rsidSect="007A6B7C">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7913A8" w14:textId="77777777" w:rsidR="00687F27" w:rsidRDefault="00687F27" w:rsidP="007A6B7C">
      <w:pPr>
        <w:spacing w:after="0" w:line="240" w:lineRule="auto"/>
      </w:pPr>
      <w:r>
        <w:separator/>
      </w:r>
    </w:p>
  </w:endnote>
  <w:endnote w:type="continuationSeparator" w:id="0">
    <w:p w14:paraId="4B4822C3" w14:textId="77777777" w:rsidR="00687F27" w:rsidRDefault="00687F27" w:rsidP="007A6B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21EFFA" w14:textId="77777777" w:rsidR="00687F27" w:rsidRDefault="00687F27" w:rsidP="007A6B7C">
      <w:pPr>
        <w:spacing w:after="0" w:line="240" w:lineRule="auto"/>
      </w:pPr>
      <w:r>
        <w:separator/>
      </w:r>
    </w:p>
  </w:footnote>
  <w:footnote w:type="continuationSeparator" w:id="0">
    <w:p w14:paraId="2E0E48ED" w14:textId="77777777" w:rsidR="00687F27" w:rsidRDefault="00687F27" w:rsidP="007A6B7C">
      <w:pPr>
        <w:spacing w:after="0" w:line="240" w:lineRule="auto"/>
      </w:pPr>
      <w:r>
        <w:continuationSeparator/>
      </w:r>
    </w:p>
  </w:footnote>
  <w:footnote w:id="1">
    <w:p w14:paraId="72709628" w14:textId="57059684" w:rsidR="002F432D" w:rsidRPr="005A576F" w:rsidRDefault="002F432D">
      <w:pPr>
        <w:pStyle w:val="FootnoteText"/>
        <w:rPr>
          <w:rFonts w:ascii="Georgia" w:hAnsi="Georgia"/>
          <w:lang w:val="en-US"/>
        </w:rPr>
      </w:pPr>
      <w:r w:rsidRPr="005A576F">
        <w:rPr>
          <w:rStyle w:val="FootnoteReference"/>
          <w:rFonts w:ascii="Georgia" w:hAnsi="Georgia"/>
        </w:rPr>
        <w:footnoteRef/>
      </w:r>
      <w:r w:rsidRPr="005A576F">
        <w:rPr>
          <w:rFonts w:ascii="Georgia" w:hAnsi="Georgia"/>
        </w:rPr>
        <w:t xml:space="preserve"> Although the concept of this sort of domestic goddess expands beyond the 1950s, being prevalent in decades either side of it, for the sake of clarity in this essay we will refer to her here as a 1950s housewife. </w:t>
      </w:r>
    </w:p>
  </w:footnote>
  <w:footnote w:id="2">
    <w:p w14:paraId="199E933B" w14:textId="66D76A68" w:rsidR="002F432D" w:rsidRPr="005A576F" w:rsidRDefault="002F432D">
      <w:pPr>
        <w:pStyle w:val="FootnoteText"/>
        <w:rPr>
          <w:rFonts w:ascii="Georgia" w:hAnsi="Georgia"/>
          <w:lang w:val="en-US"/>
        </w:rPr>
      </w:pPr>
      <w:r w:rsidRPr="005A576F">
        <w:rPr>
          <w:rStyle w:val="FootnoteReference"/>
          <w:rFonts w:ascii="Georgia" w:hAnsi="Georgia"/>
        </w:rPr>
        <w:footnoteRef/>
      </w:r>
      <w:r w:rsidRPr="005A576F">
        <w:rPr>
          <w:rFonts w:ascii="Georgia" w:hAnsi="Georgia"/>
        </w:rPr>
        <w:t xml:space="preserve"> Betty Friedan, </w:t>
      </w:r>
      <w:r w:rsidRPr="005A576F">
        <w:rPr>
          <w:rFonts w:ascii="Georgia" w:hAnsi="Georgia"/>
          <w:i/>
          <w:lang w:val="en-US"/>
        </w:rPr>
        <w:t>The Feminine Mystique</w:t>
      </w:r>
      <w:r w:rsidRPr="005A576F">
        <w:rPr>
          <w:rFonts w:ascii="Georgia" w:hAnsi="Georgia"/>
          <w:lang w:val="en-US"/>
        </w:rPr>
        <w:t xml:space="preserve"> (London: Penguin, 2010), p. 6.</w:t>
      </w:r>
    </w:p>
  </w:footnote>
  <w:footnote w:id="3">
    <w:p w14:paraId="08196AA5" w14:textId="2B0BD56B" w:rsidR="002F432D" w:rsidRPr="005A576F" w:rsidRDefault="002F432D">
      <w:pPr>
        <w:pStyle w:val="FootnoteText"/>
        <w:rPr>
          <w:rFonts w:ascii="Georgia" w:hAnsi="Georgia"/>
          <w:lang w:val="en-US"/>
        </w:rPr>
      </w:pPr>
      <w:r w:rsidRPr="005A576F">
        <w:rPr>
          <w:rStyle w:val="FootnoteReference"/>
          <w:rFonts w:ascii="Georgia" w:hAnsi="Georgia"/>
        </w:rPr>
        <w:footnoteRef/>
      </w:r>
      <w:r w:rsidRPr="005A576F">
        <w:rPr>
          <w:rFonts w:ascii="Georgia" w:hAnsi="Georgia"/>
        </w:rPr>
        <w:t xml:space="preserve"> Carol Ruth </w:t>
      </w:r>
      <w:proofErr w:type="spellStart"/>
      <w:r w:rsidRPr="005A576F">
        <w:rPr>
          <w:rFonts w:ascii="Georgia" w:hAnsi="Georgia"/>
        </w:rPr>
        <w:t>Berkin</w:t>
      </w:r>
      <w:proofErr w:type="spellEnd"/>
      <w:r w:rsidRPr="005A576F">
        <w:rPr>
          <w:rFonts w:ascii="Georgia" w:hAnsi="Georgia"/>
        </w:rPr>
        <w:t xml:space="preserve"> and Mary Beth Norton, </w:t>
      </w:r>
      <w:r w:rsidRPr="005A576F">
        <w:rPr>
          <w:rFonts w:ascii="Georgia" w:hAnsi="Georgia"/>
          <w:i/>
          <w:lang w:val="en-US"/>
        </w:rPr>
        <w:t>Women of America: A History</w:t>
      </w:r>
      <w:r w:rsidRPr="005A576F">
        <w:rPr>
          <w:rFonts w:ascii="Georgia" w:hAnsi="Georgia"/>
          <w:lang w:val="en-US"/>
        </w:rPr>
        <w:t xml:space="preserve"> (Boston: Houghton Mifflin Company,1979), p. 280.</w:t>
      </w:r>
    </w:p>
  </w:footnote>
  <w:footnote w:id="4">
    <w:p w14:paraId="45C6D1CC" w14:textId="2169CA6C" w:rsidR="002F432D" w:rsidRPr="005A576F" w:rsidRDefault="002F432D">
      <w:pPr>
        <w:pStyle w:val="FootnoteText"/>
        <w:rPr>
          <w:rFonts w:ascii="Georgia" w:hAnsi="Georgia"/>
          <w:lang w:val="en-US"/>
        </w:rPr>
      </w:pPr>
      <w:r w:rsidRPr="005A576F">
        <w:rPr>
          <w:rStyle w:val="FootnoteReference"/>
          <w:rFonts w:ascii="Georgia" w:hAnsi="Georgia"/>
        </w:rPr>
        <w:footnoteRef/>
      </w:r>
      <w:r w:rsidRPr="005A576F">
        <w:rPr>
          <w:rFonts w:ascii="Georgia" w:hAnsi="Georgia"/>
        </w:rPr>
        <w:t xml:space="preserve"> Friedan, ‘The Happy Housewife Heroine’ in </w:t>
      </w:r>
      <w:r w:rsidRPr="005A576F">
        <w:rPr>
          <w:rFonts w:ascii="Georgia" w:hAnsi="Georgia"/>
          <w:i/>
          <w:lang w:val="en-US"/>
        </w:rPr>
        <w:t>The Feminine Mystique</w:t>
      </w:r>
      <w:r w:rsidRPr="005A576F">
        <w:rPr>
          <w:rFonts w:ascii="Georgia" w:hAnsi="Georgia"/>
          <w:lang w:val="en-US"/>
        </w:rPr>
        <w:t>.</w:t>
      </w:r>
    </w:p>
  </w:footnote>
  <w:footnote w:id="5">
    <w:p w14:paraId="234CC034" w14:textId="0CC6A7C5" w:rsidR="002F432D" w:rsidRPr="005D0F99" w:rsidRDefault="002F432D">
      <w:pPr>
        <w:pStyle w:val="FootnoteText"/>
        <w:rPr>
          <w:lang w:val="en-US"/>
        </w:rPr>
      </w:pPr>
      <w:r w:rsidRPr="005A576F">
        <w:rPr>
          <w:rStyle w:val="FootnoteReference"/>
          <w:rFonts w:ascii="Georgia" w:hAnsi="Georgia"/>
        </w:rPr>
        <w:footnoteRef/>
      </w:r>
      <w:r w:rsidRPr="005A576F">
        <w:rPr>
          <w:rFonts w:ascii="Georgia" w:hAnsi="Georgia"/>
        </w:rPr>
        <w:t xml:space="preserve"> </w:t>
      </w:r>
      <w:proofErr w:type="spellStart"/>
      <w:r w:rsidRPr="005A576F">
        <w:rPr>
          <w:rFonts w:ascii="Georgia" w:hAnsi="Georgia"/>
          <w:lang w:val="en-US"/>
        </w:rPr>
        <w:t>Berkin</w:t>
      </w:r>
      <w:proofErr w:type="spellEnd"/>
      <w:r w:rsidRPr="005A576F">
        <w:rPr>
          <w:rFonts w:ascii="Georgia" w:hAnsi="Georgia"/>
          <w:lang w:val="en-US"/>
        </w:rPr>
        <w:t xml:space="preserve"> and Norton, </w:t>
      </w:r>
      <w:r w:rsidRPr="005A576F">
        <w:rPr>
          <w:rFonts w:ascii="Georgia" w:hAnsi="Georgia"/>
          <w:i/>
          <w:lang w:val="en-US"/>
        </w:rPr>
        <w:t>Women of America: A History</w:t>
      </w:r>
      <w:r w:rsidRPr="005A576F">
        <w:rPr>
          <w:rFonts w:ascii="Georgia" w:hAnsi="Georgia"/>
          <w:lang w:val="en-US"/>
        </w:rPr>
        <w:t>.</w:t>
      </w:r>
    </w:p>
  </w:footnote>
  <w:footnote w:id="6">
    <w:p w14:paraId="74BBAA18" w14:textId="1EBE8BDE" w:rsidR="002F432D" w:rsidRPr="005A576F" w:rsidRDefault="002F432D">
      <w:pPr>
        <w:pStyle w:val="FootnoteText"/>
        <w:rPr>
          <w:rFonts w:ascii="Georgia" w:hAnsi="Georgia"/>
          <w:lang w:val="en-US"/>
        </w:rPr>
      </w:pPr>
      <w:r w:rsidRPr="005A576F">
        <w:rPr>
          <w:rStyle w:val="FootnoteReference"/>
          <w:rFonts w:ascii="Georgia" w:hAnsi="Georgia"/>
        </w:rPr>
        <w:footnoteRef/>
      </w:r>
      <w:r w:rsidRPr="005A576F">
        <w:rPr>
          <w:rFonts w:ascii="Georgia" w:hAnsi="Georgia"/>
        </w:rPr>
        <w:t xml:space="preserve"> Friedan, </w:t>
      </w:r>
      <w:r w:rsidRPr="005A576F">
        <w:rPr>
          <w:rFonts w:ascii="Georgia" w:hAnsi="Georgia"/>
          <w:i/>
        </w:rPr>
        <w:t xml:space="preserve">The </w:t>
      </w:r>
      <w:r w:rsidRPr="005A576F">
        <w:rPr>
          <w:rFonts w:ascii="Georgia" w:hAnsi="Georgia"/>
          <w:i/>
          <w:lang w:val="en-US"/>
        </w:rPr>
        <w:t>Feminine Mystique</w:t>
      </w:r>
      <w:r w:rsidRPr="005A576F">
        <w:rPr>
          <w:rFonts w:ascii="Georgia" w:hAnsi="Georgia"/>
          <w:lang w:val="en-US"/>
        </w:rPr>
        <w:t>, p. 1.</w:t>
      </w:r>
    </w:p>
  </w:footnote>
  <w:footnote w:id="7">
    <w:p w14:paraId="179B43AA" w14:textId="605AE1F3" w:rsidR="002F432D" w:rsidRPr="009B776D" w:rsidRDefault="002F432D">
      <w:pPr>
        <w:pStyle w:val="FootnoteText"/>
        <w:rPr>
          <w:lang w:val="en-US"/>
        </w:rPr>
      </w:pPr>
      <w:r w:rsidRPr="005A576F">
        <w:rPr>
          <w:rStyle w:val="FootnoteReference"/>
          <w:rFonts w:ascii="Georgia" w:hAnsi="Georgia"/>
        </w:rPr>
        <w:footnoteRef/>
      </w:r>
      <w:r w:rsidRPr="005A576F">
        <w:rPr>
          <w:rFonts w:ascii="Georgia" w:hAnsi="Georgia"/>
        </w:rPr>
        <w:t xml:space="preserve"> Ibid.,</w:t>
      </w:r>
      <w:r w:rsidRPr="005A576F">
        <w:rPr>
          <w:rFonts w:ascii="Georgia" w:hAnsi="Georgia"/>
          <w:lang w:val="en-US"/>
        </w:rPr>
        <w:t xml:space="preserve"> p. 5.</w:t>
      </w:r>
    </w:p>
  </w:footnote>
  <w:footnote w:id="8">
    <w:p w14:paraId="44EBE2EB" w14:textId="6E342528" w:rsidR="00CC2EE8" w:rsidRPr="00CC2EE8" w:rsidRDefault="00CC2EE8">
      <w:pPr>
        <w:pStyle w:val="FootnoteText"/>
        <w:rPr>
          <w:lang w:val="en-US"/>
        </w:rPr>
      </w:pPr>
      <w:r>
        <w:rPr>
          <w:rStyle w:val="FootnoteReference"/>
        </w:rPr>
        <w:footnoteRef/>
      </w:r>
      <w:r>
        <w:t xml:space="preserve"> </w:t>
      </w:r>
      <w:r>
        <w:rPr>
          <w:lang w:val="en-US"/>
        </w:rPr>
        <w:t xml:space="preserve">Friedan, </w:t>
      </w:r>
      <w:r w:rsidRPr="00CC2EE8">
        <w:rPr>
          <w:i/>
          <w:lang w:val="en-US"/>
        </w:rPr>
        <w:t>The Feminine Mystique</w:t>
      </w:r>
      <w:r>
        <w:rPr>
          <w:lang w:val="en-US"/>
        </w:rPr>
        <w:t>, p. 166.</w:t>
      </w:r>
    </w:p>
  </w:footnote>
  <w:footnote w:id="9">
    <w:p w14:paraId="00F4BA31" w14:textId="5283368D" w:rsidR="002F432D" w:rsidRPr="005A576F" w:rsidRDefault="002F432D">
      <w:pPr>
        <w:pStyle w:val="FootnoteText"/>
        <w:rPr>
          <w:rFonts w:ascii="Georgia" w:hAnsi="Georgia"/>
          <w:lang w:val="en-US"/>
        </w:rPr>
      </w:pPr>
      <w:r w:rsidRPr="005A576F">
        <w:rPr>
          <w:rStyle w:val="FootnoteReference"/>
          <w:rFonts w:ascii="Georgia" w:hAnsi="Georgia"/>
        </w:rPr>
        <w:footnoteRef/>
      </w:r>
      <w:r w:rsidRPr="005A576F">
        <w:rPr>
          <w:rFonts w:ascii="Georgia" w:hAnsi="Georgia"/>
        </w:rPr>
        <w:t xml:space="preserve"> </w:t>
      </w:r>
      <w:r w:rsidRPr="005A576F">
        <w:rPr>
          <w:rFonts w:ascii="Georgia" w:hAnsi="Georgia"/>
          <w:lang w:val="en-US"/>
        </w:rPr>
        <w:t xml:space="preserve">Lionel Shriver, ‘Introduction’ in </w:t>
      </w:r>
      <w:r w:rsidRPr="005A576F">
        <w:rPr>
          <w:rFonts w:ascii="Georgia" w:hAnsi="Georgia"/>
          <w:i/>
          <w:lang w:val="en-US"/>
        </w:rPr>
        <w:t>The Feminine Mystique</w:t>
      </w:r>
      <w:r w:rsidRPr="005A576F">
        <w:rPr>
          <w:rFonts w:ascii="Georgia" w:hAnsi="Georgia"/>
          <w:lang w:val="en-US"/>
        </w:rPr>
        <w:t>, p. xi.</w:t>
      </w:r>
    </w:p>
  </w:footnote>
  <w:footnote w:id="10">
    <w:p w14:paraId="332A6283" w14:textId="38D2EC0E" w:rsidR="002F432D" w:rsidRPr="005A576F" w:rsidRDefault="002F432D">
      <w:pPr>
        <w:pStyle w:val="FootnoteText"/>
        <w:rPr>
          <w:rFonts w:ascii="Georgia" w:hAnsi="Georgia"/>
          <w:lang w:val="en-US"/>
        </w:rPr>
      </w:pPr>
      <w:r w:rsidRPr="005A576F">
        <w:rPr>
          <w:rStyle w:val="FootnoteReference"/>
          <w:rFonts w:ascii="Georgia" w:hAnsi="Georgia"/>
        </w:rPr>
        <w:footnoteRef/>
      </w:r>
      <w:r w:rsidRPr="005A576F">
        <w:rPr>
          <w:rFonts w:ascii="Georgia" w:hAnsi="Georgia"/>
        </w:rPr>
        <w:t xml:space="preserve"> </w:t>
      </w:r>
      <w:r w:rsidRPr="005A576F">
        <w:rPr>
          <w:rFonts w:ascii="Georgia" w:hAnsi="Georgia"/>
          <w:lang w:val="en-US"/>
        </w:rPr>
        <w:t xml:space="preserve">Stephanie Coontz, </w:t>
      </w:r>
      <w:r w:rsidRPr="005A576F">
        <w:rPr>
          <w:rFonts w:ascii="Georgia" w:hAnsi="Georgia"/>
          <w:i/>
          <w:lang w:val="en-US"/>
        </w:rPr>
        <w:t>A Strange Stirring</w:t>
      </w:r>
      <w:r w:rsidRPr="005A576F">
        <w:rPr>
          <w:rFonts w:ascii="Georgia" w:hAnsi="Georgia"/>
          <w:lang w:val="en-US"/>
        </w:rPr>
        <w:t xml:space="preserve"> (New York: Basic Books, 2011), p. xix.</w:t>
      </w:r>
    </w:p>
  </w:footnote>
  <w:footnote w:id="11">
    <w:p w14:paraId="2B7931CE" w14:textId="6B9808B7" w:rsidR="002F432D" w:rsidRPr="00A7123A" w:rsidRDefault="002F432D">
      <w:pPr>
        <w:pStyle w:val="FootnoteText"/>
        <w:rPr>
          <w:lang w:val="en-US"/>
        </w:rPr>
      </w:pPr>
      <w:r w:rsidRPr="005A576F">
        <w:rPr>
          <w:rStyle w:val="FootnoteReference"/>
          <w:rFonts w:ascii="Georgia" w:hAnsi="Georgia"/>
        </w:rPr>
        <w:footnoteRef/>
      </w:r>
      <w:r w:rsidRPr="005A576F">
        <w:rPr>
          <w:rFonts w:ascii="Georgia" w:hAnsi="Georgia"/>
        </w:rPr>
        <w:t xml:space="preserve"> Friedan, </w:t>
      </w:r>
      <w:r w:rsidRPr="005A576F">
        <w:rPr>
          <w:rFonts w:ascii="Georgia" w:hAnsi="Georgia"/>
          <w:i/>
        </w:rPr>
        <w:t xml:space="preserve">The </w:t>
      </w:r>
      <w:r w:rsidRPr="005A576F">
        <w:rPr>
          <w:rFonts w:ascii="Georgia" w:hAnsi="Georgia"/>
          <w:i/>
          <w:lang w:val="en-US"/>
        </w:rPr>
        <w:t>Feminine Mystique</w:t>
      </w:r>
      <w:r w:rsidRPr="005A576F">
        <w:rPr>
          <w:rFonts w:ascii="Georgia" w:hAnsi="Georgia"/>
          <w:lang w:val="en-US"/>
        </w:rPr>
        <w:t>, p. 223.</w:t>
      </w:r>
    </w:p>
  </w:footnote>
  <w:footnote w:id="12">
    <w:p w14:paraId="7AFF3A37" w14:textId="3A6AB946" w:rsidR="002F432D" w:rsidRPr="005A576F" w:rsidRDefault="002F432D" w:rsidP="00C9000A">
      <w:pPr>
        <w:pStyle w:val="FootnoteText"/>
        <w:rPr>
          <w:rFonts w:ascii="Georgia" w:hAnsi="Georgia"/>
          <w:lang w:val="en-US"/>
        </w:rPr>
      </w:pPr>
      <w:r w:rsidRPr="005A576F">
        <w:rPr>
          <w:rStyle w:val="FootnoteReference"/>
          <w:rFonts w:ascii="Georgia" w:hAnsi="Georgia"/>
        </w:rPr>
        <w:footnoteRef/>
      </w:r>
      <w:r w:rsidRPr="005A576F">
        <w:rPr>
          <w:rFonts w:ascii="Georgia" w:hAnsi="Georgia"/>
        </w:rPr>
        <w:t xml:space="preserve"> </w:t>
      </w:r>
      <w:proofErr w:type="spellStart"/>
      <w:r w:rsidRPr="005A576F">
        <w:rPr>
          <w:rFonts w:ascii="Georgia" w:hAnsi="Georgia"/>
        </w:rPr>
        <w:t>Kristan</w:t>
      </w:r>
      <w:proofErr w:type="spellEnd"/>
      <w:r w:rsidRPr="005A576F">
        <w:rPr>
          <w:rFonts w:ascii="Georgia" w:hAnsi="Georgia"/>
        </w:rPr>
        <w:t xml:space="preserve"> Poirot, ‘Domesticating the Liberated Woman: Containment </w:t>
      </w:r>
      <w:proofErr w:type="spellStart"/>
      <w:r w:rsidRPr="005A576F">
        <w:rPr>
          <w:rFonts w:ascii="Georgia" w:hAnsi="Georgia"/>
        </w:rPr>
        <w:t>Rhetorics</w:t>
      </w:r>
      <w:proofErr w:type="spellEnd"/>
      <w:r w:rsidRPr="005A576F">
        <w:rPr>
          <w:rFonts w:ascii="Georgia" w:hAnsi="Georgia"/>
        </w:rPr>
        <w:t xml:space="preserve"> of Second Wave Radical/Lesbian Feminism’, </w:t>
      </w:r>
      <w:r w:rsidRPr="005A576F">
        <w:rPr>
          <w:rFonts w:ascii="Georgia" w:hAnsi="Georgia"/>
          <w:i/>
        </w:rPr>
        <w:t>Women’s Studies in Communication</w:t>
      </w:r>
      <w:r w:rsidRPr="005A576F">
        <w:rPr>
          <w:rFonts w:ascii="Georgia" w:hAnsi="Georgia"/>
        </w:rPr>
        <w:t>, 32.3 (2009), 263-292.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06DD48" w14:textId="40BBF14F" w:rsidR="002F432D" w:rsidRPr="007A6B7C" w:rsidRDefault="002F432D">
    <w:pPr>
      <w:pStyle w:val="Header"/>
      <w:jc w:val="right"/>
      <w:rPr>
        <w:rFonts w:ascii="Georgia" w:hAnsi="Georgia"/>
        <w:sz w:val="24"/>
        <w:szCs w:val="24"/>
      </w:rPr>
    </w:pPr>
    <w:r w:rsidRPr="007A6B7C">
      <w:rPr>
        <w:rFonts w:ascii="Georgia" w:hAnsi="Georgia"/>
        <w:sz w:val="24"/>
        <w:szCs w:val="24"/>
      </w:rPr>
      <w:t xml:space="preserve">Bowen-Perkins </w:t>
    </w:r>
    <w:sdt>
      <w:sdtPr>
        <w:rPr>
          <w:rFonts w:ascii="Georgia" w:hAnsi="Georgia"/>
          <w:sz w:val="24"/>
          <w:szCs w:val="24"/>
        </w:rPr>
        <w:id w:val="-120926646"/>
        <w:docPartObj>
          <w:docPartGallery w:val="Page Numbers (Top of Page)"/>
          <w:docPartUnique/>
        </w:docPartObj>
      </w:sdtPr>
      <w:sdtEndPr>
        <w:rPr>
          <w:noProof/>
        </w:rPr>
      </w:sdtEndPr>
      <w:sdtContent>
        <w:r w:rsidRPr="007A6B7C">
          <w:rPr>
            <w:rFonts w:ascii="Georgia" w:hAnsi="Georgia"/>
            <w:sz w:val="24"/>
            <w:szCs w:val="24"/>
          </w:rPr>
          <w:fldChar w:fldCharType="begin"/>
        </w:r>
        <w:r w:rsidRPr="007A6B7C">
          <w:rPr>
            <w:rFonts w:ascii="Georgia" w:hAnsi="Georgia"/>
            <w:sz w:val="24"/>
            <w:szCs w:val="24"/>
          </w:rPr>
          <w:instrText xml:space="preserve"> PAGE   \* MERGEFORMAT </w:instrText>
        </w:r>
        <w:r w:rsidRPr="007A6B7C">
          <w:rPr>
            <w:rFonts w:ascii="Georgia" w:hAnsi="Georgia"/>
            <w:sz w:val="24"/>
            <w:szCs w:val="24"/>
          </w:rPr>
          <w:fldChar w:fldCharType="separate"/>
        </w:r>
        <w:r w:rsidR="00965B6C">
          <w:rPr>
            <w:rFonts w:ascii="Georgia" w:hAnsi="Georgia"/>
            <w:noProof/>
            <w:sz w:val="24"/>
            <w:szCs w:val="24"/>
          </w:rPr>
          <w:t>8</w:t>
        </w:r>
        <w:r w:rsidRPr="007A6B7C">
          <w:rPr>
            <w:rFonts w:ascii="Georgia" w:hAnsi="Georgia"/>
            <w:noProof/>
            <w:sz w:val="24"/>
            <w:szCs w:val="24"/>
          </w:rPr>
          <w:fldChar w:fldCharType="end"/>
        </w:r>
      </w:sdtContent>
    </w:sdt>
  </w:p>
  <w:p w14:paraId="466411DC" w14:textId="77777777" w:rsidR="002F432D" w:rsidRDefault="002F43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E1660"/>
    <w:multiLevelType w:val="hybridMultilevel"/>
    <w:tmpl w:val="DEBA1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7A5DEC"/>
    <w:multiLevelType w:val="hybridMultilevel"/>
    <w:tmpl w:val="FE3CE2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DB0E96"/>
    <w:multiLevelType w:val="hybridMultilevel"/>
    <w:tmpl w:val="95B49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240C06"/>
    <w:multiLevelType w:val="hybridMultilevel"/>
    <w:tmpl w:val="CB1EECF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01182A"/>
    <w:multiLevelType w:val="hybridMultilevel"/>
    <w:tmpl w:val="B750E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CA0379"/>
    <w:multiLevelType w:val="hybridMultilevel"/>
    <w:tmpl w:val="E8EAF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55C17CC"/>
    <w:multiLevelType w:val="hybridMultilevel"/>
    <w:tmpl w:val="3A40162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DCA0B16"/>
    <w:multiLevelType w:val="hybridMultilevel"/>
    <w:tmpl w:val="ED9C16C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DC2474"/>
    <w:multiLevelType w:val="hybridMultilevel"/>
    <w:tmpl w:val="70107B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7E2C3E56"/>
    <w:multiLevelType w:val="hybridMultilevel"/>
    <w:tmpl w:val="443E9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9"/>
  </w:num>
  <w:num w:numId="4">
    <w:abstractNumId w:val="3"/>
  </w:num>
  <w:num w:numId="5">
    <w:abstractNumId w:val="0"/>
  </w:num>
  <w:num w:numId="6">
    <w:abstractNumId w:val="6"/>
  </w:num>
  <w:num w:numId="7">
    <w:abstractNumId w:val="2"/>
  </w:num>
  <w:num w:numId="8">
    <w:abstractNumId w:val="8"/>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4185B"/>
    <w:rsid w:val="00003C80"/>
    <w:rsid w:val="00004998"/>
    <w:rsid w:val="00005AA6"/>
    <w:rsid w:val="00015364"/>
    <w:rsid w:val="000166E1"/>
    <w:rsid w:val="0001760A"/>
    <w:rsid w:val="00020BA9"/>
    <w:rsid w:val="0002312F"/>
    <w:rsid w:val="00023344"/>
    <w:rsid w:val="00026059"/>
    <w:rsid w:val="00026E40"/>
    <w:rsid w:val="00027675"/>
    <w:rsid w:val="00027F0D"/>
    <w:rsid w:val="00041DCF"/>
    <w:rsid w:val="00057115"/>
    <w:rsid w:val="000619D6"/>
    <w:rsid w:val="00062234"/>
    <w:rsid w:val="00066679"/>
    <w:rsid w:val="000670B3"/>
    <w:rsid w:val="000742C5"/>
    <w:rsid w:val="00077681"/>
    <w:rsid w:val="0008436D"/>
    <w:rsid w:val="00086D8D"/>
    <w:rsid w:val="0009018E"/>
    <w:rsid w:val="00093F71"/>
    <w:rsid w:val="000A0B85"/>
    <w:rsid w:val="000A17E5"/>
    <w:rsid w:val="000A19A6"/>
    <w:rsid w:val="000A4199"/>
    <w:rsid w:val="000A6373"/>
    <w:rsid w:val="000A78BD"/>
    <w:rsid w:val="000B5DE0"/>
    <w:rsid w:val="000B7FF8"/>
    <w:rsid w:val="000C0058"/>
    <w:rsid w:val="000C0E1A"/>
    <w:rsid w:val="000C2997"/>
    <w:rsid w:val="000C7A5B"/>
    <w:rsid w:val="000D19C8"/>
    <w:rsid w:val="000D259F"/>
    <w:rsid w:val="000D3D37"/>
    <w:rsid w:val="000D4407"/>
    <w:rsid w:val="000D454C"/>
    <w:rsid w:val="000D7155"/>
    <w:rsid w:val="000D718F"/>
    <w:rsid w:val="000D7AAB"/>
    <w:rsid w:val="000E12FF"/>
    <w:rsid w:val="000E24B9"/>
    <w:rsid w:val="000F0531"/>
    <w:rsid w:val="000F1705"/>
    <w:rsid w:val="000F1F60"/>
    <w:rsid w:val="000F2D7D"/>
    <w:rsid w:val="000F44D1"/>
    <w:rsid w:val="001076EA"/>
    <w:rsid w:val="0011062B"/>
    <w:rsid w:val="001108D6"/>
    <w:rsid w:val="001108EE"/>
    <w:rsid w:val="00110DEE"/>
    <w:rsid w:val="0011439D"/>
    <w:rsid w:val="00115B49"/>
    <w:rsid w:val="00120986"/>
    <w:rsid w:val="00126413"/>
    <w:rsid w:val="0013394C"/>
    <w:rsid w:val="001345F5"/>
    <w:rsid w:val="0014185B"/>
    <w:rsid w:val="00143019"/>
    <w:rsid w:val="00153FA3"/>
    <w:rsid w:val="0016257E"/>
    <w:rsid w:val="001761B8"/>
    <w:rsid w:val="00180A0D"/>
    <w:rsid w:val="00181A5E"/>
    <w:rsid w:val="00183C98"/>
    <w:rsid w:val="00184321"/>
    <w:rsid w:val="00184469"/>
    <w:rsid w:val="00185ACA"/>
    <w:rsid w:val="00185E9D"/>
    <w:rsid w:val="001901A3"/>
    <w:rsid w:val="0019125D"/>
    <w:rsid w:val="001913EB"/>
    <w:rsid w:val="001943BF"/>
    <w:rsid w:val="00195AD8"/>
    <w:rsid w:val="00196142"/>
    <w:rsid w:val="00196A57"/>
    <w:rsid w:val="00196B1C"/>
    <w:rsid w:val="00196BD3"/>
    <w:rsid w:val="0019757A"/>
    <w:rsid w:val="001A2BA3"/>
    <w:rsid w:val="001A35C4"/>
    <w:rsid w:val="001A39C4"/>
    <w:rsid w:val="001A7436"/>
    <w:rsid w:val="001B5282"/>
    <w:rsid w:val="001B7AE4"/>
    <w:rsid w:val="001C38F0"/>
    <w:rsid w:val="001C491D"/>
    <w:rsid w:val="001D1F7A"/>
    <w:rsid w:val="001D3487"/>
    <w:rsid w:val="001D42D1"/>
    <w:rsid w:val="001D568C"/>
    <w:rsid w:val="001D65BE"/>
    <w:rsid w:val="001E12A2"/>
    <w:rsid w:val="001E4510"/>
    <w:rsid w:val="001F301B"/>
    <w:rsid w:val="001F6B67"/>
    <w:rsid w:val="001F7B16"/>
    <w:rsid w:val="001F7C51"/>
    <w:rsid w:val="00206EB0"/>
    <w:rsid w:val="00215609"/>
    <w:rsid w:val="002169B1"/>
    <w:rsid w:val="002213A9"/>
    <w:rsid w:val="00224BDE"/>
    <w:rsid w:val="00226ED8"/>
    <w:rsid w:val="00232A31"/>
    <w:rsid w:val="00236CA9"/>
    <w:rsid w:val="00237C31"/>
    <w:rsid w:val="002438E2"/>
    <w:rsid w:val="00243F4D"/>
    <w:rsid w:val="002462D2"/>
    <w:rsid w:val="002512CE"/>
    <w:rsid w:val="00251BB8"/>
    <w:rsid w:val="00254488"/>
    <w:rsid w:val="00255819"/>
    <w:rsid w:val="002603AE"/>
    <w:rsid w:val="002616E0"/>
    <w:rsid w:val="002629C9"/>
    <w:rsid w:val="00265000"/>
    <w:rsid w:val="0027077D"/>
    <w:rsid w:val="002709CA"/>
    <w:rsid w:val="00280BED"/>
    <w:rsid w:val="00280EC9"/>
    <w:rsid w:val="002858BD"/>
    <w:rsid w:val="00291146"/>
    <w:rsid w:val="002A4E69"/>
    <w:rsid w:val="002B20EA"/>
    <w:rsid w:val="002B2203"/>
    <w:rsid w:val="002B52D3"/>
    <w:rsid w:val="002C0D76"/>
    <w:rsid w:val="002C5611"/>
    <w:rsid w:val="002C6549"/>
    <w:rsid w:val="002C7C8F"/>
    <w:rsid w:val="002D083C"/>
    <w:rsid w:val="002D19C7"/>
    <w:rsid w:val="002D2DBD"/>
    <w:rsid w:val="002D5DE7"/>
    <w:rsid w:val="002E1563"/>
    <w:rsid w:val="002E1E24"/>
    <w:rsid w:val="002E46E4"/>
    <w:rsid w:val="002F29B5"/>
    <w:rsid w:val="002F432D"/>
    <w:rsid w:val="002F4CE4"/>
    <w:rsid w:val="002F781F"/>
    <w:rsid w:val="00313CE8"/>
    <w:rsid w:val="003163F6"/>
    <w:rsid w:val="003209D9"/>
    <w:rsid w:val="00323F5F"/>
    <w:rsid w:val="0032591B"/>
    <w:rsid w:val="00330275"/>
    <w:rsid w:val="0033190E"/>
    <w:rsid w:val="00332C8D"/>
    <w:rsid w:val="003377D1"/>
    <w:rsid w:val="003436F7"/>
    <w:rsid w:val="00344049"/>
    <w:rsid w:val="00344620"/>
    <w:rsid w:val="00344DFE"/>
    <w:rsid w:val="00347CEE"/>
    <w:rsid w:val="003527FE"/>
    <w:rsid w:val="00364CA8"/>
    <w:rsid w:val="003660AA"/>
    <w:rsid w:val="00367DBA"/>
    <w:rsid w:val="00370B37"/>
    <w:rsid w:val="00377CFF"/>
    <w:rsid w:val="00385327"/>
    <w:rsid w:val="00386BF9"/>
    <w:rsid w:val="00390413"/>
    <w:rsid w:val="003928AA"/>
    <w:rsid w:val="0039310C"/>
    <w:rsid w:val="00393588"/>
    <w:rsid w:val="003A4F26"/>
    <w:rsid w:val="003A520E"/>
    <w:rsid w:val="003A5366"/>
    <w:rsid w:val="003B297B"/>
    <w:rsid w:val="003B5AE4"/>
    <w:rsid w:val="003B61A1"/>
    <w:rsid w:val="003C17A6"/>
    <w:rsid w:val="003C3F0D"/>
    <w:rsid w:val="003C5589"/>
    <w:rsid w:val="003C6824"/>
    <w:rsid w:val="003D08EA"/>
    <w:rsid w:val="003D122D"/>
    <w:rsid w:val="003D1B2E"/>
    <w:rsid w:val="003D1C3F"/>
    <w:rsid w:val="003F1307"/>
    <w:rsid w:val="003F16A6"/>
    <w:rsid w:val="003F3705"/>
    <w:rsid w:val="004022EC"/>
    <w:rsid w:val="00404AA5"/>
    <w:rsid w:val="00405849"/>
    <w:rsid w:val="00406DAB"/>
    <w:rsid w:val="00407FA6"/>
    <w:rsid w:val="00411036"/>
    <w:rsid w:val="0041109F"/>
    <w:rsid w:val="00412CD9"/>
    <w:rsid w:val="00413398"/>
    <w:rsid w:val="004141CE"/>
    <w:rsid w:val="00415D54"/>
    <w:rsid w:val="0042210E"/>
    <w:rsid w:val="00427231"/>
    <w:rsid w:val="00427CC1"/>
    <w:rsid w:val="00431099"/>
    <w:rsid w:val="00434C2D"/>
    <w:rsid w:val="00436090"/>
    <w:rsid w:val="004402B5"/>
    <w:rsid w:val="00443028"/>
    <w:rsid w:val="004436BA"/>
    <w:rsid w:val="00443B64"/>
    <w:rsid w:val="004455EC"/>
    <w:rsid w:val="00447EF7"/>
    <w:rsid w:val="00452D95"/>
    <w:rsid w:val="00454BA5"/>
    <w:rsid w:val="00456578"/>
    <w:rsid w:val="004600E2"/>
    <w:rsid w:val="004644F0"/>
    <w:rsid w:val="00464A16"/>
    <w:rsid w:val="00467153"/>
    <w:rsid w:val="00472C6E"/>
    <w:rsid w:val="00472D07"/>
    <w:rsid w:val="004735DB"/>
    <w:rsid w:val="004779FC"/>
    <w:rsid w:val="00481A44"/>
    <w:rsid w:val="004830C9"/>
    <w:rsid w:val="004836A2"/>
    <w:rsid w:val="00485C81"/>
    <w:rsid w:val="00485E17"/>
    <w:rsid w:val="0048635C"/>
    <w:rsid w:val="00491DFB"/>
    <w:rsid w:val="00491E44"/>
    <w:rsid w:val="00495541"/>
    <w:rsid w:val="004A1033"/>
    <w:rsid w:val="004A1CEF"/>
    <w:rsid w:val="004A4FAA"/>
    <w:rsid w:val="004A56D1"/>
    <w:rsid w:val="004A73A1"/>
    <w:rsid w:val="004A77A3"/>
    <w:rsid w:val="004B1985"/>
    <w:rsid w:val="004B2216"/>
    <w:rsid w:val="004B3630"/>
    <w:rsid w:val="004C0EED"/>
    <w:rsid w:val="004C110D"/>
    <w:rsid w:val="004C1950"/>
    <w:rsid w:val="004C1A2A"/>
    <w:rsid w:val="004C30B9"/>
    <w:rsid w:val="004C6242"/>
    <w:rsid w:val="004D1C60"/>
    <w:rsid w:val="004D798E"/>
    <w:rsid w:val="004E04A7"/>
    <w:rsid w:val="004E3556"/>
    <w:rsid w:val="004E4272"/>
    <w:rsid w:val="004F17E1"/>
    <w:rsid w:val="00503A55"/>
    <w:rsid w:val="00507108"/>
    <w:rsid w:val="005133D5"/>
    <w:rsid w:val="0051406B"/>
    <w:rsid w:val="00514C5B"/>
    <w:rsid w:val="00515122"/>
    <w:rsid w:val="005209F2"/>
    <w:rsid w:val="0052514B"/>
    <w:rsid w:val="00536B7E"/>
    <w:rsid w:val="005406E9"/>
    <w:rsid w:val="005429FF"/>
    <w:rsid w:val="0054415C"/>
    <w:rsid w:val="00545836"/>
    <w:rsid w:val="00550D70"/>
    <w:rsid w:val="005520CB"/>
    <w:rsid w:val="00563496"/>
    <w:rsid w:val="0056442C"/>
    <w:rsid w:val="005653C8"/>
    <w:rsid w:val="00566A77"/>
    <w:rsid w:val="00575AC1"/>
    <w:rsid w:val="00583D9B"/>
    <w:rsid w:val="00583E9A"/>
    <w:rsid w:val="00595BAD"/>
    <w:rsid w:val="00596C3C"/>
    <w:rsid w:val="005978BC"/>
    <w:rsid w:val="005A3A37"/>
    <w:rsid w:val="005A576F"/>
    <w:rsid w:val="005A7C41"/>
    <w:rsid w:val="005B11C5"/>
    <w:rsid w:val="005B1F3B"/>
    <w:rsid w:val="005B2CC0"/>
    <w:rsid w:val="005B5A9C"/>
    <w:rsid w:val="005B6DBF"/>
    <w:rsid w:val="005C1FBF"/>
    <w:rsid w:val="005C24B1"/>
    <w:rsid w:val="005C261D"/>
    <w:rsid w:val="005C30BA"/>
    <w:rsid w:val="005C4747"/>
    <w:rsid w:val="005D0F99"/>
    <w:rsid w:val="005D2F10"/>
    <w:rsid w:val="005D6502"/>
    <w:rsid w:val="005D74EC"/>
    <w:rsid w:val="005E4723"/>
    <w:rsid w:val="005E601E"/>
    <w:rsid w:val="005F0A51"/>
    <w:rsid w:val="005F53D8"/>
    <w:rsid w:val="006009BF"/>
    <w:rsid w:val="00602105"/>
    <w:rsid w:val="00604F66"/>
    <w:rsid w:val="00605AE6"/>
    <w:rsid w:val="00612EAB"/>
    <w:rsid w:val="00613A6D"/>
    <w:rsid w:val="00620BBE"/>
    <w:rsid w:val="00622942"/>
    <w:rsid w:val="00622B17"/>
    <w:rsid w:val="0062318C"/>
    <w:rsid w:val="0062346B"/>
    <w:rsid w:val="006255B0"/>
    <w:rsid w:val="00625774"/>
    <w:rsid w:val="00626E9E"/>
    <w:rsid w:val="00631134"/>
    <w:rsid w:val="006315D5"/>
    <w:rsid w:val="00636EA7"/>
    <w:rsid w:val="00637E9A"/>
    <w:rsid w:val="00644DE8"/>
    <w:rsid w:val="00647986"/>
    <w:rsid w:val="00650E16"/>
    <w:rsid w:val="00651E18"/>
    <w:rsid w:val="00653DA6"/>
    <w:rsid w:val="006567AC"/>
    <w:rsid w:val="00657B57"/>
    <w:rsid w:val="00661B59"/>
    <w:rsid w:val="00661C27"/>
    <w:rsid w:val="00661C6F"/>
    <w:rsid w:val="0066244F"/>
    <w:rsid w:val="00663CCE"/>
    <w:rsid w:val="00666FDD"/>
    <w:rsid w:val="00670F25"/>
    <w:rsid w:val="00671F34"/>
    <w:rsid w:val="006733A6"/>
    <w:rsid w:val="00674777"/>
    <w:rsid w:val="00676213"/>
    <w:rsid w:val="00676A00"/>
    <w:rsid w:val="00676EDA"/>
    <w:rsid w:val="00677460"/>
    <w:rsid w:val="00677CCE"/>
    <w:rsid w:val="00677E04"/>
    <w:rsid w:val="00681169"/>
    <w:rsid w:val="006820C4"/>
    <w:rsid w:val="0068297D"/>
    <w:rsid w:val="00684DAC"/>
    <w:rsid w:val="00686B4E"/>
    <w:rsid w:val="00686DCD"/>
    <w:rsid w:val="00687F27"/>
    <w:rsid w:val="00691792"/>
    <w:rsid w:val="00692D5D"/>
    <w:rsid w:val="00692DEA"/>
    <w:rsid w:val="00695F92"/>
    <w:rsid w:val="006A16DF"/>
    <w:rsid w:val="006A1A77"/>
    <w:rsid w:val="006A43ED"/>
    <w:rsid w:val="006A499C"/>
    <w:rsid w:val="006A5629"/>
    <w:rsid w:val="006A633E"/>
    <w:rsid w:val="006A64FB"/>
    <w:rsid w:val="006A6AAD"/>
    <w:rsid w:val="006B31CF"/>
    <w:rsid w:val="006B630A"/>
    <w:rsid w:val="006B66D6"/>
    <w:rsid w:val="006B71DC"/>
    <w:rsid w:val="006B75AA"/>
    <w:rsid w:val="006C6C34"/>
    <w:rsid w:val="006D127B"/>
    <w:rsid w:val="006E0243"/>
    <w:rsid w:val="006F21C1"/>
    <w:rsid w:val="006F29AF"/>
    <w:rsid w:val="006F34BA"/>
    <w:rsid w:val="006F5B14"/>
    <w:rsid w:val="006F5F6D"/>
    <w:rsid w:val="006F64F6"/>
    <w:rsid w:val="006F7298"/>
    <w:rsid w:val="00702EB5"/>
    <w:rsid w:val="00703402"/>
    <w:rsid w:val="007052C1"/>
    <w:rsid w:val="007053F5"/>
    <w:rsid w:val="007057F9"/>
    <w:rsid w:val="007070D6"/>
    <w:rsid w:val="007241DF"/>
    <w:rsid w:val="0072604B"/>
    <w:rsid w:val="007342DA"/>
    <w:rsid w:val="00740B23"/>
    <w:rsid w:val="007424CB"/>
    <w:rsid w:val="0074556A"/>
    <w:rsid w:val="00745E4D"/>
    <w:rsid w:val="00747542"/>
    <w:rsid w:val="0075495C"/>
    <w:rsid w:val="00754F25"/>
    <w:rsid w:val="00764F9F"/>
    <w:rsid w:val="00771B6C"/>
    <w:rsid w:val="00775EAB"/>
    <w:rsid w:val="007802C1"/>
    <w:rsid w:val="00780953"/>
    <w:rsid w:val="00780CBE"/>
    <w:rsid w:val="00780CC4"/>
    <w:rsid w:val="007824CD"/>
    <w:rsid w:val="00782D4C"/>
    <w:rsid w:val="007840A4"/>
    <w:rsid w:val="007924B0"/>
    <w:rsid w:val="007A045D"/>
    <w:rsid w:val="007A08D1"/>
    <w:rsid w:val="007A6B7C"/>
    <w:rsid w:val="007B13AE"/>
    <w:rsid w:val="007B40E7"/>
    <w:rsid w:val="007B5067"/>
    <w:rsid w:val="007B585B"/>
    <w:rsid w:val="007B7142"/>
    <w:rsid w:val="007D08AC"/>
    <w:rsid w:val="007D364E"/>
    <w:rsid w:val="007D716C"/>
    <w:rsid w:val="007E0B8F"/>
    <w:rsid w:val="007E3BEE"/>
    <w:rsid w:val="007E4B83"/>
    <w:rsid w:val="007E5B74"/>
    <w:rsid w:val="007F324F"/>
    <w:rsid w:val="00802733"/>
    <w:rsid w:val="008079B7"/>
    <w:rsid w:val="00807A6F"/>
    <w:rsid w:val="00814811"/>
    <w:rsid w:val="00814D5D"/>
    <w:rsid w:val="00815110"/>
    <w:rsid w:val="008155CE"/>
    <w:rsid w:val="00815DD3"/>
    <w:rsid w:val="008164F1"/>
    <w:rsid w:val="00817A44"/>
    <w:rsid w:val="008200C3"/>
    <w:rsid w:val="00822D69"/>
    <w:rsid w:val="00826419"/>
    <w:rsid w:val="00830D7C"/>
    <w:rsid w:val="008318B7"/>
    <w:rsid w:val="00831AE8"/>
    <w:rsid w:val="00832C74"/>
    <w:rsid w:val="00832EF0"/>
    <w:rsid w:val="00834511"/>
    <w:rsid w:val="00841334"/>
    <w:rsid w:val="00842CB9"/>
    <w:rsid w:val="0085075A"/>
    <w:rsid w:val="00850CF1"/>
    <w:rsid w:val="00853719"/>
    <w:rsid w:val="008566F0"/>
    <w:rsid w:val="00863CDE"/>
    <w:rsid w:val="00864A79"/>
    <w:rsid w:val="008662BE"/>
    <w:rsid w:val="0087361B"/>
    <w:rsid w:val="00873C28"/>
    <w:rsid w:val="0088155F"/>
    <w:rsid w:val="008841D9"/>
    <w:rsid w:val="00885BD7"/>
    <w:rsid w:val="00890603"/>
    <w:rsid w:val="00891A17"/>
    <w:rsid w:val="00893F58"/>
    <w:rsid w:val="00896194"/>
    <w:rsid w:val="008A14F1"/>
    <w:rsid w:val="008A173C"/>
    <w:rsid w:val="008A393D"/>
    <w:rsid w:val="008A3B6B"/>
    <w:rsid w:val="008B25FA"/>
    <w:rsid w:val="008B5A72"/>
    <w:rsid w:val="008B5CB6"/>
    <w:rsid w:val="008B640A"/>
    <w:rsid w:val="008C1246"/>
    <w:rsid w:val="008C275E"/>
    <w:rsid w:val="008C4245"/>
    <w:rsid w:val="008C7371"/>
    <w:rsid w:val="008D3AAC"/>
    <w:rsid w:val="008D3E83"/>
    <w:rsid w:val="008E1750"/>
    <w:rsid w:val="008E290F"/>
    <w:rsid w:val="008E2BF6"/>
    <w:rsid w:val="008E3607"/>
    <w:rsid w:val="008F15F8"/>
    <w:rsid w:val="008F252A"/>
    <w:rsid w:val="009023B6"/>
    <w:rsid w:val="009031DB"/>
    <w:rsid w:val="009059AF"/>
    <w:rsid w:val="00906CCB"/>
    <w:rsid w:val="00910341"/>
    <w:rsid w:val="00912119"/>
    <w:rsid w:val="009133D6"/>
    <w:rsid w:val="0091443C"/>
    <w:rsid w:val="00917DA5"/>
    <w:rsid w:val="0092043F"/>
    <w:rsid w:val="00920A77"/>
    <w:rsid w:val="00921634"/>
    <w:rsid w:val="00922842"/>
    <w:rsid w:val="00931314"/>
    <w:rsid w:val="0094410F"/>
    <w:rsid w:val="00951F06"/>
    <w:rsid w:val="00956DCC"/>
    <w:rsid w:val="00962A5D"/>
    <w:rsid w:val="00965B6C"/>
    <w:rsid w:val="009742A6"/>
    <w:rsid w:val="009752B7"/>
    <w:rsid w:val="00975E85"/>
    <w:rsid w:val="009806E8"/>
    <w:rsid w:val="00982A6C"/>
    <w:rsid w:val="00982C1C"/>
    <w:rsid w:val="00986441"/>
    <w:rsid w:val="00986466"/>
    <w:rsid w:val="00986975"/>
    <w:rsid w:val="00995963"/>
    <w:rsid w:val="00996BD9"/>
    <w:rsid w:val="0099753F"/>
    <w:rsid w:val="009A0AA6"/>
    <w:rsid w:val="009A0B4B"/>
    <w:rsid w:val="009A1339"/>
    <w:rsid w:val="009A4BE2"/>
    <w:rsid w:val="009A6C2A"/>
    <w:rsid w:val="009B0CF4"/>
    <w:rsid w:val="009B116D"/>
    <w:rsid w:val="009B1800"/>
    <w:rsid w:val="009B3003"/>
    <w:rsid w:val="009B776D"/>
    <w:rsid w:val="009C642F"/>
    <w:rsid w:val="009C68BE"/>
    <w:rsid w:val="009C6E32"/>
    <w:rsid w:val="009D1AFA"/>
    <w:rsid w:val="009D239D"/>
    <w:rsid w:val="009D7837"/>
    <w:rsid w:val="009E56CD"/>
    <w:rsid w:val="009F0F12"/>
    <w:rsid w:val="009F6900"/>
    <w:rsid w:val="00A02B36"/>
    <w:rsid w:val="00A079DA"/>
    <w:rsid w:val="00A139CB"/>
    <w:rsid w:val="00A139E0"/>
    <w:rsid w:val="00A13A1F"/>
    <w:rsid w:val="00A13A32"/>
    <w:rsid w:val="00A15C75"/>
    <w:rsid w:val="00A22DD9"/>
    <w:rsid w:val="00A247D1"/>
    <w:rsid w:val="00A24992"/>
    <w:rsid w:val="00A266CF"/>
    <w:rsid w:val="00A30C06"/>
    <w:rsid w:val="00A3166B"/>
    <w:rsid w:val="00A3554E"/>
    <w:rsid w:val="00A365E3"/>
    <w:rsid w:val="00A43047"/>
    <w:rsid w:val="00A43E4B"/>
    <w:rsid w:val="00A43FB3"/>
    <w:rsid w:val="00A46152"/>
    <w:rsid w:val="00A51960"/>
    <w:rsid w:val="00A522AF"/>
    <w:rsid w:val="00A53308"/>
    <w:rsid w:val="00A54FB6"/>
    <w:rsid w:val="00A5567B"/>
    <w:rsid w:val="00A557EF"/>
    <w:rsid w:val="00A60354"/>
    <w:rsid w:val="00A608B8"/>
    <w:rsid w:val="00A60F50"/>
    <w:rsid w:val="00A63EC1"/>
    <w:rsid w:val="00A64425"/>
    <w:rsid w:val="00A64DB7"/>
    <w:rsid w:val="00A6600C"/>
    <w:rsid w:val="00A7123A"/>
    <w:rsid w:val="00A714D6"/>
    <w:rsid w:val="00A73EFF"/>
    <w:rsid w:val="00A77CDB"/>
    <w:rsid w:val="00A840DB"/>
    <w:rsid w:val="00A8539B"/>
    <w:rsid w:val="00A86BD5"/>
    <w:rsid w:val="00A90111"/>
    <w:rsid w:val="00A92745"/>
    <w:rsid w:val="00A93B33"/>
    <w:rsid w:val="00A96360"/>
    <w:rsid w:val="00A97F36"/>
    <w:rsid w:val="00AA25F8"/>
    <w:rsid w:val="00AA5792"/>
    <w:rsid w:val="00AA5D12"/>
    <w:rsid w:val="00AB0A43"/>
    <w:rsid w:val="00AB6FBE"/>
    <w:rsid w:val="00AC2AB1"/>
    <w:rsid w:val="00AC32B3"/>
    <w:rsid w:val="00AC36A8"/>
    <w:rsid w:val="00AC416A"/>
    <w:rsid w:val="00AC4467"/>
    <w:rsid w:val="00AC4F2E"/>
    <w:rsid w:val="00AC64DD"/>
    <w:rsid w:val="00AC6EF9"/>
    <w:rsid w:val="00AD376A"/>
    <w:rsid w:val="00AD6D00"/>
    <w:rsid w:val="00AE5059"/>
    <w:rsid w:val="00AE5AD4"/>
    <w:rsid w:val="00AF50D2"/>
    <w:rsid w:val="00AF51CF"/>
    <w:rsid w:val="00AF6AE5"/>
    <w:rsid w:val="00B04A4D"/>
    <w:rsid w:val="00B06BA3"/>
    <w:rsid w:val="00B1160B"/>
    <w:rsid w:val="00B11F4F"/>
    <w:rsid w:val="00B215D6"/>
    <w:rsid w:val="00B21C10"/>
    <w:rsid w:val="00B228C6"/>
    <w:rsid w:val="00B23ED4"/>
    <w:rsid w:val="00B258BC"/>
    <w:rsid w:val="00B31B8C"/>
    <w:rsid w:val="00B34E81"/>
    <w:rsid w:val="00B36FF7"/>
    <w:rsid w:val="00B371D8"/>
    <w:rsid w:val="00B37561"/>
    <w:rsid w:val="00B40386"/>
    <w:rsid w:val="00B41081"/>
    <w:rsid w:val="00B46B8A"/>
    <w:rsid w:val="00B61F25"/>
    <w:rsid w:val="00B63E90"/>
    <w:rsid w:val="00B71251"/>
    <w:rsid w:val="00B748B3"/>
    <w:rsid w:val="00B77681"/>
    <w:rsid w:val="00B86A11"/>
    <w:rsid w:val="00BA08F3"/>
    <w:rsid w:val="00BA3B01"/>
    <w:rsid w:val="00BA72F2"/>
    <w:rsid w:val="00BB29CD"/>
    <w:rsid w:val="00BB308F"/>
    <w:rsid w:val="00BB681E"/>
    <w:rsid w:val="00BC09AD"/>
    <w:rsid w:val="00BC0C75"/>
    <w:rsid w:val="00BC13C1"/>
    <w:rsid w:val="00BC2599"/>
    <w:rsid w:val="00BC3B73"/>
    <w:rsid w:val="00BC57AD"/>
    <w:rsid w:val="00BC5C58"/>
    <w:rsid w:val="00BD07BF"/>
    <w:rsid w:val="00BD134D"/>
    <w:rsid w:val="00BD2B63"/>
    <w:rsid w:val="00BD3FDE"/>
    <w:rsid w:val="00BD544E"/>
    <w:rsid w:val="00BD7C68"/>
    <w:rsid w:val="00BE12A3"/>
    <w:rsid w:val="00BE3841"/>
    <w:rsid w:val="00BE4BDB"/>
    <w:rsid w:val="00BE4D94"/>
    <w:rsid w:val="00BF2508"/>
    <w:rsid w:val="00BF56F3"/>
    <w:rsid w:val="00BF7072"/>
    <w:rsid w:val="00C01BA1"/>
    <w:rsid w:val="00C06392"/>
    <w:rsid w:val="00C10F5F"/>
    <w:rsid w:val="00C11040"/>
    <w:rsid w:val="00C11FE9"/>
    <w:rsid w:val="00C128D7"/>
    <w:rsid w:val="00C1462B"/>
    <w:rsid w:val="00C14F51"/>
    <w:rsid w:val="00C15A90"/>
    <w:rsid w:val="00C1603F"/>
    <w:rsid w:val="00C23E22"/>
    <w:rsid w:val="00C263F5"/>
    <w:rsid w:val="00C26C95"/>
    <w:rsid w:val="00C301E2"/>
    <w:rsid w:val="00C3248B"/>
    <w:rsid w:val="00C32BF3"/>
    <w:rsid w:val="00C3607C"/>
    <w:rsid w:val="00C36C11"/>
    <w:rsid w:val="00C40000"/>
    <w:rsid w:val="00C423FB"/>
    <w:rsid w:val="00C44D53"/>
    <w:rsid w:val="00C45852"/>
    <w:rsid w:val="00C605F8"/>
    <w:rsid w:val="00C63ED0"/>
    <w:rsid w:val="00C64B6D"/>
    <w:rsid w:val="00C64DA0"/>
    <w:rsid w:val="00C65059"/>
    <w:rsid w:val="00C676AC"/>
    <w:rsid w:val="00C67F5A"/>
    <w:rsid w:val="00C70A0A"/>
    <w:rsid w:val="00C71C9D"/>
    <w:rsid w:val="00C74961"/>
    <w:rsid w:val="00C75751"/>
    <w:rsid w:val="00C80FB1"/>
    <w:rsid w:val="00C82160"/>
    <w:rsid w:val="00C82852"/>
    <w:rsid w:val="00C82B26"/>
    <w:rsid w:val="00C83FFF"/>
    <w:rsid w:val="00C85837"/>
    <w:rsid w:val="00C864D3"/>
    <w:rsid w:val="00C9000A"/>
    <w:rsid w:val="00C945C6"/>
    <w:rsid w:val="00C96123"/>
    <w:rsid w:val="00C97863"/>
    <w:rsid w:val="00CA0225"/>
    <w:rsid w:val="00CA527E"/>
    <w:rsid w:val="00CB4796"/>
    <w:rsid w:val="00CB5D22"/>
    <w:rsid w:val="00CC186E"/>
    <w:rsid w:val="00CC2A4E"/>
    <w:rsid w:val="00CC2EE8"/>
    <w:rsid w:val="00CC3C03"/>
    <w:rsid w:val="00CC5890"/>
    <w:rsid w:val="00CC7D5A"/>
    <w:rsid w:val="00CD0EA7"/>
    <w:rsid w:val="00CD4437"/>
    <w:rsid w:val="00CD60E1"/>
    <w:rsid w:val="00CD62FD"/>
    <w:rsid w:val="00CE0B9F"/>
    <w:rsid w:val="00CE2DAB"/>
    <w:rsid w:val="00CE6838"/>
    <w:rsid w:val="00CF28BE"/>
    <w:rsid w:val="00CF3318"/>
    <w:rsid w:val="00CF4EE0"/>
    <w:rsid w:val="00CF6234"/>
    <w:rsid w:val="00CF625A"/>
    <w:rsid w:val="00D03083"/>
    <w:rsid w:val="00D03F5A"/>
    <w:rsid w:val="00D07C1B"/>
    <w:rsid w:val="00D10532"/>
    <w:rsid w:val="00D15056"/>
    <w:rsid w:val="00D152CC"/>
    <w:rsid w:val="00D16152"/>
    <w:rsid w:val="00D22413"/>
    <w:rsid w:val="00D22D0A"/>
    <w:rsid w:val="00D238F4"/>
    <w:rsid w:val="00D25466"/>
    <w:rsid w:val="00D3026B"/>
    <w:rsid w:val="00D30816"/>
    <w:rsid w:val="00D3099B"/>
    <w:rsid w:val="00D338AD"/>
    <w:rsid w:val="00D33DE5"/>
    <w:rsid w:val="00D34409"/>
    <w:rsid w:val="00D47ACB"/>
    <w:rsid w:val="00D507E6"/>
    <w:rsid w:val="00D51ABE"/>
    <w:rsid w:val="00D524A0"/>
    <w:rsid w:val="00D55B08"/>
    <w:rsid w:val="00D5615B"/>
    <w:rsid w:val="00D64037"/>
    <w:rsid w:val="00D650E5"/>
    <w:rsid w:val="00D6787C"/>
    <w:rsid w:val="00D70503"/>
    <w:rsid w:val="00D74333"/>
    <w:rsid w:val="00D771DA"/>
    <w:rsid w:val="00D81369"/>
    <w:rsid w:val="00D82D4E"/>
    <w:rsid w:val="00D8387C"/>
    <w:rsid w:val="00D83BA6"/>
    <w:rsid w:val="00D845D4"/>
    <w:rsid w:val="00D9680E"/>
    <w:rsid w:val="00DA04B3"/>
    <w:rsid w:val="00DA33D9"/>
    <w:rsid w:val="00DA47FB"/>
    <w:rsid w:val="00DA6DEC"/>
    <w:rsid w:val="00DB3669"/>
    <w:rsid w:val="00DB4440"/>
    <w:rsid w:val="00DB6DCE"/>
    <w:rsid w:val="00DB792A"/>
    <w:rsid w:val="00DC5A03"/>
    <w:rsid w:val="00DC6D46"/>
    <w:rsid w:val="00DC7327"/>
    <w:rsid w:val="00DD0E1F"/>
    <w:rsid w:val="00DD2B75"/>
    <w:rsid w:val="00DD5405"/>
    <w:rsid w:val="00DD5706"/>
    <w:rsid w:val="00DE5BF8"/>
    <w:rsid w:val="00DE7BC7"/>
    <w:rsid w:val="00DF1855"/>
    <w:rsid w:val="00DF4D7F"/>
    <w:rsid w:val="00DF6FC3"/>
    <w:rsid w:val="00E007B5"/>
    <w:rsid w:val="00E01768"/>
    <w:rsid w:val="00E037C3"/>
    <w:rsid w:val="00E06660"/>
    <w:rsid w:val="00E107DD"/>
    <w:rsid w:val="00E10A97"/>
    <w:rsid w:val="00E11F02"/>
    <w:rsid w:val="00E13C7F"/>
    <w:rsid w:val="00E143BD"/>
    <w:rsid w:val="00E14AAC"/>
    <w:rsid w:val="00E16944"/>
    <w:rsid w:val="00E22B2D"/>
    <w:rsid w:val="00E24018"/>
    <w:rsid w:val="00E3363D"/>
    <w:rsid w:val="00E33AB0"/>
    <w:rsid w:val="00E3446C"/>
    <w:rsid w:val="00E361EF"/>
    <w:rsid w:val="00E37FB5"/>
    <w:rsid w:val="00E41299"/>
    <w:rsid w:val="00E54146"/>
    <w:rsid w:val="00E60268"/>
    <w:rsid w:val="00E60C6F"/>
    <w:rsid w:val="00E633F9"/>
    <w:rsid w:val="00E637C4"/>
    <w:rsid w:val="00E63EF8"/>
    <w:rsid w:val="00E66797"/>
    <w:rsid w:val="00E7393B"/>
    <w:rsid w:val="00E753F2"/>
    <w:rsid w:val="00E7589F"/>
    <w:rsid w:val="00E7762F"/>
    <w:rsid w:val="00E80ABB"/>
    <w:rsid w:val="00E8170D"/>
    <w:rsid w:val="00E8217C"/>
    <w:rsid w:val="00E8338B"/>
    <w:rsid w:val="00E84588"/>
    <w:rsid w:val="00E85935"/>
    <w:rsid w:val="00E93C3E"/>
    <w:rsid w:val="00EA0FDE"/>
    <w:rsid w:val="00EA111E"/>
    <w:rsid w:val="00EA389C"/>
    <w:rsid w:val="00EA4A09"/>
    <w:rsid w:val="00EA60EE"/>
    <w:rsid w:val="00EB1645"/>
    <w:rsid w:val="00EB34DA"/>
    <w:rsid w:val="00EC06BB"/>
    <w:rsid w:val="00ED575B"/>
    <w:rsid w:val="00ED5921"/>
    <w:rsid w:val="00ED7448"/>
    <w:rsid w:val="00ED79D1"/>
    <w:rsid w:val="00EE0436"/>
    <w:rsid w:val="00EE1856"/>
    <w:rsid w:val="00EE476D"/>
    <w:rsid w:val="00EE59A8"/>
    <w:rsid w:val="00EE74A1"/>
    <w:rsid w:val="00EF1E37"/>
    <w:rsid w:val="00EF38E8"/>
    <w:rsid w:val="00EF73C0"/>
    <w:rsid w:val="00F00FD3"/>
    <w:rsid w:val="00F017FB"/>
    <w:rsid w:val="00F0241C"/>
    <w:rsid w:val="00F02CCA"/>
    <w:rsid w:val="00F0486C"/>
    <w:rsid w:val="00F0688C"/>
    <w:rsid w:val="00F07159"/>
    <w:rsid w:val="00F13F6C"/>
    <w:rsid w:val="00F14D86"/>
    <w:rsid w:val="00F21D11"/>
    <w:rsid w:val="00F21E85"/>
    <w:rsid w:val="00F255CA"/>
    <w:rsid w:val="00F25D41"/>
    <w:rsid w:val="00F3003B"/>
    <w:rsid w:val="00F34C6E"/>
    <w:rsid w:val="00F36929"/>
    <w:rsid w:val="00F41A5A"/>
    <w:rsid w:val="00F47335"/>
    <w:rsid w:val="00F50E09"/>
    <w:rsid w:val="00F548D0"/>
    <w:rsid w:val="00F5665B"/>
    <w:rsid w:val="00F75FF6"/>
    <w:rsid w:val="00F824BD"/>
    <w:rsid w:val="00F82D04"/>
    <w:rsid w:val="00F836DA"/>
    <w:rsid w:val="00F86F74"/>
    <w:rsid w:val="00F9183F"/>
    <w:rsid w:val="00F922C2"/>
    <w:rsid w:val="00F93085"/>
    <w:rsid w:val="00F949B6"/>
    <w:rsid w:val="00FA0111"/>
    <w:rsid w:val="00FA0802"/>
    <w:rsid w:val="00FA2B64"/>
    <w:rsid w:val="00FA47D6"/>
    <w:rsid w:val="00FA47E0"/>
    <w:rsid w:val="00FA7831"/>
    <w:rsid w:val="00FB1C22"/>
    <w:rsid w:val="00FB3B4C"/>
    <w:rsid w:val="00FB5C67"/>
    <w:rsid w:val="00FB63AA"/>
    <w:rsid w:val="00FC0309"/>
    <w:rsid w:val="00FC3AD3"/>
    <w:rsid w:val="00FC4AFA"/>
    <w:rsid w:val="00FC4D9D"/>
    <w:rsid w:val="00FC79B7"/>
    <w:rsid w:val="00FD146D"/>
    <w:rsid w:val="00FD2717"/>
    <w:rsid w:val="00FD3D41"/>
    <w:rsid w:val="00FD6401"/>
    <w:rsid w:val="00FE01C4"/>
    <w:rsid w:val="00FE07BA"/>
    <w:rsid w:val="00FE4EB0"/>
    <w:rsid w:val="00FE5B48"/>
    <w:rsid w:val="00FE6477"/>
    <w:rsid w:val="00FF224C"/>
    <w:rsid w:val="00FF2400"/>
    <w:rsid w:val="00FF68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024C5D"/>
  <w15:docId w15:val="{251FE788-CBA1-4A73-86B2-6B538DAAD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185B"/>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3841"/>
    <w:pPr>
      <w:ind w:left="720"/>
      <w:contextualSpacing/>
    </w:pPr>
    <w:rPr>
      <w:rFonts w:eastAsiaTheme="minorEastAsia"/>
      <w:lang w:val="en-US"/>
    </w:rPr>
  </w:style>
  <w:style w:type="character" w:styleId="Hyperlink">
    <w:name w:val="Hyperlink"/>
    <w:basedOn w:val="DefaultParagraphFont"/>
    <w:uiPriority w:val="99"/>
    <w:unhideWhenUsed/>
    <w:rsid w:val="00832C74"/>
    <w:rPr>
      <w:color w:val="0000FF" w:themeColor="hyperlink"/>
      <w:u w:val="single"/>
    </w:rPr>
  </w:style>
  <w:style w:type="paragraph" w:styleId="Header">
    <w:name w:val="header"/>
    <w:basedOn w:val="Normal"/>
    <w:link w:val="HeaderChar"/>
    <w:uiPriority w:val="99"/>
    <w:unhideWhenUsed/>
    <w:rsid w:val="007A6B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6B7C"/>
    <w:rPr>
      <w:lang w:val="en-GB"/>
    </w:rPr>
  </w:style>
  <w:style w:type="paragraph" w:styleId="Footer">
    <w:name w:val="footer"/>
    <w:basedOn w:val="Normal"/>
    <w:link w:val="FooterChar"/>
    <w:uiPriority w:val="99"/>
    <w:unhideWhenUsed/>
    <w:rsid w:val="007A6B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6B7C"/>
    <w:rPr>
      <w:lang w:val="en-GB"/>
    </w:rPr>
  </w:style>
  <w:style w:type="paragraph" w:styleId="BalloonText">
    <w:name w:val="Balloon Text"/>
    <w:basedOn w:val="Normal"/>
    <w:link w:val="BalloonTextChar"/>
    <w:uiPriority w:val="99"/>
    <w:semiHidden/>
    <w:unhideWhenUsed/>
    <w:rsid w:val="007A6B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6B7C"/>
    <w:rPr>
      <w:rFonts w:ascii="Tahoma" w:hAnsi="Tahoma" w:cs="Tahoma"/>
      <w:sz w:val="16"/>
      <w:szCs w:val="16"/>
      <w:lang w:val="en-GB"/>
    </w:rPr>
  </w:style>
  <w:style w:type="paragraph" w:styleId="FootnoteText">
    <w:name w:val="footnote text"/>
    <w:basedOn w:val="Normal"/>
    <w:link w:val="FootnoteTextChar"/>
    <w:uiPriority w:val="99"/>
    <w:semiHidden/>
    <w:unhideWhenUsed/>
    <w:rsid w:val="00B776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77681"/>
    <w:rPr>
      <w:sz w:val="20"/>
      <w:szCs w:val="20"/>
      <w:lang w:val="en-GB"/>
    </w:rPr>
  </w:style>
  <w:style w:type="character" w:styleId="FootnoteReference">
    <w:name w:val="footnote reference"/>
    <w:basedOn w:val="DefaultParagraphFont"/>
    <w:uiPriority w:val="99"/>
    <w:semiHidden/>
    <w:unhideWhenUsed/>
    <w:rsid w:val="00B77681"/>
    <w:rPr>
      <w:vertAlign w:val="superscript"/>
    </w:rPr>
  </w:style>
  <w:style w:type="character" w:styleId="UnresolvedMention">
    <w:name w:val="Unresolved Mention"/>
    <w:basedOn w:val="DefaultParagraphFont"/>
    <w:uiPriority w:val="99"/>
    <w:semiHidden/>
    <w:unhideWhenUsed/>
    <w:rsid w:val="00B06BA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58362">
      <w:bodyDiv w:val="1"/>
      <w:marLeft w:val="0"/>
      <w:marRight w:val="0"/>
      <w:marTop w:val="0"/>
      <w:marBottom w:val="0"/>
      <w:divBdr>
        <w:top w:val="none" w:sz="0" w:space="0" w:color="auto"/>
        <w:left w:val="none" w:sz="0" w:space="0" w:color="auto"/>
        <w:bottom w:val="none" w:sz="0" w:space="0" w:color="auto"/>
        <w:right w:val="none" w:sz="0" w:space="0" w:color="auto"/>
      </w:divBdr>
      <w:divsChild>
        <w:div w:id="1480031837">
          <w:marLeft w:val="0"/>
          <w:marRight w:val="0"/>
          <w:marTop w:val="0"/>
          <w:marBottom w:val="0"/>
          <w:divBdr>
            <w:top w:val="none" w:sz="0" w:space="0" w:color="auto"/>
            <w:left w:val="none" w:sz="0" w:space="0" w:color="auto"/>
            <w:bottom w:val="none" w:sz="0" w:space="0" w:color="auto"/>
            <w:right w:val="none" w:sz="0" w:space="0" w:color="auto"/>
          </w:divBdr>
        </w:div>
        <w:div w:id="1480417680">
          <w:marLeft w:val="0"/>
          <w:marRight w:val="0"/>
          <w:marTop w:val="0"/>
          <w:marBottom w:val="0"/>
          <w:divBdr>
            <w:top w:val="none" w:sz="0" w:space="0" w:color="auto"/>
            <w:left w:val="none" w:sz="0" w:space="0" w:color="auto"/>
            <w:bottom w:val="none" w:sz="0" w:space="0" w:color="auto"/>
            <w:right w:val="none" w:sz="0" w:space="0" w:color="auto"/>
          </w:divBdr>
        </w:div>
      </w:divsChild>
    </w:div>
    <w:div w:id="949707144">
      <w:bodyDiv w:val="1"/>
      <w:marLeft w:val="0"/>
      <w:marRight w:val="0"/>
      <w:marTop w:val="0"/>
      <w:marBottom w:val="0"/>
      <w:divBdr>
        <w:top w:val="none" w:sz="0" w:space="0" w:color="auto"/>
        <w:left w:val="none" w:sz="0" w:space="0" w:color="auto"/>
        <w:bottom w:val="none" w:sz="0" w:space="0" w:color="auto"/>
        <w:right w:val="none" w:sz="0" w:space="0" w:color="auto"/>
      </w:divBdr>
      <w:divsChild>
        <w:div w:id="2077824075">
          <w:marLeft w:val="0"/>
          <w:marRight w:val="0"/>
          <w:marTop w:val="0"/>
          <w:marBottom w:val="0"/>
          <w:divBdr>
            <w:top w:val="none" w:sz="0" w:space="0" w:color="auto"/>
            <w:left w:val="none" w:sz="0" w:space="0" w:color="auto"/>
            <w:bottom w:val="none" w:sz="0" w:space="0" w:color="auto"/>
            <w:right w:val="none" w:sz="0" w:space="0" w:color="auto"/>
          </w:divBdr>
        </w:div>
        <w:div w:id="528832062">
          <w:marLeft w:val="0"/>
          <w:marRight w:val="0"/>
          <w:marTop w:val="0"/>
          <w:marBottom w:val="0"/>
          <w:divBdr>
            <w:top w:val="none" w:sz="0" w:space="0" w:color="auto"/>
            <w:left w:val="none" w:sz="0" w:space="0" w:color="auto"/>
            <w:bottom w:val="none" w:sz="0" w:space="0" w:color="auto"/>
            <w:right w:val="none" w:sz="0" w:space="0" w:color="auto"/>
          </w:divBdr>
        </w:div>
        <w:div w:id="418216371">
          <w:marLeft w:val="0"/>
          <w:marRight w:val="0"/>
          <w:marTop w:val="0"/>
          <w:marBottom w:val="0"/>
          <w:divBdr>
            <w:top w:val="none" w:sz="0" w:space="0" w:color="auto"/>
            <w:left w:val="none" w:sz="0" w:space="0" w:color="auto"/>
            <w:bottom w:val="none" w:sz="0" w:space="0" w:color="auto"/>
            <w:right w:val="none" w:sz="0" w:space="0" w:color="auto"/>
          </w:divBdr>
        </w:div>
        <w:div w:id="1901360374">
          <w:marLeft w:val="0"/>
          <w:marRight w:val="0"/>
          <w:marTop w:val="0"/>
          <w:marBottom w:val="0"/>
          <w:divBdr>
            <w:top w:val="none" w:sz="0" w:space="0" w:color="auto"/>
            <w:left w:val="none" w:sz="0" w:space="0" w:color="auto"/>
            <w:bottom w:val="none" w:sz="0" w:space="0" w:color="auto"/>
            <w:right w:val="none" w:sz="0" w:space="0" w:color="auto"/>
          </w:divBdr>
        </w:div>
      </w:divsChild>
    </w:div>
    <w:div w:id="1041369206">
      <w:bodyDiv w:val="1"/>
      <w:marLeft w:val="0"/>
      <w:marRight w:val="0"/>
      <w:marTop w:val="0"/>
      <w:marBottom w:val="0"/>
      <w:divBdr>
        <w:top w:val="none" w:sz="0" w:space="0" w:color="auto"/>
        <w:left w:val="none" w:sz="0" w:space="0" w:color="auto"/>
        <w:bottom w:val="none" w:sz="0" w:space="0" w:color="auto"/>
        <w:right w:val="none" w:sz="0" w:space="0" w:color="auto"/>
      </w:divBdr>
      <w:divsChild>
        <w:div w:id="81340124">
          <w:marLeft w:val="0"/>
          <w:marRight w:val="0"/>
          <w:marTop w:val="0"/>
          <w:marBottom w:val="0"/>
          <w:divBdr>
            <w:top w:val="none" w:sz="0" w:space="0" w:color="auto"/>
            <w:left w:val="none" w:sz="0" w:space="0" w:color="auto"/>
            <w:bottom w:val="none" w:sz="0" w:space="0" w:color="auto"/>
            <w:right w:val="none" w:sz="0" w:space="0" w:color="auto"/>
          </w:divBdr>
        </w:div>
        <w:div w:id="1722752981">
          <w:marLeft w:val="0"/>
          <w:marRight w:val="0"/>
          <w:marTop w:val="0"/>
          <w:marBottom w:val="0"/>
          <w:divBdr>
            <w:top w:val="none" w:sz="0" w:space="0" w:color="auto"/>
            <w:left w:val="none" w:sz="0" w:space="0" w:color="auto"/>
            <w:bottom w:val="none" w:sz="0" w:space="0" w:color="auto"/>
            <w:right w:val="none" w:sz="0" w:space="0" w:color="auto"/>
          </w:divBdr>
        </w:div>
      </w:divsChild>
    </w:div>
    <w:div w:id="1835105472">
      <w:bodyDiv w:val="1"/>
      <w:marLeft w:val="0"/>
      <w:marRight w:val="0"/>
      <w:marTop w:val="0"/>
      <w:marBottom w:val="0"/>
      <w:divBdr>
        <w:top w:val="none" w:sz="0" w:space="0" w:color="auto"/>
        <w:left w:val="none" w:sz="0" w:space="0" w:color="auto"/>
        <w:bottom w:val="none" w:sz="0" w:space="0" w:color="auto"/>
        <w:right w:val="none" w:sz="0" w:space="0" w:color="auto"/>
      </w:divBdr>
    </w:div>
    <w:div w:id="1890266457">
      <w:bodyDiv w:val="1"/>
      <w:marLeft w:val="0"/>
      <w:marRight w:val="0"/>
      <w:marTop w:val="0"/>
      <w:marBottom w:val="0"/>
      <w:divBdr>
        <w:top w:val="none" w:sz="0" w:space="0" w:color="auto"/>
        <w:left w:val="none" w:sz="0" w:space="0" w:color="auto"/>
        <w:bottom w:val="none" w:sz="0" w:space="0" w:color="auto"/>
        <w:right w:val="none" w:sz="0" w:space="0" w:color="auto"/>
      </w:divBdr>
      <w:divsChild>
        <w:div w:id="1961256713">
          <w:marLeft w:val="0"/>
          <w:marRight w:val="0"/>
          <w:marTop w:val="0"/>
          <w:marBottom w:val="0"/>
          <w:divBdr>
            <w:top w:val="none" w:sz="0" w:space="0" w:color="auto"/>
            <w:left w:val="none" w:sz="0" w:space="0" w:color="auto"/>
            <w:bottom w:val="none" w:sz="0" w:space="0" w:color="auto"/>
            <w:right w:val="none" w:sz="0" w:space="0" w:color="auto"/>
          </w:divBdr>
        </w:div>
        <w:div w:id="1989938078">
          <w:marLeft w:val="0"/>
          <w:marRight w:val="0"/>
          <w:marTop w:val="0"/>
          <w:marBottom w:val="0"/>
          <w:divBdr>
            <w:top w:val="none" w:sz="0" w:space="0" w:color="auto"/>
            <w:left w:val="none" w:sz="0" w:space="0" w:color="auto"/>
            <w:bottom w:val="none" w:sz="0" w:space="0" w:color="auto"/>
            <w:right w:val="none" w:sz="0" w:space="0" w:color="auto"/>
          </w:divBdr>
        </w:div>
        <w:div w:id="866673128">
          <w:marLeft w:val="0"/>
          <w:marRight w:val="0"/>
          <w:marTop w:val="0"/>
          <w:marBottom w:val="0"/>
          <w:divBdr>
            <w:top w:val="none" w:sz="0" w:space="0" w:color="auto"/>
            <w:left w:val="none" w:sz="0" w:space="0" w:color="auto"/>
            <w:bottom w:val="none" w:sz="0" w:space="0" w:color="auto"/>
            <w:right w:val="none" w:sz="0" w:space="0" w:color="auto"/>
          </w:divBdr>
        </w:div>
        <w:div w:id="722562232">
          <w:marLeft w:val="0"/>
          <w:marRight w:val="0"/>
          <w:marTop w:val="0"/>
          <w:marBottom w:val="0"/>
          <w:divBdr>
            <w:top w:val="none" w:sz="0" w:space="0" w:color="auto"/>
            <w:left w:val="none" w:sz="0" w:space="0" w:color="auto"/>
            <w:bottom w:val="none" w:sz="0" w:space="0" w:color="auto"/>
            <w:right w:val="none" w:sz="0" w:space="0" w:color="auto"/>
          </w:divBdr>
        </w:div>
      </w:divsChild>
    </w:div>
    <w:div w:id="2014139207">
      <w:bodyDiv w:val="1"/>
      <w:marLeft w:val="0"/>
      <w:marRight w:val="0"/>
      <w:marTop w:val="0"/>
      <w:marBottom w:val="0"/>
      <w:divBdr>
        <w:top w:val="none" w:sz="0" w:space="0" w:color="auto"/>
        <w:left w:val="none" w:sz="0" w:space="0" w:color="auto"/>
        <w:bottom w:val="none" w:sz="0" w:space="0" w:color="auto"/>
        <w:right w:val="none" w:sz="0" w:space="0" w:color="auto"/>
      </w:divBdr>
      <w:divsChild>
        <w:div w:id="1818765678">
          <w:marLeft w:val="0"/>
          <w:marRight w:val="0"/>
          <w:marTop w:val="0"/>
          <w:marBottom w:val="0"/>
          <w:divBdr>
            <w:top w:val="none" w:sz="0" w:space="0" w:color="auto"/>
            <w:left w:val="none" w:sz="0" w:space="0" w:color="auto"/>
            <w:bottom w:val="none" w:sz="0" w:space="0" w:color="auto"/>
            <w:right w:val="none" w:sz="0" w:space="0" w:color="auto"/>
          </w:divBdr>
        </w:div>
        <w:div w:id="1976792382">
          <w:marLeft w:val="0"/>
          <w:marRight w:val="0"/>
          <w:marTop w:val="0"/>
          <w:marBottom w:val="0"/>
          <w:divBdr>
            <w:top w:val="none" w:sz="0" w:space="0" w:color="auto"/>
            <w:left w:val="none" w:sz="0" w:space="0" w:color="auto"/>
            <w:bottom w:val="none" w:sz="0" w:space="0" w:color="auto"/>
            <w:right w:val="none" w:sz="0" w:space="0" w:color="auto"/>
          </w:divBdr>
        </w:div>
      </w:divsChild>
    </w:div>
    <w:div w:id="2118989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2F5357-D801-4F80-A3D7-069D21A9F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1307</TotalTime>
  <Pages>9</Pages>
  <Words>2308</Words>
  <Characters>13159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285</cp:revision>
  <dcterms:created xsi:type="dcterms:W3CDTF">2018-01-08T20:12:00Z</dcterms:created>
  <dcterms:modified xsi:type="dcterms:W3CDTF">2018-01-12T22:05:00Z</dcterms:modified>
</cp:coreProperties>
</file>