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6300" w:right="-334" w:firstLine="0"/>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codePr string="" type="-658046256" text="1"/>
                      <a:extLst>
                        <a:ext uri="sm">
                          <sm:smNativeData xmlns:sm="sm" val="SMDATA_17_T5tA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7"/>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Postgraduate/Distance Learning Assignment</w:t>
        <w:br w:type="textWrapping"/>
        <w:t>coversheet &amp; feedback form</w:t>
      </w:r>
      <w:r>
        <w:rPr>
          <w:rFonts w:ascii="Arial" w:hAnsi="Arial" w:cs="Arial"/>
          <w:b/>
          <w:sz w:val="28"/>
          <w:szCs w:val="28"/>
        </w:rPr>
      </w:r>
    </w:p>
    <w:p>
      <w:pPr>
        <w:spacing/>
        <w:jc w:val="center"/>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w:t>
        <w:br w:type="textWrapping"/>
        <w:t>(DO NOT SEND AS A SEPARATE FILE)</w:t>
      </w:r>
    </w:p>
    <w:p>
      <w:pPr>
        <w:pStyle w:val="para3"/>
        <w:ind w:left="720"/>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HPCA7015</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Foundations in Cultural Astronomy</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 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Essay based on a Sky Journal: Colour, Light, Language and Thought.</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br w:type="textWrapping"/>
              <w:t>Word Count: 2093</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28</w:t>
            </w:r>
            <w:r>
              <w:rPr>
                <w:rFonts w:ascii="Arial" w:hAnsi="Arial" w:cs="Arial"/>
                <w:sz w:val="22"/>
                <w:szCs w:val="22"/>
                <w:vertAlign w:val="superscript"/>
              </w:rPr>
              <w:t>th</w:t>
            </w:r>
            <w:r>
              <w:rPr>
                <w:rFonts w:ascii="Arial" w:hAnsi="Arial" w:cs="Arial"/>
                <w:sz w:val="22"/>
                <w:szCs w:val="22"/>
              </w:rPr>
              <w:t xml:space="preserve"> November 2024</w:t>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This assignment is for the       1</w:t>
            </w:r>
            <w:r>
              <w:rPr>
                <w:rFonts w:ascii="Arial" w:hAnsi="Arial" w:eastAsia="SimSun" w:cs="Arial"/>
                <w:vertAlign w:val="superscript"/>
              </w:rPr>
              <w:t xml:space="preserve">st </w:t>
            </w:r>
            <w:r/>
            <w:bookmarkStart w:id="0" w:name="Check13"/>
            <w:r/>
            <w:r>
              <w:rPr>
                <w:rFonts w:ascii="Arial" w:hAnsi="Arial" w:eastAsia="SimSun" w:cs="Arial"/>
              </w:rPr>
            </w:r>
            <w:r>
              <w:rPr>
                <w:rFonts w:ascii="Arial" w:hAnsi="Arial" w:eastAsia="SimSun" w:cs="Arial"/>
              </w:rPr>
              <w:fldChar w:fldCharType="begin">
                <w:ffData>
                  <w:name w:val="Check13"/>
                  <w:enabled/>
                  <w:calcOnExit w:val="0"/>
                  <w:checkBox>
                    <w:sizeAuto/>
                    <w:checked w:val="1"/>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0"/>
            <w:r/>
            <w:r>
              <w:rPr>
                <w:rFonts w:ascii="Arial" w:hAnsi="Arial" w:eastAsia="SimSun" w:cs="Arial"/>
              </w:rPr>
              <w:t xml:space="preserve">    2</w:t>
            </w:r>
            <w:r>
              <w:rPr>
                <w:rFonts w:ascii="Arial" w:hAnsi="Arial" w:eastAsia="SimSun" w:cs="Arial"/>
                <w:vertAlign w:val="superscript"/>
              </w:rPr>
              <w:t>nd</w:t>
            </w:r>
            <w:r>
              <w:rPr>
                <w:rFonts w:ascii="Arial" w:hAnsi="Arial" w:eastAsia="SimSun" w:cs="Arial"/>
              </w:rPr>
              <w:t xml:space="preserve">  </w:t>
            </w:r>
            <w:r/>
            <w:bookmarkStart w:id="1" w:name="Check14"/>
            <w:r/>
            <w:r>
              <w:rPr>
                <w:rFonts w:ascii="Arial" w:hAnsi="Arial" w:eastAsia="SimSun" w:cs="Arial"/>
              </w:rPr>
            </w:r>
            <w:r>
              <w:rPr>
                <w:rFonts w:ascii="Arial" w:hAnsi="Arial" w:eastAsia="SimSun" w:cs="Arial"/>
              </w:rPr>
              <w:fldChar w:fldCharType="begin">
                <w:ffData>
                  <w:name w:val="Check14"/>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1"/>
            <w:r/>
            <w:r>
              <w:rPr>
                <w:rFonts w:ascii="Arial" w:hAnsi="Arial" w:eastAsia="SimSun" w:cs="Arial"/>
              </w:rPr>
              <w:t xml:space="preserve">     3</w:t>
            </w:r>
            <w:r>
              <w:rPr>
                <w:rFonts w:ascii="Arial" w:hAnsi="Arial" w:eastAsia="SimSun" w:cs="Arial"/>
                <w:vertAlign w:val="superscript"/>
              </w:rPr>
              <w:t>rd</w:t>
            </w:r>
            <w:r>
              <w:rPr>
                <w:rFonts w:ascii="Arial" w:hAnsi="Arial" w:eastAsia="SimSun" w:cs="Arial"/>
              </w:rPr>
              <w:t xml:space="preserve">  </w:t>
            </w:r>
            <w:r/>
            <w:bookmarkStart w:id="2" w:name="Check15"/>
            <w:r/>
            <w:r>
              <w:rPr>
                <w:rFonts w:ascii="Arial" w:hAnsi="Arial" w:eastAsia="SimSun" w:cs="Arial"/>
              </w:rPr>
            </w:r>
            <w:r>
              <w:rPr>
                <w:rFonts w:ascii="Arial" w:hAnsi="Arial" w:eastAsia="SimSun" w:cs="Arial"/>
              </w:rPr>
              <w:fldChar w:fldCharType="begin">
                <w:ffData>
                  <w:name w:val="Check15"/>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2"/>
            <w:r/>
            <w:r>
              <w:rPr>
                <w:rFonts w:ascii="Arial" w:hAnsi="Arial" w:eastAsia="SimSun" w:cs="Arial"/>
              </w:rPr>
              <w:t xml:space="preserve">      4</w:t>
            </w:r>
            <w:r>
              <w:rPr>
                <w:rFonts w:ascii="Arial" w:hAnsi="Arial" w:eastAsia="SimSun" w:cs="Arial"/>
                <w:vertAlign w:val="superscript"/>
              </w:rPr>
              <w:t>th</w:t>
            </w:r>
            <w:r>
              <w:rPr>
                <w:rFonts w:ascii="Arial" w:hAnsi="Arial" w:eastAsia="SimSun" w:cs="Arial"/>
              </w:rPr>
              <w:t xml:space="preserve"> </w:t>
            </w:r>
            <w:r/>
            <w:bookmarkStart w:id="3" w:name="Check16"/>
            <w:r/>
            <w:r>
              <w:rPr>
                <w:rFonts w:ascii="Arial" w:hAnsi="Arial" w:eastAsia="SimSun" w:cs="Arial"/>
              </w:rPr>
            </w:r>
            <w:r>
              <w:rPr>
                <w:rFonts w:ascii="Arial" w:hAnsi="Arial" w:eastAsia="SimSun" w:cs="Arial"/>
              </w:rPr>
              <w:fldChar w:fldCharType="begin">
                <w:ffData>
                  <w:name w:val="Check16"/>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3"/>
            <w:r/>
            <w:r>
              <w:rPr>
                <w:rFonts w:ascii="Arial" w:hAnsi="Arial" w:eastAsia="SimSun" w:cs="Arial"/>
              </w:rPr>
              <w:t xml:space="preserve">      5</w:t>
            </w:r>
            <w:r>
              <w:rPr>
                <w:rFonts w:ascii="Arial" w:hAnsi="Arial" w:eastAsia="SimSun" w:cs="Arial"/>
                <w:vertAlign w:val="superscript"/>
              </w:rPr>
              <w:t>th</w:t>
            </w:r>
            <w:r>
              <w:rPr>
                <w:rFonts w:ascii="Arial" w:hAnsi="Arial" w:eastAsia="SimSun" w:cs="Arial"/>
              </w:rPr>
              <w:t xml:space="preserve"> </w:t>
            </w:r>
            <w:r/>
            <w:bookmarkStart w:id="4" w:name="Check17"/>
            <w:r/>
            <w:r>
              <w:rPr>
                <w:rFonts w:ascii="Arial" w:hAnsi="Arial" w:eastAsia="SimSun" w:cs="Arial"/>
              </w:rPr>
            </w:r>
            <w:r>
              <w:rPr>
                <w:rFonts w:ascii="Arial" w:hAnsi="Arial" w:eastAsia="SimSun" w:cs="Arial"/>
              </w:rPr>
              <w:fldChar w:fldCharType="begin">
                <w:ffData>
                  <w:name w:val="Check17"/>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4"/>
            <w:r/>
            <w:r>
              <w:rPr>
                <w:rFonts w:ascii="Arial" w:hAnsi="Arial" w:eastAsia="SimSun" w:cs="Arial"/>
              </w:rPr>
              <w:t xml:space="preserve">      6</w:t>
            </w:r>
            <w:r>
              <w:rPr>
                <w:rFonts w:ascii="Arial" w:hAnsi="Arial" w:eastAsia="SimSun" w:cs="Arial"/>
                <w:vertAlign w:val="superscript"/>
              </w:rPr>
              <w:t>th</w:t>
            </w:r>
            <w:r>
              <w:rPr>
                <w:rFonts w:ascii="Arial" w:hAnsi="Arial" w:eastAsia="SimSun" w:cs="Arial"/>
              </w:rPr>
              <w:t xml:space="preserve"> </w:t>
            </w:r>
            <w:r/>
            <w:bookmarkStart w:id="5" w:name="Check18"/>
            <w:r/>
            <w:r>
              <w:rPr>
                <w:rFonts w:ascii="Arial" w:hAnsi="Arial" w:eastAsia="SimSun" w:cs="Arial"/>
              </w:rPr>
            </w:r>
            <w:r>
              <w:rPr>
                <w:rFonts w:ascii="Arial" w:hAnsi="Arial" w:eastAsia="SimSun" w:cs="Arial"/>
              </w:rPr>
              <w:fldChar w:fldCharType="begin">
                <w:ffData>
                  <w:name w:val="Check18"/>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5"/>
            <w:r/>
            <w:r>
              <w:rPr>
                <w:rFonts w:ascii="Arial" w:hAnsi="Arial" w:eastAsia="SimSun" w:cs="Arial"/>
                <w:b/>
              </w:rPr>
              <w:t xml:space="preserve">   </w:t>
            </w:r>
            <w:r>
              <w:rPr>
                <w:rFonts w:ascii="Arial" w:hAnsi="Arial" w:eastAsia="SimSun" w:cs="Arial"/>
              </w:rPr>
              <w:t>module of the degree</w:t>
            </w:r>
            <w:r>
              <w:rPr>
                <w:rFonts w:ascii="Arial" w:hAnsi="Arial" w:eastAsia="SimSun" w:cs="Arial"/>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Wingdings 2" w:hAnsi="Wingdings 2" w:eastAsia="Wingdings 2" w:cs="Wingdings 2"/>
                <w:b/>
                <w:sz w:val="44"/>
                <w:szCs w:val="44"/>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jc w:val="left"/>
                <w:tabs defTabSz="720"/>
              </w:pPr>
              <w:tblLook w:val="0600" w:firstRow="0" w:lastRow="0" w:firstColumn="0" w:lastColumn="0" w:noHBand="1" w:noVBand="1"/>
            </w:tblPr>
            <w:tblGrid>
              <w:gridCol w:w="6902"/>
              <w:gridCol w:w="2511"/>
            </w:tblGrid>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br w:type="textWrapping"/>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left="142"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t>External Examiner’s comments (if relevant)</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2287311"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spacing/>
        <w:jc w:val="left"/>
        <w:rPr>
          <w:sz w:val="28"/>
          <w:szCs w:val="28"/>
        </w:rPr>
      </w:pPr>
      <w:r>
        <w:br w:type="page"/>
      </w:r>
      <w:r>
        <w:t>Essay based on a Sky Journal:</w:t>
        <w:br w:type="textWrapping"/>
      </w:r>
      <w:r>
        <w:rPr>
          <w:sz w:val="28"/>
          <w:szCs w:val="28"/>
        </w:rPr>
        <w:t>Colour, Light, Language and Thought.</w:t>
      </w:r>
    </w:p>
    <w:p>
      <w:pPr>
        <w:pStyle w:val="para2"/>
      </w:pPr>
      <w:r>
        <w:t>Introduction</w:t>
      </w:r>
    </w:p>
    <w:p>
      <w:r>
        <w:t>This paper discusses the statement by Alexandra Harris ‘To think is to walk among clouds’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
      </w:r>
      <w:r>
        <w:t>. It does so by using a personal sky journal and observational commentary from other writers, meteorologists and weather-watchers. The discussion focuses on three topics: colour and light, language, and thought. The aim is to determine what effect clouds in a day sky have on a personal experience of the world.</w:t>
      </w:r>
    </w:p>
    <w:p>
      <w:pPr>
        <w:pStyle w:val="para2"/>
      </w:pPr>
      <w:r>
        <w:t>Methodology</w:t>
      </w:r>
    </w:p>
    <w:p>
      <w:r>
        <w:t>The primary source material was a sky journal taking a phenomenological approach as a first-person account of personal experiences as described by Dermot Moran, who says ‘Phenomenology, broadly speaking, involves the careful, unprejudiced description of conscious, lived experiences’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
      </w:r>
      <w:r>
        <w:t xml:space="preserve">. The activity  involved watching clouds whilst assuming that what is true for the observer is true regardless of any subjective “reality”. </w:t>
      </w:r>
    </w:p>
    <w:p>
      <w:r>
        <w:t>Photographs and journal entries date between 1</w:t>
      </w:r>
      <w:r>
        <w:rPr>
          <w:vertAlign w:val="superscript"/>
        </w:rPr>
        <w:t>st</w:t>
      </w:r>
      <w:r>
        <w:t xml:space="preserve"> October and 9</w:t>
      </w:r>
      <w:r>
        <w:rPr>
          <w:vertAlign w:val="superscript"/>
        </w:rPr>
        <w:t>th</w:t>
      </w:r>
      <w:r>
        <w:t xml:space="preserve"> November 2024. Photographs were captured from the back of my home and other locations.</w:t>
      </w:r>
    </w:p>
    <w:p>
      <w:r>
        <w:t>The house faces South East and Portesham sits in a bowl formed by The Ridgeway. This location is primarily agricultural and, together with the topography, means it frequently has different weather systems to the surrounding area.</w:t>
      </w:r>
    </w:p>
    <w:p>
      <w:pPr>
        <w:pStyle w:val="para2"/>
      </w:pPr>
      <w:r>
        <w:t>Discussion</w:t>
      </w:r>
    </w:p>
    <w:p>
      <w:pPr>
        <w:pStyle w:val="para3"/>
      </w:pPr>
      <w:r>
        <w:t>Colour and light</w:t>
      </w:r>
    </w:p>
    <w:p>
      <w:r>
        <w:t>In 2021, Pantone Colour of the Year included Ultimate Gray which, according to their website, represents ‘solid and dependable elements which are everlasting and provide a firm foundation’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
      </w:r>
      <w:r>
        <w:t>. In that sense, it represents the timeless nature of the sky, yet misses the point that without colour, all we can experience are shades of light and dark, and as Tim Ingold reminds us, ‘while we see by means of light [..] we do not see light itself’</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
      </w:r>
      <w:r>
        <w:t>. His words remind me that light (and by inference colour) and being, are enmeshed, both are vital to the experience of life itself.</w:t>
      </w:r>
    </w:p>
    <w:p>
      <w:r>
        <w:t>This became self-evident throughout the journal and photographs, but it wasn’t until I put photographs into montage that I fully appreciated how colours I might think of as “Blue” or “Grey” are not a single colour but rather many-shaded.</w:t>
      </w:r>
    </w:p>
    <w:p>
      <w:r>
        <w:t>The following two montages show different shades of grey, the first of heavy, dark skies and the second of lighter greys and both have the effect of dulling colour.</w:t>
      </w:r>
    </w:p>
    <w:p>
      <w:r>
        <w:t>Entries from the sky journal note the effect this has:</w:t>
      </w:r>
    </w:p>
    <w:p>
      <w:pPr>
        <w:pStyle w:val="para8"/>
      </w:pPr>
      <w:r>
        <w:t>‘This morning [..] deep colours against the dawning sky, and the starkness of the house colours too.’</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
      </w:r>
      <w:r/>
    </w:p>
    <w:p>
      <w:pPr>
        <w:ind w:firstLine="0"/>
      </w:pPr>
      <w:r>
        <w:rPr>
          <w:noProof/>
        </w:rPr>
        <w:drawing>
          <wp:inline distT="89535" distB="89535" distL="89535" distR="89535">
            <wp:extent cx="6116955" cy="4189095"/>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2"/>
                    <pic:cNvPicPr>
                      <a:picLocks noChangeAspect="1"/>
                      <a:extLst>
                        <a:ext uri="sm">
                          <sm:smNativeData xmlns:sm="sm" val="SMDATA_17_T5tAZx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AAAAAAAAAAA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KElAADFGQAAoSUAAMUZ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YAAAAB6IAAAAAAAAAAAAAAQAAAAAAAACcAAAAAQAAAAAAAACcAAAAoSUAAMUZAAAAAAAAnAAAAJwAAAAoAAAACAAAAAEAAAABAAAAMAAAABQAAAAAAAAAAAD//wAAAQAAAP//AAABAA=="/>
                        </a:ext>
                      </a:extLst>
                    </pic:cNvPicPr>
                  </pic:nvPicPr>
                  <pic:blipFill>
                    <a:blip r:embed="rId9"/>
                    <a:stretch>
                      <a:fillRect/>
                    </a:stretch>
                  </pic:blipFill>
                  <pic:spPr>
                    <a:xfrm>
                      <a:off x="0" y="0"/>
                      <a:ext cx="6116955" cy="4189095"/>
                    </a:xfrm>
                    <a:prstGeom prst="rect">
                      <a:avLst/>
                    </a:prstGeom>
                    <a:noFill/>
                    <a:ln w="12700">
                      <a:noFill/>
                    </a:ln>
                  </pic:spPr>
                </pic:pic>
              </a:graphicData>
            </a:graphic>
          </wp:inline>
        </w:drawing>
      </w:r>
      <w:r>
        <w:br w:type="textWrapping"/>
        <w:t xml:space="preserve">(Fig. 1, Portesham facing North West, </w:t>
      </w:r>
      <w:r>
        <w:rPr>
          <w:i/>
          <w:iCs/>
        </w:rPr>
        <w:t>Photographs</w:t>
      </w:r>
      <w:r>
        <w:t>: L Parkinson-Hardman)</w:t>
      </w:r>
    </w:p>
    <w:p>
      <w:pPr>
        <w:pStyle w:val="para8"/>
      </w:pPr>
      <w:r>
        <w:t>‘It’s been cloudy all weekend [..]. Thick, no end in sight, the cloud blankets the land, dampens enthusiasm and reaches down as a fine mist to the ground meaning that not much light is actually reaching us here on earth.’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
      </w:r>
      <w:r/>
    </w:p>
    <w:p>
      <w:pPr>
        <w:pStyle w:val="para8"/>
      </w:pPr>
      <w:r>
        <w:t>‘Later in the day the sky has dimmed as cloud fill the skies with its many shades of grey, light through to dark. The light feels filtered rather than bright and the shadows of this morning have disappeared.’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3"/>
      </w:r>
      <w:r/>
    </w:p>
    <w:p>
      <w:pPr>
        <w:pStyle w:val="para8"/>
      </w:pPr>
      <w:r>
        <w:t>‘The light is diffused through rain clouds, they hang heavy and close to the land. [..] It looks uniformly off-white and grey except that when I spend a few minutes just watching I notice darker and lighter patches as layers and systems of clouds move over and above each other.’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4"/>
      </w:r>
      <w:r/>
    </w:p>
    <w:p>
      <w:pPr>
        <w:ind w:firstLine="0"/>
      </w:pPr>
      <w:r>
        <w:t>According to Andrew Morris:</w:t>
      </w:r>
    </w:p>
    <w:p>
      <w:pPr>
        <w:pStyle w:val="para8"/>
      </w:pPr>
      <w:r>
        <w:t>‘Light from the Sun is [-..] a blend of all the colours of the spectrum. What the eye and brain detect as different colours are simply light waves of slightly different wavelengths.’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5"/>
      </w:r>
      <w:r>
        <w:t xml:space="preserve"> </w:t>
      </w:r>
    </w:p>
    <w:p>
      <w:r>
        <w:t>He goes on to explain that what we see as colour is simply molecules in the atmosphere scattering the light in different ways, when the atmosphere is thick, we see less colour. It is interesting to note my sky journal reflects in words, the experience of wavelengths of light through cloudy skies.</w:t>
      </w:r>
    </w:p>
    <w:p>
      <w:r/>
    </w:p>
    <w:p>
      <w:pPr>
        <w:ind w:firstLine="0"/>
      </w:pPr>
      <w:r>
        <w:rPr>
          <w:noProof/>
        </w:rPr>
        <w:drawing>
          <wp:inline distT="89535" distB="89535" distL="89535" distR="89535">
            <wp:extent cx="6109335" cy="6203950"/>
            <wp:effectExtent l="0" t="0" r="0" b="0"/>
            <wp:docPr id="3"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5"/>
                    <pic:cNvPicPr>
                      <a:picLocks noChangeAspect="1"/>
                      <a:extLst>
                        <a:ext uri="sm">
                          <sm:smNativeData xmlns:sm="sm" val="SMDATA_17_T5tAZx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AAAAAAAAAAA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JUlAAAqJgAAlSUAACom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hAAAAB6IAAAAAAAAAAAAAAQAAAAAAAACcAAAAAQAAAAAAAACcAAAAlSUAAComAAAAAAAAnAAAAJwAAAAoAAAACAAAAAEAAAABAAAAMAAAABQAAAAAAAAAAAD//wAAAQAAAP//AAABAA=="/>
                        </a:ext>
                      </a:extLst>
                    </pic:cNvPicPr>
                  </pic:nvPicPr>
                  <pic:blipFill>
                    <a:blip r:embed="rId10"/>
                    <a:stretch>
                      <a:fillRect/>
                    </a:stretch>
                  </pic:blipFill>
                  <pic:spPr>
                    <a:xfrm>
                      <a:off x="0" y="0"/>
                      <a:ext cx="6109335" cy="6203950"/>
                    </a:xfrm>
                    <a:prstGeom prst="rect">
                      <a:avLst/>
                    </a:prstGeom>
                    <a:noFill/>
                    <a:ln w="12700">
                      <a:noFill/>
                    </a:ln>
                  </pic:spPr>
                </pic:pic>
              </a:graphicData>
            </a:graphic>
          </wp:inline>
        </w:drawing>
      </w:r>
      <w:r>
        <w:br w:type="textWrapping"/>
        <w:t xml:space="preserve">(Fig. 2, Portesham facing North West, </w:t>
      </w:r>
      <w:r>
        <w:rPr>
          <w:i/>
          <w:iCs/>
        </w:rPr>
        <w:t>Photographs</w:t>
      </w:r>
      <w:r>
        <w:t>: L Parkinson-Hardman)</w:t>
      </w:r>
    </w:p>
    <w:p>
      <w:r/>
    </w:p>
    <w:p>
      <w:r>
        <w:t>It seems self-evident then, that lack of cloud in a more transparent atmosphere creates ’the illusion of blue light arriving from the entire hemisphere above us – what we call the sky.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6"/>
      </w:r>
      <w:r>
        <w:t>’ The sky journal notes my change in language and mood when cloud lifts. An additional phenomenon is noted in that what we see is not always what the camera captures:</w:t>
      </w:r>
    </w:p>
    <w:p>
      <w:pPr>
        <w:pStyle w:val="para8"/>
      </w:pPr>
      <w:r>
        <w:t>‘I’m struck by the quality of the blue in the sky. [..] It’s as if God has done his laundry and hung the sky out to dry.’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7"/>
      </w:r>
      <w:r>
        <w:t xml:space="preserve"> It reminds me of the ‘The Cloud’ by Shelley and the line “The Spirit of loves remains; And I all the while bask in Heaven’s blue smile, Whilst he is dissolving in rains.”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8"/>
      </w:r>
      <w:r>
        <w:t>’</w:t>
      </w:r>
    </w:p>
    <w:p>
      <w:pPr>
        <w:pStyle w:val="para8"/>
        <w:ind w:left="0"/>
      </w:pPr>
      <w:r>
        <w:rPr>
          <w:noProof/>
        </w:rPr>
        <w:drawing>
          <wp:inline distT="0" distB="0" distL="114300" distR="114300">
            <wp:extent cx="6124575" cy="6207760"/>
            <wp:effectExtent l="0" t="0" r="0" b="0"/>
            <wp:docPr id="4"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6"/>
                    <pic:cNvPicPr>
                      <a:picLocks noChangeAspect="1"/>
                      <a:extLst>
                        <a:ext uri="sm">
                          <sm:smNativeData xmlns:sm="sm" val="SMDATA_17_T5tAZx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AAAAAAAAAAA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K0lAAAwJgAArSUAADAm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lAAAAB6IAAAAAAAAAAAAAAQAAAAAAAAABAAAAAQAAAAAAAAABAAAArSUAADAmAAAFAP//AQAAAAEAAAAoAAAACAAAAAEAAAABAAAAMAAAABQAAAAAAAAAAAD//wAAAQAAAP//AAABAA=="/>
                        </a:ext>
                      </a:extLst>
                    </pic:cNvPicPr>
                  </pic:nvPicPr>
                  <pic:blipFill>
                    <a:blip r:embed="rId11"/>
                    <a:stretch>
                      <a:fillRect/>
                    </a:stretch>
                  </pic:blipFill>
                  <pic:spPr>
                    <a:xfrm>
                      <a:off x="0" y="0"/>
                      <a:ext cx="6124575" cy="6207760"/>
                    </a:xfrm>
                    <a:prstGeom prst="rect">
                      <a:avLst/>
                    </a:prstGeom>
                    <a:noFill/>
                    <a:ln w="12700">
                      <a:noFill/>
                    </a:ln>
                  </pic:spPr>
                </pic:pic>
              </a:graphicData>
            </a:graphic>
          </wp:inline>
        </w:drawing>
      </w:r>
      <w:r>
        <w:br w:type="textWrapping"/>
        <w:t xml:space="preserve">(Fig. 3, Portesham facing South (1 and 2) and North West, </w:t>
      </w:r>
      <w:r>
        <w:rPr>
          <w:i/>
          <w:iCs/>
        </w:rPr>
        <w:t>Photographs</w:t>
      </w:r>
      <w:r>
        <w:t>: L Parkinson-Hardman)</w:t>
      </w:r>
    </w:p>
    <w:p>
      <w:pPr>
        <w:pStyle w:val="para8"/>
        <w:rPr>
          <w:rFonts w:ascii="Cambria" w:hAnsi="Cambria" w:eastAsia="Cambria" w:cs="Cambria"/>
          <w:b/>
          <w:bCs/>
          <w:sz w:val="28"/>
          <w:szCs w:val="28"/>
        </w:rPr>
      </w:pPr>
      <w:r>
        <w:t>‘The sky is pale blue, clouds are light and fluffy. They act as a filter to the light, diffusing it and making the colours paler. [..] The photograph captures more definition than I can see with the naked eye colours are stronger and sharper than they appear to me.’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9"/>
      </w:r>
      <w:r>
        <w:rPr>
          <w:rFonts w:ascii="Cambria" w:hAnsi="Cambria" w:eastAsia="Cambria" w:cs="Cambria"/>
          <w:b/>
          <w:bCs/>
          <w:sz w:val="28"/>
          <w:szCs w:val="28"/>
        </w:rPr>
      </w:r>
    </w:p>
    <w:p>
      <w:pPr>
        <w:pStyle w:val="para8"/>
      </w:pPr>
      <w:r>
        <w:t>‘[..] to my naked eye the sky looks clear, blue and full of promise.[..] Today, the photo reflects what I see.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0"/>
      </w:r>
      <w:r/>
    </w:p>
    <w:p>
      <w:pPr>
        <w:pStyle w:val="para3"/>
      </w:pPr>
      <w:r>
        <w:t>Language</w:t>
      </w:r>
    </w:p>
    <w:p>
      <w:r>
        <w:t>According to Tristan Gooley, clouds are always talking to us. He tells of Micronesian navigators who used ‘</w:t>
      </w:r>
      <w:r>
        <w:rPr>
          <w:i/>
          <w:iCs/>
        </w:rPr>
        <w:t>kapesani lang</w:t>
      </w:r>
      <w:r>
        <w:t>’ (the talk of the skies) to interpret the clouds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1"/>
      </w:r>
      <w:r>
        <w:t>. However, this obscures the fact that clouds have no language we can understand so we have, instead, created it to interpret what they say.</w:t>
      </w:r>
    </w:p>
    <w:p>
      <w:r>
        <w:t>In the UK we also have a ‘talk of the skies’ captured in everyday local words, and Robert MacFarlane introduces many describing different clouds such as ‘carry’ (a drift or movement of clouds), ‘meal-drift’ (high and wispy) and ‘mackerel-sky’ (mottled). We have visualised a ‘shepherd’s flock’ (white and fleecy), a ‘skub’ (hazy) or ‘urp’ (large clouds), ‘water-carts’ (small clouds) and ‘wadder-heads’ (columns of cloud)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2"/>
      </w:r>
      <w:r>
        <w:t>.</w:t>
      </w:r>
    </w:p>
    <w:p>
      <w:r>
        <w:t>It seems we have created two interchangeable cloud languages; the first is scientific, in the broadest sense of the term, whilst the second is poetic, meaning-making and anthropocentric. Yet both  demonstrate that clouds are always a phenomenological experience in the sense that we must, as Simon Glendinning suggests ‘[..] come reflectively to terms with something that is, in some way, already self-evident.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3"/>
      </w:r>
      <w:r>
        <w:t>’</w:t>
      </w:r>
    </w:p>
    <w:p>
      <w:r>
        <w:t>Over the course of creating a sky journal I found myself using words like ‘pregnant, threatening and, expectant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4"/>
      </w:r>
      <w:r>
        <w:t>’, ‘heavy’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5"/>
      </w:r>
      <w:r>
        <w:t xml:space="preserve"> and ‘thick’</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6"/>
      </w:r>
      <w:r>
        <w:t xml:space="preserve"> to describe a sky full of water vapour. On other days they are ‘[..]the upswept stroke of a paintbrush on canvas.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7"/>
      </w:r>
      <w:r>
        <w:t>’ or ‘[..] bubbling up behind the houses. It looks like the start of a giant wave crashing over the horizon.’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8"/>
      </w:r>
      <w:r>
        <w:t xml:space="preserve"> I also use poetic language to describe the effect the clouds have  in entries such as:</w:t>
      </w:r>
    </w:p>
    <w:p>
      <w:pPr>
        <w:pStyle w:val="para8"/>
      </w:pPr>
      <w:r>
        <w:rPr>
          <w:b/>
          <w:bCs/>
          <w:color w:val="000000"/>
        </w:rPr>
        <w:t>Overcast, wet, a thick blanket</w:t>
      </w:r>
      <w:r>
        <w:t xml:space="preserve"> of cloud. I am reminded of ‘To Autumn’ by Keats and it’s opening line “Season of mists and mellow fruitfulness, Close bosom friend of the maturing sun;”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9"/>
      </w:r>
      <w:r>
        <w:t>. Today, is definitely not like that, and it hasn’t been for some days. It’s more like Pooh’s “little black rain cloud!”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0"/>
      </w:r>
      <w:r>
        <w:t>.</w:t>
      </w:r>
    </w:p>
    <w:p>
      <w:pPr>
        <w:pStyle w:val="para8"/>
      </w:pPr>
      <w:r>
        <w:t xml:space="preserve">‘They (clouds) look like they are heading up country today, away from the south coast in one </w:t>
      </w:r>
      <w:r>
        <w:rPr>
          <w:b/>
          <w:bCs/>
        </w:rPr>
        <w:t>giant, rolling blanket machine</w:t>
      </w:r>
      <w:r>
        <w:t xml:space="preserve">. From down here (they look) </w:t>
      </w:r>
      <w:r>
        <w:rPr>
          <w:b/>
          <w:bCs/>
        </w:rPr>
        <w:t>slow, languorous, lazy</w:t>
      </w:r>
      <w:r>
        <w:t xml:space="preserve">, not keen to </w:t>
      </w:r>
      <w:r>
        <w:rPr>
          <w:b/>
          <w:bCs/>
        </w:rPr>
        <w:t>shrug their blanketness off</w:t>
      </w:r>
      <w:r>
        <w:t xml:space="preserve"> and </w:t>
      </w:r>
      <w:r>
        <w:rPr>
          <w:b/>
          <w:bCs/>
        </w:rPr>
        <w:t>dissipate into the ether</w:t>
      </w:r>
      <w:r>
        <w:t>. [..] I wonder how long it took ancient people to  recognise the winds would help them sail away?’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1"/>
      </w:r>
      <w:r>
        <w:t>.</w:t>
      </w:r>
    </w:p>
    <w:p>
      <w:pPr>
        <w:pStyle w:val="para8"/>
      </w:pPr>
      <w:r>
        <w:t>‘I realise that sky watching is the ultimate spectator sport, you cannot influence what happens, how the game is played, you can’t shout for your favourite cloud, egging them on to win the race. There is no race, just an endless cycling and recycling, sifting and twisting.’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2"/>
      </w:r>
      <w:r/>
    </w:p>
    <w:p>
      <w:r>
        <w:t>Journal entries change over time too as I learn to dwell within Tim Ingold’s ‘weather-world’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3"/>
      </w:r>
      <w:r>
        <w:t>. For example, on 29</w:t>
      </w:r>
      <w:r>
        <w:rPr>
          <w:vertAlign w:val="superscript"/>
        </w:rPr>
        <w:t>th</w:t>
      </w:r>
      <w:r>
        <w:t xml:space="preserve"> October I noticed that cloud watching allowed me to be more present and focused:</w:t>
      </w:r>
    </w:p>
    <w:p>
      <w:pPr>
        <w:pStyle w:val="para8"/>
      </w:pPr>
      <w:r>
        <w:t>’[..] there’s a peacefulness in knowing I’m a part of, but apart from what’s happening above me. My place is small in the world, I don’t cover vastness, I am diminished but as I watch I realise I’m paying attention to other things too. The tick of the clock, the sparrow tapping on the end of the tree, the dogs on the stairs. Somehow I am more alive, I’m present.’</w:t>
      </w:r>
    </w:p>
    <w:p>
      <w:pPr>
        <w:pStyle w:val="para3"/>
      </w:pPr>
      <w:r>
        <w:t>Thought</w:t>
      </w:r>
    </w:p>
    <w:p>
      <w:r>
        <w:t>Spending time watching clouds has alerted me to similarities between our thoughts and a sky full of clouds. As David Bohm states, ‘People’s senses pick up a representation painted by their thoughts in the same way an artist paints a picture that represents somebody, but isn’t that somebody’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4"/>
      </w:r>
      <w:r>
        <w:t>. In an earlier section I noted the difference there occasionally was between the image I saw and that represented by a photograph. This thinking became more acute when I realised that a photograph is, as Bohm suggests, simply a facsimile:</w:t>
      </w:r>
    </w:p>
    <w:p>
      <w:pPr>
        <w:pStyle w:val="para8"/>
        <w:ind w:left="0"/>
      </w:pPr>
      <w:r>
        <w:rPr>
          <w:noProof/>
        </w:rPr>
        <w:drawing>
          <wp:inline distT="89535" distB="89535" distL="89535" distR="89535">
            <wp:extent cx="6123940" cy="4592320"/>
            <wp:effectExtent l="0" t="0" r="0" b="0"/>
            <wp:docPr id="5"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7"/>
                    <pic:cNvPicPr>
                      <a:picLocks noChangeAspect="1"/>
                      <a:extLst>
                        <a:ext uri="sm">
                          <sm:smNativeData xmlns:sm="sm" val="SMDATA_17_T5tAZx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CMAAAAjAAAAIwAAAB4AAAAAAAAAZAAAAGQAAAAAAAAAZAAAAGQAAAAVAAAAYAAAAAAAAAAAAAAADwAAACADAAAAAAAAAAAAAAEAAACgMgAAAAAAAAAAAAA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KwlAABAHAAArCUAAEAc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0AAAAB6IAAAAAAAAAAAAAAQAAAAAAAABuBAAAAQAAAAAAAABuBAAArCUAAEAcAAAJAAAAbgQAAG4EAAAoAAAACAAAAAEAAAABAAAAMAAAABQAAAAAAAAAAAD//wAAAQAAAP//AAABAA=="/>
                        </a:ext>
                      </a:extLst>
                    </pic:cNvPicPr>
                  </pic:nvPicPr>
                  <pic:blipFill>
                    <a:blip r:embed="rId12"/>
                    <a:stretch>
                      <a:fillRect/>
                    </a:stretch>
                  </pic:blipFill>
                  <pic:spPr>
                    <a:xfrm>
                      <a:off x="0" y="0"/>
                      <a:ext cx="6123940" cy="4592320"/>
                    </a:xfrm>
                    <a:prstGeom prst="rect">
                      <a:avLst/>
                    </a:prstGeom>
                    <a:noFill/>
                    <a:ln w="12700">
                      <a:noFill/>
                    </a:ln>
                  </pic:spPr>
                </pic:pic>
              </a:graphicData>
            </a:graphic>
          </wp:inline>
        </w:drawing>
      </w:r>
      <w:r/>
    </w:p>
    <w:p>
      <w:pPr>
        <w:ind w:firstLine="0"/>
      </w:pPr>
      <w:r>
        <w:t xml:space="preserve">(Fig. 4, Portesham facing South West, </w:t>
      </w:r>
      <w:r>
        <w:rPr>
          <w:i/>
          <w:iCs/>
        </w:rPr>
        <w:t>Photographs</w:t>
      </w:r>
      <w:r>
        <w:t>: L Parkinson-Hardman)</w:t>
      </w:r>
    </w:p>
    <w:p>
      <w:pPr>
        <w:pStyle w:val="para8"/>
      </w:pPr>
      <w:r>
        <w:t>‘Walking Beeble to agility I was struck by the contrast of the view vs my experience of the day. I took a photograph from the road towards St Catherine’s chapel but was acutely aware that it was only ever a representation, a facsimile of the real thing. I had captured a moment for one sense, sight, but it would never give me the physical sensation of cold or the awe at the beauty; they can’t be captured in a  photograph.’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5"/>
      </w:r>
      <w:r/>
    </w:p>
    <w:p>
      <w:r>
        <w:t>The nature of thought also became significant when I noticed in journal entries how it connected to memory. As Daniel Moran points out ‘Memory is a form of calling to mind or re-presenting [..] that no longer has the bodily presence that characterises presence’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6"/>
      </w:r>
      <w:r>
        <w:t xml:space="preserve"> and that our ‘[..] world is filtered through emotions and moods.’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7"/>
      </w:r>
      <w:r>
        <w:t>. I noted:</w:t>
      </w:r>
    </w:p>
    <w:p>
      <w:pPr>
        <w:pStyle w:val="para8"/>
      </w:pPr>
      <w:r>
        <w:t>‘It occurred to me, that to be able to appreciate anything, whether real or representative we need to have memory. Memory attaches us to the ability to express a feeling through words, it allows us to look at a photograph and remember sights, smells, feelings as if they are properly locked because they’re significant.’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8"/>
      </w:r>
      <w:r/>
    </w:p>
    <w:p>
      <w:r>
        <w:t>And I remembered my father’s fascination with the sky as his dementia deepened:</w:t>
      </w:r>
    </w:p>
    <w:p>
      <w:pPr>
        <w:pStyle w:val="para8"/>
      </w:pPr>
      <w:r>
        <w:t>‘[..] he would watch it (sky) from the sitting room window for hours clearly agitated and angry, pointing. It was weeks before we realised he was angry about the vapour trails from aircraft passing over. His memory of what they were had gone, perhaps a deeper, collective memory lingered, reminding him they were not natural.’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9"/>
      </w:r>
      <w:r/>
    </w:p>
    <w:p>
      <w:r>
        <w:t>Clouds have often been used as a metaphor for thought and speech in the form of bubbles usually drawn up and to the side of a cartoon character. In meditation, we are encouraged to allow our thoughts to pass through, cloud like, without attaching to them. And, in my journal entries I notice the constant forming and reforming of my thoughts as I write and move from one topic to another, just as clouds form and reform moving from one state of being to another. They form because energy and heat accumulate in relationship to the amount of moisture in the air. They literally are ‘hot air’ as their formation heats the air around them</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0"/>
      </w:r>
      <w:r>
        <w:t>.</w:t>
      </w:r>
    </w:p>
    <w:p>
      <w:r>
        <w:t xml:space="preserve">In the same way, thoughts form in relation to stimuli from the senses and the environment, as Jack Pranksy tells us ‘formless energy comes into physical form with human beings via Universal Mind powering Consciousness and Thought to create people’s psychological lives’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1"/>
      </w:r>
      <w:r>
        <w:t>.</w:t>
      </w:r>
    </w:p>
    <w:p>
      <w:pPr>
        <w:pStyle w:val="para2"/>
      </w:pPr>
      <w:r>
        <w:t>Conclusion</w:t>
      </w:r>
    </w:p>
    <w:p>
      <w:r>
        <w:t>This essay set out to consider the effect clouds in a day sky have on a personal experience of the world.  In conclusion, there is more to the statement ‘To think is to walk among clouds’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2"/>
      </w:r>
      <w:r>
        <w:t xml:space="preserve"> than might be immediately obvious. </w:t>
      </w:r>
    </w:p>
    <w:p>
      <w:r>
        <w:t>The dual exercise of writing and photographing has demonstrated that as clouds require energy in the form of heat to form, so thoughts require energy, in the form of consciousness, to arise. As we require light to display colour, and language to give meaning, we need thought to interpret. It begs the question, is it possible that both energies are the consciousness of nature activating the same thing but manifesting in different ways?</w:t>
      </w:r>
    </w:p>
    <w:p>
      <w:r>
        <w:t>Throughout this essay ‘I want the sky to speak to me [..]. I want to find meaning in the clouds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3"/>
      </w:r>
      <w:r>
        <w:t>’ My thoughts follow the clouds, they are ‘gloomy and depressing and my soul feels deflated’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4"/>
      </w:r>
      <w:r>
        <w:t>. And like my thoughts, ‘The clouds [..] aren’t static, they shift and change constantly’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5"/>
      </w:r>
      <w:r>
        <w:t>. Until, by the end of this essay, I realise my thoughts and ‘Those clouds up there above the hills and behind the houses are like waves of possibility and I, God like, weave them into a story.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6"/>
      </w:r>
      <w:r>
        <w:t>’.</w:t>
      </w:r>
    </w:p>
    <w:p>
      <w:pPr>
        <w:pStyle w:val="para2"/>
      </w:pPr>
      <w:r>
        <w:t>Reference List</w:t>
      </w:r>
    </w:p>
    <w:p>
      <w:pPr>
        <w:ind w:firstLine="0"/>
      </w:pPr>
      <w:r>
        <w:t xml:space="preserve">Alexandra Harris, </w:t>
      </w:r>
      <w:r>
        <w:rPr>
          <w:i/>
          <w:iCs/>
        </w:rPr>
        <w:t>Weatherland: Writers &amp; Artists under English Skies</w:t>
      </w:r>
      <w:r>
        <w:t xml:space="preserve"> (London, Thames &amp; Hudson, 2015).</w:t>
      </w:r>
    </w:p>
    <w:p>
      <w:pPr>
        <w:ind w:firstLine="0"/>
        <w:spacing/>
        <w:jc w:val="left"/>
      </w:pPr>
      <w:r>
        <w:t xml:space="preserve">Andrew Morris, </w:t>
      </w:r>
      <w:r>
        <w:rPr>
          <w:i/>
          <w:iCs/>
        </w:rPr>
        <w:t>Why Icebergs Float: Exploring science in everyday life</w:t>
      </w:r>
      <w:r>
        <w:t xml:space="preserve"> (London: UCL Press, 2016).</w:t>
      </w:r>
    </w:p>
    <w:p>
      <w:pPr>
        <w:ind w:firstLine="0"/>
        <w:spacing/>
        <w:jc w:val="left"/>
      </w:pPr>
      <w:r>
        <w:t xml:space="preserve">Dermot Moran, ‘What Is The Phenomenological Approach? Revisiting Intentional Explication’, </w:t>
      </w:r>
      <w:r>
        <w:rPr>
          <w:i/>
          <w:iCs/>
        </w:rPr>
        <w:t>Phenomenology and Mind</w:t>
      </w:r>
      <w:r>
        <w:t>, 15 (2018).</w:t>
      </w:r>
    </w:p>
    <w:p>
      <w:pPr>
        <w:ind w:firstLine="0"/>
        <w:spacing/>
        <w:jc w:val="left"/>
      </w:pPr>
      <w:r>
        <w:t xml:space="preserve">Disney Fandom, </w:t>
      </w:r>
      <w:r>
        <w:rPr>
          <w:i/>
          <w:iCs/>
        </w:rPr>
        <w:t>Little Black Raincloud</w:t>
      </w:r>
      <w:r>
        <w:t>, (1977) &lt;https://disney.fandom.com/wiki/Little_Black_Rain_Cloud&gt;.</w:t>
      </w:r>
    </w:p>
    <w:p>
      <w:pPr>
        <w:ind w:firstLine="0"/>
        <w:spacing/>
        <w:jc w:val="left"/>
      </w:pPr>
      <w:r>
        <w:t xml:space="preserve">David Bohm, </w:t>
      </w:r>
      <w:r>
        <w:rPr>
          <w:i/>
          <w:iCs/>
        </w:rPr>
        <w:t>Thought as a System</w:t>
      </w:r>
      <w:r>
        <w:t>, (London: Routledge, 1994).</w:t>
      </w:r>
    </w:p>
    <w:p>
      <w:pPr>
        <w:ind w:firstLine="0"/>
        <w:spacing/>
        <w:jc w:val="left"/>
      </w:pPr>
      <w:r>
        <w:t xml:space="preserve">Jack Pranksy and Thomas M Kelley, ‘How the formless comes into form: A process by which Universal Mind powers consciousness and thought to create people’s psychological lives’, </w:t>
      </w:r>
      <w:r>
        <w:rPr>
          <w:i/>
          <w:iCs/>
        </w:rPr>
        <w:t>Cogent Psychology</w:t>
      </w:r>
      <w:r>
        <w:t>, 4.1 (2017).</w:t>
      </w:r>
    </w:p>
    <w:p>
      <w:pPr>
        <w:ind w:firstLine="0"/>
        <w:spacing/>
        <w:jc w:val="left"/>
      </w:pPr>
      <w:r>
        <w:t xml:space="preserve">John Keats, ‘To Autumn’ (1820) </w:t>
      </w:r>
      <w:r>
        <w:rPr>
          <w:i/>
          <w:iCs/>
        </w:rPr>
        <w:t>The Nation’s Favourite Poems</w:t>
      </w:r>
      <w:r>
        <w:t>, (London: BBC Worldwide Limited, 1998).</w:t>
      </w:r>
    </w:p>
    <w:p>
      <w:pPr>
        <w:ind w:firstLine="0"/>
        <w:spacing/>
        <w:jc w:val="left"/>
      </w:pPr>
      <w:r>
        <w:t xml:space="preserve">Linda Parkinson-Hardman, </w:t>
      </w:r>
      <w:r>
        <w:rPr>
          <w:i/>
          <w:iCs/>
        </w:rPr>
        <w:t xml:space="preserve">Sky Journal, </w:t>
      </w:r>
      <w:r>
        <w:t>1</w:t>
      </w:r>
      <w:r>
        <w:rPr>
          <w:vertAlign w:val="superscript"/>
        </w:rPr>
        <w:t>st</w:t>
      </w:r>
      <w:r>
        <w:t xml:space="preserve"> October - 9</w:t>
      </w:r>
      <w:r>
        <w:rPr>
          <w:vertAlign w:val="superscript"/>
        </w:rPr>
        <w:t>th</w:t>
      </w:r>
      <w:r>
        <w:t xml:space="preserve"> November 2024, Unpublished.</w:t>
      </w:r>
    </w:p>
    <w:p>
      <w:pPr>
        <w:ind w:firstLine="0"/>
        <w:spacing/>
        <w:jc w:val="left"/>
      </w:pPr>
      <w:r>
        <w:t xml:space="preserve">Pantone LLC, </w:t>
      </w:r>
      <w:r>
        <w:rPr>
          <w:i/>
          <w:iCs/>
        </w:rPr>
        <w:t>Pantone Color of the Year 2021</w:t>
      </w:r>
      <w:r>
        <w:t xml:space="preserve"> (2021), &lt;https://www.pantone.com/uk/en/articles/color-of-the-year/color-of-the-year-2021&gt;.</w:t>
      </w:r>
    </w:p>
    <w:p>
      <w:pPr>
        <w:ind w:firstLine="0"/>
        <w:spacing/>
        <w:jc w:val="left"/>
      </w:pPr>
      <w:r>
        <w:t xml:space="preserve">Percy Bysshe Shelley, </w:t>
      </w:r>
      <w:r>
        <w:rPr>
          <w:i/>
          <w:iCs/>
        </w:rPr>
        <w:t>The Cloud, Prometheus Unbound,</w:t>
      </w:r>
      <w:r>
        <w:t xml:space="preserve"> (1820),  &lt;https://en.wikisource.org/wiki/Prometheus_Unbound;_a_lyrical_drama_in_four_acts_with_other_poems&gt;.</w:t>
      </w:r>
    </w:p>
    <w:p>
      <w:pPr>
        <w:ind w:firstLine="0"/>
        <w:spacing/>
        <w:jc w:val="left"/>
      </w:pPr>
      <w:r>
        <w:t xml:space="preserve">Robert MacFarlane, </w:t>
      </w:r>
      <w:r>
        <w:rPr>
          <w:i/>
          <w:iCs/>
        </w:rPr>
        <w:t>Landmarks</w:t>
      </w:r>
      <w:r>
        <w:t>, (UK: Penguin Books, 2016).</w:t>
      </w:r>
    </w:p>
    <w:p>
      <w:pPr>
        <w:ind w:firstLine="0"/>
        <w:spacing/>
        <w:jc w:val="left"/>
      </w:pPr>
      <w:r>
        <w:t xml:space="preserve">Simon Glendinning, ‘What is Phenomenology’, </w:t>
      </w:r>
      <w:r>
        <w:rPr>
          <w:i/>
          <w:iCs/>
        </w:rPr>
        <w:t>Think: Philosophy for Everyone</w:t>
      </w:r>
      <w:r>
        <w:t>, 3.7 (2004).</w:t>
      </w:r>
    </w:p>
    <w:p>
      <w:pPr>
        <w:ind w:firstLine="0"/>
        <w:spacing/>
        <w:jc w:val="left"/>
      </w:pPr>
      <w:r>
        <w:t xml:space="preserve">Tim Ingold, </w:t>
      </w:r>
      <w:r>
        <w:rPr>
          <w:i/>
          <w:iCs/>
        </w:rPr>
        <w:t>Being Alive : Essays on Movement, Knowledge and Description</w:t>
      </w:r>
      <w:r>
        <w:t xml:space="preserve"> (Abingdon, Oxon: Routledge, 2011.</w:t>
      </w:r>
    </w:p>
    <w:p>
      <w:pPr>
        <w:ind w:firstLine="0"/>
        <w:spacing/>
        <w:jc w:val="left"/>
      </w:pPr>
      <w:r>
        <w:t xml:space="preserve">Tristan Gooley, </w:t>
      </w:r>
      <w:r>
        <w:rPr>
          <w:i/>
          <w:iCs/>
        </w:rPr>
        <w:t>The Secret World of Weather</w:t>
      </w:r>
      <w:r>
        <w:t>, (London: Sceptre, 2022).</w:t>
      </w:r>
    </w:p>
    <w:p>
      <w:pPr>
        <w:pStyle w:val="para5"/>
      </w:pPr>
      <w:r/>
    </w:p>
    <w:p>
      <w:pPr>
        <w:pStyle w:val="para5"/>
      </w:pPr>
      <w:r/>
    </w:p>
    <w:p>
      <w:pPr>
        <w:pStyle w:val="para5"/>
      </w:pPr>
      <w:r/>
    </w:p>
    <w:p>
      <w:pPr>
        <w:pStyle w:val="para5"/>
      </w:pPr>
      <w:r/>
    </w:p>
    <w:p>
      <w:pPr>
        <w:pStyle w:val="para5"/>
      </w:pPr>
      <w:r/>
    </w:p>
    <w:sectPr>
      <w:footnotePr>
        <w:pos w:val="pageBottom"/>
        <w:numFmt w:val="decimal"/>
        <w:numStart w:val="1"/>
        <w:numRestart w:val="continuous"/>
      </w:footnotePr>
      <w:endnotePr>
        <w:pos w:val="docEnd"/>
        <w:numFmt w:val="lowerRoman"/>
        <w:numStart w:val="1"/>
        <w:numRestart w:val="continuous"/>
      </w:endnotePr>
      <w:headerReference w:type="default" r:id="rId13"/>
      <w:type w:val="continuous"/>
      <w:pgSz w:h="16839" w:w="11907"/>
      <w:pgMar w:left="1134" w:top="1134" w:right="1134" w:bottom="1134" w:header="567" w:footer="0"/>
      <w:paperSrc w:first="0" w:other="0"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Alexandra Harris, </w:t>
      </w:r>
      <w:r>
        <w:rPr>
          <w:i/>
          <w:iCs/>
        </w:rPr>
        <w:t>Weatherland: Writers &amp; Artists under English Skies</w:t>
      </w:r>
      <w:r>
        <w:t xml:space="preserve"> (London, Thames &amp; Hudson, 2015), p. 201.</w:t>
      </w:r>
    </w:p>
  </w:footnote>
  <w:footnote w:id="8">
    <w:p>
      <w:pPr>
        <w:pStyle w:val="para5"/>
      </w:pPr>
      <w:r>
        <w:rPr>
          <w:rStyle w:val="char1"/>
        </w:rPr>
      </w:r>
      <w:r>
        <w:rPr>
          <w:rStyle w:val="char1"/>
        </w:rPr>
        <w:footnoteRef/>
      </w:r>
      <w:r>
        <w:t xml:space="preserve"> Dermot Moran, ‘What Is The Phenomenological Approach? Revisiting Intentional Explication’, </w:t>
      </w:r>
      <w:r>
        <w:rPr>
          <w:i/>
          <w:iCs/>
        </w:rPr>
        <w:t>Phenomenology and Mind</w:t>
      </w:r>
      <w:r>
        <w:t>, 15 (2018), 72-90 (p. 75). &lt;DOI: 10.13128/Phe_Mi-24973&gt;.</w:t>
      </w:r>
    </w:p>
  </w:footnote>
  <w:footnote w:id="9">
    <w:p>
      <w:pPr>
        <w:pStyle w:val="para5"/>
      </w:pPr>
      <w:r>
        <w:rPr>
          <w:rStyle w:val="char1"/>
        </w:rPr>
      </w:r>
      <w:r>
        <w:rPr>
          <w:rStyle w:val="char1"/>
        </w:rPr>
        <w:footnoteRef/>
      </w:r>
      <w:r>
        <w:t xml:space="preserve"> Pantone LLC, </w:t>
      </w:r>
      <w:r>
        <w:rPr>
          <w:i/>
          <w:iCs/>
        </w:rPr>
        <w:t>Pantone Color of the Year 2021</w:t>
      </w:r>
      <w:r>
        <w:t xml:space="preserve"> (2021), &lt;https://www.pantone.com/uk/en/articles/color-of-the-year/color-of-the-year-2021&gt; [Accessed 15</w:t>
      </w:r>
      <w:r>
        <w:rPr>
          <w:vertAlign w:val="superscript"/>
        </w:rPr>
        <w:t>th</w:t>
      </w:r>
      <w:r>
        <w:t xml:space="preserve"> November 2024].</w:t>
      </w:r>
    </w:p>
  </w:footnote>
  <w:footnote w:id="10">
    <w:p>
      <w:pPr>
        <w:pStyle w:val="para5"/>
      </w:pPr>
      <w:r>
        <w:rPr>
          <w:rStyle w:val="char1"/>
        </w:rPr>
      </w:r>
      <w:r>
        <w:rPr>
          <w:rStyle w:val="char1"/>
        </w:rPr>
        <w:footnoteRef/>
      </w:r>
      <w:r>
        <w:t xml:space="preserve"> Tim Ingold, </w:t>
      </w:r>
      <w:r>
        <w:rPr>
          <w:i/>
          <w:iCs/>
        </w:rPr>
        <w:t>Being Alive : Essays on Movement, Knowledge and Description</w:t>
      </w:r>
      <w:r>
        <w:t xml:space="preserve"> (Abingdon, Oxon: Routledge, 2011) p. 129.</w:t>
      </w:r>
    </w:p>
  </w:footnote>
  <w:footnote w:id="11">
    <w:p>
      <w:pPr>
        <w:pStyle w:val="para5"/>
      </w:pPr>
      <w:r>
        <w:rPr>
          <w:rStyle w:val="char1"/>
        </w:rPr>
      </w:r>
      <w:r>
        <w:rPr>
          <w:rStyle w:val="char1"/>
        </w:rPr>
        <w:footnoteRef/>
      </w:r>
      <w:r>
        <w:t xml:space="preserve"> Linda Parkinson-Hardman, </w:t>
      </w:r>
      <w:r>
        <w:rPr>
          <w:i/>
          <w:iCs/>
        </w:rPr>
        <w:t xml:space="preserve">Sky Journal, </w:t>
      </w:r>
      <w:r>
        <w:t>1</w:t>
      </w:r>
      <w:r>
        <w:rPr>
          <w:vertAlign w:val="superscript"/>
        </w:rPr>
        <w:t>st</w:t>
      </w:r>
      <w:r>
        <w:t xml:space="preserve"> October - 9</w:t>
      </w:r>
      <w:r>
        <w:rPr>
          <w:vertAlign w:val="superscript"/>
        </w:rPr>
        <w:t>th</w:t>
      </w:r>
      <w:r>
        <w:t xml:space="preserve"> November 2024, (Entry on 24</w:t>
      </w:r>
      <w:r>
        <w:rPr>
          <w:vertAlign w:val="superscript"/>
        </w:rPr>
        <w:t>th</w:t>
      </w:r>
      <w:r>
        <w:t xml:space="preserve"> October 2024), Unpublished.</w:t>
      </w:r>
    </w:p>
  </w:footnote>
  <w:footnote w:id="12">
    <w:p>
      <w:pPr>
        <w:pStyle w:val="para5"/>
      </w:pPr>
      <w:r>
        <w:rPr>
          <w:rStyle w:val="char1"/>
        </w:rPr>
      </w:r>
      <w:r>
        <w:rPr>
          <w:rStyle w:val="char1"/>
        </w:rPr>
        <w:footnoteRef/>
      </w:r>
      <w:r>
        <w:t xml:space="preserve"> Parkinson-Hardman, </w:t>
      </w:r>
      <w:r>
        <w:rPr>
          <w:i/>
          <w:iCs/>
        </w:rPr>
        <w:t>Sky Journal</w:t>
      </w:r>
      <w:r>
        <w:t>, (Entry on 4</w:t>
      </w:r>
      <w:r>
        <w:rPr>
          <w:vertAlign w:val="superscript"/>
        </w:rPr>
        <w:t>th</w:t>
      </w:r>
      <w:r>
        <w:t xml:space="preserve"> November, 2024), Unpublished.</w:t>
      </w:r>
    </w:p>
  </w:footnote>
  <w:footnote w:id="13">
    <w:p>
      <w:pPr>
        <w:pStyle w:val="para5"/>
      </w:pPr>
      <w:r>
        <w:rPr>
          <w:rStyle w:val="char1"/>
        </w:rPr>
      </w:r>
      <w:r>
        <w:rPr>
          <w:rStyle w:val="char1"/>
        </w:rPr>
        <w:footnoteRef/>
      </w:r>
      <w:r>
        <w:t xml:space="preserve"> Parkinson-Hardman, </w:t>
      </w:r>
      <w:r>
        <w:rPr>
          <w:i/>
          <w:iCs/>
        </w:rPr>
        <w:t>Sky Journal</w:t>
      </w:r>
      <w:r>
        <w:t>, (Entry on 9</w:t>
      </w:r>
      <w:r>
        <w:rPr>
          <w:vertAlign w:val="superscript"/>
        </w:rPr>
        <w:t>th</w:t>
      </w:r>
      <w:r>
        <w:t xml:space="preserve"> October 2024), Unpublished.</w:t>
      </w:r>
    </w:p>
  </w:footnote>
  <w:footnote w:id="14">
    <w:p>
      <w:pPr>
        <w:pStyle w:val="para5"/>
      </w:pPr>
      <w:r>
        <w:rPr>
          <w:rStyle w:val="char1"/>
        </w:rPr>
      </w:r>
      <w:r>
        <w:rPr>
          <w:rStyle w:val="char1"/>
        </w:rPr>
        <w:footnoteRef/>
      </w:r>
      <w:r>
        <w:t xml:space="preserve"> Parkinson-Hardman, </w:t>
      </w:r>
      <w:r>
        <w:rPr>
          <w:i/>
          <w:iCs/>
        </w:rPr>
        <w:t>Sky Journal</w:t>
      </w:r>
      <w:r>
        <w:t>, (Entry on 8</w:t>
      </w:r>
      <w:r>
        <w:rPr>
          <w:vertAlign w:val="superscript"/>
        </w:rPr>
        <w:t>th</w:t>
      </w:r>
      <w:r>
        <w:t xml:space="preserve"> October 2024), Unpublished.</w:t>
      </w:r>
    </w:p>
  </w:footnote>
  <w:footnote w:id="15">
    <w:p>
      <w:pPr>
        <w:pStyle w:val="para5"/>
      </w:pPr>
      <w:r>
        <w:rPr>
          <w:rStyle w:val="char1"/>
        </w:rPr>
      </w:r>
      <w:r>
        <w:rPr>
          <w:rStyle w:val="char1"/>
        </w:rPr>
        <w:footnoteRef/>
      </w:r>
      <w:r>
        <w:t xml:space="preserve"> Andrew Morris, </w:t>
      </w:r>
      <w:r>
        <w:rPr>
          <w:i/>
          <w:iCs/>
        </w:rPr>
        <w:t>Why Icebergs Float: Exploring science in everyday life</w:t>
      </w:r>
      <w:r>
        <w:t xml:space="preserve"> (London: UCL Press, 2016) 31-49 (p. 47). &lt;DOI: 10.2307/j.ctt1gxxpgr.10&gt;. [Accessed 21</w:t>
      </w:r>
      <w:r>
        <w:rPr>
          <w:vertAlign w:val="superscript"/>
        </w:rPr>
        <w:t>st</w:t>
      </w:r>
      <w:r>
        <w:t xml:space="preserve"> November 2024].</w:t>
      </w:r>
    </w:p>
  </w:footnote>
  <w:footnote w:id="16">
    <w:p>
      <w:pPr>
        <w:pStyle w:val="para5"/>
      </w:pPr>
      <w:r>
        <w:rPr>
          <w:rStyle w:val="char1"/>
        </w:rPr>
      </w:r>
      <w:r>
        <w:rPr>
          <w:rStyle w:val="char1"/>
        </w:rPr>
        <w:footnoteRef/>
      </w:r>
      <w:r>
        <w:t xml:space="preserve"> Morris, </w:t>
      </w:r>
      <w:r>
        <w:rPr>
          <w:i/>
          <w:iCs/>
        </w:rPr>
        <w:t xml:space="preserve">Why Icebergs Float, </w:t>
      </w:r>
      <w:r>
        <w:t>p. 47</w:t>
      </w:r>
    </w:p>
  </w:footnote>
  <w:footnote w:id="17">
    <w:p>
      <w:pPr>
        <w:pStyle w:val="para5"/>
      </w:pPr>
      <w:r>
        <w:rPr>
          <w:rStyle w:val="char1"/>
        </w:rPr>
      </w:r>
      <w:r>
        <w:rPr>
          <w:rStyle w:val="char1"/>
        </w:rPr>
        <w:footnoteRef/>
      </w:r>
      <w:r>
        <w:t xml:space="preserve"> Parkinson-Hardman, </w:t>
      </w:r>
      <w:r>
        <w:rPr>
          <w:i/>
          <w:iCs/>
        </w:rPr>
        <w:t>Sky Journal</w:t>
      </w:r>
      <w:r>
        <w:t>, (Entry on 9</w:t>
      </w:r>
      <w:r>
        <w:rPr>
          <w:vertAlign w:val="superscript"/>
        </w:rPr>
        <w:t>th</w:t>
      </w:r>
      <w:r>
        <w:t xml:space="preserve"> October 2024), Unpublished.</w:t>
      </w:r>
    </w:p>
  </w:footnote>
  <w:footnote w:id="18">
    <w:p>
      <w:pPr>
        <w:pStyle w:val="para5"/>
      </w:pPr>
      <w:r>
        <w:rPr>
          <w:rStyle w:val="char1"/>
        </w:rPr>
      </w:r>
      <w:r>
        <w:rPr>
          <w:rStyle w:val="char1"/>
        </w:rPr>
        <w:footnoteRef/>
      </w:r>
      <w:r>
        <w:t xml:space="preserve"> Percy Bysshe Shelley, </w:t>
      </w:r>
      <w:r>
        <w:rPr>
          <w:i/>
          <w:iCs/>
        </w:rPr>
        <w:t>The Cloud, Prometheus Unbound,</w:t>
      </w:r>
      <w:r>
        <w:t xml:space="preserve"> (1820),  &lt;https://en.wikisource.org/wiki/Prometheus_Unbound;_a_lyrical_drama_in_four_acts_with_other_poems&gt; [Accessed 15</w:t>
      </w:r>
      <w:r>
        <w:rPr>
          <w:vertAlign w:val="superscript"/>
        </w:rPr>
        <w:t>th</w:t>
      </w:r>
      <w:r>
        <w:t xml:space="preserve"> November 2024].</w:t>
      </w:r>
    </w:p>
  </w:footnote>
  <w:footnote w:id="19">
    <w:p>
      <w:pPr>
        <w:pStyle w:val="para5"/>
      </w:pPr>
      <w:r>
        <w:rPr>
          <w:rStyle w:val="char1"/>
        </w:rPr>
      </w:r>
      <w:r>
        <w:rPr>
          <w:rStyle w:val="char1"/>
        </w:rPr>
        <w:footnoteRef/>
      </w:r>
      <w:r>
        <w:t xml:space="preserve"> Parkinson-Hardman, </w:t>
      </w:r>
      <w:r>
        <w:rPr>
          <w:i/>
          <w:iCs/>
        </w:rPr>
        <w:t>Sky Journal</w:t>
      </w:r>
      <w:r>
        <w:t>, (Entry on 26</w:t>
      </w:r>
      <w:r>
        <w:rPr>
          <w:vertAlign w:val="superscript"/>
        </w:rPr>
        <w:t>th</w:t>
      </w:r>
      <w:r>
        <w:t xml:space="preserve"> October 2024), Unpublished.</w:t>
      </w:r>
    </w:p>
  </w:footnote>
  <w:footnote w:id="20">
    <w:p>
      <w:pPr>
        <w:pStyle w:val="para5"/>
      </w:pPr>
      <w:r>
        <w:rPr>
          <w:rStyle w:val="char1"/>
        </w:rPr>
      </w:r>
      <w:r>
        <w:rPr>
          <w:rStyle w:val="char1"/>
        </w:rPr>
        <w:footnoteRef/>
      </w:r>
      <w:r>
        <w:t xml:space="preserve"> Parkinson-Hardman, </w:t>
      </w:r>
      <w:r>
        <w:rPr>
          <w:i/>
          <w:iCs/>
        </w:rPr>
        <w:t>Sky Journal</w:t>
      </w:r>
      <w:r>
        <w:t>, (Entry on 27</w:t>
      </w:r>
      <w:r>
        <w:rPr>
          <w:vertAlign w:val="superscript"/>
        </w:rPr>
        <w:t>th</w:t>
      </w:r>
      <w:r>
        <w:t xml:space="preserve"> October 2024), Unpublished.</w:t>
      </w:r>
    </w:p>
  </w:footnote>
  <w:footnote w:id="21">
    <w:p>
      <w:pPr>
        <w:pStyle w:val="para5"/>
      </w:pPr>
      <w:r>
        <w:rPr>
          <w:rStyle w:val="char1"/>
        </w:rPr>
      </w:r>
      <w:r>
        <w:rPr>
          <w:rStyle w:val="char1"/>
        </w:rPr>
        <w:footnoteRef/>
      </w:r>
      <w:r>
        <w:t xml:space="preserve"> Tristan Gooley, </w:t>
      </w:r>
      <w:r>
        <w:rPr>
          <w:i/>
          <w:iCs/>
        </w:rPr>
        <w:t>The Secret World of Weather</w:t>
      </w:r>
      <w:r>
        <w:t>, (London: Sceptre, 2022), p 27.</w:t>
      </w:r>
    </w:p>
  </w:footnote>
  <w:footnote w:id="22">
    <w:p>
      <w:pPr>
        <w:pStyle w:val="para5"/>
      </w:pPr>
      <w:r>
        <w:rPr>
          <w:rStyle w:val="char1"/>
        </w:rPr>
      </w:r>
      <w:r>
        <w:rPr>
          <w:rStyle w:val="char1"/>
        </w:rPr>
        <w:footnoteRef/>
      </w:r>
      <w:r>
        <w:t xml:space="preserve"> Robert MacFarlane, </w:t>
      </w:r>
      <w:r>
        <w:rPr>
          <w:i/>
          <w:iCs/>
        </w:rPr>
        <w:t>Landmarks</w:t>
      </w:r>
      <w:r>
        <w:t>, (UK: Penguin Books, 2016), pp. 227-30.</w:t>
      </w:r>
    </w:p>
  </w:footnote>
  <w:footnote w:id="23">
    <w:p>
      <w:pPr>
        <w:pStyle w:val="para5"/>
      </w:pPr>
      <w:r>
        <w:rPr>
          <w:rStyle w:val="char1"/>
        </w:rPr>
      </w:r>
      <w:r>
        <w:rPr>
          <w:rStyle w:val="char1"/>
        </w:rPr>
        <w:footnoteRef/>
      </w:r>
      <w:r>
        <w:t xml:space="preserve"> Simon Glendinning, ‘What is Phenomenology’, </w:t>
      </w:r>
      <w:r>
        <w:rPr>
          <w:i/>
          <w:iCs/>
        </w:rPr>
        <w:t>Think: Philosophy for Everyone</w:t>
      </w:r>
      <w:r>
        <w:t>, 3.7 (2004) 33-42, p. 35. &lt;DOI: 10.1017/S1477175600000798&gt;</w:t>
      </w:r>
    </w:p>
  </w:footnote>
  <w:footnote w:id="24">
    <w:p>
      <w:pPr>
        <w:pStyle w:val="para5"/>
      </w:pPr>
      <w:r>
        <w:rPr>
          <w:rStyle w:val="char1"/>
        </w:rPr>
      </w:r>
      <w:r>
        <w:rPr>
          <w:rStyle w:val="char1"/>
        </w:rPr>
        <w:footnoteRef/>
      </w:r>
      <w:r>
        <w:t xml:space="preserve"> Parkinson-Hardman, </w:t>
      </w:r>
      <w:r>
        <w:rPr>
          <w:i/>
          <w:iCs/>
        </w:rPr>
        <w:t>Sky Journal</w:t>
      </w:r>
      <w:r>
        <w:t>, (Entry on 29</w:t>
      </w:r>
      <w:r>
        <w:rPr>
          <w:vertAlign w:val="superscript"/>
        </w:rPr>
        <w:t>th</w:t>
      </w:r>
      <w:r>
        <w:t xml:space="preserve"> October 2024), Unpublished.</w:t>
      </w:r>
    </w:p>
  </w:footnote>
  <w:footnote w:id="25">
    <w:p>
      <w:pPr>
        <w:pStyle w:val="para5"/>
      </w:pPr>
      <w:r>
        <w:rPr>
          <w:rStyle w:val="char1"/>
        </w:rPr>
      </w:r>
      <w:r>
        <w:rPr>
          <w:rStyle w:val="char1"/>
        </w:rPr>
        <w:footnoteRef/>
      </w:r>
      <w:r>
        <w:t xml:space="preserve"> Parkinson-Hardman, </w:t>
      </w:r>
      <w:r>
        <w:rPr>
          <w:i/>
          <w:iCs/>
        </w:rPr>
        <w:t>Sky Journal</w:t>
      </w:r>
      <w:r>
        <w:t>, (Entry on 8</w:t>
      </w:r>
      <w:r>
        <w:rPr>
          <w:vertAlign w:val="superscript"/>
        </w:rPr>
        <w:t>th</w:t>
      </w:r>
      <w:r>
        <w:t xml:space="preserve"> October 2024), Unpublished.</w:t>
      </w:r>
    </w:p>
  </w:footnote>
  <w:footnote w:id="26">
    <w:p>
      <w:pPr>
        <w:pStyle w:val="para5"/>
      </w:pPr>
      <w:r>
        <w:rPr>
          <w:rStyle w:val="char1"/>
        </w:rPr>
      </w:r>
      <w:r>
        <w:rPr>
          <w:rStyle w:val="char1"/>
        </w:rPr>
        <w:footnoteRef/>
      </w:r>
      <w:r>
        <w:t xml:space="preserve"> Parkinson-Hardman, </w:t>
      </w:r>
      <w:r>
        <w:rPr>
          <w:i/>
          <w:iCs/>
        </w:rPr>
        <w:t>Sky Journal</w:t>
      </w:r>
      <w:r>
        <w:t>, (Entry on 16</w:t>
      </w:r>
      <w:r>
        <w:rPr>
          <w:vertAlign w:val="superscript"/>
        </w:rPr>
        <w:t>th</w:t>
      </w:r>
      <w:r>
        <w:t xml:space="preserve"> October 2024), Unpublished.</w:t>
      </w:r>
    </w:p>
  </w:footnote>
  <w:footnote w:id="27">
    <w:p>
      <w:pPr>
        <w:pStyle w:val="para5"/>
      </w:pPr>
      <w:r>
        <w:rPr>
          <w:rStyle w:val="char1"/>
        </w:rPr>
      </w:r>
      <w:r>
        <w:rPr>
          <w:rStyle w:val="char1"/>
        </w:rPr>
        <w:footnoteRef/>
      </w:r>
      <w:r>
        <w:t xml:space="preserve"> Parkinson-Hardman, </w:t>
      </w:r>
      <w:r>
        <w:rPr>
          <w:i/>
          <w:iCs/>
        </w:rPr>
        <w:t>Sky Journal</w:t>
      </w:r>
      <w:r>
        <w:t>, (Entry on 26</w:t>
      </w:r>
      <w:r>
        <w:rPr>
          <w:vertAlign w:val="superscript"/>
        </w:rPr>
        <w:t>th</w:t>
      </w:r>
      <w:r>
        <w:t xml:space="preserve"> October 2024), Unpublished.</w:t>
      </w:r>
    </w:p>
  </w:footnote>
  <w:footnote w:id="28">
    <w:p>
      <w:pPr>
        <w:pStyle w:val="para5"/>
      </w:pPr>
      <w:r>
        <w:rPr>
          <w:rStyle w:val="char1"/>
        </w:rPr>
      </w:r>
      <w:r>
        <w:rPr>
          <w:rStyle w:val="char1"/>
        </w:rPr>
        <w:footnoteRef/>
      </w:r>
      <w:r>
        <w:t xml:space="preserve"> Parkinson-Hardman, </w:t>
      </w:r>
      <w:r>
        <w:rPr>
          <w:i/>
          <w:iCs/>
        </w:rPr>
        <w:t>Sky Journal</w:t>
      </w:r>
      <w:r>
        <w:t>, (Entry on 27</w:t>
      </w:r>
      <w:r>
        <w:rPr>
          <w:vertAlign w:val="superscript"/>
        </w:rPr>
        <w:t>th</w:t>
      </w:r>
      <w:r>
        <w:t xml:space="preserve"> October 2024), Unpublished.</w:t>
      </w:r>
    </w:p>
  </w:footnote>
  <w:footnote w:id="29">
    <w:p>
      <w:pPr>
        <w:pStyle w:val="para5"/>
      </w:pPr>
      <w:r>
        <w:rPr>
          <w:rStyle w:val="char1"/>
        </w:rPr>
      </w:r>
      <w:r>
        <w:rPr>
          <w:rStyle w:val="char1"/>
        </w:rPr>
        <w:footnoteRef/>
      </w:r>
      <w:r>
        <w:t xml:space="preserve"> John Keats, ‘To Autumn’ (1820)</w:t>
      </w:r>
      <w:r>
        <w:t xml:space="preserve"> </w:t>
      </w:r>
      <w:r>
        <w:rPr>
          <w:i/>
          <w:iCs/>
        </w:rPr>
        <w:t>The Nation’s Favourite Poems</w:t>
      </w:r>
      <w:r>
        <w:t>, (London: BBC Worldwide Limited, 1998), p. 18.</w:t>
      </w:r>
    </w:p>
  </w:footnote>
  <w:footnote w:id="30">
    <w:p>
      <w:pPr>
        <w:pStyle w:val="para5"/>
      </w:pPr>
      <w:r>
        <w:rPr>
          <w:rStyle w:val="char1"/>
        </w:rPr>
      </w:r>
      <w:r>
        <w:rPr>
          <w:rStyle w:val="char1"/>
        </w:rPr>
        <w:footnoteRef/>
      </w:r>
      <w:r>
        <w:t xml:space="preserve"> Disney Fandom, </w:t>
      </w:r>
      <w:r>
        <w:rPr>
          <w:i/>
          <w:iCs/>
        </w:rPr>
        <w:t>Little Black Raincloud</w:t>
      </w:r>
      <w:r>
        <w:t>, (1977) &lt;https://disney.fandom.com/wiki/Little_Black_Rain_Cloud&gt; [Accessed 15</w:t>
      </w:r>
      <w:r>
        <w:rPr>
          <w:vertAlign w:val="superscript"/>
        </w:rPr>
        <w:t>th</w:t>
      </w:r>
      <w:r>
        <w:t xml:space="preserve"> November 2024].</w:t>
      </w:r>
    </w:p>
  </w:footnote>
  <w:footnote w:id="31">
    <w:p>
      <w:pPr>
        <w:pStyle w:val="para5"/>
      </w:pPr>
      <w:r>
        <w:rPr>
          <w:rStyle w:val="char1"/>
        </w:rPr>
      </w:r>
      <w:r>
        <w:rPr>
          <w:rStyle w:val="char1"/>
        </w:rPr>
        <w:footnoteRef/>
      </w:r>
      <w:r>
        <w:t xml:space="preserve"> Parkinson-Hardman, </w:t>
      </w:r>
      <w:r>
        <w:rPr>
          <w:i/>
          <w:iCs/>
        </w:rPr>
        <w:t>Sky Journal</w:t>
      </w:r>
      <w:r>
        <w:t>, (Entry on 25</w:t>
      </w:r>
      <w:r>
        <w:rPr>
          <w:vertAlign w:val="superscript"/>
        </w:rPr>
        <w:t>th</w:t>
      </w:r>
      <w:r>
        <w:t xml:space="preserve"> October 2024), Unpublished.</w:t>
      </w:r>
    </w:p>
  </w:footnote>
  <w:footnote w:id="32">
    <w:p>
      <w:pPr>
        <w:pStyle w:val="para5"/>
      </w:pPr>
      <w:r>
        <w:rPr>
          <w:rStyle w:val="char1"/>
        </w:rPr>
      </w:r>
      <w:r>
        <w:rPr>
          <w:rStyle w:val="char1"/>
        </w:rPr>
        <w:footnoteRef/>
      </w:r>
      <w:r>
        <w:t xml:space="preserve"> Parkinson-Hardman, </w:t>
      </w:r>
      <w:r>
        <w:rPr>
          <w:i/>
          <w:iCs/>
        </w:rPr>
        <w:t>Sky Journal</w:t>
      </w:r>
      <w:r>
        <w:t>, (Entry on 29</w:t>
      </w:r>
      <w:r>
        <w:rPr>
          <w:vertAlign w:val="superscript"/>
        </w:rPr>
        <w:t>th</w:t>
      </w:r>
      <w:r>
        <w:t xml:space="preserve"> October 2024), Unpublished.</w:t>
      </w:r>
    </w:p>
  </w:footnote>
  <w:footnote w:id="33">
    <w:p>
      <w:pPr>
        <w:pStyle w:val="para5"/>
      </w:pPr>
      <w:r>
        <w:rPr>
          <w:rStyle w:val="char1"/>
        </w:rPr>
      </w:r>
      <w:r>
        <w:rPr>
          <w:rStyle w:val="char1"/>
        </w:rPr>
        <w:footnoteRef/>
      </w:r>
      <w:r>
        <w:t xml:space="preserve"> Ingold, </w:t>
      </w:r>
      <w:r>
        <w:rPr>
          <w:i/>
          <w:iCs/>
        </w:rPr>
        <w:t>Being Alive</w:t>
      </w:r>
      <w:r>
        <w:t>, p. 115</w:t>
      </w:r>
    </w:p>
  </w:footnote>
  <w:footnote w:id="34">
    <w:p>
      <w:pPr>
        <w:pStyle w:val="para5"/>
      </w:pPr>
      <w:r>
        <w:rPr>
          <w:rStyle w:val="char1"/>
        </w:rPr>
      </w:r>
      <w:r>
        <w:rPr>
          <w:rStyle w:val="char1"/>
        </w:rPr>
        <w:footnoteRef/>
      </w:r>
      <w:r>
        <w:t xml:space="preserve"> David Bohm, </w:t>
      </w:r>
      <w:r>
        <w:rPr>
          <w:i/>
          <w:iCs/>
        </w:rPr>
        <w:t>Thought as a System</w:t>
      </w:r>
      <w:r>
        <w:t>, (London: Routledge, 1994) p. 6.</w:t>
      </w:r>
    </w:p>
  </w:footnote>
  <w:footnote w:id="35">
    <w:p>
      <w:pPr>
        <w:pStyle w:val="para5"/>
      </w:pPr>
      <w:r>
        <w:rPr>
          <w:rStyle w:val="char1"/>
        </w:rPr>
      </w:r>
      <w:r>
        <w:rPr>
          <w:rStyle w:val="char1"/>
        </w:rPr>
        <w:footnoteRef/>
      </w:r>
      <w:r>
        <w:t xml:space="preserve"> Parkinson-Hardman, </w:t>
      </w:r>
      <w:r>
        <w:rPr>
          <w:i/>
          <w:iCs/>
        </w:rPr>
        <w:t>Sky Journal</w:t>
      </w:r>
      <w:r>
        <w:t>, (Entry on 10</w:t>
      </w:r>
      <w:r>
        <w:rPr>
          <w:vertAlign w:val="superscript"/>
        </w:rPr>
        <w:t>th</w:t>
      </w:r>
      <w:r>
        <w:t xml:space="preserve"> October, 2024), Unpublished.</w:t>
      </w:r>
    </w:p>
  </w:footnote>
  <w:footnote w:id="36">
    <w:p>
      <w:pPr>
        <w:pStyle w:val="para5"/>
      </w:pPr>
      <w:r>
        <w:rPr>
          <w:rStyle w:val="char1"/>
        </w:rPr>
      </w:r>
      <w:r>
        <w:rPr>
          <w:rStyle w:val="char1"/>
        </w:rPr>
        <w:footnoteRef/>
      </w:r>
      <w:r>
        <w:t xml:space="preserve"> Moran, </w:t>
      </w:r>
      <w:r>
        <w:rPr>
          <w:i/>
          <w:iCs/>
        </w:rPr>
        <w:t>‘</w:t>
      </w:r>
      <w:r>
        <w:t>Phenomenological Approach?’, p. 78.</w:t>
      </w:r>
    </w:p>
  </w:footnote>
  <w:footnote w:id="37">
    <w:p>
      <w:pPr>
        <w:pStyle w:val="para5"/>
      </w:pPr>
      <w:r>
        <w:rPr>
          <w:rStyle w:val="char1"/>
        </w:rPr>
      </w:r>
      <w:r>
        <w:rPr>
          <w:rStyle w:val="char1"/>
        </w:rPr>
        <w:footnoteRef/>
      </w:r>
      <w:r>
        <w:t xml:space="preserve"> Moran, </w:t>
      </w:r>
      <w:r>
        <w:rPr>
          <w:i/>
          <w:iCs/>
        </w:rPr>
        <w:t>Phenomenological Approach?</w:t>
      </w:r>
      <w:r>
        <w:t>, p. 86.</w:t>
      </w:r>
    </w:p>
  </w:footnote>
  <w:footnote w:id="38">
    <w:p>
      <w:pPr>
        <w:pStyle w:val="para5"/>
      </w:pPr>
      <w:r>
        <w:rPr>
          <w:rStyle w:val="char1"/>
        </w:rPr>
      </w:r>
      <w:r>
        <w:rPr>
          <w:rStyle w:val="char1"/>
        </w:rPr>
        <w:footnoteRef/>
      </w:r>
      <w:r>
        <w:t xml:space="preserve"> Parkinson-Hardman, </w:t>
      </w:r>
      <w:r>
        <w:rPr>
          <w:i/>
          <w:iCs/>
        </w:rPr>
        <w:t>Sky Journal</w:t>
      </w:r>
      <w:r>
        <w:t>, (Entry on 11</w:t>
      </w:r>
      <w:r>
        <w:rPr>
          <w:vertAlign w:val="superscript"/>
        </w:rPr>
        <w:t>th</w:t>
      </w:r>
      <w:r>
        <w:t xml:space="preserve"> October 2024), Unpublished.</w:t>
      </w:r>
    </w:p>
  </w:footnote>
  <w:footnote w:id="39">
    <w:p>
      <w:pPr>
        <w:pStyle w:val="para5"/>
      </w:pPr>
      <w:r>
        <w:rPr>
          <w:rStyle w:val="char1"/>
        </w:rPr>
      </w:r>
      <w:r>
        <w:rPr>
          <w:rStyle w:val="char1"/>
        </w:rPr>
        <w:footnoteRef/>
      </w:r>
      <w:r>
        <w:t xml:space="preserve"> Parkinson-Hardman, </w:t>
      </w:r>
      <w:r>
        <w:rPr>
          <w:i/>
          <w:iCs/>
        </w:rPr>
        <w:t>Sky Journal</w:t>
      </w:r>
      <w:r>
        <w:t>, (Entry on 11</w:t>
      </w:r>
      <w:r>
        <w:rPr>
          <w:vertAlign w:val="superscript"/>
        </w:rPr>
        <w:t>th</w:t>
      </w:r>
      <w:r>
        <w:t xml:space="preserve"> October 2024), Unpublished.</w:t>
      </w:r>
    </w:p>
  </w:footnote>
  <w:footnote w:id="40">
    <w:p>
      <w:pPr>
        <w:pStyle w:val="para5"/>
      </w:pPr>
      <w:r>
        <w:rPr>
          <w:rStyle w:val="char1"/>
        </w:rPr>
      </w:r>
      <w:r>
        <w:rPr>
          <w:rStyle w:val="char1"/>
        </w:rPr>
        <w:footnoteRef/>
      </w:r>
      <w:r>
        <w:t xml:space="preserve"> Goodley, </w:t>
      </w:r>
      <w:r>
        <w:rPr>
          <w:i/>
          <w:iCs/>
        </w:rPr>
        <w:t>World of Weather</w:t>
      </w:r>
      <w:r>
        <w:t>, p. 24.</w:t>
      </w:r>
    </w:p>
  </w:footnote>
  <w:footnote w:id="41">
    <w:p>
      <w:pPr>
        <w:pStyle w:val="para5"/>
      </w:pPr>
      <w:r>
        <w:rPr>
          <w:rStyle w:val="char1"/>
        </w:rPr>
      </w:r>
      <w:r>
        <w:rPr>
          <w:rStyle w:val="char1"/>
        </w:rPr>
        <w:footnoteRef/>
      </w:r>
      <w:r>
        <w:t xml:space="preserve"> Jack Pranksy and Thomas M Kelley, ‘How the formless comes into form: A process by which Universal Mind powers consciousness and thought to create people’s psychological lives’, </w:t>
      </w:r>
      <w:r>
        <w:rPr>
          <w:i/>
          <w:iCs/>
        </w:rPr>
        <w:t>Cogent Psychology</w:t>
      </w:r>
      <w:r>
        <w:t>, 4.1 (2017), 1-15 (p. 1). &lt;DOI: 10.1080/23311908.2017.1307633&gt;.</w:t>
      </w:r>
    </w:p>
  </w:footnote>
  <w:footnote w:id="42">
    <w:p>
      <w:pPr>
        <w:pStyle w:val="para5"/>
      </w:pPr>
      <w:r>
        <w:rPr>
          <w:rStyle w:val="char1"/>
        </w:rPr>
      </w:r>
      <w:r>
        <w:rPr>
          <w:rStyle w:val="char1"/>
        </w:rPr>
        <w:footnoteRef/>
      </w:r>
      <w:r>
        <w:t xml:space="preserve"> Harris, </w:t>
      </w:r>
      <w:r>
        <w:rPr>
          <w:i/>
          <w:iCs/>
        </w:rPr>
        <w:t>Weatherland</w:t>
      </w:r>
      <w:r>
        <w:t>, p. 245.</w:t>
      </w:r>
    </w:p>
  </w:footnote>
  <w:footnote w:id="43">
    <w:p>
      <w:pPr>
        <w:pStyle w:val="para5"/>
      </w:pPr>
      <w:r>
        <w:rPr>
          <w:rStyle w:val="char1"/>
        </w:rPr>
      </w:r>
      <w:r>
        <w:rPr>
          <w:rStyle w:val="char1"/>
        </w:rPr>
        <w:footnoteRef/>
      </w:r>
      <w:r>
        <w:t xml:space="preserve"> Parkinson-Hardman, </w:t>
      </w:r>
      <w:r>
        <w:rPr>
          <w:i/>
          <w:iCs/>
        </w:rPr>
        <w:t>Sky Journal</w:t>
      </w:r>
      <w:r>
        <w:t>, (Entry on 1</w:t>
      </w:r>
      <w:r>
        <w:rPr>
          <w:vertAlign w:val="superscript"/>
        </w:rPr>
        <w:t>st</w:t>
      </w:r>
      <w:r>
        <w:t xml:space="preserve"> November 2024), Unpublished.</w:t>
      </w:r>
    </w:p>
  </w:footnote>
  <w:footnote w:id="44">
    <w:p>
      <w:pPr>
        <w:pStyle w:val="para5"/>
      </w:pPr>
      <w:r>
        <w:rPr>
          <w:rStyle w:val="char1"/>
        </w:rPr>
      </w:r>
      <w:r>
        <w:rPr>
          <w:rStyle w:val="char1"/>
        </w:rPr>
        <w:footnoteRef/>
      </w:r>
      <w:r>
        <w:t xml:space="preserve"> Parkinson-Hardman, </w:t>
      </w:r>
      <w:r>
        <w:rPr>
          <w:i/>
          <w:iCs/>
        </w:rPr>
        <w:t>Sky Journal</w:t>
      </w:r>
      <w:r>
        <w:t>, (Entry on 16</w:t>
      </w:r>
      <w:r>
        <w:rPr>
          <w:vertAlign w:val="superscript"/>
        </w:rPr>
        <w:t>th</w:t>
      </w:r>
      <w:r>
        <w:t xml:space="preserve"> October 2024), Unpublished.</w:t>
      </w:r>
    </w:p>
  </w:footnote>
  <w:footnote w:id="45">
    <w:p>
      <w:pPr>
        <w:pStyle w:val="para5"/>
      </w:pPr>
      <w:r>
        <w:rPr>
          <w:rStyle w:val="char1"/>
        </w:rPr>
      </w:r>
      <w:r>
        <w:rPr>
          <w:rStyle w:val="char1"/>
        </w:rPr>
        <w:footnoteRef/>
      </w:r>
      <w:r>
        <w:t xml:space="preserve"> Parkinson-Hardman, </w:t>
      </w:r>
      <w:r>
        <w:rPr>
          <w:i/>
          <w:iCs/>
        </w:rPr>
        <w:t>Sky Journal</w:t>
      </w:r>
      <w:r>
        <w:t>, (Entry on 14</w:t>
      </w:r>
      <w:r>
        <w:rPr>
          <w:vertAlign w:val="superscript"/>
        </w:rPr>
        <w:t>th</w:t>
      </w:r>
      <w:r>
        <w:t xml:space="preserve"> October 2024), Unpublished.</w:t>
      </w:r>
    </w:p>
  </w:footnote>
  <w:footnote w:id="46">
    <w:p>
      <w:pPr>
        <w:pStyle w:val="para5"/>
      </w:pPr>
      <w:r>
        <w:rPr>
          <w:rStyle w:val="char1"/>
        </w:rPr>
      </w:r>
      <w:r>
        <w:rPr>
          <w:rStyle w:val="char1"/>
        </w:rPr>
        <w:footnoteRef/>
      </w:r>
      <w:r>
        <w:t xml:space="preserve"> Parkinson-Hardman, </w:t>
      </w:r>
      <w:r>
        <w:rPr>
          <w:i/>
          <w:iCs/>
        </w:rPr>
        <w:t>Sky Journal</w:t>
      </w:r>
      <w:r>
        <w:t>, (Entry on 30</w:t>
      </w:r>
      <w:r>
        <w:rPr>
          <w:vertAlign w:val="superscript"/>
        </w:rPr>
        <w:t>th</w:t>
      </w:r>
      <w:r>
        <w:t xml:space="preserve"> October 2024), Unpublished.</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color w:val="000000"/>
      </w:rPr>
    </w:pPr>
    <w:r>
      <w:tab/>
      <w:t xml:space="preserve">Linda Parkinson-Hardman, </w:t>
    </w:r>
    <w:r>
      <w:rPr>
        <w:color w:val="000000"/>
      </w:rPr>
      <w:t xml:space="preserve">2409122, Page </w:t>
    </w:r>
    <w:r>
      <w:rPr>
        <w:color w:val="000000"/>
      </w:rPr>
    </w:r>
    <w:r>
      <w:rPr>
        <w:color w:val="000000"/>
      </w:rPr>
      <w:fldChar w:fldCharType="begin"/>
      <w:instrText xml:space="preserve"> PAGE </w:instrText>
      <w:fldChar w:fldCharType="separate"/>
      <w:t>1</w:t>
      <w:fldChar w:fldCharType="end"/>
    </w:r>
    <w:r>
      <w:rPr>
        <w:color w:val="000000"/>
      </w:rPr>
      <w:t xml:space="preserve"> of</w:t>
    </w:r>
    <w:r>
      <w:rPr>
        <w:color w:val="000000"/>
      </w:rPr>
      <w:t xml:space="preserve"> 10</w:t>
    </w:r>
    <w:r>
      <w:rPr>
        <w:color w:val="000000"/>
      </w:rP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2049"/>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19"/>
    <w:tmReviewMarkIns w:val="4"/>
    <w:tmReviewColorIns w:val="-1"/>
    <w:tmReviewMarkDel w:val="6"/>
    <w:tmReviewColorDel w:val="-1"/>
    <w:tmReviewMarkFmt w:val="1"/>
    <w:tmReviewColorFmt w:val="-1"/>
    <w:tmReviewMarkLn w:val="1"/>
    <w:tmReviewColorLn w:val="0"/>
    <w:tmReviewToolTip w:val="1"/>
  </w:tmReviewPr>
  <w:tmLastPos>
    <w:tmLastPosPage w:val="0"/>
    <w:tmLastPosSelect w:val="0"/>
    <w:tmLastPosFrameIdx w:val="6"/>
    <w:tmLastPosCaret>
      <w:tmLastPosPgfIdx w:val="1"/>
      <w:tmLastPosIdx w:val="17"/>
    </w:tmLastPosCaret>
    <w:tmLastPosAnchor>
      <w:tmLastPosPgfIdx w:val="0"/>
      <w:tmLastPosIdx w:val="0"/>
    </w:tmLastPosAnchor>
    <w:tmLastPosTblRect w:left="0" w:top="0" w:right="0" w:bottom="0"/>
  </w:tmLastPos>
  <w:tmAppRevision w:date="1732287311" w:val="1218"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image" Target="media/image1.jpeg"/><Relationship Id="rId8" Type="http://schemas.openxmlformats.org/officeDocument/2006/relationships/footnotes" Target="footnotes.xml"/><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rev.1218</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19</cp:revision>
  <cp:lastPrinted>2024-11-15T16:22:26Z</cp:lastPrinted>
  <dcterms:created xsi:type="dcterms:W3CDTF">2024-10-02T14:09:39Z</dcterms:created>
  <dcterms:modified xsi:type="dcterms:W3CDTF">2024-11-22T14:55:11Z</dcterms:modified>
</cp:coreProperties>
</file>