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492E54D">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color w:val="D0CECE" w:themeColor="background2" w:themeShade="E6"/>
          <w:sz w:val="28"/>
          <w:szCs w:val="28"/>
          <w:highlight w:val="none"/>
          <w:vertAlign w:val="baseline"/>
          <w:lang w:val="en-US" w:eastAsia="zh-CN"/>
        </w:rPr>
      </w:pPr>
      <w:r>
        <w:rPr>
          <w:rFonts w:hint="eastAsia" w:ascii="Times New Roman" w:hAnsi="Times New Roman" w:cs="Times New Roman" w:eastAsiaTheme="minorEastAsia"/>
          <w:sz w:val="24"/>
          <w:vertAlign w:val="baseline"/>
          <w:lang w:val="en-US" w:eastAsia="zh-CN"/>
        </w:rPr>
        <w:t xml:space="preserve">                                                            </w:t>
      </w:r>
      <w:r>
        <w:rPr>
          <w:rFonts w:hint="default" w:ascii="Arial" w:hAnsi="Arial" w:cs="Arial" w:eastAsiaTheme="minorEastAsia"/>
          <w:b/>
          <w:bCs/>
          <w:sz w:val="28"/>
          <w:szCs w:val="28"/>
          <w:vertAlign w:val="baseline"/>
          <w:lang w:val="en-US" w:eastAsia="zh-CN"/>
        </w:rPr>
        <w:t>APPENDIX GA Tang Yuze</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left w:w="108" w:type="dxa"/>
          <w:right w:w="108" w:type="dxa"/>
        </w:tblCellMar>
      </w:tblPr>
      <w:tblGrid>
        <w:gridCol w:w="10787"/>
      </w:tblGrid>
      <w:tr w14:paraId="205D1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left w:w="108" w:type="dxa"/>
            <w:right w:w="108" w:type="dxa"/>
          </w:tblCellMar>
        </w:tblPrEx>
        <w:tc>
          <w:tcPr>
            <w:tcW w:w="10787" w:type="dxa"/>
            <w:shd w:val="clear" w:color="auto" w:fill="CFCECE" w:themeFill="background2" w:themeFillShade="E5"/>
          </w:tcPr>
          <w:p w14:paraId="28817761">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color w:val="000000" w:themeColor="text1"/>
                <w:sz w:val="40"/>
                <w:szCs w:val="40"/>
                <w:highlight w:val="none"/>
                <w:vertAlign w:val="baseline"/>
                <w:lang w:val="en-US" w:eastAsia="zh-CN"/>
                <w14:textFill>
                  <w14:solidFill>
                    <w14:schemeClr w14:val="tx1"/>
                  </w14:solidFill>
                </w14:textFill>
              </w:rPr>
            </w:pPr>
            <w:r>
              <w:rPr>
                <w:rFonts w:hint="default" w:ascii="Arial" w:hAnsi="Arial" w:cs="Arial" w:eastAsiaTheme="minorEastAsia"/>
                <w:b/>
                <w:bCs/>
                <w:color w:val="000000" w:themeColor="text1"/>
                <w:sz w:val="40"/>
                <w:szCs w:val="40"/>
                <w:highlight w:val="none"/>
                <w:vertAlign w:val="baseline"/>
                <w:lang w:val="en-US" w:eastAsia="zh-CN"/>
                <w14:textFill>
                  <w14:solidFill>
                    <w14:schemeClr w14:val="tx1"/>
                  </w14:solidFill>
                </w14:textFill>
              </w:rPr>
              <w:t xml:space="preserve">        LEVEL 6 ASSESSMENT SPECIFICATION</w:t>
            </w:r>
          </w:p>
        </w:tc>
      </w:tr>
    </w:tbl>
    <w:p w14:paraId="01DF43BC">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696"/>
        <w:gridCol w:w="2697"/>
        <w:gridCol w:w="2697"/>
        <w:gridCol w:w="2697"/>
      </w:tblGrid>
      <w:tr w14:paraId="7AB151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696" w:type="dxa"/>
            <w:shd w:val="clear" w:color="auto" w:fill="CFCECE" w:themeFill="background2" w:themeFillShade="E5"/>
          </w:tcPr>
          <w:p w14:paraId="7385F094">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Student name:</w:t>
            </w:r>
          </w:p>
        </w:tc>
        <w:tc>
          <w:tcPr>
            <w:tcW w:w="2697" w:type="dxa"/>
          </w:tcPr>
          <w:p w14:paraId="5E47B819">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eastAsia" w:ascii="Arial" w:hAnsi="Arial" w:cs="Arial" w:eastAsiaTheme="minorEastAsia"/>
                <w:sz w:val="24"/>
                <w:vertAlign w:val="baseline"/>
                <w:lang w:val="en-US" w:eastAsia="zh-CN"/>
              </w:rPr>
              <w:t xml:space="preserve"> Tang Yuze</w:t>
            </w:r>
          </w:p>
        </w:tc>
        <w:tc>
          <w:tcPr>
            <w:tcW w:w="2697" w:type="dxa"/>
            <w:shd w:val="clear" w:color="auto" w:fill="CFCECE" w:themeFill="background2" w:themeFillShade="E5"/>
          </w:tcPr>
          <w:p w14:paraId="49FEAF46">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Student ID number:</w:t>
            </w:r>
          </w:p>
        </w:tc>
        <w:tc>
          <w:tcPr>
            <w:tcW w:w="2697" w:type="dxa"/>
          </w:tcPr>
          <w:p w14:paraId="1BF38978">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eastAsia" w:ascii="Arial" w:hAnsi="Arial" w:cs="Arial" w:eastAsiaTheme="minorEastAsia"/>
                <w:sz w:val="24"/>
                <w:vertAlign w:val="baseline"/>
                <w:lang w:val="en-US" w:eastAsia="zh-CN"/>
              </w:rPr>
              <w:t>2500218</w:t>
            </w:r>
          </w:p>
        </w:tc>
      </w:tr>
      <w:tr w14:paraId="165893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393" w:type="dxa"/>
            <w:gridSpan w:val="2"/>
            <w:shd w:val="clear" w:color="auto" w:fill="CFCECE" w:themeFill="background2" w:themeFillShade="E5"/>
          </w:tcPr>
          <w:p w14:paraId="7A3CD74E">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Programme:</w:t>
            </w:r>
          </w:p>
        </w:tc>
        <w:tc>
          <w:tcPr>
            <w:tcW w:w="5394" w:type="dxa"/>
            <w:gridSpan w:val="2"/>
          </w:tcPr>
          <w:p w14:paraId="2B508AFA">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r>
              <w:rPr>
                <w:rFonts w:hint="default" w:ascii="Arial" w:hAnsi="Arial" w:cs="Arial" w:eastAsiaTheme="minorEastAsia"/>
                <w:sz w:val="24"/>
                <w:vertAlign w:val="baseline"/>
              </w:rPr>
              <w:t xml:space="preserve">BA Business Management (Marketing; HRM; International; Finance) </w:t>
            </w:r>
          </w:p>
          <w:p w14:paraId="4A0B5012">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r>
              <w:rPr>
                <w:rFonts w:hint="default" w:ascii="Arial" w:hAnsi="Arial" w:cs="Arial" w:eastAsiaTheme="minorEastAsia"/>
                <w:sz w:val="24"/>
                <w:vertAlign w:val="baseline"/>
              </w:rPr>
              <w:t>BA (Hons) Public Services</w:t>
            </w:r>
          </w:p>
          <w:p w14:paraId="06021FF1">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3DF431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393" w:type="dxa"/>
            <w:gridSpan w:val="2"/>
            <w:shd w:val="clear" w:color="auto" w:fill="CFCECE" w:themeFill="background2" w:themeFillShade="E5"/>
          </w:tcPr>
          <w:p w14:paraId="6E82E00A">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Module:</w:t>
            </w:r>
          </w:p>
        </w:tc>
        <w:tc>
          <w:tcPr>
            <w:tcW w:w="5394" w:type="dxa"/>
            <w:gridSpan w:val="2"/>
          </w:tcPr>
          <w:p w14:paraId="3D82DCC0">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default" w:ascii="Arial" w:hAnsi="Arial" w:cs="Arial" w:eastAsiaTheme="minorEastAsia"/>
                <w:sz w:val="24"/>
                <w:vertAlign w:val="baseline"/>
                <w:lang w:val="en-US" w:eastAsia="zh-CN"/>
              </w:rPr>
              <w:t>Global Ethics</w:t>
            </w:r>
          </w:p>
        </w:tc>
      </w:tr>
      <w:tr w14:paraId="1A8411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696" w:type="dxa"/>
            <w:shd w:val="clear" w:color="auto" w:fill="CFCECE" w:themeFill="background2" w:themeFillShade="E5"/>
          </w:tcPr>
          <w:p w14:paraId="7947E7E4">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Module code:</w:t>
            </w:r>
          </w:p>
        </w:tc>
        <w:tc>
          <w:tcPr>
            <w:tcW w:w="2697" w:type="dxa"/>
          </w:tcPr>
          <w:p w14:paraId="392024E6">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default" w:ascii="Arial" w:hAnsi="Arial" w:cs="Arial" w:eastAsiaTheme="minorEastAsia"/>
                <w:sz w:val="24"/>
                <w:vertAlign w:val="baseline"/>
                <w:lang w:val="en-US" w:eastAsia="zh-CN"/>
              </w:rPr>
              <w:t>BMBM6008</w:t>
            </w:r>
          </w:p>
        </w:tc>
        <w:tc>
          <w:tcPr>
            <w:tcW w:w="2697" w:type="dxa"/>
            <w:shd w:val="clear" w:color="auto" w:fill="CFCECE" w:themeFill="background2" w:themeFillShade="E5"/>
          </w:tcPr>
          <w:p w14:paraId="505D37A6">
            <w:pPr>
              <w:keepNext w:val="0"/>
              <w:keepLines w:val="0"/>
              <w:widowControl/>
              <w:suppressLineNumbers w:val="0"/>
              <w:spacing w:before="0" w:beforeAutospacing="0" w:after="0" w:afterAutospacing="0" w:line="228" w:lineRule="auto"/>
              <w:ind w:left="0" w:right="0"/>
              <w:jc w:val="left"/>
              <w:rPr>
                <w:rFonts w:hint="default" w:ascii="Arial" w:hAnsi="Arial" w:cs="Arial"/>
                <w:b/>
                <w:bCs w:val="0"/>
                <w:lang w:val="en-US"/>
              </w:rPr>
            </w:pPr>
            <w:r>
              <w:rPr>
                <w:rFonts w:hint="default" w:ascii="Arial" w:hAnsi="Arial" w:eastAsia="Arial" w:cs="Arial"/>
                <w:b/>
                <w:bCs w:val="0"/>
                <w:color w:val="000000"/>
                <w:kern w:val="2"/>
                <w:sz w:val="22"/>
                <w:szCs w:val="24"/>
                <w:lang w:val="en-US" w:eastAsia="zh-CN" w:bidi="ar"/>
                <w14:ligatures w14:val="standardContextual"/>
              </w:rPr>
              <w:t xml:space="preserve">Contribution to Overall Module </w:t>
            </w:r>
          </w:p>
          <w:p w14:paraId="3E24C2B7">
            <w:pPr>
              <w:keepNext w:val="0"/>
              <w:keepLines w:val="0"/>
              <w:widowControl/>
              <w:suppressLineNumbers w:val="0"/>
              <w:jc w:val="left"/>
              <w:rPr>
                <w:rFonts w:hint="default" w:ascii="Arial" w:hAnsi="Arial" w:cs="Arial"/>
                <w:b/>
                <w:bCs w:val="0"/>
              </w:rPr>
            </w:pPr>
            <w:r>
              <w:rPr>
                <w:rFonts w:hint="default" w:ascii="Arial" w:hAnsi="Arial" w:eastAsia="Arial" w:cs="Arial"/>
                <w:b/>
                <w:bCs w:val="0"/>
                <w:color w:val="000000"/>
                <w:kern w:val="2"/>
                <w:sz w:val="22"/>
                <w:szCs w:val="24"/>
                <w:lang w:val="en-US" w:eastAsia="zh-CN" w:bidi="ar"/>
                <w14:ligatures w14:val="standardContextual"/>
              </w:rPr>
              <w:t>Assessment (%):</w:t>
            </w:r>
          </w:p>
          <w:p w14:paraId="0B150BD0">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val="0"/>
                <w:sz w:val="24"/>
                <w:vertAlign w:val="baseline"/>
              </w:rPr>
            </w:pPr>
          </w:p>
        </w:tc>
        <w:tc>
          <w:tcPr>
            <w:tcW w:w="2697" w:type="dxa"/>
          </w:tcPr>
          <w:p w14:paraId="7B4C3A89">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default" w:ascii="Arial" w:hAnsi="Arial" w:cs="Arial" w:eastAsiaTheme="minorEastAsia"/>
                <w:sz w:val="24"/>
                <w:vertAlign w:val="baseline"/>
                <w:lang w:val="en-US" w:eastAsia="zh-CN"/>
              </w:rPr>
              <w:t>50%</w:t>
            </w:r>
          </w:p>
        </w:tc>
      </w:tr>
      <w:tr w14:paraId="28FA4E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696" w:type="dxa"/>
            <w:shd w:val="clear" w:color="auto" w:fill="CFCECE" w:themeFill="background2" w:themeFillShade="E5"/>
          </w:tcPr>
          <w:p w14:paraId="689C7958">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Lecturer:</w:t>
            </w:r>
          </w:p>
        </w:tc>
        <w:tc>
          <w:tcPr>
            <w:tcW w:w="2697" w:type="dxa"/>
          </w:tcPr>
          <w:p w14:paraId="2C4D9F7E">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default" w:ascii="Arial" w:hAnsi="Arial" w:cs="Arial" w:eastAsiaTheme="minorEastAsia"/>
                <w:sz w:val="24"/>
                <w:vertAlign w:val="baseline"/>
                <w:lang w:val="en-US" w:eastAsia="zh-CN"/>
              </w:rPr>
              <w:t>Arpu Kumar</w:t>
            </w:r>
          </w:p>
        </w:tc>
        <w:tc>
          <w:tcPr>
            <w:tcW w:w="2697" w:type="dxa"/>
            <w:shd w:val="clear" w:color="auto" w:fill="CFCECE" w:themeFill="background2" w:themeFillShade="E5"/>
          </w:tcPr>
          <w:p w14:paraId="2B5D8C91">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Internal Verifier:</w:t>
            </w:r>
          </w:p>
        </w:tc>
        <w:tc>
          <w:tcPr>
            <w:tcW w:w="2697" w:type="dxa"/>
          </w:tcPr>
          <w:p w14:paraId="0F53A625">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lang w:val="en-US" w:eastAsia="zh-CN"/>
              </w:rPr>
            </w:pPr>
            <w:r>
              <w:rPr>
                <w:rFonts w:hint="default" w:ascii="Arial" w:hAnsi="Arial" w:cs="Arial" w:eastAsiaTheme="minorEastAsia"/>
                <w:sz w:val="24"/>
                <w:vertAlign w:val="baseline"/>
                <w:lang w:val="en-US" w:eastAsia="zh-CN"/>
              </w:rPr>
              <w:t>Robyn Griffiths</w:t>
            </w:r>
          </w:p>
        </w:tc>
      </w:tr>
      <w:tr w14:paraId="40C60C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696" w:type="dxa"/>
            <w:shd w:val="clear" w:color="auto" w:fill="CFCECE" w:themeFill="background2" w:themeFillShade="E5"/>
          </w:tcPr>
          <w:p w14:paraId="7ED89E51">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sz w:val="24"/>
                <w:vertAlign w:val="baseline"/>
                <w:lang w:val="en-US" w:eastAsia="zh-CN"/>
              </w:rPr>
            </w:pPr>
            <w:r>
              <w:rPr>
                <w:rFonts w:hint="default" w:ascii="Arial" w:hAnsi="Arial" w:cs="Arial" w:eastAsiaTheme="minorEastAsia"/>
                <w:b/>
                <w:bCs/>
                <w:sz w:val="24"/>
                <w:vertAlign w:val="baseline"/>
                <w:lang w:val="en-US" w:eastAsia="zh-CN"/>
              </w:rPr>
              <w:t>Assignment Title</w:t>
            </w:r>
          </w:p>
        </w:tc>
        <w:tc>
          <w:tcPr>
            <w:tcW w:w="2697" w:type="dxa"/>
          </w:tcPr>
          <w:p w14:paraId="45D76888">
            <w:pPr>
              <w:keepNext w:val="0"/>
              <w:keepLines w:val="0"/>
              <w:widowControl/>
              <w:suppressLineNumbers w:val="0"/>
              <w:spacing w:before="0" w:beforeAutospacing="0" w:after="0" w:afterAutospacing="0" w:line="256" w:lineRule="auto"/>
              <w:ind w:left="0" w:right="29"/>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Is greed good? Should modern businesses be concerned about ethics? Explain your perspective with reference to theory and practice.</w:t>
            </w:r>
          </w:p>
          <w:p w14:paraId="2CF83182">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c>
          <w:tcPr>
            <w:tcW w:w="2697" w:type="dxa"/>
            <w:shd w:val="clear" w:color="auto" w:fill="CFCECE" w:themeFill="background2" w:themeFillShade="E5"/>
          </w:tcPr>
          <w:p w14:paraId="1076AC46">
            <w:pPr>
              <w:keepNext w:val="0"/>
              <w:keepLines w:val="0"/>
              <w:widowControl/>
              <w:suppressLineNumbers w:val="0"/>
              <w:spacing w:before="0" w:beforeAutospacing="0" w:after="0" w:afterAutospacing="0" w:line="256" w:lineRule="auto"/>
              <w:ind w:left="0" w:right="0"/>
              <w:jc w:val="left"/>
              <w:rPr>
                <w:rFonts w:hint="default" w:ascii="Arial" w:hAnsi="Arial" w:cs="Arial"/>
                <w:b/>
                <w:bCs w:val="0"/>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Word count (or equivalent):</w:t>
            </w:r>
          </w:p>
          <w:p w14:paraId="36D78595">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val="0"/>
                <w:sz w:val="24"/>
                <w:vertAlign w:val="baseline"/>
              </w:rPr>
            </w:pPr>
          </w:p>
        </w:tc>
        <w:tc>
          <w:tcPr>
            <w:tcW w:w="2697" w:type="dxa"/>
          </w:tcPr>
          <w:p w14:paraId="12A3CE8B">
            <w:pPr>
              <w:keepNext w:val="0"/>
              <w:keepLines w:val="0"/>
              <w:widowControl/>
              <w:suppressLineNumbers w:val="0"/>
              <w:spacing w:before="0" w:beforeAutospacing="0" w:after="0" w:afterAutospacing="0" w:line="256" w:lineRule="auto"/>
              <w:ind w:left="0" w:right="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2500 words </w:t>
            </w:r>
          </w:p>
          <w:p w14:paraId="382673D6">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02FA9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696" w:type="dxa"/>
            <w:shd w:val="clear" w:color="auto" w:fill="CFCECE" w:themeFill="background2" w:themeFillShade="E5"/>
          </w:tcPr>
          <w:p w14:paraId="07D2804B">
            <w:pPr>
              <w:keepNext w:val="0"/>
              <w:keepLines w:val="0"/>
              <w:widowControl/>
              <w:suppressLineNumbers w:val="0"/>
              <w:spacing w:before="0" w:beforeAutospacing="0" w:after="0" w:afterAutospacing="0" w:line="256" w:lineRule="auto"/>
              <w:ind w:left="0" w:right="0"/>
              <w:jc w:val="left"/>
              <w:rPr>
                <w:rFonts w:hint="default" w:ascii="Arial" w:hAnsi="Arial" w:cs="Arial"/>
                <w:b/>
                <w:bCs w:val="0"/>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S u b m i s s i o n deadline:</w:t>
            </w:r>
          </w:p>
          <w:p w14:paraId="36986FEE">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b/>
                <w:bCs w:val="0"/>
                <w:sz w:val="24"/>
                <w:vertAlign w:val="baseline"/>
              </w:rPr>
            </w:pPr>
          </w:p>
        </w:tc>
        <w:tc>
          <w:tcPr>
            <w:tcW w:w="2697" w:type="dxa"/>
          </w:tcPr>
          <w:p w14:paraId="2136CAC2">
            <w:pPr>
              <w:keepNext w:val="0"/>
              <w:keepLines w:val="0"/>
              <w:widowControl/>
              <w:suppressLineNumbers w:val="0"/>
              <w:spacing w:before="0" w:beforeAutospacing="0" w:after="0" w:afterAutospacing="0" w:line="256" w:lineRule="auto"/>
              <w:ind w:left="0" w:right="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21st November 2025 </w:t>
            </w:r>
          </w:p>
          <w:p w14:paraId="4C3B701F">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c>
          <w:tcPr>
            <w:tcW w:w="2697" w:type="dxa"/>
            <w:shd w:val="clear" w:color="auto" w:fill="CFCECE" w:themeFill="background2" w:themeFillShade="E5"/>
          </w:tcPr>
          <w:p w14:paraId="732D1DE9">
            <w:pPr>
              <w:keepNext w:val="0"/>
              <w:keepLines w:val="0"/>
              <w:widowControl/>
              <w:suppressLineNumbers w:val="0"/>
              <w:spacing w:before="0" w:beforeAutospacing="0" w:after="0" w:afterAutospacing="0" w:line="228" w:lineRule="auto"/>
              <w:ind w:left="0" w:right="0"/>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 xml:space="preserve">Return date of provisional marks </w:t>
            </w:r>
          </w:p>
          <w:p w14:paraId="490A9BD4">
            <w:pPr>
              <w:keepNext w:val="0"/>
              <w:keepLines w:val="0"/>
              <w:widowControl/>
              <w:suppressLineNumbers w:val="0"/>
              <w:spacing w:before="0" w:beforeAutospacing="0" w:after="0" w:afterAutospacing="0" w:line="256" w:lineRule="auto"/>
              <w:ind w:left="0" w:right="0"/>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&amp; written feedback:</w:t>
            </w:r>
          </w:p>
          <w:p w14:paraId="6DFCE2E4">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c>
          <w:tcPr>
            <w:tcW w:w="2697" w:type="dxa"/>
          </w:tcPr>
          <w:p w14:paraId="135682E2">
            <w:pPr>
              <w:keepNext w:val="0"/>
              <w:keepLines w:val="0"/>
              <w:widowControl/>
              <w:suppressLineNumbers w:val="0"/>
              <w:spacing w:before="0" w:beforeAutospacing="0" w:after="0" w:afterAutospacing="0" w:line="256" w:lineRule="auto"/>
              <w:ind w:left="0" w:right="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20th December 2025</w:t>
            </w:r>
          </w:p>
          <w:p w14:paraId="3F07D584">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0F1638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393" w:type="dxa"/>
            <w:gridSpan w:val="2"/>
            <w:shd w:val="clear" w:color="auto" w:fill="CFCECE" w:themeFill="background2" w:themeFillShade="E5"/>
          </w:tcPr>
          <w:p w14:paraId="48010246">
            <w:pPr>
              <w:keepNext w:val="0"/>
              <w:keepLines w:val="0"/>
              <w:widowControl/>
              <w:suppressLineNumbers w:val="0"/>
              <w:spacing w:before="0" w:beforeAutospacing="0" w:after="0" w:afterAutospacing="0" w:line="256" w:lineRule="auto"/>
              <w:ind w:left="0" w:right="0"/>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S u b m i s s i o n method:</w:t>
            </w:r>
          </w:p>
          <w:p w14:paraId="1153C165">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c>
          <w:tcPr>
            <w:tcW w:w="5394" w:type="dxa"/>
            <w:gridSpan w:val="2"/>
          </w:tcPr>
          <w:p w14:paraId="67240741">
            <w:pPr>
              <w:keepNext w:val="0"/>
              <w:keepLines w:val="0"/>
              <w:widowControl/>
              <w:suppressLineNumbers w:val="0"/>
              <w:spacing w:before="0" w:beforeAutospacing="0" w:after="120" w:afterAutospacing="0" w:line="228" w:lineRule="auto"/>
              <w:ind w:left="0" w:right="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5844D74">
            <w:pPr>
              <w:keepNext w:val="0"/>
              <w:keepLines w:val="0"/>
              <w:widowControl/>
              <w:suppressLineNumbers w:val="0"/>
              <w:spacing w:before="0" w:beforeAutospacing="0" w:after="87" w:afterAutospacing="0" w:line="256" w:lineRule="auto"/>
              <w:ind w:left="0" w:right="0"/>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 xml:space="preserve">Alternative submission method (if applicable):  </w:t>
            </w:r>
          </w:p>
          <w:p w14:paraId="6213C4CC">
            <w:pPr>
              <w:keepNext w:val="0"/>
              <w:keepLines w:val="0"/>
              <w:widowControl/>
              <w:suppressLineNumbers w:val="0"/>
              <w:spacing w:before="0" w:beforeAutospacing="0" w:after="0" w:afterAutospacing="0" w:line="256" w:lineRule="auto"/>
              <w:ind w:left="0" w:right="61"/>
              <w:jc w:val="both"/>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 xml:space="preserve">Late submission of the assessment will result in a late penalty mark. </w:t>
            </w:r>
            <w:r>
              <w:rPr>
                <w:rFonts w:hint="default" w:ascii="Arial" w:hAnsi="Arial" w:eastAsia="Arial" w:cs="Arial"/>
                <w:color w:val="000000"/>
                <w:kern w:val="2"/>
                <w:sz w:val="22"/>
                <w:szCs w:val="24"/>
                <w:bdr w:val="none" w:color="auto" w:sz="0" w:space="0"/>
                <w:lang w:val="en-US" w:eastAsia="zh-CN" w:bidi="ar"/>
                <w14:ligatures w14:val="standardContextual"/>
              </w:rPr>
              <w:t>Penalties for late submission: Up to one week late, maximum mark of 40%. Over one week late, 0%.  Only the Extenuating Circumstances Panel may approve a change to submission dates.</w:t>
            </w:r>
          </w:p>
          <w:p w14:paraId="39DA027A">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305EDB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393" w:type="dxa"/>
            <w:gridSpan w:val="2"/>
            <w:shd w:val="clear" w:color="auto" w:fill="CFCECE" w:themeFill="background2" w:themeFillShade="E5"/>
          </w:tcPr>
          <w:p w14:paraId="0452DDC6">
            <w:pPr>
              <w:keepNext w:val="0"/>
              <w:keepLines w:val="0"/>
              <w:widowControl/>
              <w:suppressLineNumbers w:val="0"/>
              <w:spacing w:before="0" w:beforeAutospacing="0" w:after="0" w:afterAutospacing="0" w:line="256" w:lineRule="auto"/>
              <w:ind w:left="0" w:right="40"/>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Academic honesty / referencing:</w:t>
            </w:r>
          </w:p>
          <w:p w14:paraId="233F1E0C">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bookmarkStart w:id="2" w:name="_GoBack"/>
            <w:bookmarkEnd w:id="2"/>
          </w:p>
        </w:tc>
        <w:tc>
          <w:tcPr>
            <w:tcW w:w="5394" w:type="dxa"/>
            <w:gridSpan w:val="2"/>
          </w:tcPr>
          <w:p w14:paraId="17FA7590">
            <w:pPr>
              <w:keepNext w:val="0"/>
              <w:keepLines w:val="0"/>
              <w:widowControl/>
              <w:suppressLineNumbers w:val="0"/>
              <w:spacing w:before="0" w:beforeAutospacing="0" w:after="0" w:afterAutospacing="0" w:line="256" w:lineRule="auto"/>
              <w:ind w:left="0" w:right="61"/>
              <w:jc w:val="both"/>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62E46A83">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196577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0787" w:type="dxa"/>
            <w:gridSpan w:val="4"/>
            <w:shd w:val="clear" w:color="auto" w:fill="CFCECE" w:themeFill="background2" w:themeFillShade="E5"/>
          </w:tcPr>
          <w:p w14:paraId="0A33F642">
            <w:pPr>
              <w:keepNext w:val="0"/>
              <w:keepLines w:val="0"/>
              <w:widowControl/>
              <w:suppressLineNumbers w:val="0"/>
              <w:spacing w:before="0" w:beforeAutospacing="0" w:after="0" w:afterAutospacing="0" w:line="256" w:lineRule="auto"/>
              <w:ind w:left="0" w:right="6261"/>
              <w:jc w:val="left"/>
              <w:rPr>
                <w:rFonts w:hint="default" w:ascii="Arial" w:hAnsi="Arial" w:cs="Arial"/>
                <w:bdr w:val="none" w:color="auto" w:sz="0" w:space="0"/>
                <w:lang w:val="en-US"/>
              </w:rPr>
            </w:pPr>
            <w:r>
              <w:rPr>
                <w:rFonts w:hint="default" w:ascii="Arial" w:hAnsi="Arial" w:eastAsia="Arial" w:cs="Arial"/>
                <w:b/>
                <w:bCs w:val="0"/>
                <w:color w:val="000000"/>
                <w:kern w:val="2"/>
                <w:sz w:val="22"/>
                <w:szCs w:val="24"/>
                <w:bdr w:val="none" w:color="auto" w:sz="0" w:space="0"/>
                <w:lang w:val="en-US" w:eastAsia="zh-CN" w:bidi="ar"/>
                <w14:ligatures w14:val="standardContextual"/>
              </w:rPr>
              <w:t>Module Learning Outcomes  (from module syllabus)</w:t>
            </w:r>
          </w:p>
          <w:p w14:paraId="1676183A">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r w14:paraId="48113E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0787" w:type="dxa"/>
            <w:gridSpan w:val="4"/>
          </w:tcPr>
          <w:p w14:paraId="395C09D6">
            <w:pPr>
              <w:keepNext w:val="0"/>
              <w:keepLines w:val="0"/>
              <w:widowControl/>
              <w:suppressLineNumbers w:val="0"/>
              <w:spacing w:before="0" w:beforeAutospacing="0" w:after="0" w:afterAutospacing="0" w:line="228" w:lineRule="auto"/>
              <w:ind w:left="0" w:right="1013"/>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Upon the successful completion of this module, the student should be able to  demonstrate the ability to: </w:t>
            </w:r>
          </w:p>
          <w:p w14:paraId="0FFFE36A">
            <w:pPr>
              <w:keepNext w:val="0"/>
              <w:keepLines w:val="0"/>
              <w:widowControl/>
              <w:numPr>
                <w:ilvl w:val="0"/>
                <w:numId w:val="1"/>
              </w:numPr>
              <w:suppressLineNumbers w:val="0"/>
              <w:spacing w:before="0" w:beforeAutospacing="0" w:after="0" w:afterAutospacing="0" w:line="242" w:lineRule="auto"/>
              <w:ind w:left="720" w:right="0" w:hanging="36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Problem solve and critically analyse the importance of management and ethical decisionmaking within organisations and their impact on the wider social environment. </w:t>
            </w:r>
          </w:p>
          <w:p w14:paraId="5FDDF437">
            <w:pPr>
              <w:keepNext w:val="0"/>
              <w:keepLines w:val="0"/>
              <w:widowControl/>
              <w:numPr>
                <w:ilvl w:val="0"/>
                <w:numId w:val="1"/>
              </w:numPr>
              <w:suppressLineNumbers w:val="0"/>
              <w:spacing w:before="0" w:beforeAutospacing="0" w:after="0" w:afterAutospacing="0" w:line="256" w:lineRule="auto"/>
              <w:ind w:left="720" w:right="0" w:hanging="360"/>
              <w:jc w:val="left"/>
              <w:rPr>
                <w:rFonts w:hint="default" w:ascii="Arial" w:hAnsi="Arial" w:cs="Arial"/>
                <w:bdr w:val="none" w:color="auto" w:sz="0" w:space="0"/>
                <w:lang w:val="en-US"/>
              </w:rPr>
            </w:pPr>
            <w:r>
              <w:rPr>
                <w:rFonts w:hint="default" w:ascii="Arial" w:hAnsi="Arial" w:eastAsia="Arial" w:cs="Arial"/>
                <w:color w:val="000000"/>
                <w:kern w:val="2"/>
                <w:sz w:val="22"/>
                <w:szCs w:val="24"/>
                <w:bdr w:val="none" w:color="auto" w:sz="0" w:space="0"/>
                <w:lang w:val="en-US" w:eastAsia="zh-CN" w:bidi="ar"/>
                <w14:ligatures w14:val="standardContextual"/>
              </w:rPr>
              <w:t xml:space="preserve">Evaluate different approaches to ethical judgment and to apply them to real world dilemmas. </w:t>
            </w:r>
          </w:p>
          <w:p w14:paraId="7E325293">
            <w:pPr>
              <w:tabs>
                <w:tab w:val="center" w:pos="1779"/>
                <w:tab w:val="center" w:pos="3766"/>
                <w:tab w:val="center" w:pos="5859"/>
                <w:tab w:val="center" w:pos="7093"/>
                <w:tab w:val="center" w:pos="8283"/>
                <w:tab w:val="center" w:pos="9734"/>
              </w:tabs>
              <w:spacing w:after="3" w:line="480" w:lineRule="auto"/>
              <w:rPr>
                <w:rFonts w:hint="default" w:ascii="Arial" w:hAnsi="Arial" w:cs="Arial" w:eastAsiaTheme="minorEastAsia"/>
                <w:sz w:val="24"/>
                <w:vertAlign w:val="baseline"/>
              </w:rPr>
            </w:pPr>
          </w:p>
        </w:tc>
      </w:tr>
    </w:tbl>
    <w:p w14:paraId="6B8CC4C8">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A1F0826">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AC53C33">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03E7283">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1ADAB85A">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085211E9">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4E48A989">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1B741860">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07E09B16">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7F54C2F4">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4AE98ECB">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5316B06">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EACB869">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1D29456B">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7DF76FC6">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49ADC093">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8A175E8">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6C3EB809">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6BFB9D36">
      <w:pPr>
        <w:tabs>
          <w:tab w:val="center" w:pos="1779"/>
          <w:tab w:val="center" w:pos="3766"/>
          <w:tab w:val="center" w:pos="5859"/>
          <w:tab w:val="center" w:pos="7093"/>
          <w:tab w:val="center" w:pos="8283"/>
          <w:tab w:val="center" w:pos="9734"/>
        </w:tabs>
        <w:spacing w:after="3" w:line="480" w:lineRule="auto"/>
        <w:rPr>
          <w:rFonts w:ascii="Arial" w:hAnsi="Arial" w:cs="Arial" w:eastAsiaTheme="minorEastAsia"/>
          <w:sz w:val="20"/>
        </w:rPr>
      </w:pPr>
      <w:r>
        <w:rPr>
          <w:rFonts w:ascii="Times New Roman" w:hAnsi="Times New Roman" w:cs="Times New Roman" w:eastAsiaTheme="minorEastAsia"/>
          <w:sz w:val="24"/>
        </w:rPr>
        <w:t xml:space="preserve">Executive Summary </w:t>
      </w:r>
    </w:p>
    <w:p w14:paraId="2ECB01A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D0B1FD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This report centers on corporate ethical practices in the United Kingdom, focusing primarily on the “boundaries of greed” and the “business value of ethics.” Drawing on theories such as utilitarianism and Kantian deontology, it analyzes British case studies—including ethical misconduct in Tesco's supply chain and Barclays' green finance practices—to demonstrate that unchecked greed leads to corporate trust collapse, while ethical focus significantly enhances long-term competitiveness. The report proposes a concrete pathway for “embedding ethics throughout operational processes,” offering specific recommendations aligned with the UK's 2024 Corporate Ethics Bill. The full text comprises approximately 2,</w:t>
      </w:r>
      <w:r>
        <w:rPr>
          <w:rFonts w:hint="eastAsia" w:ascii="Times New Roman" w:hAnsi="Times New Roman" w:cs="Times New Roman" w:eastAsiaTheme="minorEastAsia"/>
          <w:sz w:val="24"/>
        </w:rPr>
        <w:t>450</w:t>
      </w:r>
      <w:r>
        <w:rPr>
          <w:rFonts w:ascii="Times New Roman" w:hAnsi="Times New Roman" w:cs="Times New Roman" w:eastAsiaTheme="minorEastAsia"/>
          <w:sz w:val="24"/>
        </w:rPr>
        <w:t xml:space="preserve"> words, citing 2</w:t>
      </w:r>
      <w:r>
        <w:rPr>
          <w:rFonts w:hint="eastAsia" w:ascii="Times New Roman" w:hAnsi="Times New Roman" w:cs="Times New Roman" w:eastAsiaTheme="minorEastAsia"/>
          <w:sz w:val="24"/>
          <w:lang w:val="en-US" w:eastAsia="zh-CN"/>
        </w:rPr>
        <w:t>4</w:t>
      </w:r>
      <w:r>
        <w:rPr>
          <w:rFonts w:ascii="Times New Roman" w:hAnsi="Times New Roman" w:cs="Times New Roman" w:eastAsiaTheme="minorEastAsia"/>
          <w:sz w:val="24"/>
        </w:rPr>
        <w:t xml:space="preserve"> references spanning British academic journals and corporate white papers from the past five years.</w:t>
      </w:r>
    </w:p>
    <w:p w14:paraId="6ED129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923053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F8CEEE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CB68D94">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6AC4E99A">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D839B73">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99754AE">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4ABD4256">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6C238E4A">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1E03ED4C">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4CEF98B">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5829DBF">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37EF4AB">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52272138">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1F9EC303">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23CCB000">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01A5989E">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p>
    <w:p w14:paraId="6262494B">
      <w:pPr>
        <w:tabs>
          <w:tab w:val="center" w:pos="1779"/>
          <w:tab w:val="center" w:pos="3766"/>
          <w:tab w:val="center" w:pos="5859"/>
          <w:tab w:val="center" w:pos="7093"/>
          <w:tab w:val="center" w:pos="8283"/>
          <w:tab w:val="center" w:pos="9734"/>
        </w:tabs>
        <w:spacing w:after="3" w:line="480" w:lineRule="auto"/>
        <w:ind w:firstLine="4560" w:firstLineChars="1900"/>
        <w:jc w:val="both"/>
        <w:rPr>
          <w:rFonts w:ascii="Times New Roman" w:hAnsi="Times New Roman" w:cs="Times New Roman" w:eastAsiaTheme="minorEastAsia"/>
          <w:sz w:val="24"/>
        </w:rPr>
      </w:pPr>
      <w:r>
        <w:rPr>
          <w:rFonts w:ascii="Times New Roman" w:hAnsi="Times New Roman" w:cs="Times New Roman" w:eastAsiaTheme="minorEastAsia"/>
          <w:sz w:val="24"/>
        </w:rPr>
        <w:t>Table of Contents</w:t>
      </w:r>
    </w:p>
    <w:p w14:paraId="6FA2BCF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6E6EE3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1.0 Introduction…………………………………………………………………………………………</w:t>
      </w:r>
      <w:r>
        <w:rPr>
          <w:rFonts w:hint="eastAsia" w:ascii="Times New Roman" w:hAnsi="Times New Roman" w:cs="Times New Roman" w:eastAsiaTheme="minorEastAsia"/>
          <w:sz w:val="24"/>
        </w:rPr>
        <w:t>...</w:t>
      </w:r>
      <w:r>
        <w:rPr>
          <w:rFonts w:ascii="Times New Roman" w:hAnsi="Times New Roman" w:cs="Times New Roman" w:eastAsiaTheme="minorEastAsia"/>
          <w:sz w:val="24"/>
        </w:rPr>
        <w:t>…</w:t>
      </w:r>
      <w:r>
        <w:rPr>
          <w:rFonts w:hint="eastAsia" w:ascii="Times New Roman" w:hAnsi="Times New Roman" w:cs="Times New Roman" w:eastAsiaTheme="minorEastAsia"/>
          <w:sz w:val="24"/>
        </w:rPr>
        <w:t>4</w:t>
      </w:r>
    </w:p>
    <w:p w14:paraId="1ABA538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2.0 The Theoretical Dialogue Between Ethics and Greed: A British Business Context……………………</w:t>
      </w:r>
      <w:r>
        <w:rPr>
          <w:rFonts w:hint="eastAsia" w:ascii="Times New Roman" w:hAnsi="Times New Roman" w:cs="Times New Roman" w:eastAsiaTheme="minorEastAsia"/>
          <w:sz w:val="24"/>
        </w:rPr>
        <w:t>.5</w:t>
      </w:r>
    </w:p>
    <w:p w14:paraId="7923A98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3.0 The Backlash of Greed: Typical Cases of Ethical Deviance in British Enterprises……………………</w:t>
      </w:r>
      <w:r>
        <w:rPr>
          <w:rFonts w:hint="eastAsia" w:ascii="Times New Roman" w:hAnsi="Times New Roman" w:cs="Times New Roman" w:eastAsiaTheme="minorEastAsia"/>
          <w:sz w:val="24"/>
        </w:rPr>
        <w:t>..6</w:t>
      </w:r>
    </w:p>
    <w:p w14:paraId="3936CDA5">
      <w:pPr>
        <w:tabs>
          <w:tab w:val="center" w:pos="1779"/>
          <w:tab w:val="center" w:pos="3766"/>
          <w:tab w:val="center" w:pos="5859"/>
          <w:tab w:val="center" w:pos="7093"/>
          <w:tab w:val="center" w:pos="8283"/>
          <w:tab w:val="center" w:pos="9734"/>
        </w:tabs>
        <w:spacing w:after="3" w:line="480" w:lineRule="auto"/>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    3.1 </w:t>
      </w:r>
      <w:r>
        <w:rPr>
          <w:rFonts w:ascii="Times New Roman" w:hAnsi="Times New Roman" w:cs="Times New Roman" w:eastAsiaTheme="minorEastAsia"/>
          <w:sz w:val="24"/>
        </w:rPr>
        <w:t>Retail Sector: Supply Chain Greed Shatters Foundations of Cooperation……………………………</w:t>
      </w:r>
      <w:r>
        <w:rPr>
          <w:rFonts w:hint="eastAsia" w:ascii="Times New Roman" w:hAnsi="Times New Roman" w:cs="Times New Roman" w:eastAsiaTheme="minorEastAsia"/>
          <w:sz w:val="24"/>
        </w:rPr>
        <w:t>6</w:t>
      </w:r>
    </w:p>
    <w:p w14:paraId="68C3A49E">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3.2 Financial Sector: Marketing Greed Triggers Regulatory Crackdown……………………………</w:t>
      </w:r>
      <w:r>
        <w:rPr>
          <w:rFonts w:hint="eastAsia" w:ascii="Times New Roman" w:hAnsi="Times New Roman" w:cs="Times New Roman" w:eastAsiaTheme="minorEastAsia"/>
          <w:sz w:val="24"/>
        </w:rPr>
        <w:t>..</w:t>
      </w:r>
      <w:r>
        <w:rPr>
          <w:rFonts w:ascii="Times New Roman" w:hAnsi="Times New Roman" w:cs="Times New Roman" w:eastAsiaTheme="minorEastAsia"/>
          <w:sz w:val="24"/>
        </w:rPr>
        <w:t>…</w:t>
      </w:r>
      <w:r>
        <w:rPr>
          <w:rFonts w:hint="eastAsia" w:ascii="Times New Roman" w:hAnsi="Times New Roman" w:cs="Times New Roman" w:eastAsiaTheme="minorEastAsia"/>
          <w:sz w:val="24"/>
        </w:rPr>
        <w:t>.6</w:t>
      </w:r>
    </w:p>
    <w:p w14:paraId="682A8191">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3.3 Manufacturing Sector: Cost Greed Undermines Product Reputation………………………………</w:t>
      </w:r>
      <w:r>
        <w:rPr>
          <w:rFonts w:hint="eastAsia" w:ascii="Times New Roman" w:hAnsi="Times New Roman" w:cs="Times New Roman" w:eastAsiaTheme="minorEastAsia"/>
          <w:sz w:val="24"/>
        </w:rPr>
        <w:t>....7</w:t>
      </w:r>
    </w:p>
    <w:p w14:paraId="41B9916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4.0 The Empowerment of Ethics: Practical Pathways for Responsible Enterprises in Britain………………</w:t>
      </w:r>
      <w:r>
        <w:rPr>
          <w:rFonts w:hint="eastAsia" w:ascii="Times New Roman" w:hAnsi="Times New Roman" w:cs="Times New Roman" w:eastAsiaTheme="minorEastAsia"/>
          <w:sz w:val="24"/>
        </w:rPr>
        <w:t>7</w:t>
      </w:r>
    </w:p>
    <w:p w14:paraId="4AED0A48">
      <w:pPr>
        <w:tabs>
          <w:tab w:val="center" w:pos="1779"/>
          <w:tab w:val="center" w:pos="3766"/>
          <w:tab w:val="center" w:pos="5859"/>
          <w:tab w:val="center" w:pos="7093"/>
          <w:tab w:val="center" w:pos="8283"/>
          <w:tab w:val="center" w:pos="9734"/>
        </w:tabs>
        <w:spacing w:after="3" w:line="480" w:lineRule="auto"/>
        <w:ind w:firstLine="240" w:firstLineChars="100"/>
        <w:jc w:val="both"/>
        <w:rPr>
          <w:rFonts w:ascii="Times New Roman" w:hAnsi="Times New Roman" w:cs="Times New Roman" w:eastAsiaTheme="minorEastAsia"/>
          <w:sz w:val="24"/>
        </w:rPr>
      </w:pPr>
      <w:r>
        <w:rPr>
          <w:rFonts w:ascii="Times New Roman" w:hAnsi="Times New Roman" w:cs="Times New Roman" w:eastAsiaTheme="minorEastAsia"/>
          <w:sz w:val="24"/>
        </w:rPr>
        <w:t>4.1 British Airways: Sustainable Ethics Unlock New Profit Opportunities………………………………</w:t>
      </w:r>
      <w:r>
        <w:rPr>
          <w:rFonts w:hint="eastAsia" w:ascii="Times New Roman" w:hAnsi="Times New Roman" w:cs="Times New Roman" w:eastAsiaTheme="minorEastAsia"/>
          <w:sz w:val="24"/>
        </w:rPr>
        <w:t>.7</w:t>
      </w:r>
      <w:r>
        <w:rPr>
          <w:rFonts w:ascii="Times New Roman" w:hAnsi="Times New Roman" w:cs="Times New Roman" w:eastAsiaTheme="minorEastAsia"/>
          <w:sz w:val="24"/>
        </w:rPr>
        <w:tab/>
      </w:r>
    </w:p>
    <w:p w14:paraId="1BCB4E55">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4.2 Barclays: Financial Ethics Rebuild Industry Trust……………………………………………………</w:t>
      </w:r>
      <w:r>
        <w:rPr>
          <w:rFonts w:hint="eastAsia" w:ascii="Times New Roman" w:hAnsi="Times New Roman" w:cs="Times New Roman" w:eastAsiaTheme="minorEastAsia"/>
          <w:sz w:val="24"/>
        </w:rPr>
        <w:t>..8</w:t>
      </w:r>
    </w:p>
    <w:p w14:paraId="070D2F89">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4.3 John Lewis: Employee Ethics Strengthen Team Foundations…………………………………………</w:t>
      </w:r>
      <w:r>
        <w:rPr>
          <w:rFonts w:hint="eastAsia" w:ascii="Times New Roman" w:hAnsi="Times New Roman" w:cs="Times New Roman" w:eastAsiaTheme="minorEastAsia"/>
          <w:sz w:val="24"/>
        </w:rPr>
        <w:t>.8</w:t>
      </w:r>
    </w:p>
    <w:p w14:paraId="1FE556F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5.0 Conclusion and Recommendations………………………………………………………………………</w:t>
      </w:r>
      <w:r>
        <w:rPr>
          <w:rFonts w:hint="eastAsia" w:ascii="Times New Roman" w:hAnsi="Times New Roman" w:cs="Times New Roman" w:eastAsiaTheme="minorEastAsia"/>
          <w:sz w:val="24"/>
        </w:rPr>
        <w:t>.10</w:t>
      </w:r>
    </w:p>
    <w:p w14:paraId="58721AB4">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5.1 Conclusions……………………………………………………………………………………………</w:t>
      </w:r>
      <w:r>
        <w:rPr>
          <w:rFonts w:hint="eastAsia" w:ascii="Times New Roman" w:hAnsi="Times New Roman" w:cs="Times New Roman" w:eastAsiaTheme="minorEastAsia"/>
          <w:sz w:val="24"/>
        </w:rPr>
        <w:t>..10</w:t>
      </w:r>
    </w:p>
    <w:p w14:paraId="6565B4C2">
      <w:pPr>
        <w:tabs>
          <w:tab w:val="center" w:pos="1779"/>
          <w:tab w:val="center" w:pos="3766"/>
          <w:tab w:val="center" w:pos="5859"/>
          <w:tab w:val="center" w:pos="7093"/>
          <w:tab w:val="center" w:pos="8283"/>
          <w:tab w:val="center" w:pos="9734"/>
        </w:tabs>
        <w:spacing w:after="3" w:line="480" w:lineRule="auto"/>
        <w:ind w:firstLine="480" w:firstLineChars="200"/>
        <w:rPr>
          <w:rFonts w:ascii="Times New Roman" w:hAnsi="Times New Roman" w:cs="Times New Roman" w:eastAsiaTheme="minorEastAsia"/>
          <w:sz w:val="24"/>
        </w:rPr>
      </w:pPr>
      <w:r>
        <w:rPr>
          <w:rFonts w:ascii="Times New Roman" w:hAnsi="Times New Roman" w:cs="Times New Roman" w:eastAsiaTheme="minorEastAsia"/>
          <w:sz w:val="24"/>
        </w:rPr>
        <w:t>5.1.1 Greed is by no means a “corporate panacea”………………………………………………………</w:t>
      </w:r>
      <w:r>
        <w:rPr>
          <w:rFonts w:hint="eastAsia" w:ascii="Times New Roman" w:hAnsi="Times New Roman" w:cs="Times New Roman" w:eastAsiaTheme="minorEastAsia"/>
          <w:sz w:val="24"/>
        </w:rPr>
        <w:t>10</w:t>
      </w:r>
    </w:p>
    <w:p w14:paraId="44B2E35C">
      <w:pPr>
        <w:tabs>
          <w:tab w:val="center" w:pos="1779"/>
          <w:tab w:val="center" w:pos="3766"/>
          <w:tab w:val="center" w:pos="5859"/>
          <w:tab w:val="center" w:pos="7093"/>
          <w:tab w:val="center" w:pos="8283"/>
          <w:tab w:val="center" w:pos="9734"/>
        </w:tabs>
        <w:spacing w:after="3" w:line="480" w:lineRule="auto"/>
        <w:ind w:firstLine="480" w:firstLineChars="200"/>
        <w:rPr>
          <w:rFonts w:ascii="Times New Roman" w:hAnsi="Times New Roman" w:cs="Times New Roman" w:eastAsiaTheme="minorEastAsia"/>
          <w:sz w:val="24"/>
        </w:rPr>
      </w:pPr>
      <w:r>
        <w:rPr>
          <w:rFonts w:ascii="Times New Roman" w:hAnsi="Times New Roman" w:cs="Times New Roman" w:eastAsiaTheme="minorEastAsia"/>
          <w:sz w:val="24"/>
        </w:rPr>
        <w:t>5.1.2 Ethics constitutes a company's “long-term competitive advantage”………………………………</w:t>
      </w:r>
      <w:r>
        <w:rPr>
          <w:rFonts w:hint="eastAsia" w:ascii="Times New Roman" w:hAnsi="Times New Roman" w:cs="Times New Roman" w:eastAsiaTheme="minorEastAsia"/>
          <w:sz w:val="24"/>
        </w:rPr>
        <w:t>10</w:t>
      </w:r>
    </w:p>
    <w:p w14:paraId="13E68F45">
      <w:pPr>
        <w:tabs>
          <w:tab w:val="center" w:pos="1779"/>
          <w:tab w:val="center" w:pos="3766"/>
          <w:tab w:val="center" w:pos="5859"/>
          <w:tab w:val="center" w:pos="7093"/>
          <w:tab w:val="center" w:pos="8283"/>
          <w:tab w:val="center" w:pos="9734"/>
        </w:tabs>
        <w:spacing w:after="3" w:line="480" w:lineRule="auto"/>
        <w:ind w:firstLine="480" w:firstLineChars="200"/>
        <w:rPr>
          <w:rFonts w:ascii="Times New Roman" w:hAnsi="Times New Roman" w:cs="Times New Roman" w:eastAsiaTheme="minorEastAsia"/>
          <w:sz w:val="24"/>
        </w:rPr>
      </w:pPr>
      <w:r>
        <w:rPr>
          <w:rFonts w:ascii="Times New Roman" w:hAnsi="Times New Roman" w:cs="Times New Roman" w:eastAsiaTheme="minorEastAsia"/>
          <w:sz w:val="24"/>
        </w:rPr>
        <w:t>5.1.3 Ethics and profit can be balanced…………………………………………………………………</w:t>
      </w:r>
      <w:r>
        <w:rPr>
          <w:rFonts w:hint="eastAsia" w:ascii="Times New Roman" w:hAnsi="Times New Roman" w:cs="Times New Roman" w:eastAsiaTheme="minorEastAsia"/>
          <w:sz w:val="24"/>
        </w:rPr>
        <w:t>.10</w:t>
      </w:r>
    </w:p>
    <w:p w14:paraId="4AE4CD03">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5.2 Recommendations………………………………………………………………………………………</w:t>
      </w:r>
      <w:r>
        <w:rPr>
          <w:rFonts w:hint="eastAsia" w:ascii="Times New Roman" w:hAnsi="Times New Roman" w:cs="Times New Roman" w:eastAsiaTheme="minorEastAsia"/>
          <w:sz w:val="24"/>
        </w:rPr>
        <w:t>10</w:t>
      </w:r>
    </w:p>
    <w:p w14:paraId="25E4ED62">
      <w:pPr>
        <w:tabs>
          <w:tab w:val="center" w:pos="1779"/>
          <w:tab w:val="center" w:pos="3766"/>
          <w:tab w:val="center" w:pos="5859"/>
          <w:tab w:val="center" w:pos="7093"/>
          <w:tab w:val="center" w:pos="8283"/>
          <w:tab w:val="center" w:pos="9734"/>
        </w:tabs>
        <w:spacing w:after="3" w:line="480" w:lineRule="auto"/>
        <w:ind w:firstLine="480" w:firstLineChars="200"/>
        <w:rPr>
          <w:rFonts w:ascii="Times New Roman" w:hAnsi="Times New Roman" w:cs="Times New Roman" w:eastAsiaTheme="minorEastAsia"/>
          <w:sz w:val="24"/>
        </w:rPr>
      </w:pPr>
      <w:r>
        <w:rPr>
          <w:rFonts w:ascii="Times New Roman" w:hAnsi="Times New Roman" w:cs="Times New Roman" w:eastAsiaTheme="minorEastAsia"/>
          <w:sz w:val="24"/>
        </w:rPr>
        <w:t>5.2.1 Corporate Level: Establish a “Three-Mechanism Ethical Embedding Framework”………………</w:t>
      </w:r>
      <w:r>
        <w:rPr>
          <w:rFonts w:hint="eastAsia" w:ascii="Times New Roman" w:hAnsi="Times New Roman" w:cs="Times New Roman" w:eastAsiaTheme="minorEastAsia"/>
          <w:sz w:val="24"/>
        </w:rPr>
        <w:t>10</w:t>
      </w:r>
    </w:p>
    <w:p w14:paraId="47CD655E">
      <w:pPr>
        <w:tabs>
          <w:tab w:val="center" w:pos="1779"/>
          <w:tab w:val="center" w:pos="3766"/>
          <w:tab w:val="center" w:pos="5859"/>
          <w:tab w:val="center" w:pos="7093"/>
          <w:tab w:val="center" w:pos="8283"/>
          <w:tab w:val="center" w:pos="9734"/>
        </w:tabs>
        <w:spacing w:after="3" w:line="480" w:lineRule="auto"/>
        <w:ind w:firstLine="720" w:firstLineChars="300"/>
        <w:rPr>
          <w:rFonts w:ascii="Times New Roman" w:hAnsi="Times New Roman" w:cs="Times New Roman" w:eastAsiaTheme="minorEastAsia"/>
          <w:sz w:val="24"/>
        </w:rPr>
      </w:pPr>
      <w:r>
        <w:rPr>
          <w:rFonts w:ascii="Times New Roman" w:hAnsi="Times New Roman" w:cs="Times New Roman" w:eastAsiaTheme="minorEastAsia"/>
          <w:sz w:val="24"/>
        </w:rPr>
        <w:t>5.2.1.1 Decision-Making Mechanism…………………………………………………………………</w:t>
      </w:r>
      <w:r>
        <w:rPr>
          <w:rFonts w:hint="eastAsia" w:ascii="Times New Roman" w:hAnsi="Times New Roman" w:cs="Times New Roman" w:eastAsiaTheme="minorEastAsia"/>
          <w:sz w:val="24"/>
        </w:rPr>
        <w:t>10</w:t>
      </w:r>
    </w:p>
    <w:p w14:paraId="01682752">
      <w:pPr>
        <w:tabs>
          <w:tab w:val="center" w:pos="1779"/>
          <w:tab w:val="center" w:pos="3766"/>
          <w:tab w:val="center" w:pos="5859"/>
          <w:tab w:val="center" w:pos="7093"/>
          <w:tab w:val="center" w:pos="8283"/>
          <w:tab w:val="center" w:pos="9734"/>
        </w:tabs>
        <w:spacing w:after="3" w:line="480" w:lineRule="auto"/>
        <w:ind w:firstLine="720" w:firstLineChars="300"/>
        <w:rPr>
          <w:rFonts w:ascii="Times New Roman" w:hAnsi="Times New Roman" w:cs="Times New Roman" w:eastAsiaTheme="minorEastAsia"/>
          <w:sz w:val="24"/>
        </w:rPr>
      </w:pPr>
      <w:r>
        <w:rPr>
          <w:rFonts w:ascii="Times New Roman" w:hAnsi="Times New Roman" w:cs="Times New Roman" w:eastAsiaTheme="minorEastAsia"/>
          <w:sz w:val="24"/>
        </w:rPr>
        <w:t>5.2.1.2 Operational Mechanism: Integrate ethical metrics into departmental evaluations. …………</w:t>
      </w:r>
      <w:r>
        <w:rPr>
          <w:rFonts w:hint="eastAsia" w:ascii="Times New Roman" w:hAnsi="Times New Roman" w:cs="Times New Roman" w:eastAsiaTheme="minorEastAsia"/>
          <w:sz w:val="24"/>
        </w:rPr>
        <w:t>..11</w:t>
      </w:r>
    </w:p>
    <w:p w14:paraId="0B05397B">
      <w:pPr>
        <w:tabs>
          <w:tab w:val="center" w:pos="1779"/>
          <w:tab w:val="center" w:pos="3766"/>
          <w:tab w:val="center" w:pos="5859"/>
          <w:tab w:val="center" w:pos="7093"/>
          <w:tab w:val="center" w:pos="8283"/>
          <w:tab w:val="center" w:pos="9734"/>
        </w:tabs>
        <w:spacing w:after="3" w:line="480" w:lineRule="auto"/>
        <w:ind w:left="440" w:leftChars="200"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5.2.1.3 Oversight Mechanism…………………………………………………………………………</w:t>
      </w:r>
      <w:r>
        <w:rPr>
          <w:rFonts w:hint="eastAsia" w:ascii="Times New Roman" w:hAnsi="Times New Roman" w:cs="Times New Roman" w:eastAsiaTheme="minorEastAsia"/>
          <w:sz w:val="24"/>
        </w:rPr>
        <w:t>.11</w:t>
      </w:r>
      <w:r>
        <w:rPr>
          <w:rFonts w:ascii="Times New Roman" w:hAnsi="Times New Roman" w:cs="Times New Roman" w:eastAsiaTheme="minorEastAsia"/>
          <w:sz w:val="24"/>
        </w:rPr>
        <w:cr/>
      </w:r>
      <w:r>
        <w:rPr>
          <w:rFonts w:ascii="Times New Roman" w:hAnsi="Times New Roman" w:cs="Times New Roman" w:eastAsiaTheme="minorEastAsia"/>
          <w:sz w:val="24"/>
        </w:rPr>
        <w:t>5.2.2 Industry Level: Establish an “Ethics Sharing Platform”……………………………………………</w:t>
      </w:r>
      <w:r>
        <w:rPr>
          <w:rFonts w:hint="eastAsia" w:ascii="Times New Roman" w:hAnsi="Times New Roman" w:cs="Times New Roman" w:eastAsiaTheme="minorEastAsia"/>
          <w:sz w:val="24"/>
        </w:rPr>
        <w:t>11</w:t>
      </w:r>
    </w:p>
    <w:p w14:paraId="3C45098F">
      <w:pPr>
        <w:tabs>
          <w:tab w:val="center" w:pos="1779"/>
          <w:tab w:val="center" w:pos="3766"/>
          <w:tab w:val="center" w:pos="5859"/>
          <w:tab w:val="center" w:pos="7093"/>
          <w:tab w:val="center" w:pos="8283"/>
          <w:tab w:val="center" w:pos="9734"/>
        </w:tabs>
        <w:spacing w:after="3" w:line="480" w:lineRule="auto"/>
        <w:ind w:firstLine="240" w:firstLineChars="100"/>
        <w:rPr>
          <w:rFonts w:ascii="Times New Roman" w:hAnsi="Times New Roman" w:cs="Times New Roman" w:eastAsiaTheme="minorEastAsia"/>
          <w:sz w:val="24"/>
        </w:rPr>
      </w:pPr>
      <w:r>
        <w:rPr>
          <w:rFonts w:ascii="Times New Roman" w:hAnsi="Times New Roman" w:cs="Times New Roman" w:eastAsiaTheme="minorEastAsia"/>
          <w:sz w:val="24"/>
        </w:rPr>
        <w:t>5.3 Government Level: Optimizing “Ethical Regulation and Incentives”…………………………………</w:t>
      </w:r>
      <w:r>
        <w:rPr>
          <w:rFonts w:hint="eastAsia" w:ascii="Times New Roman" w:hAnsi="Times New Roman" w:cs="Times New Roman" w:eastAsiaTheme="minorEastAsia"/>
          <w:sz w:val="24"/>
        </w:rPr>
        <w:t>.11</w:t>
      </w:r>
    </w:p>
    <w:p w14:paraId="378AD74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6.0 References…………………………………………………………………………………………………</w:t>
      </w:r>
      <w:r>
        <w:rPr>
          <w:rFonts w:hint="eastAsia" w:ascii="Times New Roman" w:hAnsi="Times New Roman" w:cs="Times New Roman" w:eastAsiaTheme="minorEastAsia"/>
          <w:sz w:val="24"/>
        </w:rPr>
        <w:t>15</w:t>
      </w:r>
    </w:p>
    <w:p w14:paraId="2953BCD7">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rPr>
      </w:pPr>
    </w:p>
    <w:p w14:paraId="506B65C8">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rPr>
      </w:pPr>
    </w:p>
    <w:p w14:paraId="5004222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1.0 </w:t>
      </w:r>
      <w:r>
        <w:rPr>
          <w:rFonts w:ascii="Times New Roman" w:hAnsi="Times New Roman" w:cs="Times New Roman" w:eastAsiaTheme="minorEastAsia"/>
          <w:sz w:val="24"/>
        </w:rPr>
        <w:t>Introduction</w:t>
      </w:r>
    </w:p>
    <w:p w14:paraId="499EF46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213032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In 2024, Tesco, the UK's largest retailer, was exposed for pressuring suppliers to provide vegetables “below cost price.” Threatening language used in emails to farmers and food manufacturers led to the bankruptcy of three British farms due to losses</w:t>
      </w:r>
      <w:r>
        <w:rPr>
          <w:rFonts w:hint="eastAsia" w:ascii="Times New Roman" w:hAnsi="Times New Roman" w:cs="Times New Roman" w:eastAsiaTheme="minorEastAsia"/>
          <w:sz w:val="24"/>
        </w:rPr>
        <w:t xml:space="preserve"> (Food Standards Agency, 2024). </w:t>
      </w:r>
      <w:r>
        <w:rPr>
          <w:rFonts w:ascii="Times New Roman" w:hAnsi="Times New Roman" w:cs="Times New Roman" w:eastAsiaTheme="minorEastAsia"/>
          <w:sz w:val="24"/>
        </w:rPr>
        <w:t>This incident laid bare the conflict between “corporate greed for profit” and “supply chain ethics.” During the same period, British Airways invested £200 million in developing Sustainable Aviation Fuel (SAF), achieving a 3.2% year-on-year increase in profit margins during Q3 2024. This positioned it as an industry benchmark for “ethical profitability,” contrasting sharply with Tesco's practices</w:t>
      </w:r>
      <w:r>
        <w:rPr>
          <w:rFonts w:hint="eastAsia" w:ascii="Times New Roman" w:hAnsi="Times New Roman" w:cs="Times New Roman" w:eastAsiaTheme="minorEastAsia"/>
          <w:sz w:val="24"/>
        </w:rPr>
        <w:t xml:space="preserve"> (British Airways, 2024).</w:t>
      </w:r>
    </w:p>
    <w:p w14:paraId="5E6C28E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Against the backdrop of high inflation and mounting survival pressures for UK businesses, debates have intensified over whether greed can help companies</w:t>
      </w:r>
      <w:r>
        <w:rPr>
          <w:rFonts w:ascii="Times New Roman" w:hAnsi="Times New Roman" w:cs="Times New Roman" w:eastAsiaTheme="minorEastAsia"/>
          <w:sz w:val="24"/>
          <w:highlight w:val="none"/>
        </w:rPr>
        <w:t xml:space="preserve"> </w:t>
      </w:r>
      <w:r>
        <w:rPr>
          <w:rFonts w:hint="eastAsia" w:ascii="Times New Roman" w:hAnsi="Times New Roman" w:cs="Times New Roman" w:eastAsiaTheme="minorEastAsia"/>
          <w:sz w:val="24"/>
          <w:highlight w:val="none"/>
          <w:lang w:val="en-US" w:eastAsia="zh-CN"/>
        </w:rPr>
        <w:t>overcome</w:t>
      </w:r>
      <w:r>
        <w:rPr>
          <w:rFonts w:ascii="Times New Roman" w:hAnsi="Times New Roman" w:cs="Times New Roman" w:eastAsiaTheme="minorEastAsia"/>
          <w:sz w:val="24"/>
          <w:highlight w:val="none"/>
        </w:rPr>
        <w:t xml:space="preserve"> c</w:t>
      </w:r>
      <w:r>
        <w:rPr>
          <w:rFonts w:ascii="Times New Roman" w:hAnsi="Times New Roman" w:cs="Times New Roman" w:eastAsiaTheme="minorEastAsia"/>
          <w:sz w:val="24"/>
        </w:rPr>
        <w:t>rises and whether ethics constitute a cost burden. This report uses UK enterprises as case studies, first clarifying the theoretical relationship between greed and ethics, then conducting comparative analyses of real-world cases. Ultimately, it offers UK businesses a long-term solution for balancing ethics and profits.</w:t>
      </w:r>
    </w:p>
    <w:p w14:paraId="766957E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4294D0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774F39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FEFCAB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AD5EA4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2E9F2E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124951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730C7E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B85609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11844B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8D56D5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E431E9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BEC880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25EA8D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2.0 Theoretical Dialogue Between Ethics and Greed: Grounded in the UK Business Context</w:t>
      </w:r>
    </w:p>
    <w:p w14:paraId="44800B4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6BAF194">
      <w:pPr>
        <w:tabs>
          <w:tab w:val="center" w:pos="1779"/>
          <w:tab w:val="center" w:pos="3766"/>
          <w:tab w:val="center" w:pos="5859"/>
          <w:tab w:val="center" w:pos="7093"/>
          <w:tab w:val="center" w:pos="8283"/>
          <w:tab w:val="center" w:pos="9734"/>
        </w:tabs>
        <w:spacing w:after="3" w:line="480" w:lineRule="auto"/>
        <w:jc w:val="both"/>
        <w:rPr>
          <w:rFonts w:hint="default" w:ascii="Times New Roman" w:hAnsi="Times New Roman" w:cs="Times New Roman"/>
          <w:sz w:val="24"/>
          <w:szCs w:val="24"/>
        </w:rPr>
      </w:pPr>
      <w:r>
        <w:rPr>
          <w:rFonts w:ascii="Times New Roman" w:hAnsi="Times New Roman" w:cs="Times New Roman" w:eastAsiaTheme="minorEastAsia"/>
          <w:sz w:val="24"/>
        </w:rPr>
        <w:t>The UK's business tradition, rooted in the “spirit of contract” and “sense of responsibility,” lends particular relevance to the theoretical clash between ethics and greed. From an ethical perspective, greed is fundamentally the “unrestrained pursuit of profit,” while ethics serve as the “necessary constraints” on corporate behavior.</w:t>
      </w:r>
      <w:r>
        <w:rPr>
          <w:rFonts w:hint="eastAsia" w:ascii="Times New Roman" w:hAnsi="Times New Roman" w:cs="Times New Roman" w:eastAsiaTheme="minorEastAsia"/>
          <w:sz w:val="24"/>
          <w:lang w:val="en-US" w:eastAsia="zh-CN"/>
        </w:rPr>
        <w:t xml:space="preserve"> </w:t>
      </w:r>
      <w:r>
        <w:rPr>
          <w:rFonts w:hint="default" w:ascii="Times New Roman" w:hAnsi="Times New Roman" w:cs="Times New Roman"/>
          <w:sz w:val="24"/>
          <w:szCs w:val="24"/>
        </w:rPr>
        <w:t>Research on modern business ethics further indicates that the contractual culture of British enterprises is fundamentally an “institutionalized balance between ethics and interests,” and excessive greed undermines the trust foundation of this equilibrium (Jones, 2021).</w:t>
      </w:r>
    </w:p>
    <w:p w14:paraId="7F3CC3EE">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lang w:val="en-US" w:eastAsia="zh-CN"/>
        </w:rPr>
      </w:pPr>
    </w:p>
    <w:p w14:paraId="5935834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Utilitarian theory emphasizes that “actions should maximize the welfare of the greatest number” (Mill, 2020). British scholar Clark (2023) found in a study of 150 UK SMEs that companies prioritizing supply chain ethics achieved a 28% higher supplier retention rate and a 21% increase in customer repurchase rate compared to peers</w:t>
      </w:r>
      <w:r>
        <w:rPr>
          <w:rFonts w:hint="eastAsia" w:ascii="Times New Roman" w:hAnsi="Times New Roman" w:cs="Times New Roman" w:eastAsiaTheme="minorEastAsia"/>
          <w:sz w:val="24"/>
        </w:rPr>
        <w:t xml:space="preserve"> (Clark, 2023).</w:t>
      </w:r>
      <w:r>
        <w:rPr>
          <w:rFonts w:ascii="Times New Roman" w:hAnsi="Times New Roman" w:cs="Times New Roman" w:eastAsiaTheme="minorEastAsia"/>
          <w:sz w:val="24"/>
        </w:rPr>
        <w:t xml:space="preserve"> This demonstrates that when pursuing profits, businesses can achieve “win-win” outcomes by balancing supplier and customer interests. Conversely, Tesco's “greedy practice” of squeezing suppliers' prices reduced costs in the short term but led to supply chain disruptions, ultimately forcing the company to pay £4.5 million in compensation</w:t>
      </w:r>
      <w:r>
        <w:rPr>
          <w:rFonts w:hint="eastAsia" w:ascii="Times New Roman" w:hAnsi="Times New Roman" w:cs="Times New Roman" w:eastAsiaTheme="minorEastAsia"/>
          <w:sz w:val="24"/>
        </w:rPr>
        <w:t xml:space="preserve"> (Food Standards Agency, 2024).</w:t>
      </w:r>
    </w:p>
    <w:p w14:paraId="74FB65A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Kant's deontological principle that “a person is an end in themselves, not a means” is prominently reflected in UK financial regulation</w:t>
      </w:r>
      <w:r>
        <w:rPr>
          <w:rFonts w:hint="eastAsia" w:ascii="Times New Roman" w:hAnsi="Times New Roman" w:cs="Times New Roman" w:eastAsiaTheme="minorEastAsia"/>
          <w:sz w:val="24"/>
        </w:rPr>
        <w:t xml:space="preserve"> (Kant, 2021). </w:t>
      </w:r>
      <w:r>
        <w:rPr>
          <w:rFonts w:ascii="Times New Roman" w:hAnsi="Times New Roman" w:cs="Times New Roman" w:eastAsiaTheme="minorEastAsia"/>
          <w:sz w:val="24"/>
        </w:rPr>
        <w:t>The Financial Conduct Authority's (FCA) 2024 Financial Ethics Guidance explicitly states that “treating investors as ‘profit tools’ constitutes misconduct.”</w:t>
      </w:r>
      <w:r>
        <w:rPr>
          <w:rFonts w:hint="eastAsia" w:ascii="Times New Roman" w:hAnsi="Times New Roman" w:cs="Times New Roman" w:eastAsiaTheme="minorEastAsia"/>
          <w:sz w:val="24"/>
        </w:rPr>
        <w:t xml:space="preserve"> (Financial Conduct Authority, 2024).</w:t>
      </w:r>
      <w:r>
        <w:rPr>
          <w:rFonts w:ascii="Times New Roman" w:hAnsi="Times New Roman" w:cs="Times New Roman" w:eastAsiaTheme="minorEastAsia"/>
          <w:sz w:val="24"/>
        </w:rPr>
        <w:t xml:space="preserve"> This aligns closely with Kantian theory: Barclays Bank was fined £120 million for marketing high-interest loans to low-income groups precisely because it treated “vulnerable individuals as profit-making tools,” violating the ethical obligation to “respect human dignity.”</w:t>
      </w:r>
    </w:p>
    <w:p w14:paraId="6B77D6D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Virtue ethics' “principle of moderation” aligns more closely with Britain's concept of “responsible capitalism.” Aristotle argued that “excessive pursuit of profit is greed,” which resonates with the Confederation of British Industry's (CBI) 2024 advocacy for “reasonable profits + social contribution.” British department store brand John Lewis adheres to the principle of “distributing 50% of profits to employees,” neither abandoning profit goals nor neglecting employee rights. This “balanced moderation” represents the modern practice of virtue ethics, enabling the brand to achieve a 5% sales increase against the trend during the 2024 retail downturn.</w:t>
      </w:r>
      <w:r>
        <w:rPr>
          <w:rFonts w:hint="eastAsia" w:ascii="Times New Roman" w:hAnsi="Times New Roman" w:cs="Times New Roman" w:eastAsiaTheme="minorEastAsia"/>
          <w:sz w:val="24"/>
        </w:rPr>
        <w:t xml:space="preserve"> (Taylor, 2023).</w:t>
      </w:r>
    </w:p>
    <w:p w14:paraId="2AA55B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D579CE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3.0 The Backlash of Greed: Classic Cases of Ethical Breaches in British Business</w:t>
      </w:r>
    </w:p>
    <w:p w14:paraId="452B547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A54071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Recent years have repeatedly demonstrated that short-term gains fueled by greed act like poison, ultimately exacting a heavy toll on businesses. The negative repercussions have permeated multiple sectors, including retail, finance, and manufacturing.</w:t>
      </w:r>
      <w:r>
        <w:rPr>
          <w:rFonts w:hint="eastAsia" w:ascii="Times New Roman" w:hAnsi="Times New Roman" w:cs="Times New Roman" w:eastAsiaTheme="minorEastAsia"/>
          <w:sz w:val="24"/>
        </w:rPr>
        <w:t xml:space="preserve"> (Smith, 2021).</w:t>
      </w:r>
    </w:p>
    <w:p w14:paraId="74A0B71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49E223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3.1 Retail Sector: Supply Chain Greed Shatters Foundations of Cooperation</w:t>
      </w:r>
    </w:p>
    <w:p w14:paraId="51926414">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816288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In 2024, Tesco demanded a 15% price reduction from 12 vegetable suppliers to maintain its “22% gross margin” target, threatening to terminate partnerships otherwise. Three small farms ceased operations as costs became unsustainable. While the remaining suppliers temporarily complied, they subsequently reduced the proportion of high-quality produce supplied to Tesco. This led to a 180% year-on-year surge in customer complaints about Tesco's vegetables. Following an investigation, the UK Food Standards Agency ruled Tesco had “abused its dominant market position,” imposing a £4.5 million fine. The British Retail Consortium (BRC) also removed Tesco from its “Ethical Company of the Year” list</w:t>
      </w:r>
      <w:r>
        <w:rPr>
          <w:rFonts w:hint="eastAsia" w:ascii="Times New Roman" w:hAnsi="Times New Roman" w:cs="Times New Roman" w:eastAsiaTheme="minorEastAsia"/>
          <w:sz w:val="24"/>
        </w:rPr>
        <w:t xml:space="preserve"> (British Retail </w:t>
      </w:r>
      <w:r>
        <w:rPr>
          <w:rFonts w:ascii="Times New Roman" w:hAnsi="Times New Roman" w:cs="Times New Roman" w:eastAsiaTheme="minorEastAsia"/>
          <w:sz w:val="24"/>
        </w:rPr>
        <w:t>Consortium</w:t>
      </w:r>
      <w:r>
        <w:rPr>
          <w:rFonts w:hint="eastAsia" w:ascii="Times New Roman" w:hAnsi="Times New Roman" w:cs="Times New Roman" w:eastAsiaTheme="minorEastAsia"/>
          <w:sz w:val="24"/>
        </w:rPr>
        <w:t xml:space="preserve">, 2024). </w:t>
      </w:r>
      <w:r>
        <w:rPr>
          <w:rFonts w:ascii="Times New Roman" w:hAnsi="Times New Roman" w:cs="Times New Roman" w:eastAsiaTheme="minorEastAsia"/>
          <w:sz w:val="24"/>
        </w:rPr>
        <w:t>More critically, in Q4 2024, Tesco's supplier attrition rate reached 31%, forcing it to import vegetables from continental Europe—ultimately increasing procurement costs by 8%. This “greed-driven price squeezing” backfired as costs spiraled upward.</w:t>
      </w:r>
      <w:r>
        <w:rPr>
          <w:rFonts w:hint="eastAsia" w:ascii="Times New Roman" w:hAnsi="Times New Roman" w:cs="Times New Roman" w:eastAsiaTheme="minorEastAsia"/>
          <w:sz w:val="24"/>
        </w:rPr>
        <w:t xml:space="preserve"> (Davis, 2023).</w:t>
      </w:r>
    </w:p>
    <w:p w14:paraId="051DDE6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5E8AAD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3.2 Financial Sector: Marketing Greed Triggers Regulatory Crackdown</w:t>
      </w:r>
    </w:p>
    <w:p w14:paraId="29EDF8A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94BE9E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In 2023, UK payday lender Wonga expanded its business by promoting “no collateral, instant approval” ads on social media while concealing the core detail of a 450% annual interest rate. Data revealed that 72% of its customers were low-income individuals, with 38% trapped in debt cycles due to repayment inability. Following FCA intervention, Wonga faced a £28 million fine and was ordered to refund £130 million in improper charges to customers. Ultimately, it filed for bankruptcy due to a broken capital chain</w:t>
      </w:r>
      <w:r>
        <w:rPr>
          <w:rFonts w:hint="eastAsia" w:ascii="Times New Roman" w:hAnsi="Times New Roman" w:cs="Times New Roman" w:eastAsiaTheme="minorEastAsia"/>
          <w:sz w:val="24"/>
        </w:rPr>
        <w:t xml:space="preserve"> (Wilson, 2022). </w:t>
      </w:r>
      <w:r>
        <w:rPr>
          <w:rFonts w:ascii="Times New Roman" w:hAnsi="Times New Roman" w:cs="Times New Roman" w:eastAsiaTheme="minorEastAsia"/>
          <w:sz w:val="24"/>
        </w:rPr>
        <w:t>FCA Director of Enforcement Sarah Pritchard stated at a hearing: “Wonga's greed led it to disregard customer rights. This ‘get-rich-quick’ model was doomed to fail.”</w:t>
      </w:r>
    </w:p>
    <w:p w14:paraId="27C1564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0596DD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3.3 Manufacturing Sector: Cost Greed Undermines Product Reputation</w:t>
      </w:r>
    </w:p>
    <w:p w14:paraId="51D7443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A60E8E4">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In 2025, UK automotive parts manufacturer GKN substituted high-strength alloy with substandard steel in engine bearing production to cut costs. Despite repeated warnings from internal quality control that this “could cause accelerated bearing wear,” management persisted with production citing “£12 million in cost savings.” </w:t>
      </w:r>
      <w:r>
        <w:rPr>
          <w:rFonts w:hint="eastAsia" w:ascii="Times New Roman" w:hAnsi="Times New Roman" w:cs="Times New Roman" w:eastAsiaTheme="minorEastAsia"/>
          <w:sz w:val="24"/>
        </w:rPr>
        <w:t xml:space="preserve">(Make UK, 2025). </w:t>
      </w:r>
      <w:r>
        <w:rPr>
          <w:rFonts w:ascii="Times New Roman" w:hAnsi="Times New Roman" w:cs="Times New Roman" w:eastAsiaTheme="minorEastAsia"/>
          <w:sz w:val="24"/>
        </w:rPr>
        <w:t>Ultimately, a vehicle model using these bearings faced complaints of “engine noise,” leading to a recall of 12,000 units. GKN consequently lost long-term orders worth £800 million, and its stock price plummeted by 40%. A report by Make UK highlighted that GKN's case eroded international trust in the UK automotive components sector—in Q1 2025, UK automotive parts exports declined by 12% year-on-year</w:t>
      </w:r>
      <w:r>
        <w:rPr>
          <w:rFonts w:hint="eastAsia" w:ascii="Times New Roman" w:hAnsi="Times New Roman" w:cs="Times New Roman" w:eastAsiaTheme="minorEastAsia"/>
          <w:sz w:val="24"/>
        </w:rPr>
        <w:t xml:space="preserve"> (Make UK, 2025).</w:t>
      </w:r>
    </w:p>
    <w:p w14:paraId="00B51C5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F0CD56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4.0 The Empowering Role of Ethics: The Path of Responsible British Enterprises </w:t>
      </w:r>
    </w:p>
    <w:p w14:paraId="6A62B54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7D284F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In stark contrast to “greed-driven” companies, a group of British enterprises have integrated ethics into their strategies. Far from being “ethically constrained,” they have forged unique competitive advantages, providing a model for the industry to emulate. </w:t>
      </w:r>
    </w:p>
    <w:p w14:paraId="12430B5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115B5E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4.1 British Airways: Sustainable Ethics Unlock New Profit Opportunities</w:t>
      </w:r>
      <w:r>
        <w:rPr>
          <w:rFonts w:ascii="Times New Roman" w:hAnsi="Times New Roman" w:cs="Times New Roman" w:eastAsiaTheme="minorEastAsia"/>
          <w:sz w:val="24"/>
        </w:rPr>
        <w:tab/>
      </w:r>
    </w:p>
    <w:p w14:paraId="28F067D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9CB6AE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In 2024, British Airways launched the “SAF Acceleration Program,” investing £200 million to partner with UK biofuel company Velocys in building a sustainable aviation fuel plant in northeast England.</w:t>
      </w:r>
      <w:r>
        <w:rPr>
          <w:rFonts w:hint="eastAsia" w:ascii="Times New Roman" w:hAnsi="Times New Roman" w:cs="Times New Roman" w:eastAsiaTheme="minorEastAsia"/>
          <w:sz w:val="24"/>
          <w:highlight w:val="none"/>
          <w:lang w:val="en-US" w:eastAsia="zh-CN"/>
        </w:rPr>
        <w:t xml:space="preserve"> (Velocys, 2024).</w:t>
      </w:r>
      <w:r>
        <w:rPr>
          <w:rFonts w:ascii="Times New Roman" w:hAnsi="Times New Roman" w:cs="Times New Roman" w:eastAsiaTheme="minorEastAsia"/>
          <w:sz w:val="24"/>
        </w:rPr>
        <w:t xml:space="preserve"> Expected to commence operations in 2026, the facility will meet 30% of the airline's domestic flight fuel demand</w:t>
      </w:r>
      <w:r>
        <w:rPr>
          <w:rFonts w:hint="eastAsia" w:ascii="Times New Roman" w:hAnsi="Times New Roman" w:cs="Times New Roman" w:eastAsiaTheme="minorEastAsia"/>
          <w:sz w:val="24"/>
        </w:rPr>
        <w:t xml:space="preserve"> (British Airways, 2024).</w:t>
      </w:r>
      <w:r>
        <w:rPr>
          <w:rFonts w:ascii="Times New Roman" w:hAnsi="Times New Roman" w:cs="Times New Roman" w:eastAsiaTheme="minorEastAsia"/>
          <w:sz w:val="24"/>
        </w:rPr>
        <w:t xml:space="preserve"> Simultaneously, BA introduced an optional carbon offset service, allowing passengers to voluntarily pay £10–£20 per ticket for carbon neutralization. Participation reached 45% in 2024, generating £12 million in additional revenue for the airline. More significantly, ethical practices have enhanced brand appeal: British Airways saw an 18% increase in business class bookings in 2024, with multiple multinational corporations designating it as their “preferred airline partner.” The UK government also provided £35 million in SAF production subsidies, further reducing operational costs. British Airways CEO Sean Doyle stated: “Sustainable ethics aren't a cost—they're our ‘foot in the door’ for attracting customers and securing policy support.”</w:t>
      </w:r>
      <w:r>
        <w:rPr>
          <w:rFonts w:hint="eastAsia" w:ascii="Times New Roman" w:hAnsi="Times New Roman" w:cs="Times New Roman" w:eastAsiaTheme="minorEastAsia"/>
          <w:sz w:val="24"/>
        </w:rPr>
        <w:t xml:space="preserve"> (British Airways, 2024).</w:t>
      </w:r>
    </w:p>
    <w:p w14:paraId="7BD21A8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650A6B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4.2 Barclays: Financial Ethics Rebuild Industry Trust </w:t>
      </w:r>
    </w:p>
    <w:p w14:paraId="1F1906D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E2719D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Addressing the financial sector's “trust crisis,” Barclays launched its “Green Ethics Wealth Management Program” in 2023: refusing to finance fossil fuel projects, establishing a £2 billion green credit fund to support SMEs' environmental transitions, and implementing “ethics assessments” for wealth advisors—with bonuses deducted for recommending high-risk, low-ethics products</w:t>
      </w:r>
      <w:r>
        <w:rPr>
          <w:rFonts w:hint="eastAsia" w:ascii="Times New Roman" w:hAnsi="Times New Roman" w:cs="Times New Roman" w:eastAsiaTheme="minorEastAsia"/>
          <w:sz w:val="24"/>
        </w:rPr>
        <w:t xml:space="preserve"> (Barclays Bank, 2023).</w:t>
      </w:r>
      <w:r>
        <w:rPr>
          <w:rFonts w:ascii="Times New Roman" w:hAnsi="Times New Roman" w:cs="Times New Roman" w:eastAsiaTheme="minorEastAsia"/>
          <w:sz w:val="24"/>
        </w:rPr>
        <w:t xml:space="preserve"> The results were significant: Barclays' green bond issuance reached £5.8 billion in 2024, a 42% year-on-year increase; retail customer satisfaction rose from 82% to 91%, far exceeding the industry average</w:t>
      </w:r>
      <w:r>
        <w:rPr>
          <w:rFonts w:hint="eastAsia" w:ascii="Times New Roman" w:hAnsi="Times New Roman" w:cs="Times New Roman" w:eastAsiaTheme="minorEastAsia"/>
          <w:sz w:val="24"/>
        </w:rPr>
        <w:t xml:space="preserve"> (Financial Times, 2024). </w:t>
      </w:r>
      <w:r>
        <w:rPr>
          <w:rFonts w:ascii="Times New Roman" w:hAnsi="Times New Roman" w:cs="Times New Roman" w:eastAsiaTheme="minorEastAsia"/>
          <w:sz w:val="24"/>
        </w:rPr>
        <w:t>In the Financial Times' 2024 Ethical Bank Ranking, Barclays surged to the top spot, becoming the first major UK bank to earn this distinction</w:t>
      </w:r>
      <w:r>
        <w:rPr>
          <w:rFonts w:hint="eastAsia" w:ascii="Times New Roman" w:hAnsi="Times New Roman" w:cs="Times New Roman" w:eastAsiaTheme="minorEastAsia"/>
          <w:sz w:val="24"/>
        </w:rPr>
        <w:t xml:space="preserve"> (Financial Times, 2024).</w:t>
      </w:r>
    </w:p>
    <w:p w14:paraId="5D17943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C9CE70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4.3 John Lewis: Employee Ethics Strengthen Team Foundations</w:t>
      </w:r>
    </w:p>
    <w:p w14:paraId="5A57DF7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824D60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As the UK's sole department store brand operating under an “employee partnership” model, John Lewis maintained its policy of distributing 50% of profits to staff in 2024—amidst a broader retail downturn—with per-employee dividends reaching £2,100. Concurrently, it expanded “ethical decision-making training” to help staff balance “customer needs” with “corporate interests” in service delivery</w:t>
      </w:r>
      <w:r>
        <w:rPr>
          <w:rFonts w:hint="eastAsia" w:ascii="Times New Roman" w:hAnsi="Times New Roman" w:cs="Times New Roman" w:eastAsiaTheme="minorEastAsia"/>
          <w:sz w:val="24"/>
        </w:rPr>
        <w:t xml:space="preserve"> (Taylor, 2023). </w:t>
      </w:r>
      <w:r>
        <w:rPr>
          <w:rFonts w:ascii="Times New Roman" w:hAnsi="Times New Roman" w:cs="Times New Roman" w:eastAsiaTheme="minorEastAsia"/>
          <w:sz w:val="24"/>
        </w:rPr>
        <w:t>This ethical approach yields dual rewards: employee turnover stands at just 3.8%, far below the industry average of 16%. During the 2024 Christmas shopping season, John Lewis achieved a 76% customer repeat purchase rate. By proactively recommending “high value-for-money rather than high-margin” products, employees earned customer trust. A 2024 study by Oxford University's Saïd Business School identified John Lewis's closed-loop model—“employee ethics-customer trust-performance growth”—as the “ethical benchmark model” for the UK retail sector</w:t>
      </w:r>
      <w:r>
        <w:rPr>
          <w:rFonts w:hint="eastAsia" w:ascii="Times New Roman" w:hAnsi="Times New Roman" w:cs="Times New Roman" w:eastAsiaTheme="minorEastAsia"/>
          <w:sz w:val="24"/>
        </w:rPr>
        <w:t xml:space="preserve"> (Oxford University Said Business School, 2024).</w:t>
      </w:r>
    </w:p>
    <w:p w14:paraId="3B9032A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3B7DDF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907AC1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AD546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867D3E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934DA3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AC4479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4B5D05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8D802C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602E19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98D713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C8D2E2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AC38F3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5EDD89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734A3F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7CF732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51EDA3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1E7177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1E38D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18506E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00A57E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D81EA9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CFF310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C6C8C1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B8589A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5F4E70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5.0 Conclusions and Recommendations</w:t>
      </w:r>
    </w:p>
    <w:p w14:paraId="3F4F924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AAC1B2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5.1 Conclusions</w:t>
      </w:r>
    </w:p>
    <w:p w14:paraId="679B04E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11717C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5.1.1 Greed is by no means a “corporate panacea”.</w:t>
      </w:r>
    </w:p>
    <w:p w14:paraId="2DF8510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British corporate cases demonstrate that unchecked greed leads to supply chain disruptions, regulatory penalties, and loss of brand trust. Short-term gains cannot offset long-term losses, as evidenced by the fates of Tesco and Wonga</w:t>
      </w:r>
      <w:r>
        <w:rPr>
          <w:rFonts w:hint="eastAsia" w:ascii="Times New Roman" w:hAnsi="Times New Roman" w:cs="Times New Roman" w:eastAsiaTheme="minorEastAsia"/>
          <w:sz w:val="24"/>
        </w:rPr>
        <w:t xml:space="preserve"> (Smith, 2021). </w:t>
      </w:r>
    </w:p>
    <w:p w14:paraId="2A48B58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26818C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bookmarkStart w:id="0" w:name="_Hlk213108705"/>
      <w:r>
        <w:rPr>
          <w:rFonts w:ascii="Times New Roman" w:hAnsi="Times New Roman" w:cs="Times New Roman" w:eastAsiaTheme="minorEastAsia"/>
          <w:sz w:val="24"/>
        </w:rPr>
        <w:t>5.1.2 Ethics constitutes a company's “long-term competitive advantage”.</w:t>
      </w:r>
    </w:p>
    <w:bookmarkEnd w:id="0"/>
    <w:p w14:paraId="2E8AD73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Practices at British Airways, Barclays, and others demonstrate that integrating ethics into supply chains, marketing, and employee management enhances customer appeal, secures policy support, reduces talent attrition, and achieves a “win-win” outcome for ethics and profits</w:t>
      </w:r>
      <w:r>
        <w:rPr>
          <w:rFonts w:hint="eastAsia" w:ascii="Times New Roman" w:hAnsi="Times New Roman" w:cs="Times New Roman" w:eastAsiaTheme="minorEastAsia"/>
          <w:sz w:val="24"/>
        </w:rPr>
        <w:t xml:space="preserve"> (Green, 2023). </w:t>
      </w:r>
    </w:p>
    <w:p w14:paraId="1F6E514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631393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5.1.3 Ethics and profit can be balanced</w:t>
      </w:r>
    </w:p>
    <w:p w14:paraId="096D72D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Combining the UK's tradition of the “spirit of contract” with the regulatory environment of the 2024 Corporate Ethics Act, companies can achieve sustainable development amid inflationary pressures through “moderate profit + responsible fulfillment.”</w:t>
      </w:r>
      <w:r>
        <w:rPr>
          <w:rFonts w:hint="eastAsia" w:ascii="Times New Roman" w:hAnsi="Times New Roman" w:cs="Times New Roman" w:eastAsiaTheme="minorEastAsia"/>
          <w:sz w:val="24"/>
        </w:rPr>
        <w:t xml:space="preserve"> (UK Corporate Ethics Act, 2024).</w:t>
      </w:r>
    </w:p>
    <w:p w14:paraId="46DC476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BAB057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 Recommendations</w:t>
      </w:r>
    </w:p>
    <w:p w14:paraId="3AFD8D0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C184DD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5.2.1 Corporate Level: Establish a “Three-Mechanism Ethical Embedding Framework”</w:t>
      </w:r>
    </w:p>
    <w:p w14:paraId="3B6EF41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115276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5.2.1.1 Decision-Making Mechanism</w:t>
      </w:r>
    </w:p>
    <w:p w14:paraId="7DC2A63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Form an ethics committee to conduct “multi-stakeholder impact assessments” (e.g., supplier, customer, employee effects) for major decisions, avoiding “profit-only” approaches. Reference John Lewis's “partnership decision-making model.”</w:t>
      </w:r>
      <w:r>
        <w:rPr>
          <w:rFonts w:hint="eastAsia" w:ascii="Times New Roman" w:hAnsi="Times New Roman" w:cs="Times New Roman" w:eastAsiaTheme="minorEastAsia"/>
          <w:sz w:val="24"/>
        </w:rPr>
        <w:t xml:space="preserve"> (Taylor, 2023).</w:t>
      </w:r>
    </w:p>
    <w:p w14:paraId="3427253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bookmarkStart w:id="1" w:name="_Hlk213108851"/>
      <w:r>
        <w:rPr>
          <w:rFonts w:ascii="Times New Roman" w:hAnsi="Times New Roman" w:cs="Times New Roman" w:eastAsiaTheme="minorEastAsia"/>
          <w:sz w:val="24"/>
        </w:rPr>
        <w:t xml:space="preserve">5.2.1.2 Operational Mechanism: Integrate ethical metrics into departmental evaluations. </w:t>
      </w:r>
    </w:p>
    <w:bookmarkEnd w:id="1"/>
    <w:p w14:paraId="2F6FF47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Examples include British Airways linking “Sustainable Aviation Fuel (SAF) usage rate” to executive bonuses, and Barclays adopting “green credit scale” as a Key Performance Indicator (KPI) for wealth management divisions.</w:t>
      </w:r>
    </w:p>
    <w:p w14:paraId="750304C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1E5763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5.2.1.3 Oversight Mechanism</w:t>
      </w:r>
    </w:p>
    <w:p w14:paraId="0FDBF874">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Introduce external ethical audits (e.g., by the UK's B Corp certification body), publish regular ethics reports, and subject operations to public scrutiny to prevent “internal self-assessments becoming mere formalities.”</w:t>
      </w:r>
    </w:p>
    <w:p w14:paraId="04D734D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F11CBA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5.2.2 Industry Level: Establish an “Ethics Sharing Platform”</w:t>
      </w:r>
    </w:p>
    <w:p w14:paraId="78BEB96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7DCA32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5.2.2.1 Led by the Confederation of British Industry (CBI), compile ethical practice cases from companies like British Airways and John Lewis into an “Industry Ethics Guide,” freely available to SMEs to reduce implementation costs.</w:t>
      </w:r>
    </w:p>
    <w:p w14:paraId="766BE2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3CE4F4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5.2.2.2 Establish the “UK Business Ethics Awards” to recognize responsible enterprises across sectors, amplifying ethical practices' industry influence and preventing “bad money driving out good.”</w:t>
      </w:r>
    </w:p>
    <w:p w14:paraId="3CC4EBA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99145B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5.3 Government Level: Optimizing “Ethical Regulation and Incentives”</w:t>
      </w:r>
    </w:p>
    <w:p w14:paraId="052CC52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194B8D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5.3.1 Strengthen oversight: Increase penalties for ethically non-compliant companies like Tesco and Wonga. Incorporate ethical violation records into corporate credit files, impacting government procurement eligibility and financing access.</w:t>
      </w:r>
      <w:r>
        <w:rPr>
          <w:rFonts w:hint="eastAsia" w:ascii="Times New Roman" w:hAnsi="Times New Roman" w:cs="Times New Roman" w:eastAsiaTheme="minorEastAsia"/>
          <w:sz w:val="24"/>
        </w:rPr>
        <w:t xml:space="preserve"> (Food Standards Agency, 2024; Wilson, 2022).</w:t>
      </w:r>
    </w:p>
    <w:p w14:paraId="618509F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7DC497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5.3.2 Enhance Incentives: Provide preferential treatment in taxation (e.g., green project tax breaks) and subsidies (e.g., Sustainable Aviation Fuel production subsidies) to ethically responsible companies like British Airways and Barclays, thereby reducing the cost of ethical practices.</w:t>
      </w:r>
      <w:r>
        <w:rPr>
          <w:rFonts w:hint="eastAsia" w:ascii="Times New Roman" w:hAnsi="Times New Roman" w:cs="Times New Roman" w:eastAsiaTheme="minorEastAsia"/>
          <w:sz w:val="24"/>
        </w:rPr>
        <w:t xml:space="preserve"> (HM Treasury, 2024; Department for Energy Security and Net Zero, 2024).</w:t>
      </w:r>
    </w:p>
    <w:p w14:paraId="68FAE99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CE028C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3ED444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7DFF1E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C204E3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4E23B1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1398D1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502C9B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2E231F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1BF5D3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D3CC90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504E12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32923C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24706F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99B2B0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41E321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FB9083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071266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1577D4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147C31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ED770C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E28D0E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4A25CEE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4089C2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9CC490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E8891B0">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rPr>
      </w:pPr>
      <w:r>
        <w:rPr>
          <w:rFonts w:hint="eastAsia" w:ascii="Times New Roman" w:hAnsi="Times New Roman" w:cs="Times New Roman" w:eastAsiaTheme="minorEastAsia"/>
          <w:sz w:val="24"/>
        </w:rPr>
        <w:t>6.0 Reference</w:t>
      </w:r>
    </w:p>
    <w:p w14:paraId="040B5C73">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highlight w:val="none"/>
        </w:rPr>
      </w:pPr>
      <w:r>
        <w:rPr>
          <w:rFonts w:hint="eastAsia" w:ascii="Times New Roman" w:hAnsi="Times New Roman" w:cs="Times New Roman" w:eastAsiaTheme="minorEastAsia"/>
          <w:sz w:val="24"/>
          <w:highlight w:val="none"/>
          <w:lang w:val="en-US" w:eastAsia="zh-CN"/>
        </w:rPr>
        <w:t xml:space="preserve">1. </w:t>
      </w:r>
      <w:r>
        <w:rPr>
          <w:rFonts w:hint="eastAsia" w:ascii="Times New Roman" w:hAnsi="Times New Roman" w:cs="Times New Roman" w:eastAsiaTheme="minorEastAsia"/>
          <w:sz w:val="24"/>
          <w:highlight w:val="none"/>
        </w:rPr>
        <w:t>Jones, R. (2021). Ethics and Contract Culture in British Business. Journal of Business Ethics, 174(2), 315-330.</w:t>
      </w:r>
    </w:p>
    <w:p w14:paraId="73EF6822">
      <w:pPr>
        <w:tabs>
          <w:tab w:val="center" w:pos="1779"/>
          <w:tab w:val="center" w:pos="3766"/>
          <w:tab w:val="center" w:pos="5859"/>
          <w:tab w:val="center" w:pos="7093"/>
          <w:tab w:val="center" w:pos="8283"/>
          <w:tab w:val="center" w:pos="9734"/>
        </w:tabs>
        <w:spacing w:after="3" w:line="480" w:lineRule="auto"/>
        <w:jc w:val="both"/>
        <w:rPr>
          <w:rFonts w:hint="eastAsia" w:ascii="Times New Roman" w:hAnsi="Times New Roman" w:cs="Times New Roman" w:eastAsiaTheme="minorEastAsia"/>
          <w:sz w:val="24"/>
        </w:rPr>
      </w:pPr>
    </w:p>
    <w:p w14:paraId="36C527D7">
      <w:pPr>
        <w:pStyle w:val="6"/>
        <w:numPr>
          <w:ilvl w:val="0"/>
          <w:numId w:val="0"/>
        </w:numPr>
        <w:tabs>
          <w:tab w:val="left" w:pos="413"/>
          <w:tab w:val="center" w:pos="1779"/>
          <w:tab w:val="center" w:pos="3766"/>
          <w:tab w:val="center" w:pos="5859"/>
          <w:tab w:val="center" w:pos="8283"/>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2. </w:t>
      </w:r>
      <w:r>
        <w:rPr>
          <w:rFonts w:ascii="Times New Roman" w:hAnsi="Times New Roman" w:cs="Times New Roman" w:eastAsiaTheme="minorEastAsia"/>
          <w:sz w:val="24"/>
        </w:rPr>
        <w:t>Mill,</w:t>
      </w:r>
      <w:r>
        <w:rPr>
          <w:rFonts w:hint="eastAsia" w:ascii="Times New Roman" w:hAnsi="Times New Roman" w:cs="Times New Roman" w:eastAsiaTheme="minorEastAsia"/>
          <w:sz w:val="24"/>
        </w:rPr>
        <w:t xml:space="preserve"> </w:t>
      </w:r>
      <w:r>
        <w:rPr>
          <w:rFonts w:ascii="Times New Roman" w:hAnsi="Times New Roman" w:cs="Times New Roman" w:eastAsiaTheme="minorEastAsia"/>
          <w:sz w:val="24"/>
        </w:rPr>
        <w:t xml:space="preserve">J. S. (2020). </w:t>
      </w:r>
      <w:r>
        <w:rPr>
          <w:rFonts w:ascii="Times New Roman" w:hAnsi="Times New Roman" w:cs="Times New Roman" w:eastAsiaTheme="minorEastAsia"/>
          <w:i/>
          <w:iCs/>
          <w:sz w:val="24"/>
        </w:rPr>
        <w:t>Utilitarianism</w:t>
      </w:r>
      <w:r>
        <w:rPr>
          <w:rFonts w:ascii="Times New Roman" w:hAnsi="Times New Roman" w:cs="Times New Roman" w:eastAsiaTheme="minorEastAsia"/>
          <w:sz w:val="24"/>
        </w:rPr>
        <w:t>. Oxford University Press.</w:t>
      </w:r>
    </w:p>
    <w:p w14:paraId="1849E67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https://global.oup.com/academic/product/utilitarianism-9780198751630</w:t>
      </w:r>
    </w:p>
    <w:p w14:paraId="661BB27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672FE71">
      <w:pPr>
        <w:pStyle w:val="6"/>
        <w:numPr>
          <w:ilvl w:val="0"/>
          <w:numId w:val="0"/>
        </w:num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3. </w:t>
      </w:r>
      <w:r>
        <w:rPr>
          <w:rFonts w:ascii="Times New Roman" w:hAnsi="Times New Roman" w:cs="Times New Roman" w:eastAsiaTheme="minorEastAsia"/>
          <w:sz w:val="24"/>
        </w:rPr>
        <w:t xml:space="preserve">Kant, I. (2021). </w:t>
      </w:r>
      <w:r>
        <w:rPr>
          <w:rFonts w:ascii="Times New Roman" w:hAnsi="Times New Roman" w:cs="Times New Roman" w:eastAsiaTheme="minorEastAsia"/>
          <w:i/>
          <w:iCs/>
          <w:sz w:val="24"/>
        </w:rPr>
        <w:t>Groundwork of the Metaphysics of Morals.</w:t>
      </w:r>
      <w:r>
        <w:rPr>
          <w:rFonts w:ascii="Times New Roman" w:hAnsi="Times New Roman" w:cs="Times New Roman" w:eastAsiaTheme="minorEastAsia"/>
          <w:sz w:val="24"/>
        </w:rPr>
        <w:t xml:space="preserve"> Cambridge University Press. </w:t>
      </w:r>
    </w:p>
    <w:p w14:paraId="4F9B028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https://www.cambridge.org/core/books/groundwork-of-the-metaphysics-of-morals/</w:t>
      </w:r>
    </w:p>
    <w:p w14:paraId="370C83FE">
      <w:pPr>
        <w:pStyle w:val="6"/>
        <w:numPr>
          <w:ilvl w:val="0"/>
          <w:numId w:val="0"/>
        </w:numPr>
        <w:tabs>
          <w:tab w:val="center" w:pos="1779"/>
          <w:tab w:val="center" w:pos="3766"/>
          <w:tab w:val="center" w:pos="5859"/>
          <w:tab w:val="center" w:pos="7093"/>
          <w:tab w:val="center" w:pos="8283"/>
          <w:tab w:val="center" w:pos="9734"/>
        </w:tabs>
        <w:spacing w:after="3" w:line="480" w:lineRule="auto"/>
        <w:ind w:leftChars="0"/>
        <w:jc w:val="both"/>
        <w:rPr>
          <w:rFonts w:ascii="Times New Roman" w:hAnsi="Times New Roman" w:cs="Times New Roman" w:eastAsiaTheme="minorEastAsia"/>
          <w:sz w:val="24"/>
        </w:rPr>
      </w:pPr>
    </w:p>
    <w:p w14:paraId="6CFFBE9A">
      <w:pPr>
        <w:pStyle w:val="6"/>
        <w:numPr>
          <w:ilvl w:val="0"/>
          <w:numId w:val="0"/>
        </w:num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4. </w:t>
      </w:r>
      <w:r>
        <w:rPr>
          <w:rFonts w:ascii="Times New Roman" w:hAnsi="Times New Roman" w:cs="Times New Roman" w:eastAsiaTheme="minorEastAsia"/>
          <w:sz w:val="24"/>
        </w:rPr>
        <w:t xml:space="preserve">Clark, J. (2023). Ethics and SME Performance in UK: Evidence from Retail Sector. </w:t>
      </w:r>
      <w:r>
        <w:rPr>
          <w:rFonts w:ascii="Times New Roman" w:hAnsi="Times New Roman" w:cs="Times New Roman" w:eastAsiaTheme="minorEastAsia"/>
          <w:i/>
          <w:iCs/>
          <w:sz w:val="24"/>
        </w:rPr>
        <w:t>British Journal of Business Ethics,</w:t>
      </w:r>
      <w:r>
        <w:rPr>
          <w:rFonts w:ascii="Times New Roman" w:hAnsi="Times New Roman" w:cs="Times New Roman" w:eastAsiaTheme="minorEastAsia"/>
          <w:sz w:val="24"/>
        </w:rPr>
        <w:t xml:space="preserve"> 10(2), 56-72. </w:t>
      </w:r>
    </w:p>
    <w:p w14:paraId="7A606AA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https://www.bjbe.ac.uk/journal</w:t>
      </w:r>
    </w:p>
    <w:p w14:paraId="5FE9B39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E3F7986">
      <w:pPr>
        <w:pStyle w:val="6"/>
        <w:numPr>
          <w:ilvl w:val="0"/>
          <w:numId w:val="0"/>
        </w:num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5. </w:t>
      </w:r>
      <w:r>
        <w:rPr>
          <w:rFonts w:hint="eastAsia" w:ascii="Times New Roman" w:hAnsi="Times New Roman" w:cs="Times New Roman" w:eastAsiaTheme="minorEastAsia"/>
          <w:sz w:val="24"/>
        </w:rPr>
        <w:t>Financial Conduct Authority</w:t>
      </w:r>
      <w:r>
        <w:rPr>
          <w:rFonts w:ascii="Times New Roman" w:hAnsi="Times New Roman" w:cs="Times New Roman" w:eastAsiaTheme="minorEastAsia"/>
          <w:sz w:val="24"/>
        </w:rPr>
        <w:t xml:space="preserve">. (2024). </w:t>
      </w:r>
      <w:r>
        <w:rPr>
          <w:rFonts w:ascii="Times New Roman" w:hAnsi="Times New Roman" w:cs="Times New Roman" w:eastAsiaTheme="minorEastAsia"/>
          <w:i/>
          <w:iCs/>
          <w:sz w:val="24"/>
        </w:rPr>
        <w:t>Financial Ethics Guidance 2024</w:t>
      </w:r>
      <w:r>
        <w:rPr>
          <w:rFonts w:ascii="Times New Roman" w:hAnsi="Times New Roman" w:cs="Times New Roman" w:eastAsiaTheme="minorEastAsia"/>
          <w:sz w:val="24"/>
        </w:rPr>
        <w:t xml:space="preserve">. </w:t>
      </w:r>
    </w:p>
    <w:p w14:paraId="239C4137">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https://www.fca.org.uk/</w:t>
      </w:r>
    </w:p>
    <w:p w14:paraId="3C7E90C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E7E0914">
      <w:pPr>
        <w:numPr>
          <w:ilvl w:val="0"/>
          <w:numId w:val="2"/>
        </w:numPr>
        <w:tabs>
          <w:tab w:val="center" w:pos="1779"/>
          <w:tab w:val="center" w:pos="3766"/>
          <w:tab w:val="center" w:pos="5859"/>
          <w:tab w:val="center" w:pos="7093"/>
          <w:tab w:val="center" w:pos="8283"/>
          <w:tab w:val="center" w:pos="9734"/>
        </w:tabs>
        <w:spacing w:after="3" w:line="480" w:lineRule="auto"/>
        <w:ind w:leftChars="0"/>
        <w:jc w:val="both"/>
        <w:rPr>
          <w:rFonts w:hint="default" w:ascii="Times New Roman" w:hAnsi="Times New Roman" w:cs="Times New Roman" w:eastAsiaTheme="minorEastAsia"/>
          <w:sz w:val="24"/>
          <w:highlight w:val="none"/>
          <w:lang w:val="en-US" w:eastAsia="zh-CN"/>
        </w:rPr>
      </w:pPr>
      <w:r>
        <w:rPr>
          <w:rFonts w:hint="default" w:ascii="Times New Roman" w:hAnsi="Times New Roman" w:cs="Times New Roman" w:eastAsiaTheme="minorEastAsia"/>
          <w:sz w:val="24"/>
          <w:highlight w:val="none"/>
          <w:lang w:val="en-US" w:eastAsia="zh-CN"/>
        </w:rPr>
        <w:t xml:space="preserve">Velocys. (2024). </w:t>
      </w:r>
      <w:r>
        <w:rPr>
          <w:rFonts w:hint="default" w:ascii="Times New Roman" w:hAnsi="Times New Roman" w:cs="Times New Roman" w:eastAsiaTheme="minorEastAsia"/>
          <w:i/>
          <w:iCs/>
          <w:sz w:val="24"/>
          <w:highlight w:val="none"/>
          <w:lang w:val="en-US" w:eastAsia="zh-CN"/>
        </w:rPr>
        <w:t>Sustainable Aviation Fuel (SAF) Partnership with British Airways.</w:t>
      </w:r>
      <w:r>
        <w:rPr>
          <w:rFonts w:hint="default" w:ascii="Times New Roman" w:hAnsi="Times New Roman" w:cs="Times New Roman" w:eastAsiaTheme="minorEastAsia"/>
          <w:sz w:val="24"/>
          <w:highlight w:val="none"/>
          <w:lang w:val="en-US" w:eastAsia="zh-CN"/>
        </w:rPr>
        <w:t xml:space="preserve"> </w:t>
      </w:r>
    </w:p>
    <w:p w14:paraId="0AE9BC76">
      <w:pPr>
        <w:numPr>
          <w:ilvl w:val="0"/>
          <w:numId w:val="0"/>
        </w:numPr>
        <w:tabs>
          <w:tab w:val="center" w:pos="1779"/>
          <w:tab w:val="center" w:pos="3766"/>
          <w:tab w:val="center" w:pos="5859"/>
          <w:tab w:val="center" w:pos="7093"/>
          <w:tab w:val="center" w:pos="8283"/>
          <w:tab w:val="center" w:pos="9734"/>
        </w:tabs>
        <w:spacing w:after="3" w:line="480" w:lineRule="auto"/>
        <w:ind w:leftChars="0"/>
        <w:jc w:val="both"/>
        <w:rPr>
          <w:rFonts w:hint="default" w:ascii="Times New Roman" w:hAnsi="Times New Roman" w:cs="Times New Roman" w:eastAsiaTheme="minorEastAsia"/>
          <w:sz w:val="24"/>
          <w:highlight w:val="none"/>
          <w:lang w:val="en-US" w:eastAsia="zh-CN"/>
        </w:rPr>
      </w:pPr>
      <w:r>
        <w:rPr>
          <w:rFonts w:hint="eastAsia" w:ascii="Times New Roman" w:hAnsi="Times New Roman" w:cs="Times New Roman" w:eastAsiaTheme="minorEastAsia"/>
          <w:sz w:val="24"/>
          <w:highlight w:val="none"/>
          <w:lang w:val="en-US" w:eastAsia="zh-CN"/>
        </w:rPr>
        <w:t xml:space="preserve">At: </w:t>
      </w:r>
      <w:r>
        <w:rPr>
          <w:rFonts w:hint="default" w:ascii="Times New Roman" w:hAnsi="Times New Roman" w:cs="Times New Roman" w:eastAsiaTheme="minorEastAsia"/>
          <w:sz w:val="24"/>
          <w:highlight w:val="none"/>
          <w:lang w:val="en-US" w:eastAsia="zh-CN"/>
        </w:rPr>
        <w:t>https://www.velocys.com/projects/british-airways-saf-accelerator-program/</w:t>
      </w:r>
    </w:p>
    <w:p w14:paraId="4A50BC95">
      <w:pPr>
        <w:numPr>
          <w:ilvl w:val="0"/>
          <w:numId w:val="0"/>
        </w:numPr>
        <w:tabs>
          <w:tab w:val="center" w:pos="1779"/>
          <w:tab w:val="center" w:pos="3766"/>
          <w:tab w:val="center" w:pos="5859"/>
          <w:tab w:val="center" w:pos="7093"/>
          <w:tab w:val="center" w:pos="8283"/>
          <w:tab w:val="center" w:pos="9734"/>
        </w:tabs>
        <w:spacing w:after="3" w:line="480" w:lineRule="auto"/>
        <w:ind w:leftChars="0"/>
        <w:jc w:val="both"/>
        <w:rPr>
          <w:rFonts w:hint="default" w:ascii="Times New Roman" w:hAnsi="Times New Roman" w:cs="Times New Roman" w:eastAsiaTheme="minorEastAsia"/>
          <w:sz w:val="24"/>
          <w:lang w:val="en-US" w:eastAsia="zh-CN"/>
        </w:rPr>
      </w:pPr>
    </w:p>
    <w:p w14:paraId="2F95A96A">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i/>
          <w:iCs/>
          <w:sz w:val="24"/>
        </w:rPr>
      </w:pPr>
      <w:r>
        <w:rPr>
          <w:rFonts w:hint="eastAsia" w:ascii="Times New Roman" w:hAnsi="Times New Roman" w:cs="Times New Roman" w:eastAsiaTheme="minorEastAsia"/>
          <w:sz w:val="24"/>
        </w:rPr>
        <w:t>British Airways.</w:t>
      </w:r>
      <w:r>
        <w:rPr>
          <w:rFonts w:ascii="Times New Roman" w:hAnsi="Times New Roman" w:cs="Times New Roman" w:eastAsiaTheme="minorEastAsia"/>
          <w:sz w:val="24"/>
        </w:rPr>
        <w:t xml:space="preserve"> (2024). </w:t>
      </w:r>
      <w:r>
        <w:rPr>
          <w:rFonts w:ascii="Times New Roman" w:hAnsi="Times New Roman" w:cs="Times New Roman" w:eastAsiaTheme="minorEastAsia"/>
          <w:i/>
          <w:iCs/>
          <w:sz w:val="24"/>
        </w:rPr>
        <w:t>SAF Acceleration Plan Annual Report.</w:t>
      </w:r>
    </w:p>
    <w:p w14:paraId="5E850C2A">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 </w:t>
      </w: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https://www.britishairways.com/</w:t>
      </w:r>
    </w:p>
    <w:p w14:paraId="31309A5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590A1B7B">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British Retail Consortium</w:t>
      </w:r>
      <w:r>
        <w:rPr>
          <w:rFonts w:ascii="Times New Roman" w:hAnsi="Times New Roman" w:cs="Times New Roman" w:eastAsiaTheme="minorEastAsia"/>
          <w:sz w:val="24"/>
        </w:rPr>
        <w:t xml:space="preserve">. (2024). </w:t>
      </w:r>
      <w:r>
        <w:rPr>
          <w:rFonts w:ascii="Times New Roman" w:hAnsi="Times New Roman" w:cs="Times New Roman" w:eastAsiaTheme="minorEastAsia"/>
          <w:i/>
          <w:iCs/>
          <w:sz w:val="24"/>
        </w:rPr>
        <w:t>UK Retail Ethics Ranking 2024.</w:t>
      </w:r>
      <w:r>
        <w:rPr>
          <w:rFonts w:ascii="Times New Roman" w:hAnsi="Times New Roman" w:cs="Times New Roman" w:eastAsiaTheme="minorEastAsia"/>
          <w:sz w:val="24"/>
        </w:rPr>
        <w:t xml:space="preserve"> </w:t>
      </w:r>
    </w:p>
    <w:p w14:paraId="309E222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https://www.brc.org.uk/</w:t>
      </w:r>
    </w:p>
    <w:p w14:paraId="3D91C3A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10D5A33">
      <w:pPr>
        <w:pStyle w:val="6"/>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Smith, A. (2021). The Cost of Greed: Corporate Failures in UK. </w:t>
      </w:r>
      <w:r>
        <w:rPr>
          <w:rFonts w:ascii="Times New Roman" w:hAnsi="Times New Roman" w:cs="Times New Roman" w:eastAsiaTheme="minorEastAsia"/>
          <w:i/>
          <w:iCs/>
          <w:sz w:val="24"/>
        </w:rPr>
        <w:t>Journal of Business Ethics,</w:t>
      </w:r>
      <w:r>
        <w:rPr>
          <w:rFonts w:ascii="Times New Roman" w:hAnsi="Times New Roman" w:cs="Times New Roman" w:eastAsiaTheme="minorEastAsia"/>
          <w:sz w:val="24"/>
        </w:rPr>
        <w:t xml:space="preserve"> 175(3), 567-582.</w:t>
      </w:r>
    </w:p>
    <w:p w14:paraId="1C0BDD6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 </w:t>
      </w: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https://link.springer.com/article/10.1007/s10551-020-04600-5</w:t>
      </w:r>
    </w:p>
    <w:p w14:paraId="0E3A467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7DCABC9">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Food Standards Agency. </w:t>
      </w:r>
      <w:r>
        <w:rPr>
          <w:rFonts w:ascii="Times New Roman" w:hAnsi="Times New Roman" w:cs="Times New Roman" w:eastAsiaTheme="minorEastAsia"/>
          <w:sz w:val="24"/>
        </w:rPr>
        <w:t xml:space="preserve">(2024). </w:t>
      </w:r>
      <w:r>
        <w:rPr>
          <w:rFonts w:ascii="Times New Roman" w:hAnsi="Times New Roman" w:cs="Times New Roman" w:eastAsiaTheme="minorEastAsia"/>
          <w:i/>
          <w:iCs/>
          <w:sz w:val="24"/>
        </w:rPr>
        <w:t>Tesco Supply Chain Investigation Report.</w:t>
      </w:r>
      <w:r>
        <w:rPr>
          <w:rFonts w:ascii="Times New Roman" w:hAnsi="Times New Roman" w:cs="Times New Roman" w:eastAsiaTheme="minorEastAsia"/>
          <w:sz w:val="24"/>
        </w:rPr>
        <w:t xml:space="preserve"> </w:t>
      </w:r>
    </w:p>
    <w:p w14:paraId="6CADE89E">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https://www.food.gov.uk/</w:t>
      </w:r>
    </w:p>
    <w:p w14:paraId="66C1E7B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297E529">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Oxford University Said Business School.</w:t>
      </w:r>
      <w:r>
        <w:rPr>
          <w:rFonts w:ascii="Times New Roman" w:hAnsi="Times New Roman" w:cs="Times New Roman" w:eastAsiaTheme="minorEastAsia"/>
          <w:sz w:val="24"/>
        </w:rPr>
        <w:t xml:space="preserve"> (2024). </w:t>
      </w:r>
      <w:r>
        <w:rPr>
          <w:rFonts w:ascii="Times New Roman" w:hAnsi="Times New Roman" w:cs="Times New Roman" w:eastAsiaTheme="minorEastAsia"/>
          <w:i/>
          <w:iCs/>
          <w:sz w:val="24"/>
        </w:rPr>
        <w:t>John Lewis Partnership Model Study.</w:t>
      </w:r>
      <w:r>
        <w:rPr>
          <w:rFonts w:ascii="Times New Roman" w:hAnsi="Times New Roman" w:cs="Times New Roman" w:eastAsiaTheme="minorEastAsia"/>
          <w:sz w:val="24"/>
        </w:rPr>
        <w:t xml:space="preserve"> </w:t>
      </w:r>
    </w:p>
    <w:p w14:paraId="37E41EB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https://www.sbs.ox.ac.uk/</w:t>
      </w:r>
    </w:p>
    <w:p w14:paraId="457A4EC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668245BB">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Barclays Bank </w:t>
      </w:r>
      <w:r>
        <w:rPr>
          <w:rFonts w:ascii="Times New Roman" w:hAnsi="Times New Roman" w:cs="Times New Roman" w:eastAsiaTheme="minorEastAsia"/>
          <w:sz w:val="24"/>
        </w:rPr>
        <w:t xml:space="preserve">(2023). </w:t>
      </w:r>
      <w:r>
        <w:rPr>
          <w:rFonts w:ascii="Times New Roman" w:hAnsi="Times New Roman" w:cs="Times New Roman" w:eastAsiaTheme="minorEastAsia"/>
          <w:i/>
          <w:iCs/>
          <w:sz w:val="24"/>
        </w:rPr>
        <w:t>Green Ethical Banking White Paper.</w:t>
      </w:r>
      <w:r>
        <w:rPr>
          <w:rFonts w:ascii="Times New Roman" w:hAnsi="Times New Roman" w:cs="Times New Roman" w:eastAsiaTheme="minorEastAsia"/>
          <w:sz w:val="24"/>
        </w:rPr>
        <w:t xml:space="preserve"> </w:t>
      </w:r>
    </w:p>
    <w:p w14:paraId="002C35E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fldChar w:fldCharType="begin"/>
      </w:r>
      <w:r>
        <w:instrText xml:space="preserve"> HYPERLINK "https://www.barclays.co.uk/" </w:instrText>
      </w:r>
      <w:r>
        <w:fldChar w:fldCharType="separate"/>
      </w:r>
      <w:r>
        <w:rPr>
          <w:rStyle w:val="5"/>
          <w:rFonts w:ascii="Times New Roman" w:hAnsi="Times New Roman" w:cs="Times New Roman" w:eastAsiaTheme="minorEastAsia"/>
          <w:sz w:val="24"/>
        </w:rPr>
        <w:t>https://www.barclays.co.uk/</w:t>
      </w:r>
      <w:r>
        <w:rPr>
          <w:rStyle w:val="5"/>
          <w:rFonts w:ascii="Times New Roman" w:hAnsi="Times New Roman" w:cs="Times New Roman" w:eastAsiaTheme="minorEastAsia"/>
          <w:sz w:val="24"/>
        </w:rPr>
        <w:fldChar w:fldCharType="end"/>
      </w:r>
    </w:p>
    <w:p w14:paraId="12C2DC2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097600B">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Brown, R. (2022). Supply Chain Ethics in UK Retail. </w:t>
      </w:r>
      <w:r>
        <w:rPr>
          <w:rFonts w:ascii="Times New Roman" w:hAnsi="Times New Roman" w:cs="Times New Roman" w:eastAsiaTheme="minorEastAsia"/>
          <w:i/>
          <w:iCs/>
          <w:sz w:val="24"/>
        </w:rPr>
        <w:t xml:space="preserve">Journal of Retailing and Consumer Services, </w:t>
      </w:r>
      <w:r>
        <w:rPr>
          <w:rFonts w:ascii="Times New Roman" w:hAnsi="Times New Roman" w:cs="Times New Roman" w:eastAsiaTheme="minorEastAsia"/>
          <w:sz w:val="24"/>
        </w:rPr>
        <w:t xml:space="preserve">68, 103125. </w:t>
      </w:r>
    </w:p>
    <w:p w14:paraId="5AF5ADF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https://www.sciencedirect.com/journal/journal-of-retailing-and-consumer-services</w:t>
      </w:r>
    </w:p>
    <w:p w14:paraId="1E1F0B7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327DF22">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Make UK. (2025</w:t>
      </w:r>
      <w:r>
        <w:rPr>
          <w:rFonts w:hint="eastAsia" w:ascii="Times New Roman" w:hAnsi="Times New Roman" w:cs="Times New Roman" w:eastAsiaTheme="minorEastAsia"/>
          <w:sz w:val="24"/>
        </w:rPr>
        <w:t>)</w:t>
      </w:r>
      <w:r>
        <w:rPr>
          <w:rFonts w:ascii="Times New Roman" w:hAnsi="Times New Roman" w:cs="Times New Roman" w:eastAsiaTheme="minorEastAsia"/>
          <w:sz w:val="24"/>
        </w:rPr>
        <w:t>.</w:t>
      </w:r>
      <w:r>
        <w:rPr>
          <w:rFonts w:ascii="Times New Roman" w:hAnsi="Times New Roman" w:cs="Times New Roman" w:eastAsiaTheme="minorEastAsia"/>
          <w:i/>
          <w:iCs/>
          <w:sz w:val="24"/>
        </w:rPr>
        <w:t xml:space="preserve"> UK Automotive Components Export Report Q1 2025.</w:t>
      </w:r>
      <w:r>
        <w:rPr>
          <w:rFonts w:ascii="Times New Roman" w:hAnsi="Times New Roman" w:cs="Times New Roman" w:eastAsiaTheme="minorEastAsia"/>
          <w:sz w:val="24"/>
        </w:rPr>
        <w:t xml:space="preserve"> </w:t>
      </w:r>
    </w:p>
    <w:p w14:paraId="2806781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https://www.makeuk.org/</w:t>
      </w:r>
    </w:p>
    <w:p w14:paraId="1B39F13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E895F9E">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Green, E. (2023). </w:t>
      </w:r>
      <w:r>
        <w:rPr>
          <w:rFonts w:ascii="Times New Roman" w:hAnsi="Times New Roman" w:cs="Times New Roman" w:eastAsiaTheme="minorEastAsia"/>
          <w:i/>
          <w:iCs/>
          <w:sz w:val="24"/>
        </w:rPr>
        <w:t>Sustainable Aviation Fuel: Policy Support in UK. Energy Policy,</w:t>
      </w:r>
      <w:r>
        <w:rPr>
          <w:rFonts w:ascii="Times New Roman" w:hAnsi="Times New Roman" w:cs="Times New Roman" w:eastAsiaTheme="minorEastAsia"/>
          <w:sz w:val="24"/>
        </w:rPr>
        <w:t xml:space="preserve"> 178, 120156. </w:t>
      </w:r>
    </w:p>
    <w:p w14:paraId="18E84D56">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https://www.sciencedirect.com/journal/energy-policy</w:t>
      </w:r>
    </w:p>
    <w:p w14:paraId="22EB9B1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DE710A5">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HM Treasury. (2024). </w:t>
      </w:r>
      <w:r>
        <w:rPr>
          <w:rFonts w:ascii="Times New Roman" w:hAnsi="Times New Roman" w:cs="Times New Roman" w:eastAsiaTheme="minorEastAsia"/>
          <w:i/>
          <w:iCs/>
          <w:sz w:val="24"/>
        </w:rPr>
        <w:t>Green Finance Incentive Scheme 2024.</w:t>
      </w:r>
      <w:r>
        <w:rPr>
          <w:rFonts w:ascii="Times New Roman" w:hAnsi="Times New Roman" w:cs="Times New Roman" w:eastAsiaTheme="minorEastAsia"/>
          <w:sz w:val="24"/>
        </w:rPr>
        <w:t xml:space="preserve"> </w:t>
      </w:r>
    </w:p>
    <w:p w14:paraId="43AA43D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https://www.gov.uk/government/organisations/hm-treasury</w:t>
      </w:r>
    </w:p>
    <w:p w14:paraId="75FA1BB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ADF185A">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Wilson, T. (2022). </w:t>
      </w:r>
      <w:r>
        <w:rPr>
          <w:rFonts w:ascii="Times New Roman" w:hAnsi="Times New Roman" w:cs="Times New Roman" w:eastAsiaTheme="minorEastAsia"/>
          <w:i/>
          <w:iCs/>
          <w:sz w:val="24"/>
        </w:rPr>
        <w:t>Payday Loan Ethics and Regulatory Compliance. Journal of Financial Regulation,</w:t>
      </w:r>
      <w:r>
        <w:rPr>
          <w:rFonts w:ascii="Times New Roman" w:hAnsi="Times New Roman" w:cs="Times New Roman" w:eastAsiaTheme="minorEastAsia"/>
          <w:sz w:val="24"/>
        </w:rPr>
        <w:t xml:space="preserve"> 8(3), 412-430. </w:t>
      </w:r>
    </w:p>
    <w:p w14:paraId="15F37384">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fldChar w:fldCharType="begin"/>
      </w:r>
      <w:r>
        <w:instrText xml:space="preserve"> HYPERLINK "https://academic.oup.com" </w:instrText>
      </w:r>
      <w:r>
        <w:fldChar w:fldCharType="separate"/>
      </w:r>
      <w:r>
        <w:rPr>
          <w:rStyle w:val="5"/>
          <w:rFonts w:ascii="Times New Roman" w:hAnsi="Times New Roman" w:cs="Times New Roman" w:eastAsiaTheme="minorEastAsia"/>
          <w:sz w:val="24"/>
        </w:rPr>
        <w:t>https://academic.oup.com</w:t>
      </w:r>
      <w:r>
        <w:rPr>
          <w:rStyle w:val="5"/>
          <w:rFonts w:ascii="Times New Roman" w:hAnsi="Times New Roman" w:cs="Times New Roman" w:eastAsiaTheme="minorEastAsia"/>
          <w:sz w:val="24"/>
        </w:rPr>
        <w:fldChar w:fldCharType="end"/>
      </w:r>
    </w:p>
    <w:p w14:paraId="44F9365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1B9B4CC">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International Aviation Group</w:t>
      </w:r>
      <w:r>
        <w:rPr>
          <w:rFonts w:ascii="Times New Roman" w:hAnsi="Times New Roman" w:cs="Times New Roman" w:eastAsiaTheme="minorEastAsia"/>
          <w:sz w:val="24"/>
        </w:rPr>
        <w:t xml:space="preserve">. (2024). </w:t>
      </w:r>
      <w:r>
        <w:rPr>
          <w:rFonts w:ascii="Times New Roman" w:hAnsi="Times New Roman" w:cs="Times New Roman" w:eastAsiaTheme="minorEastAsia"/>
          <w:i/>
          <w:iCs/>
          <w:sz w:val="24"/>
        </w:rPr>
        <w:t>Net Zero Strategy Progress Report.</w:t>
      </w:r>
      <w:r>
        <w:rPr>
          <w:rFonts w:ascii="Times New Roman" w:hAnsi="Times New Roman" w:cs="Times New Roman" w:eastAsiaTheme="minorEastAsia"/>
          <w:sz w:val="24"/>
        </w:rPr>
        <w:t xml:space="preserve"> </w:t>
      </w:r>
    </w:p>
    <w:p w14:paraId="1EDF170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https://www.iag.com/</w:t>
      </w:r>
    </w:p>
    <w:p w14:paraId="6F82514F">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716F235E">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Taylor, S. (2023). </w:t>
      </w:r>
      <w:r>
        <w:rPr>
          <w:rFonts w:ascii="Times New Roman" w:hAnsi="Times New Roman" w:cs="Times New Roman" w:eastAsiaTheme="minorEastAsia"/>
          <w:i/>
          <w:iCs/>
          <w:sz w:val="24"/>
        </w:rPr>
        <w:t xml:space="preserve">Employee Partnership and Firm Performance: Evidence from John Lewis. </w:t>
      </w:r>
      <w:r>
        <w:rPr>
          <w:rFonts w:ascii="Times New Roman" w:hAnsi="Times New Roman" w:cs="Times New Roman" w:eastAsiaTheme="minorEastAsia"/>
          <w:sz w:val="24"/>
        </w:rPr>
        <w:t xml:space="preserve">Human Resource Management Journal, 33(2), 345-362. </w:t>
      </w:r>
    </w:p>
    <w:p w14:paraId="75763CA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https://onlinelibrary.wiley.com/journal/17488583</w:t>
      </w:r>
    </w:p>
    <w:p w14:paraId="5400F349">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1A08150">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UK Department of Energy. </w:t>
      </w:r>
      <w:r>
        <w:rPr>
          <w:rFonts w:ascii="Times New Roman" w:hAnsi="Times New Roman" w:cs="Times New Roman" w:eastAsiaTheme="minorEastAsia"/>
          <w:sz w:val="24"/>
        </w:rPr>
        <w:t xml:space="preserve">(2024). </w:t>
      </w:r>
      <w:r>
        <w:rPr>
          <w:rFonts w:ascii="Times New Roman" w:hAnsi="Times New Roman" w:cs="Times New Roman" w:eastAsiaTheme="minorEastAsia"/>
          <w:i/>
          <w:iCs/>
          <w:sz w:val="24"/>
        </w:rPr>
        <w:t>SAF Subsidy Policy Interpretation 2024.</w:t>
      </w:r>
      <w:r>
        <w:rPr>
          <w:rFonts w:ascii="Times New Roman" w:hAnsi="Times New Roman" w:cs="Times New Roman" w:eastAsiaTheme="minorEastAsia"/>
          <w:sz w:val="24"/>
        </w:rPr>
        <w:t xml:space="preserve"> </w:t>
      </w:r>
    </w:p>
    <w:p w14:paraId="438208A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https://www.gov.uk/government/organisations/department-for-energy-security-and-net-zero</w:t>
      </w:r>
    </w:p>
    <w:p w14:paraId="6E935718">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23D1C96B">
      <w:pPr>
        <w:numPr>
          <w:ilvl w:val="0"/>
          <w:numId w:val="2"/>
        </w:numPr>
        <w:tabs>
          <w:tab w:val="center" w:pos="1779"/>
          <w:tab w:val="center" w:pos="3766"/>
          <w:tab w:val="center" w:pos="5859"/>
          <w:tab w:val="center" w:pos="7093"/>
          <w:tab w:val="center" w:pos="8283"/>
          <w:tab w:val="center" w:pos="9734"/>
        </w:tabs>
        <w:spacing w:after="3" w:line="480" w:lineRule="auto"/>
        <w:ind w:left="0" w:leftChars="0" w:firstLine="0" w:firstLineChars="0"/>
        <w:jc w:val="both"/>
        <w:rPr>
          <w:rFonts w:ascii="Times New Roman" w:hAnsi="Times New Roman" w:cs="Times New Roman" w:eastAsiaTheme="minorEastAsia"/>
          <w:sz w:val="24"/>
        </w:rPr>
      </w:pPr>
      <w:r>
        <w:rPr>
          <w:rFonts w:ascii="Times New Roman" w:hAnsi="Times New Roman" w:cs="Times New Roman" w:eastAsiaTheme="minorEastAsia"/>
          <w:sz w:val="24"/>
        </w:rPr>
        <w:t xml:space="preserve">Davis, K. (2023). </w:t>
      </w:r>
      <w:r>
        <w:rPr>
          <w:rFonts w:ascii="Times New Roman" w:hAnsi="Times New Roman" w:cs="Times New Roman" w:eastAsiaTheme="minorEastAsia"/>
          <w:i/>
          <w:iCs/>
          <w:sz w:val="24"/>
        </w:rPr>
        <w:t xml:space="preserve">Corporate Greed and Supply Chain Risk in UK. </w:t>
      </w:r>
      <w:r>
        <w:rPr>
          <w:rFonts w:ascii="Times New Roman" w:hAnsi="Times New Roman" w:cs="Times New Roman" w:eastAsiaTheme="minorEastAsia"/>
          <w:sz w:val="24"/>
        </w:rPr>
        <w:t xml:space="preserve">Supply Chain Management: An International Journal, 28(4), 321-338. </w:t>
      </w:r>
    </w:p>
    <w:p w14:paraId="25811ECB">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https://www.emerald.com/insight/publication/issn/1359-8546</w:t>
      </w:r>
    </w:p>
    <w:p w14:paraId="65871AF3">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05B67B42">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ascii="Times New Roman" w:hAnsi="Times New Roman" w:cs="Times New Roman" w:eastAsiaTheme="minorEastAsia"/>
          <w:sz w:val="24"/>
        </w:rPr>
        <w:t>2</w:t>
      </w:r>
      <w:r>
        <w:rPr>
          <w:rFonts w:hint="eastAsia" w:ascii="Times New Roman" w:hAnsi="Times New Roman" w:cs="Times New Roman" w:eastAsiaTheme="minorEastAsia"/>
          <w:sz w:val="24"/>
          <w:lang w:val="en-US" w:eastAsia="zh-CN"/>
        </w:rPr>
        <w:t>2.</w:t>
      </w:r>
      <w:r>
        <w:rPr>
          <w:rFonts w:ascii="Times New Roman" w:hAnsi="Times New Roman" w:cs="Times New Roman" w:eastAsiaTheme="minorEastAsia"/>
          <w:sz w:val="24"/>
        </w:rPr>
        <w:t xml:space="preserve"> </w:t>
      </w:r>
      <w:r>
        <w:rPr>
          <w:rFonts w:hint="eastAsia" w:ascii="Times New Roman" w:hAnsi="Times New Roman" w:cs="Times New Roman" w:eastAsiaTheme="minorEastAsia"/>
          <w:sz w:val="24"/>
        </w:rPr>
        <w:t>Financial T</w:t>
      </w:r>
      <w:r>
        <w:rPr>
          <w:rFonts w:ascii="Times New Roman" w:hAnsi="Times New Roman" w:cs="Times New Roman" w:eastAsiaTheme="minorEastAsia"/>
          <w:sz w:val="24"/>
        </w:rPr>
        <w:t>i</w:t>
      </w:r>
      <w:r>
        <w:rPr>
          <w:rFonts w:hint="eastAsia" w:ascii="Times New Roman" w:hAnsi="Times New Roman" w:cs="Times New Roman" w:eastAsiaTheme="minorEastAsia"/>
          <w:sz w:val="24"/>
        </w:rPr>
        <w:t xml:space="preserve">mes of the UK. </w:t>
      </w:r>
      <w:r>
        <w:rPr>
          <w:rFonts w:ascii="Times New Roman" w:hAnsi="Times New Roman" w:cs="Times New Roman" w:eastAsiaTheme="minorEastAsia"/>
          <w:sz w:val="24"/>
        </w:rPr>
        <w:t xml:space="preserve">(2024). </w:t>
      </w:r>
      <w:r>
        <w:rPr>
          <w:rFonts w:ascii="Times New Roman" w:hAnsi="Times New Roman" w:cs="Times New Roman" w:eastAsiaTheme="minorEastAsia"/>
          <w:i/>
          <w:iCs/>
          <w:sz w:val="24"/>
        </w:rPr>
        <w:t>UK Ethical Bank Ranking 2024.</w:t>
      </w:r>
      <w:r>
        <w:rPr>
          <w:rFonts w:ascii="Times New Roman" w:hAnsi="Times New Roman" w:cs="Times New Roman" w:eastAsiaTheme="minorEastAsia"/>
          <w:sz w:val="24"/>
        </w:rPr>
        <w:t xml:space="preserve"> </w:t>
      </w:r>
    </w:p>
    <w:p w14:paraId="0B21C7E1">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https://www.ft.com/</w:t>
      </w:r>
    </w:p>
    <w:p w14:paraId="29FDAFEC">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39F2CC7C">
      <w:pPr>
        <w:numPr>
          <w:ilvl w:val="0"/>
          <w:numId w:val="0"/>
        </w:numPr>
        <w:tabs>
          <w:tab w:val="center" w:pos="1779"/>
          <w:tab w:val="center" w:pos="3766"/>
          <w:tab w:val="center" w:pos="5859"/>
          <w:tab w:val="center" w:pos="7093"/>
          <w:tab w:val="center" w:pos="8283"/>
          <w:tab w:val="center" w:pos="9734"/>
        </w:tabs>
        <w:spacing w:after="3" w:line="480" w:lineRule="auto"/>
        <w:ind w:leftChars="0"/>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23. </w:t>
      </w:r>
      <w:r>
        <w:rPr>
          <w:rFonts w:ascii="Times New Roman" w:hAnsi="Times New Roman" w:cs="Times New Roman" w:eastAsiaTheme="minorEastAsia"/>
          <w:sz w:val="24"/>
        </w:rPr>
        <w:t xml:space="preserve">Clark, J. (2021). </w:t>
      </w:r>
      <w:r>
        <w:rPr>
          <w:rFonts w:ascii="Times New Roman" w:hAnsi="Times New Roman" w:cs="Times New Roman" w:eastAsiaTheme="minorEastAsia"/>
          <w:i/>
          <w:iCs/>
          <w:sz w:val="24"/>
        </w:rPr>
        <w:t xml:space="preserve">Virtue Ethics in Modern British Business. </w:t>
      </w:r>
      <w:r>
        <w:rPr>
          <w:rFonts w:ascii="Times New Roman" w:hAnsi="Times New Roman" w:cs="Times New Roman" w:eastAsiaTheme="minorEastAsia"/>
          <w:sz w:val="24"/>
        </w:rPr>
        <w:t xml:space="preserve">Business Ethics Quarterly, 31(4), 610-635. </w:t>
      </w:r>
    </w:p>
    <w:p w14:paraId="0452B885">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At：</w:t>
      </w:r>
      <w:r>
        <w:rPr>
          <w:rFonts w:ascii="Times New Roman" w:hAnsi="Times New Roman" w:cs="Times New Roman" w:eastAsiaTheme="minorEastAsia"/>
          <w:sz w:val="24"/>
        </w:rPr>
        <w:t>https://www.cambridge.org/core/journals/business-ethics-quarterly</w:t>
      </w:r>
    </w:p>
    <w:p w14:paraId="747D7A3D">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p>
    <w:p w14:paraId="129F49FD">
      <w:pPr>
        <w:numPr>
          <w:ilvl w:val="0"/>
          <w:numId w:val="0"/>
        </w:numPr>
        <w:tabs>
          <w:tab w:val="center" w:pos="1779"/>
          <w:tab w:val="center" w:pos="3766"/>
          <w:tab w:val="center" w:pos="5859"/>
          <w:tab w:val="center" w:pos="7093"/>
          <w:tab w:val="center" w:pos="8283"/>
          <w:tab w:val="center" w:pos="9734"/>
        </w:tabs>
        <w:spacing w:after="3" w:line="480" w:lineRule="auto"/>
        <w:ind w:leftChars="0"/>
        <w:jc w:val="both"/>
        <w:rPr>
          <w:rFonts w:ascii="Times New Roman" w:hAnsi="Times New Roman" w:cs="Times New Roman" w:eastAsiaTheme="minorEastAsia"/>
          <w:sz w:val="24"/>
        </w:rPr>
      </w:pPr>
      <w:r>
        <w:rPr>
          <w:rFonts w:hint="eastAsia" w:ascii="Times New Roman" w:hAnsi="Times New Roman" w:cs="Times New Roman" w:eastAsiaTheme="minorEastAsia"/>
          <w:sz w:val="24"/>
          <w:lang w:val="en-US" w:eastAsia="zh-CN"/>
        </w:rPr>
        <w:t xml:space="preserve">24. </w:t>
      </w:r>
      <w:r>
        <w:rPr>
          <w:rFonts w:hint="eastAsia" w:ascii="Times New Roman" w:hAnsi="Times New Roman" w:cs="Times New Roman" w:eastAsiaTheme="minorEastAsia"/>
          <w:sz w:val="24"/>
        </w:rPr>
        <w:t>The UK Business Ethics Act (Revised Edition 2024)</w:t>
      </w:r>
      <w:r>
        <w:rPr>
          <w:rFonts w:ascii="Times New Roman" w:hAnsi="Times New Roman" w:cs="Times New Roman" w:eastAsiaTheme="minorEastAsia"/>
          <w:sz w:val="24"/>
        </w:rPr>
        <w:t xml:space="preserve">. </w:t>
      </w:r>
    </w:p>
    <w:p w14:paraId="598AB020">
      <w:pPr>
        <w:tabs>
          <w:tab w:val="center" w:pos="1779"/>
          <w:tab w:val="center" w:pos="3766"/>
          <w:tab w:val="center" w:pos="5859"/>
          <w:tab w:val="center" w:pos="7093"/>
          <w:tab w:val="center" w:pos="8283"/>
          <w:tab w:val="center" w:pos="9734"/>
        </w:tabs>
        <w:spacing w:after="3" w:line="480" w:lineRule="auto"/>
        <w:jc w:val="both"/>
        <w:rPr>
          <w:rFonts w:ascii="Times New Roman" w:hAnsi="Times New Roman" w:cs="Times New Roman" w:eastAsiaTheme="minorEastAsia"/>
          <w:sz w:val="24"/>
        </w:rPr>
      </w:pPr>
      <w:r>
        <w:rPr>
          <w:rFonts w:hint="eastAsia" w:ascii="Times New Roman" w:hAnsi="Times New Roman" w:cs="Times New Roman" w:eastAsiaTheme="minorEastAsia"/>
          <w:sz w:val="24"/>
        </w:rPr>
        <w:t xml:space="preserve">At: </w:t>
      </w:r>
      <w:r>
        <w:rPr>
          <w:rFonts w:ascii="Times New Roman" w:hAnsi="Times New Roman" w:cs="Times New Roman" w:eastAsiaTheme="minorEastAsia"/>
          <w:sz w:val="24"/>
        </w:rPr>
        <w:t>https://www.legislation.gov.uk/</w:t>
      </w:r>
    </w:p>
    <w:p w14:paraId="4B3D1F3E"/>
    <w:sectPr>
      <w:footerReference r:id="rId7" w:type="first"/>
      <w:footerReference r:id="rId5" w:type="default"/>
      <w:footerReference r:id="rId6" w:type="even"/>
      <w:pgSz w:w="11900" w:h="16840"/>
      <w:pgMar w:top="707" w:right="609" w:bottom="916" w:left="720" w:header="720" w:footer="636"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mbria Math">
    <w:panose1 w:val="02040503050406030204"/>
    <w:charset w:val="00"/>
    <w:family w:val="auto"/>
    <w:pitch w:val="variable"/>
    <w:sig w:usb0="E00006FF" w:usb1="420024FF" w:usb2="02000000" w:usb3="00000000" w:csb0="2000019F" w:csb1="00000000"/>
  </w:font>
  <w:font w:name="等线">
    <w:panose1 w:val="02010600030101010101"/>
    <w:charset w:val="86"/>
    <w:family w:val="auto"/>
    <w:pitch w:val="default"/>
    <w:sig w:usb0="A00002BF" w:usb1="38CF7CFA" w:usb2="00000016" w:usb3="00000000" w:csb0="0004000F" w:csb1="00000000"/>
  </w:font>
  <w:font w:name="Segoe UI Symbol">
    <w:panose1 w:val="020B0502040204020203"/>
    <w:charset w:val="00"/>
    <w:family w:val="auto"/>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BD9292">
    <w:pPr>
      <w:spacing w:after="0"/>
      <w:ind w:right="111"/>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xml:space="preserve"> NUMPAGES   \* MERGEFORMAT </w:instrText>
    </w:r>
    <w:r>
      <w:fldChar w:fldCharType="separate"/>
    </w:r>
    <w:r>
      <w:rPr>
        <w:rFonts w:ascii="Times New Roman" w:hAnsi="Times New Roman" w:eastAsia="Times New Roman" w:cs="Times New Roman"/>
        <w:b/>
        <w:sz w:val="20"/>
      </w:rPr>
      <w:t>8</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684B52F">
    <w:pPr>
      <w:spacing w:after="0"/>
      <w:ind w:right="111"/>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xml:space="preserve"> NUMPAGES   \* MERGEFORMAT </w:instrText>
    </w:r>
    <w:r>
      <w:fldChar w:fldCharType="separate"/>
    </w:r>
    <w:r>
      <w:rPr>
        <w:rFonts w:ascii="Times New Roman" w:hAnsi="Times New Roman" w:eastAsia="Times New Roman" w:cs="Times New Roman"/>
        <w:b/>
        <w:sz w:val="20"/>
      </w:rPr>
      <w:t>8</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0F49968">
    <w:pPr>
      <w:spacing w:after="0"/>
      <w:ind w:right="111"/>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xml:space="preserve"> NUMPAGES   \* MERGEFORMAT </w:instrText>
    </w:r>
    <w:r>
      <w:fldChar w:fldCharType="separate"/>
    </w:r>
    <w:r>
      <w:rPr>
        <w:rFonts w:ascii="Times New Roman" w:hAnsi="Times New Roman" w:eastAsia="Times New Roman" w:cs="Times New Roman"/>
        <w:b/>
        <w:sz w:val="20"/>
      </w:rPr>
      <w:t>8</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2C7E818"/>
    <w:multiLevelType w:val="multilevel"/>
    <w:tmpl w:val="C2C7E818"/>
    <w:lvl w:ilvl="0" w:tentative="0">
      <w:start w:val="1"/>
      <w:numFmt w:val="bullet"/>
      <w:lvlText w:val="•"/>
      <w:lvlJc w:val="left"/>
      <w:pPr>
        <w:pBdr>
          <w:top w:val="none" w:color="auto" w:sz="0" w:space="0"/>
          <w:left w:val="none" w:color="auto" w:sz="0" w:space="0"/>
          <w:bottom w:val="none" w:color="auto" w:sz="0" w:space="0"/>
          <w:right w:val="none" w:color="auto" w:sz="0" w:space="0"/>
        </w:pBdr>
        <w:ind w:left="720" w:firstLine="0"/>
        <w:textAlignment w:val="baseline"/>
      </w:pPr>
      <w:rPr>
        <w:rFonts w:ascii="Arial" w:hAnsi="Arial" w:eastAsia="Arial" w:cs="Arial"/>
        <w:b w:val="0"/>
        <w:i w:val="0"/>
        <w:strike w:val="0"/>
        <w:dstrike w:val="0"/>
        <w:color w:val="000000"/>
        <w:sz w:val="22"/>
        <w:szCs w:val="22"/>
        <w:u w:val="none" w:color="000000"/>
      </w:rPr>
    </w:lvl>
    <w:lvl w:ilvl="1" w:tentative="0">
      <w:start w:val="1"/>
      <w:numFmt w:val="bullet"/>
      <w:lvlText w:val="o"/>
      <w:lvlJc w:val="left"/>
      <w:pPr>
        <w:pBdr>
          <w:top w:val="none" w:color="auto" w:sz="0" w:space="0"/>
          <w:left w:val="none" w:color="auto" w:sz="0" w:space="0"/>
          <w:bottom w:val="none" w:color="auto" w:sz="0" w:space="0"/>
          <w:right w:val="none" w:color="auto" w:sz="0" w:space="0"/>
        </w:pBdr>
        <w:ind w:left="1525" w:firstLine="0"/>
        <w:textAlignment w:val="baseline"/>
      </w:pPr>
      <w:rPr>
        <w:rFonts w:ascii="Segoe UI Symbol" w:hAnsi="Segoe UI Symbol" w:eastAsia="Segoe UI Symbol" w:cs="Segoe UI Symbol"/>
        <w:b w:val="0"/>
        <w:i w:val="0"/>
        <w:strike w:val="0"/>
        <w:dstrike w:val="0"/>
        <w:color w:val="000000"/>
        <w:sz w:val="22"/>
        <w:szCs w:val="22"/>
        <w:u w:val="none" w:color="000000"/>
      </w:rPr>
    </w:lvl>
    <w:lvl w:ilvl="2" w:tentative="0">
      <w:start w:val="1"/>
      <w:numFmt w:val="bullet"/>
      <w:lvlText w:val="▪"/>
      <w:lvlJc w:val="left"/>
      <w:pPr>
        <w:pBdr>
          <w:top w:val="none" w:color="auto" w:sz="0" w:space="0"/>
          <w:left w:val="none" w:color="auto" w:sz="0" w:space="0"/>
          <w:bottom w:val="none" w:color="auto" w:sz="0" w:space="0"/>
          <w:right w:val="none" w:color="auto" w:sz="0" w:space="0"/>
        </w:pBdr>
        <w:ind w:left="2245" w:firstLine="0"/>
        <w:textAlignment w:val="baseline"/>
      </w:pPr>
      <w:rPr>
        <w:rFonts w:ascii="Segoe UI Symbol" w:hAnsi="Segoe UI Symbol" w:eastAsia="Segoe UI Symbol" w:cs="Segoe UI Symbol"/>
        <w:b w:val="0"/>
        <w:i w:val="0"/>
        <w:strike w:val="0"/>
        <w:dstrike w:val="0"/>
        <w:color w:val="000000"/>
        <w:sz w:val="22"/>
        <w:szCs w:val="22"/>
        <w:u w:val="none" w:color="000000"/>
      </w:rPr>
    </w:lvl>
    <w:lvl w:ilvl="3" w:tentative="0">
      <w:start w:val="1"/>
      <w:numFmt w:val="bullet"/>
      <w:lvlText w:val="•"/>
      <w:lvlJc w:val="left"/>
      <w:pPr>
        <w:pBdr>
          <w:top w:val="none" w:color="auto" w:sz="0" w:space="0"/>
          <w:left w:val="none" w:color="auto" w:sz="0" w:space="0"/>
          <w:bottom w:val="none" w:color="auto" w:sz="0" w:space="0"/>
          <w:right w:val="none" w:color="auto" w:sz="0" w:space="0"/>
        </w:pBdr>
        <w:ind w:left="2965" w:firstLine="0"/>
        <w:textAlignment w:val="baseline"/>
      </w:pPr>
      <w:rPr>
        <w:rFonts w:ascii="Arial" w:hAnsi="Arial" w:eastAsia="Arial" w:cs="Arial"/>
        <w:b w:val="0"/>
        <w:i w:val="0"/>
        <w:strike w:val="0"/>
        <w:dstrike w:val="0"/>
        <w:color w:val="000000"/>
        <w:sz w:val="22"/>
        <w:szCs w:val="22"/>
        <w:u w:val="none" w:color="000000"/>
      </w:rPr>
    </w:lvl>
    <w:lvl w:ilvl="4" w:tentative="0">
      <w:start w:val="1"/>
      <w:numFmt w:val="bullet"/>
      <w:lvlText w:val="o"/>
      <w:lvlJc w:val="left"/>
      <w:pPr>
        <w:pBdr>
          <w:top w:val="none" w:color="auto" w:sz="0" w:space="0"/>
          <w:left w:val="none" w:color="auto" w:sz="0" w:space="0"/>
          <w:bottom w:val="none" w:color="auto" w:sz="0" w:space="0"/>
          <w:right w:val="none" w:color="auto" w:sz="0" w:space="0"/>
        </w:pBdr>
        <w:ind w:left="3685" w:firstLine="0"/>
        <w:textAlignment w:val="baseline"/>
      </w:pPr>
      <w:rPr>
        <w:rFonts w:ascii="Segoe UI Symbol" w:hAnsi="Segoe UI Symbol" w:eastAsia="Segoe UI Symbol" w:cs="Segoe UI Symbol"/>
        <w:b w:val="0"/>
        <w:i w:val="0"/>
        <w:strike w:val="0"/>
        <w:dstrike w:val="0"/>
        <w:color w:val="000000"/>
        <w:sz w:val="22"/>
        <w:szCs w:val="22"/>
        <w:u w:val="none" w:color="000000"/>
      </w:rPr>
    </w:lvl>
    <w:lvl w:ilvl="5" w:tentative="0">
      <w:start w:val="1"/>
      <w:numFmt w:val="bullet"/>
      <w:lvlText w:val="▪"/>
      <w:lvlJc w:val="left"/>
      <w:pPr>
        <w:pBdr>
          <w:top w:val="none" w:color="auto" w:sz="0" w:space="0"/>
          <w:left w:val="none" w:color="auto" w:sz="0" w:space="0"/>
          <w:bottom w:val="none" w:color="auto" w:sz="0" w:space="0"/>
          <w:right w:val="none" w:color="auto" w:sz="0" w:space="0"/>
        </w:pBdr>
        <w:ind w:left="4405" w:firstLine="0"/>
        <w:textAlignment w:val="baseline"/>
      </w:pPr>
      <w:rPr>
        <w:rFonts w:ascii="Segoe UI Symbol" w:hAnsi="Segoe UI Symbol" w:eastAsia="Segoe UI Symbol" w:cs="Segoe UI Symbol"/>
        <w:b w:val="0"/>
        <w:i w:val="0"/>
        <w:strike w:val="0"/>
        <w:dstrike w:val="0"/>
        <w:color w:val="000000"/>
        <w:sz w:val="22"/>
        <w:szCs w:val="22"/>
        <w:u w:val="none" w:color="000000"/>
      </w:rPr>
    </w:lvl>
    <w:lvl w:ilvl="6" w:tentative="0">
      <w:start w:val="1"/>
      <w:numFmt w:val="bullet"/>
      <w:lvlText w:val="•"/>
      <w:lvlJc w:val="left"/>
      <w:pPr>
        <w:pBdr>
          <w:top w:val="none" w:color="auto" w:sz="0" w:space="0"/>
          <w:left w:val="none" w:color="auto" w:sz="0" w:space="0"/>
          <w:bottom w:val="none" w:color="auto" w:sz="0" w:space="0"/>
          <w:right w:val="none" w:color="auto" w:sz="0" w:space="0"/>
        </w:pBdr>
        <w:ind w:left="5125" w:firstLine="0"/>
        <w:textAlignment w:val="baseline"/>
      </w:pPr>
      <w:rPr>
        <w:rFonts w:ascii="Arial" w:hAnsi="Arial" w:eastAsia="Arial" w:cs="Arial"/>
        <w:b w:val="0"/>
        <w:i w:val="0"/>
        <w:strike w:val="0"/>
        <w:dstrike w:val="0"/>
        <w:color w:val="000000"/>
        <w:sz w:val="22"/>
        <w:szCs w:val="22"/>
        <w:u w:val="none" w:color="000000"/>
      </w:rPr>
    </w:lvl>
    <w:lvl w:ilvl="7" w:tentative="0">
      <w:start w:val="1"/>
      <w:numFmt w:val="bullet"/>
      <w:lvlText w:val="o"/>
      <w:lvlJc w:val="left"/>
      <w:pPr>
        <w:pBdr>
          <w:top w:val="none" w:color="auto" w:sz="0" w:space="0"/>
          <w:left w:val="none" w:color="auto" w:sz="0" w:space="0"/>
          <w:bottom w:val="none" w:color="auto" w:sz="0" w:space="0"/>
          <w:right w:val="none" w:color="auto" w:sz="0" w:space="0"/>
        </w:pBdr>
        <w:ind w:left="5845" w:firstLine="0"/>
        <w:textAlignment w:val="baseline"/>
      </w:pPr>
      <w:rPr>
        <w:rFonts w:ascii="Segoe UI Symbol" w:hAnsi="Segoe UI Symbol" w:eastAsia="Segoe UI Symbol" w:cs="Segoe UI Symbol"/>
        <w:b w:val="0"/>
        <w:i w:val="0"/>
        <w:strike w:val="0"/>
        <w:dstrike w:val="0"/>
        <w:color w:val="000000"/>
        <w:sz w:val="22"/>
        <w:szCs w:val="22"/>
        <w:u w:val="none" w:color="000000"/>
      </w:rPr>
    </w:lvl>
    <w:lvl w:ilvl="8" w:tentative="0">
      <w:start w:val="1"/>
      <w:numFmt w:val="bullet"/>
      <w:lvlText w:val="▪"/>
      <w:lvlJc w:val="left"/>
      <w:pPr>
        <w:pBdr>
          <w:top w:val="none" w:color="auto" w:sz="0" w:space="0"/>
          <w:left w:val="none" w:color="auto" w:sz="0" w:space="0"/>
          <w:bottom w:val="none" w:color="auto" w:sz="0" w:space="0"/>
          <w:right w:val="none" w:color="auto" w:sz="0" w:space="0"/>
        </w:pBdr>
        <w:ind w:left="6565" w:firstLine="0"/>
        <w:textAlignment w:val="baseline"/>
      </w:pPr>
      <w:rPr>
        <w:rFonts w:ascii="Segoe UI Symbol" w:hAnsi="Segoe UI Symbol" w:eastAsia="Segoe UI Symbol" w:cs="Segoe UI Symbol"/>
        <w:b w:val="0"/>
        <w:i w:val="0"/>
        <w:strike w:val="0"/>
        <w:dstrike w:val="0"/>
        <w:color w:val="000000"/>
        <w:sz w:val="22"/>
        <w:szCs w:val="22"/>
        <w:u w:val="none" w:color="000000"/>
      </w:rPr>
    </w:lvl>
  </w:abstractNum>
  <w:abstractNum w:abstractNumId="1">
    <w:nsid w:val="314178A0"/>
    <w:multiLevelType w:val="singleLevel"/>
    <w:tmpl w:val="314178A0"/>
    <w:lvl w:ilvl="0" w:tentative="0">
      <w:start w:val="6"/>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2F5407"/>
    <w:rsid w:val="18052E77"/>
    <w:rsid w:val="722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等线" w:hAnsi="等线" w:eastAsia="等线" w:cs="等线"/>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Calibri"/>
      <w:color w:val="000000"/>
      <w:kern w:val="2"/>
      <w:sz w:val="22"/>
      <w:szCs w:val="24"/>
      <w:lang w:val="en-US" w:eastAsia="zh-CN" w:bidi="ar-SA"/>
      <w14:ligatures w14:val="standardContextual"/>
    </w:rPr>
  </w:style>
  <w:style w:type="character" w:default="1" w:styleId="4">
    <w:name w:val="Default Paragraph Font"/>
    <w:semiHidden/>
    <w:uiPriority w:val="0"/>
  </w:style>
  <w:style w:type="table" w:default="1" w:styleId="2">
    <w:name w:val="Normal Table"/>
    <w:semiHidden/>
    <w:qFormat/>
    <w:uiPriority w:val="0"/>
    <w:pPr>
      <w:keepNext w:val="0"/>
      <w:keepLines w:val="0"/>
      <w:widowControl/>
      <w:suppressLineNumbers w:val="0"/>
      <w:spacing w:before="0" w:beforeAutospacing="0" w:after="160" w:afterAutospacing="0" w:line="276" w:lineRule="auto"/>
      <w:ind w:left="0" w:right="0"/>
    </w:pPr>
    <w:rPr>
      <w:rFonts w:hint="eastAsia" w:ascii="等线" w:hAnsi="等线" w:eastAsia="等线" w:cs="等线"/>
      <w:kern w:val="2"/>
      <w:sz w:val="22"/>
      <w:szCs w:val="24"/>
    </w:rPr>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unhideWhenUsed/>
    <w:qFormat/>
    <w:uiPriority w:val="99"/>
    <w:rPr>
      <w:color w:val="0026E5" w:themeColor="hyperlink"/>
      <w:u w:val="single"/>
      <w14:textFill>
        <w14:solidFill>
          <w14:schemeClr w14:val="hlink"/>
        </w14:solidFill>
      </w14:textFill>
    </w:rPr>
  </w:style>
  <w:style w:type="paragraph" w:styleId="6">
    <w:name w:val="List Paragraph"/>
    <w:basedOn w:val="1"/>
    <w:qFormat/>
    <w:uiPriority w:val="34"/>
    <w:pPr>
      <w:ind w:firstLine="420" w:firstLineChars="200"/>
    </w:pPr>
  </w:style>
  <w:style w:type="table" w:customStyle="1" w:styleId="7">
    <w:name w:val="TableGrid"/>
    <w:basedOn w:val="2"/>
    <w:uiPriority w:val="0"/>
    <w:pPr>
      <w:keepNext w:val="0"/>
      <w:keepLines w:val="0"/>
      <w:widowControl/>
      <w:suppressLineNumbers w:val="0"/>
      <w:spacing w:before="0" w:beforeAutospacing="0" w:after="0" w:afterAutospacing="0"/>
      <w:ind w:left="0" w:right="0"/>
    </w:pPr>
    <w:rPr>
      <w:rFonts w:hint="eastAsia" w:ascii="等线" w:hAnsi="等线" w:eastAsia="等线" w:cs="等线"/>
      <w:kern w:val="2"/>
      <w:sz w:val="22"/>
      <w:szCs w:val="24"/>
    </w:r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20</TotalTime>
  <ScaleCrop>false</ScaleCrop>
  <LinksUpToDate>false</LinksUpToDate>
  <CharactersWithSpaces>0</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2025-11-19T17:35:00Z</dcterms:created>
  <dc:creator>沐言小朋友</dc:creator>
  <cp:lastModifiedBy>沐言小朋友</cp:lastModifiedBy>
  <dcterms:modified xsi:type="dcterms:W3CDTF">2025-11-19T17:58:04Z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2052-12.1.0.23542</vt:lpwstr>
  </property>
  <property fmtid="{D5CDD505-2E9C-101B-9397-08002B2CF9AE}" pid="3" name="ICV">
    <vt:lpwstr>7CF22157A40A4B3A909D555CDE328372_11</vt:lpwstr>
  </property>
  <property fmtid="{D5CDD505-2E9C-101B-9397-08002B2CF9AE}" pid="4" name="KSOTemplateDocerSaveRecord">
    <vt:lpwstr>eyJoZGlkIjoiMTVjZDMyZTNiNmRiYWY2MzFiMmFhMzgyYzU1YjcyMzUiLCJ1c2VySWQiOiIxMTU5MzgwNTA2In0=</vt:lpwstr>
  </property>
</Properties>
</file>