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EBA52C" w14:textId="4268B70F" w:rsidR="004B768A" w:rsidRDefault="004B768A" w:rsidP="004B768A">
      <w:pPr>
        <w:spacing w:line="480" w:lineRule="auto"/>
        <w:rPr>
          <w:rFonts w:ascii="Arial" w:hAnsi="Arial" w:cs="Arial"/>
          <w:sz w:val="22"/>
          <w:szCs w:val="22"/>
        </w:rPr>
      </w:pPr>
      <w:r>
        <w:rPr>
          <w:rFonts w:ascii="Arial" w:hAnsi="Arial" w:cs="Arial"/>
          <w:sz w:val="22"/>
          <w:szCs w:val="22"/>
        </w:rPr>
        <w:t xml:space="preserve">Student name: </w:t>
      </w:r>
      <w:proofErr w:type="spellStart"/>
      <w:r>
        <w:rPr>
          <w:rFonts w:ascii="Arial" w:hAnsi="Arial" w:cs="Arial"/>
          <w:sz w:val="22"/>
          <w:szCs w:val="22"/>
        </w:rPr>
        <w:t>Robius</w:t>
      </w:r>
      <w:proofErr w:type="spellEnd"/>
      <w:r>
        <w:rPr>
          <w:rFonts w:ascii="Arial" w:hAnsi="Arial" w:cs="Arial"/>
          <w:sz w:val="22"/>
          <w:szCs w:val="22"/>
        </w:rPr>
        <w:t xml:space="preserve"> </w:t>
      </w:r>
      <w:proofErr w:type="spellStart"/>
      <w:r>
        <w:rPr>
          <w:rFonts w:ascii="Arial" w:hAnsi="Arial" w:cs="Arial"/>
          <w:sz w:val="22"/>
          <w:szCs w:val="22"/>
        </w:rPr>
        <w:t>Sany</w:t>
      </w:r>
      <w:proofErr w:type="spellEnd"/>
      <w:r>
        <w:rPr>
          <w:rFonts w:ascii="Arial" w:hAnsi="Arial" w:cs="Arial"/>
          <w:sz w:val="22"/>
          <w:szCs w:val="22"/>
        </w:rPr>
        <w:t xml:space="preserve">______________________________________________ </w:t>
      </w:r>
      <w:bookmarkStart w:id="0" w:name="_GoBack"/>
      <w:bookmarkEnd w:id="0"/>
    </w:p>
    <w:p w14:paraId="6D2C6D03" w14:textId="667DD8F6" w:rsidR="004B768A" w:rsidRDefault="004B768A" w:rsidP="004B768A">
      <w:pPr>
        <w:spacing w:line="480" w:lineRule="auto"/>
        <w:rPr>
          <w:rFonts w:ascii="Arial" w:hAnsi="Arial" w:cs="Arial"/>
          <w:sz w:val="22"/>
          <w:szCs w:val="22"/>
        </w:rPr>
      </w:pPr>
      <w:r>
        <w:rPr>
          <w:rFonts w:ascii="Arial" w:hAnsi="Arial" w:cs="Arial"/>
          <w:sz w:val="22"/>
          <w:szCs w:val="22"/>
        </w:rPr>
        <w:t>Student ID: ___</w:t>
      </w:r>
      <w:r>
        <w:rPr>
          <w:rFonts w:ascii="Arial" w:hAnsi="Arial" w:cs="Arial"/>
          <w:sz w:val="22"/>
          <w:szCs w:val="22"/>
        </w:rPr>
        <w:t>2523192</w:t>
      </w:r>
      <w:r>
        <w:rPr>
          <w:rFonts w:ascii="Arial" w:hAnsi="Arial" w:cs="Arial"/>
          <w:sz w:val="22"/>
          <w:szCs w:val="22"/>
        </w:rPr>
        <w:t xml:space="preserve">___________________________________________ </w:t>
      </w:r>
    </w:p>
    <w:p w14:paraId="5C5EF8CF" w14:textId="35E51F75" w:rsidR="004B768A" w:rsidRDefault="004B768A" w:rsidP="004B768A">
      <w:pPr>
        <w:spacing w:line="480" w:lineRule="auto"/>
        <w:rPr>
          <w:rFonts w:ascii="Arial" w:hAnsi="Arial" w:cs="Arial"/>
          <w:sz w:val="22"/>
          <w:szCs w:val="22"/>
        </w:rPr>
      </w:pPr>
      <w:r>
        <w:rPr>
          <w:rFonts w:ascii="Arial" w:hAnsi="Arial" w:cs="Arial"/>
          <w:sz w:val="22"/>
          <w:szCs w:val="22"/>
        </w:rPr>
        <w:t>Module name: _</w:t>
      </w:r>
      <w:proofErr w:type="spellStart"/>
      <w:r>
        <w:rPr>
          <w:rFonts w:ascii="Arial" w:hAnsi="Arial" w:cs="Arial"/>
          <w:sz w:val="22"/>
          <w:szCs w:val="22"/>
        </w:rPr>
        <w:t>Introduction_to</w:t>
      </w:r>
      <w:proofErr w:type="spellEnd"/>
      <w:r>
        <w:rPr>
          <w:rFonts w:ascii="Arial" w:hAnsi="Arial" w:cs="Arial"/>
          <w:sz w:val="22"/>
          <w:szCs w:val="22"/>
        </w:rPr>
        <w:t xml:space="preserve"> Public Health</w:t>
      </w:r>
      <w:r>
        <w:rPr>
          <w:rFonts w:ascii="Arial" w:hAnsi="Arial" w:cs="Arial"/>
          <w:sz w:val="22"/>
          <w:szCs w:val="22"/>
        </w:rPr>
        <w:t xml:space="preserve">___________________________________________ </w:t>
      </w:r>
    </w:p>
    <w:p w14:paraId="427C0C9E" w14:textId="6C85663D" w:rsidR="004B768A" w:rsidRDefault="004B768A" w:rsidP="004B768A">
      <w:pPr>
        <w:spacing w:line="480" w:lineRule="auto"/>
        <w:rPr>
          <w:rFonts w:ascii="Arial" w:hAnsi="Arial" w:cs="Arial"/>
          <w:sz w:val="22"/>
          <w:szCs w:val="22"/>
        </w:rPr>
      </w:pPr>
      <w:r>
        <w:rPr>
          <w:rFonts w:ascii="Arial" w:hAnsi="Arial" w:cs="Arial"/>
          <w:sz w:val="22"/>
          <w:szCs w:val="22"/>
        </w:rPr>
        <w:t>Module code: __</w:t>
      </w:r>
      <w:r>
        <w:rPr>
          <w:rFonts w:ascii="Arial" w:hAnsi="Arial" w:cs="Arial"/>
          <w:sz w:val="22"/>
          <w:szCs w:val="22"/>
        </w:rPr>
        <w:t>LCHS4008</w:t>
      </w:r>
      <w:r>
        <w:rPr>
          <w:rFonts w:ascii="Arial" w:hAnsi="Arial" w:cs="Arial"/>
          <w:sz w:val="22"/>
          <w:szCs w:val="22"/>
        </w:rPr>
        <w:t xml:space="preserve">____________________________________________ </w:t>
      </w:r>
    </w:p>
    <w:p w14:paraId="2BFCE70F" w14:textId="3E16337F" w:rsidR="004B768A" w:rsidRDefault="004B768A" w:rsidP="004B768A">
      <w:pPr>
        <w:spacing w:line="480" w:lineRule="auto"/>
        <w:rPr>
          <w:rFonts w:ascii="Arial" w:hAnsi="Arial" w:cs="Arial"/>
          <w:sz w:val="22"/>
          <w:szCs w:val="22"/>
        </w:rPr>
      </w:pPr>
      <w:r>
        <w:rPr>
          <w:rFonts w:ascii="Arial" w:hAnsi="Arial" w:cs="Arial"/>
          <w:sz w:val="22"/>
          <w:szCs w:val="22"/>
        </w:rPr>
        <w:t xml:space="preserve">Lecturer name: </w:t>
      </w:r>
      <w:r>
        <w:rPr>
          <w:rFonts w:ascii="Arial" w:hAnsi="Arial" w:cs="Arial"/>
          <w:sz w:val="22"/>
          <w:szCs w:val="22"/>
        </w:rPr>
        <w:t xml:space="preserve">Dr </w:t>
      </w:r>
      <w:proofErr w:type="spellStart"/>
      <w:r>
        <w:rPr>
          <w:rFonts w:ascii="Arial" w:hAnsi="Arial" w:cs="Arial"/>
          <w:sz w:val="22"/>
          <w:szCs w:val="22"/>
        </w:rPr>
        <w:t>Patronella</w:t>
      </w:r>
      <w:proofErr w:type="spellEnd"/>
      <w:r>
        <w:rPr>
          <w:rFonts w:ascii="Arial" w:hAnsi="Arial" w:cs="Arial"/>
          <w:sz w:val="22"/>
          <w:szCs w:val="22"/>
        </w:rPr>
        <w:t xml:space="preserve"> </w:t>
      </w:r>
      <w:proofErr w:type="spellStart"/>
      <w:r>
        <w:rPr>
          <w:rFonts w:ascii="Arial" w:hAnsi="Arial" w:cs="Arial"/>
          <w:sz w:val="22"/>
          <w:szCs w:val="22"/>
        </w:rPr>
        <w:t>Ganza</w:t>
      </w:r>
      <w:proofErr w:type="spellEnd"/>
      <w:r>
        <w:rPr>
          <w:rFonts w:ascii="Arial" w:hAnsi="Arial" w:cs="Arial"/>
          <w:sz w:val="22"/>
          <w:szCs w:val="22"/>
        </w:rPr>
        <w:t xml:space="preserve">______________________________________________ </w:t>
      </w:r>
    </w:p>
    <w:p w14:paraId="2039063D" w14:textId="32E4E93D" w:rsidR="004B768A" w:rsidRDefault="004B768A" w:rsidP="004B768A">
      <w:pPr>
        <w:spacing w:line="480" w:lineRule="auto"/>
        <w:rPr>
          <w:rFonts w:ascii="Arial" w:hAnsi="Arial" w:cs="Arial"/>
          <w:sz w:val="22"/>
          <w:szCs w:val="22"/>
        </w:rPr>
      </w:pPr>
      <w:r>
        <w:rPr>
          <w:rFonts w:ascii="Arial" w:hAnsi="Arial" w:cs="Arial"/>
          <w:sz w:val="22"/>
          <w:szCs w:val="22"/>
        </w:rPr>
        <w:t>Submission date: __</w:t>
      </w:r>
      <w:r>
        <w:rPr>
          <w:rFonts w:ascii="Arial" w:hAnsi="Arial" w:cs="Arial"/>
          <w:sz w:val="22"/>
          <w:szCs w:val="22"/>
        </w:rPr>
        <w:t>12</w:t>
      </w:r>
      <w:r w:rsidRPr="004B768A">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july</w:t>
      </w:r>
      <w:proofErr w:type="spellEnd"/>
      <w:r>
        <w:rPr>
          <w:rFonts w:ascii="Arial" w:hAnsi="Arial" w:cs="Arial"/>
          <w:sz w:val="22"/>
          <w:szCs w:val="22"/>
        </w:rPr>
        <w:t>____________________________________________</w:t>
      </w:r>
    </w:p>
    <w:p w14:paraId="46B11931" w14:textId="77777777" w:rsidR="004B768A" w:rsidRDefault="004B768A" w:rsidP="004B768A">
      <w:pPr>
        <w:rPr>
          <w:rFonts w:ascii="Calibri" w:hAnsi="Calibri" w:cs="Calibri"/>
          <w:sz w:val="20"/>
          <w:szCs w:val="20"/>
        </w:rPr>
      </w:pPr>
    </w:p>
    <w:p w14:paraId="01252F90" w14:textId="77777777" w:rsidR="004B768A" w:rsidRDefault="004B768A" w:rsidP="00136BF4">
      <w:pPr>
        <w:pStyle w:val="Heading1"/>
      </w:pPr>
    </w:p>
    <w:p w14:paraId="0A9E480F" w14:textId="77777777" w:rsidR="004B768A" w:rsidRDefault="004B768A" w:rsidP="00136BF4">
      <w:pPr>
        <w:pStyle w:val="Heading1"/>
      </w:pPr>
    </w:p>
    <w:p w14:paraId="3B7E0A3C" w14:textId="68A5C303" w:rsidR="00E54E55" w:rsidRDefault="00136BF4" w:rsidP="00136BF4">
      <w:pPr>
        <w:pStyle w:val="Heading1"/>
      </w:pPr>
      <w:r>
        <w:t>Question: What are the main approaches and strategies that could be used to control prostate cancer?</w:t>
      </w:r>
    </w:p>
    <w:p w14:paraId="2B495CDA" w14:textId="77777777" w:rsidR="00A7596F" w:rsidRDefault="00A7596F" w:rsidP="00A7596F">
      <w:pPr>
        <w:pStyle w:val="Heading2"/>
        <w:rPr>
          <w:rFonts w:eastAsia="Arial"/>
        </w:rPr>
      </w:pPr>
      <w:r>
        <w:rPr>
          <w:rFonts w:eastAsia="Arial"/>
        </w:rPr>
        <w:t>Hormone therapy</w:t>
      </w:r>
    </w:p>
    <w:p w14:paraId="61BB1C3F" w14:textId="77777777" w:rsidR="001343CF" w:rsidRDefault="001343CF" w:rsidP="001343CF">
      <w:r>
        <w:t>For nearly every man who develops stage 4 prostate cancer, the initial treatment is hormone therapy, also known as anti-androgen therapy (ADT). The key to control is to remove the fuel for the cancer cells, that is, testosterone. This is typically achieved by injecting hormones into the body every 1-6 months that prevent testosterone from being produced. Anti-androgen tablets can be used in addition to stop any leftover testosterone from reaching the cancer cells. This will need to be monitored with Mr Brown's cardiovascular health as his blood pressure is high. Over time, ADT can increase blood cholesterol levels (NICE, 2019).</w:t>
      </w:r>
    </w:p>
    <w:p w14:paraId="04176C40" w14:textId="77777777" w:rsidR="00A7596F" w:rsidRDefault="00A7596F" w:rsidP="00A7596F">
      <w:pPr>
        <w:pStyle w:val="Heading2"/>
        <w:rPr>
          <w:rFonts w:eastAsia="Arial"/>
        </w:rPr>
      </w:pPr>
      <w:r>
        <w:rPr>
          <w:rFonts w:eastAsia="Arial"/>
        </w:rPr>
        <w:t>Chemotherapy and newer hormonal tablets</w:t>
      </w:r>
    </w:p>
    <w:p w14:paraId="734C6F4B" w14:textId="77777777" w:rsidR="001343CF" w:rsidRDefault="001343CF" w:rsidP="001343CF">
      <w:r>
        <w:t xml:space="preserve">In the STAMPEDE trial, adding chemotherapy (usually docetaxel) at the start of treatment together with hormone therapy has been proven to increase survival by an average of 22 months </w:t>
      </w:r>
      <w:r>
        <w:lastRenderedPageBreak/>
        <w:t xml:space="preserve">(James et al., 2016). It won't be suitable for all patients and will be carefully considered by the </w:t>
      </w:r>
      <w:proofErr w:type="gramStart"/>
      <w:r>
        <w:t>team</w:t>
      </w:r>
      <w:proofErr w:type="gramEnd"/>
      <w:r>
        <w:t xml:space="preserve"> in the context of Mr Brown's age and health.</w:t>
      </w:r>
    </w:p>
    <w:p w14:paraId="565682CF" w14:textId="77777777" w:rsidR="001343CF" w:rsidRDefault="001343CF" w:rsidP="001343CF">
      <w:r>
        <w:t>Newer hormonal tablets that have vastly better results are also available. Abiraterone not only inhibits testicular production of testosterone, but also inhibits its production in the adrenal glands and the tumour, and the LATITUDE trial demonstrated that the addition of abiraterone to standard ADT (</w:t>
      </w:r>
      <w:proofErr w:type="spellStart"/>
      <w:r>
        <w:t>Fizazi</w:t>
      </w:r>
      <w:proofErr w:type="spellEnd"/>
      <w:r>
        <w:t xml:space="preserve"> et al., 2017) prolonged survival. Enzalutamide and apalutamide stop the cancer cells from using testosterone (androgen) completely. NICE guidance suggests that hormone therapy (HT) should be offered to Mr Brown in combination with one of these options (NICE, 2021).</w:t>
      </w:r>
    </w:p>
    <w:p w14:paraId="087AA11E" w14:textId="77777777" w:rsidR="00A7596F" w:rsidRDefault="00A7596F" w:rsidP="00A7596F">
      <w:pPr>
        <w:pStyle w:val="Heading2"/>
        <w:rPr>
          <w:rFonts w:eastAsia="Arial"/>
        </w:rPr>
      </w:pPr>
      <w:r>
        <w:rPr>
          <w:rFonts w:eastAsia="Arial"/>
        </w:rPr>
        <w:t>Radiotherapy</w:t>
      </w:r>
    </w:p>
    <w:p w14:paraId="649FA83F" w14:textId="77777777" w:rsidR="001343CF" w:rsidRDefault="001343CF" w:rsidP="001343CF">
      <w:r>
        <w:t>When cancer has spread to the bones and is causing pain, a short treatment of targeted radiotherapy can be an effective way to make the pain go away, sometimes after just one or two treatments (Chow et al., 2012). More targeted is the use of radium-223, which targets the bone that is affected and releases radiation directly to it. The ALSYMPCA trial demonstrated that it alleviated pain, decreased fracture risk and improved survival (Parker et al., 2013). The use of radiotherapy to treat the prostate tumour at the beginning also offers benefits for survival for men who have limited spread (Stage 4) (Parker et al., 2018).</w:t>
      </w:r>
    </w:p>
    <w:p w14:paraId="4DB809E0" w14:textId="77777777" w:rsidR="00A7596F" w:rsidRDefault="00A7596F" w:rsidP="00A7596F">
      <w:pPr>
        <w:pStyle w:val="Heading2"/>
        <w:rPr>
          <w:rFonts w:eastAsia="Arial"/>
        </w:rPr>
      </w:pPr>
      <w:r>
        <w:rPr>
          <w:rFonts w:eastAsia="Arial"/>
        </w:rPr>
        <w:t>Looking after Mr Brown as a whole person</w:t>
      </w:r>
    </w:p>
    <w:p w14:paraId="5B1334EA" w14:textId="77777777" w:rsidR="001343CF" w:rsidRDefault="001343CF" w:rsidP="001343CF">
      <w:r>
        <w:t>He receives bone strengthening injections, stepped pain control and alpha-blocker tablets for his urinary symptoms. It's important to have access to a specialist nurse, counselling and peer support if you're on the emotional side. Additionally, there is a need for awareness of the fact that black African and Caribbean men will be diagnosed at a later stage more frequently, and there may be barriers to accessing care, which means communication must be clear and culturally sensitive (Ben-Shlomo et al., 2008). He feels better during treatment if he remains active, eats a healthy diet and limits his drinking (Bourke et al., 2013).</w:t>
      </w:r>
    </w:p>
    <w:p w14:paraId="798504D2" w14:textId="77777777" w:rsidR="00A7596F" w:rsidRDefault="00A7596F" w:rsidP="00A7596F">
      <w:pPr>
        <w:pStyle w:val="Heading2"/>
        <w:rPr>
          <w:rFonts w:eastAsia="Arial"/>
        </w:rPr>
      </w:pPr>
      <w:r>
        <w:rPr>
          <w:rFonts w:eastAsia="Arial"/>
        </w:rPr>
        <w:t>Newer treatments on the horizon</w:t>
      </w:r>
    </w:p>
    <w:p w14:paraId="1A5DF364" w14:textId="039E9F0C" w:rsidR="001343CF" w:rsidRPr="00D016DC" w:rsidRDefault="001343CF" w:rsidP="001343CF">
      <w:r>
        <w:t xml:space="preserve">Given Mr Brown's family history, genetic testing is worthwhile. If he carries a BRCA2 mutation, olaparib could be very effective. It proved to significantly improve PFS in men with that profile in the </w:t>
      </w:r>
      <w:proofErr w:type="spellStart"/>
      <w:proofErr w:type="gramStart"/>
      <w:r>
        <w:t>PROfound</w:t>
      </w:r>
      <w:proofErr w:type="spellEnd"/>
      <w:proofErr w:type="gramEnd"/>
      <w:r>
        <w:t xml:space="preserve"> trial (de Bono et al., 2020). In 2024, NICE approved the use of another major breakthrough, lutetium-177 PSMA therapy, which is a targeted drug therapy that </w:t>
      </w:r>
      <w:r>
        <w:lastRenderedPageBreak/>
        <w:t>directly targets cancer cells and has demonstrated significant survival benefits in the VISION trial (Sartor et al., 2021). They were things that his father's generation never had.</w:t>
      </w:r>
    </w:p>
    <w:p w14:paraId="3D988A29" w14:textId="7B6B6770" w:rsidR="00136BF4" w:rsidRDefault="00CE4811" w:rsidP="00CE4811">
      <w:pPr>
        <w:pStyle w:val="Heading2"/>
      </w:pPr>
      <w:r>
        <w:t>References</w:t>
      </w:r>
    </w:p>
    <w:p w14:paraId="478C93AD" w14:textId="7090648F"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Ben-Shlomo, Y.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(2008) “The risk of prostate cancer amongst black men in the United Kingdom: the PROCESS cohort study,” </w:t>
      </w:r>
      <w:r w:rsidRPr="00CE4811">
        <w:rPr>
          <w:rFonts w:eastAsia="Times New Roman" w:cs="Times New Roman"/>
          <w:i/>
          <w:iCs/>
          <w:color w:val="000000"/>
          <w:kern w:val="0"/>
          <w:lang w:eastAsia="en-GB"/>
          <w14:ligatures w14:val="none"/>
        </w:rPr>
        <w:t>European Urology</w:t>
      </w:r>
      <w:r w:rsidRPr="00CE4811">
        <w:rPr>
          <w:rFonts w:eastAsia="Times New Roman" w:cs="Times New Roman"/>
          <w:color w:val="000000"/>
          <w:kern w:val="0"/>
          <w:lang w:eastAsia="en-GB"/>
          <w14:ligatures w14:val="none"/>
        </w:rPr>
        <w:t>, 53(1), pp. 99–105. Available at: https://doi.org/10.1016/j.eururo.2007.02.047.</w:t>
      </w:r>
    </w:p>
    <w:p w14:paraId="5D00452D" w14:textId="6E6EA467"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proofErr w:type="gramStart"/>
      <w:r w:rsidRPr="00CE4811">
        <w:rPr>
          <w:rFonts w:eastAsia="Times New Roman" w:cs="Times New Roman"/>
          <w:color w:val="000000"/>
          <w:kern w:val="0"/>
          <w:lang w:eastAsia="en-GB"/>
          <w14:ligatures w14:val="none"/>
        </w:rPr>
        <w:t>de</w:t>
      </w:r>
      <w:proofErr w:type="gramEnd"/>
      <w:r w:rsidRPr="00CE4811">
        <w:rPr>
          <w:rFonts w:eastAsia="Times New Roman" w:cs="Times New Roman"/>
          <w:color w:val="000000"/>
          <w:kern w:val="0"/>
          <w:lang w:eastAsia="en-GB"/>
          <w14:ligatures w14:val="none"/>
        </w:rPr>
        <w:t xml:space="preserve"> Bono, J.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(2020) “Olaparib for metastatic castration-resistant prostate cancer,” </w:t>
      </w:r>
      <w:r w:rsidRPr="00CE4811">
        <w:rPr>
          <w:rFonts w:eastAsia="Times New Roman" w:cs="Times New Roman"/>
          <w:i/>
          <w:iCs/>
          <w:color w:val="000000"/>
          <w:kern w:val="0"/>
          <w:lang w:eastAsia="en-GB"/>
          <w14:ligatures w14:val="none"/>
        </w:rPr>
        <w:t>The New England Journal of Medicine</w:t>
      </w:r>
      <w:r w:rsidRPr="00CE4811">
        <w:rPr>
          <w:rFonts w:eastAsia="Times New Roman" w:cs="Times New Roman"/>
          <w:color w:val="000000"/>
          <w:kern w:val="0"/>
          <w:lang w:eastAsia="en-GB"/>
          <w14:ligatures w14:val="none"/>
        </w:rPr>
        <w:t>, 382(22), pp. 2091–2102. Available at: https://doi.org/10.1056/NEJMoa1911440.</w:t>
      </w:r>
    </w:p>
    <w:p w14:paraId="0FA6C88F" w14:textId="25A5F755"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Bourke, L.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(2013) “Interventions for promoting habitual exercise in people living with and beyond cancer,” </w:t>
      </w:r>
      <w:r w:rsidRPr="00CE4811">
        <w:rPr>
          <w:rFonts w:eastAsia="Times New Roman" w:cs="Times New Roman"/>
          <w:i/>
          <w:iCs/>
          <w:color w:val="000000"/>
          <w:kern w:val="0"/>
          <w:lang w:eastAsia="en-GB"/>
          <w14:ligatures w14:val="none"/>
        </w:rPr>
        <w:t>Cochrane Database of Systematic Reviews</w:t>
      </w:r>
      <w:r w:rsidRPr="00CE4811">
        <w:rPr>
          <w:rFonts w:eastAsia="Times New Roman" w:cs="Times New Roman"/>
          <w:color w:val="000000"/>
          <w:kern w:val="0"/>
          <w:lang w:eastAsia="en-GB"/>
          <w14:ligatures w14:val="none"/>
        </w:rPr>
        <w:t>, (9), p. CD010192. Available at: https://doi.org/10.1002/14651858.CD010192.pub2.</w:t>
      </w:r>
    </w:p>
    <w:p w14:paraId="29C23AC1" w14:textId="6B0E51B7"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Chow, E.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(2014) “Single versus multiple fractions of repeat radiation for painful bone metastases: a randomised, controlled, non-inferiority trial,” </w:t>
      </w:r>
      <w:r w:rsidRPr="00CE4811">
        <w:rPr>
          <w:rFonts w:eastAsia="Times New Roman" w:cs="Times New Roman"/>
          <w:i/>
          <w:iCs/>
          <w:color w:val="000000"/>
          <w:kern w:val="0"/>
          <w:lang w:eastAsia="en-GB"/>
          <w14:ligatures w14:val="none"/>
        </w:rPr>
        <w:t>The Lancet Oncology</w:t>
      </w:r>
      <w:r w:rsidRPr="00CE4811">
        <w:rPr>
          <w:rFonts w:eastAsia="Times New Roman" w:cs="Times New Roman"/>
          <w:color w:val="000000"/>
          <w:kern w:val="0"/>
          <w:lang w:eastAsia="en-GB"/>
          <w14:ligatures w14:val="none"/>
        </w:rPr>
        <w:t>, 15(2), pp. 164–171. Available at: https://doi.org/10.1016/S1470-</w:t>
      </w:r>
      <w:proofErr w:type="gramStart"/>
      <w:r w:rsidRPr="00CE4811">
        <w:rPr>
          <w:rFonts w:eastAsia="Times New Roman" w:cs="Times New Roman"/>
          <w:color w:val="000000"/>
          <w:kern w:val="0"/>
          <w:lang w:eastAsia="en-GB"/>
          <w14:ligatures w14:val="none"/>
        </w:rPr>
        <w:t>2045(</w:t>
      </w:r>
      <w:proofErr w:type="gramEnd"/>
      <w:r w:rsidRPr="00CE4811">
        <w:rPr>
          <w:rFonts w:eastAsia="Times New Roman" w:cs="Times New Roman"/>
          <w:color w:val="000000"/>
          <w:kern w:val="0"/>
          <w:lang w:eastAsia="en-GB"/>
          <w14:ligatures w14:val="none"/>
        </w:rPr>
        <w:t>13)70556-4.</w:t>
      </w:r>
    </w:p>
    <w:p w14:paraId="210A3C05" w14:textId="1F61D185"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Fizazi, K.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(2017) “Abiraterone plus prednisone in metastatic, castration-sensitive prostate cancer,” </w:t>
      </w:r>
      <w:r w:rsidRPr="00CE4811">
        <w:rPr>
          <w:rFonts w:eastAsia="Times New Roman" w:cs="Times New Roman"/>
          <w:i/>
          <w:iCs/>
          <w:color w:val="000000"/>
          <w:kern w:val="0"/>
          <w:lang w:eastAsia="en-GB"/>
          <w14:ligatures w14:val="none"/>
        </w:rPr>
        <w:t>The New England Journal of Medicine</w:t>
      </w:r>
      <w:r w:rsidRPr="00CE4811">
        <w:rPr>
          <w:rFonts w:eastAsia="Times New Roman" w:cs="Times New Roman"/>
          <w:color w:val="000000"/>
          <w:kern w:val="0"/>
          <w:lang w:eastAsia="en-GB"/>
          <w14:ligatures w14:val="none"/>
        </w:rPr>
        <w:t>, 377(4), pp. 352–360. Available at: https://doi.org/10.1056/NEJMoa1704174.</w:t>
      </w:r>
    </w:p>
    <w:p w14:paraId="36A33565" w14:textId="06AF8E7F"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James, N.D.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xml:space="preserve"> (2016) “Addition of docetaxel, zoledronic acid, or both to first-line long-term hormone therapy in prostate cancer (STAMPEDE): survival results from an adaptive, </w:t>
      </w:r>
      <w:proofErr w:type="spellStart"/>
      <w:r w:rsidRPr="00CE4811">
        <w:rPr>
          <w:rFonts w:eastAsia="Times New Roman" w:cs="Times New Roman"/>
          <w:color w:val="000000"/>
          <w:kern w:val="0"/>
          <w:lang w:eastAsia="en-GB"/>
          <w14:ligatures w14:val="none"/>
        </w:rPr>
        <w:t>multiarm</w:t>
      </w:r>
      <w:proofErr w:type="spellEnd"/>
      <w:r w:rsidRPr="00CE4811">
        <w:rPr>
          <w:rFonts w:eastAsia="Times New Roman" w:cs="Times New Roman"/>
          <w:color w:val="000000"/>
          <w:kern w:val="0"/>
          <w:lang w:eastAsia="en-GB"/>
          <w14:ligatures w14:val="none"/>
        </w:rPr>
        <w:t>, multistage, platform randomised controlled trial,” </w:t>
      </w:r>
      <w:r w:rsidRPr="00CE4811">
        <w:rPr>
          <w:rFonts w:eastAsia="Times New Roman" w:cs="Times New Roman"/>
          <w:i/>
          <w:iCs/>
          <w:color w:val="000000"/>
          <w:kern w:val="0"/>
          <w:lang w:eastAsia="en-GB"/>
          <w14:ligatures w14:val="none"/>
        </w:rPr>
        <w:t>Lancet</w:t>
      </w:r>
      <w:r w:rsidRPr="00CE4811">
        <w:rPr>
          <w:rFonts w:eastAsia="Times New Roman" w:cs="Times New Roman"/>
          <w:color w:val="000000"/>
          <w:kern w:val="0"/>
          <w:lang w:eastAsia="en-GB"/>
          <w14:ligatures w14:val="none"/>
        </w:rPr>
        <w:t>, 387(10024), pp. 1163–1177. Available at: https://doi.org/10.1016/S0140-</w:t>
      </w:r>
      <w:proofErr w:type="gramStart"/>
      <w:r w:rsidRPr="00CE4811">
        <w:rPr>
          <w:rFonts w:eastAsia="Times New Roman" w:cs="Times New Roman"/>
          <w:color w:val="000000"/>
          <w:kern w:val="0"/>
          <w:lang w:eastAsia="en-GB"/>
          <w14:ligatures w14:val="none"/>
        </w:rPr>
        <w:t>6736(</w:t>
      </w:r>
      <w:proofErr w:type="gramEnd"/>
      <w:r w:rsidRPr="00CE4811">
        <w:rPr>
          <w:rFonts w:eastAsia="Times New Roman" w:cs="Times New Roman"/>
          <w:color w:val="000000"/>
          <w:kern w:val="0"/>
          <w:lang w:eastAsia="en-GB"/>
          <w14:ligatures w14:val="none"/>
        </w:rPr>
        <w:t>15)01037-5.</w:t>
      </w:r>
    </w:p>
    <w:p w14:paraId="0955AEF7" w14:textId="17FA53F0"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NICE (2019) </w:t>
      </w:r>
      <w:r w:rsidRPr="00CE4811">
        <w:rPr>
          <w:rFonts w:eastAsia="Times New Roman" w:cs="Times New Roman"/>
          <w:i/>
          <w:iCs/>
          <w:color w:val="000000"/>
          <w:kern w:val="0"/>
          <w:lang w:eastAsia="en-GB"/>
          <w14:ligatures w14:val="none"/>
        </w:rPr>
        <w:t>Prostate cancer: diagnosis and management</w:t>
      </w:r>
      <w:r w:rsidRPr="00CE4811">
        <w:rPr>
          <w:rFonts w:eastAsia="Times New Roman" w:cs="Times New Roman"/>
          <w:color w:val="000000"/>
          <w:kern w:val="0"/>
          <w:lang w:eastAsia="en-GB"/>
          <w14:ligatures w14:val="none"/>
        </w:rPr>
        <w:t>, </w:t>
      </w:r>
      <w:r w:rsidRPr="00CE4811">
        <w:rPr>
          <w:rFonts w:eastAsia="Times New Roman" w:cs="Times New Roman"/>
          <w:i/>
          <w:iCs/>
          <w:color w:val="000000"/>
          <w:kern w:val="0"/>
          <w:lang w:eastAsia="en-GB"/>
          <w14:ligatures w14:val="none"/>
        </w:rPr>
        <w:t>National Institute for Health and Care Excellence</w:t>
      </w:r>
      <w:r w:rsidRPr="00CE4811">
        <w:rPr>
          <w:rFonts w:eastAsia="Times New Roman" w:cs="Times New Roman"/>
          <w:color w:val="000000"/>
          <w:kern w:val="0"/>
          <w:lang w:eastAsia="en-GB"/>
          <w14:ligatures w14:val="none"/>
        </w:rPr>
        <w:t>. Available at: https://www.nice.org.uk/guidance/ng131 (Accessed: June 28, 2026).</w:t>
      </w:r>
    </w:p>
    <w:p w14:paraId="4326F1A7" w14:textId="7972E1B2"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NICE (2021) </w:t>
      </w:r>
      <w:r w:rsidRPr="00CE4811">
        <w:rPr>
          <w:rFonts w:eastAsia="Times New Roman" w:cs="Times New Roman"/>
          <w:i/>
          <w:iCs/>
          <w:color w:val="000000"/>
          <w:kern w:val="0"/>
          <w:lang w:eastAsia="en-GB"/>
          <w14:ligatures w14:val="none"/>
        </w:rPr>
        <w:t>Trastuzumab deruxtecan for treating HER2-positive unresectable or metastatic breast cancer after 2 or more anti-HER2 therapies</w:t>
      </w:r>
      <w:r w:rsidRPr="00CE4811">
        <w:rPr>
          <w:rFonts w:eastAsia="Times New Roman" w:cs="Times New Roman"/>
          <w:color w:val="000000"/>
          <w:kern w:val="0"/>
          <w:lang w:eastAsia="en-GB"/>
          <w14:ligatures w14:val="none"/>
        </w:rPr>
        <w:t>, </w:t>
      </w:r>
      <w:r w:rsidRPr="00CE4811">
        <w:rPr>
          <w:rFonts w:eastAsia="Times New Roman" w:cs="Times New Roman"/>
          <w:i/>
          <w:iCs/>
          <w:color w:val="000000"/>
          <w:kern w:val="0"/>
          <w:lang w:eastAsia="en-GB"/>
          <w14:ligatures w14:val="none"/>
        </w:rPr>
        <w:t>National Institute for Health and Care Excellence</w:t>
      </w:r>
      <w:r w:rsidRPr="00CE4811">
        <w:rPr>
          <w:rFonts w:eastAsia="Times New Roman" w:cs="Times New Roman"/>
          <w:color w:val="000000"/>
          <w:kern w:val="0"/>
          <w:lang w:eastAsia="en-GB"/>
          <w14:ligatures w14:val="none"/>
        </w:rPr>
        <w:t>. Available at: https://www.nice.org.uk/guidance/ta704 (Accessed: June 28, 2026).</w:t>
      </w:r>
    </w:p>
    <w:p w14:paraId="5FD6A392" w14:textId="47495CC1"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lastRenderedPageBreak/>
        <w:t>Parker, C.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(2013) “Alpha emitter radium-223 and survival in metastatic prostate cancer,” </w:t>
      </w:r>
      <w:r w:rsidRPr="00CE4811">
        <w:rPr>
          <w:rFonts w:eastAsia="Times New Roman" w:cs="Times New Roman"/>
          <w:i/>
          <w:iCs/>
          <w:color w:val="000000"/>
          <w:kern w:val="0"/>
          <w:lang w:eastAsia="en-GB"/>
          <w14:ligatures w14:val="none"/>
        </w:rPr>
        <w:t>The New England Journal of Medicine</w:t>
      </w:r>
      <w:r w:rsidRPr="00CE4811">
        <w:rPr>
          <w:rFonts w:eastAsia="Times New Roman" w:cs="Times New Roman"/>
          <w:color w:val="000000"/>
          <w:kern w:val="0"/>
          <w:lang w:eastAsia="en-GB"/>
          <w14:ligatures w14:val="none"/>
        </w:rPr>
        <w:t>, 369(3), pp. 213–223. Available at: https://doi.org/10.1056/NEJMoa1213755.</w:t>
      </w:r>
    </w:p>
    <w:p w14:paraId="719592C9" w14:textId="3CB7E5A4"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Parker, C.C.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(2018) “Radiotherapy to the primary tumour for newly diagnosed, metastatic prostate cancer (STAMPEDE): a randomised controlled phase 3 trial,” </w:t>
      </w:r>
      <w:r w:rsidRPr="00CE4811">
        <w:rPr>
          <w:rFonts w:eastAsia="Times New Roman" w:cs="Times New Roman"/>
          <w:i/>
          <w:iCs/>
          <w:color w:val="000000"/>
          <w:kern w:val="0"/>
          <w:lang w:eastAsia="en-GB"/>
          <w14:ligatures w14:val="none"/>
        </w:rPr>
        <w:t>Lancet</w:t>
      </w:r>
      <w:r w:rsidRPr="00CE4811">
        <w:rPr>
          <w:rFonts w:eastAsia="Times New Roman" w:cs="Times New Roman"/>
          <w:color w:val="000000"/>
          <w:kern w:val="0"/>
          <w:lang w:eastAsia="en-GB"/>
          <w14:ligatures w14:val="none"/>
        </w:rPr>
        <w:t>, 392(10162), pp. 2353–2366. Available at: https://doi.org/10.1016/S0140-</w:t>
      </w:r>
      <w:proofErr w:type="gramStart"/>
      <w:r w:rsidRPr="00CE4811">
        <w:rPr>
          <w:rFonts w:eastAsia="Times New Roman" w:cs="Times New Roman"/>
          <w:color w:val="000000"/>
          <w:kern w:val="0"/>
          <w:lang w:eastAsia="en-GB"/>
          <w14:ligatures w14:val="none"/>
        </w:rPr>
        <w:t>6736(</w:t>
      </w:r>
      <w:proofErr w:type="gramEnd"/>
      <w:r w:rsidRPr="00CE4811">
        <w:rPr>
          <w:rFonts w:eastAsia="Times New Roman" w:cs="Times New Roman"/>
          <w:color w:val="000000"/>
          <w:kern w:val="0"/>
          <w:lang w:eastAsia="en-GB"/>
          <w14:ligatures w14:val="none"/>
        </w:rPr>
        <w:t>18)32486-3.</w:t>
      </w:r>
    </w:p>
    <w:p w14:paraId="697682BF" w14:textId="75F18B15" w:rsidR="00CE4811" w:rsidRPr="00CE4811" w:rsidRDefault="00CE4811" w:rsidP="00CE4811">
      <w:pPr>
        <w:spacing w:before="100" w:beforeAutospacing="1" w:after="100" w:afterAutospacing="1"/>
        <w:rPr>
          <w:rFonts w:eastAsia="Times New Roman" w:cs="Times New Roman"/>
          <w:color w:val="000000"/>
          <w:kern w:val="0"/>
          <w:lang w:eastAsia="en-GB"/>
          <w14:ligatures w14:val="none"/>
        </w:rPr>
      </w:pPr>
      <w:r w:rsidRPr="00CE4811">
        <w:rPr>
          <w:rFonts w:eastAsia="Times New Roman" w:cs="Times New Roman"/>
          <w:color w:val="000000"/>
          <w:kern w:val="0"/>
          <w:lang w:eastAsia="en-GB"/>
          <w14:ligatures w14:val="none"/>
        </w:rPr>
        <w:t>Sartor, O. </w:t>
      </w:r>
      <w:r w:rsidRPr="00CE4811">
        <w:rPr>
          <w:rFonts w:eastAsia="Times New Roman" w:cs="Times New Roman"/>
          <w:i/>
          <w:iCs/>
          <w:color w:val="000000"/>
          <w:kern w:val="0"/>
          <w:lang w:eastAsia="en-GB"/>
          <w14:ligatures w14:val="none"/>
        </w:rPr>
        <w:t>et al.</w:t>
      </w:r>
      <w:r w:rsidRPr="00CE4811">
        <w:rPr>
          <w:rFonts w:eastAsia="Times New Roman" w:cs="Times New Roman"/>
          <w:color w:val="000000"/>
          <w:kern w:val="0"/>
          <w:lang w:eastAsia="en-GB"/>
          <w14:ligatures w14:val="none"/>
        </w:rPr>
        <w:t> (2021) “Lutetium-177-PSMA-617 for metastatic castration-resistant prostate cancer,” </w:t>
      </w:r>
      <w:r w:rsidRPr="00CE4811">
        <w:rPr>
          <w:rFonts w:eastAsia="Times New Roman" w:cs="Times New Roman"/>
          <w:i/>
          <w:iCs/>
          <w:color w:val="000000"/>
          <w:kern w:val="0"/>
          <w:lang w:eastAsia="en-GB"/>
          <w14:ligatures w14:val="none"/>
        </w:rPr>
        <w:t>The New England Journal of Medicine</w:t>
      </w:r>
      <w:r w:rsidRPr="00CE4811">
        <w:rPr>
          <w:rFonts w:eastAsia="Times New Roman" w:cs="Times New Roman"/>
          <w:color w:val="000000"/>
          <w:kern w:val="0"/>
          <w:lang w:eastAsia="en-GB"/>
          <w14:ligatures w14:val="none"/>
        </w:rPr>
        <w:t>, 385(12), pp. 1091–1103. Available at: https://doi.org/10.1056/NEJMoa2107322.</w:t>
      </w:r>
    </w:p>
    <w:p w14:paraId="3A1C0443" w14:textId="77777777" w:rsidR="00CE4811" w:rsidRPr="00CE4811" w:rsidRDefault="00CE4811" w:rsidP="00CE4811">
      <w:pPr>
        <w:rPr>
          <w:lang w:eastAsia="en-GB"/>
        </w:rPr>
      </w:pPr>
    </w:p>
    <w:sectPr w:rsidR="00CE4811" w:rsidRPr="00CE481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BF4"/>
    <w:rsid w:val="00025B0F"/>
    <w:rsid w:val="001343CF"/>
    <w:rsid w:val="00136BF4"/>
    <w:rsid w:val="002926F6"/>
    <w:rsid w:val="002C42C7"/>
    <w:rsid w:val="00353A4A"/>
    <w:rsid w:val="00395F12"/>
    <w:rsid w:val="003D5A64"/>
    <w:rsid w:val="004174C7"/>
    <w:rsid w:val="0047099F"/>
    <w:rsid w:val="004B16B7"/>
    <w:rsid w:val="004B768A"/>
    <w:rsid w:val="00505EEA"/>
    <w:rsid w:val="00507558"/>
    <w:rsid w:val="00786716"/>
    <w:rsid w:val="007C3F84"/>
    <w:rsid w:val="007D24FB"/>
    <w:rsid w:val="008453E1"/>
    <w:rsid w:val="00885E88"/>
    <w:rsid w:val="00945F7F"/>
    <w:rsid w:val="009F7FE6"/>
    <w:rsid w:val="00A0024E"/>
    <w:rsid w:val="00A74C60"/>
    <w:rsid w:val="00A7596F"/>
    <w:rsid w:val="00B05B19"/>
    <w:rsid w:val="00C64F77"/>
    <w:rsid w:val="00CE4811"/>
    <w:rsid w:val="00D57712"/>
    <w:rsid w:val="00E20859"/>
    <w:rsid w:val="00E46D82"/>
    <w:rsid w:val="00E54E55"/>
    <w:rsid w:val="00F6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B7CE"/>
  <w15:chartTrackingRefBased/>
  <w15:docId w15:val="{3ED1B2C3-96FB-4DAB-BAFB-C37556E8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E55"/>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2C42C7"/>
    <w:pPr>
      <w:keepNext/>
      <w:keepLines/>
      <w:spacing w:before="360" w:after="80"/>
      <w:outlineLvl w:val="0"/>
    </w:pPr>
    <w:rPr>
      <w:rFonts w:eastAsiaTheme="majorEastAsia" w:cstheme="majorBidi"/>
      <w:b/>
      <w:color w:val="000000" w:themeColor="text1"/>
      <w:kern w:val="0"/>
      <w:sz w:val="32"/>
      <w:szCs w:val="40"/>
    </w:rPr>
  </w:style>
  <w:style w:type="paragraph" w:styleId="Heading2">
    <w:name w:val="heading 2"/>
    <w:basedOn w:val="Normal"/>
    <w:next w:val="Normal"/>
    <w:link w:val="Heading2Char"/>
    <w:autoRedefine/>
    <w:uiPriority w:val="9"/>
    <w:unhideWhenUsed/>
    <w:qFormat/>
    <w:rsid w:val="007D24FB"/>
    <w:pPr>
      <w:keepNext/>
      <w:keepLines/>
      <w:spacing w:before="160" w:after="80"/>
      <w:outlineLvl w:val="1"/>
    </w:pPr>
    <w:rPr>
      <w:rFonts w:eastAsia="Times New Roman" w:cstheme="majorBidi"/>
      <w:b/>
      <w:color w:val="000000" w:themeColor="text1"/>
      <w:kern w:val="0"/>
      <w:sz w:val="28"/>
      <w:szCs w:val="32"/>
      <w:lang w:eastAsia="en-GB"/>
    </w:rPr>
  </w:style>
  <w:style w:type="paragraph" w:styleId="Heading3">
    <w:name w:val="heading 3"/>
    <w:basedOn w:val="Normal"/>
    <w:next w:val="Normal"/>
    <w:link w:val="Heading3Char"/>
    <w:autoRedefine/>
    <w:uiPriority w:val="9"/>
    <w:semiHidden/>
    <w:unhideWhenUsed/>
    <w:qFormat/>
    <w:rsid w:val="002C42C7"/>
    <w:pPr>
      <w:keepNext/>
      <w:keepLines/>
      <w:spacing w:before="160" w:after="80" w:line="256" w:lineRule="auto"/>
      <w:outlineLvl w:val="2"/>
    </w:pPr>
    <w:rPr>
      <w:rFonts w:eastAsiaTheme="majorEastAsia" w:cstheme="majorBidi"/>
      <w:b/>
      <w:color w:val="0F4761" w:themeColor="accent1" w:themeShade="BF"/>
      <w:kern w:val="0"/>
      <w:sz w:val="26"/>
      <w:szCs w:val="28"/>
    </w:rPr>
  </w:style>
  <w:style w:type="paragraph" w:styleId="Heading4">
    <w:name w:val="heading 4"/>
    <w:basedOn w:val="Normal"/>
    <w:next w:val="Normal"/>
    <w:link w:val="Heading4Char"/>
    <w:uiPriority w:val="9"/>
    <w:semiHidden/>
    <w:unhideWhenUsed/>
    <w:qFormat/>
    <w:rsid w:val="00136BF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6BF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6BF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6BF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6BF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6BF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2C7"/>
    <w:rPr>
      <w:rFonts w:ascii="Times New Roman" w:eastAsiaTheme="majorEastAsia" w:hAnsi="Times New Roman" w:cstheme="majorBidi"/>
      <w:b/>
      <w:color w:val="000000" w:themeColor="text1"/>
      <w:kern w:val="0"/>
      <w:sz w:val="32"/>
      <w:szCs w:val="40"/>
    </w:rPr>
  </w:style>
  <w:style w:type="character" w:customStyle="1" w:styleId="Heading2Char">
    <w:name w:val="Heading 2 Char"/>
    <w:basedOn w:val="DefaultParagraphFont"/>
    <w:link w:val="Heading2"/>
    <w:uiPriority w:val="9"/>
    <w:rsid w:val="007D24FB"/>
    <w:rPr>
      <w:rFonts w:ascii="Times New Roman" w:eastAsia="Times New Roman" w:hAnsi="Times New Roman" w:cstheme="majorBidi"/>
      <w:b/>
      <w:color w:val="000000" w:themeColor="text1"/>
      <w:kern w:val="0"/>
      <w:sz w:val="28"/>
      <w:szCs w:val="32"/>
      <w:lang w:eastAsia="en-GB"/>
    </w:rPr>
  </w:style>
  <w:style w:type="character" w:customStyle="1" w:styleId="Heading3Char">
    <w:name w:val="Heading 3 Char"/>
    <w:basedOn w:val="DefaultParagraphFont"/>
    <w:link w:val="Heading3"/>
    <w:uiPriority w:val="9"/>
    <w:semiHidden/>
    <w:rsid w:val="002C42C7"/>
    <w:rPr>
      <w:rFonts w:ascii="Times New Roman" w:eastAsiaTheme="majorEastAsia" w:hAnsi="Times New Roman" w:cstheme="majorBidi"/>
      <w:b/>
      <w:color w:val="0F4761" w:themeColor="accent1" w:themeShade="BF"/>
      <w:kern w:val="0"/>
      <w:sz w:val="26"/>
      <w:szCs w:val="28"/>
    </w:rPr>
  </w:style>
  <w:style w:type="character" w:customStyle="1" w:styleId="Heading4Char">
    <w:name w:val="Heading 4 Char"/>
    <w:basedOn w:val="DefaultParagraphFont"/>
    <w:link w:val="Heading4"/>
    <w:uiPriority w:val="9"/>
    <w:semiHidden/>
    <w:rsid w:val="00136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BF4"/>
    <w:rPr>
      <w:rFonts w:eastAsiaTheme="majorEastAsia" w:cstheme="majorBidi"/>
      <w:color w:val="272727" w:themeColor="text1" w:themeTint="D8"/>
    </w:rPr>
  </w:style>
  <w:style w:type="paragraph" w:styleId="Title">
    <w:name w:val="Title"/>
    <w:basedOn w:val="Normal"/>
    <w:next w:val="Normal"/>
    <w:link w:val="TitleChar"/>
    <w:uiPriority w:val="10"/>
    <w:qFormat/>
    <w:rsid w:val="0013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BF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BF4"/>
    <w:pPr>
      <w:spacing w:before="160"/>
      <w:jc w:val="center"/>
    </w:pPr>
    <w:rPr>
      <w:i/>
      <w:iCs/>
      <w:color w:val="404040" w:themeColor="text1" w:themeTint="BF"/>
    </w:rPr>
  </w:style>
  <w:style w:type="character" w:customStyle="1" w:styleId="QuoteChar">
    <w:name w:val="Quote Char"/>
    <w:basedOn w:val="DefaultParagraphFont"/>
    <w:link w:val="Quote"/>
    <w:uiPriority w:val="29"/>
    <w:rsid w:val="00136BF4"/>
    <w:rPr>
      <w:rFonts w:ascii="Times New Roman" w:hAnsi="Times New Roman"/>
      <w:i/>
      <w:iCs/>
      <w:color w:val="404040" w:themeColor="text1" w:themeTint="BF"/>
    </w:rPr>
  </w:style>
  <w:style w:type="paragraph" w:styleId="ListParagraph">
    <w:name w:val="List Paragraph"/>
    <w:basedOn w:val="Normal"/>
    <w:uiPriority w:val="34"/>
    <w:qFormat/>
    <w:rsid w:val="00136BF4"/>
    <w:pPr>
      <w:ind w:left="720"/>
      <w:contextualSpacing/>
    </w:pPr>
  </w:style>
  <w:style w:type="character" w:styleId="IntenseEmphasis">
    <w:name w:val="Intense Emphasis"/>
    <w:basedOn w:val="DefaultParagraphFont"/>
    <w:uiPriority w:val="21"/>
    <w:qFormat/>
    <w:rsid w:val="00136BF4"/>
    <w:rPr>
      <w:i/>
      <w:iCs/>
      <w:color w:val="0F4761" w:themeColor="accent1" w:themeShade="BF"/>
    </w:rPr>
  </w:style>
  <w:style w:type="paragraph" w:styleId="IntenseQuote">
    <w:name w:val="Intense Quote"/>
    <w:basedOn w:val="Normal"/>
    <w:next w:val="Normal"/>
    <w:link w:val="IntenseQuoteChar"/>
    <w:uiPriority w:val="30"/>
    <w:qFormat/>
    <w:rsid w:val="00136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BF4"/>
    <w:rPr>
      <w:rFonts w:ascii="Times New Roman" w:hAnsi="Times New Roman"/>
      <w:i/>
      <w:iCs/>
      <w:color w:val="0F4761" w:themeColor="accent1" w:themeShade="BF"/>
    </w:rPr>
  </w:style>
  <w:style w:type="character" w:styleId="IntenseReference">
    <w:name w:val="Intense Reference"/>
    <w:basedOn w:val="DefaultParagraphFont"/>
    <w:uiPriority w:val="32"/>
    <w:qFormat/>
    <w:rsid w:val="00136BF4"/>
    <w:rPr>
      <w:b/>
      <w:bCs/>
      <w:smallCaps/>
      <w:color w:val="0F4761" w:themeColor="accent1" w:themeShade="BF"/>
      <w:spacing w:val="5"/>
    </w:rPr>
  </w:style>
  <w:style w:type="paragraph" w:styleId="NormalWeb">
    <w:name w:val="Normal (Web)"/>
    <w:basedOn w:val="Normal"/>
    <w:uiPriority w:val="99"/>
    <w:semiHidden/>
    <w:unhideWhenUsed/>
    <w:rsid w:val="00CE4811"/>
    <w:pPr>
      <w:spacing w:before="100" w:beforeAutospacing="1" w:after="100" w:afterAutospacing="1" w:line="240" w:lineRule="auto"/>
      <w:jc w:val="left"/>
    </w:pPr>
    <w:rPr>
      <w:rFonts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63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hp</cp:lastModifiedBy>
  <cp:revision>2</cp:revision>
  <dcterms:created xsi:type="dcterms:W3CDTF">2026-07-12T22:33:00Z</dcterms:created>
  <dcterms:modified xsi:type="dcterms:W3CDTF">2026-07-12T22:33:00Z</dcterms:modified>
</cp:coreProperties>
</file>