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6088C" w14:textId="77777777" w:rsidR="00417BB3" w:rsidRDefault="003B3263">
      <w:pPr>
        <w:rPr>
          <w:b/>
          <w:bCs/>
          <w:sz w:val="28"/>
          <w:szCs w:val="28"/>
        </w:rPr>
      </w:pPr>
      <w:r>
        <w:rPr>
          <w:b/>
          <w:bCs/>
          <w:noProof/>
          <w:sz w:val="28"/>
          <w:szCs w:val="28"/>
          <w:lang w:val="en-IN"/>
        </w:rPr>
        <w:drawing>
          <wp:inline distT="114300" distB="114300" distL="114300" distR="114300" wp14:anchorId="55179EF9" wp14:editId="063AA594">
            <wp:extent cx="30956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95625" cy="1428750"/>
                    </a:xfrm>
                    <a:prstGeom prst="rect">
                      <a:avLst/>
                    </a:prstGeom>
                    <a:ln/>
                  </pic:spPr>
                </pic:pic>
              </a:graphicData>
            </a:graphic>
          </wp:inline>
        </w:drawing>
      </w:r>
    </w:p>
    <w:p w14:paraId="69F2A552" w14:textId="77777777" w:rsidR="00417BB3" w:rsidRDefault="00417BB3">
      <w:pPr>
        <w:rPr>
          <w:b/>
          <w:bCs/>
          <w:sz w:val="28"/>
          <w:szCs w:val="28"/>
        </w:rPr>
      </w:pPr>
    </w:p>
    <w:p w14:paraId="1D76CE88" w14:textId="77777777" w:rsidR="00417BB3" w:rsidRDefault="00417BB3">
      <w:pPr>
        <w:rPr>
          <w:b/>
          <w:bCs/>
          <w:sz w:val="28"/>
          <w:szCs w:val="28"/>
        </w:rPr>
      </w:pPr>
    </w:p>
    <w:p w14:paraId="71DE03D5" w14:textId="7940A3F3" w:rsidR="00417BB3" w:rsidRPr="006827BE" w:rsidRDefault="003B3263">
      <w:pPr>
        <w:rPr>
          <w:rFonts w:ascii="Arial" w:hAnsi="Arial" w:cs="Arial"/>
          <w:b/>
          <w:bCs/>
          <w:sz w:val="28"/>
          <w:szCs w:val="28"/>
        </w:rPr>
      </w:pPr>
      <w:r w:rsidRPr="006827BE">
        <w:rPr>
          <w:rFonts w:ascii="Arial" w:hAnsi="Arial" w:cs="Arial"/>
          <w:b/>
          <w:bCs/>
          <w:sz w:val="28"/>
          <w:szCs w:val="28"/>
        </w:rPr>
        <w:t>Student name:</w:t>
      </w:r>
      <w:r w:rsidR="004B0CD9" w:rsidRPr="006827BE">
        <w:rPr>
          <w:rFonts w:ascii="Arial" w:hAnsi="Arial" w:cs="Arial"/>
          <w:b/>
          <w:bCs/>
          <w:sz w:val="28"/>
          <w:szCs w:val="28"/>
        </w:rPr>
        <w:t xml:space="preserve"> </w:t>
      </w:r>
      <w:r w:rsidR="004B0CD9" w:rsidRPr="00342A43">
        <w:rPr>
          <w:rFonts w:ascii="Arial" w:hAnsi="Arial" w:cs="Arial"/>
          <w:sz w:val="28"/>
          <w:szCs w:val="28"/>
        </w:rPr>
        <w:t xml:space="preserve">Vitalina </w:t>
      </w:r>
      <w:proofErr w:type="spellStart"/>
      <w:r w:rsidR="004B0CD9" w:rsidRPr="00342A43">
        <w:rPr>
          <w:rFonts w:ascii="Arial" w:hAnsi="Arial" w:cs="Arial"/>
          <w:sz w:val="28"/>
          <w:szCs w:val="28"/>
        </w:rPr>
        <w:t>Kraievska</w:t>
      </w:r>
      <w:proofErr w:type="spellEnd"/>
    </w:p>
    <w:p w14:paraId="6D45E6B5" w14:textId="4493BF83" w:rsidR="00417BB3" w:rsidRPr="006827BE" w:rsidRDefault="003B3263">
      <w:pPr>
        <w:rPr>
          <w:rFonts w:ascii="Arial" w:hAnsi="Arial" w:cs="Arial"/>
          <w:b/>
          <w:bCs/>
          <w:sz w:val="28"/>
          <w:szCs w:val="28"/>
        </w:rPr>
      </w:pPr>
      <w:r w:rsidRPr="006827BE">
        <w:rPr>
          <w:rFonts w:ascii="Arial" w:hAnsi="Arial" w:cs="Arial"/>
          <w:b/>
          <w:bCs/>
          <w:sz w:val="28"/>
          <w:szCs w:val="28"/>
        </w:rPr>
        <w:t>Student ID:</w:t>
      </w:r>
      <w:r w:rsidR="004B0CD9" w:rsidRPr="006827BE">
        <w:rPr>
          <w:rFonts w:ascii="Arial" w:hAnsi="Arial" w:cs="Arial"/>
          <w:b/>
          <w:bCs/>
          <w:sz w:val="28"/>
          <w:szCs w:val="28"/>
        </w:rPr>
        <w:t xml:space="preserve"> </w:t>
      </w:r>
      <w:r w:rsidR="004B0CD9" w:rsidRPr="00342A43">
        <w:rPr>
          <w:rFonts w:ascii="Arial" w:hAnsi="Arial" w:cs="Arial"/>
          <w:sz w:val="28"/>
          <w:szCs w:val="28"/>
        </w:rPr>
        <w:t>2411153</w:t>
      </w:r>
    </w:p>
    <w:p w14:paraId="563E0650" w14:textId="712E8F71" w:rsidR="005E7AD6" w:rsidRPr="00342A43" w:rsidRDefault="005E7AD6" w:rsidP="005E7AD6">
      <w:pPr>
        <w:rPr>
          <w:rFonts w:ascii="Arial" w:eastAsia="Arial" w:hAnsi="Arial" w:cs="Arial"/>
          <w:b/>
          <w:bCs/>
          <w:sz w:val="28"/>
          <w:szCs w:val="28"/>
        </w:rPr>
      </w:pPr>
      <w:r w:rsidRPr="006827BE">
        <w:rPr>
          <w:rFonts w:ascii="Arial" w:eastAsia="Arial" w:hAnsi="Arial" w:cs="Arial"/>
          <w:b/>
          <w:bCs/>
          <w:sz w:val="28"/>
          <w:szCs w:val="28"/>
        </w:rPr>
        <w:t>Date of submission</w:t>
      </w:r>
      <w:r w:rsidRPr="006827BE">
        <w:rPr>
          <w:rFonts w:ascii="Arial" w:eastAsia="Arial" w:hAnsi="Arial" w:cs="Arial"/>
          <w:sz w:val="28"/>
          <w:szCs w:val="28"/>
        </w:rPr>
        <w:t xml:space="preserve">: </w:t>
      </w:r>
      <w:r w:rsidRPr="00342A43">
        <w:rPr>
          <w:rFonts w:ascii="Arial" w:eastAsia="Arial" w:hAnsi="Arial" w:cs="Arial"/>
          <w:sz w:val="28"/>
          <w:szCs w:val="28"/>
        </w:rPr>
        <w:t>31.07.2026</w:t>
      </w:r>
    </w:p>
    <w:p w14:paraId="50DB6196" w14:textId="036BD7BA" w:rsidR="005E7AD6" w:rsidRPr="00342A43" w:rsidRDefault="005E7AD6" w:rsidP="005E7AD6">
      <w:pPr>
        <w:rPr>
          <w:rFonts w:ascii="Arial" w:hAnsi="Arial" w:cs="Arial"/>
          <w:b/>
          <w:bCs/>
          <w:sz w:val="28"/>
          <w:szCs w:val="28"/>
        </w:rPr>
      </w:pPr>
      <w:r w:rsidRPr="00342A43">
        <w:rPr>
          <w:rFonts w:ascii="Arial" w:eastAsia="Arial" w:hAnsi="Arial" w:cs="Arial"/>
          <w:b/>
          <w:bCs/>
          <w:sz w:val="28"/>
          <w:szCs w:val="28"/>
        </w:rPr>
        <w:t>Lecturer’s name:</w:t>
      </w:r>
      <w:r w:rsidR="006827BE" w:rsidRPr="00342A43">
        <w:rPr>
          <w:rFonts w:ascii="Arial" w:eastAsia="Arial" w:hAnsi="Arial" w:cs="Arial"/>
          <w:b/>
          <w:bCs/>
          <w:sz w:val="28"/>
          <w:szCs w:val="28"/>
        </w:rPr>
        <w:t xml:space="preserve"> </w:t>
      </w:r>
      <w:r w:rsidR="007D5E6F" w:rsidRPr="00342A43">
        <w:rPr>
          <w:rFonts w:ascii="Arial" w:eastAsia="Arial" w:hAnsi="Arial" w:cs="Arial"/>
          <w:sz w:val="28"/>
          <w:szCs w:val="28"/>
        </w:rPr>
        <w:t>Caroline Salami</w:t>
      </w:r>
    </w:p>
    <w:p w14:paraId="2DB08FFD" w14:textId="77777777" w:rsidR="00417BB3" w:rsidRDefault="00417BB3">
      <w:pPr>
        <w:rPr>
          <w:b/>
          <w:bCs/>
          <w:sz w:val="28"/>
          <w:szCs w:val="28"/>
        </w:rPr>
      </w:pPr>
    </w:p>
    <w:p w14:paraId="6990957B" w14:textId="77777777" w:rsidR="00417BB3" w:rsidRDefault="00417BB3">
      <w:pPr>
        <w:rPr>
          <w:b/>
          <w:bCs/>
          <w:sz w:val="28"/>
          <w:szCs w:val="28"/>
        </w:rPr>
      </w:pPr>
    </w:p>
    <w:p w14:paraId="6AC36ED7" w14:textId="77777777" w:rsidR="00417BB3" w:rsidRPr="006827BE" w:rsidRDefault="003B3263">
      <w:pPr>
        <w:rPr>
          <w:rFonts w:ascii="Arial" w:hAnsi="Arial" w:cs="Arial"/>
          <w:b/>
          <w:bCs/>
          <w:sz w:val="28"/>
          <w:szCs w:val="28"/>
        </w:rPr>
      </w:pPr>
      <w:r w:rsidRPr="006827BE">
        <w:rPr>
          <w:rFonts w:ascii="Arial" w:hAnsi="Arial" w:cs="Arial"/>
          <w:b/>
          <w:bCs/>
          <w:sz w:val="28"/>
          <w:szCs w:val="28"/>
        </w:rPr>
        <w:t xml:space="preserve">Programme:  </w:t>
      </w:r>
      <w:r w:rsidRPr="00342A43">
        <w:rPr>
          <w:rFonts w:ascii="Arial" w:hAnsi="Arial" w:cs="Arial"/>
          <w:sz w:val="28"/>
          <w:szCs w:val="28"/>
        </w:rPr>
        <w:t>BSc Health and Social Care</w:t>
      </w:r>
    </w:p>
    <w:p w14:paraId="5ACDE25C" w14:textId="77777777" w:rsidR="00E37C94" w:rsidRDefault="003B3263">
      <w:pPr>
        <w:rPr>
          <w:rFonts w:ascii="Arial" w:hAnsi="Arial" w:cs="Arial"/>
          <w:sz w:val="28"/>
          <w:szCs w:val="28"/>
        </w:rPr>
      </w:pPr>
      <w:r w:rsidRPr="006827BE">
        <w:rPr>
          <w:rFonts w:ascii="Arial" w:hAnsi="Arial" w:cs="Arial"/>
          <w:b/>
          <w:bCs/>
          <w:sz w:val="28"/>
          <w:szCs w:val="28"/>
        </w:rPr>
        <w:t xml:space="preserve">Module: </w:t>
      </w:r>
      <w:r w:rsidRPr="00342A43">
        <w:rPr>
          <w:rFonts w:ascii="Arial" w:hAnsi="Arial" w:cs="Arial"/>
          <w:sz w:val="28"/>
          <w:szCs w:val="28"/>
        </w:rPr>
        <w:t xml:space="preserve">Changemakers: Building your Personal Brand for Sustainable </w:t>
      </w:r>
    </w:p>
    <w:p w14:paraId="6680222B" w14:textId="176D5D39" w:rsidR="00417BB3" w:rsidRPr="006827BE" w:rsidRDefault="00E37C94">
      <w:pPr>
        <w:rPr>
          <w:rFonts w:ascii="Arial" w:hAnsi="Arial" w:cs="Arial"/>
          <w:b/>
          <w:bCs/>
          <w:sz w:val="28"/>
          <w:szCs w:val="28"/>
        </w:rPr>
      </w:pPr>
      <w:r>
        <w:rPr>
          <w:rFonts w:ascii="Arial" w:hAnsi="Arial" w:cs="Arial"/>
          <w:sz w:val="28"/>
          <w:szCs w:val="28"/>
        </w:rPr>
        <w:t xml:space="preserve">               </w:t>
      </w:r>
      <w:r w:rsidR="003B3263" w:rsidRPr="00342A43">
        <w:rPr>
          <w:rFonts w:ascii="Arial" w:hAnsi="Arial" w:cs="Arial"/>
          <w:sz w:val="28"/>
          <w:szCs w:val="28"/>
        </w:rPr>
        <w:t>Employment</w:t>
      </w:r>
    </w:p>
    <w:p w14:paraId="5CABB352" w14:textId="77777777" w:rsidR="00417BB3" w:rsidRPr="006827BE" w:rsidRDefault="003B3263">
      <w:pPr>
        <w:rPr>
          <w:rFonts w:ascii="Arial" w:hAnsi="Arial" w:cs="Arial"/>
          <w:b/>
          <w:bCs/>
          <w:sz w:val="28"/>
          <w:szCs w:val="28"/>
        </w:rPr>
      </w:pPr>
      <w:r w:rsidRPr="006827BE">
        <w:rPr>
          <w:rFonts w:ascii="Arial" w:hAnsi="Arial" w:cs="Arial"/>
          <w:b/>
          <w:bCs/>
          <w:sz w:val="28"/>
          <w:szCs w:val="28"/>
        </w:rPr>
        <w:t xml:space="preserve">Module code:  </w:t>
      </w:r>
      <w:r w:rsidRPr="00342A43">
        <w:rPr>
          <w:rFonts w:ascii="Arial" w:hAnsi="Arial" w:cs="Arial"/>
          <w:sz w:val="28"/>
          <w:szCs w:val="28"/>
        </w:rPr>
        <w:t>BMHP5015</w:t>
      </w:r>
    </w:p>
    <w:p w14:paraId="420B399D" w14:textId="77777777" w:rsidR="00417BB3" w:rsidRDefault="00417BB3">
      <w:pPr>
        <w:rPr>
          <w:b/>
          <w:bCs/>
          <w:sz w:val="28"/>
          <w:szCs w:val="28"/>
        </w:rPr>
      </w:pPr>
    </w:p>
    <w:p w14:paraId="43AE1A4C" w14:textId="77777777" w:rsidR="00417BB3" w:rsidRDefault="003B3263">
      <w:pPr>
        <w:pStyle w:val="Heading1"/>
        <w:keepNext w:val="0"/>
        <w:keepLines w:val="0"/>
      </w:pPr>
      <w:bookmarkStart w:id="0" w:name="_sjwh4tyotn10" w:colFirst="0" w:colLast="0"/>
      <w:bookmarkEnd w:id="0"/>
      <w:r>
        <w:br w:type="page"/>
      </w:r>
    </w:p>
    <w:bookmarkStart w:id="1" w:name="_9x6k61vr0x9p"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eastAsia="en-IN"/>
        </w:rPr>
        <w:id w:val="999855609"/>
        <w:docPartObj>
          <w:docPartGallery w:val="Table of Contents"/>
          <w:docPartUnique/>
        </w:docPartObj>
      </w:sdtPr>
      <w:sdtEndPr>
        <w:rPr>
          <w:noProof/>
        </w:rPr>
      </w:sdtEndPr>
      <w:sdtContent>
        <w:p w14:paraId="09339C6C" w14:textId="77777777" w:rsidR="00933559" w:rsidRPr="00933559" w:rsidRDefault="00933559" w:rsidP="00933559">
          <w:pPr>
            <w:pStyle w:val="TOCHeading"/>
            <w:jc w:val="center"/>
            <w:rPr>
              <w:rFonts w:ascii="Times New Roman" w:hAnsi="Times New Roman" w:cs="Times New Roman"/>
              <w:color w:val="000000" w:themeColor="text1"/>
            </w:rPr>
          </w:pPr>
          <w:r w:rsidRPr="00933559">
            <w:rPr>
              <w:rFonts w:ascii="Times New Roman" w:hAnsi="Times New Roman" w:cs="Times New Roman"/>
              <w:color w:val="000000" w:themeColor="text1"/>
            </w:rPr>
            <w:t>Table of Contents</w:t>
          </w:r>
        </w:p>
        <w:p w14:paraId="1C04814D" w14:textId="77777777" w:rsidR="00933559" w:rsidRDefault="00933559">
          <w:pPr>
            <w:pStyle w:val="TOC1"/>
            <w:tabs>
              <w:tab w:val="right" w:leader="dot" w:pos="9350"/>
            </w:tabs>
            <w:rPr>
              <w:noProof/>
            </w:rPr>
          </w:pPr>
          <w:r>
            <w:fldChar w:fldCharType="begin"/>
          </w:r>
          <w:r>
            <w:instrText xml:space="preserve"> TOC \o "1-3" \h \z \u </w:instrText>
          </w:r>
          <w:r>
            <w:fldChar w:fldCharType="separate"/>
          </w:r>
          <w:hyperlink w:anchor="_Toc236085561" w:history="1">
            <w:r w:rsidRPr="00B3451E">
              <w:rPr>
                <w:rStyle w:val="Hyperlink"/>
                <w:noProof/>
              </w:rPr>
              <w:t>Introduction</w:t>
            </w:r>
            <w:r>
              <w:rPr>
                <w:noProof/>
                <w:webHidden/>
              </w:rPr>
              <w:tab/>
            </w:r>
            <w:r>
              <w:rPr>
                <w:noProof/>
                <w:webHidden/>
              </w:rPr>
              <w:fldChar w:fldCharType="begin"/>
            </w:r>
            <w:r>
              <w:rPr>
                <w:noProof/>
                <w:webHidden/>
              </w:rPr>
              <w:instrText xml:space="preserve"> PAGEREF _Toc236085561 \h </w:instrText>
            </w:r>
            <w:r>
              <w:rPr>
                <w:noProof/>
                <w:webHidden/>
              </w:rPr>
            </w:r>
            <w:r>
              <w:rPr>
                <w:noProof/>
                <w:webHidden/>
              </w:rPr>
              <w:fldChar w:fldCharType="separate"/>
            </w:r>
            <w:r>
              <w:rPr>
                <w:noProof/>
                <w:webHidden/>
              </w:rPr>
              <w:t>2</w:t>
            </w:r>
            <w:r>
              <w:rPr>
                <w:noProof/>
                <w:webHidden/>
              </w:rPr>
              <w:fldChar w:fldCharType="end"/>
            </w:r>
          </w:hyperlink>
        </w:p>
        <w:p w14:paraId="73E124EF" w14:textId="77777777" w:rsidR="00933559" w:rsidRDefault="00E37C94">
          <w:pPr>
            <w:pStyle w:val="TOC1"/>
            <w:tabs>
              <w:tab w:val="right" w:leader="dot" w:pos="9350"/>
            </w:tabs>
            <w:rPr>
              <w:noProof/>
            </w:rPr>
          </w:pPr>
          <w:hyperlink w:anchor="_Toc236085562" w:history="1">
            <w:r w:rsidR="00933559" w:rsidRPr="00B3451E">
              <w:rPr>
                <w:rStyle w:val="Hyperlink"/>
                <w:noProof/>
              </w:rPr>
              <w:t>Introduction and Reflection on Unit 1: Brand You</w:t>
            </w:r>
            <w:r w:rsidR="00933559">
              <w:rPr>
                <w:noProof/>
                <w:webHidden/>
              </w:rPr>
              <w:tab/>
            </w:r>
            <w:r w:rsidR="00933559">
              <w:rPr>
                <w:noProof/>
                <w:webHidden/>
              </w:rPr>
              <w:fldChar w:fldCharType="begin"/>
            </w:r>
            <w:r w:rsidR="00933559">
              <w:rPr>
                <w:noProof/>
                <w:webHidden/>
              </w:rPr>
              <w:instrText xml:space="preserve"> PAGEREF _Toc236085562 \h </w:instrText>
            </w:r>
            <w:r w:rsidR="00933559">
              <w:rPr>
                <w:noProof/>
                <w:webHidden/>
              </w:rPr>
            </w:r>
            <w:r w:rsidR="00933559">
              <w:rPr>
                <w:noProof/>
                <w:webHidden/>
              </w:rPr>
              <w:fldChar w:fldCharType="separate"/>
            </w:r>
            <w:r w:rsidR="00933559">
              <w:rPr>
                <w:noProof/>
                <w:webHidden/>
              </w:rPr>
              <w:t>2</w:t>
            </w:r>
            <w:r w:rsidR="00933559">
              <w:rPr>
                <w:noProof/>
                <w:webHidden/>
              </w:rPr>
              <w:fldChar w:fldCharType="end"/>
            </w:r>
          </w:hyperlink>
        </w:p>
        <w:p w14:paraId="1F52ED59" w14:textId="7E3D0545" w:rsidR="00933559" w:rsidRDefault="00E37C94">
          <w:pPr>
            <w:pStyle w:val="TOC1"/>
            <w:tabs>
              <w:tab w:val="right" w:leader="dot" w:pos="9350"/>
            </w:tabs>
            <w:rPr>
              <w:noProof/>
            </w:rPr>
          </w:pPr>
          <w:hyperlink w:anchor="_Toc236085563" w:history="1">
            <w:r w:rsidR="00933559" w:rsidRPr="00B3451E">
              <w:rPr>
                <w:rStyle w:val="Hyperlink"/>
                <w:noProof/>
              </w:rPr>
              <w:t xml:space="preserve">Task 2 – Reflection on Unit 2: </w:t>
            </w:r>
            <w:r w:rsidR="00933559" w:rsidRPr="00B3451E">
              <w:rPr>
                <w:rStyle w:val="Hyperlink"/>
                <w:i/>
                <w:iCs/>
                <w:noProof/>
              </w:rPr>
              <w:t>It's a Small World</w:t>
            </w:r>
            <w:r w:rsidR="002D3285">
              <w:rPr>
                <w:noProof/>
                <w:webHidden/>
              </w:rPr>
              <w:t>…………………………………………………</w:t>
            </w:r>
            <w:r w:rsidR="006112E4">
              <w:rPr>
                <w:noProof/>
                <w:webHidden/>
              </w:rPr>
              <w:t>6</w:t>
            </w:r>
          </w:hyperlink>
        </w:p>
        <w:p w14:paraId="4B682102" w14:textId="41AFB24E" w:rsidR="00933559" w:rsidRDefault="00E37C94">
          <w:pPr>
            <w:pStyle w:val="TOC1"/>
            <w:tabs>
              <w:tab w:val="right" w:leader="dot" w:pos="9350"/>
            </w:tabs>
            <w:rPr>
              <w:noProof/>
            </w:rPr>
          </w:pPr>
          <w:hyperlink w:anchor="_Toc236085564" w:history="1">
            <w:r w:rsidR="00933559" w:rsidRPr="00B3451E">
              <w:rPr>
                <w:rStyle w:val="Hyperlink"/>
                <w:noProof/>
              </w:rPr>
              <w:t xml:space="preserve">Task 3 – Reflection on Unit 3: </w:t>
            </w:r>
            <w:r w:rsidR="00933559" w:rsidRPr="00B3451E">
              <w:rPr>
                <w:rStyle w:val="Hyperlink"/>
                <w:i/>
                <w:iCs/>
                <w:noProof/>
              </w:rPr>
              <w:t>Opportunity Knocks</w:t>
            </w:r>
            <w:r w:rsidR="00933559">
              <w:rPr>
                <w:noProof/>
                <w:webHidden/>
              </w:rPr>
              <w:tab/>
            </w:r>
            <w:r w:rsidR="002E26DD">
              <w:rPr>
                <w:noProof/>
                <w:webHidden/>
              </w:rPr>
              <w:t>9</w:t>
            </w:r>
          </w:hyperlink>
        </w:p>
        <w:p w14:paraId="74C733F9" w14:textId="6BD0FF13" w:rsidR="00933559" w:rsidRDefault="00E37C94">
          <w:pPr>
            <w:pStyle w:val="TOC1"/>
            <w:tabs>
              <w:tab w:val="right" w:leader="dot" w:pos="9350"/>
            </w:tabs>
            <w:rPr>
              <w:noProof/>
            </w:rPr>
          </w:pPr>
          <w:hyperlink w:anchor="_Toc236085565" w:history="1">
            <w:r w:rsidR="00933559" w:rsidRPr="00B3451E">
              <w:rPr>
                <w:rStyle w:val="Hyperlink"/>
                <w:noProof/>
              </w:rPr>
              <w:t xml:space="preserve">Task 4 – Reflection on Unit 4: </w:t>
            </w:r>
            <w:r w:rsidR="00933559" w:rsidRPr="00B3451E">
              <w:rPr>
                <w:rStyle w:val="Hyperlink"/>
                <w:i/>
                <w:iCs/>
                <w:noProof/>
              </w:rPr>
              <w:t>The Pursuit of Happiness</w:t>
            </w:r>
            <w:r w:rsidR="00933559" w:rsidRPr="00B3451E">
              <w:rPr>
                <w:rStyle w:val="Hyperlink"/>
                <w:noProof/>
              </w:rPr>
              <w:t xml:space="preserve"> and Conclusion</w:t>
            </w:r>
            <w:r w:rsidR="00933559">
              <w:rPr>
                <w:noProof/>
                <w:webHidden/>
              </w:rPr>
              <w:tab/>
            </w:r>
            <w:r w:rsidR="00A47C61">
              <w:rPr>
                <w:noProof/>
                <w:webHidden/>
              </w:rPr>
              <w:t>12</w:t>
            </w:r>
          </w:hyperlink>
        </w:p>
        <w:p w14:paraId="1921C707" w14:textId="1B73B368" w:rsidR="00933559" w:rsidRDefault="00E37C94">
          <w:pPr>
            <w:pStyle w:val="TOC1"/>
            <w:tabs>
              <w:tab w:val="right" w:leader="dot" w:pos="9350"/>
            </w:tabs>
            <w:rPr>
              <w:noProof/>
            </w:rPr>
          </w:pPr>
          <w:hyperlink w:anchor="_Toc236085566" w:history="1">
            <w:r w:rsidR="00933559" w:rsidRPr="00B3451E">
              <w:rPr>
                <w:rStyle w:val="Hyperlink"/>
                <w:noProof/>
              </w:rPr>
              <w:t>Conclusion</w:t>
            </w:r>
            <w:r w:rsidR="00933559">
              <w:rPr>
                <w:noProof/>
                <w:webHidden/>
              </w:rPr>
              <w:tab/>
            </w:r>
            <w:r w:rsidR="00A47C61">
              <w:rPr>
                <w:noProof/>
                <w:webHidden/>
              </w:rPr>
              <w:t>15</w:t>
            </w:r>
          </w:hyperlink>
        </w:p>
        <w:p w14:paraId="3FDD1CDA" w14:textId="2E7F36A6" w:rsidR="00933559" w:rsidRDefault="00E37C94">
          <w:pPr>
            <w:pStyle w:val="TOC1"/>
            <w:tabs>
              <w:tab w:val="right" w:leader="dot" w:pos="9350"/>
            </w:tabs>
            <w:rPr>
              <w:noProof/>
            </w:rPr>
          </w:pPr>
          <w:hyperlink w:anchor="_Toc236085567" w:history="1">
            <w:r w:rsidR="00933559" w:rsidRPr="00B3451E">
              <w:rPr>
                <w:rStyle w:val="Hyperlink"/>
                <w:noProof/>
              </w:rPr>
              <w:t>Reference List</w:t>
            </w:r>
            <w:r w:rsidR="00933559">
              <w:rPr>
                <w:noProof/>
                <w:webHidden/>
              </w:rPr>
              <w:tab/>
            </w:r>
            <w:r w:rsidR="00EA0393">
              <w:rPr>
                <w:noProof/>
                <w:webHidden/>
              </w:rPr>
              <w:t>1</w:t>
            </w:r>
            <w:r w:rsidR="00A47C61">
              <w:rPr>
                <w:noProof/>
                <w:webHidden/>
              </w:rPr>
              <w:t>6</w:t>
            </w:r>
          </w:hyperlink>
        </w:p>
        <w:p w14:paraId="20A8B1B6" w14:textId="77777777" w:rsidR="00933559" w:rsidRDefault="00933559">
          <w:r>
            <w:rPr>
              <w:b/>
              <w:bCs/>
              <w:noProof/>
            </w:rPr>
            <w:fldChar w:fldCharType="end"/>
          </w:r>
        </w:p>
      </w:sdtContent>
    </w:sdt>
    <w:p w14:paraId="02B656C8" w14:textId="77777777" w:rsidR="00933559" w:rsidRDefault="00933559">
      <w:pPr>
        <w:rPr>
          <w:b/>
          <w:bCs/>
          <w:sz w:val="28"/>
          <w:szCs w:val="28"/>
        </w:rPr>
      </w:pPr>
      <w:bookmarkStart w:id="2" w:name="_Toc236085561"/>
      <w:r>
        <w:br w:type="page"/>
      </w:r>
    </w:p>
    <w:p w14:paraId="282BEAF5" w14:textId="77777777" w:rsidR="00417BB3" w:rsidRDefault="003B3263">
      <w:pPr>
        <w:pStyle w:val="Heading1"/>
      </w:pPr>
      <w:r>
        <w:lastRenderedPageBreak/>
        <w:t>Introduction</w:t>
      </w:r>
      <w:bookmarkEnd w:id="2"/>
    </w:p>
    <w:p w14:paraId="37E18A9B" w14:textId="77777777" w:rsidR="00417BB3" w:rsidRDefault="003B3263">
      <w:r>
        <w:t>The Changemakers: Building Your Brand for Sustainable Employment module has given me knowledge and skills which can assist me in my personal and professional development in the health and social care sector. This reflective portfolio will explore my learning from the four units of the module and how these units have enabled me to understand the concepts of personal branding, global perspectives, careers and opportunities, networking, as well as wellbeing and professional development. I have written reflections at the end of each unit in the portfolio, which will focus on the key concepts covered in that unit, and I will explore how these key concepts have helped me develop my knowledge, skills and future career plans. I reflect on my practice using academic theories and models to make the link between classroom learning and professional practice.</w:t>
      </w:r>
    </w:p>
    <w:p w14:paraId="628F1F5E" w14:textId="77777777" w:rsidR="00417BB3" w:rsidRDefault="003B3263">
      <w:pPr>
        <w:pStyle w:val="Heading1"/>
        <w:keepNext w:val="0"/>
        <w:keepLines w:val="0"/>
        <w:spacing w:before="280"/>
      </w:pPr>
      <w:bookmarkStart w:id="3" w:name="_6gf5intqu3lq" w:colFirst="0" w:colLast="0"/>
      <w:bookmarkStart w:id="4" w:name="_Toc236085562"/>
      <w:bookmarkEnd w:id="3"/>
      <w:r>
        <w:t>Introduction and Reflection on Unit 1: Brand You</w:t>
      </w:r>
      <w:bookmarkEnd w:id="4"/>
      <w:r>
        <w:t xml:space="preserve"> </w:t>
      </w:r>
    </w:p>
    <w:p w14:paraId="27B348CB" w14:textId="77777777" w:rsidR="00417BB3" w:rsidRDefault="003B3263">
      <w:r>
        <w:t>In Unit 1, Brand You, students learned the significance of building a personal brand as a key component to their employability and career success. The lectures were focused on the understanding of the role of self-awareness, ambition, goal setting, and motivation in the formation of a good professional identity. The unit also allowed students to consider their values, strengths and career aspirations and how these can be effectively communicated to their employer. The lectures, discussions and activities on Moodle allowed me to get a better grasp on the concept of personal branding, not just self-promotion, but authenticity, lifelong learning and professional development. The module aims to build employability skills and enable students to create a professional identity that aligns with future career opportunities.</w:t>
      </w:r>
    </w:p>
    <w:p w14:paraId="23FC5FF3" w14:textId="77777777" w:rsidR="00417BB3" w:rsidRDefault="003B3263">
      <w:r>
        <w:t xml:space="preserve">A key idea I gained was self-awareness. Before this unit, I thought of career planning principally as getting qualifications. But I knew that I also needed to know my strengths and weaknesses, values and aspirations to create a successful career. I completed the online self-reflection exercises, which enabled me to reflect upon my personal attributes and areas for development. This learning is consistent with Johari's Window (Baker, 2020), which states that when people become more self-aware through feedback and reflection, they become more effective in their personal lives and </w:t>
      </w:r>
      <w:r>
        <w:lastRenderedPageBreak/>
        <w:t xml:space="preserve">have better working relationships. Likewise, Gibson </w:t>
      </w:r>
      <w:r>
        <w:rPr>
          <w:i/>
          <w:iCs/>
        </w:rPr>
        <w:t>et al.</w:t>
      </w:r>
      <w:r>
        <w:t xml:space="preserve"> (2021) maintain that branding starts with first identifying an individual's qualities and then consistently presenting them to the world.</w:t>
      </w:r>
    </w:p>
    <w:p w14:paraId="23F9BCB4" w14:textId="77777777" w:rsidR="00417BB3" w:rsidRDefault="003B3263">
      <w:r>
        <w:t>The second concept was the one of ambition and goal setting, which greatly influenced my thinking. The lectures covered the meaning of ambition as the drive for personal and professional fulfilment, and the importance of having clear career goals for direction and motivation. In the classroom activity, I thought about what I want to do in the future, and I made career goals that I am able to achieve. I knew that good targets should be to imagine the larger objectives and work out what you need to do to attain them. This experience confirmed the Goal-Setting theory of Locke and Latham (2002) that states that specific challenging goals lead to better motivation and performance. I knew that ambition isn't the only factor that determines success in a career; planning and hard work were also important.</w:t>
      </w:r>
    </w:p>
    <w:p w14:paraId="3EC90D8C" w14:textId="77777777" w:rsidR="00417BB3" w:rsidRDefault="003B3263">
      <w:r>
        <w:t>Pink's motivational model on the three concepts that impacted me the most was Autonomy, Mastery and Purpose. The lectures illustrated that having control over decisions (autonomy), continuously building expertise mastery)) and meaningful objectives (purpose) are factors that make people more intrinsically motivated. I realised that a job path must not be chosen just for monetary gain, but considering personal interests and values as well. The whole idea of continuous learning and skill enhancement that was promoted fit right into my mind and inspired me to think about the importance of lifelong learning and continuous skill development for maintaining a strong personal brand. I believe these three elements motivate sustainable motivation and also increase levels of performance, which will help my future development as a professional.</w:t>
      </w:r>
    </w:p>
    <w:p w14:paraId="42198AA0" w14:textId="77777777" w:rsidR="00417BB3" w:rsidRDefault="003B3263">
      <w:r>
        <w:t>In general, Unit 1 enhanced my awareness that personal branding is a continuous process of self-awareness, clear career objectives and motivation. The lectures and online activities prompted me to think critically about my future career, and to recognise strategies I can use to improve my employability. This learning has helped to boost my confidence to develop a professional identity that embodies my true strengths and supports my future career goals.</w:t>
      </w:r>
    </w:p>
    <w:p w14:paraId="68E80300" w14:textId="0028C65A" w:rsidR="00417BB3" w:rsidRDefault="003B3263">
      <w:pPr>
        <w:rPr>
          <w:b/>
          <w:bCs/>
        </w:rPr>
      </w:pPr>
      <w:r>
        <w:rPr>
          <w:b/>
          <w:bCs/>
        </w:rPr>
        <w:t>Screenshots of online forum activities</w:t>
      </w:r>
      <w:r w:rsidR="0086731F">
        <w:rPr>
          <w:b/>
          <w:bCs/>
        </w:rPr>
        <w:t>:</w:t>
      </w:r>
    </w:p>
    <w:p w14:paraId="374E260A" w14:textId="7D97FEA8" w:rsidR="00662BFE" w:rsidRDefault="00662BFE">
      <w:pPr>
        <w:rPr>
          <w:b/>
          <w:bCs/>
        </w:rPr>
      </w:pPr>
      <w:r>
        <w:rPr>
          <w:b/>
          <w:bCs/>
          <w:noProof/>
        </w:rPr>
        <w:lastRenderedPageBreak/>
        <w:drawing>
          <wp:inline distT="0" distB="0" distL="0" distR="0" wp14:anchorId="3BF8119C" wp14:editId="00FADBA2">
            <wp:extent cx="5935980" cy="32080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3208020"/>
                    </a:xfrm>
                    <a:prstGeom prst="rect">
                      <a:avLst/>
                    </a:prstGeom>
                    <a:noFill/>
                    <a:ln>
                      <a:noFill/>
                    </a:ln>
                  </pic:spPr>
                </pic:pic>
              </a:graphicData>
            </a:graphic>
          </wp:inline>
        </w:drawing>
      </w:r>
    </w:p>
    <w:p w14:paraId="4B1172DC" w14:textId="77777777" w:rsidR="00662BFE" w:rsidRDefault="00662BFE">
      <w:pPr>
        <w:rPr>
          <w:b/>
          <w:bCs/>
        </w:rPr>
      </w:pPr>
    </w:p>
    <w:p w14:paraId="584B6801" w14:textId="39CD3207" w:rsidR="0086731F" w:rsidRDefault="00662BFE">
      <w:r>
        <w:rPr>
          <w:b/>
          <w:bCs/>
          <w:noProof/>
        </w:rPr>
        <w:drawing>
          <wp:inline distT="0" distB="0" distL="0" distR="0" wp14:anchorId="541DD0A5" wp14:editId="08314AC3">
            <wp:extent cx="5935980" cy="31623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980" cy="3162300"/>
                    </a:xfrm>
                    <a:prstGeom prst="rect">
                      <a:avLst/>
                    </a:prstGeom>
                    <a:noFill/>
                    <a:ln>
                      <a:noFill/>
                    </a:ln>
                  </pic:spPr>
                </pic:pic>
              </a:graphicData>
            </a:graphic>
          </wp:inline>
        </w:drawing>
      </w:r>
    </w:p>
    <w:p w14:paraId="33EA1346" w14:textId="77777777" w:rsidR="00FC41C2" w:rsidRDefault="00FC41C2"/>
    <w:p w14:paraId="2973ECEE" w14:textId="0021D496" w:rsidR="00FC41C2" w:rsidRDefault="00FC41C2">
      <w:r>
        <w:rPr>
          <w:noProof/>
        </w:rPr>
        <w:lastRenderedPageBreak/>
        <w:drawing>
          <wp:inline distT="0" distB="0" distL="0" distR="0" wp14:anchorId="526208FE" wp14:editId="1D4F9942">
            <wp:extent cx="5935980" cy="2529840"/>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5980" cy="2529840"/>
                    </a:xfrm>
                    <a:prstGeom prst="rect">
                      <a:avLst/>
                    </a:prstGeom>
                    <a:noFill/>
                    <a:ln>
                      <a:noFill/>
                    </a:ln>
                  </pic:spPr>
                </pic:pic>
              </a:graphicData>
            </a:graphic>
          </wp:inline>
        </w:drawing>
      </w:r>
    </w:p>
    <w:p w14:paraId="458ACD4A" w14:textId="77777777" w:rsidR="00864F24" w:rsidRDefault="00864F24"/>
    <w:p w14:paraId="27C7FFE7" w14:textId="77777777" w:rsidR="00417BB3" w:rsidRDefault="003B3263">
      <w:pPr>
        <w:pStyle w:val="Heading1"/>
        <w:keepNext w:val="0"/>
        <w:keepLines w:val="0"/>
        <w:spacing w:before="280"/>
      </w:pPr>
      <w:bookmarkStart w:id="5" w:name="_vl7rf2s3jhdm" w:colFirst="0" w:colLast="0"/>
      <w:bookmarkStart w:id="6" w:name="_Toc236085563"/>
      <w:bookmarkEnd w:id="5"/>
      <w:r>
        <w:t xml:space="preserve">Task 2 – Reflection on Unit 2: </w:t>
      </w:r>
      <w:r>
        <w:rPr>
          <w:i/>
          <w:iCs/>
        </w:rPr>
        <w:t>It's a Small World</w:t>
      </w:r>
      <w:bookmarkEnd w:id="6"/>
      <w:r>
        <w:t xml:space="preserve"> </w:t>
      </w:r>
    </w:p>
    <w:p w14:paraId="3EB0FFC9" w14:textId="77777777" w:rsidR="00417BB3" w:rsidRDefault="003B3263">
      <w:r>
        <w:t>It's a Small World, Unit 2, has enabled me to broaden my knowledge of the impact globalisation has on careers, work and service delivery in health and social care. Key areas of global connections, cultural competence and diversity, boundaryless careers, gig economy, emotional intelligence, and self-awareness were covered during the lectures. These themes were used as evidence that modern health and social care practitioners often operate across organisational, geographical and cultural boundaries, and are flexible, able to communicate effectively and need to continually update their skills. I gained a wider understanding of the implications of global trends on health care and the skills needed in an increasingly globalised world through the classroom and online learning.</w:t>
      </w:r>
    </w:p>
    <w:p w14:paraId="275184B5" w14:textId="77777777" w:rsidR="00417BB3" w:rsidRDefault="003B3263">
      <w:r>
        <w:t xml:space="preserve">A key idea I developed a grasp of was a boundaryless career. Before this unit, I thought that careers were generally developed within an organisation and not across several. I did realise, however, that more and more people from the medical field spend time in various hospitals, community organisations, private health care providers and even in different countries to expand their knowledge and get new experiences. </w:t>
      </w:r>
      <w:proofErr w:type="spellStart"/>
      <w:r>
        <w:t>Houde</w:t>
      </w:r>
      <w:proofErr w:type="spellEnd"/>
      <w:r>
        <w:t xml:space="preserve"> (2021) defines boundaryless careers as careers that are mobile, skill-portable, and lifelong learning-oriented, and not just one with a long tenure with a single organisation. This idea really motivated me to think about my future job flexibly and to make it adaptable. I now realise that learning to develop transferable skills like communication, </w:t>
      </w:r>
      <w:r>
        <w:lastRenderedPageBreak/>
        <w:t>teamwork and problem-solving will enable me to be effective in my work within the healthcare context and the world of work at large.</w:t>
      </w:r>
    </w:p>
    <w:p w14:paraId="7D5CE08D" w14:textId="77777777" w:rsidR="00417BB3" w:rsidRDefault="003B3263">
      <w:r>
        <w:t>Globalisation, cultural competence and diversity in health and social care were other key topics. The lectures emphasised the increased diversity of cultural, religious and linguistic backgrounds of patients cared for by healthcare professionals. I came to understand that when delivering quality care, one must be respectful of the beliefs, values and expectations of healthcare that may be different from one's own and not have a personal agenda. This learning could be related to Hofstede's Cultural Dimensions Theory (C.D.T) (Hofstede, 2001), which elaborates on how cultural differences can affect communication, behaviours and decisions. These cultural elements have led me to value the importance of culture in health care and the need to communicate in different ways and show cultural sensitivity towards all types of patients. I think I will use this knowledge to be able to give person-centred and inclusive care in my practice in the future.</w:t>
      </w:r>
    </w:p>
    <w:p w14:paraId="6F1F8864" w14:textId="77777777" w:rsidR="00417BB3" w:rsidRDefault="003B3263">
      <w:r>
        <w:t>It also has me thinking differently about the gig economy in today's healthcare job market. I learnt that nurses, health care assistants and care workers are becoming more likely to do agency or flexible work or take up temporary positions in different health care organisations. This type of job enables more flexibility, broader clinical experiences, and more exposure to a variety of job opportunities. But I also knew of its drawbacks, such as decreased job stability, unpredictable income and difficulties with continuity of care. Having considered these pros and cons is a lesson I've learned about the value of being flexible, resilient and a lifelong learner in an ever-changing healthcare workforce.</w:t>
      </w:r>
    </w:p>
    <w:p w14:paraId="27C0583E" w14:textId="77777777" w:rsidR="00417BB3" w:rsidRDefault="003B3263">
      <w:r>
        <w:t>The concept which most personally affected me was emotional intelligence (EI). I found out that emotional intelligence means identifying, understanding, and regulating my own emotions and also reacting effectively to the emotions of patients, families and colleagues (</w:t>
      </w:r>
      <w:proofErr w:type="spellStart"/>
      <w:r>
        <w:t>Yoganathan</w:t>
      </w:r>
      <w:proofErr w:type="spellEnd"/>
      <w:r>
        <w:t xml:space="preserve">, </w:t>
      </w:r>
      <w:proofErr w:type="spellStart"/>
      <w:r>
        <w:t>Osburg</w:t>
      </w:r>
      <w:proofErr w:type="spellEnd"/>
      <w:r>
        <w:t xml:space="preserve">, and </w:t>
      </w:r>
      <w:proofErr w:type="spellStart"/>
      <w:r>
        <w:t>Bartikowski</w:t>
      </w:r>
      <w:proofErr w:type="spellEnd"/>
      <w:r>
        <w:t xml:space="preserve">, 2021). The emotional intelligence self-assessment exercise helped me see how I would like to feel, and where I could strive for improvement in my personal interactions with consumers, particularly in being more empathetic, active listening and feeling in a better way. </w:t>
      </w:r>
      <w:proofErr w:type="spellStart"/>
      <w:r>
        <w:t>Gorbatov</w:t>
      </w:r>
      <w:proofErr w:type="spellEnd"/>
      <w:r>
        <w:t xml:space="preserve"> </w:t>
      </w:r>
      <w:r>
        <w:rPr>
          <w:i/>
          <w:iCs/>
        </w:rPr>
        <w:t>et al.</w:t>
      </w:r>
      <w:r>
        <w:t xml:space="preserve"> (2021) state that emotional intelligence is the crucial skill set for effective leadership, communication and teamwork. I learned that whilst technical knowledge was a part of the role of a health and social care worker, it was also essential to be compassionate, empathetic </w:t>
      </w:r>
      <w:r>
        <w:lastRenderedPageBreak/>
        <w:t>and emotionally resilient in order to ensure that they are able to establish a trusting relationship with the individual and provide person-centred care.</w:t>
      </w:r>
    </w:p>
    <w:p w14:paraId="19061C5D" w14:textId="77777777" w:rsidR="00417BB3" w:rsidRDefault="003B3263">
      <w:r>
        <w:t>I gained a good deal of insight into the impact of globalisation upon health and social care careers from Unit 2 overall. The course lectures and activities helped me to gain awareness of cultural diversity, careers without borders, emotional intelligence and flexible employment models. These experiences have shaped my professional identity: to be culturally competent, emotionally intelligent, adaptable and a lifelong learner.</w:t>
      </w:r>
    </w:p>
    <w:p w14:paraId="1A7AED76" w14:textId="0215C706" w:rsidR="00417BB3" w:rsidRDefault="003B3263">
      <w:pPr>
        <w:rPr>
          <w:b/>
          <w:bCs/>
        </w:rPr>
      </w:pPr>
      <w:r>
        <w:rPr>
          <w:b/>
          <w:bCs/>
        </w:rPr>
        <w:t>Screenshots of online forum activities</w:t>
      </w:r>
      <w:r w:rsidR="00F068CF">
        <w:rPr>
          <w:b/>
          <w:bCs/>
        </w:rPr>
        <w:t>:</w:t>
      </w:r>
    </w:p>
    <w:p w14:paraId="1880CFE7" w14:textId="55667874" w:rsidR="00F068CF" w:rsidRDefault="00F068CF">
      <w:pPr>
        <w:rPr>
          <w:b/>
          <w:bCs/>
        </w:rPr>
      </w:pPr>
      <w:r>
        <w:rPr>
          <w:b/>
          <w:bCs/>
          <w:noProof/>
        </w:rPr>
        <w:drawing>
          <wp:inline distT="0" distB="0" distL="0" distR="0" wp14:anchorId="38F68714" wp14:editId="6B27B0D8">
            <wp:extent cx="5943600" cy="23469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346960"/>
                    </a:xfrm>
                    <a:prstGeom prst="rect">
                      <a:avLst/>
                    </a:prstGeom>
                    <a:noFill/>
                    <a:ln>
                      <a:noFill/>
                    </a:ln>
                  </pic:spPr>
                </pic:pic>
              </a:graphicData>
            </a:graphic>
          </wp:inline>
        </w:drawing>
      </w:r>
    </w:p>
    <w:p w14:paraId="086C9D42" w14:textId="77777777" w:rsidR="00864F24" w:rsidRDefault="00864F24">
      <w:pPr>
        <w:rPr>
          <w:b/>
          <w:bCs/>
        </w:rPr>
      </w:pPr>
    </w:p>
    <w:p w14:paraId="5727E031" w14:textId="0A71F6FD" w:rsidR="00F068CF" w:rsidRDefault="00F068CF">
      <w:pPr>
        <w:rPr>
          <w:b/>
          <w:bCs/>
        </w:rPr>
      </w:pPr>
      <w:r>
        <w:rPr>
          <w:b/>
          <w:bCs/>
          <w:noProof/>
        </w:rPr>
        <w:drawing>
          <wp:inline distT="0" distB="0" distL="0" distR="0" wp14:anchorId="496670AA" wp14:editId="46490153">
            <wp:extent cx="5935980" cy="2049780"/>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5980" cy="2049780"/>
                    </a:xfrm>
                    <a:prstGeom prst="rect">
                      <a:avLst/>
                    </a:prstGeom>
                    <a:noFill/>
                    <a:ln>
                      <a:noFill/>
                    </a:ln>
                  </pic:spPr>
                </pic:pic>
              </a:graphicData>
            </a:graphic>
          </wp:inline>
        </w:drawing>
      </w:r>
    </w:p>
    <w:p w14:paraId="511D0547" w14:textId="77777777" w:rsidR="00F068CF" w:rsidRDefault="00F068CF">
      <w:pPr>
        <w:rPr>
          <w:b/>
          <w:bCs/>
        </w:rPr>
      </w:pPr>
    </w:p>
    <w:p w14:paraId="37BCB215" w14:textId="13BD2F30" w:rsidR="00C30804" w:rsidRDefault="00C30804">
      <w:pPr>
        <w:rPr>
          <w:b/>
          <w:bCs/>
        </w:rPr>
      </w:pPr>
      <w:r>
        <w:rPr>
          <w:b/>
          <w:bCs/>
          <w:noProof/>
        </w:rPr>
        <w:lastRenderedPageBreak/>
        <w:drawing>
          <wp:inline distT="0" distB="0" distL="0" distR="0" wp14:anchorId="442B7376" wp14:editId="3C2FE050">
            <wp:extent cx="5935980" cy="2796540"/>
            <wp:effectExtent l="0" t="0" r="762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5980" cy="2796540"/>
                    </a:xfrm>
                    <a:prstGeom prst="rect">
                      <a:avLst/>
                    </a:prstGeom>
                    <a:noFill/>
                    <a:ln>
                      <a:noFill/>
                    </a:ln>
                  </pic:spPr>
                </pic:pic>
              </a:graphicData>
            </a:graphic>
          </wp:inline>
        </w:drawing>
      </w:r>
    </w:p>
    <w:p w14:paraId="2C8E6B48" w14:textId="77777777" w:rsidR="00C30804" w:rsidRDefault="00C30804">
      <w:pPr>
        <w:rPr>
          <w:b/>
          <w:bCs/>
        </w:rPr>
      </w:pPr>
    </w:p>
    <w:p w14:paraId="78F47AE4" w14:textId="77777777" w:rsidR="00417BB3" w:rsidRDefault="003B3263">
      <w:pPr>
        <w:pStyle w:val="Heading1"/>
        <w:keepNext w:val="0"/>
        <w:keepLines w:val="0"/>
        <w:spacing w:before="280"/>
      </w:pPr>
      <w:bookmarkStart w:id="7" w:name="_nvmvypkr2qwu" w:colFirst="0" w:colLast="0"/>
      <w:bookmarkStart w:id="8" w:name="_Toc236085564"/>
      <w:bookmarkEnd w:id="7"/>
      <w:r>
        <w:t xml:space="preserve">Task 3 – Reflection on Unit 3: </w:t>
      </w:r>
      <w:r>
        <w:rPr>
          <w:i/>
          <w:iCs/>
        </w:rPr>
        <w:t>Opportunity Knocks</w:t>
      </w:r>
      <w:bookmarkEnd w:id="8"/>
      <w:r>
        <w:t xml:space="preserve"> </w:t>
      </w:r>
    </w:p>
    <w:p w14:paraId="561B716A" w14:textId="77777777" w:rsidR="00417BB3" w:rsidRDefault="003B3263">
      <w:r>
        <w:t>The Opportunity Knocks unit expanded my knowledge of how opportunities, linking and networking, collaboration and reflective practice help to grow personally and professionally in health and social care. The lectures covered various important topics: opportunity recognition, developing networks, assessment techniques, personal development planning and inter-organisational working. In the classroom and online forum activities, I learned that work success is all about being active, building relationships, reflecting and planning, and doing it all in a meaningful way.</w:t>
      </w:r>
    </w:p>
    <w:p w14:paraId="75DAE19F" w14:textId="77777777" w:rsidR="00417BB3" w:rsidRDefault="003B3263">
      <w:r>
        <w:t xml:space="preserve">The most valuable thing I learned is networking. Before this unit, my perception of networking was that it was primarily to get a job. I found out, however, that networking is an ongoing process in building up professional connections that aid in learning, sharing of knowledge and career advancement. I discovered that quality professional networks facilitate effective multi-disciplinary working, which enhances services and subsequent outcomes for the patients. I felt encouraged to become more confident in my ability to communicate with professionals and to understand the importance of joining professional organisations, conferences and using social media like LinkedIn through networking. This learning is in line with </w:t>
      </w:r>
      <w:proofErr w:type="spellStart"/>
      <w:r>
        <w:t>Granovetter's</w:t>
      </w:r>
      <w:proofErr w:type="spellEnd"/>
      <w:r>
        <w:t xml:space="preserve"> (1973) Strength of Weak </w:t>
      </w:r>
      <w:r>
        <w:lastRenderedPageBreak/>
        <w:t>Ties Theory, which proposes that wider professional networks will yield more information, opportunities and career growth.</w:t>
      </w:r>
    </w:p>
    <w:p w14:paraId="690E831A" w14:textId="77777777" w:rsidR="00417BB3" w:rsidRDefault="003B3263">
      <w:r>
        <w:t>The other domain of learning of interest was assessment and reflective practice. The lectures brought in the concept of goal-based, process-based and outcome-based evaluation and how organisations determine the success of collaborative activities in relation to the goals that they have set themselves. I understood that making an assessment of the professional relationships will help create strengths, weaknesses and opportunities for development. I also understood how important it was for me to look back on my own experiences to improve my balance for the future. This is in line with Gibbs' Reflective Cycle 1988 for learning, which involves individuals assessing an experience in a systematic way, analysing what they learned, and creating an action plan for further development. By using this framework, I have come to understand the need for continual reflection in professional learning, not just doing or finishing tasks.</w:t>
      </w:r>
    </w:p>
    <w:p w14:paraId="6CC85D7A" w14:textId="77777777" w:rsidR="00417BB3" w:rsidRDefault="003B3263">
      <w:r>
        <w:t xml:space="preserve">The unit also helped me to develop my skills in personal development planning and identifying opportunities that went outside of my comfort zone. I learnt that the chances to be taken are great when people go out of their way to try something new and to challenge themselves. Identifying a structured action plan with the SMART Goal framework (Redondo </w:t>
      </w:r>
      <w:r>
        <w:rPr>
          <w:i/>
          <w:iCs/>
        </w:rPr>
        <w:t>et al.</w:t>
      </w:r>
      <w:r>
        <w:t xml:space="preserve"> 2024) was useful in making sense of the importance of setting goals that are specific, measurable, achievable, relevant and time-bound. I discovered that SMART goals, combined with effective networking is a realistic plan for long-term career goals. This learning experience has inspired me to be more engaged in my volunteering activities, professional training courses and multidisciplinary projects to improve my self-confidence and employability.</w:t>
      </w:r>
    </w:p>
    <w:p w14:paraId="5DB6F3C6" w14:textId="77777777" w:rsidR="00417BB3" w:rsidRDefault="003B3263">
      <w:r>
        <w:t>Overall, Unit 3 helped me learn about the world of work and to understand that career development is a process of continuous networking, assessment, reflection and learning. I am now aware that developing a range of working relationships, assessing my personal development and setting realistic targets for myself will help me to be successful, employable and effective in a health and social care multi-agency setting. This unit has helped me to build my confidence in recognising opportunities for lifelong learning and professional development.</w:t>
      </w:r>
    </w:p>
    <w:p w14:paraId="4EB2E6D8" w14:textId="572CD5AB" w:rsidR="00417BB3" w:rsidRDefault="003B3263">
      <w:pPr>
        <w:rPr>
          <w:b/>
          <w:bCs/>
        </w:rPr>
      </w:pPr>
      <w:r>
        <w:rPr>
          <w:b/>
          <w:bCs/>
        </w:rPr>
        <w:t>Screenshots of online forum activities</w:t>
      </w:r>
      <w:r w:rsidR="00763B71">
        <w:rPr>
          <w:b/>
          <w:bCs/>
        </w:rPr>
        <w:t>:</w:t>
      </w:r>
    </w:p>
    <w:p w14:paraId="6E0DF51C" w14:textId="62136A67" w:rsidR="00763B71" w:rsidRDefault="00763B71">
      <w:r>
        <w:rPr>
          <w:b/>
          <w:bCs/>
          <w:noProof/>
        </w:rPr>
        <w:lastRenderedPageBreak/>
        <w:drawing>
          <wp:inline distT="0" distB="0" distL="0" distR="0" wp14:anchorId="255AEB7A" wp14:editId="117BDECB">
            <wp:extent cx="5928360" cy="2095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28360" cy="2095500"/>
                    </a:xfrm>
                    <a:prstGeom prst="rect">
                      <a:avLst/>
                    </a:prstGeom>
                    <a:noFill/>
                    <a:ln>
                      <a:noFill/>
                    </a:ln>
                  </pic:spPr>
                </pic:pic>
              </a:graphicData>
            </a:graphic>
          </wp:inline>
        </w:drawing>
      </w:r>
    </w:p>
    <w:p w14:paraId="1DE5D2FA" w14:textId="77777777" w:rsidR="00763B71" w:rsidRDefault="00763B71"/>
    <w:p w14:paraId="72149089" w14:textId="5A49639C" w:rsidR="00763B71" w:rsidRDefault="00763B71">
      <w:r>
        <w:rPr>
          <w:noProof/>
        </w:rPr>
        <w:drawing>
          <wp:inline distT="0" distB="0" distL="0" distR="0" wp14:anchorId="74BA38ED" wp14:editId="7CA5D819">
            <wp:extent cx="5928360" cy="17830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8360" cy="1783080"/>
                    </a:xfrm>
                    <a:prstGeom prst="rect">
                      <a:avLst/>
                    </a:prstGeom>
                    <a:noFill/>
                    <a:ln>
                      <a:noFill/>
                    </a:ln>
                  </pic:spPr>
                </pic:pic>
              </a:graphicData>
            </a:graphic>
          </wp:inline>
        </w:drawing>
      </w:r>
    </w:p>
    <w:p w14:paraId="6A7ABE8F" w14:textId="77777777" w:rsidR="007A3611" w:rsidRDefault="007A3611"/>
    <w:p w14:paraId="3237D4B2" w14:textId="2DE70FA8" w:rsidR="007A3611" w:rsidRDefault="007A3611">
      <w:r>
        <w:rPr>
          <w:noProof/>
        </w:rPr>
        <w:drawing>
          <wp:inline distT="0" distB="0" distL="0" distR="0" wp14:anchorId="141398D2" wp14:editId="5D44270A">
            <wp:extent cx="5943600" cy="240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400300"/>
                    </a:xfrm>
                    <a:prstGeom prst="rect">
                      <a:avLst/>
                    </a:prstGeom>
                    <a:noFill/>
                    <a:ln>
                      <a:noFill/>
                    </a:ln>
                  </pic:spPr>
                </pic:pic>
              </a:graphicData>
            </a:graphic>
          </wp:inline>
        </w:drawing>
      </w:r>
    </w:p>
    <w:p w14:paraId="09521E99" w14:textId="77777777" w:rsidR="007A3611" w:rsidRDefault="007A3611"/>
    <w:p w14:paraId="4C7F3BED" w14:textId="77777777" w:rsidR="00763B71" w:rsidRDefault="00763B71"/>
    <w:p w14:paraId="404EC63C" w14:textId="77777777" w:rsidR="00417BB3" w:rsidRDefault="003B3263">
      <w:pPr>
        <w:pStyle w:val="Heading1"/>
        <w:keepNext w:val="0"/>
        <w:keepLines w:val="0"/>
        <w:spacing w:before="280"/>
      </w:pPr>
      <w:bookmarkStart w:id="9" w:name="_bxcczyje76ka" w:colFirst="0" w:colLast="0"/>
      <w:bookmarkStart w:id="10" w:name="_Toc236085565"/>
      <w:bookmarkEnd w:id="9"/>
      <w:r>
        <w:t xml:space="preserve">Task 4 – Reflection on Unit 4: </w:t>
      </w:r>
      <w:r>
        <w:rPr>
          <w:i/>
          <w:iCs/>
        </w:rPr>
        <w:t>The Pursuit of Happiness</w:t>
      </w:r>
      <w:r>
        <w:t xml:space="preserve"> and Conclusion</w:t>
      </w:r>
      <w:bookmarkEnd w:id="10"/>
      <w:r>
        <w:t xml:space="preserve"> </w:t>
      </w:r>
    </w:p>
    <w:p w14:paraId="2917B681" w14:textId="77777777" w:rsidR="00417BB3" w:rsidRDefault="003B3263">
      <w:pPr>
        <w:rPr>
          <w:sz w:val="23"/>
          <w:szCs w:val="23"/>
        </w:rPr>
      </w:pPr>
      <w:r>
        <w:rPr>
          <w:sz w:val="23"/>
          <w:szCs w:val="23"/>
        </w:rPr>
        <w:t>In Unit 4, The Pursuit of Happiness, I improved my knowledge of the factors that lead to success and fulfilment in my work and life relating to wellbeing, resilience, networking, communication and collaboration in health and social care. Lectures included ideas around the network society, bureaucracy and hierarchy, professional networking, social prescribing, work-life balance and wellbeing. The topics showed that, beyond clinical knowledge, a high-quality, person-centred approach to providing care relies on good professional relationships, emotional resilience and collaboration. I gained a wider knowledge of the ways these elements can be used to support sustainable careers and positive individual care outcomes during classroom discussions and activities.</w:t>
      </w:r>
    </w:p>
    <w:p w14:paraId="0DC12A04" w14:textId="77777777" w:rsidR="00417BB3" w:rsidRDefault="003B3263">
      <w:pPr>
        <w:rPr>
          <w:sz w:val="23"/>
          <w:szCs w:val="23"/>
        </w:rPr>
      </w:pPr>
      <w:r>
        <w:rPr>
          <w:sz w:val="23"/>
          <w:szCs w:val="23"/>
        </w:rPr>
        <w:t>A valuable lesson learnt was wellbeing and resilience. I knew that if I was not in a good physical and mental state, then I could not be a safe and compassionate practitioner. During the lectures, the importance of resilience in healthcare professionals for handling stress and coping with challenges was highlighted, given that they are likely to encounter emotionally challenging scenarios. This learning is based on Seligman's PERMA Model (2011), which focuses on Positive Emotion, Engagement, Relationships, Meaning and Accomplishment. I was reminded of the importance of this strategy by reflecting on it, to continue to be motivated in my career by building positive relationships, giving people a sense of purpose, and celebrating their successes. Also learned about the importance of having a healthy work-life balance to avoid burnout and improve the overall performance of a career in the long term.</w:t>
      </w:r>
    </w:p>
    <w:p w14:paraId="467582F1" w14:textId="77777777" w:rsidR="00417BB3" w:rsidRDefault="003B3263">
      <w:pPr>
        <w:rPr>
          <w:sz w:val="23"/>
          <w:szCs w:val="23"/>
        </w:rPr>
      </w:pPr>
      <w:r>
        <w:rPr>
          <w:sz w:val="23"/>
          <w:szCs w:val="23"/>
        </w:rPr>
        <w:t xml:space="preserve">Networking and collaboration were another major lesson that was learned. I gained an insight into the importance of not working in isolation, as healthcare professionals cannot work effectively without cooperation between the various disciplines and the community organisations. I understood that the development of professional relationships allows for the transfer of knowledge, enhances communication and facilitates ongoing learning. This reflection aligns with the ideas of </w:t>
      </w:r>
      <w:proofErr w:type="spellStart"/>
      <w:r>
        <w:t>Mazzetti</w:t>
      </w:r>
      <w:proofErr w:type="spellEnd"/>
      <w:r>
        <w:t xml:space="preserve"> </w:t>
      </w:r>
      <w:r>
        <w:rPr>
          <w:i/>
          <w:iCs/>
        </w:rPr>
        <w:t xml:space="preserve">et al. </w:t>
      </w:r>
      <w:r>
        <w:t xml:space="preserve">(2024), </w:t>
      </w:r>
      <w:r>
        <w:rPr>
          <w:sz w:val="23"/>
          <w:szCs w:val="23"/>
        </w:rPr>
        <w:t>who believe that professional networking provides an opportunity for career development as a way of gaining knowledge, resources and opportunities for collaboration. This has made me more comfortable in developing professional contacts and networks that will help me with my learning and future employability.</w:t>
      </w:r>
    </w:p>
    <w:p w14:paraId="252D26D4" w14:textId="77777777" w:rsidR="00417BB3" w:rsidRDefault="003B3263">
      <w:pPr>
        <w:rPr>
          <w:sz w:val="23"/>
          <w:szCs w:val="23"/>
        </w:rPr>
      </w:pPr>
      <w:r>
        <w:rPr>
          <w:sz w:val="23"/>
          <w:szCs w:val="23"/>
        </w:rPr>
        <w:lastRenderedPageBreak/>
        <w:t>This reinforced my understanding of Person-Centred care with the discussion of bureaucracy, hierarchy and Social prescribing. Organisational hierarchy was a purely hierarchical system of authority to begin with. I discovered, however, that a formal structure is important for holding people to account, but a professional network facilitates collaborative decision-making and communication between health and social care providers. I also saw the potential in social prescribing to take a new approach and expand healthcare beyond a clinical care pathway into reaching people in the community through community groups, voluntary organisations and local services that have a social care remit. This holistic approach is in keeping with person-centred practice in which all aspects of health – emotional, social and community as well as physical – are considered.</w:t>
      </w:r>
    </w:p>
    <w:p w14:paraId="287B372F" w14:textId="07F12D5C" w:rsidR="00B62B3A" w:rsidRDefault="003B3263">
      <w:pPr>
        <w:rPr>
          <w:sz w:val="23"/>
          <w:szCs w:val="23"/>
        </w:rPr>
      </w:pPr>
      <w:r>
        <w:rPr>
          <w:sz w:val="23"/>
          <w:szCs w:val="23"/>
        </w:rPr>
        <w:t>The overall feeling of Unit 4 was that the key concepts of personal branding, resilience, networking and ongoing career development were reinforced throughout. In all four Units, I had an improved knowledge, understanding and appreciation of ambition, self-awareness, emotional intelligence, communication, collaboration and employability. They have made me more confident, enhanced my interpersonal skills and helped me be a reflective practitioner, pursuing lifelong learning. I now understand that to have a successful career in health, social care and other services, other skills besides professional knowledge are required, including resilience, having meaningful relationships and improving the wellbeing of people and the community. The knowledge and skills acquired during this module will help me work effectively with other professionals and provide person-centred and compassionate care.</w:t>
      </w:r>
    </w:p>
    <w:p w14:paraId="749AD5CE" w14:textId="3B36623F" w:rsidR="00417BB3" w:rsidRDefault="003B3263">
      <w:pPr>
        <w:rPr>
          <w:b/>
          <w:bCs/>
        </w:rPr>
      </w:pPr>
      <w:r>
        <w:rPr>
          <w:b/>
          <w:bCs/>
        </w:rPr>
        <w:t>Screenshots of online forum activities</w:t>
      </w:r>
      <w:r w:rsidR="00763B71">
        <w:rPr>
          <w:b/>
          <w:bCs/>
        </w:rPr>
        <w:t>:</w:t>
      </w:r>
    </w:p>
    <w:p w14:paraId="5FE6429A" w14:textId="66DBAE3A" w:rsidR="005B0958" w:rsidRDefault="005B0958">
      <w:pPr>
        <w:rPr>
          <w:sz w:val="23"/>
          <w:szCs w:val="23"/>
        </w:rPr>
      </w:pPr>
      <w:r>
        <w:rPr>
          <w:b/>
          <w:bCs/>
          <w:noProof/>
        </w:rPr>
        <w:lastRenderedPageBreak/>
        <w:drawing>
          <wp:inline distT="0" distB="0" distL="0" distR="0" wp14:anchorId="014AB5FD" wp14:editId="14A4A9B3">
            <wp:extent cx="6318764" cy="3329940"/>
            <wp:effectExtent l="0" t="0" r="635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21753" cy="3331515"/>
                    </a:xfrm>
                    <a:prstGeom prst="rect">
                      <a:avLst/>
                    </a:prstGeom>
                    <a:noFill/>
                    <a:ln>
                      <a:noFill/>
                    </a:ln>
                  </pic:spPr>
                </pic:pic>
              </a:graphicData>
            </a:graphic>
          </wp:inline>
        </w:drawing>
      </w:r>
    </w:p>
    <w:p w14:paraId="0B5EC6A1" w14:textId="77777777" w:rsidR="005607EF" w:rsidRDefault="005607EF">
      <w:pPr>
        <w:rPr>
          <w:sz w:val="23"/>
          <w:szCs w:val="23"/>
        </w:rPr>
      </w:pPr>
    </w:p>
    <w:p w14:paraId="3AAB1C08" w14:textId="02EBCD37" w:rsidR="005B0958" w:rsidRDefault="005B0958">
      <w:pPr>
        <w:rPr>
          <w:sz w:val="23"/>
          <w:szCs w:val="23"/>
        </w:rPr>
      </w:pPr>
      <w:r>
        <w:rPr>
          <w:noProof/>
          <w:sz w:val="23"/>
          <w:szCs w:val="23"/>
        </w:rPr>
        <w:drawing>
          <wp:inline distT="0" distB="0" distL="0" distR="0" wp14:anchorId="42FE4A7D" wp14:editId="0059750B">
            <wp:extent cx="5943600" cy="27584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758440"/>
                    </a:xfrm>
                    <a:prstGeom prst="rect">
                      <a:avLst/>
                    </a:prstGeom>
                    <a:noFill/>
                    <a:ln>
                      <a:noFill/>
                    </a:ln>
                  </pic:spPr>
                </pic:pic>
              </a:graphicData>
            </a:graphic>
          </wp:inline>
        </w:drawing>
      </w:r>
    </w:p>
    <w:p w14:paraId="0F6A466F" w14:textId="77777777" w:rsidR="005C2B85" w:rsidRDefault="005C2B85">
      <w:pPr>
        <w:rPr>
          <w:sz w:val="23"/>
          <w:szCs w:val="23"/>
        </w:rPr>
      </w:pPr>
    </w:p>
    <w:p w14:paraId="2E1575DC" w14:textId="6E68FDBC" w:rsidR="005607EF" w:rsidRDefault="005607EF">
      <w:pPr>
        <w:rPr>
          <w:sz w:val="23"/>
          <w:szCs w:val="23"/>
        </w:rPr>
      </w:pPr>
      <w:r>
        <w:rPr>
          <w:noProof/>
          <w:sz w:val="23"/>
          <w:szCs w:val="23"/>
        </w:rPr>
        <w:lastRenderedPageBreak/>
        <w:drawing>
          <wp:inline distT="0" distB="0" distL="0" distR="0" wp14:anchorId="2DA5B308" wp14:editId="4464E9C5">
            <wp:extent cx="5928360" cy="2179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28360" cy="2179320"/>
                    </a:xfrm>
                    <a:prstGeom prst="rect">
                      <a:avLst/>
                    </a:prstGeom>
                    <a:noFill/>
                    <a:ln>
                      <a:noFill/>
                    </a:ln>
                  </pic:spPr>
                </pic:pic>
              </a:graphicData>
            </a:graphic>
          </wp:inline>
        </w:drawing>
      </w:r>
    </w:p>
    <w:p w14:paraId="19F7DC7E" w14:textId="77777777" w:rsidR="005C2B85" w:rsidRDefault="005C2B85">
      <w:pPr>
        <w:rPr>
          <w:sz w:val="23"/>
          <w:szCs w:val="23"/>
        </w:rPr>
      </w:pPr>
    </w:p>
    <w:p w14:paraId="730925F6" w14:textId="77777777" w:rsidR="00417BB3" w:rsidRDefault="003B3263">
      <w:pPr>
        <w:pStyle w:val="Heading1"/>
      </w:pPr>
      <w:bookmarkStart w:id="11" w:name="_bzrlsbed664l" w:colFirst="0" w:colLast="0"/>
      <w:bookmarkStart w:id="12" w:name="_Toc236085566"/>
      <w:bookmarkEnd w:id="11"/>
      <w:r>
        <w:t>Conclusion</w:t>
      </w:r>
      <w:bookmarkEnd w:id="12"/>
    </w:p>
    <w:p w14:paraId="41023E63" w14:textId="77777777" w:rsidR="00417BB3" w:rsidRDefault="003B3263">
      <w:r>
        <w:rPr>
          <w:sz w:val="23"/>
          <w:szCs w:val="23"/>
        </w:rPr>
        <w:t>The reflective portfolio experience has deepened my knowledge, skills and behaviours that are needed to be successful in pursuing a career in health and social care. The four units helped me to gain an increasing awareness of myself, deepen my personal brand, enhance my emotional intelligence, and understand the value of networking, resilience, collaboration and lifelong learning. These experiences have boosted my confidence regarding my strengths and the areas in which I would like to learn more. Through the knowledge and skills I will have acquired during the module, I will be able to communicate effectively, work collaboratively with multi-disciplinary teams, provide person-centred care and develop my own skills as a competent, compassionate and reflective health and social care professional.</w:t>
      </w:r>
      <w:r>
        <w:t xml:space="preserve"> </w:t>
      </w:r>
    </w:p>
    <w:p w14:paraId="0E2024B9" w14:textId="77777777" w:rsidR="00933559" w:rsidRDefault="00933559">
      <w:pPr>
        <w:rPr>
          <w:b/>
          <w:bCs/>
          <w:sz w:val="28"/>
          <w:szCs w:val="28"/>
        </w:rPr>
      </w:pPr>
      <w:bookmarkStart w:id="13" w:name="_kppaxs1dxeqp" w:colFirst="0" w:colLast="0"/>
      <w:bookmarkStart w:id="14" w:name="_Toc236085567"/>
      <w:bookmarkEnd w:id="13"/>
      <w:r>
        <w:br w:type="page"/>
      </w:r>
    </w:p>
    <w:p w14:paraId="022D8F00" w14:textId="77777777" w:rsidR="00933559" w:rsidRDefault="003B3263" w:rsidP="00933559">
      <w:pPr>
        <w:pStyle w:val="Heading1"/>
      </w:pPr>
      <w:r>
        <w:lastRenderedPageBreak/>
        <w:t>Reference List</w:t>
      </w:r>
      <w:bookmarkEnd w:id="14"/>
    </w:p>
    <w:p w14:paraId="28D3928C" w14:textId="77777777" w:rsidR="00933559" w:rsidRDefault="00933559">
      <w:pPr>
        <w:spacing w:line="387" w:lineRule="auto"/>
      </w:pPr>
      <w:r>
        <w:t xml:space="preserve">Baker, R. (2020) </w:t>
      </w:r>
      <w:r>
        <w:rPr>
          <w:i/>
          <w:iCs/>
        </w:rPr>
        <w:t>Personalisation at Work: How HR Can Use Job Crafting to Drive Performance, Engagement and Wellbeing</w:t>
      </w:r>
      <w:r>
        <w:t>. London: Kogan Page. Available at:</w:t>
      </w:r>
      <w:hyperlink r:id="rId20">
        <w:r>
          <w:t xml:space="preserve"> </w:t>
        </w:r>
      </w:hyperlink>
      <w:hyperlink r:id="rId21">
        <w:r>
          <w:rPr>
            <w:color w:val="1155CC"/>
            <w:u w:val="single"/>
          </w:rPr>
          <w:t>https://www.koganpage.com/hr-learning-development/personalization-at-work-9781789662948?utm_source</w:t>
        </w:r>
      </w:hyperlink>
      <w:r>
        <w:t xml:space="preserve">  (Accessed: 27 July 2026).</w:t>
      </w:r>
    </w:p>
    <w:p w14:paraId="57A9CA65" w14:textId="77777777" w:rsidR="00933559" w:rsidRDefault="00933559">
      <w:pPr>
        <w:spacing w:line="387" w:lineRule="auto"/>
      </w:pPr>
      <w:r>
        <w:t xml:space="preserve">Gibson, C., Hardy, J.H. and Buckley, M.R. (2021) ‘Professional networking and career success: Understanding the role of networking in organisations’, </w:t>
      </w:r>
      <w:r>
        <w:rPr>
          <w:i/>
          <w:iCs/>
        </w:rPr>
        <w:t>Career Development International</w:t>
      </w:r>
      <w:r>
        <w:t>. Available at:</w:t>
      </w:r>
      <w:hyperlink r:id="rId22">
        <w:r>
          <w:t xml:space="preserve"> </w:t>
        </w:r>
      </w:hyperlink>
      <w:hyperlink r:id="rId23">
        <w:r>
          <w:rPr>
            <w:color w:val="1155CC"/>
            <w:u w:val="single"/>
          </w:rPr>
          <w:t>https://doi.org/10.1108/CDI-09-2013-0111</w:t>
        </w:r>
      </w:hyperlink>
      <w:r>
        <w:t xml:space="preserve"> (Accessed: 27 July 2026).</w:t>
      </w:r>
    </w:p>
    <w:p w14:paraId="27C664C0" w14:textId="77777777" w:rsidR="00933559" w:rsidRDefault="00933559">
      <w:pPr>
        <w:spacing w:line="387" w:lineRule="auto"/>
      </w:pPr>
      <w:proofErr w:type="spellStart"/>
      <w:r>
        <w:t>Gorbatov</w:t>
      </w:r>
      <w:proofErr w:type="spellEnd"/>
      <w:r>
        <w:t xml:space="preserve">, S., </w:t>
      </w:r>
      <w:proofErr w:type="spellStart"/>
      <w:r>
        <w:t>Khapova</w:t>
      </w:r>
      <w:proofErr w:type="spellEnd"/>
      <w:r>
        <w:t xml:space="preserve">, S.N., </w:t>
      </w:r>
      <w:proofErr w:type="spellStart"/>
      <w:r>
        <w:t>Oostrom</w:t>
      </w:r>
      <w:proofErr w:type="spellEnd"/>
      <w:r>
        <w:t xml:space="preserve">, J.K. and </w:t>
      </w:r>
      <w:proofErr w:type="spellStart"/>
      <w:r>
        <w:t>Lysova</w:t>
      </w:r>
      <w:proofErr w:type="spellEnd"/>
      <w:r>
        <w:t xml:space="preserve">, E.I. (2021) ‘Personal brand equity: Scale development and validation’, </w:t>
      </w:r>
      <w:r>
        <w:rPr>
          <w:i/>
          <w:iCs/>
        </w:rPr>
        <w:t>Personnel Psychology</w:t>
      </w:r>
      <w:r>
        <w:t>, 74(3), pp. 505–542. Available at:</w:t>
      </w:r>
      <w:hyperlink r:id="rId24">
        <w:r>
          <w:t xml:space="preserve"> </w:t>
        </w:r>
      </w:hyperlink>
      <w:hyperlink r:id="rId25">
        <w:r>
          <w:rPr>
            <w:color w:val="1155CC"/>
            <w:u w:val="single"/>
          </w:rPr>
          <w:t>h</w:t>
        </w:r>
      </w:hyperlink>
      <w:r>
        <w:t>https://</w:t>
      </w:r>
      <w:hyperlink r:id="rId26">
        <w:r>
          <w:rPr>
            <w:color w:val="1155CC"/>
            <w:u w:val="single"/>
          </w:rPr>
          <w:t>doi.org/10.1111/peps.12412</w:t>
        </w:r>
      </w:hyperlink>
      <w:r>
        <w:t xml:space="preserve"> (Accessed: 27 July 2026).</w:t>
      </w:r>
    </w:p>
    <w:p w14:paraId="0113EE59" w14:textId="77777777" w:rsidR="00933559" w:rsidRDefault="00933559">
      <w:pPr>
        <w:spacing w:line="387" w:lineRule="auto"/>
      </w:pPr>
      <w:proofErr w:type="spellStart"/>
      <w:r>
        <w:t>Houde</w:t>
      </w:r>
      <w:proofErr w:type="spellEnd"/>
      <w:r>
        <w:t xml:space="preserve">, S. (2021) </w:t>
      </w:r>
      <w:r>
        <w:rPr>
          <w:i/>
          <w:iCs/>
        </w:rPr>
        <w:t>Good Work: How to Build a Career that Makes a Difference in the World</w:t>
      </w:r>
      <w:r>
        <w:t>. London: Kogan Page. Available at:</w:t>
      </w:r>
      <w:hyperlink r:id="rId27">
        <w:r>
          <w:t xml:space="preserve"> </w:t>
        </w:r>
      </w:hyperlink>
      <w:hyperlink r:id="rId28">
        <w:r>
          <w:rPr>
            <w:color w:val="1155CC"/>
            <w:u w:val="single"/>
          </w:rPr>
          <w:t>https://www.koganpage.com/responsible-business/good-work-9781789665727?utm_source</w:t>
        </w:r>
      </w:hyperlink>
      <w:r>
        <w:t xml:space="preserve"> (Accessed: 27 July 2026).</w:t>
      </w:r>
    </w:p>
    <w:p w14:paraId="74AB8294" w14:textId="77777777" w:rsidR="00933559" w:rsidRDefault="00933559">
      <w:pPr>
        <w:spacing w:line="387" w:lineRule="auto"/>
      </w:pPr>
      <w:proofErr w:type="spellStart"/>
      <w:r>
        <w:t>Mazzetti</w:t>
      </w:r>
      <w:proofErr w:type="spellEnd"/>
      <w:r>
        <w:t xml:space="preserve">, G., </w:t>
      </w:r>
      <w:proofErr w:type="spellStart"/>
      <w:r>
        <w:t>Alcover</w:t>
      </w:r>
      <w:proofErr w:type="spellEnd"/>
      <w:r>
        <w:t xml:space="preserve">, C.-M., </w:t>
      </w:r>
      <w:proofErr w:type="spellStart"/>
      <w:r>
        <w:t>Çetin</w:t>
      </w:r>
      <w:proofErr w:type="spellEnd"/>
      <w:r>
        <w:t xml:space="preserve">, M., De Carlo, E., </w:t>
      </w:r>
      <w:proofErr w:type="spellStart"/>
      <w:r>
        <w:t>Derous</w:t>
      </w:r>
      <w:proofErr w:type="spellEnd"/>
      <w:r>
        <w:t xml:space="preserve">, E. and </w:t>
      </w:r>
      <w:proofErr w:type="spellStart"/>
      <w:r>
        <w:t>Guglielmi</w:t>
      </w:r>
      <w:proofErr w:type="spellEnd"/>
      <w:r>
        <w:t xml:space="preserve">, D. (2024) ‘Exploring the benefits of boundarylessness: Pathways from boundaryless career orientation to insecurity and engagement’, </w:t>
      </w:r>
      <w:r>
        <w:rPr>
          <w:i/>
          <w:iCs/>
        </w:rPr>
        <w:t>Journal of Career Development</w:t>
      </w:r>
      <w:r>
        <w:t xml:space="preserve">, 51(5). Available at: </w:t>
      </w:r>
      <w:hyperlink r:id="rId29">
        <w:r>
          <w:rPr>
            <w:color w:val="1155CC"/>
            <w:u w:val="single"/>
          </w:rPr>
          <w:t>https://doi.org/10.1177/08948453241268854</w:t>
        </w:r>
      </w:hyperlink>
      <w:r>
        <w:t xml:space="preserve"> (Accessed: 27 July 2026).</w:t>
      </w:r>
    </w:p>
    <w:p w14:paraId="72BD5516" w14:textId="77777777" w:rsidR="00933559" w:rsidRDefault="00933559">
      <w:pPr>
        <w:spacing w:line="387" w:lineRule="auto"/>
      </w:pPr>
      <w:r>
        <w:t xml:space="preserve">Redondo, R., </w:t>
      </w:r>
      <w:proofErr w:type="spellStart"/>
      <w:r>
        <w:t>Fabra</w:t>
      </w:r>
      <w:proofErr w:type="spellEnd"/>
      <w:r>
        <w:t xml:space="preserve">, M.E. and </w:t>
      </w:r>
      <w:proofErr w:type="spellStart"/>
      <w:r>
        <w:t>Sáenz</w:t>
      </w:r>
      <w:proofErr w:type="spellEnd"/>
      <w:r>
        <w:t xml:space="preserve">-Diez, R. (2024) ‘Examining reciprocal relationships between boundaryless career orientations and perceived employability’, </w:t>
      </w:r>
      <w:r>
        <w:rPr>
          <w:i/>
          <w:iCs/>
        </w:rPr>
        <w:t>Journal of Career Development</w:t>
      </w:r>
      <w:r>
        <w:t xml:space="preserve">, 51(3), pp. 370–389. Available at: </w:t>
      </w:r>
      <w:hyperlink r:id="rId30">
        <w:r>
          <w:rPr>
            <w:color w:val="1155CC"/>
            <w:u w:val="single"/>
          </w:rPr>
          <w:t>https://doi.org/10.1177/08948453241247844</w:t>
        </w:r>
      </w:hyperlink>
      <w:r>
        <w:t xml:space="preserve"> (Accessed: 27 July 2026). </w:t>
      </w:r>
    </w:p>
    <w:p w14:paraId="647612F8" w14:textId="77777777" w:rsidR="00933559" w:rsidRDefault="00933559">
      <w:pPr>
        <w:spacing w:line="387" w:lineRule="auto"/>
      </w:pPr>
      <w:proofErr w:type="spellStart"/>
      <w:r>
        <w:t>Yoganathan</w:t>
      </w:r>
      <w:proofErr w:type="spellEnd"/>
      <w:r>
        <w:t xml:space="preserve">, V., </w:t>
      </w:r>
      <w:proofErr w:type="spellStart"/>
      <w:r>
        <w:t>Osburg</w:t>
      </w:r>
      <w:proofErr w:type="spellEnd"/>
      <w:r>
        <w:t xml:space="preserve">, V. and </w:t>
      </w:r>
      <w:proofErr w:type="spellStart"/>
      <w:r>
        <w:t>Bartikowski</w:t>
      </w:r>
      <w:proofErr w:type="spellEnd"/>
      <w:r>
        <w:t xml:space="preserve">, B. (2021) ‘Building better employer brands through employee social media competence and online social capital’, </w:t>
      </w:r>
      <w:r>
        <w:rPr>
          <w:i/>
          <w:iCs/>
        </w:rPr>
        <w:t>Psychology &amp; Marketing</w:t>
      </w:r>
      <w:r>
        <w:t xml:space="preserve">, 38(3), pp. 524–536. Available at: </w:t>
      </w:r>
      <w:hyperlink r:id="rId31">
        <w:r>
          <w:rPr>
            <w:color w:val="1155CC"/>
            <w:u w:val="single"/>
          </w:rPr>
          <w:t>https://doi.org/10.1002/mar.21451</w:t>
        </w:r>
      </w:hyperlink>
      <w:r>
        <w:t xml:space="preserve">  (Accessed: 27 July 2026).</w:t>
      </w:r>
    </w:p>
    <w:p w14:paraId="20C2962D" w14:textId="77777777" w:rsidR="00417BB3" w:rsidRDefault="00417BB3">
      <w:pPr>
        <w:spacing w:line="387" w:lineRule="auto"/>
      </w:pPr>
    </w:p>
    <w:p w14:paraId="64080D45" w14:textId="77777777" w:rsidR="00417BB3" w:rsidRDefault="00417BB3">
      <w:pPr>
        <w:spacing w:line="387" w:lineRule="auto"/>
      </w:pPr>
    </w:p>
    <w:p w14:paraId="23F1F080" w14:textId="77777777" w:rsidR="00417BB3" w:rsidRDefault="00417BB3">
      <w:pPr>
        <w:spacing w:line="387" w:lineRule="auto"/>
      </w:pPr>
    </w:p>
    <w:p w14:paraId="13A42F93" w14:textId="77777777" w:rsidR="00417BB3" w:rsidRDefault="00417BB3">
      <w:pPr>
        <w:spacing w:line="387" w:lineRule="auto"/>
        <w:rPr>
          <w:b/>
          <w:bCs/>
          <w:sz w:val="40"/>
          <w:szCs w:val="40"/>
        </w:rPr>
      </w:pPr>
    </w:p>
    <w:p w14:paraId="1CC1E269" w14:textId="77777777" w:rsidR="00417BB3" w:rsidRDefault="00417BB3">
      <w:pPr>
        <w:rPr>
          <w:b/>
          <w:bCs/>
        </w:rPr>
      </w:pPr>
    </w:p>
    <w:sectPr w:rsidR="00417BB3" w:rsidSect="00933559">
      <w:footerReference w:type="default" r:id="rId3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06D86" w14:textId="77777777" w:rsidR="008721C3" w:rsidRDefault="008721C3" w:rsidP="00933559">
      <w:pPr>
        <w:spacing w:before="0" w:after="0" w:line="240" w:lineRule="auto"/>
      </w:pPr>
      <w:r>
        <w:separator/>
      </w:r>
    </w:p>
  </w:endnote>
  <w:endnote w:type="continuationSeparator" w:id="0">
    <w:p w14:paraId="06483F4D" w14:textId="77777777" w:rsidR="008721C3" w:rsidRDefault="008721C3" w:rsidP="009335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27CB4B3-76A8-47D8-800C-515017998C21}"/>
  </w:font>
  <w:font w:name="Calibri">
    <w:panose1 w:val="020F0502020204030204"/>
    <w:charset w:val="00"/>
    <w:family w:val="swiss"/>
    <w:pitch w:val="variable"/>
    <w:sig w:usb0="E4002EFF" w:usb1="C200247B" w:usb2="00000009" w:usb3="00000000" w:csb0="000001FF" w:csb1="00000000"/>
    <w:embedRegular r:id="rId2" w:fontKey="{ED291317-E133-4941-BBD2-F78DF3423CE2}"/>
    <w:embedBold r:id="rId3" w:fontKey="{602AC661-8C7E-40AB-9551-C3A2598DBA0E}"/>
  </w:font>
  <w:font w:name="Cambria">
    <w:panose1 w:val="02040503050406030204"/>
    <w:charset w:val="00"/>
    <w:family w:val="roman"/>
    <w:pitch w:val="variable"/>
    <w:sig w:usb0="E00006FF" w:usb1="420024FF" w:usb2="02000000" w:usb3="00000000" w:csb0="0000019F" w:csb1="00000000"/>
    <w:embedRegular r:id="rId4" w:fontKey="{15CFBAB5-16D5-4E31-A691-D768AAC25C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8540329"/>
      <w:docPartObj>
        <w:docPartGallery w:val="Page Numbers (Bottom of Page)"/>
        <w:docPartUnique/>
      </w:docPartObj>
    </w:sdtPr>
    <w:sdtEndPr/>
    <w:sdtContent>
      <w:sdt>
        <w:sdtPr>
          <w:id w:val="860082579"/>
          <w:docPartObj>
            <w:docPartGallery w:val="Page Numbers (Top of Page)"/>
            <w:docPartUnique/>
          </w:docPartObj>
        </w:sdtPr>
        <w:sdtEndPr/>
        <w:sdtContent>
          <w:p w14:paraId="251D20F3" w14:textId="77777777" w:rsidR="00933559" w:rsidRDefault="0093355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12</w:t>
            </w:r>
            <w:r>
              <w:rPr>
                <w:b/>
                <w:bCs/>
              </w:rPr>
              <w:fldChar w:fldCharType="end"/>
            </w:r>
          </w:p>
        </w:sdtContent>
      </w:sdt>
    </w:sdtContent>
  </w:sdt>
  <w:p w14:paraId="6985DE45" w14:textId="77777777" w:rsidR="00933559" w:rsidRDefault="00933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50E7A" w14:textId="77777777" w:rsidR="008721C3" w:rsidRDefault="008721C3" w:rsidP="00933559">
      <w:pPr>
        <w:spacing w:before="0" w:after="0" w:line="240" w:lineRule="auto"/>
      </w:pPr>
      <w:r>
        <w:separator/>
      </w:r>
    </w:p>
  </w:footnote>
  <w:footnote w:type="continuationSeparator" w:id="0">
    <w:p w14:paraId="0E0D309F" w14:textId="77777777" w:rsidR="008721C3" w:rsidRDefault="008721C3" w:rsidP="0093355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BB3"/>
    <w:rsid w:val="001B6F9B"/>
    <w:rsid w:val="00274427"/>
    <w:rsid w:val="002D3285"/>
    <w:rsid w:val="002E26DD"/>
    <w:rsid w:val="00342A43"/>
    <w:rsid w:val="003B3263"/>
    <w:rsid w:val="00417BB3"/>
    <w:rsid w:val="004B0CD9"/>
    <w:rsid w:val="005607EF"/>
    <w:rsid w:val="005B0958"/>
    <w:rsid w:val="005C2B85"/>
    <w:rsid w:val="005E0959"/>
    <w:rsid w:val="005E7AD6"/>
    <w:rsid w:val="006112E4"/>
    <w:rsid w:val="00662BFE"/>
    <w:rsid w:val="006827BE"/>
    <w:rsid w:val="00763B71"/>
    <w:rsid w:val="007A3611"/>
    <w:rsid w:val="007D5E6F"/>
    <w:rsid w:val="00864F24"/>
    <w:rsid w:val="0086731F"/>
    <w:rsid w:val="008721C3"/>
    <w:rsid w:val="00933559"/>
    <w:rsid w:val="00A47C61"/>
    <w:rsid w:val="00B62B3A"/>
    <w:rsid w:val="00B94DC5"/>
    <w:rsid w:val="00C30804"/>
    <w:rsid w:val="00E37C94"/>
    <w:rsid w:val="00EA0393"/>
    <w:rsid w:val="00F068CF"/>
    <w:rsid w:val="00FC41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FE6A"/>
  <w15:docId w15:val="{E8F792A1-4906-4069-926C-0443A749B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93355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559"/>
    <w:rPr>
      <w:rFonts w:ascii="Tahoma" w:hAnsi="Tahoma" w:cs="Tahoma"/>
      <w:sz w:val="16"/>
      <w:szCs w:val="16"/>
    </w:rPr>
  </w:style>
  <w:style w:type="paragraph" w:styleId="TOCHeading">
    <w:name w:val="TOC Heading"/>
    <w:basedOn w:val="Heading1"/>
    <w:next w:val="Normal"/>
    <w:uiPriority w:val="39"/>
    <w:semiHidden/>
    <w:unhideWhenUsed/>
    <w:qFormat/>
    <w:rsid w:val="00933559"/>
    <w:pPr>
      <w:spacing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933559"/>
    <w:pPr>
      <w:spacing w:after="100"/>
    </w:pPr>
  </w:style>
  <w:style w:type="character" w:styleId="Hyperlink">
    <w:name w:val="Hyperlink"/>
    <w:basedOn w:val="DefaultParagraphFont"/>
    <w:uiPriority w:val="99"/>
    <w:unhideWhenUsed/>
    <w:rsid w:val="00933559"/>
    <w:rPr>
      <w:color w:val="0000FF" w:themeColor="hyperlink"/>
      <w:u w:val="single"/>
    </w:rPr>
  </w:style>
  <w:style w:type="paragraph" w:styleId="Header">
    <w:name w:val="header"/>
    <w:basedOn w:val="Normal"/>
    <w:link w:val="HeaderChar"/>
    <w:uiPriority w:val="99"/>
    <w:unhideWhenUsed/>
    <w:rsid w:val="009335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33559"/>
  </w:style>
  <w:style w:type="paragraph" w:styleId="Footer">
    <w:name w:val="footer"/>
    <w:basedOn w:val="Normal"/>
    <w:link w:val="FooterChar"/>
    <w:uiPriority w:val="99"/>
    <w:unhideWhenUsed/>
    <w:rsid w:val="009335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33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1557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doi.org/10.1111/peps.12412" TargetMode="External"/><Relationship Id="rId3" Type="http://schemas.openxmlformats.org/officeDocument/2006/relationships/settings" Target="settings.xml"/><Relationship Id="rId21" Type="http://schemas.openxmlformats.org/officeDocument/2006/relationships/hyperlink" Target="https://www.koganpage.com/hr-learning-development/personalization-at-work-9781789662948?utm_source"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onlinelibrary.wiley.com/doi/full/10.1111/peps.12412?utm_source=chatgpt.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koganpage.com/hr-learning-development/personalization-at-work-9781789662948?utm_source=chatgpt.com" TargetMode="External"/><Relationship Id="rId29" Type="http://schemas.openxmlformats.org/officeDocument/2006/relationships/hyperlink" Target="https://doi.org/10.1177/0894845324126885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onlinelibrary.wiley.com/doi/full/10.1111/peps.12412?utm_source=chatgpt.com"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108/CDI-09-2013-0111?utm_source=chatgpt.com" TargetMode="External"/><Relationship Id="rId28" Type="http://schemas.openxmlformats.org/officeDocument/2006/relationships/hyperlink" Target="https://www.koganpage.com/responsible-business/good-work-9781789665727?utm_source"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02/mar.2145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08/CDI-09-2013-0111?utm_source=chatgpt.com" TargetMode="External"/><Relationship Id="rId27" Type="http://schemas.openxmlformats.org/officeDocument/2006/relationships/hyperlink" Target="https://www.koganpage.com/responsible-business/good-work-9781789665727?utm_source=chatgpt.com" TargetMode="External"/><Relationship Id="rId30" Type="http://schemas.openxmlformats.org/officeDocument/2006/relationships/hyperlink" Target="https://doi.org/10.1177/08948453241247844"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5B5057-125F-4276-B424-ABF22E62F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3365</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VitalinaPC</dc:creator>
  <cp:lastModifiedBy>Vitalina Vasko</cp:lastModifiedBy>
  <cp:revision>22</cp:revision>
  <dcterms:created xsi:type="dcterms:W3CDTF">2026-07-28T13:36:00Z</dcterms:created>
  <dcterms:modified xsi:type="dcterms:W3CDTF">2026-07-30T08:50:00Z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b95cd0f1-300c-43b4-af06-2657c6602cd3</vt:lpwstr>
  </property>
</Properties>
</file>