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B0D82E1" w14:textId="07A8D32C" w:rsidR="00CB759C" w:rsidRDefault="00F82149" w:rsidP="00F82149">
      <w:r>
        <w:t>Slide 1</w:t>
      </w:r>
    </w:p>
    <w:p w14:paraId="72B9F65B" w14:textId="632CE3D0" w:rsidR="00F82149" w:rsidRDefault="00F82149" w:rsidP="00F82149"/>
    <w:p w14:paraId="4C2C8BFC" w14:textId="7EB06C73" w:rsidR="00F82149" w:rsidRDefault="00F82149" w:rsidP="00F82149">
      <w:pPr>
        <w:jc w:val="center"/>
      </w:pPr>
      <w:r>
        <w:object w:dxaOrig="9605" w:dyaOrig="5393" w14:anchorId="3F6B3A2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1.75pt" o:ole="" o:bordertopcolor="this" o:borderleftcolor="this" o:borderbottomcolor="this" o:borderrightcolor="this">
            <v:imagedata r:id="rId5" o:title=""/>
            <w10:bordertop type="single" width="4" shadow="t"/>
            <w10:borderleft type="single" width="4" shadow="t"/>
            <w10:borderbottom type="single" width="4" shadow="t"/>
            <w10:borderright type="single" width="4" shadow="t"/>
          </v:shape>
          <o:OLEObject Type="Embed" ProgID="PowerPoint.Slide.12" ShapeID="_x0000_i1025" DrawAspect="Content" ObjectID="_1776065391" r:id="rId6"/>
        </w:object>
      </w:r>
    </w:p>
    <w:p w14:paraId="513D86BD" w14:textId="4066F061" w:rsidR="00F82149" w:rsidRDefault="00F82149" w:rsidP="00F82149">
      <w:pPr>
        <w:jc w:val="center"/>
      </w:pPr>
    </w:p>
    <w:p w14:paraId="48208C69" w14:textId="18FF2B5B" w:rsidR="00F82149" w:rsidRDefault="006B0EE3" w:rsidP="00F82149">
      <w:pPr>
        <w:jc w:val="left"/>
      </w:pPr>
      <w:r>
        <w:t>Student name: Lavinia – Mariana Apostol</w:t>
      </w:r>
    </w:p>
    <w:p w14:paraId="751B341A" w14:textId="3AC6B71A" w:rsidR="006B0EE3" w:rsidRDefault="006B0EE3" w:rsidP="00F82149">
      <w:pPr>
        <w:jc w:val="left"/>
      </w:pPr>
      <w:r>
        <w:t>Student ID: 2131344</w:t>
      </w:r>
    </w:p>
    <w:p w14:paraId="4D99F75E" w14:textId="7C7DDD9E" w:rsidR="006B0EE3" w:rsidRDefault="006B0EE3" w:rsidP="00F82149">
      <w:pPr>
        <w:jc w:val="left"/>
      </w:pPr>
      <w:r>
        <w:t>Module name: International Meetings Management for the Hotel Industry</w:t>
      </w:r>
    </w:p>
    <w:p w14:paraId="7828B7CA" w14:textId="1F822005" w:rsidR="006B0EE3" w:rsidRDefault="006B0EE3" w:rsidP="00F82149">
      <w:pPr>
        <w:jc w:val="left"/>
      </w:pPr>
      <w:r>
        <w:t>Module Code: BMIH6007</w:t>
      </w:r>
    </w:p>
    <w:p w14:paraId="1CAFB7BB" w14:textId="7ED0D750" w:rsidR="006B0EE3" w:rsidRDefault="006B0EE3" w:rsidP="00F82149">
      <w:pPr>
        <w:jc w:val="left"/>
      </w:pPr>
      <w:r>
        <w:t>Lecturer name: Kathryn Flynn</w:t>
      </w:r>
    </w:p>
    <w:p w14:paraId="4D6EFB4F" w14:textId="73B7AF68" w:rsidR="00F82149" w:rsidRDefault="00F82149">
      <w:pPr>
        <w:spacing w:line="259" w:lineRule="auto"/>
        <w:jc w:val="left"/>
      </w:pPr>
      <w:r>
        <w:br w:type="page"/>
      </w:r>
    </w:p>
    <w:p w14:paraId="1CAE8E30" w14:textId="3DAED774" w:rsidR="00F82149" w:rsidRDefault="00F82149" w:rsidP="00F82149">
      <w:pPr>
        <w:jc w:val="left"/>
      </w:pPr>
      <w:r>
        <w:lastRenderedPageBreak/>
        <w:t>Slide 2</w:t>
      </w:r>
    </w:p>
    <w:p w14:paraId="778C4BE3" w14:textId="5C483FFF" w:rsidR="00F82149" w:rsidRDefault="00F82149" w:rsidP="00F82149">
      <w:pPr>
        <w:jc w:val="left"/>
      </w:pPr>
    </w:p>
    <w:p w14:paraId="5ACBEF47" w14:textId="2750563B" w:rsidR="00F82149" w:rsidRDefault="00F82149" w:rsidP="00F82149">
      <w:pPr>
        <w:jc w:val="center"/>
      </w:pPr>
      <w:r>
        <w:object w:dxaOrig="9605" w:dyaOrig="5393" w14:anchorId="06868D08">
          <v:shape id="_x0000_i1026" type="#_x0000_t75" style="width:5in;height:201.75pt" o:ole="" o:bordertopcolor="this" o:borderleftcolor="this" o:borderbottomcolor="this" o:borderrightcolor="this">
            <v:imagedata r:id="rId7" o:title=""/>
            <w10:bordertop type="single" width="4" shadow="t"/>
            <w10:borderleft type="single" width="4" shadow="t"/>
            <w10:borderbottom type="single" width="4" shadow="t"/>
            <w10:borderright type="single" width="4" shadow="t"/>
          </v:shape>
          <o:OLEObject Type="Embed" ProgID="PowerPoint.Slide.12" ShapeID="_x0000_i1026" DrawAspect="Content" ObjectID="_1776065392" r:id="rId8"/>
        </w:object>
      </w:r>
    </w:p>
    <w:p w14:paraId="5008E9BA" w14:textId="00FB6BAD" w:rsidR="00F82149" w:rsidRDefault="00F82149" w:rsidP="00F82149">
      <w:pPr>
        <w:jc w:val="center"/>
      </w:pPr>
    </w:p>
    <w:p w14:paraId="1C5735B0" w14:textId="77777777" w:rsidR="00F82149" w:rsidRDefault="00F82149" w:rsidP="00F82149">
      <w:pPr>
        <w:autoSpaceDE w:val="0"/>
        <w:autoSpaceDN w:val="0"/>
        <w:adjustRightInd w:val="0"/>
        <w:spacing w:after="0" w:line="240" w:lineRule="auto"/>
        <w:jc w:val="left"/>
        <w:rPr>
          <w:rFonts w:ascii="Calibri" w:hAnsi="Calibri" w:cs="Calibri"/>
          <w:color w:val="auto"/>
          <w:kern w:val="24"/>
          <w:szCs w:val="24"/>
          <w:lang w:val="en-US" w:bidi="ar-SA"/>
        </w:rPr>
      </w:pPr>
      <w:r>
        <w:rPr>
          <w:rFonts w:ascii="Calibri" w:hAnsi="Calibri" w:cs="Calibri"/>
          <w:color w:val="auto"/>
          <w:kern w:val="24"/>
          <w:szCs w:val="24"/>
          <w:lang w:bidi="ar-SA"/>
        </w:rPr>
        <w:t xml:space="preserve">The stated goal of the session is to evaluate the potential of mirroring London Technology Week in the hospitality sphere. The event is named as </w:t>
      </w:r>
      <w:r w:rsidRPr="00F82149">
        <w:rPr>
          <w:rFonts w:ascii="Calibri" w:hAnsi="Calibri" w:cs="Calibri"/>
          <w:kern w:val="24"/>
          <w:szCs w:val="24"/>
          <w:lang w:bidi="ar-SA"/>
        </w:rPr>
        <w:t>“</w:t>
      </w:r>
      <w:r w:rsidRPr="00F82149">
        <w:rPr>
          <w:rFonts w:cs="Times New Roman"/>
          <w:kern w:val="24"/>
          <w:szCs w:val="24"/>
          <w:lang w:val="en-US" w:bidi="ar-SA"/>
        </w:rPr>
        <w:t>Hospitality Tech Forward: International Innovation Summit.”</w:t>
      </w:r>
      <w:r w:rsidRPr="00F82149">
        <w:rPr>
          <w:rFonts w:ascii="Calibri" w:hAnsi="Calibri" w:cs="Calibri"/>
          <w:kern w:val="24"/>
          <w:szCs w:val="24"/>
          <w:lang w:bidi="ar-SA"/>
        </w:rPr>
        <w:t xml:space="preserve"> </w:t>
      </w:r>
      <w:r>
        <w:rPr>
          <w:rFonts w:ascii="Calibri" w:hAnsi="Calibri" w:cs="Calibri"/>
          <w:color w:val="auto"/>
          <w:kern w:val="24"/>
          <w:szCs w:val="24"/>
          <w:lang w:bidi="ar-SA"/>
        </w:rPr>
        <w:t>The study will cover market analysis, operational requirements, and financial viability among others. Recent developments demonstrate an increased demand among professionals in hospitality for technology integration. Therefore, this is the perfect time to conduct our event. This presentation will explore the matters which are relevant to the feasibility of organising an event regarding the technology of the hospitality industry, and its expected impact (Dowson et al., 2022).</w:t>
      </w:r>
    </w:p>
    <w:p w14:paraId="58B34FC4" w14:textId="77777777" w:rsidR="00F82149" w:rsidRDefault="00F82149" w:rsidP="00F82149">
      <w:pPr>
        <w:autoSpaceDE w:val="0"/>
        <w:autoSpaceDN w:val="0"/>
        <w:adjustRightInd w:val="0"/>
        <w:spacing w:after="0" w:line="240" w:lineRule="auto"/>
        <w:jc w:val="left"/>
        <w:rPr>
          <w:rFonts w:ascii="Calibri" w:eastAsia="Times New Roman" w:cs="Calibri"/>
          <w:color w:val="auto"/>
          <w:kern w:val="24"/>
          <w:szCs w:val="24"/>
          <w:lang w:val="en-US" w:bidi="ar-SA"/>
        </w:rPr>
      </w:pPr>
    </w:p>
    <w:p w14:paraId="72080032" w14:textId="77777777" w:rsidR="00F82149" w:rsidRDefault="00F82149" w:rsidP="00F82149">
      <w:pPr>
        <w:autoSpaceDE w:val="0"/>
        <w:autoSpaceDN w:val="0"/>
        <w:adjustRightInd w:val="0"/>
        <w:spacing w:after="0" w:line="240" w:lineRule="auto"/>
        <w:jc w:val="left"/>
        <w:rPr>
          <w:rFonts w:ascii="Arial" w:hAnsi="Arial" w:cs="Arial"/>
          <w:color w:val="auto"/>
          <w:szCs w:val="24"/>
          <w:lang w:val="en-IN" w:bidi="ar-SA"/>
        </w:rPr>
      </w:pPr>
    </w:p>
    <w:p w14:paraId="485E7CED" w14:textId="37FC70E1" w:rsidR="00F82149" w:rsidRDefault="00F82149" w:rsidP="00F82149">
      <w:pPr>
        <w:jc w:val="left"/>
      </w:pPr>
    </w:p>
    <w:p w14:paraId="6A83452C" w14:textId="4901963B" w:rsidR="00F82149" w:rsidRDefault="00F82149">
      <w:pPr>
        <w:spacing w:line="259" w:lineRule="auto"/>
        <w:jc w:val="left"/>
      </w:pPr>
      <w:r>
        <w:br w:type="page"/>
      </w:r>
    </w:p>
    <w:p w14:paraId="5CED28D4" w14:textId="7F87C63C" w:rsidR="00F82149" w:rsidRDefault="00F82149" w:rsidP="00F82149">
      <w:pPr>
        <w:jc w:val="left"/>
      </w:pPr>
      <w:r>
        <w:lastRenderedPageBreak/>
        <w:t>Slide 3</w:t>
      </w:r>
    </w:p>
    <w:p w14:paraId="16CCE688" w14:textId="4DB4B743" w:rsidR="00F82149" w:rsidRDefault="00F82149" w:rsidP="00F82149">
      <w:pPr>
        <w:jc w:val="left"/>
      </w:pPr>
    </w:p>
    <w:p w14:paraId="28E76699" w14:textId="48A68257" w:rsidR="00F82149" w:rsidRDefault="00F82149" w:rsidP="00F82149">
      <w:pPr>
        <w:jc w:val="center"/>
      </w:pPr>
      <w:r>
        <w:object w:dxaOrig="9605" w:dyaOrig="5393" w14:anchorId="20618168">
          <v:shape id="_x0000_i1027" type="#_x0000_t75" style="width:5in;height:201.75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27" DrawAspect="Content" ObjectID="_1776065393" r:id="rId10"/>
        </w:object>
      </w:r>
    </w:p>
    <w:p w14:paraId="36E32CF5" w14:textId="44407551" w:rsidR="00F82149" w:rsidRDefault="00F82149" w:rsidP="00F82149">
      <w:pPr>
        <w:jc w:val="center"/>
      </w:pPr>
    </w:p>
    <w:p w14:paraId="65C36FCB" w14:textId="77777777" w:rsidR="00F82149" w:rsidRDefault="00F82149" w:rsidP="00F82149">
      <w:pPr>
        <w:autoSpaceDE w:val="0"/>
        <w:autoSpaceDN w:val="0"/>
        <w:adjustRightInd w:val="0"/>
        <w:spacing w:after="0" w:line="240" w:lineRule="auto"/>
        <w:jc w:val="left"/>
        <w:rPr>
          <w:rFonts w:ascii="Calibri" w:hAnsi="Calibri" w:cs="Calibri"/>
          <w:color w:val="auto"/>
          <w:kern w:val="24"/>
          <w:szCs w:val="24"/>
          <w:lang w:val="en-US" w:bidi="ar-SA"/>
        </w:rPr>
      </w:pPr>
      <w:r>
        <w:rPr>
          <w:rFonts w:ascii="Calibri" w:hAnsi="Calibri" w:cs="Calibri"/>
          <w:color w:val="auto"/>
          <w:kern w:val="24"/>
          <w:szCs w:val="24"/>
          <w:lang w:bidi="ar-SA"/>
        </w:rPr>
        <w:t>The London Technology Week is a unique event that is attended by an audience of more than 5,000 people, with participants from over 90 countries all over the world. The show, boasting over 300 exhibitors, comprising of hundreds of start-ups and investors, is the benchmark where the best of innovative and cutting-edge technology is displayed. There are numerous networking chances for the participants which exist during the showcase; thus, individuals can form relationships that lead to partnerships and collaborations. Moreover, London Technology Week does have a substantial economic impact on the city as the economic impact reached over £470K in the latest year (Purwaningrum et al., 2024). </w:t>
      </w:r>
    </w:p>
    <w:p w14:paraId="15A4A1A8" w14:textId="77777777" w:rsidR="00F82149" w:rsidRDefault="00F82149" w:rsidP="00F82149">
      <w:pPr>
        <w:autoSpaceDE w:val="0"/>
        <w:autoSpaceDN w:val="0"/>
        <w:adjustRightInd w:val="0"/>
        <w:spacing w:after="0" w:line="240" w:lineRule="auto"/>
        <w:jc w:val="left"/>
        <w:rPr>
          <w:rFonts w:ascii="Arial" w:hAnsi="Arial" w:cs="Arial"/>
          <w:color w:val="auto"/>
          <w:szCs w:val="24"/>
          <w:lang w:val="en-IN" w:bidi="ar-SA"/>
        </w:rPr>
      </w:pPr>
    </w:p>
    <w:p w14:paraId="77E174BF" w14:textId="67DA5483" w:rsidR="00F82149" w:rsidRDefault="00F82149" w:rsidP="00F82149">
      <w:pPr>
        <w:jc w:val="left"/>
      </w:pPr>
    </w:p>
    <w:p w14:paraId="3DE9256B" w14:textId="344D4F11" w:rsidR="00F82149" w:rsidRDefault="00F82149">
      <w:pPr>
        <w:spacing w:line="259" w:lineRule="auto"/>
        <w:jc w:val="left"/>
      </w:pPr>
      <w:r>
        <w:br w:type="page"/>
      </w:r>
    </w:p>
    <w:p w14:paraId="14DF06CF" w14:textId="7F9CA194" w:rsidR="00F82149" w:rsidRDefault="00F82149" w:rsidP="00F82149">
      <w:pPr>
        <w:jc w:val="left"/>
      </w:pPr>
      <w:r>
        <w:lastRenderedPageBreak/>
        <w:t>Slide 4</w:t>
      </w:r>
    </w:p>
    <w:p w14:paraId="36EFB768" w14:textId="255BE860" w:rsidR="00F82149" w:rsidRDefault="00F82149" w:rsidP="00F82149">
      <w:pPr>
        <w:jc w:val="left"/>
      </w:pPr>
    </w:p>
    <w:p w14:paraId="51EE6B50" w14:textId="25C1AEF4" w:rsidR="00F82149" w:rsidRDefault="00F82149" w:rsidP="00F82149">
      <w:pPr>
        <w:jc w:val="center"/>
      </w:pPr>
      <w:r>
        <w:object w:dxaOrig="9605" w:dyaOrig="5393" w14:anchorId="4E6F04DE">
          <v:shape id="_x0000_i1028" type="#_x0000_t75" style="width:5in;height:201.75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28" DrawAspect="Content" ObjectID="_1776065394" r:id="rId12"/>
        </w:object>
      </w:r>
    </w:p>
    <w:p w14:paraId="12619219" w14:textId="442E7930" w:rsidR="00F82149" w:rsidRDefault="00F82149" w:rsidP="00F82149">
      <w:pPr>
        <w:jc w:val="center"/>
      </w:pPr>
    </w:p>
    <w:p w14:paraId="3DD17937" w14:textId="77777777" w:rsidR="00F82149" w:rsidRDefault="00F82149" w:rsidP="00F82149">
      <w:pPr>
        <w:autoSpaceDE w:val="0"/>
        <w:autoSpaceDN w:val="0"/>
        <w:adjustRightInd w:val="0"/>
        <w:spacing w:after="0" w:line="240" w:lineRule="auto"/>
        <w:jc w:val="left"/>
        <w:rPr>
          <w:rFonts w:ascii="Calibri" w:hAnsi="Calibri" w:cs="Calibri"/>
          <w:color w:val="auto"/>
          <w:kern w:val="24"/>
          <w:szCs w:val="24"/>
          <w:lang w:val="en-US" w:bidi="ar-SA"/>
        </w:rPr>
      </w:pPr>
      <w:r>
        <w:rPr>
          <w:rFonts w:ascii="Calibri" w:hAnsi="Calibri" w:cs="Calibri"/>
          <w:color w:val="auto"/>
          <w:kern w:val="24"/>
          <w:szCs w:val="24"/>
          <w:lang w:bidi="ar-SA"/>
        </w:rPr>
        <w:t>This market review is targeted at the fast-growing technology adoption by the hospitality industry which is experiencing an average growth of 20% year on year. The research indicates a low number of direct competitors, signifying a unique business prospect. The involvement of major hospitality companies in this event is a good example of a strong potential of attracting sponsorship and finding strategic partners. The features of the event which attract different stakeholders, the interactive tech showcases and/or the industry-specific workshops, make the event more interesting. In summary, the market research indicates that there is a market for the events which are technology-related within the sector of hospitality, where the potential is huge for both development and collaboration (Jeong &amp; Kim, 2020).</w:t>
      </w:r>
    </w:p>
    <w:p w14:paraId="2823F5BE" w14:textId="77777777" w:rsidR="00F82149" w:rsidRDefault="00F82149" w:rsidP="00F82149">
      <w:pPr>
        <w:autoSpaceDE w:val="0"/>
        <w:autoSpaceDN w:val="0"/>
        <w:adjustRightInd w:val="0"/>
        <w:spacing w:after="0" w:line="240" w:lineRule="auto"/>
        <w:jc w:val="left"/>
        <w:rPr>
          <w:rFonts w:ascii="Arial" w:hAnsi="Arial" w:cs="Arial"/>
          <w:color w:val="auto"/>
          <w:szCs w:val="24"/>
          <w:lang w:val="en-IN" w:bidi="ar-SA"/>
        </w:rPr>
      </w:pPr>
    </w:p>
    <w:p w14:paraId="45EBF171" w14:textId="06974DCC" w:rsidR="00F82149" w:rsidRDefault="00F82149" w:rsidP="00F82149">
      <w:pPr>
        <w:jc w:val="left"/>
      </w:pPr>
    </w:p>
    <w:p w14:paraId="7590416E" w14:textId="3A2B0D40" w:rsidR="00F82149" w:rsidRDefault="00F82149">
      <w:pPr>
        <w:spacing w:line="259" w:lineRule="auto"/>
        <w:jc w:val="left"/>
      </w:pPr>
      <w:r>
        <w:br w:type="page"/>
      </w:r>
    </w:p>
    <w:p w14:paraId="20A8267F" w14:textId="4DE5B92E" w:rsidR="00F82149" w:rsidRDefault="00F82149" w:rsidP="00F82149">
      <w:pPr>
        <w:jc w:val="left"/>
      </w:pPr>
      <w:r>
        <w:lastRenderedPageBreak/>
        <w:t>Slide 5</w:t>
      </w:r>
    </w:p>
    <w:p w14:paraId="00FDFC65" w14:textId="2AC86AA3" w:rsidR="00F82149" w:rsidRDefault="00F82149" w:rsidP="00F82149">
      <w:pPr>
        <w:jc w:val="left"/>
      </w:pPr>
    </w:p>
    <w:p w14:paraId="65AFAEAE" w14:textId="1E0D2A0E" w:rsidR="00F82149" w:rsidRDefault="00F82149" w:rsidP="00F82149">
      <w:pPr>
        <w:jc w:val="center"/>
      </w:pPr>
      <w:r>
        <w:object w:dxaOrig="9605" w:dyaOrig="5393" w14:anchorId="28609CAD">
          <v:shape id="_x0000_i1029" type="#_x0000_t75" style="width:5in;height:201.75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29" DrawAspect="Content" ObjectID="_1776065395" r:id="rId14"/>
        </w:object>
      </w:r>
    </w:p>
    <w:p w14:paraId="7A13238A" w14:textId="4B4757C6" w:rsidR="00F82149" w:rsidRDefault="00F82149" w:rsidP="00F82149">
      <w:pPr>
        <w:jc w:val="center"/>
      </w:pPr>
    </w:p>
    <w:p w14:paraId="32AAE81B" w14:textId="77777777" w:rsidR="00F82149" w:rsidRDefault="00F82149" w:rsidP="00F82149">
      <w:pPr>
        <w:autoSpaceDE w:val="0"/>
        <w:autoSpaceDN w:val="0"/>
        <w:adjustRightInd w:val="0"/>
        <w:spacing w:after="0" w:line="240" w:lineRule="auto"/>
        <w:jc w:val="left"/>
        <w:rPr>
          <w:rFonts w:ascii="Calibri" w:hAnsi="Calibri" w:cs="Calibri"/>
          <w:color w:val="auto"/>
          <w:kern w:val="24"/>
          <w:szCs w:val="24"/>
          <w:lang w:val="en-US" w:bidi="ar-SA"/>
        </w:rPr>
      </w:pPr>
      <w:r>
        <w:rPr>
          <w:rFonts w:ascii="Calibri" w:hAnsi="Calibri" w:cs="Calibri"/>
          <w:color w:val="auto"/>
          <w:kern w:val="24"/>
          <w:szCs w:val="24"/>
          <w:lang w:bidi="ar-SA"/>
        </w:rPr>
        <w:t>Operational Feasibility is a sine qua non of a successful technology event in the hospitality sector; London, which provides a variety of venue options that can accommodate up to 40,000 people, such as ExCeL London, is a perfect place for hosting such an event. More or less 200 professional people will be in charge of managing different operations of the event. The main purpose is to make the event run smoothly for the participants. Essential technological requirements comprise of AV systems of advanced level and high-speed Internet connection for interactive presentations and demos. Efficiency in logistics management, that covers transportation, accommodation, and event layout, would be necessary to have the best possible event execution (Tlili et al., 2021). In addition to that, building strong vendor relations will matter a lot for acquiring the necessary resources as well as services, resulting in the potential success of the event. The above-mentioned operational issues can be addressed carefully in the planning stage with strategic approaches, which enable the event to become a source of innovation and collaboration between the hospitality and technology industries (Tlili et al., 2021).</w:t>
      </w:r>
    </w:p>
    <w:p w14:paraId="61971B5D" w14:textId="77777777" w:rsidR="00F82149" w:rsidRDefault="00F82149" w:rsidP="00F82149">
      <w:pPr>
        <w:autoSpaceDE w:val="0"/>
        <w:autoSpaceDN w:val="0"/>
        <w:adjustRightInd w:val="0"/>
        <w:spacing w:after="0" w:line="240" w:lineRule="auto"/>
        <w:jc w:val="left"/>
        <w:rPr>
          <w:rFonts w:ascii="Arial" w:hAnsi="Arial" w:cs="Arial"/>
          <w:color w:val="auto"/>
          <w:szCs w:val="24"/>
          <w:lang w:val="en-IN" w:bidi="ar-SA"/>
        </w:rPr>
      </w:pPr>
    </w:p>
    <w:p w14:paraId="0AFF1D7A" w14:textId="7D01AA87" w:rsidR="00F82149" w:rsidRDefault="00F82149" w:rsidP="00F82149">
      <w:pPr>
        <w:jc w:val="left"/>
      </w:pPr>
    </w:p>
    <w:p w14:paraId="43F804E3" w14:textId="1CE05E72" w:rsidR="00F82149" w:rsidRDefault="00F82149">
      <w:pPr>
        <w:spacing w:line="259" w:lineRule="auto"/>
        <w:jc w:val="left"/>
      </w:pPr>
      <w:r>
        <w:br w:type="page"/>
      </w:r>
    </w:p>
    <w:p w14:paraId="6693F70E" w14:textId="3B7087F9" w:rsidR="00F82149" w:rsidRDefault="00F82149" w:rsidP="00F82149">
      <w:pPr>
        <w:jc w:val="left"/>
      </w:pPr>
      <w:r>
        <w:lastRenderedPageBreak/>
        <w:t>Slide 6</w:t>
      </w:r>
    </w:p>
    <w:p w14:paraId="671D2C27" w14:textId="6533C60F" w:rsidR="00F82149" w:rsidRDefault="00F82149" w:rsidP="00F82149">
      <w:pPr>
        <w:jc w:val="left"/>
      </w:pPr>
    </w:p>
    <w:p w14:paraId="0E420AE3" w14:textId="57509FB5" w:rsidR="00F82149" w:rsidRDefault="00F82149" w:rsidP="00F82149">
      <w:pPr>
        <w:jc w:val="center"/>
      </w:pPr>
      <w:r>
        <w:object w:dxaOrig="9605" w:dyaOrig="5393" w14:anchorId="53942AB4">
          <v:shape id="_x0000_i1030" type="#_x0000_t75" style="width:5in;height:201.75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30" DrawAspect="Content" ObjectID="_1776065396" r:id="rId16"/>
        </w:object>
      </w:r>
    </w:p>
    <w:p w14:paraId="4B0BCFC6" w14:textId="1F2EC3C9" w:rsidR="00F82149" w:rsidRDefault="00F82149" w:rsidP="00F82149">
      <w:pPr>
        <w:jc w:val="center"/>
      </w:pPr>
    </w:p>
    <w:p w14:paraId="59E74543" w14:textId="77777777" w:rsidR="00F82149" w:rsidRDefault="00F82149" w:rsidP="00F82149">
      <w:pPr>
        <w:autoSpaceDE w:val="0"/>
        <w:autoSpaceDN w:val="0"/>
        <w:adjustRightInd w:val="0"/>
        <w:spacing w:after="0" w:line="240" w:lineRule="auto"/>
        <w:rPr>
          <w:rFonts w:ascii="Calibri" w:hAnsi="Calibri" w:cs="Calibri"/>
          <w:color w:val="auto"/>
          <w:kern w:val="24"/>
          <w:szCs w:val="24"/>
          <w:lang w:bidi="ar-SA"/>
        </w:rPr>
      </w:pPr>
      <w:r>
        <w:rPr>
          <w:rFonts w:ascii="Calibri" w:hAnsi="Calibri" w:cs="Calibri"/>
          <w:color w:val="auto"/>
          <w:kern w:val="24"/>
          <w:szCs w:val="24"/>
          <w:lang w:bidi="ar-SA"/>
        </w:rPr>
        <w:t>For the budgetary projections for the tech-focused hospitality event, we have identified a budget of £500K which will be drawn towards venue rental, technology setups and marketing expenses. Proceeds from ticket sales should bring in £300,000 while sponsorship contracts are expected to produce £250,000. A complete financial analysis is below:</w:t>
      </w:r>
    </w:p>
    <w:p w14:paraId="18590597" w14:textId="77777777" w:rsidR="00F82149" w:rsidRDefault="00F82149" w:rsidP="00F82149">
      <w:pPr>
        <w:autoSpaceDE w:val="0"/>
        <w:autoSpaceDN w:val="0"/>
        <w:adjustRightInd w:val="0"/>
        <w:spacing w:after="0" w:line="240" w:lineRule="auto"/>
        <w:rPr>
          <w:rFonts w:eastAsia="Times New Roman" w:cs="Times New Roman"/>
          <w:color w:val="000000"/>
          <w:kern w:val="24"/>
          <w:szCs w:val="24"/>
          <w:lang w:bidi="ar-SA"/>
        </w:rPr>
      </w:pPr>
      <w:r>
        <w:rPr>
          <w:rFonts w:ascii="Calibri" w:eastAsia="Times New Roman" w:cs="Calibri"/>
          <w:color w:val="auto"/>
          <w:kern w:val="24"/>
          <w:szCs w:val="24"/>
          <w:lang w:bidi="ar-SA"/>
        </w:rPr>
        <w:t xml:space="preserve">  </w:t>
      </w:r>
      <w:r>
        <w:rPr>
          <w:rFonts w:eastAsia="Times New Roman" w:cs="Times New Roman"/>
          <w:b/>
          <w:bCs/>
          <w:color w:val="000000"/>
          <w:kern w:val="24"/>
          <w:szCs w:val="24"/>
          <w:lang w:val="en-IN" w:bidi="ar-SA"/>
        </w:rPr>
        <w:t>Estimated Income:</w:t>
      </w:r>
    </w:p>
    <w:p w14:paraId="2A383B10" w14:textId="77777777" w:rsidR="00F82149" w:rsidRDefault="00F82149" w:rsidP="00F82149">
      <w:pPr>
        <w:numPr>
          <w:ilvl w:val="0"/>
          <w:numId w:val="1"/>
        </w:numPr>
        <w:autoSpaceDE w:val="0"/>
        <w:autoSpaceDN w:val="0"/>
        <w:adjustRightInd w:val="0"/>
        <w:spacing w:after="0" w:line="240" w:lineRule="auto"/>
        <w:ind w:left="540" w:hanging="540"/>
        <w:rPr>
          <w:rFonts w:eastAsia="Times New Roman" w:cs="Times New Roman"/>
          <w:color w:val="000000"/>
          <w:kern w:val="24"/>
          <w:szCs w:val="24"/>
          <w:lang w:bidi="ar-SA"/>
        </w:rPr>
      </w:pPr>
      <w:r>
        <w:rPr>
          <w:rFonts w:eastAsia="Times New Roman" w:cs="Times New Roman"/>
          <w:b/>
          <w:bCs/>
          <w:color w:val="000000"/>
          <w:kern w:val="24"/>
          <w:szCs w:val="24"/>
          <w:lang w:val="en-IN" w:bidi="ar-SA"/>
        </w:rPr>
        <w:t>Ticket Sales:</w:t>
      </w:r>
      <w:r>
        <w:rPr>
          <w:rFonts w:eastAsia="Times New Roman" w:cs="Times New Roman"/>
          <w:color w:val="000000"/>
          <w:kern w:val="24"/>
          <w:szCs w:val="24"/>
          <w:lang w:val="en-IN" w:bidi="ar-SA"/>
        </w:rPr>
        <w:t xml:space="preserve"> £300,000</w:t>
      </w:r>
    </w:p>
    <w:p w14:paraId="4A3E9A0C" w14:textId="77777777" w:rsidR="00F82149" w:rsidRDefault="00F82149" w:rsidP="00F82149">
      <w:pPr>
        <w:numPr>
          <w:ilvl w:val="0"/>
          <w:numId w:val="1"/>
        </w:numPr>
        <w:autoSpaceDE w:val="0"/>
        <w:autoSpaceDN w:val="0"/>
        <w:adjustRightInd w:val="0"/>
        <w:spacing w:after="0" w:line="240" w:lineRule="auto"/>
        <w:ind w:left="540" w:hanging="540"/>
        <w:rPr>
          <w:rFonts w:eastAsia="Times New Roman" w:cs="Times New Roman"/>
          <w:color w:val="000000"/>
          <w:kern w:val="24"/>
          <w:szCs w:val="24"/>
          <w:lang w:bidi="ar-SA"/>
        </w:rPr>
      </w:pPr>
      <w:r>
        <w:rPr>
          <w:rFonts w:eastAsia="Times New Roman" w:cs="Times New Roman"/>
          <w:b/>
          <w:bCs/>
          <w:color w:val="000000"/>
          <w:kern w:val="24"/>
          <w:szCs w:val="24"/>
          <w:lang w:val="en-IN" w:bidi="ar-SA"/>
        </w:rPr>
        <w:t>Sponsorships:</w:t>
      </w:r>
      <w:r>
        <w:rPr>
          <w:rFonts w:eastAsia="Times New Roman" w:cs="Times New Roman"/>
          <w:color w:val="000000"/>
          <w:kern w:val="24"/>
          <w:szCs w:val="24"/>
          <w:lang w:val="en-IN" w:bidi="ar-SA"/>
        </w:rPr>
        <w:t xml:space="preserve"> £250,000</w:t>
      </w:r>
    </w:p>
    <w:p w14:paraId="5EA891E7" w14:textId="77777777" w:rsidR="00F82149" w:rsidRDefault="00F82149" w:rsidP="00F82149">
      <w:pPr>
        <w:numPr>
          <w:ilvl w:val="0"/>
          <w:numId w:val="1"/>
        </w:numPr>
        <w:autoSpaceDE w:val="0"/>
        <w:autoSpaceDN w:val="0"/>
        <w:adjustRightInd w:val="0"/>
        <w:spacing w:after="0" w:line="240" w:lineRule="auto"/>
        <w:ind w:left="540" w:hanging="540"/>
        <w:rPr>
          <w:rFonts w:eastAsia="Times New Roman" w:cs="Times New Roman"/>
          <w:color w:val="000000"/>
          <w:kern w:val="24"/>
          <w:szCs w:val="24"/>
          <w:lang w:bidi="ar-SA"/>
        </w:rPr>
      </w:pPr>
      <w:r>
        <w:rPr>
          <w:rFonts w:eastAsia="Times New Roman" w:cs="Times New Roman"/>
          <w:b/>
          <w:bCs/>
          <w:color w:val="000000"/>
          <w:kern w:val="24"/>
          <w:szCs w:val="24"/>
          <w:lang w:val="en-IN" w:bidi="ar-SA"/>
        </w:rPr>
        <w:t>Exhibitor Fees:</w:t>
      </w:r>
      <w:r>
        <w:rPr>
          <w:rFonts w:eastAsia="Times New Roman" w:cs="Times New Roman"/>
          <w:color w:val="000000"/>
          <w:kern w:val="24"/>
          <w:szCs w:val="24"/>
          <w:lang w:val="en-IN" w:bidi="ar-SA"/>
        </w:rPr>
        <w:t xml:space="preserve"> £150,000</w:t>
      </w:r>
    </w:p>
    <w:p w14:paraId="03F23911" w14:textId="77777777" w:rsidR="00F82149" w:rsidRDefault="00F82149" w:rsidP="00F82149">
      <w:pPr>
        <w:numPr>
          <w:ilvl w:val="0"/>
          <w:numId w:val="1"/>
        </w:numPr>
        <w:autoSpaceDE w:val="0"/>
        <w:autoSpaceDN w:val="0"/>
        <w:adjustRightInd w:val="0"/>
        <w:spacing w:after="0" w:line="240" w:lineRule="auto"/>
        <w:ind w:left="540" w:hanging="540"/>
        <w:rPr>
          <w:rFonts w:eastAsia="Times New Roman" w:cs="Times New Roman"/>
          <w:color w:val="000000"/>
          <w:kern w:val="24"/>
          <w:szCs w:val="24"/>
          <w:lang w:bidi="ar-SA"/>
        </w:rPr>
      </w:pPr>
      <w:r>
        <w:rPr>
          <w:rFonts w:eastAsia="Times New Roman" w:cs="Times New Roman"/>
          <w:b/>
          <w:bCs/>
          <w:color w:val="000000"/>
          <w:kern w:val="24"/>
          <w:szCs w:val="24"/>
          <w:lang w:val="en-IN" w:bidi="ar-SA"/>
        </w:rPr>
        <w:t>Merchandising:</w:t>
      </w:r>
      <w:r>
        <w:rPr>
          <w:rFonts w:eastAsia="Times New Roman" w:cs="Times New Roman"/>
          <w:color w:val="000000"/>
          <w:kern w:val="24"/>
          <w:szCs w:val="24"/>
          <w:lang w:val="en-IN" w:bidi="ar-SA"/>
        </w:rPr>
        <w:t xml:space="preserve"> £20,000</w:t>
      </w:r>
    </w:p>
    <w:p w14:paraId="7E83F519" w14:textId="77777777" w:rsidR="00F82149" w:rsidRDefault="00F82149" w:rsidP="00F82149">
      <w:pPr>
        <w:numPr>
          <w:ilvl w:val="0"/>
          <w:numId w:val="2"/>
        </w:numPr>
        <w:autoSpaceDE w:val="0"/>
        <w:autoSpaceDN w:val="0"/>
        <w:adjustRightInd w:val="0"/>
        <w:spacing w:after="0" w:line="240" w:lineRule="auto"/>
        <w:ind w:left="1170" w:hanging="450"/>
        <w:rPr>
          <w:rFonts w:eastAsia="Times New Roman" w:cs="Times New Roman"/>
          <w:color w:val="000000"/>
          <w:kern w:val="24"/>
          <w:szCs w:val="24"/>
          <w:lang w:bidi="ar-SA"/>
        </w:rPr>
      </w:pPr>
      <w:r>
        <w:rPr>
          <w:rFonts w:eastAsia="Times New Roman" w:cs="Times New Roman"/>
          <w:b/>
          <w:bCs/>
          <w:color w:val="000000"/>
          <w:kern w:val="24"/>
          <w:szCs w:val="24"/>
          <w:lang w:val="en-IN" w:bidi="ar-SA"/>
        </w:rPr>
        <w:t>Total Estimated Income:</w:t>
      </w:r>
      <w:r>
        <w:rPr>
          <w:rFonts w:eastAsia="Times New Roman" w:cs="Times New Roman"/>
          <w:color w:val="000000"/>
          <w:kern w:val="24"/>
          <w:szCs w:val="24"/>
          <w:lang w:val="en-IN" w:bidi="ar-SA"/>
        </w:rPr>
        <w:t xml:space="preserve"> £720,000</w:t>
      </w:r>
    </w:p>
    <w:p w14:paraId="275EBB91" w14:textId="77777777" w:rsidR="00F82149" w:rsidRDefault="00F82149" w:rsidP="00F82149">
      <w:pPr>
        <w:autoSpaceDE w:val="0"/>
        <w:autoSpaceDN w:val="0"/>
        <w:adjustRightInd w:val="0"/>
        <w:spacing w:after="0" w:line="240" w:lineRule="auto"/>
        <w:rPr>
          <w:rFonts w:eastAsia="Times New Roman" w:cs="Times New Roman"/>
          <w:color w:val="000000"/>
          <w:kern w:val="24"/>
          <w:szCs w:val="24"/>
          <w:lang w:bidi="ar-SA"/>
        </w:rPr>
      </w:pPr>
      <w:r>
        <w:rPr>
          <w:rFonts w:eastAsia="Times New Roman" w:cs="Times New Roman"/>
          <w:b/>
          <w:bCs/>
          <w:color w:val="000000"/>
          <w:kern w:val="24"/>
          <w:szCs w:val="24"/>
          <w:lang w:val="en-IN" w:bidi="ar-SA"/>
        </w:rPr>
        <w:t>Estimated Expenditure:</w:t>
      </w:r>
    </w:p>
    <w:p w14:paraId="784E6A56" w14:textId="77777777" w:rsidR="00F82149" w:rsidRDefault="00F82149" w:rsidP="00F82149">
      <w:pPr>
        <w:numPr>
          <w:ilvl w:val="0"/>
          <w:numId w:val="1"/>
        </w:numPr>
        <w:autoSpaceDE w:val="0"/>
        <w:autoSpaceDN w:val="0"/>
        <w:adjustRightInd w:val="0"/>
        <w:spacing w:after="0" w:line="240" w:lineRule="auto"/>
        <w:ind w:left="540" w:hanging="540"/>
        <w:rPr>
          <w:rFonts w:eastAsia="Times New Roman" w:cs="Times New Roman"/>
          <w:color w:val="000000"/>
          <w:kern w:val="24"/>
          <w:szCs w:val="24"/>
          <w:lang w:bidi="ar-SA"/>
        </w:rPr>
      </w:pPr>
      <w:r>
        <w:rPr>
          <w:rFonts w:eastAsia="Times New Roman" w:cs="Times New Roman"/>
          <w:b/>
          <w:bCs/>
          <w:color w:val="000000"/>
          <w:kern w:val="24"/>
          <w:szCs w:val="24"/>
          <w:lang w:val="en-IN" w:bidi="ar-SA"/>
        </w:rPr>
        <w:t>Venue Rental:</w:t>
      </w:r>
      <w:r>
        <w:rPr>
          <w:rFonts w:eastAsia="Times New Roman" w:cs="Times New Roman"/>
          <w:color w:val="000000"/>
          <w:kern w:val="24"/>
          <w:szCs w:val="24"/>
          <w:lang w:val="en-IN" w:bidi="ar-SA"/>
        </w:rPr>
        <w:t xml:space="preserve"> £100,000</w:t>
      </w:r>
    </w:p>
    <w:p w14:paraId="73525C13" w14:textId="77777777" w:rsidR="00F82149" w:rsidRDefault="00F82149" w:rsidP="00F82149">
      <w:pPr>
        <w:numPr>
          <w:ilvl w:val="0"/>
          <w:numId w:val="1"/>
        </w:numPr>
        <w:autoSpaceDE w:val="0"/>
        <w:autoSpaceDN w:val="0"/>
        <w:adjustRightInd w:val="0"/>
        <w:spacing w:after="0" w:line="240" w:lineRule="auto"/>
        <w:ind w:left="540" w:hanging="540"/>
        <w:rPr>
          <w:rFonts w:eastAsia="Times New Roman" w:cs="Times New Roman"/>
          <w:color w:val="000000"/>
          <w:kern w:val="24"/>
          <w:szCs w:val="24"/>
          <w:lang w:bidi="ar-SA"/>
        </w:rPr>
      </w:pPr>
      <w:r>
        <w:rPr>
          <w:rFonts w:eastAsia="Times New Roman" w:cs="Times New Roman"/>
          <w:b/>
          <w:bCs/>
          <w:color w:val="000000"/>
          <w:kern w:val="24"/>
          <w:szCs w:val="24"/>
          <w:lang w:val="en-IN" w:bidi="ar-SA"/>
        </w:rPr>
        <w:t>Technology Setups:</w:t>
      </w:r>
      <w:r>
        <w:rPr>
          <w:rFonts w:eastAsia="Times New Roman" w:cs="Times New Roman"/>
          <w:color w:val="000000"/>
          <w:kern w:val="24"/>
          <w:szCs w:val="24"/>
          <w:lang w:val="en-IN" w:bidi="ar-SA"/>
        </w:rPr>
        <w:t xml:space="preserve"> £75,000</w:t>
      </w:r>
    </w:p>
    <w:p w14:paraId="39A34867" w14:textId="77777777" w:rsidR="00F82149" w:rsidRDefault="00F82149" w:rsidP="00F82149">
      <w:pPr>
        <w:numPr>
          <w:ilvl w:val="0"/>
          <w:numId w:val="1"/>
        </w:numPr>
        <w:autoSpaceDE w:val="0"/>
        <w:autoSpaceDN w:val="0"/>
        <w:adjustRightInd w:val="0"/>
        <w:spacing w:after="0" w:line="240" w:lineRule="auto"/>
        <w:ind w:left="540" w:hanging="540"/>
        <w:rPr>
          <w:rFonts w:eastAsia="Times New Roman" w:cs="Times New Roman"/>
          <w:color w:val="000000"/>
          <w:kern w:val="24"/>
          <w:szCs w:val="24"/>
          <w:lang w:bidi="ar-SA"/>
        </w:rPr>
      </w:pPr>
      <w:r>
        <w:rPr>
          <w:rFonts w:eastAsia="Times New Roman" w:cs="Times New Roman"/>
          <w:b/>
          <w:bCs/>
          <w:color w:val="000000"/>
          <w:kern w:val="24"/>
          <w:szCs w:val="24"/>
          <w:lang w:val="en-IN" w:bidi="ar-SA"/>
        </w:rPr>
        <w:t>Marketing and Promotion:</w:t>
      </w:r>
      <w:r>
        <w:rPr>
          <w:rFonts w:eastAsia="Times New Roman" w:cs="Times New Roman"/>
          <w:color w:val="000000"/>
          <w:kern w:val="24"/>
          <w:szCs w:val="24"/>
          <w:lang w:val="en-IN" w:bidi="ar-SA"/>
        </w:rPr>
        <w:t xml:space="preserve"> £50,000</w:t>
      </w:r>
    </w:p>
    <w:p w14:paraId="481D68DD" w14:textId="77777777" w:rsidR="00F82149" w:rsidRDefault="00F82149" w:rsidP="00F82149">
      <w:pPr>
        <w:numPr>
          <w:ilvl w:val="0"/>
          <w:numId w:val="1"/>
        </w:numPr>
        <w:autoSpaceDE w:val="0"/>
        <w:autoSpaceDN w:val="0"/>
        <w:adjustRightInd w:val="0"/>
        <w:spacing w:after="0" w:line="240" w:lineRule="auto"/>
        <w:ind w:left="540" w:hanging="540"/>
        <w:rPr>
          <w:rFonts w:eastAsia="Times New Roman" w:cs="Times New Roman"/>
          <w:color w:val="000000"/>
          <w:kern w:val="24"/>
          <w:szCs w:val="24"/>
          <w:lang w:bidi="ar-SA"/>
        </w:rPr>
      </w:pPr>
      <w:r>
        <w:rPr>
          <w:rFonts w:eastAsia="Times New Roman" w:cs="Times New Roman"/>
          <w:b/>
          <w:bCs/>
          <w:color w:val="000000"/>
          <w:kern w:val="24"/>
          <w:szCs w:val="24"/>
          <w:lang w:val="en-IN" w:bidi="ar-SA"/>
        </w:rPr>
        <w:t>Staffing:</w:t>
      </w:r>
      <w:r>
        <w:rPr>
          <w:rFonts w:eastAsia="Times New Roman" w:cs="Times New Roman"/>
          <w:color w:val="000000"/>
          <w:kern w:val="24"/>
          <w:szCs w:val="24"/>
          <w:lang w:val="en-IN" w:bidi="ar-SA"/>
        </w:rPr>
        <w:t xml:space="preserve"> £60,000</w:t>
      </w:r>
    </w:p>
    <w:p w14:paraId="2B4CD122" w14:textId="77777777" w:rsidR="00F82149" w:rsidRDefault="00F82149" w:rsidP="00F82149">
      <w:pPr>
        <w:numPr>
          <w:ilvl w:val="0"/>
          <w:numId w:val="1"/>
        </w:numPr>
        <w:autoSpaceDE w:val="0"/>
        <w:autoSpaceDN w:val="0"/>
        <w:adjustRightInd w:val="0"/>
        <w:spacing w:after="0" w:line="240" w:lineRule="auto"/>
        <w:ind w:left="540" w:hanging="540"/>
        <w:rPr>
          <w:rFonts w:eastAsia="Times New Roman" w:cs="Times New Roman"/>
          <w:color w:val="000000"/>
          <w:kern w:val="24"/>
          <w:szCs w:val="24"/>
          <w:lang w:bidi="ar-SA"/>
        </w:rPr>
      </w:pPr>
      <w:r>
        <w:rPr>
          <w:rFonts w:eastAsia="Times New Roman" w:cs="Times New Roman"/>
          <w:b/>
          <w:bCs/>
          <w:color w:val="000000"/>
          <w:kern w:val="24"/>
          <w:szCs w:val="24"/>
          <w:lang w:val="en-IN" w:bidi="ar-SA"/>
        </w:rPr>
        <w:t>Catering:</w:t>
      </w:r>
      <w:r>
        <w:rPr>
          <w:rFonts w:eastAsia="Times New Roman" w:cs="Times New Roman"/>
          <w:color w:val="000000"/>
          <w:kern w:val="24"/>
          <w:szCs w:val="24"/>
          <w:lang w:val="en-IN" w:bidi="ar-SA"/>
        </w:rPr>
        <w:t xml:space="preserve"> £30,000</w:t>
      </w:r>
    </w:p>
    <w:p w14:paraId="3CFFDFF1" w14:textId="77777777" w:rsidR="00F82149" w:rsidRDefault="00F82149" w:rsidP="00F82149">
      <w:pPr>
        <w:numPr>
          <w:ilvl w:val="0"/>
          <w:numId w:val="1"/>
        </w:numPr>
        <w:autoSpaceDE w:val="0"/>
        <w:autoSpaceDN w:val="0"/>
        <w:adjustRightInd w:val="0"/>
        <w:spacing w:after="0" w:line="240" w:lineRule="auto"/>
        <w:ind w:left="540" w:hanging="540"/>
        <w:rPr>
          <w:rFonts w:eastAsia="Times New Roman" w:cs="Times New Roman"/>
          <w:color w:val="000000"/>
          <w:kern w:val="24"/>
          <w:szCs w:val="24"/>
          <w:lang w:bidi="ar-SA"/>
        </w:rPr>
      </w:pPr>
      <w:r>
        <w:rPr>
          <w:rFonts w:eastAsia="Times New Roman" w:cs="Times New Roman"/>
          <w:b/>
          <w:bCs/>
          <w:color w:val="000000"/>
          <w:kern w:val="24"/>
          <w:szCs w:val="24"/>
          <w:lang w:val="en-IN" w:bidi="ar-SA"/>
        </w:rPr>
        <w:t>Transport and Logistics:</w:t>
      </w:r>
      <w:r>
        <w:rPr>
          <w:rFonts w:eastAsia="Times New Roman" w:cs="Times New Roman"/>
          <w:color w:val="000000"/>
          <w:kern w:val="24"/>
          <w:szCs w:val="24"/>
          <w:lang w:val="en-IN" w:bidi="ar-SA"/>
        </w:rPr>
        <w:t xml:space="preserve"> £25,000</w:t>
      </w:r>
    </w:p>
    <w:p w14:paraId="3F3EEB2E" w14:textId="77777777" w:rsidR="00F82149" w:rsidRDefault="00F82149" w:rsidP="00F82149">
      <w:pPr>
        <w:numPr>
          <w:ilvl w:val="0"/>
          <w:numId w:val="1"/>
        </w:numPr>
        <w:autoSpaceDE w:val="0"/>
        <w:autoSpaceDN w:val="0"/>
        <w:adjustRightInd w:val="0"/>
        <w:spacing w:after="0" w:line="240" w:lineRule="auto"/>
        <w:ind w:left="540" w:hanging="540"/>
        <w:rPr>
          <w:rFonts w:eastAsia="Times New Roman" w:cs="Times New Roman"/>
          <w:color w:val="000000"/>
          <w:kern w:val="24"/>
          <w:szCs w:val="24"/>
          <w:lang w:bidi="ar-SA"/>
        </w:rPr>
      </w:pPr>
      <w:r>
        <w:rPr>
          <w:rFonts w:eastAsia="Times New Roman" w:cs="Times New Roman"/>
          <w:b/>
          <w:bCs/>
          <w:color w:val="000000"/>
          <w:kern w:val="24"/>
          <w:szCs w:val="24"/>
          <w:lang w:val="en-IN" w:bidi="ar-SA"/>
        </w:rPr>
        <w:t>Speaker and Panelist Fees:</w:t>
      </w:r>
      <w:r>
        <w:rPr>
          <w:rFonts w:eastAsia="Times New Roman" w:cs="Times New Roman"/>
          <w:color w:val="000000"/>
          <w:kern w:val="24"/>
          <w:szCs w:val="24"/>
          <w:lang w:val="en-IN" w:bidi="ar-SA"/>
        </w:rPr>
        <w:t xml:space="preserve"> £40,000</w:t>
      </w:r>
    </w:p>
    <w:p w14:paraId="6BD11A40" w14:textId="77777777" w:rsidR="00F82149" w:rsidRDefault="00F82149" w:rsidP="00F82149">
      <w:pPr>
        <w:numPr>
          <w:ilvl w:val="0"/>
          <w:numId w:val="1"/>
        </w:numPr>
        <w:autoSpaceDE w:val="0"/>
        <w:autoSpaceDN w:val="0"/>
        <w:adjustRightInd w:val="0"/>
        <w:spacing w:after="0" w:line="240" w:lineRule="auto"/>
        <w:ind w:left="540" w:hanging="540"/>
        <w:rPr>
          <w:rFonts w:eastAsia="Times New Roman" w:cs="Times New Roman"/>
          <w:color w:val="000000"/>
          <w:kern w:val="24"/>
          <w:szCs w:val="24"/>
          <w:lang w:bidi="ar-SA"/>
        </w:rPr>
      </w:pPr>
      <w:r>
        <w:rPr>
          <w:rFonts w:eastAsia="Times New Roman" w:cs="Times New Roman"/>
          <w:b/>
          <w:bCs/>
          <w:color w:val="000000"/>
          <w:kern w:val="24"/>
          <w:szCs w:val="24"/>
          <w:lang w:val="en-IN" w:bidi="ar-SA"/>
        </w:rPr>
        <w:t>Miscellaneous and Contingency:</w:t>
      </w:r>
      <w:r>
        <w:rPr>
          <w:rFonts w:eastAsia="Times New Roman" w:cs="Times New Roman"/>
          <w:color w:val="000000"/>
          <w:kern w:val="24"/>
          <w:szCs w:val="24"/>
          <w:lang w:val="en-IN" w:bidi="ar-SA"/>
        </w:rPr>
        <w:t xml:space="preserve"> £50,000 (10% of total costs)</w:t>
      </w:r>
    </w:p>
    <w:p w14:paraId="4FE90196" w14:textId="77777777" w:rsidR="00F82149" w:rsidRDefault="00F82149" w:rsidP="00F82149">
      <w:pPr>
        <w:numPr>
          <w:ilvl w:val="0"/>
          <w:numId w:val="2"/>
        </w:numPr>
        <w:autoSpaceDE w:val="0"/>
        <w:autoSpaceDN w:val="0"/>
        <w:adjustRightInd w:val="0"/>
        <w:spacing w:after="0" w:line="240" w:lineRule="auto"/>
        <w:ind w:left="1170" w:hanging="450"/>
        <w:rPr>
          <w:rFonts w:eastAsia="Times New Roman" w:cs="Times New Roman"/>
          <w:color w:val="000000"/>
          <w:kern w:val="24"/>
          <w:szCs w:val="24"/>
          <w:lang w:bidi="ar-SA"/>
        </w:rPr>
      </w:pPr>
      <w:r>
        <w:rPr>
          <w:rFonts w:eastAsia="Times New Roman" w:cs="Times New Roman"/>
          <w:b/>
          <w:bCs/>
          <w:color w:val="000000"/>
          <w:kern w:val="24"/>
          <w:szCs w:val="24"/>
          <w:lang w:val="en-IN" w:bidi="ar-SA"/>
        </w:rPr>
        <w:t>Total Estimated Expenditure:</w:t>
      </w:r>
      <w:r>
        <w:rPr>
          <w:rFonts w:eastAsia="Times New Roman" w:cs="Times New Roman"/>
          <w:color w:val="000000"/>
          <w:kern w:val="24"/>
          <w:szCs w:val="24"/>
          <w:lang w:val="en-IN" w:bidi="ar-SA"/>
        </w:rPr>
        <w:t xml:space="preserve"> £430,000</w:t>
      </w:r>
    </w:p>
    <w:p w14:paraId="38EEA68B" w14:textId="77777777" w:rsidR="00F82149" w:rsidRDefault="00F82149" w:rsidP="00F82149">
      <w:pPr>
        <w:autoSpaceDE w:val="0"/>
        <w:autoSpaceDN w:val="0"/>
        <w:adjustRightInd w:val="0"/>
        <w:spacing w:after="0" w:line="240" w:lineRule="auto"/>
        <w:rPr>
          <w:rFonts w:eastAsia="Times New Roman" w:cs="Times New Roman"/>
          <w:color w:val="000000"/>
          <w:kern w:val="24"/>
          <w:szCs w:val="24"/>
          <w:lang w:bidi="ar-SA"/>
        </w:rPr>
      </w:pPr>
      <w:r>
        <w:rPr>
          <w:rFonts w:eastAsia="Times New Roman" w:cs="Times New Roman"/>
          <w:b/>
          <w:bCs/>
          <w:color w:val="000000"/>
          <w:kern w:val="24"/>
          <w:szCs w:val="24"/>
          <w:lang w:val="en-IN" w:bidi="ar-SA"/>
        </w:rPr>
        <w:t>Total Budget and Break-even Analysis:</w:t>
      </w:r>
    </w:p>
    <w:p w14:paraId="3677EE2D" w14:textId="77777777" w:rsidR="00F82149" w:rsidRDefault="00F82149" w:rsidP="00F82149">
      <w:pPr>
        <w:numPr>
          <w:ilvl w:val="0"/>
          <w:numId w:val="2"/>
        </w:numPr>
        <w:autoSpaceDE w:val="0"/>
        <w:autoSpaceDN w:val="0"/>
        <w:adjustRightInd w:val="0"/>
        <w:spacing w:after="0" w:line="240" w:lineRule="auto"/>
        <w:ind w:left="540" w:hanging="540"/>
        <w:rPr>
          <w:rFonts w:eastAsia="Times New Roman" w:cs="Times New Roman"/>
          <w:color w:val="000000"/>
          <w:kern w:val="24"/>
          <w:szCs w:val="24"/>
          <w:lang w:bidi="ar-SA"/>
        </w:rPr>
      </w:pPr>
      <w:r>
        <w:rPr>
          <w:rFonts w:eastAsia="Times New Roman" w:cs="Times New Roman"/>
          <w:b/>
          <w:bCs/>
          <w:color w:val="000000"/>
          <w:kern w:val="24"/>
          <w:szCs w:val="24"/>
          <w:lang w:val="en-IN" w:bidi="ar-SA"/>
        </w:rPr>
        <w:t>Total Budget (Expenditure):</w:t>
      </w:r>
      <w:r>
        <w:rPr>
          <w:rFonts w:eastAsia="Times New Roman" w:cs="Times New Roman"/>
          <w:color w:val="000000"/>
          <w:kern w:val="24"/>
          <w:szCs w:val="24"/>
          <w:lang w:val="en-IN" w:bidi="ar-SA"/>
        </w:rPr>
        <w:t xml:space="preserve"> £430,000</w:t>
      </w:r>
    </w:p>
    <w:p w14:paraId="31F8F95C" w14:textId="77777777" w:rsidR="00F82149" w:rsidRDefault="00F82149" w:rsidP="00F82149">
      <w:pPr>
        <w:numPr>
          <w:ilvl w:val="0"/>
          <w:numId w:val="2"/>
        </w:numPr>
        <w:autoSpaceDE w:val="0"/>
        <w:autoSpaceDN w:val="0"/>
        <w:adjustRightInd w:val="0"/>
        <w:spacing w:after="0" w:line="240" w:lineRule="auto"/>
        <w:ind w:left="540" w:hanging="540"/>
        <w:rPr>
          <w:rFonts w:eastAsia="Times New Roman" w:cs="Times New Roman"/>
          <w:color w:val="000000"/>
          <w:kern w:val="24"/>
          <w:szCs w:val="24"/>
          <w:lang w:bidi="ar-SA"/>
        </w:rPr>
      </w:pPr>
      <w:r>
        <w:rPr>
          <w:rFonts w:eastAsia="Times New Roman" w:cs="Times New Roman"/>
          <w:b/>
          <w:bCs/>
          <w:color w:val="000000"/>
          <w:kern w:val="24"/>
          <w:szCs w:val="24"/>
          <w:lang w:val="en-IN" w:bidi="ar-SA"/>
        </w:rPr>
        <w:t>Total Estimated Revenue (Income):</w:t>
      </w:r>
      <w:r>
        <w:rPr>
          <w:rFonts w:eastAsia="Times New Roman" w:cs="Times New Roman"/>
          <w:color w:val="000000"/>
          <w:kern w:val="24"/>
          <w:szCs w:val="24"/>
          <w:lang w:val="en-IN" w:bidi="ar-SA"/>
        </w:rPr>
        <w:t xml:space="preserve"> £720,000</w:t>
      </w:r>
    </w:p>
    <w:p w14:paraId="3782FD10" w14:textId="77777777" w:rsidR="00F82149" w:rsidRDefault="00F82149" w:rsidP="00F82149">
      <w:pPr>
        <w:numPr>
          <w:ilvl w:val="0"/>
          <w:numId w:val="2"/>
        </w:numPr>
        <w:autoSpaceDE w:val="0"/>
        <w:autoSpaceDN w:val="0"/>
        <w:adjustRightInd w:val="0"/>
        <w:spacing w:after="0" w:line="240" w:lineRule="auto"/>
        <w:ind w:left="540" w:hanging="540"/>
        <w:rPr>
          <w:rFonts w:eastAsia="Times New Roman" w:cs="Times New Roman"/>
          <w:color w:val="000000"/>
          <w:kern w:val="24"/>
          <w:szCs w:val="24"/>
          <w:lang w:bidi="ar-SA"/>
        </w:rPr>
      </w:pPr>
      <w:r>
        <w:rPr>
          <w:rFonts w:eastAsia="Times New Roman" w:cs="Times New Roman"/>
          <w:b/>
          <w:bCs/>
          <w:color w:val="000000"/>
          <w:kern w:val="24"/>
          <w:szCs w:val="24"/>
          <w:lang w:val="en-IN" w:bidi="ar-SA"/>
        </w:rPr>
        <w:t>Net Income (Profit):</w:t>
      </w:r>
      <w:r>
        <w:rPr>
          <w:rFonts w:eastAsia="Times New Roman" w:cs="Times New Roman"/>
          <w:color w:val="000000"/>
          <w:kern w:val="24"/>
          <w:szCs w:val="24"/>
          <w:lang w:val="en-IN" w:bidi="ar-SA"/>
        </w:rPr>
        <w:t xml:space="preserve"> £720,000 - £430,000 = £290,000</w:t>
      </w:r>
    </w:p>
    <w:p w14:paraId="373322F5" w14:textId="77777777" w:rsidR="00F82149" w:rsidRDefault="00F82149" w:rsidP="00F82149">
      <w:pPr>
        <w:autoSpaceDE w:val="0"/>
        <w:autoSpaceDN w:val="0"/>
        <w:adjustRightInd w:val="0"/>
        <w:spacing w:after="0" w:line="240" w:lineRule="auto"/>
        <w:rPr>
          <w:rFonts w:eastAsia="Times New Roman" w:cs="Times New Roman"/>
          <w:color w:val="000000"/>
          <w:kern w:val="24"/>
          <w:szCs w:val="24"/>
          <w:lang w:bidi="ar-SA"/>
        </w:rPr>
      </w:pPr>
      <w:r>
        <w:rPr>
          <w:rFonts w:eastAsia="Times New Roman" w:cs="Times New Roman"/>
          <w:b/>
          <w:bCs/>
          <w:color w:val="000000"/>
          <w:kern w:val="24"/>
          <w:szCs w:val="24"/>
          <w:lang w:val="en-IN" w:bidi="ar-SA"/>
        </w:rPr>
        <w:t>Break-even Point Calculation:</w:t>
      </w:r>
    </w:p>
    <w:p w14:paraId="3FD0EA2B" w14:textId="77777777" w:rsidR="00F82149" w:rsidRDefault="00F82149" w:rsidP="00F82149">
      <w:pPr>
        <w:autoSpaceDE w:val="0"/>
        <w:autoSpaceDN w:val="0"/>
        <w:adjustRightInd w:val="0"/>
        <w:spacing w:after="0" w:line="240" w:lineRule="auto"/>
        <w:rPr>
          <w:rFonts w:eastAsia="Times New Roman" w:cs="Times New Roman"/>
          <w:color w:val="000000"/>
          <w:kern w:val="24"/>
          <w:szCs w:val="24"/>
          <w:lang w:bidi="ar-SA"/>
        </w:rPr>
      </w:pPr>
      <w:r>
        <w:rPr>
          <w:rFonts w:eastAsia="Times New Roman" w:cs="Times New Roman"/>
          <w:color w:val="000000"/>
          <w:kern w:val="24"/>
          <w:szCs w:val="24"/>
          <w:lang w:val="en-IN" w:bidi="ar-SA"/>
        </w:rPr>
        <w:t>To find the break-even point in terms of ticket sales:</w:t>
      </w:r>
    </w:p>
    <w:p w14:paraId="4CB4534E" w14:textId="77777777" w:rsidR="00F82149" w:rsidRDefault="00F82149" w:rsidP="00F82149">
      <w:pPr>
        <w:numPr>
          <w:ilvl w:val="0"/>
          <w:numId w:val="1"/>
        </w:numPr>
        <w:autoSpaceDE w:val="0"/>
        <w:autoSpaceDN w:val="0"/>
        <w:adjustRightInd w:val="0"/>
        <w:spacing w:after="0" w:line="240" w:lineRule="auto"/>
        <w:ind w:left="540" w:hanging="540"/>
        <w:rPr>
          <w:rFonts w:eastAsia="Times New Roman" w:cs="Times New Roman"/>
          <w:color w:val="000000"/>
          <w:kern w:val="24"/>
          <w:szCs w:val="24"/>
          <w:lang w:bidi="ar-SA"/>
        </w:rPr>
      </w:pPr>
      <w:r>
        <w:rPr>
          <w:rFonts w:eastAsia="Times New Roman" w:cs="Times New Roman"/>
          <w:b/>
          <w:bCs/>
          <w:color w:val="000000"/>
          <w:kern w:val="24"/>
          <w:szCs w:val="24"/>
          <w:lang w:val="en-IN" w:bidi="ar-SA"/>
        </w:rPr>
        <w:t>Average Ticket Price Assumption:</w:t>
      </w:r>
      <w:r>
        <w:rPr>
          <w:rFonts w:eastAsia="Times New Roman" w:cs="Times New Roman"/>
          <w:color w:val="000000"/>
          <w:kern w:val="24"/>
          <w:szCs w:val="24"/>
          <w:lang w:val="en-IN" w:bidi="ar-SA"/>
        </w:rPr>
        <w:t xml:space="preserve"> Assuming an average ticket price of £100 (balancing between general, VIP, and exhibitor tickets).</w:t>
      </w:r>
    </w:p>
    <w:p w14:paraId="3CECAF74" w14:textId="77777777" w:rsidR="00F82149" w:rsidRDefault="00F82149" w:rsidP="00F82149">
      <w:pPr>
        <w:numPr>
          <w:ilvl w:val="0"/>
          <w:numId w:val="1"/>
        </w:numPr>
        <w:autoSpaceDE w:val="0"/>
        <w:autoSpaceDN w:val="0"/>
        <w:adjustRightInd w:val="0"/>
        <w:spacing w:after="0" w:line="240" w:lineRule="auto"/>
        <w:ind w:left="540" w:hanging="540"/>
        <w:rPr>
          <w:rFonts w:eastAsia="Times New Roman" w:cs="Times New Roman"/>
          <w:color w:val="000000"/>
          <w:kern w:val="24"/>
          <w:szCs w:val="24"/>
          <w:lang w:bidi="ar-SA"/>
        </w:rPr>
      </w:pPr>
      <w:r>
        <w:rPr>
          <w:rFonts w:eastAsia="Times New Roman" w:cs="Times New Roman"/>
          <w:b/>
          <w:bCs/>
          <w:color w:val="000000"/>
          <w:kern w:val="24"/>
          <w:szCs w:val="24"/>
          <w:lang w:val="en-IN" w:bidi="ar-SA"/>
        </w:rPr>
        <w:lastRenderedPageBreak/>
        <w:t>Fixed Costs:</w:t>
      </w:r>
      <w:r>
        <w:rPr>
          <w:rFonts w:eastAsia="Times New Roman" w:cs="Times New Roman"/>
          <w:color w:val="000000"/>
          <w:kern w:val="24"/>
          <w:szCs w:val="24"/>
          <w:lang w:val="en-IN" w:bidi="ar-SA"/>
        </w:rPr>
        <w:t xml:space="preserve"> Total expenditure, £430,000.</w:t>
      </w:r>
    </w:p>
    <w:p w14:paraId="5F13BFFE" w14:textId="77777777" w:rsidR="00F82149" w:rsidRDefault="00F82149" w:rsidP="00F82149">
      <w:pPr>
        <w:numPr>
          <w:ilvl w:val="0"/>
          <w:numId w:val="1"/>
        </w:numPr>
        <w:autoSpaceDE w:val="0"/>
        <w:autoSpaceDN w:val="0"/>
        <w:adjustRightInd w:val="0"/>
        <w:spacing w:after="0" w:line="240" w:lineRule="auto"/>
        <w:ind w:left="540" w:hanging="540"/>
        <w:rPr>
          <w:rFonts w:eastAsia="Times New Roman" w:cs="Times New Roman"/>
          <w:color w:val="000000"/>
          <w:kern w:val="24"/>
          <w:szCs w:val="24"/>
          <w:lang w:val="en-IN" w:bidi="ar-SA"/>
        </w:rPr>
      </w:pPr>
      <w:r>
        <w:rPr>
          <w:rFonts w:eastAsia="Times New Roman" w:cs="Times New Roman"/>
          <w:b/>
          <w:bCs/>
          <w:color w:val="000000"/>
          <w:kern w:val="24"/>
          <w:szCs w:val="24"/>
          <w:lang w:val="en-IN" w:bidi="ar-SA"/>
        </w:rPr>
        <w:t>Variable Costs:</w:t>
      </w:r>
      <w:r>
        <w:rPr>
          <w:rFonts w:eastAsia="Times New Roman" w:cs="Times New Roman"/>
          <w:color w:val="000000"/>
          <w:kern w:val="24"/>
          <w:szCs w:val="24"/>
          <w:lang w:val="en-IN" w:bidi="ar-SA"/>
        </w:rPr>
        <w:t xml:space="preserve"> These are relatively low per attendee since major costs like venue and technology are fixed, but let's estimate a conservative £10 per ticket for additional costs like catering and materials.</w:t>
      </w:r>
    </w:p>
    <w:p w14:paraId="13B95EB9" w14:textId="77777777" w:rsidR="00F82149" w:rsidRDefault="00F82149" w:rsidP="00F82149">
      <w:pPr>
        <w:autoSpaceDE w:val="0"/>
        <w:autoSpaceDN w:val="0"/>
        <w:adjustRightInd w:val="0"/>
        <w:spacing w:after="0" w:line="240" w:lineRule="auto"/>
        <w:rPr>
          <w:rFonts w:eastAsia="Times New Roman" w:cs="Times New Roman"/>
          <w:color w:val="000000"/>
          <w:kern w:val="24"/>
          <w:szCs w:val="24"/>
          <w:lang w:bidi="ar-SA"/>
        </w:rPr>
      </w:pPr>
      <w:r>
        <w:rPr>
          <w:rFonts w:eastAsia="Times New Roman" w:cs="Times New Roman"/>
          <w:b/>
          <w:bCs/>
          <w:color w:val="000000"/>
          <w:kern w:val="24"/>
          <w:szCs w:val="24"/>
          <w:lang w:val="en-IN" w:bidi="ar-SA"/>
        </w:rPr>
        <w:t>Break-even Formula:</w:t>
      </w:r>
      <w:r>
        <w:rPr>
          <w:rFonts w:eastAsia="Times New Roman" w:cs="Times New Roman"/>
          <w:color w:val="000000"/>
          <w:kern w:val="24"/>
          <w:szCs w:val="24"/>
          <w:lang w:val="en-IN" w:bidi="ar-SA"/>
        </w:rPr>
        <w:t xml:space="preserve"> </w:t>
      </w:r>
    </w:p>
    <w:p w14:paraId="4973A4D1" w14:textId="77777777" w:rsidR="00F82149" w:rsidRDefault="00F82149" w:rsidP="00F82149">
      <w:pPr>
        <w:autoSpaceDE w:val="0"/>
        <w:autoSpaceDN w:val="0"/>
        <w:adjustRightInd w:val="0"/>
        <w:spacing w:after="0" w:line="240" w:lineRule="auto"/>
        <w:rPr>
          <w:rFonts w:eastAsia="Times New Roman" w:cs="Times New Roman"/>
          <w:color w:val="000000"/>
          <w:kern w:val="24"/>
          <w:szCs w:val="24"/>
          <w:lang w:bidi="ar-SA"/>
        </w:rPr>
      </w:pPr>
      <w:r>
        <w:rPr>
          <w:rFonts w:eastAsia="Times New Roman" w:cs="Times New Roman"/>
          <w:color w:val="000000"/>
          <w:kern w:val="24"/>
          <w:szCs w:val="24"/>
          <w:lang w:val="en-IN" w:bidi="ar-SA"/>
        </w:rPr>
        <w:t>Thus, you would need to sell approximately 4,778 tickets at an average price of £100, considering a variable cost of £10 per ticket, to cover all fixed and variable costs, thereby reaching the break-even point.</w:t>
      </w:r>
    </w:p>
    <w:p w14:paraId="7486B5F2" w14:textId="77777777" w:rsidR="00F82149" w:rsidRDefault="00F82149" w:rsidP="00F82149">
      <w:pPr>
        <w:autoSpaceDE w:val="0"/>
        <w:autoSpaceDN w:val="0"/>
        <w:adjustRightInd w:val="0"/>
        <w:spacing w:after="0" w:line="240" w:lineRule="auto"/>
        <w:rPr>
          <w:rFonts w:eastAsia="Times New Roman" w:cs="Times New Roman"/>
          <w:color w:val="000000"/>
          <w:kern w:val="24"/>
          <w:szCs w:val="24"/>
          <w:lang w:bidi="ar-SA"/>
        </w:rPr>
      </w:pPr>
    </w:p>
    <w:p w14:paraId="6EFF04D0" w14:textId="77777777" w:rsidR="00F82149" w:rsidRDefault="00F82149" w:rsidP="00F82149">
      <w:pPr>
        <w:autoSpaceDE w:val="0"/>
        <w:autoSpaceDN w:val="0"/>
        <w:adjustRightInd w:val="0"/>
        <w:spacing w:after="0" w:line="240" w:lineRule="auto"/>
        <w:rPr>
          <w:rFonts w:ascii="Calibri" w:eastAsia="Times New Roman" w:cs="Calibri"/>
          <w:color w:val="auto"/>
          <w:kern w:val="24"/>
          <w:szCs w:val="24"/>
          <w:lang w:val="en-US" w:bidi="ar-SA"/>
        </w:rPr>
      </w:pPr>
    </w:p>
    <w:p w14:paraId="4868A22A" w14:textId="77777777" w:rsidR="00F82149" w:rsidRDefault="00F82149" w:rsidP="00F82149">
      <w:pPr>
        <w:autoSpaceDE w:val="0"/>
        <w:autoSpaceDN w:val="0"/>
        <w:adjustRightInd w:val="0"/>
        <w:spacing w:after="0" w:line="240" w:lineRule="auto"/>
        <w:jc w:val="left"/>
        <w:rPr>
          <w:rFonts w:ascii="Arial" w:hAnsi="Arial" w:cs="Arial"/>
          <w:color w:val="auto"/>
          <w:szCs w:val="24"/>
          <w:lang w:val="en-IN" w:bidi="ar-SA"/>
        </w:rPr>
      </w:pPr>
    </w:p>
    <w:p w14:paraId="6019BC3A" w14:textId="441ED0EA" w:rsidR="00F82149" w:rsidRDefault="00F82149" w:rsidP="00F82149">
      <w:pPr>
        <w:jc w:val="left"/>
      </w:pPr>
    </w:p>
    <w:p w14:paraId="6D418AF4" w14:textId="067CACB4" w:rsidR="00F82149" w:rsidRDefault="00F82149">
      <w:pPr>
        <w:spacing w:line="259" w:lineRule="auto"/>
        <w:jc w:val="left"/>
      </w:pPr>
      <w:r>
        <w:br w:type="page"/>
      </w:r>
    </w:p>
    <w:p w14:paraId="77FA24D1" w14:textId="4A323315" w:rsidR="00F82149" w:rsidRDefault="00F82149" w:rsidP="00F82149">
      <w:pPr>
        <w:jc w:val="left"/>
      </w:pPr>
      <w:r>
        <w:lastRenderedPageBreak/>
        <w:t>Slide 7</w:t>
      </w:r>
    </w:p>
    <w:p w14:paraId="02DE8CFE" w14:textId="2ED39004" w:rsidR="00F82149" w:rsidRDefault="00F82149" w:rsidP="00F82149">
      <w:pPr>
        <w:jc w:val="left"/>
      </w:pPr>
    </w:p>
    <w:p w14:paraId="0548B596" w14:textId="636F4A5B" w:rsidR="00F82149" w:rsidRDefault="00F82149" w:rsidP="00F82149">
      <w:pPr>
        <w:jc w:val="center"/>
      </w:pPr>
      <w:r>
        <w:object w:dxaOrig="9605" w:dyaOrig="5393" w14:anchorId="1B5BA13C">
          <v:shape id="_x0000_i1031" type="#_x0000_t75" style="width:5in;height:201.75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31" DrawAspect="Content" ObjectID="_1776065397" r:id="rId18"/>
        </w:object>
      </w:r>
    </w:p>
    <w:p w14:paraId="3F848198" w14:textId="596C6A5A" w:rsidR="00F82149" w:rsidRDefault="00F82149" w:rsidP="00F82149">
      <w:pPr>
        <w:jc w:val="center"/>
      </w:pPr>
    </w:p>
    <w:p w14:paraId="58912B85" w14:textId="77777777" w:rsidR="00F82149" w:rsidRDefault="00F82149" w:rsidP="00F82149">
      <w:pPr>
        <w:autoSpaceDE w:val="0"/>
        <w:autoSpaceDN w:val="0"/>
        <w:adjustRightInd w:val="0"/>
        <w:spacing w:after="0" w:line="240" w:lineRule="auto"/>
        <w:jc w:val="left"/>
        <w:rPr>
          <w:rFonts w:ascii="Calibri" w:hAnsi="Calibri" w:cs="Calibri"/>
          <w:color w:val="auto"/>
          <w:kern w:val="24"/>
          <w:szCs w:val="24"/>
          <w:lang w:val="en-US" w:bidi="ar-SA"/>
        </w:rPr>
      </w:pPr>
      <w:r>
        <w:rPr>
          <w:rFonts w:ascii="Calibri" w:hAnsi="Calibri" w:cs="Calibri"/>
          <w:color w:val="auto"/>
          <w:kern w:val="24"/>
          <w:szCs w:val="24"/>
          <w:lang w:bidi="ar-SA"/>
        </w:rPr>
        <w:t>Identification, detection as well as assessment of potential risks including technical failures, unexpected delays and budget overruns are the integral part of the risk management process. Mitigation measures involve producing contingency plans of the highest level, obtaining insurance having maximum coverage, and adhering to all the standards of the required regulations (</w:t>
      </w:r>
      <w:r>
        <w:rPr>
          <w:rFonts w:eastAsia="Times New Roman" w:cs="Times New Roman"/>
          <w:color w:val="000000"/>
          <w:kern w:val="24"/>
          <w:szCs w:val="24"/>
          <w:lang w:bidi="ar-SA"/>
        </w:rPr>
        <w:t>Sharma et al., 2021</w:t>
      </w:r>
      <w:r>
        <w:rPr>
          <w:rFonts w:ascii="Calibri" w:hAnsi="Calibri" w:cs="Calibri"/>
          <w:color w:val="auto"/>
          <w:kern w:val="24"/>
          <w:szCs w:val="24"/>
          <w:lang w:bidi="ar-SA"/>
        </w:rPr>
        <w:t>). Furthermore, the commitment to risk management by setting up a risk management team in the event management structure helps in solving such issues within a short time. The event organizers can promote the welfare of the event by taking the initiative to foresee and an eventual solution in mitigation of any possible risks (Chugunov &amp; Makohon, 2020).</w:t>
      </w:r>
    </w:p>
    <w:p w14:paraId="543F7098" w14:textId="77777777" w:rsidR="00F82149" w:rsidRDefault="00F82149" w:rsidP="00F82149">
      <w:pPr>
        <w:autoSpaceDE w:val="0"/>
        <w:autoSpaceDN w:val="0"/>
        <w:adjustRightInd w:val="0"/>
        <w:spacing w:after="0" w:line="240" w:lineRule="auto"/>
        <w:jc w:val="left"/>
        <w:rPr>
          <w:rFonts w:ascii="Arial" w:hAnsi="Arial" w:cs="Arial"/>
          <w:color w:val="auto"/>
          <w:szCs w:val="24"/>
          <w:lang w:val="en-IN" w:bidi="ar-SA"/>
        </w:rPr>
      </w:pPr>
    </w:p>
    <w:p w14:paraId="2F38D923" w14:textId="51FF0C40" w:rsidR="00F82149" w:rsidRDefault="00F82149" w:rsidP="00F82149">
      <w:pPr>
        <w:jc w:val="left"/>
      </w:pPr>
    </w:p>
    <w:p w14:paraId="4085CFF0" w14:textId="6886F81C" w:rsidR="00F82149" w:rsidRDefault="00F82149">
      <w:pPr>
        <w:spacing w:line="259" w:lineRule="auto"/>
        <w:jc w:val="left"/>
      </w:pPr>
      <w:r>
        <w:br w:type="page"/>
      </w:r>
    </w:p>
    <w:p w14:paraId="1CE946C8" w14:textId="7554F77E" w:rsidR="00F82149" w:rsidRDefault="00F82149" w:rsidP="00F82149">
      <w:pPr>
        <w:jc w:val="left"/>
      </w:pPr>
      <w:r>
        <w:lastRenderedPageBreak/>
        <w:t>Slide 8</w:t>
      </w:r>
    </w:p>
    <w:p w14:paraId="57A7A5BE" w14:textId="558E455C" w:rsidR="00F82149" w:rsidRDefault="00F82149" w:rsidP="00F82149">
      <w:pPr>
        <w:jc w:val="left"/>
      </w:pPr>
    </w:p>
    <w:p w14:paraId="4E07C45F" w14:textId="63A1D0EE" w:rsidR="00F82149" w:rsidRDefault="00F82149" w:rsidP="00F82149">
      <w:pPr>
        <w:jc w:val="center"/>
      </w:pPr>
      <w:r>
        <w:object w:dxaOrig="9605" w:dyaOrig="5393" w14:anchorId="57EF2BCE">
          <v:shape id="_x0000_i1032" type="#_x0000_t75" style="width:5in;height:201.75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32" DrawAspect="Content" ObjectID="_1776065398" r:id="rId20"/>
        </w:object>
      </w:r>
    </w:p>
    <w:p w14:paraId="51D9163F" w14:textId="10375C49" w:rsidR="00F82149" w:rsidRDefault="00F82149" w:rsidP="00F82149">
      <w:pPr>
        <w:jc w:val="center"/>
      </w:pPr>
    </w:p>
    <w:p w14:paraId="1FC0CBF4" w14:textId="77777777" w:rsidR="00F82149" w:rsidRDefault="00F82149" w:rsidP="00F82149">
      <w:pPr>
        <w:autoSpaceDE w:val="0"/>
        <w:autoSpaceDN w:val="0"/>
        <w:adjustRightInd w:val="0"/>
        <w:spacing w:after="0" w:line="240" w:lineRule="auto"/>
        <w:jc w:val="left"/>
        <w:rPr>
          <w:rFonts w:ascii="Calibri" w:hAnsi="Calibri" w:cs="Calibri"/>
          <w:color w:val="auto"/>
          <w:kern w:val="24"/>
          <w:szCs w:val="24"/>
          <w:lang w:val="en-US" w:bidi="ar-SA"/>
        </w:rPr>
      </w:pPr>
      <w:r>
        <w:rPr>
          <w:rFonts w:ascii="Calibri" w:hAnsi="Calibri" w:cs="Calibri"/>
          <w:color w:val="auto"/>
          <w:kern w:val="24"/>
          <w:szCs w:val="24"/>
          <w:lang w:bidi="ar-SA"/>
        </w:rPr>
        <w:t>Organising a technology event in the hotel business allows one to earn certain advantages, including the enhancement of brand visibility and placing the company in the vanguard of technology. Strengthening partnerships with the key partners of the technology and hospitality sectors helps in the formation of long-term collaborations and a clear market position (</w:t>
      </w:r>
      <w:r>
        <w:rPr>
          <w:rFonts w:eastAsia="Times New Roman" w:cs="Times New Roman"/>
          <w:color w:val="000000"/>
          <w:kern w:val="24"/>
          <w:szCs w:val="24"/>
          <w:lang w:bidi="ar-SA"/>
        </w:rPr>
        <w:t>Lelo et al., 2021</w:t>
      </w:r>
      <w:r>
        <w:rPr>
          <w:rFonts w:ascii="Calibri" w:hAnsi="Calibri" w:cs="Calibri"/>
          <w:color w:val="auto"/>
          <w:kern w:val="24"/>
          <w:szCs w:val="24"/>
          <w:lang w:bidi="ar-SA"/>
        </w:rPr>
        <w:t>). Besides that, providing the quality of customer experience during the event helps to improve the company's reputation and to show how they care about the excellence in the industry. In this regard, exploiting strategic advantages like brand promotion, market positioning, stakeholder involvement, innovative leadership, and customer experience can influence technology event performance and deepen its sustainability in the hotel sector (Paraskevopoulou et al., 2022).</w:t>
      </w:r>
    </w:p>
    <w:p w14:paraId="425D0E81" w14:textId="77777777" w:rsidR="00F82149" w:rsidRDefault="00F82149" w:rsidP="00F82149">
      <w:pPr>
        <w:autoSpaceDE w:val="0"/>
        <w:autoSpaceDN w:val="0"/>
        <w:adjustRightInd w:val="0"/>
        <w:spacing w:after="0" w:line="240" w:lineRule="auto"/>
        <w:jc w:val="left"/>
        <w:rPr>
          <w:rFonts w:ascii="Arial" w:hAnsi="Arial" w:cs="Arial"/>
          <w:color w:val="auto"/>
          <w:szCs w:val="24"/>
          <w:lang w:val="en-IN" w:bidi="ar-SA"/>
        </w:rPr>
      </w:pPr>
    </w:p>
    <w:p w14:paraId="36DC177D" w14:textId="52C13EAB" w:rsidR="00F82149" w:rsidRDefault="00F82149" w:rsidP="00F82149">
      <w:pPr>
        <w:jc w:val="left"/>
      </w:pPr>
    </w:p>
    <w:p w14:paraId="5A8E1490" w14:textId="17B7CE7A" w:rsidR="00F82149" w:rsidRDefault="00F82149">
      <w:pPr>
        <w:spacing w:line="259" w:lineRule="auto"/>
        <w:jc w:val="left"/>
      </w:pPr>
      <w:r>
        <w:br w:type="page"/>
      </w:r>
    </w:p>
    <w:p w14:paraId="0178E2F5" w14:textId="58C59B02" w:rsidR="00F82149" w:rsidRDefault="00F82149" w:rsidP="00F82149">
      <w:pPr>
        <w:jc w:val="left"/>
      </w:pPr>
      <w:r>
        <w:lastRenderedPageBreak/>
        <w:t>Slide 9</w:t>
      </w:r>
    </w:p>
    <w:p w14:paraId="2FD87E85" w14:textId="1F7A8DEF" w:rsidR="00F82149" w:rsidRDefault="00F82149" w:rsidP="00F82149">
      <w:pPr>
        <w:jc w:val="left"/>
      </w:pPr>
    </w:p>
    <w:p w14:paraId="3BA3C697" w14:textId="57346A86" w:rsidR="00F82149" w:rsidRDefault="00F82149" w:rsidP="00F82149">
      <w:pPr>
        <w:jc w:val="center"/>
      </w:pPr>
      <w:r>
        <w:object w:dxaOrig="9605" w:dyaOrig="5393" w14:anchorId="2B9626A2">
          <v:shape id="_x0000_i1033" type="#_x0000_t75" style="width:5in;height:201.75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33" DrawAspect="Content" ObjectID="_1776065399" r:id="rId22"/>
        </w:object>
      </w:r>
    </w:p>
    <w:p w14:paraId="10E779F6" w14:textId="1B3E9FB2" w:rsidR="00F82149" w:rsidRDefault="00F82149" w:rsidP="00F82149">
      <w:pPr>
        <w:jc w:val="center"/>
      </w:pPr>
    </w:p>
    <w:p w14:paraId="16C72B8D" w14:textId="77777777" w:rsidR="00F82149" w:rsidRDefault="00F82149" w:rsidP="00F82149">
      <w:pPr>
        <w:autoSpaceDE w:val="0"/>
        <w:autoSpaceDN w:val="0"/>
        <w:adjustRightInd w:val="0"/>
        <w:spacing w:after="0" w:line="240" w:lineRule="auto"/>
        <w:jc w:val="left"/>
        <w:rPr>
          <w:rFonts w:ascii="Calibri" w:hAnsi="Calibri" w:cs="Calibri"/>
          <w:color w:val="auto"/>
          <w:kern w:val="24"/>
          <w:szCs w:val="24"/>
          <w:lang w:val="en-US" w:bidi="ar-SA"/>
        </w:rPr>
      </w:pPr>
      <w:r>
        <w:rPr>
          <w:rFonts w:ascii="Calibri" w:hAnsi="Calibri" w:cs="Calibri"/>
          <w:color w:val="auto"/>
          <w:kern w:val="24"/>
          <w:szCs w:val="24"/>
          <w:lang w:bidi="ar-SA"/>
        </w:rPr>
        <w:t>Firstly, it will choose sustainable practices: no printing of materials on paper, recycling programs, and energy saving appliances to lower the environmental footprint. Ethical factors include equitable provision of opportunities to participants and the fair pay to staff and volunteers (</w:t>
      </w:r>
      <w:r>
        <w:rPr>
          <w:rFonts w:eastAsia="Times New Roman" w:cs="Times New Roman"/>
          <w:color w:val="000000"/>
          <w:kern w:val="24"/>
          <w:szCs w:val="24"/>
          <w:lang w:bidi="ar-SA"/>
        </w:rPr>
        <w:t>Ezzaouia and Blchand-Gidumal, 2020</w:t>
      </w:r>
      <w:r>
        <w:rPr>
          <w:rFonts w:ascii="Calibri" w:hAnsi="Calibri" w:cs="Calibri"/>
          <w:color w:val="auto"/>
          <w:kern w:val="24"/>
          <w:szCs w:val="24"/>
          <w:lang w:bidi="ar-SA"/>
        </w:rPr>
        <w:t>). It will dedicate community engagement activities to enable the event to leave a positive legacy behind for the local businesses and tech education in the area. By following the sustainable and ethical principles, the event wants to not only decrease the event impact on the environment but also make a positive impact on the community and establish a standard for responsible event management within the hospitality industry (Fatmawatie, 2021).</w:t>
      </w:r>
    </w:p>
    <w:p w14:paraId="71DE8A06" w14:textId="77777777" w:rsidR="00F82149" w:rsidRDefault="00F82149" w:rsidP="00F82149">
      <w:pPr>
        <w:autoSpaceDE w:val="0"/>
        <w:autoSpaceDN w:val="0"/>
        <w:adjustRightInd w:val="0"/>
        <w:spacing w:after="0" w:line="240" w:lineRule="auto"/>
        <w:jc w:val="left"/>
        <w:rPr>
          <w:rFonts w:ascii="Arial" w:hAnsi="Arial" w:cs="Arial"/>
          <w:color w:val="auto"/>
          <w:szCs w:val="24"/>
          <w:lang w:val="en-IN" w:bidi="ar-SA"/>
        </w:rPr>
      </w:pPr>
    </w:p>
    <w:p w14:paraId="4C813486" w14:textId="00CFB164" w:rsidR="00F82149" w:rsidRDefault="00F82149" w:rsidP="00F82149">
      <w:pPr>
        <w:jc w:val="left"/>
      </w:pPr>
    </w:p>
    <w:p w14:paraId="3AD50559" w14:textId="193AEDC5" w:rsidR="00F82149" w:rsidRDefault="00F82149">
      <w:pPr>
        <w:spacing w:line="259" w:lineRule="auto"/>
        <w:jc w:val="left"/>
      </w:pPr>
      <w:r>
        <w:br w:type="page"/>
      </w:r>
    </w:p>
    <w:p w14:paraId="04C0539F" w14:textId="0662C638" w:rsidR="00F82149" w:rsidRDefault="00F82149" w:rsidP="00F82149">
      <w:pPr>
        <w:jc w:val="left"/>
      </w:pPr>
      <w:r>
        <w:lastRenderedPageBreak/>
        <w:t>Slide 10</w:t>
      </w:r>
    </w:p>
    <w:p w14:paraId="165B0213" w14:textId="3C6B616E" w:rsidR="00F82149" w:rsidRDefault="00F82149" w:rsidP="00F82149">
      <w:pPr>
        <w:jc w:val="left"/>
      </w:pPr>
    </w:p>
    <w:p w14:paraId="7E857A38" w14:textId="57C424F6" w:rsidR="00F82149" w:rsidRDefault="00F82149" w:rsidP="00F82149">
      <w:pPr>
        <w:jc w:val="center"/>
      </w:pPr>
      <w:r>
        <w:object w:dxaOrig="9605" w:dyaOrig="5393" w14:anchorId="5CA060C9">
          <v:shape id="_x0000_i1034" type="#_x0000_t75" style="width:5in;height:201.75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34" DrawAspect="Content" ObjectID="_1776065400" r:id="rId24"/>
        </w:object>
      </w:r>
    </w:p>
    <w:p w14:paraId="1ACADA58" w14:textId="732727CD" w:rsidR="00F82149" w:rsidRDefault="00F82149" w:rsidP="00F82149">
      <w:pPr>
        <w:jc w:val="center"/>
      </w:pPr>
    </w:p>
    <w:p w14:paraId="78CCFADC" w14:textId="77777777" w:rsidR="00F82149" w:rsidRDefault="00F82149" w:rsidP="00F82149">
      <w:pPr>
        <w:autoSpaceDE w:val="0"/>
        <w:autoSpaceDN w:val="0"/>
        <w:adjustRightInd w:val="0"/>
        <w:spacing w:after="0" w:line="240" w:lineRule="auto"/>
        <w:jc w:val="left"/>
        <w:rPr>
          <w:rFonts w:ascii="Calibri" w:hAnsi="Calibri" w:cs="Calibri"/>
          <w:color w:val="auto"/>
          <w:kern w:val="24"/>
          <w:szCs w:val="24"/>
          <w:lang w:val="en-US" w:bidi="ar-SA"/>
        </w:rPr>
      </w:pPr>
      <w:r>
        <w:rPr>
          <w:rFonts w:ascii="Calibri" w:hAnsi="Calibri" w:cs="Calibri"/>
          <w:color w:val="auto"/>
          <w:kern w:val="24"/>
          <w:szCs w:val="24"/>
          <w:lang w:bidi="ar-SA"/>
        </w:rPr>
        <w:t>Virtual reality rooms where customers are trained in customer service and get interactive facility tours are showcased. AI is likely to be at the forefront of the mix with the help of customer service bots and personalized guest experiences. The mobile application will be integrated with the system and provide guests an easy way to interact with the services supported by the smart cyber security system, which will provide data safety (Buhalis et al., 2023). Interactive displays that will provide immediate feedback during the game play will be used to keep customers involved. Also, data analytics will be presented as a solution which leads to the understanding of guest preferences and their behaviour. These insights would be used by the hospitality businesses to improve their services based on the needs of their guests. These innovative technologies portray the event's priority to be innovation and its ability to stimulate positive contributions to the hospitality domain (Buhalis et al., 2023).</w:t>
      </w:r>
    </w:p>
    <w:p w14:paraId="6AC0B37E" w14:textId="77777777" w:rsidR="00F82149" w:rsidRDefault="00F82149" w:rsidP="00F82149">
      <w:pPr>
        <w:autoSpaceDE w:val="0"/>
        <w:autoSpaceDN w:val="0"/>
        <w:adjustRightInd w:val="0"/>
        <w:spacing w:after="0" w:line="240" w:lineRule="auto"/>
        <w:jc w:val="left"/>
        <w:rPr>
          <w:rFonts w:ascii="Arial" w:hAnsi="Arial" w:cs="Arial"/>
          <w:color w:val="auto"/>
          <w:szCs w:val="24"/>
          <w:lang w:val="en-IN" w:bidi="ar-SA"/>
        </w:rPr>
      </w:pPr>
    </w:p>
    <w:p w14:paraId="402EC867" w14:textId="1820CACF" w:rsidR="00F82149" w:rsidRDefault="00F82149" w:rsidP="00F82149">
      <w:pPr>
        <w:jc w:val="left"/>
      </w:pPr>
    </w:p>
    <w:p w14:paraId="3D113427" w14:textId="580A848C" w:rsidR="00F82149" w:rsidRDefault="00F82149">
      <w:pPr>
        <w:spacing w:line="259" w:lineRule="auto"/>
        <w:jc w:val="left"/>
      </w:pPr>
      <w:r>
        <w:br w:type="page"/>
      </w:r>
    </w:p>
    <w:p w14:paraId="268BDA89" w14:textId="0EC4BA66" w:rsidR="00F82149" w:rsidRDefault="00F82149" w:rsidP="00F82149">
      <w:pPr>
        <w:jc w:val="left"/>
      </w:pPr>
      <w:r>
        <w:lastRenderedPageBreak/>
        <w:t>Slide 11</w:t>
      </w:r>
    </w:p>
    <w:p w14:paraId="2C2F8F5B" w14:textId="379B67A8" w:rsidR="00F82149" w:rsidRDefault="00F82149" w:rsidP="00F82149">
      <w:pPr>
        <w:jc w:val="left"/>
      </w:pPr>
    </w:p>
    <w:p w14:paraId="5FE46A73" w14:textId="7A157596" w:rsidR="00F82149" w:rsidRDefault="00F82149" w:rsidP="00F82149">
      <w:pPr>
        <w:jc w:val="center"/>
      </w:pPr>
      <w:r>
        <w:object w:dxaOrig="9605" w:dyaOrig="5393" w14:anchorId="6FC7F04B">
          <v:shape id="_x0000_i1035" type="#_x0000_t75" style="width:5in;height:201.75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35" DrawAspect="Content" ObjectID="_1776065401" r:id="rId26"/>
        </w:object>
      </w:r>
    </w:p>
    <w:p w14:paraId="244D05A9" w14:textId="39DEFC23" w:rsidR="00F82149" w:rsidRDefault="00F82149" w:rsidP="00F82149">
      <w:pPr>
        <w:jc w:val="center"/>
      </w:pPr>
    </w:p>
    <w:p w14:paraId="6D75AAE6" w14:textId="77777777" w:rsidR="00F82149" w:rsidRDefault="00F82149" w:rsidP="00F82149">
      <w:pPr>
        <w:autoSpaceDE w:val="0"/>
        <w:autoSpaceDN w:val="0"/>
        <w:adjustRightInd w:val="0"/>
        <w:spacing w:after="0" w:line="240" w:lineRule="auto"/>
        <w:jc w:val="left"/>
        <w:rPr>
          <w:rFonts w:ascii="Calibri" w:hAnsi="Calibri" w:cs="Calibri"/>
          <w:color w:val="auto"/>
          <w:kern w:val="24"/>
          <w:szCs w:val="24"/>
          <w:lang w:val="en-US" w:bidi="ar-SA"/>
        </w:rPr>
      </w:pPr>
      <w:r>
        <w:rPr>
          <w:rFonts w:ascii="Calibri" w:hAnsi="Calibri" w:cs="Calibri"/>
          <w:color w:val="auto"/>
          <w:kern w:val="24"/>
          <w:szCs w:val="24"/>
          <w:lang w:bidi="ar-SA"/>
        </w:rPr>
        <w:t>Hospitality professionals, tech enthusiasts, all industry stakeholders, and so forth fall within this audience segmentation and, therefore, the approach focuses on creating a consistent brand identity and messaging (</w:t>
      </w:r>
      <w:r>
        <w:rPr>
          <w:rFonts w:eastAsia="Times New Roman" w:cs="Times New Roman"/>
          <w:color w:val="000000"/>
          <w:kern w:val="24"/>
          <w:szCs w:val="24"/>
          <w:lang w:bidi="ar-SA"/>
        </w:rPr>
        <w:t>Buhalis and Moldavska, 2022</w:t>
      </w:r>
      <w:r>
        <w:rPr>
          <w:rFonts w:ascii="Calibri" w:hAnsi="Calibri" w:cs="Calibri"/>
          <w:color w:val="auto"/>
          <w:kern w:val="24"/>
          <w:szCs w:val="24"/>
          <w:lang w:bidi="ar-SA"/>
        </w:rPr>
        <w:t>). Promotion will be multi-channelled and spanning on digital platforms, social media, and industry pubs, featuring contests, engagement campaigns and influencer activities to keep the audience involvement high (</w:t>
      </w:r>
      <w:r>
        <w:rPr>
          <w:rFonts w:eastAsia="Times New Roman" w:cs="Times New Roman"/>
          <w:color w:val="000000"/>
          <w:kern w:val="24"/>
          <w:szCs w:val="24"/>
          <w:lang w:bidi="ar-SA"/>
        </w:rPr>
        <w:t>Roy et al., 2023</w:t>
      </w:r>
      <w:r>
        <w:rPr>
          <w:rFonts w:ascii="Calibri" w:hAnsi="Calibri" w:cs="Calibri"/>
          <w:color w:val="auto"/>
          <w:kern w:val="24"/>
          <w:szCs w:val="24"/>
          <w:lang w:bidi="ar-SA"/>
        </w:rPr>
        <w:t>). Evaluation of marketing methods that include KPIs will be done at regular basis to demonstrate the effectiveness of those methods; it will ensure that adjustments are made on time based on both current and previous performance insights (Hischier et al., 2020).</w:t>
      </w:r>
    </w:p>
    <w:p w14:paraId="562A266D" w14:textId="77777777" w:rsidR="00F82149" w:rsidRDefault="00F82149" w:rsidP="00F82149">
      <w:pPr>
        <w:autoSpaceDE w:val="0"/>
        <w:autoSpaceDN w:val="0"/>
        <w:adjustRightInd w:val="0"/>
        <w:spacing w:after="0" w:line="240" w:lineRule="auto"/>
        <w:jc w:val="left"/>
        <w:rPr>
          <w:rFonts w:ascii="Calibri" w:eastAsia="Times New Roman" w:cs="Calibri"/>
          <w:color w:val="auto"/>
          <w:kern w:val="24"/>
          <w:szCs w:val="24"/>
          <w:lang w:val="en-US" w:bidi="ar-SA"/>
        </w:rPr>
      </w:pPr>
    </w:p>
    <w:p w14:paraId="2A10FA97" w14:textId="77777777" w:rsidR="00F82149" w:rsidRDefault="00F82149" w:rsidP="00F82149">
      <w:pPr>
        <w:autoSpaceDE w:val="0"/>
        <w:autoSpaceDN w:val="0"/>
        <w:adjustRightInd w:val="0"/>
        <w:spacing w:after="0" w:line="240" w:lineRule="auto"/>
        <w:jc w:val="left"/>
        <w:rPr>
          <w:rFonts w:ascii="Arial" w:hAnsi="Arial" w:cs="Arial"/>
          <w:color w:val="auto"/>
          <w:szCs w:val="24"/>
          <w:lang w:val="en-IN" w:bidi="ar-SA"/>
        </w:rPr>
      </w:pPr>
    </w:p>
    <w:p w14:paraId="3A7B9917" w14:textId="5382367C" w:rsidR="00F82149" w:rsidRDefault="00F82149" w:rsidP="00F82149">
      <w:pPr>
        <w:jc w:val="left"/>
      </w:pPr>
    </w:p>
    <w:p w14:paraId="45712038" w14:textId="1FEDD0C6" w:rsidR="00F82149" w:rsidRDefault="00F82149">
      <w:pPr>
        <w:spacing w:line="259" w:lineRule="auto"/>
        <w:jc w:val="left"/>
      </w:pPr>
      <w:r>
        <w:br w:type="page"/>
      </w:r>
    </w:p>
    <w:p w14:paraId="016EF9E6" w14:textId="51C83639" w:rsidR="00F82149" w:rsidRDefault="00F82149" w:rsidP="00F82149">
      <w:pPr>
        <w:jc w:val="left"/>
      </w:pPr>
      <w:r>
        <w:lastRenderedPageBreak/>
        <w:t>Slide 12</w:t>
      </w:r>
    </w:p>
    <w:p w14:paraId="08D51086" w14:textId="70E79E5F" w:rsidR="00F82149" w:rsidRDefault="00F82149" w:rsidP="00F82149">
      <w:pPr>
        <w:jc w:val="left"/>
      </w:pPr>
    </w:p>
    <w:p w14:paraId="00B39D79" w14:textId="55F89A7D" w:rsidR="00F82149" w:rsidRDefault="00F82149" w:rsidP="00F82149">
      <w:pPr>
        <w:jc w:val="center"/>
      </w:pPr>
      <w:r>
        <w:object w:dxaOrig="9605" w:dyaOrig="5393" w14:anchorId="0AB14D29">
          <v:shape id="_x0000_i1036" type="#_x0000_t75" style="width:5in;height:201.75pt" o:ole="" o:bordertopcolor="this" o:borderleftcolor="this" o:borderbottomcolor="this" o:borderrightcolor="this">
            <v:imagedata r:id="rId27" o:title=""/>
            <w10:bordertop type="single" width="4" shadow="t"/>
            <w10:borderleft type="single" width="4" shadow="t"/>
            <w10:borderbottom type="single" width="4" shadow="t"/>
            <w10:borderright type="single" width="4" shadow="t"/>
          </v:shape>
          <o:OLEObject Type="Embed" ProgID="PowerPoint.Slide.12" ShapeID="_x0000_i1036" DrawAspect="Content" ObjectID="_1776065402" r:id="rId28"/>
        </w:object>
      </w:r>
    </w:p>
    <w:p w14:paraId="3D4B98B5" w14:textId="182E35CB" w:rsidR="00F82149" w:rsidRDefault="00F82149" w:rsidP="00F82149">
      <w:pPr>
        <w:jc w:val="center"/>
      </w:pPr>
    </w:p>
    <w:p w14:paraId="64E49029" w14:textId="77777777" w:rsidR="00F82149" w:rsidRDefault="00F82149" w:rsidP="00F82149">
      <w:pPr>
        <w:autoSpaceDE w:val="0"/>
        <w:autoSpaceDN w:val="0"/>
        <w:adjustRightInd w:val="0"/>
        <w:spacing w:after="0" w:line="240" w:lineRule="auto"/>
        <w:jc w:val="left"/>
        <w:rPr>
          <w:rFonts w:ascii="Calibri" w:hAnsi="Calibri" w:cs="Calibri"/>
          <w:color w:val="auto"/>
          <w:kern w:val="24"/>
          <w:szCs w:val="24"/>
          <w:lang w:val="en-US" w:bidi="ar-SA"/>
        </w:rPr>
      </w:pPr>
      <w:r>
        <w:rPr>
          <w:rFonts w:ascii="Calibri" w:hAnsi="Calibri" w:cs="Calibri"/>
          <w:color w:val="auto"/>
          <w:kern w:val="24"/>
          <w:szCs w:val="24"/>
          <w:lang w:bidi="ar-SA"/>
        </w:rPr>
        <w:t>Event planning involves a strict timeline that will be followed and it will encompass pre-event readiness, event day management, and post-event activities. Our specific group roles will be well established with the coordinators, tech support, and the staff relating to guests doing their respective tasks (</w:t>
      </w:r>
      <w:r>
        <w:rPr>
          <w:rFonts w:eastAsia="Times New Roman" w:cs="Times New Roman"/>
          <w:color w:val="000000"/>
          <w:kern w:val="24"/>
          <w:szCs w:val="24"/>
          <w:lang w:bidi="ar-SA"/>
        </w:rPr>
        <w:t>Hoyer, 2020</w:t>
      </w:r>
      <w:r>
        <w:rPr>
          <w:rFonts w:ascii="Calibri" w:hAnsi="Calibri" w:cs="Calibri"/>
          <w:color w:val="auto"/>
          <w:kern w:val="24"/>
          <w:szCs w:val="24"/>
          <w:lang w:bidi="ar-SA"/>
        </w:rPr>
        <w:t>). A backup plan is an inevitable part of any strategy, hence a guide for registration, sessions and exhibitors will be outlined for streamlined on-site management. During our post-show, we'll ask attendees for their thoughts on how we performed and the changes we need to make for future events (Sharma &amp; Sharma, 2021).</w:t>
      </w:r>
    </w:p>
    <w:p w14:paraId="2F7B5ACC" w14:textId="77777777" w:rsidR="00F82149" w:rsidRDefault="00F82149" w:rsidP="00F82149">
      <w:pPr>
        <w:autoSpaceDE w:val="0"/>
        <w:autoSpaceDN w:val="0"/>
        <w:adjustRightInd w:val="0"/>
        <w:spacing w:after="0" w:line="240" w:lineRule="auto"/>
        <w:jc w:val="left"/>
        <w:rPr>
          <w:rFonts w:ascii="Calibri" w:eastAsia="Times New Roman" w:cs="Calibri"/>
          <w:color w:val="auto"/>
          <w:kern w:val="24"/>
          <w:szCs w:val="24"/>
          <w:lang w:val="en-US" w:bidi="ar-SA"/>
        </w:rPr>
      </w:pPr>
    </w:p>
    <w:p w14:paraId="2A571F26" w14:textId="77777777" w:rsidR="00F82149" w:rsidRDefault="00F82149" w:rsidP="00F82149">
      <w:pPr>
        <w:autoSpaceDE w:val="0"/>
        <w:autoSpaceDN w:val="0"/>
        <w:adjustRightInd w:val="0"/>
        <w:spacing w:after="0" w:line="240" w:lineRule="auto"/>
        <w:jc w:val="left"/>
        <w:rPr>
          <w:rFonts w:ascii="Arial" w:hAnsi="Arial" w:cs="Arial"/>
          <w:color w:val="auto"/>
          <w:szCs w:val="24"/>
          <w:lang w:val="en-IN" w:bidi="ar-SA"/>
        </w:rPr>
      </w:pPr>
    </w:p>
    <w:p w14:paraId="3FD25EA6" w14:textId="11417E97" w:rsidR="00F82149" w:rsidRDefault="00F82149" w:rsidP="00F82149">
      <w:pPr>
        <w:jc w:val="left"/>
      </w:pPr>
    </w:p>
    <w:p w14:paraId="18A22007" w14:textId="1EB376B9" w:rsidR="00F82149" w:rsidRDefault="00F82149">
      <w:pPr>
        <w:spacing w:line="259" w:lineRule="auto"/>
        <w:jc w:val="left"/>
      </w:pPr>
      <w:r>
        <w:br w:type="page"/>
      </w:r>
    </w:p>
    <w:p w14:paraId="65DE6A4D" w14:textId="5A23F122" w:rsidR="00F82149" w:rsidRDefault="00F82149" w:rsidP="00F82149">
      <w:pPr>
        <w:jc w:val="left"/>
      </w:pPr>
      <w:r>
        <w:lastRenderedPageBreak/>
        <w:t>Slide 13</w:t>
      </w:r>
    </w:p>
    <w:p w14:paraId="2FE69E96" w14:textId="3D5EB649" w:rsidR="00F82149" w:rsidRDefault="00F82149" w:rsidP="00F82149">
      <w:pPr>
        <w:jc w:val="left"/>
      </w:pPr>
    </w:p>
    <w:p w14:paraId="7583E788" w14:textId="616D8B4E" w:rsidR="00F82149" w:rsidRDefault="00F82149" w:rsidP="00F82149">
      <w:pPr>
        <w:jc w:val="center"/>
      </w:pPr>
      <w:r>
        <w:object w:dxaOrig="9605" w:dyaOrig="5393" w14:anchorId="5F0F4D4A">
          <v:shape id="_x0000_i1037" type="#_x0000_t75" style="width:5in;height:201.75pt" o:ole="" o:bordertopcolor="this" o:borderleftcolor="this" o:borderbottomcolor="this" o:borderrightcolor="this">
            <v:imagedata r:id="rId29" o:title=""/>
            <w10:bordertop type="single" width="4" shadow="t"/>
            <w10:borderleft type="single" width="4" shadow="t"/>
            <w10:borderbottom type="single" width="4" shadow="t"/>
            <w10:borderright type="single" width="4" shadow="t"/>
          </v:shape>
          <o:OLEObject Type="Embed" ProgID="PowerPoint.Slide.12" ShapeID="_x0000_i1037" DrawAspect="Content" ObjectID="_1776065403" r:id="rId30"/>
        </w:object>
      </w:r>
    </w:p>
    <w:p w14:paraId="4286129E" w14:textId="2C8504BA" w:rsidR="00F82149" w:rsidRDefault="00F82149" w:rsidP="00F82149">
      <w:pPr>
        <w:jc w:val="center"/>
      </w:pPr>
    </w:p>
    <w:p w14:paraId="334D33D5" w14:textId="77777777" w:rsidR="00F82149" w:rsidRDefault="00F82149" w:rsidP="00F82149">
      <w:pPr>
        <w:autoSpaceDE w:val="0"/>
        <w:autoSpaceDN w:val="0"/>
        <w:adjustRightInd w:val="0"/>
        <w:spacing w:after="0" w:line="240" w:lineRule="auto"/>
        <w:jc w:val="left"/>
        <w:rPr>
          <w:rFonts w:ascii="Calibri" w:eastAsia="Times New Roman" w:cs="Calibri"/>
          <w:color w:val="auto"/>
          <w:kern w:val="24"/>
          <w:szCs w:val="24"/>
          <w:lang w:val="en-US" w:bidi="ar-SA"/>
        </w:rPr>
      </w:pPr>
      <w:r>
        <w:rPr>
          <w:rFonts w:ascii="Calibri" w:hAnsi="Calibri" w:cs="Calibri"/>
          <w:color w:val="auto"/>
          <w:kern w:val="24"/>
          <w:szCs w:val="24"/>
          <w:lang w:bidi="ar-SA"/>
        </w:rPr>
        <w:t>One of the most important contributions the feasibility study makes is to verify the viability of organising a tech event for the hospitality industry. The event is a part of a strategy that aims at promoting innovation, and this is in line with the sector's technological engagement (</w:t>
      </w:r>
      <w:r>
        <w:rPr>
          <w:rFonts w:eastAsia="Times New Roman" w:cs="Times New Roman"/>
          <w:color w:val="000000"/>
          <w:kern w:val="24"/>
          <w:szCs w:val="24"/>
          <w:lang w:bidi="ar-SA"/>
        </w:rPr>
        <w:t>Qiu et al., 2020</w:t>
      </w:r>
      <w:r>
        <w:rPr>
          <w:rFonts w:ascii="Calibri" w:hAnsi="Calibri" w:cs="Calibri"/>
          <w:color w:val="auto"/>
          <w:kern w:val="24"/>
          <w:szCs w:val="24"/>
          <w:lang w:bidi="ar-SA"/>
        </w:rPr>
        <w:t>). It lures sponsors and partners to be part of this venture, which could be impressive to them. The following stage would be accessing financing, finalizing venue contracts and commencement of a marketing campaign. The community is encouraged to support this ground-breaking venture, guaranteeing its achievement and duration.</w:t>
      </w:r>
    </w:p>
    <w:p w14:paraId="33CA3C2F" w14:textId="77777777" w:rsidR="00F82149" w:rsidRDefault="00F82149" w:rsidP="00F82149">
      <w:pPr>
        <w:autoSpaceDE w:val="0"/>
        <w:autoSpaceDN w:val="0"/>
        <w:adjustRightInd w:val="0"/>
        <w:spacing w:after="0" w:line="240" w:lineRule="auto"/>
        <w:jc w:val="left"/>
        <w:rPr>
          <w:rFonts w:ascii="Arial" w:hAnsi="Arial" w:cs="Arial"/>
          <w:color w:val="auto"/>
          <w:szCs w:val="24"/>
          <w:lang w:val="en-IN" w:bidi="ar-SA"/>
        </w:rPr>
      </w:pPr>
    </w:p>
    <w:p w14:paraId="0613186F" w14:textId="675AB78C" w:rsidR="00F82149" w:rsidRDefault="00F82149" w:rsidP="00F82149">
      <w:pPr>
        <w:jc w:val="left"/>
      </w:pPr>
    </w:p>
    <w:p w14:paraId="1E406CC6" w14:textId="2899A586" w:rsidR="00F82149" w:rsidRDefault="00F82149">
      <w:pPr>
        <w:spacing w:line="259" w:lineRule="auto"/>
        <w:jc w:val="left"/>
      </w:pPr>
      <w:r>
        <w:br w:type="page"/>
      </w:r>
    </w:p>
    <w:p w14:paraId="296FC4FF" w14:textId="568CD001" w:rsidR="00F82149" w:rsidRDefault="00F82149" w:rsidP="00F82149">
      <w:pPr>
        <w:jc w:val="left"/>
      </w:pPr>
      <w:r>
        <w:lastRenderedPageBreak/>
        <w:t>Slide 14</w:t>
      </w:r>
    </w:p>
    <w:p w14:paraId="7314996A" w14:textId="784E7CA7" w:rsidR="00F82149" w:rsidRDefault="00F82149" w:rsidP="00F82149">
      <w:pPr>
        <w:jc w:val="left"/>
      </w:pPr>
    </w:p>
    <w:p w14:paraId="76110A53" w14:textId="6693D142" w:rsidR="00F82149" w:rsidRDefault="00F82149" w:rsidP="00F82149">
      <w:pPr>
        <w:jc w:val="center"/>
      </w:pPr>
      <w:r>
        <w:object w:dxaOrig="9605" w:dyaOrig="5393" w14:anchorId="6437233C">
          <v:shape id="_x0000_i1038" type="#_x0000_t75" style="width:5in;height:201.75pt" o:ole="" o:bordertopcolor="this" o:borderleftcolor="this" o:borderbottomcolor="this" o:borderrightcolor="this">
            <v:imagedata r:id="rId31" o:title=""/>
            <w10:bordertop type="single" width="4" shadow="t"/>
            <w10:borderleft type="single" width="4" shadow="t"/>
            <w10:borderbottom type="single" width="4" shadow="t"/>
            <w10:borderright type="single" width="4" shadow="t"/>
          </v:shape>
          <o:OLEObject Type="Embed" ProgID="PowerPoint.Slide.12" ShapeID="_x0000_i1038" DrawAspect="Content" ObjectID="_1776065404" r:id="rId32"/>
        </w:object>
      </w:r>
    </w:p>
    <w:p w14:paraId="4FCFBAB3" w14:textId="6F3A4A2E" w:rsidR="00F82149" w:rsidRDefault="00F82149" w:rsidP="00F82149">
      <w:pPr>
        <w:jc w:val="center"/>
      </w:pPr>
    </w:p>
    <w:p w14:paraId="2A3CA8CB" w14:textId="742444BE" w:rsidR="00F82149" w:rsidRDefault="00F82149" w:rsidP="00F82149">
      <w:pPr>
        <w:jc w:val="left"/>
      </w:pPr>
    </w:p>
    <w:p w14:paraId="2E6E146D" w14:textId="20B13B6E" w:rsidR="00F82149" w:rsidRPr="006B0EE3" w:rsidRDefault="00F82149" w:rsidP="00F82149">
      <w:pPr>
        <w:jc w:val="left"/>
        <w:rPr>
          <w:rFonts w:ascii="Algerian" w:hAnsi="Algerian"/>
          <w:b/>
          <w:bCs/>
          <w:sz w:val="144"/>
          <w:szCs w:val="144"/>
        </w:rPr>
      </w:pPr>
    </w:p>
    <w:sectPr w:rsidR="00F82149" w:rsidRPr="006B0E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DengXian Light">
    <w:altName w:val="等线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lgerian">
    <w:panose1 w:val="04020705040A02060702"/>
    <w:charset w:val="00"/>
    <w:family w:val="decorativ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FE"/>
    <w:multiLevelType w:val="singleLevel"/>
    <w:tmpl w:val="E2427BF2"/>
    <w:lvl w:ilvl="0">
      <w:numFmt w:val="bullet"/>
      <w:lvlText w:val="*"/>
      <w:lvlJc w:val="left"/>
    </w:lvl>
  </w:abstractNum>
  <w:num w:numId="1" w16cid:durableId="862283762">
    <w:abstractNumId w:val="0"/>
    <w:lvlOverride w:ilvl="0">
      <w:lvl w:ilvl="0">
        <w:numFmt w:val="bullet"/>
        <w:lvlText w:val="•"/>
        <w:legacy w:legacy="1" w:legacySpace="0" w:legacyIndent="0"/>
        <w:lvlJc w:val="left"/>
        <w:rPr>
          <w:rFonts w:ascii="Times New Roman" w:hAnsi="Times New Roman" w:cs="Times New Roman" w:hint="default"/>
          <w:sz w:val="24"/>
        </w:rPr>
      </w:lvl>
    </w:lvlOverride>
  </w:num>
  <w:num w:numId="2" w16cid:durableId="112796228">
    <w:abstractNumId w:val="0"/>
    <w:lvlOverride w:ilvl="0">
      <w:lvl w:ilvl="0">
        <w:numFmt w:val="bullet"/>
        <w:lvlText w:val=""/>
        <w:legacy w:legacy="1" w:legacySpace="0" w:legacyIndent="0"/>
        <w:lvlJc w:val="left"/>
        <w:rPr>
          <w:rFonts w:ascii="Symbol" w:hAnsi="Symbol"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2149"/>
    <w:rsid w:val="00183B48"/>
    <w:rsid w:val="006B0EE3"/>
    <w:rsid w:val="0072025D"/>
    <w:rsid w:val="00CB759C"/>
    <w:rsid w:val="00E73D8E"/>
    <w:rsid w:val="00F82149"/>
    <w:rsid w:val="00F86B70"/>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136EDA"/>
  <w15:chartTrackingRefBased/>
  <w15:docId w15:val="{40960CF9-CD66-4CC4-98AF-9B18A8AE88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8"/>
        <w:lang w:val="en-IN" w:eastAsia="en-US" w:bidi="th-TH"/>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025D"/>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72025D"/>
    <w:pPr>
      <w:keepNext/>
      <w:keepLines/>
      <w:spacing w:before="240" w:after="0"/>
      <w:outlineLvl w:val="0"/>
    </w:pPr>
    <w:rPr>
      <w:rFonts w:eastAsiaTheme="majorEastAsia" w:cstheme="majorBidi"/>
      <w:b/>
      <w:sz w:val="32"/>
      <w:szCs w:val="40"/>
    </w:rPr>
  </w:style>
  <w:style w:type="paragraph" w:styleId="Heading2">
    <w:name w:val="heading 2"/>
    <w:basedOn w:val="Normal"/>
    <w:next w:val="Normal"/>
    <w:link w:val="Heading2Char"/>
    <w:uiPriority w:val="9"/>
    <w:semiHidden/>
    <w:unhideWhenUsed/>
    <w:qFormat/>
    <w:rsid w:val="0072025D"/>
    <w:pPr>
      <w:keepNext/>
      <w:keepLines/>
      <w:spacing w:before="40" w:after="0"/>
      <w:outlineLvl w:val="1"/>
    </w:pPr>
    <w:rPr>
      <w:rFonts w:eastAsiaTheme="majorEastAsia" w:cstheme="majorBidi"/>
      <w:b/>
      <w:i/>
      <w:sz w:val="28"/>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025D"/>
    <w:rPr>
      <w:rFonts w:ascii="Times New Roman" w:eastAsiaTheme="majorEastAsia" w:hAnsi="Times New Roman" w:cstheme="majorBidi"/>
      <w:b/>
      <w:color w:val="000000" w:themeColor="text1"/>
      <w:sz w:val="32"/>
      <w:szCs w:val="40"/>
    </w:rPr>
  </w:style>
  <w:style w:type="character" w:customStyle="1" w:styleId="Heading2Char">
    <w:name w:val="Heading 2 Char"/>
    <w:basedOn w:val="DefaultParagraphFont"/>
    <w:link w:val="Heading2"/>
    <w:uiPriority w:val="9"/>
    <w:semiHidden/>
    <w:rsid w:val="0072025D"/>
    <w:rPr>
      <w:rFonts w:ascii="Times New Roman" w:eastAsiaTheme="majorEastAsia" w:hAnsi="Times New Roman" w:cstheme="majorBidi"/>
      <w:b/>
      <w:i/>
      <w:color w:val="000000" w:themeColor="text1"/>
      <w:sz w:val="28"/>
      <w:szCs w:val="33"/>
    </w:rPr>
  </w:style>
  <w:style w:type="paragraph" w:styleId="Title">
    <w:name w:val="Title"/>
    <w:basedOn w:val="Normal"/>
    <w:next w:val="Normal"/>
    <w:link w:val="TitleChar"/>
    <w:uiPriority w:val="10"/>
    <w:qFormat/>
    <w:rsid w:val="0072025D"/>
    <w:pPr>
      <w:spacing w:after="0"/>
      <w:contextualSpacing/>
      <w:jc w:val="center"/>
    </w:pPr>
    <w:rPr>
      <w:rFonts w:eastAsiaTheme="majorEastAsia" w:cstheme="majorBidi"/>
      <w:b/>
      <w:color w:val="auto"/>
      <w:spacing w:val="-10"/>
      <w:kern w:val="28"/>
      <w:sz w:val="56"/>
      <w:szCs w:val="71"/>
      <w:u w:val="single"/>
    </w:rPr>
  </w:style>
  <w:style w:type="character" w:customStyle="1" w:styleId="TitleChar">
    <w:name w:val="Title Char"/>
    <w:basedOn w:val="DefaultParagraphFont"/>
    <w:link w:val="Title"/>
    <w:uiPriority w:val="10"/>
    <w:rsid w:val="0072025D"/>
    <w:rPr>
      <w:rFonts w:ascii="Times New Roman" w:eastAsiaTheme="majorEastAsia" w:hAnsi="Times New Roman" w:cstheme="majorBidi"/>
      <w:b/>
      <w:spacing w:val="-10"/>
      <w:kern w:val="28"/>
      <w:sz w:val="56"/>
      <w:szCs w:val="71"/>
      <w:u w:val="single"/>
    </w:rPr>
  </w:style>
  <w:style w:type="paragraph" w:styleId="TOCHeading">
    <w:name w:val="TOC Heading"/>
    <w:basedOn w:val="Heading1"/>
    <w:next w:val="Normal"/>
    <w:uiPriority w:val="39"/>
    <w:unhideWhenUsed/>
    <w:qFormat/>
    <w:rsid w:val="0072025D"/>
    <w:pPr>
      <w:outlineLvl w:val="9"/>
    </w:pPr>
    <w:rPr>
      <w:color w:val="2F5496" w:themeColor="accent1" w:themeShade="BF"/>
    </w:rPr>
  </w:style>
  <w:style w:type="paragraph" w:styleId="Subtitle">
    <w:name w:val="Subtitle"/>
    <w:basedOn w:val="Normal"/>
    <w:next w:val="Normal"/>
    <w:link w:val="SubtitleChar"/>
    <w:uiPriority w:val="11"/>
    <w:qFormat/>
    <w:rsid w:val="00F86B70"/>
    <w:pPr>
      <w:numPr>
        <w:ilvl w:val="1"/>
      </w:numPr>
      <w:jc w:val="center"/>
    </w:pPr>
    <w:rPr>
      <w:rFonts w:ascii="Arial" w:eastAsiaTheme="minorEastAsia" w:hAnsi="Arial"/>
      <w:b/>
      <w:i/>
      <w:color w:val="5A5A5A" w:themeColor="text1" w:themeTint="A5"/>
      <w:spacing w:val="15"/>
      <w:sz w:val="36"/>
      <w:u w:val="single"/>
    </w:rPr>
  </w:style>
  <w:style w:type="character" w:customStyle="1" w:styleId="SubtitleChar">
    <w:name w:val="Subtitle Char"/>
    <w:basedOn w:val="DefaultParagraphFont"/>
    <w:link w:val="Subtitle"/>
    <w:uiPriority w:val="11"/>
    <w:rsid w:val="00F86B70"/>
    <w:rPr>
      <w:rFonts w:ascii="Arial" w:eastAsiaTheme="minorEastAsia" w:hAnsi="Arial"/>
      <w:b/>
      <w:i/>
      <w:color w:val="5A5A5A" w:themeColor="text1" w:themeTint="A5"/>
      <w:spacing w:val="15"/>
      <w:sz w:val="36"/>
      <w:u w:val="single"/>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emf"/><Relationship Id="rId18" Type="http://schemas.openxmlformats.org/officeDocument/2006/relationships/package" Target="embeddings/Microsoft_PowerPoint_Slide6.sldx"/><Relationship Id="rId26" Type="http://schemas.openxmlformats.org/officeDocument/2006/relationships/package" Target="embeddings/Microsoft_PowerPoint_Slide10.sldx"/><Relationship Id="rId3" Type="http://schemas.openxmlformats.org/officeDocument/2006/relationships/settings" Target="settings.xml"/><Relationship Id="rId21" Type="http://schemas.openxmlformats.org/officeDocument/2006/relationships/image" Target="media/image9.emf"/><Relationship Id="rId34" Type="http://schemas.openxmlformats.org/officeDocument/2006/relationships/theme" Target="theme/theme1.xml"/><Relationship Id="rId7" Type="http://schemas.openxmlformats.org/officeDocument/2006/relationships/image" Target="media/image2.emf"/><Relationship Id="rId12" Type="http://schemas.openxmlformats.org/officeDocument/2006/relationships/package" Target="embeddings/Microsoft_PowerPoint_Slide3.sldx"/><Relationship Id="rId17" Type="http://schemas.openxmlformats.org/officeDocument/2006/relationships/image" Target="media/image7.emf"/><Relationship Id="rId25" Type="http://schemas.openxmlformats.org/officeDocument/2006/relationships/image" Target="media/image11.emf"/><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package" Target="embeddings/Microsoft_PowerPoint_Slide5.sldx"/><Relationship Id="rId20" Type="http://schemas.openxmlformats.org/officeDocument/2006/relationships/package" Target="embeddings/Microsoft_PowerPoint_Slide7.sldx"/><Relationship Id="rId29" Type="http://schemas.openxmlformats.org/officeDocument/2006/relationships/image" Target="media/image13.emf"/><Relationship Id="rId1" Type="http://schemas.openxmlformats.org/officeDocument/2006/relationships/numbering" Target="numbering.xml"/><Relationship Id="rId6" Type="http://schemas.openxmlformats.org/officeDocument/2006/relationships/package" Target="embeddings/Microsoft_PowerPoint_Slide.sldx"/><Relationship Id="rId11" Type="http://schemas.openxmlformats.org/officeDocument/2006/relationships/image" Target="media/image4.emf"/><Relationship Id="rId24" Type="http://schemas.openxmlformats.org/officeDocument/2006/relationships/package" Target="embeddings/Microsoft_PowerPoint_Slide9.sldx"/><Relationship Id="rId32" Type="http://schemas.openxmlformats.org/officeDocument/2006/relationships/package" Target="embeddings/Microsoft_PowerPoint_Slide13.sldx"/><Relationship Id="rId5" Type="http://schemas.openxmlformats.org/officeDocument/2006/relationships/image" Target="media/image1.emf"/><Relationship Id="rId15" Type="http://schemas.openxmlformats.org/officeDocument/2006/relationships/image" Target="media/image6.emf"/><Relationship Id="rId23" Type="http://schemas.openxmlformats.org/officeDocument/2006/relationships/image" Target="media/image10.emf"/><Relationship Id="rId28" Type="http://schemas.openxmlformats.org/officeDocument/2006/relationships/package" Target="embeddings/Microsoft_PowerPoint_Slide11.sldx"/><Relationship Id="rId10" Type="http://schemas.openxmlformats.org/officeDocument/2006/relationships/package" Target="embeddings/Microsoft_PowerPoint_Slide2.sldx"/><Relationship Id="rId19" Type="http://schemas.openxmlformats.org/officeDocument/2006/relationships/image" Target="media/image8.emf"/><Relationship Id="rId31" Type="http://schemas.openxmlformats.org/officeDocument/2006/relationships/image" Target="media/image14.emf"/><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package" Target="embeddings/Microsoft_PowerPoint_Slide4.sldx"/><Relationship Id="rId22" Type="http://schemas.openxmlformats.org/officeDocument/2006/relationships/package" Target="embeddings/Microsoft_PowerPoint_Slide8.sldx"/><Relationship Id="rId27" Type="http://schemas.openxmlformats.org/officeDocument/2006/relationships/image" Target="media/image12.emf"/><Relationship Id="rId30" Type="http://schemas.openxmlformats.org/officeDocument/2006/relationships/package" Target="embeddings/Microsoft_PowerPoint_Slide12.sldx"/><Relationship Id="rId8" Type="http://schemas.openxmlformats.org/officeDocument/2006/relationships/package" Target="embeddings/Microsoft_PowerPoint_Slide1.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1</Pages>
  <Words>1685</Words>
  <Characters>9608</Characters>
  <Application>Microsoft Office Word</Application>
  <DocSecurity>0</DocSecurity>
  <Lines>80</Lines>
  <Paragraphs>22</Paragraphs>
  <ScaleCrop>false</ScaleCrop>
  <Company/>
  <LinksUpToDate>false</LinksUpToDate>
  <CharactersWithSpaces>11271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Lavinia-Mariana Apostol (2131344)</cp:lastModifiedBy>
  <cp:revision>3</cp:revision>
  <dcterms:created xsi:type="dcterms:W3CDTF">2024-05-01T09:43:00Z</dcterms:created>
  <dcterms:modified xsi:type="dcterms:W3CDTF">2024-05-01T09:43:00Z</dcterms:modified>
</cp:coreProperties>
</file>