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68AD0D5">
      <w:r>
        <w:pict>
          <v:shape id="_x0000_s2058" o:spid="_x0000_s2058" o:spt="202" type="#_x0000_t202" style="position:absolute;left:0pt;margin-left:49.45pt;margin-top:344.05pt;height:271.3pt;width:321.7pt;z-index:251660288;mso-width-relative:page;mso-height-relative:page;" fillcolor="#FFFFFF" filled="f" stroked="f" coordsize="21600,21600">
            <v:path/>
            <v:fill on="f" color2="#FFFFFF" o:opacity2="65536f" focussize="0,0"/>
            <v:stroke on="f"/>
            <v:imagedata o:title=""/>
            <o:lock v:ext="edit" grouping="f" rotation="f" text="f" aspectratio="f"/>
            <v:textbox>
              <w:txbxContent>
                <w:p w14:paraId="6D61BAAF">
                  <w:pPr>
                    <w:spacing w:line="1000" w:lineRule="exact"/>
                    <w:jc w:val="left"/>
                    <w:rPr>
                      <w:rFonts w:hint="default"/>
                      <w:sz w:val="32"/>
                      <w:szCs w:val="32"/>
                      <w:u w:val="none" w:color="auto"/>
                      <w:lang w:val="en-US"/>
                    </w:rPr>
                  </w:pPr>
                  <w:r>
                    <w:rPr>
                      <w:rFonts w:hint="eastAsia"/>
                      <w:sz w:val="32"/>
                      <w:szCs w:val="32"/>
                      <w:u w:val="none" w:color="auto"/>
                    </w:rPr>
                    <w:t>ACBA7005</w:t>
                  </w:r>
                  <w:r>
                    <w:rPr>
                      <w:rFonts w:hint="default"/>
                      <w:sz w:val="32"/>
                      <w:szCs w:val="32"/>
                      <w:u w:val="none" w:color="auto"/>
                      <w:lang w:val="en-US"/>
                    </w:rPr>
                    <w:t xml:space="preserve"> GIS and Habitat Management</w:t>
                  </w:r>
                </w:p>
                <w:p w14:paraId="17D97D35">
                  <w:pPr>
                    <w:spacing w:line="1000" w:lineRule="exact"/>
                    <w:jc w:val="center"/>
                    <w:rPr>
                      <w:rFonts w:hint="eastAsia"/>
                      <w:sz w:val="32"/>
                      <w:szCs w:val="32"/>
                      <w:u w:val="none" w:color="auto"/>
                    </w:rPr>
                  </w:pPr>
                  <w:r>
                    <w:rPr>
                      <w:rFonts w:hint="default" w:ascii="Times New Roman Regular" w:hAnsi="Times New Roman Regular" w:cs="Times New Roman Regular"/>
                      <w:sz w:val="32"/>
                      <w:szCs w:val="32"/>
                      <w:u w:val="none" w:color="auto"/>
                      <w:lang w:val="en-US"/>
                    </w:rPr>
                    <w:t>Zhenwei Yan</w:t>
                  </w:r>
                </w:p>
                <w:p w14:paraId="0378E594">
                  <w:pPr>
                    <w:spacing w:line="1000" w:lineRule="exact"/>
                    <w:jc w:val="center"/>
                    <w:rPr>
                      <w:rFonts w:hint="eastAsia"/>
                      <w:sz w:val="32"/>
                      <w:szCs w:val="32"/>
                      <w:u w:val="none" w:color="auto"/>
                    </w:rPr>
                  </w:pPr>
                  <w:r>
                    <w:rPr>
                      <w:rFonts w:hint="default" w:ascii="Times New Roman Regular" w:hAnsi="Times New Roman Regular" w:cs="Times New Roman Regular"/>
                      <w:sz w:val="32"/>
                      <w:szCs w:val="32"/>
                      <w:u w:val="none" w:color="auto"/>
                      <w:lang w:val="en-US"/>
                    </w:rPr>
                    <w:t>2504306</w:t>
                  </w:r>
                </w:p>
                <w:p w14:paraId="6BFDAE24">
                  <w:pPr>
                    <w:spacing w:line="1000" w:lineRule="exact"/>
                    <w:jc w:val="center"/>
                    <w:rPr>
                      <w:rFonts w:hint="default" w:ascii="Times New Roman Regular" w:hAnsi="Times New Roman Regular" w:cs="Times New Roman Regular"/>
                      <w:sz w:val="32"/>
                      <w:szCs w:val="32"/>
                      <w:u w:val="none" w:color="auto"/>
                      <w:lang w:val="en-US"/>
                    </w:rPr>
                  </w:pPr>
                  <w:r>
                    <w:rPr>
                      <w:rFonts w:hint="default" w:ascii="Times New Roman Regular" w:hAnsi="Times New Roman Regular" w:cs="Times New Roman Regular"/>
                      <w:sz w:val="32"/>
                      <w:szCs w:val="32"/>
                      <w:u w:val="none" w:color="auto"/>
                      <w:lang w:val="en-US"/>
                    </w:rPr>
                    <w:t>Word Count:5578</w:t>
                  </w:r>
                </w:p>
                <w:p w14:paraId="7BDE48CF">
                  <w:pPr>
                    <w:spacing w:line="1000" w:lineRule="exact"/>
                    <w:ind w:left="0" w:leftChars="0" w:firstLine="288" w:firstLineChars="131"/>
                    <w:rPr>
                      <w:u w:val="single" w:color="auto"/>
                    </w:rPr>
                  </w:pPr>
                </w:p>
              </w:txbxContent>
            </v:textbox>
          </v:shape>
        </w:pict>
      </w:r>
    </w:p>
    <w:p w14:paraId="7245D736">
      <w:pPr>
        <w:spacing w:before="0" w:beforeLines="0" w:after="0" w:afterLines="0" w:line="240" w:lineRule="auto"/>
        <w:ind w:left="0" w:leftChars="0" w:right="0" w:rightChars="0" w:firstLine="0" w:firstLineChars="0"/>
        <w:jc w:val="center"/>
        <w:rPr>
          <w:rFonts w:ascii="宋体" w:hAnsi="宋体" w:eastAsia="宋体" w:cstheme="minorBidi"/>
          <w:color w:val="000000"/>
          <w:sz w:val="21"/>
          <w:szCs w:val="22"/>
          <w:lang w:val="en-US" w:eastAsia="en-US" w:bidi="ar-SA"/>
        </w:rPr>
        <w:sectPr>
          <w:headerReference r:id="rId5" w:type="default"/>
          <w:pgSz w:w="12240" w:h="15840"/>
          <w:pgMar w:top="1440" w:right="1440" w:bottom="1440" w:left="1440" w:header="708" w:footer="708" w:gutter="0"/>
          <w:cols w:space="720" w:num="1"/>
          <w:docGrid w:linePitch="360" w:charSpace="0"/>
        </w:sectPr>
      </w:pPr>
      <w:bookmarkStart w:id="8" w:name="_GoBack"/>
      <w:bookmarkEnd w:id="8"/>
      <w:r>
        <w:pict>
          <v:shape id="_x0000_s2056" o:spid="_x0000_s2056" o:spt="202" type="#_x0000_t202" style="position:absolute;left:0pt;margin-left:61.85pt;margin-top:59.6pt;height:181.3pt;width:279pt;z-index:251659264;mso-width-relative:page;mso-height-relative:page;" filled="f" stroked="f" coordsize="21600,21600">
            <v:path/>
            <v:fill on="f" focussize="0,0"/>
            <v:stroke on="f"/>
            <v:imagedata o:title=""/>
            <o:lock v:ext="edit" aspectratio="f"/>
            <v:textbox>
              <w:txbxContent>
                <w:p w14:paraId="102DD049">
                  <w:pPr>
                    <w:spacing w:after="0" w:line="360" w:lineRule="auto"/>
                    <w:jc w:val="center"/>
                    <w:rPr>
                      <w:rFonts w:ascii="Times New Roman" w:hAnsi="Times New Roman" w:eastAsia="宋体" w:cs="Times New Roman"/>
                      <w:b/>
                      <w:bCs/>
                      <w:color w:val="auto"/>
                      <w:sz w:val="52"/>
                      <w:szCs w:val="52"/>
                      <w:lang w:eastAsia="zh-CN"/>
                    </w:rPr>
                  </w:pPr>
                  <w:r>
                    <w:rPr>
                      <w:rFonts w:ascii="Times New Roman" w:hAnsi="Times New Roman" w:cs="Times New Roman"/>
                      <w:b/>
                      <w:bCs/>
                      <w:color w:val="auto"/>
                      <w:sz w:val="52"/>
                      <w:szCs w:val="52"/>
                    </w:rPr>
                    <w:t>GIS-Based Habitat Suitability Analysis for Skylark in Cardiff</w:t>
                  </w:r>
                </w:p>
                <w:p w14:paraId="15EAA4DA">
                  <w:pPr>
                    <w:ind w:left="0" w:leftChars="0" w:right="0" w:rightChars="0" w:firstLine="0" w:firstLineChars="0"/>
                    <w:jc w:val="center"/>
                    <w:rPr>
                      <w:rFonts w:hint="eastAsia" w:ascii="黑体" w:hAnsi="黑体" w:eastAsia="黑体"/>
                      <w:sz w:val="52"/>
                      <w:lang w:val="en-US" w:eastAsia="zh-CN"/>
                    </w:rPr>
                  </w:pPr>
                </w:p>
              </w:txbxContent>
            </v:textbox>
          </v:shape>
        </w:pict>
      </w:r>
    </w:p>
    <w:sdt>
      <w:sdtPr>
        <w:rPr>
          <w:rFonts w:ascii="宋体" w:hAnsi="宋体" w:eastAsia="宋体" w:cstheme="minorBidi"/>
          <w:color w:val="000000"/>
          <w:sz w:val="21"/>
          <w:szCs w:val="22"/>
          <w:lang w:val="en-US" w:eastAsia="en-US" w:bidi="ar-SA"/>
        </w:rPr>
        <w:id w:val="893973360"/>
        <w15:color w:val="DBDBDB"/>
        <w:docPartObj>
          <w:docPartGallery w:val="Table of Contents"/>
          <w:docPartUnique/>
        </w:docPartObj>
      </w:sdtPr>
      <w:sdtContent>
        <w:p w14:paraId="08C03C57">
          <w:pPr>
            <w:spacing w:before="0" w:beforeLines="0" w:after="0" w:afterLines="0" w:line="240" w:lineRule="auto"/>
            <w:ind w:left="0" w:leftChars="0" w:right="0" w:rightChars="0" w:firstLine="0" w:firstLineChars="0"/>
            <w:jc w:val="center"/>
            <w:rPr>
              <w:rFonts w:hint="default"/>
              <w:lang w:val="en-US"/>
            </w:rPr>
          </w:pPr>
          <w:r>
            <w:rPr>
              <w:rFonts w:hint="default" w:ascii="宋体" w:hAnsi="宋体" w:eastAsia="宋体" w:cstheme="minorBidi"/>
              <w:kern w:val="2"/>
              <w:sz w:val="21"/>
              <w:szCs w:val="24"/>
              <w:lang w:val="en-US" w:eastAsia="zh-CN" w:bidi="ar-SA"/>
              <w14:ligatures w14:val="standardContextual"/>
            </w:rPr>
            <w:t>CONTENTS</w:t>
          </w:r>
        </w:p>
        <w:p w14:paraId="351955F6">
          <w:pPr>
            <w:spacing w:before="0" w:beforeLines="0" w:after="0" w:afterLines="0" w:line="240" w:lineRule="auto"/>
            <w:ind w:left="0" w:leftChars="0" w:right="0" w:rightChars="0" w:firstLine="0" w:firstLineChars="0"/>
            <w:jc w:val="center"/>
          </w:pPr>
        </w:p>
        <w:p w14:paraId="7540D014">
          <w:pPr>
            <w:pStyle w:val="26"/>
            <w:tabs>
              <w:tab w:val="right" w:leader="dot" w:pos="9360"/>
            </w:tabs>
          </w:pPr>
          <w:r>
            <w:fldChar w:fldCharType="begin"/>
          </w:r>
          <w:r>
            <w:instrText xml:space="preserve">TOC \o "1-1" \h \u </w:instrText>
          </w:r>
          <w:r>
            <w:fldChar w:fldCharType="separate"/>
          </w:r>
          <w:r>
            <w:fldChar w:fldCharType="begin"/>
          </w:r>
          <w:r>
            <w:instrText xml:space="preserve"> HYPERLINK \l _Toc196972991 </w:instrText>
          </w:r>
          <w:r>
            <w:fldChar w:fldCharType="separate"/>
          </w:r>
          <w:r>
            <w:rPr>
              <w:rFonts w:ascii="Times New Roman" w:hAnsi="Times New Roman" w:cs="Times New Roman"/>
              <w:szCs w:val="24"/>
            </w:rPr>
            <w:t>Introduction: GIS and Habitat Management</w:t>
          </w:r>
          <w:r>
            <w:tab/>
          </w:r>
          <w:r>
            <w:fldChar w:fldCharType="begin"/>
          </w:r>
          <w:r>
            <w:instrText xml:space="preserve"> PAGEREF _Toc196972991 \h </w:instrText>
          </w:r>
          <w:r>
            <w:fldChar w:fldCharType="separate"/>
          </w:r>
          <w:r>
            <w:t>1</w:t>
          </w:r>
          <w:r>
            <w:fldChar w:fldCharType="end"/>
          </w:r>
          <w:r>
            <w:fldChar w:fldCharType="end"/>
          </w:r>
        </w:p>
        <w:p w14:paraId="7C63FA1F">
          <w:pPr>
            <w:pStyle w:val="26"/>
            <w:tabs>
              <w:tab w:val="right" w:leader="dot" w:pos="9360"/>
            </w:tabs>
          </w:pPr>
          <w:r>
            <w:fldChar w:fldCharType="begin"/>
          </w:r>
          <w:r>
            <w:instrText xml:space="preserve"> HYPERLINK \l _Toc1252759710 </w:instrText>
          </w:r>
          <w:r>
            <w:fldChar w:fldCharType="separate"/>
          </w:r>
          <w:r>
            <w:rPr>
              <w:rFonts w:ascii="Times New Roman" w:hAnsi="Times New Roman" w:cs="Times New Roman"/>
              <w:szCs w:val="24"/>
            </w:rPr>
            <w:t>Habitat Suitability Analysis as a GIS Application</w:t>
          </w:r>
          <w:r>
            <w:tab/>
          </w:r>
          <w:r>
            <w:fldChar w:fldCharType="begin"/>
          </w:r>
          <w:r>
            <w:instrText xml:space="preserve"> PAGEREF _Toc1252759710 \h </w:instrText>
          </w:r>
          <w:r>
            <w:fldChar w:fldCharType="separate"/>
          </w:r>
          <w:r>
            <w:t>2</w:t>
          </w:r>
          <w:r>
            <w:fldChar w:fldCharType="end"/>
          </w:r>
          <w:r>
            <w:fldChar w:fldCharType="end"/>
          </w:r>
        </w:p>
        <w:p w14:paraId="0DD25ABB">
          <w:pPr>
            <w:pStyle w:val="26"/>
            <w:tabs>
              <w:tab w:val="right" w:leader="dot" w:pos="9360"/>
            </w:tabs>
          </w:pPr>
          <w:r>
            <w:fldChar w:fldCharType="begin"/>
          </w:r>
          <w:r>
            <w:instrText xml:space="preserve"> HYPERLINK \l _Toc1202770782 </w:instrText>
          </w:r>
          <w:r>
            <w:fldChar w:fldCharType="separate"/>
          </w:r>
          <w:r>
            <w:rPr>
              <w:rFonts w:ascii="Times New Roman" w:hAnsi="Times New Roman" w:cs="Times New Roman"/>
              <w:szCs w:val="24"/>
            </w:rPr>
            <w:t>Methods: Species and Site Selection</w:t>
          </w:r>
          <w:r>
            <w:tab/>
          </w:r>
          <w:r>
            <w:fldChar w:fldCharType="begin"/>
          </w:r>
          <w:r>
            <w:instrText xml:space="preserve"> PAGEREF _Toc1202770782 \h </w:instrText>
          </w:r>
          <w:r>
            <w:fldChar w:fldCharType="separate"/>
          </w:r>
          <w:r>
            <w:t>3</w:t>
          </w:r>
          <w:r>
            <w:fldChar w:fldCharType="end"/>
          </w:r>
          <w:r>
            <w:fldChar w:fldCharType="end"/>
          </w:r>
        </w:p>
        <w:p w14:paraId="2BD73B76">
          <w:pPr>
            <w:pStyle w:val="26"/>
            <w:tabs>
              <w:tab w:val="right" w:leader="dot" w:pos="9360"/>
            </w:tabs>
          </w:pPr>
          <w:r>
            <w:fldChar w:fldCharType="begin"/>
          </w:r>
          <w:r>
            <w:instrText xml:space="preserve"> HYPERLINK \l _Toc704963863 </w:instrText>
          </w:r>
          <w:r>
            <w:fldChar w:fldCharType="separate"/>
          </w:r>
          <w:r>
            <w:rPr>
              <w:rFonts w:ascii="Times New Roman" w:hAnsi="Times New Roman" w:cs="Times New Roman"/>
              <w:szCs w:val="24"/>
            </w:rPr>
            <w:t>Habitat Suitability Requirements for Skylark</w:t>
          </w:r>
          <w:r>
            <w:tab/>
          </w:r>
          <w:r>
            <w:fldChar w:fldCharType="begin"/>
          </w:r>
          <w:r>
            <w:instrText xml:space="preserve"> PAGEREF _Toc704963863 \h </w:instrText>
          </w:r>
          <w:r>
            <w:fldChar w:fldCharType="separate"/>
          </w:r>
          <w:r>
            <w:t>6</w:t>
          </w:r>
          <w:r>
            <w:fldChar w:fldCharType="end"/>
          </w:r>
          <w:r>
            <w:fldChar w:fldCharType="end"/>
          </w:r>
        </w:p>
        <w:p w14:paraId="183D4117">
          <w:pPr>
            <w:pStyle w:val="26"/>
            <w:tabs>
              <w:tab w:val="right" w:leader="dot" w:pos="9360"/>
            </w:tabs>
          </w:pPr>
          <w:r>
            <w:fldChar w:fldCharType="begin"/>
          </w:r>
          <w:r>
            <w:instrText xml:space="preserve"> HYPERLINK \l _Toc660364942 </w:instrText>
          </w:r>
          <w:r>
            <w:fldChar w:fldCharType="separate"/>
          </w:r>
          <w:r>
            <w:rPr>
              <w:rFonts w:ascii="Times New Roman" w:hAnsi="Times New Roman" w:cs="Times New Roman"/>
              <w:szCs w:val="24"/>
            </w:rPr>
            <w:t>Completed GIS Workflow and Overlay Method</w:t>
          </w:r>
          <w:r>
            <w:tab/>
          </w:r>
          <w:r>
            <w:fldChar w:fldCharType="begin"/>
          </w:r>
          <w:r>
            <w:instrText xml:space="preserve"> PAGEREF _Toc660364942 \h </w:instrText>
          </w:r>
          <w:r>
            <w:fldChar w:fldCharType="separate"/>
          </w:r>
          <w:r>
            <w:t>9</w:t>
          </w:r>
          <w:r>
            <w:fldChar w:fldCharType="end"/>
          </w:r>
          <w:r>
            <w:fldChar w:fldCharType="end"/>
          </w:r>
        </w:p>
        <w:p w14:paraId="35BED5F6">
          <w:pPr>
            <w:rPr>
              <w:rFonts w:hint="default"/>
              <w:lang w:val="en-US"/>
            </w:rPr>
          </w:pPr>
          <w:r>
            <w:rPr>
              <w:rFonts w:hint="default"/>
              <w:lang w:val="en-US"/>
            </w:rPr>
            <w:t>Results.........................................................................................................................................11</w:t>
          </w:r>
        </w:p>
        <w:p w14:paraId="7370B37A">
          <w:pPr>
            <w:pStyle w:val="26"/>
            <w:tabs>
              <w:tab w:val="right" w:leader="dot" w:pos="9360"/>
            </w:tabs>
          </w:pPr>
          <w:r>
            <w:fldChar w:fldCharType="begin"/>
          </w:r>
          <w:r>
            <w:instrText xml:space="preserve"> HYPERLINK \l _Toc558092498 </w:instrText>
          </w:r>
          <w:r>
            <w:fldChar w:fldCharType="separate"/>
          </w:r>
          <w:r>
            <w:rPr>
              <w:rFonts w:ascii="Times New Roman" w:hAnsi="Times New Roman" w:cs="Times New Roman"/>
              <w:szCs w:val="24"/>
            </w:rPr>
            <w:t>Management Recommendations for Farmers and Landowners</w:t>
          </w:r>
          <w:r>
            <w:tab/>
          </w:r>
          <w:r>
            <w:fldChar w:fldCharType="begin"/>
          </w:r>
          <w:r>
            <w:instrText xml:space="preserve"> PAGEREF _Toc558092498 \h </w:instrText>
          </w:r>
          <w:r>
            <w:fldChar w:fldCharType="separate"/>
          </w:r>
          <w:r>
            <w:t>16</w:t>
          </w:r>
          <w:r>
            <w:fldChar w:fldCharType="end"/>
          </w:r>
          <w:r>
            <w:fldChar w:fldCharType="end"/>
          </w:r>
        </w:p>
        <w:p w14:paraId="76A87910">
          <w:pPr>
            <w:pStyle w:val="26"/>
            <w:tabs>
              <w:tab w:val="right" w:leader="dot" w:pos="9360"/>
            </w:tabs>
          </w:pPr>
          <w:r>
            <w:fldChar w:fldCharType="begin"/>
          </w:r>
          <w:r>
            <w:instrText xml:space="preserve"> HYPERLINK \l _Toc1799527437 </w:instrText>
          </w:r>
          <w:r>
            <w:fldChar w:fldCharType="separate"/>
          </w:r>
          <w:r>
            <w:rPr>
              <w:rFonts w:ascii="Times New Roman" w:hAnsi="Times New Roman" w:cs="Times New Roman"/>
              <w:szCs w:val="24"/>
            </w:rPr>
            <w:t>Conclusion</w:t>
          </w:r>
          <w:r>
            <w:tab/>
          </w:r>
          <w:r>
            <w:fldChar w:fldCharType="begin"/>
          </w:r>
          <w:r>
            <w:instrText xml:space="preserve"> PAGEREF _Toc1799527437 \h </w:instrText>
          </w:r>
          <w:r>
            <w:fldChar w:fldCharType="separate"/>
          </w:r>
          <w:r>
            <w:t>17</w:t>
          </w:r>
          <w:r>
            <w:fldChar w:fldCharType="end"/>
          </w:r>
          <w:r>
            <w:fldChar w:fldCharType="end"/>
          </w:r>
        </w:p>
        <w:p w14:paraId="7E800BAA">
          <w:pPr>
            <w:pStyle w:val="26"/>
            <w:tabs>
              <w:tab w:val="right" w:leader="dot" w:pos="9360"/>
            </w:tabs>
          </w:pPr>
          <w:r>
            <w:fldChar w:fldCharType="begin"/>
          </w:r>
          <w:r>
            <w:instrText xml:space="preserve"> HYPERLINK \l _Toc1645432958 </w:instrText>
          </w:r>
          <w:r>
            <w:fldChar w:fldCharType="separate"/>
          </w:r>
          <w:r>
            <w:rPr>
              <w:rFonts w:ascii="Times New Roman" w:hAnsi="Times New Roman" w:cs="Times New Roman"/>
              <w:szCs w:val="24"/>
            </w:rPr>
            <w:t>References</w:t>
          </w:r>
          <w:r>
            <w:tab/>
          </w:r>
          <w:r>
            <w:fldChar w:fldCharType="begin"/>
          </w:r>
          <w:r>
            <w:instrText xml:space="preserve"> PAGEREF _Toc1645432958 \h </w:instrText>
          </w:r>
          <w:r>
            <w:fldChar w:fldCharType="separate"/>
          </w:r>
          <w:r>
            <w:t>18</w:t>
          </w:r>
          <w:r>
            <w:fldChar w:fldCharType="end"/>
          </w:r>
          <w:r>
            <w:fldChar w:fldCharType="end"/>
          </w:r>
        </w:p>
        <w:p w14:paraId="0EE2489F">
          <w:r>
            <w:fldChar w:fldCharType="end"/>
          </w:r>
        </w:p>
      </w:sdtContent>
    </w:sdt>
    <w:p w14:paraId="74340277"/>
    <w:p w14:paraId="78B9CC42"/>
    <w:p w14:paraId="79119623"/>
    <w:p w14:paraId="1DE0A060"/>
    <w:p w14:paraId="3DC1BCC7"/>
    <w:p w14:paraId="2CB75707"/>
    <w:p w14:paraId="5069C69E"/>
    <w:p w14:paraId="613F0388"/>
    <w:p w14:paraId="6AECB93F"/>
    <w:p w14:paraId="439B7C91"/>
    <w:p w14:paraId="13D209D6"/>
    <w:p w14:paraId="2D2BEAD6"/>
    <w:p w14:paraId="793C93B2"/>
    <w:p w14:paraId="5E6CDC0D"/>
    <w:p w14:paraId="01724317"/>
    <w:p w14:paraId="27C57A73"/>
    <w:p w14:paraId="5D52CCBF"/>
    <w:p w14:paraId="054681A9"/>
    <w:p w14:paraId="77CA346B"/>
    <w:p w14:paraId="125DE7D5"/>
    <w:p w14:paraId="08B83DE5"/>
    <w:p w14:paraId="5F121BF2"/>
    <w:p w14:paraId="25553837"/>
    <w:p w14:paraId="7D1F9927"/>
    <w:p w14:paraId="65F4ABD4"/>
    <w:p w14:paraId="720724E4"/>
    <w:p w14:paraId="27FDA5BB"/>
    <w:p w14:paraId="19E9F0EA"/>
    <w:p w14:paraId="5AA29EBE">
      <w:pPr>
        <w:spacing w:after="0" w:line="360" w:lineRule="auto"/>
        <w:jc w:val="both"/>
        <w:rPr>
          <w:rFonts w:ascii="Times New Roman" w:hAnsi="Times New Roman" w:cs="Times New Roman"/>
          <w:b/>
          <w:bCs/>
          <w:color w:val="auto"/>
          <w:sz w:val="24"/>
          <w:szCs w:val="24"/>
        </w:rPr>
        <w:sectPr>
          <w:pgSz w:w="12240" w:h="15840"/>
          <w:pgMar w:top="1440" w:right="1440" w:bottom="1440" w:left="1440" w:header="708" w:footer="708" w:gutter="0"/>
          <w:cols w:space="720" w:num="1"/>
          <w:docGrid w:linePitch="360" w:charSpace="0"/>
        </w:sectPr>
      </w:pPr>
    </w:p>
    <w:p w14:paraId="551D4E3B">
      <w:pPr>
        <w:spacing w:after="0" w:line="360" w:lineRule="auto"/>
        <w:jc w:val="center"/>
        <w:rPr>
          <w:rFonts w:ascii="Times New Roman" w:hAnsi="Times New Roman" w:eastAsia="宋体" w:cs="Times New Roman"/>
          <w:b/>
          <w:bCs/>
          <w:color w:val="auto"/>
          <w:sz w:val="24"/>
          <w:szCs w:val="24"/>
          <w:lang w:eastAsia="zh-CN"/>
        </w:rPr>
      </w:pPr>
      <w:r>
        <w:rPr>
          <w:rFonts w:ascii="Times New Roman" w:hAnsi="Times New Roman" w:cs="Times New Roman"/>
          <w:b/>
          <w:bCs/>
          <w:color w:val="auto"/>
          <w:sz w:val="24"/>
          <w:szCs w:val="24"/>
        </w:rPr>
        <w:t>GIS-Based Habitat Suitability Analysis for Skylark in Cardiff</w:t>
      </w:r>
    </w:p>
    <w:p w14:paraId="604F16EE">
      <w:pPr>
        <w:pStyle w:val="3"/>
        <w:spacing w:before="0" w:after="0" w:line="360" w:lineRule="auto"/>
        <w:rPr>
          <w:rFonts w:ascii="Times New Roman" w:hAnsi="Times New Roman" w:cs="Times New Roman"/>
          <w:color w:val="auto"/>
          <w:sz w:val="24"/>
          <w:szCs w:val="24"/>
        </w:rPr>
      </w:pPr>
      <w:bookmarkStart w:id="0" w:name="_Toc196972991"/>
      <w:r>
        <w:rPr>
          <w:rFonts w:ascii="Times New Roman" w:hAnsi="Times New Roman" w:cs="Times New Roman"/>
          <w:color w:val="auto"/>
          <w:sz w:val="24"/>
          <w:szCs w:val="24"/>
        </w:rPr>
        <w:t>Introduction: GIS and Habitat Management</w:t>
      </w:r>
      <w:bookmarkEnd w:id="0"/>
    </w:p>
    <w:p w14:paraId="7BE97B32">
      <w:pPr>
        <w:spacing w:after="0" w:line="360" w:lineRule="auto"/>
        <w:ind w:firstLine="480" w:firstLineChars="200"/>
        <w:jc w:val="left"/>
        <w:rPr>
          <w:rFonts w:ascii="Times New Roman" w:hAnsi="Times New Roman" w:cs="Times New Roman"/>
          <w:color w:val="auto"/>
          <w:sz w:val="24"/>
          <w:szCs w:val="24"/>
        </w:rPr>
      </w:pPr>
      <w:r>
        <w:rPr>
          <w:rFonts w:ascii="Times New Roman" w:hAnsi="Times New Roman" w:cs="Times New Roman"/>
          <w:color w:val="auto"/>
          <w:sz w:val="24"/>
          <w:szCs w:val="24"/>
        </w:rPr>
        <w:t>Habitat management is now carried out under the circumstances of accelerating biodiversity loss, land-use change and fragmented ecological information. The previous way of management was based on field surveys, local knowledge and maps; therefore, when a large number of environmental indicators in various areas need to be compared, paper maps or individual survey data are not feasible. A Geoinformation System will be used to store, analyse and spread spatial data in a common coordinate system. The above is because habitats are not isolated areas but are connected to soils, hydrology, topography, land-use rights, species migration routes, disturbances and all other development plans.</w:t>
      </w:r>
    </w:p>
    <w:p w14:paraId="47282BA5">
      <w:pPr>
        <w:spacing w:after="0" w:line="360" w:lineRule="auto"/>
        <w:ind w:firstLine="480" w:firstLineChars="200"/>
        <w:jc w:val="left"/>
        <w:rPr>
          <w:rFonts w:ascii="Times New Roman" w:hAnsi="Times New Roman" w:cs="Times New Roman"/>
          <w:color w:val="auto"/>
          <w:sz w:val="24"/>
          <w:szCs w:val="24"/>
        </w:rPr>
      </w:pPr>
      <w:r>
        <w:rPr>
          <w:rFonts w:ascii="Times New Roman" w:hAnsi="Times New Roman" w:cs="Times New Roman"/>
          <w:color w:val="auto"/>
          <w:sz w:val="24"/>
          <w:szCs w:val="24"/>
        </w:rPr>
        <w:t>GIS will show new maps and achieve other goals. It may result in a spatial problem for the habitat manager that is not listed in the field notes. For example, GIS can determine whether the existing habitat patches are connected or isolated; therefore, restoration efforts can be more effectively directed to strengthen a corridor, areas that have not been surveyed sufficiently, and conflicts with built-up areas, protected sites or accessibility limitations in management activities. Remote sensing technology can be used to detect changes in the range of vegetation and land-use type over a long period, as well as other seasonal changes. Biodiversity loss is also caused by many reasons and does not result from a single, obvious local source.</w:t>
      </w:r>
    </w:p>
    <w:p w14:paraId="6B1F23CB">
      <w:pPr>
        <w:spacing w:after="0" w:line="360" w:lineRule="auto"/>
        <w:ind w:firstLine="480" w:firstLineChars="200"/>
        <w:jc w:val="left"/>
        <w:rPr>
          <w:rFonts w:ascii="Times New Roman" w:hAnsi="Times New Roman" w:cs="Times New Roman"/>
          <w:color w:val="auto"/>
          <w:sz w:val="24"/>
          <w:szCs w:val="24"/>
        </w:rPr>
      </w:pPr>
      <w:r>
        <w:rPr>
          <w:rFonts w:ascii="Times New Roman" w:hAnsi="Times New Roman" w:cs="Times New Roman"/>
          <w:color w:val="auto"/>
          <w:sz w:val="24"/>
          <w:szCs w:val="24"/>
        </w:rPr>
        <w:t>GIS can be used for habitat management now. A management recommendation can be traced back to the datasets and assumptions used in its creation, such as land-cover categories, slope thresholds, distance from roads, or distance from woodland edge. Thus, the conservationists, local governments and land managers will be able to determine whether the suggestion is supported by data and reproducible. It can be used for other places too. For example, a habitat suitability model can show how the priority areas for a species change under different weightings of food resources, nesting habitat and human disturbance.</w:t>
      </w:r>
    </w:p>
    <w:p w14:paraId="24AD0E32">
      <w:pPr>
        <w:spacing w:after="0" w:line="360" w:lineRule="auto"/>
        <w:ind w:firstLine="480" w:firstLineChars="200"/>
        <w:jc w:val="left"/>
        <w:rPr>
          <w:rFonts w:ascii="Times New Roman" w:hAnsi="Times New Roman" w:cs="Times New Roman"/>
          <w:color w:val="auto"/>
          <w:sz w:val="24"/>
          <w:szCs w:val="24"/>
        </w:rPr>
      </w:pPr>
      <w:r>
        <w:rPr>
          <w:rFonts w:ascii="Times New Roman" w:hAnsi="Times New Roman" w:cs="Times New Roman"/>
          <w:color w:val="auto"/>
          <w:sz w:val="24"/>
          <w:szCs w:val="24"/>
        </w:rPr>
        <w:t>Geographic Information Systems (GIS) will support the decision-making process for ecological judgments. A map shows where a species is located, but it cannot confirm whether that species actually exists in that place, determine whether the environment is suitable for it, or judge whether management measures will be effective. The Quality of the output will be affected by the Quality, Resolution and Ecological Relevance of the input layer. Habitat categories are too general to describe the structure of vegetation, and remote sensing can only provide proxies for the ecological process of interest. Therefore, the most feasible GIS-based habitat management will be one that combines desktop analysis and field verification, and clearly shows uncertainty. Habitat suitability analysis in this paper investigates the distribution of skylarks in Cardiff.</w:t>
      </w:r>
    </w:p>
    <w:p w14:paraId="5A57810C">
      <w:pPr>
        <w:spacing w:after="0" w:line="360" w:lineRule="auto"/>
        <w:ind w:firstLine="480" w:firstLineChars="200"/>
        <w:jc w:val="left"/>
        <w:rPr>
          <w:rFonts w:ascii="Times New Roman" w:hAnsi="Times New Roman" w:eastAsia="宋体" w:cs="Times New Roman"/>
          <w:sz w:val="24"/>
          <w:szCs w:val="24"/>
          <w:lang w:eastAsia="zh-CN"/>
        </w:rPr>
      </w:pPr>
      <w:r>
        <w:rPr>
          <w:rFonts w:ascii="Times New Roman" w:hAnsi="Times New Roman" w:cs="Times New Roman"/>
          <w:color w:val="auto"/>
          <w:sz w:val="24"/>
          <w:szCs w:val="24"/>
        </w:rPr>
        <w:t>Recently, it has been suggested that a GIS will be deployed in the UK and Wales. According to the 2023 report by the State of Nature, biodiversity in the UK continues to decline; also, the latest wild bird statistics published by Defra show that breeding farmland bird populations in the UK have been decreasing significantly since 1970 and have further dropped in the most recent five-year assessment period (State of Nature Partnership, 2023; Defra, 2025). Natural Resources Wales also considers the health of the ecosystem in Wales under the 'soNaRR 2025' plan for managing land. For a farmland bird such as a skylark, the above trends show that habitat management cannot be separated from the spatial decisions of where to maintain open areas, how they are connected, and where to focus practical measures.</w:t>
      </w:r>
    </w:p>
    <w:p w14:paraId="62EDB841">
      <w:pPr>
        <w:pStyle w:val="3"/>
        <w:spacing w:before="0" w:after="0" w:line="360" w:lineRule="auto"/>
        <w:rPr>
          <w:rFonts w:ascii="Times New Roman" w:hAnsi="Times New Roman" w:cs="Times New Roman"/>
          <w:color w:val="auto"/>
          <w:sz w:val="24"/>
          <w:szCs w:val="24"/>
        </w:rPr>
      </w:pPr>
      <w:bookmarkStart w:id="1" w:name="_Toc1252759710"/>
      <w:r>
        <w:rPr>
          <w:rFonts w:ascii="Times New Roman" w:hAnsi="Times New Roman" w:cs="Times New Roman"/>
          <w:color w:val="auto"/>
          <w:sz w:val="24"/>
          <w:szCs w:val="24"/>
        </w:rPr>
        <w:t>Habitat Suitability Analysis as a GIS Application</w:t>
      </w:r>
      <w:bookmarkEnd w:id="1"/>
    </w:p>
    <w:p w14:paraId="718887C9">
      <w:pPr>
        <w:spacing w:after="0" w:line="360" w:lineRule="auto"/>
        <w:ind w:firstLine="480" w:firstLineChars="200"/>
        <w:jc w:val="left"/>
        <w:rPr>
          <w:rFonts w:ascii="Times New Roman" w:hAnsi="Times New Roman" w:cs="Times New Roman"/>
          <w:color w:val="auto"/>
          <w:sz w:val="24"/>
          <w:szCs w:val="24"/>
        </w:rPr>
      </w:pPr>
      <w:r>
        <w:rPr>
          <w:rFonts w:ascii="Times New Roman" w:hAnsi="Times New Roman" w:cs="Times New Roman"/>
          <w:color w:val="auto"/>
          <w:sz w:val="24"/>
          <w:szCs w:val="24"/>
        </w:rPr>
        <w:t>Habitat management is one of the first places where GIS is being applied now. It transforms the ecological demands of a specific species or habitat into spatial indices, and based on these indices, determines whether an area is more or less suitable for conservation and restoration, etc. As shown above, the GIS methods for the above are weighted overlay, multi-criteria decision analysis, species distribution modelling, or rule-based suitability scoring. Ecological knowledge is generally expressed spatially; for example, a demand for open space to house young can be transformed into a land-cover or distance-to-edge variable, and a threat such as urban disturbance can be shown as a distance-from-settlement or road-pressure variable.</w:t>
      </w:r>
    </w:p>
    <w:p w14:paraId="1DCE1984">
      <w:pPr>
        <w:spacing w:after="0" w:line="360" w:lineRule="auto"/>
        <w:ind w:firstLine="480" w:firstLineChars="200"/>
        <w:jc w:val="left"/>
        <w:rPr>
          <w:rFonts w:ascii="Times New Roman" w:hAnsi="Times New Roman" w:cs="Times New Roman"/>
          <w:color w:val="auto"/>
          <w:sz w:val="24"/>
          <w:szCs w:val="24"/>
        </w:rPr>
      </w:pPr>
      <w:r>
        <w:rPr>
          <w:rFonts w:ascii="Times New Roman" w:hAnsi="Times New Roman" w:cs="Times New Roman"/>
          <w:color w:val="auto"/>
          <w:sz w:val="24"/>
          <w:szCs w:val="24"/>
        </w:rPr>
        <w:t>The Purpose of Suitability Analysis is to list the assumed facts. Instead of saying generally that skylarks need open farmland, the model should specify what constitutes open land, which land-cover classes are excluded, how far a site should be from woodland or buildings, and how nesting habitat should be shown when direct vegetation-height data are unavailable. It will help manage the environment by offering some data for the conservation plan. A good map does not have to be perfect; it only needs to generate some hypotheses and show that certain areas are more suitable for fieldwork and management. It can also show the final map and explain where the best place for action will be through communication.</w:t>
      </w:r>
    </w:p>
    <w:p w14:paraId="06B59B39">
      <w:pPr>
        <w:spacing w:after="0" w:line="360" w:lineRule="auto"/>
        <w:ind w:firstLine="480" w:firstLineChars="200"/>
        <w:jc w:val="left"/>
        <w:rPr>
          <w:rFonts w:ascii="Times New Roman" w:hAnsi="Times New Roman" w:cs="Times New Roman"/>
          <w:color w:val="auto"/>
          <w:sz w:val="24"/>
          <w:szCs w:val="24"/>
        </w:rPr>
      </w:pPr>
      <w:r>
        <w:rPr>
          <w:rFonts w:ascii="Times New Roman" w:hAnsi="Times New Roman" w:cs="Times New Roman"/>
          <w:color w:val="auto"/>
          <w:sz w:val="24"/>
          <w:szCs w:val="24"/>
        </w:rPr>
        <w:t>At the same time, if it is used without consideration, the suitability analysis will be too simple. Species are influenced by several factors, and a specific type of land-use area may be suitable or not suitable at different times of the year or due to human intervention, etc. For a ground-nesting farmland bird, for instance, a grass field may be suitable in a land-cover dataset but will no longer be suitable if it is often cut during the breeding season. In other words, the methods should provide reasons for their selection, recognise that some are substitutes, and show how the results will be verified in practice. The suitability analysis in this report is intended to be a practical case study of habitat management; it will identify potential areas in Cardiff that appear to meet the requirements of skylark habitat, and then fieldwork or targeted management can be conducted to test and improve the model.</w:t>
      </w:r>
    </w:p>
    <w:p w14:paraId="69FEA13E">
      <w:pPr>
        <w:spacing w:after="0" w:line="360" w:lineRule="auto"/>
        <w:ind w:firstLine="480" w:firstLineChars="200"/>
        <w:jc w:val="left"/>
        <w:rPr>
          <w:rFonts w:ascii="Times New Roman" w:hAnsi="Times New Roman" w:eastAsia="宋体" w:cs="Times New Roman"/>
          <w:sz w:val="24"/>
          <w:szCs w:val="24"/>
          <w:lang w:eastAsia="zh-CN"/>
        </w:rPr>
      </w:pPr>
      <w:r>
        <w:rPr>
          <w:rFonts w:ascii="Times New Roman" w:hAnsi="Times New Roman" w:cs="Times New Roman"/>
          <w:color w:val="auto"/>
          <w:sz w:val="24"/>
          <w:szCs w:val="24"/>
        </w:rPr>
        <w:t xml:space="preserve">This is in line with the new suitability-model literature. Although GIS-based multi-criteria methods are suitable for spatially explicit conservation priority setting, the scoring and weight-determination stages are not transparent due to high variability in expert judgment ( </w:t>
      </w:r>
      <w:r>
        <w:rPr>
          <w:rFonts w:hint="eastAsia" w:ascii="Times New Roman" w:hAnsi="Times New Roman" w:cs="Times New Roman"/>
          <w:color w:val="auto"/>
          <w:sz w:val="24"/>
          <w:szCs w:val="24"/>
        </w:rPr>
        <w:t>Rodríguez-Merino</w:t>
      </w:r>
      <w:r>
        <w:rPr>
          <w:rFonts w:hint="default" w:ascii="Times New Roman" w:hAnsi="Times New Roman" w:cs="Times New Roman"/>
          <w:color w:val="auto"/>
          <w:sz w:val="24"/>
          <w:szCs w:val="24"/>
          <w:lang w:val="en-US"/>
        </w:rPr>
        <w:t xml:space="preserve"> </w:t>
      </w:r>
      <w:r>
        <w:rPr>
          <w:rFonts w:ascii="Times New Roman" w:hAnsi="Times New Roman" w:cs="Times New Roman"/>
          <w:color w:val="auto"/>
          <w:sz w:val="24"/>
          <w:szCs w:val="24"/>
        </w:rPr>
        <w:t>et al., 2020). Species distribution modelling guidance also indicates that the spatial model should clearly state its assumptions, choices for predictors, data deficiencies and validation methods (Zurell et al., 2020). Although remote sensing and high-resolution environmental data can provide an ecological basis for the study of birds and grassland species, interpretation according to the structure of local habitats and behaviour of these species is still required (Crispim-Mendes et al., 2024; Radovic, Kapelj and Taylor, 2025). Therefore, the Cardiff model should be viewed as an open-displaying model rather than a certain prognosis for breeding success.</w:t>
      </w:r>
    </w:p>
    <w:p w14:paraId="41FA6137">
      <w:pPr>
        <w:pStyle w:val="3"/>
        <w:spacing w:before="0" w:after="0" w:line="360" w:lineRule="auto"/>
        <w:rPr>
          <w:rFonts w:ascii="Times New Roman" w:hAnsi="Times New Roman" w:cs="Times New Roman"/>
          <w:color w:val="auto"/>
          <w:sz w:val="24"/>
          <w:szCs w:val="24"/>
        </w:rPr>
      </w:pPr>
      <w:bookmarkStart w:id="2" w:name="_Toc1202770782"/>
      <w:r>
        <w:rPr>
          <w:rFonts w:ascii="Times New Roman" w:hAnsi="Times New Roman" w:cs="Times New Roman"/>
          <w:color w:val="auto"/>
          <w:sz w:val="24"/>
          <w:szCs w:val="24"/>
        </w:rPr>
        <w:t>Methods: Species and Site Selection</w:t>
      </w:r>
      <w:bookmarkEnd w:id="2"/>
    </w:p>
    <w:p w14:paraId="3D7062D5">
      <w:pPr>
        <w:pStyle w:val="4"/>
        <w:spacing w:before="0" w:after="0" w:line="360" w:lineRule="auto"/>
        <w:rPr>
          <w:rFonts w:ascii="Times New Roman" w:hAnsi="Times New Roman" w:cs="Times New Roman"/>
          <w:color w:val="auto"/>
          <w:sz w:val="24"/>
          <w:szCs w:val="24"/>
        </w:rPr>
      </w:pPr>
      <w:r>
        <w:rPr>
          <w:rFonts w:ascii="Times New Roman" w:hAnsi="Times New Roman" w:cs="Times New Roman"/>
          <w:color w:val="auto"/>
          <w:sz w:val="24"/>
          <w:szCs w:val="24"/>
        </w:rPr>
        <w:t>Target Species: Skylark</w:t>
      </w:r>
    </w:p>
    <w:p w14:paraId="60B7CF57">
      <w:pPr>
        <w:spacing w:after="0" w:line="360" w:lineRule="auto"/>
        <w:ind w:firstLine="480" w:firstLineChars="200"/>
        <w:jc w:val="left"/>
        <w:rPr>
          <w:rFonts w:ascii="Times New Roman" w:hAnsi="Times New Roman" w:cs="Times New Roman"/>
          <w:color w:val="auto"/>
          <w:sz w:val="24"/>
          <w:szCs w:val="24"/>
        </w:rPr>
      </w:pPr>
      <w:r>
        <w:rPr>
          <w:rFonts w:ascii="Times New Roman" w:hAnsi="Times New Roman" w:cs="Times New Roman"/>
          <w:color w:val="auto"/>
          <w:sz w:val="24"/>
          <w:szCs w:val="24"/>
        </w:rPr>
        <w:t>Alauda arvensis is the subject of this paper. Skylark is a suitable subject for this assessment because it is endangered, and its required habitats can be shown on a map. Britain is known for its open fields and pastures, and as a result, the number of farmland birds has declined significantly there. RSPB has designated this bird as red-listed in the UK, and BTO BirdFacts also indicates that it is a red conservation object at the UK, European and global levels (RSPB, n.d.; BTO, 2026). Therefore, skylarks are both species in themselves and indicators of changes in the broader pattern of agricultural land use.</w:t>
      </w:r>
    </w:p>
    <w:p w14:paraId="069A250F">
      <w:pPr>
        <w:spacing w:after="0" w:line="360" w:lineRule="auto"/>
        <w:ind w:firstLine="480" w:firstLineChars="200"/>
        <w:jc w:val="left"/>
        <w:rPr>
          <w:rFonts w:ascii="Times New Roman" w:hAnsi="Times New Roman" w:cs="Times New Roman"/>
          <w:color w:val="auto"/>
          <w:sz w:val="24"/>
          <w:szCs w:val="24"/>
        </w:rPr>
      </w:pPr>
      <w:r>
        <w:rPr>
          <w:rFonts w:ascii="Times New Roman" w:hAnsi="Times New Roman" w:cs="Times New Roman"/>
          <w:color w:val="auto"/>
          <w:sz w:val="24"/>
          <w:szCs w:val="24"/>
        </w:rPr>
        <w:t>Conservation work for the Skylark is also conservation of the environment. The species builds its nest on the ground and needs a certain structure of short- or open-vegetation for nest-building access, but this structure should not be overly disturbed to cause harm to the nests. Food will also be needed at all times, and other plant materials will be required during the off-season for seeds and other plants, as well as invertebrates to feed the chicks. The above reasons are affected by the type of crops, grassland cutting, grazing pressure, herbicide and pesticide use, field size, loss of winter stubble, and the conversion of open land to development or woodland. Therefore, skylarks are suitable subjects for a GIS-based habitat suitability model because their needs can be expressed in terms of quantifiable spatial variables, and ecological judgment and field validation are still required.</w:t>
      </w:r>
    </w:p>
    <w:p w14:paraId="628C6BDE">
      <w:pPr>
        <w:spacing w:after="0" w:line="360" w:lineRule="auto"/>
        <w:ind w:firstLine="480" w:firstLineChars="200"/>
        <w:jc w:val="left"/>
        <w:rPr>
          <w:rFonts w:ascii="Times New Roman" w:hAnsi="Times New Roman" w:cs="Times New Roman"/>
          <w:color w:val="auto"/>
          <w:sz w:val="24"/>
          <w:szCs w:val="24"/>
        </w:rPr>
      </w:pPr>
      <w:r>
        <w:rPr>
          <w:rFonts w:ascii="Times New Roman" w:hAnsi="Times New Roman" w:cs="Times New Roman"/>
          <w:color w:val="auto"/>
          <w:sz w:val="24"/>
          <w:szCs w:val="24"/>
        </w:rPr>
        <w:t>Skylark can be used to demonstrate the strengths and weaknesses of GIS in teaching as well. Some of its requirements, such as avoiding urban areas, woodlands and waters, are relatively simple to map with the standard land-cover and topographic datasets. Other requirements, such as the height of the vegetation, density of the sward, recent mowing or availability of invertebrate prey, are not easily mapped and may need to be obtained through proxy indicators or field notes. Therefore, this species is a typical case of habitat management: although the GIS model can identify potentially suitable open areas, actual assessment of whether they are effective breeding habitats still needs to be based on ground inspection.</w:t>
      </w:r>
    </w:p>
    <w:p w14:paraId="687CB956">
      <w:pPr>
        <w:spacing w:after="0" w:line="360" w:lineRule="auto"/>
        <w:ind w:firstLine="480" w:firstLineChars="200"/>
        <w:jc w:val="left"/>
        <w:rPr>
          <w:rFonts w:ascii="Times New Roman" w:hAnsi="Times New Roman" w:eastAsia="宋体" w:cs="Times New Roman"/>
          <w:sz w:val="24"/>
          <w:szCs w:val="24"/>
          <w:lang w:eastAsia="zh-CN"/>
        </w:rPr>
      </w:pPr>
      <w:r>
        <w:rPr>
          <w:rFonts w:ascii="Times New Roman" w:hAnsi="Times New Roman" w:cs="Times New Roman"/>
          <w:color w:val="auto"/>
          <w:sz w:val="24"/>
          <w:szCs w:val="24"/>
        </w:rPr>
        <w:t>A Skylark has also been identified in the recent observation data. The BTO/JNCC/RSPB Breeding Bird Survey remains a primary data source for monitoring changes in the UK's breeding bird populations, and the 2024 report has pointed out the need for extended-term data collection to pinpoint specific species and habitats that require management intervention (Heywood et al., 2025). Rigal and others in Europe have shown that the common bird decline is largely due to intensified farming; thus, Farmland practices should be included in the reasons for the reduction of avian diversity, not just a background factor. The above studies have increased the rationale for choosing a species closely related to the conservation status of agricultural land cover, crop structure and field-level management.</w:t>
      </w:r>
    </w:p>
    <w:p w14:paraId="05E75E39">
      <w:pPr>
        <w:pStyle w:val="4"/>
        <w:spacing w:before="0" w:after="0" w:line="360" w:lineRule="auto"/>
        <w:rPr>
          <w:rFonts w:ascii="Times New Roman" w:hAnsi="Times New Roman" w:cs="Times New Roman"/>
          <w:color w:val="auto"/>
          <w:sz w:val="24"/>
          <w:szCs w:val="24"/>
        </w:rPr>
      </w:pPr>
      <w:r>
        <w:rPr>
          <w:rFonts w:ascii="Times New Roman" w:hAnsi="Times New Roman" w:cs="Times New Roman"/>
          <w:color w:val="auto"/>
          <w:sz w:val="24"/>
          <w:szCs w:val="24"/>
        </w:rPr>
        <w:t>Study Area: Cardiff</w:t>
      </w:r>
    </w:p>
    <w:p w14:paraId="2DA84AD5">
      <w:pPr>
        <w:spacing w:after="0" w:line="360" w:lineRule="auto"/>
        <w:ind w:firstLine="480" w:firstLineChars="200"/>
        <w:rPr>
          <w:rFonts w:ascii="Times New Roman" w:hAnsi="Times New Roman" w:cs="Times New Roman"/>
          <w:color w:val="auto"/>
          <w:sz w:val="24"/>
          <w:szCs w:val="24"/>
        </w:rPr>
      </w:pPr>
      <w:r>
        <w:rPr>
          <w:rFonts w:ascii="Times New Roman" w:hAnsi="Times New Roman" w:cs="Times New Roman"/>
          <w:color w:val="auto"/>
          <w:sz w:val="24"/>
          <w:szCs w:val="24"/>
        </w:rPr>
        <w:t>The Selected Area of Study is Cardiff, South Wales. This site has the following three reasons. First, it is local and easy to obtain in the field, as required by the assessment brief. A GIS model will be more realistic if some of the premises used to construct it can be directly verified through on-site observation, such as determining whether the mapped grassland is indeed undepressed, evaluating the reasonableness of its structure in the field, and identifying potential harmful factors to it, such as high-frequency mowing or public disturbance.</w:t>
      </w:r>
    </w:p>
    <w:p w14:paraId="2C4B9529">
      <w:pPr>
        <w:spacing w:after="0" w:line="360" w:lineRule="auto"/>
        <w:ind w:firstLine="480" w:firstLineChars="200"/>
        <w:rPr>
          <w:rFonts w:ascii="Times New Roman" w:hAnsi="Times New Roman" w:cs="Times New Roman"/>
          <w:color w:val="auto"/>
          <w:sz w:val="24"/>
          <w:szCs w:val="24"/>
        </w:rPr>
      </w:pPr>
      <w:r>
        <w:rPr>
          <w:rFonts w:ascii="Times New Roman" w:hAnsi="Times New Roman" w:cs="Times New Roman"/>
          <w:color w:val="auto"/>
          <w:sz w:val="24"/>
          <w:szCs w:val="24"/>
        </w:rPr>
        <w:t>Second, Cardiff is an urban-rural transition area that has a practical application for habitat suitability analysis. The city has high-density urban areas, transportation facilities, parks, open-air grasslands, river valleys, coast and estuary regions, farmland or semi-rural areas at its periphery, etc. Skylark will probably be able to find a place to live in an open grassland or farmland outside the urban area rather than in a city. A GIS model can be used to identify areas that are obviously unsuitable for development, and therefore excluded from the list of required surveys or management efforts. It can also show the locations where the remaining open habitats have been divided by roads, settlement edges, etc.</w:t>
      </w:r>
    </w:p>
    <w:p w14:paraId="6AA6202E">
      <w:pPr>
        <w:spacing w:after="0" w:line="360" w:lineRule="auto"/>
        <w:ind w:firstLine="480" w:firstLineChars="200"/>
        <w:rPr>
          <w:rFonts w:ascii="Times New Roman" w:hAnsi="Times New Roman" w:cs="Times New Roman"/>
          <w:color w:val="auto"/>
          <w:sz w:val="24"/>
          <w:szCs w:val="24"/>
        </w:rPr>
      </w:pPr>
      <w:r>
        <w:rPr>
          <w:rFonts w:ascii="Times New Roman" w:hAnsi="Times New Roman" w:cs="Times New Roman"/>
          <w:color w:val="auto"/>
          <w:sz w:val="24"/>
          <w:szCs w:val="24"/>
        </w:rPr>
        <w:t>Third, Cardiff is suitable for the Skylark ecologically. According to the sustainability assessment baseline of the Cardiff Local Development Plan (Cardiff Council, 2016), skylarks are year-round residents of the grasslands in Cardiff. Therefore, the selection of the site is suitable, as the species has not been modelled at an arbitrary location and there is local evidence that Cardiff has breeding habitats. The area needs to be protected as a place for habitat and is also facing pressure from construction and other development activities. If suitable skylark habitats are concentrated in particular grassland or farmland areas, GIS can be used to identify the locations that would be most effective for surveys, mitigation, mowing regimes, arable management or habitat restoration.</w:t>
      </w:r>
    </w:p>
    <w:p w14:paraId="1A0C5043">
      <w:pPr>
        <w:spacing w:after="0" w:line="360" w:lineRule="auto"/>
        <w:ind w:firstLine="480" w:firstLineChars="200"/>
        <w:rPr>
          <w:rFonts w:ascii="Times New Roman" w:hAnsi="Times New Roman" w:cs="Times New Roman"/>
          <w:color w:val="auto"/>
          <w:sz w:val="24"/>
          <w:szCs w:val="24"/>
        </w:rPr>
      </w:pPr>
      <w:r>
        <w:rPr>
          <w:rFonts w:ascii="Times New Roman" w:hAnsi="Times New Roman" w:cs="Times New Roman"/>
          <w:color w:val="auto"/>
          <w:sz w:val="24"/>
          <w:szCs w:val="24"/>
        </w:rPr>
        <w:t>Cardiff is also connected to the policy requirements mentioned above. Under the Section 6 biodiversity duty, public authorities in Wales must strive to protect and improve biodiversity and strengthen the resilience of ecosystems (Welsh Government, 2025). A suitable model of a skylark can offer support for such a decision by identifying areas where habitat management will benefit a declining farmland bird, and at the same time strengthen the evidence base for local green infrastructure and development planning.</w:t>
      </w:r>
    </w:p>
    <w:p w14:paraId="13DF1513">
      <w:pPr>
        <w:jc w:val="left"/>
        <w:rPr>
          <w:rFonts w:ascii="Times New Roman" w:hAnsi="Times New Roman" w:cs="Times New Roman"/>
          <w:sz w:val="24"/>
          <w:szCs w:val="24"/>
        </w:rPr>
      </w:pPr>
      <w:r>
        <w:rPr>
          <w:rFonts w:ascii="Times New Roman" w:hAnsi="Times New Roman" w:cs="Times New Roman"/>
          <w:sz w:val="24"/>
          <w:szCs w:val="24"/>
        </w:rPr>
        <w:t>The Cardiff focus also makes the data limitations visible. The Phase 1 habitat survey layer available through DataMapWales is a valuable national dataset because it provides comprehensive habitat-cover information for Wales, but it was derived from field recording that began in 1979 and continued through the lowland survey period before later digitisation and release as open spatial data (Natural Resources Wales, 2023). This means it is appropriate for a broad suitability screen, but it should not be treated as a perfect representation of current vegetation condition. In an urban-rural landscape such as Cardiff, where land cover can change through development, recreation and agricultural management, this is a strong reason to combine GIS analysis with field checking.</w:t>
      </w:r>
    </w:p>
    <w:p w14:paraId="656FE664">
      <w:pPr>
        <w:pStyle w:val="3"/>
        <w:spacing w:before="0" w:after="0" w:line="360" w:lineRule="auto"/>
        <w:rPr>
          <w:rFonts w:ascii="Times New Roman" w:hAnsi="Times New Roman" w:cs="Times New Roman"/>
          <w:color w:val="auto"/>
          <w:sz w:val="24"/>
          <w:szCs w:val="24"/>
        </w:rPr>
      </w:pPr>
      <w:bookmarkStart w:id="3" w:name="_Toc704963863"/>
      <w:r>
        <w:rPr>
          <w:rFonts w:ascii="Times New Roman" w:hAnsi="Times New Roman" w:cs="Times New Roman"/>
          <w:color w:val="auto"/>
          <w:sz w:val="24"/>
          <w:szCs w:val="24"/>
        </w:rPr>
        <w:t>Habitat Suitability Requirements for Skylark</w:t>
      </w:r>
      <w:bookmarkEnd w:id="3"/>
    </w:p>
    <w:p w14:paraId="10E6722F">
      <w:pPr>
        <w:spacing w:after="0" w:line="360" w:lineRule="auto"/>
        <w:ind w:firstLine="480" w:firstLineChars="200"/>
        <w:rPr>
          <w:rFonts w:ascii="Times New Roman" w:hAnsi="Times New Roman" w:cs="Times New Roman"/>
          <w:color w:val="auto"/>
          <w:sz w:val="24"/>
          <w:szCs w:val="24"/>
        </w:rPr>
      </w:pPr>
      <w:r>
        <w:rPr>
          <w:rFonts w:ascii="Times New Roman" w:hAnsi="Times New Roman" w:cs="Times New Roman"/>
          <w:color w:val="auto"/>
          <w:sz w:val="24"/>
          <w:szCs w:val="24"/>
        </w:rPr>
        <w:t xml:space="preserve">The first set of ecological features are called nesting, food resources and mortality or threat factors. The above themes are in line with what was learned in class and can be translated into criteria for testing in GIS. </w:t>
      </w:r>
    </w:p>
    <w:p w14:paraId="73B71F1B">
      <w:pPr>
        <w:pStyle w:val="4"/>
        <w:spacing w:before="0" w:after="0" w:line="360" w:lineRule="auto"/>
        <w:rPr>
          <w:rFonts w:ascii="Times New Roman" w:hAnsi="Times New Roman" w:cs="Times New Roman"/>
          <w:color w:val="auto"/>
          <w:sz w:val="24"/>
          <w:szCs w:val="24"/>
        </w:rPr>
      </w:pPr>
      <w:r>
        <w:rPr>
          <w:rFonts w:ascii="Times New Roman" w:hAnsi="Times New Roman" w:cs="Times New Roman"/>
          <w:color w:val="auto"/>
          <w:sz w:val="24"/>
          <w:szCs w:val="24"/>
        </w:rPr>
        <w:t>Nesting Requirements</w:t>
      </w:r>
    </w:p>
    <w:p w14:paraId="07D88CFB">
      <w:pPr>
        <w:spacing w:after="0" w:line="360" w:lineRule="auto"/>
        <w:ind w:firstLine="480" w:firstLineChars="200"/>
        <w:rPr>
          <w:rFonts w:ascii="Times New Roman" w:hAnsi="Times New Roman" w:cs="Times New Roman"/>
          <w:color w:val="auto"/>
          <w:sz w:val="24"/>
          <w:szCs w:val="24"/>
        </w:rPr>
      </w:pPr>
      <w:r>
        <w:rPr>
          <w:rFonts w:ascii="Times New Roman" w:hAnsi="Times New Roman" w:cs="Times New Roman"/>
          <w:color w:val="auto"/>
          <w:sz w:val="24"/>
          <w:szCs w:val="24"/>
        </w:rPr>
        <w:t>Skylarks are ground-nesting birds in open areas. A suitable nesting habitat should be close to the ground, somewhat covered with vegetation for shelter, and have a low risk of damage to the nest during the breeding season. RSPB farmer advice notes that skylark plots should be located away from field boundaries and tramlines, and these plots are to provide open spaces in the crop areas for skylarks to access nesting and foraging sites (RSPB, n.d.b). FAS also suggests that, in the same way, these species need open areas and are negatively affected by overly dense vegetation or land-use disturbances during the nesting season (FAS, 2024). Therefore, the Cardiff model will likely be the most suitable for nesting in open grassland or arable land with a relatively open structure, and less suitable for nesting in woodland, dense scrub, urban areas, water bodies, and heavily disturbed recreational areas.</w:t>
      </w:r>
    </w:p>
    <w:p w14:paraId="251E5E5C">
      <w:pPr>
        <w:spacing w:after="0" w:line="360" w:lineRule="auto"/>
        <w:ind w:firstLine="480" w:firstLineChars="200"/>
        <w:rPr>
          <w:rFonts w:ascii="Times New Roman" w:hAnsi="Times New Roman" w:cs="Times New Roman"/>
          <w:color w:val="auto"/>
          <w:sz w:val="24"/>
          <w:szCs w:val="24"/>
        </w:rPr>
      </w:pPr>
      <w:r>
        <w:rPr>
          <w:rFonts w:ascii="Times New Roman" w:hAnsi="Times New Roman" w:cs="Times New Roman"/>
          <w:color w:val="auto"/>
          <w:sz w:val="24"/>
          <w:szCs w:val="24"/>
        </w:rPr>
        <w:t>As direct vegetation height data are unavailable, proxies must be used in the GIS analysis. Potential proxies include land-cover class, crop or grassland type, NDVI or seasonal vegetation index (if available), and field observations from site visits. The problem to be solved will be introduced in the method. A grassland polygon in the land-cover layer is not necessarily suitable for nesting; it may be too high, too frequently mowed, excessively grazed or disturbed, etc. Therefore, the suitability model should be used as an initial spatial screen rather than as a final judgment on breeding quality.</w:t>
      </w:r>
    </w:p>
    <w:p w14:paraId="1916B4CF">
      <w:pPr>
        <w:pStyle w:val="4"/>
        <w:spacing w:before="0" w:after="0" w:line="360" w:lineRule="auto"/>
        <w:rPr>
          <w:rFonts w:ascii="Times New Roman" w:hAnsi="Times New Roman" w:cs="Times New Roman"/>
          <w:color w:val="auto"/>
          <w:sz w:val="24"/>
          <w:szCs w:val="24"/>
        </w:rPr>
      </w:pPr>
      <w:r>
        <w:rPr>
          <w:rFonts w:ascii="Times New Roman" w:hAnsi="Times New Roman" w:cs="Times New Roman"/>
          <w:color w:val="auto"/>
          <w:sz w:val="24"/>
          <w:szCs w:val="24"/>
        </w:rPr>
        <w:t>Food Requirements</w:t>
      </w:r>
    </w:p>
    <w:p w14:paraId="67CD7B6E">
      <w:pPr>
        <w:spacing w:after="0" w:line="360" w:lineRule="auto"/>
        <w:ind w:firstLine="480" w:firstLineChars="200"/>
        <w:rPr>
          <w:rFonts w:ascii="Times New Roman" w:hAnsi="Times New Roman" w:cs="Times New Roman"/>
          <w:color w:val="auto"/>
          <w:sz w:val="24"/>
          <w:szCs w:val="24"/>
        </w:rPr>
      </w:pPr>
      <w:r>
        <w:rPr>
          <w:rFonts w:ascii="Times New Roman" w:hAnsi="Times New Roman" w:cs="Times New Roman"/>
          <w:color w:val="auto"/>
          <w:sz w:val="24"/>
          <w:szCs w:val="24"/>
        </w:rPr>
        <w:t>Skylarks need food all the time. Adult birds are not breeding at this time and eat seeds and plants; the chicks need to eat invertebrates. Therefore, a suitable place for the nest should be close to food sources for feeding. GWCT reports that skylarks are found in farmlands, and they are seed- and insect-eating species; the Wildlife Trust lists open fields and grasslands as some of the habitats for skylarks (GWCT, n.d.; Suffolk Wildlife Trust, n.d.; The Wildlife Trust of South and West Wales, n.d.). Food availability can be expressed as proxies for land cover and management in GIS, such as rough grassland, mixed farmland, field margins, winter stubble, uncultivated plots, or less intensively managed grassland.</w:t>
      </w:r>
    </w:p>
    <w:p w14:paraId="3A351D54">
      <w:pPr>
        <w:spacing w:after="0" w:line="360" w:lineRule="auto"/>
        <w:ind w:firstLine="480" w:firstLineChars="200"/>
        <w:rPr>
          <w:rFonts w:ascii="Times New Roman" w:hAnsi="Times New Roman" w:eastAsia="宋体" w:cs="Times New Roman"/>
          <w:color w:val="auto"/>
          <w:sz w:val="24"/>
          <w:szCs w:val="24"/>
          <w:lang w:eastAsia="zh-CN"/>
        </w:rPr>
      </w:pPr>
      <w:r>
        <w:rPr>
          <w:rFonts w:ascii="Times New Roman" w:hAnsi="Times New Roman" w:cs="Times New Roman"/>
          <w:color w:val="auto"/>
          <w:sz w:val="24"/>
          <w:szCs w:val="24"/>
        </w:rPr>
        <w:t>Therefore, Cardiff should not use an unrefined land-cover model. Amenity grassland can be open but is not suitable for food if it is mown or herbicide-treated too frequently. Semi-improved grassland, rough grassland, field margins and low-intensity agricultural areas may have good foraging conditions but are not as neat to the eye. If the management information is not available, record the visible features of the field, such as sward type, bare ground, presence of flowering plants, recent mowing, grazing intensity and surrounding land-use conditions.</w:t>
      </w:r>
    </w:p>
    <w:p w14:paraId="22B2FA8E">
      <w:pPr>
        <w:pStyle w:val="4"/>
        <w:spacing w:before="0" w:after="0" w:line="360" w:lineRule="auto"/>
        <w:rPr>
          <w:rFonts w:ascii="Times New Roman" w:hAnsi="Times New Roman" w:cs="Times New Roman"/>
          <w:color w:val="auto"/>
          <w:sz w:val="24"/>
          <w:szCs w:val="24"/>
        </w:rPr>
      </w:pPr>
      <w:r>
        <w:rPr>
          <w:rFonts w:ascii="Times New Roman" w:hAnsi="Times New Roman" w:cs="Times New Roman"/>
          <w:color w:val="auto"/>
          <w:sz w:val="24"/>
          <w:szCs w:val="24"/>
        </w:rPr>
        <w:t>Mortality and Threat Factors</w:t>
      </w:r>
    </w:p>
    <w:p w14:paraId="0FEF22B3">
      <w:pPr>
        <w:spacing w:after="0" w:line="360" w:lineRule="auto"/>
        <w:ind w:firstLine="480" w:firstLineChars="200"/>
        <w:jc w:val="left"/>
        <w:rPr>
          <w:rFonts w:ascii="Times New Roman" w:hAnsi="Times New Roman" w:cs="Times New Roman"/>
          <w:color w:val="auto"/>
          <w:sz w:val="24"/>
          <w:szCs w:val="24"/>
        </w:rPr>
      </w:pPr>
      <w:r>
        <w:rPr>
          <w:rFonts w:ascii="Times New Roman" w:hAnsi="Times New Roman" w:cs="Times New Roman"/>
          <w:color w:val="auto"/>
          <w:sz w:val="24"/>
          <w:szCs w:val="24"/>
        </w:rPr>
        <w:t>The main reasons for a decline in skylark breeding success according to a suitability model are a lack of habitat, insufficient food supply, and increased disturbance. Field-level problems include early or frequent grass mowing, intensive grazing, dense crop growth, pesticide application, loss of winter stubble, and all others that reduce suitability. Forests and tall hedgerows are at the landscape scale, and they may reduce open space, thus increasing predation or other disturbances. Roads, recreational pressure and development will further fragment the open habitats that remain. The above risks are serious because, for the survival of the skylark, grassland or agricultural land is required; this land also needs to be managed to provide suitable nesting and foraging habitats for the skylarks.</w:t>
      </w:r>
    </w:p>
    <w:p w14:paraId="6412E5E5">
      <w:pPr>
        <w:spacing w:after="0" w:line="360" w:lineRule="auto"/>
        <w:ind w:firstLine="480" w:firstLineChars="200"/>
        <w:jc w:val="left"/>
        <w:rPr>
          <w:rFonts w:ascii="Times New Roman" w:hAnsi="Times New Roman" w:cs="Times New Roman"/>
          <w:color w:val="auto"/>
          <w:sz w:val="24"/>
          <w:szCs w:val="24"/>
        </w:rPr>
      </w:pPr>
      <w:r>
        <w:rPr>
          <w:rFonts w:ascii="Times New Roman" w:hAnsi="Times New Roman" w:cs="Times New Roman"/>
          <w:color w:val="auto"/>
          <w:sz w:val="24"/>
          <w:szCs w:val="24"/>
        </w:rPr>
        <w:t>Threat factors in the GIS analysis can be displayed as exclusion layers or penalty scores. Urban land, woodland, water and dense scrub can all be considered unsuitable. Distance-to-edge variables can be employed to reduce the suitability near woodland, built-up areas and main roads. If the boundary data of the field are available, then the model can determine which part is inside a field and thus avoid assuming that the entire field has the same value. If the management data are unavailable, this will be noted as a limitation and partially addressed through fieldwork. Therefore, the model should return a ranked suitability map instead of just saying that all high-scoring areas are skylark habitats.</w:t>
      </w:r>
    </w:p>
    <w:p w14:paraId="703844E7">
      <w:pPr>
        <w:spacing w:after="0" w:line="360" w:lineRule="auto"/>
        <w:ind w:firstLine="480" w:firstLineChars="200"/>
        <w:jc w:val="left"/>
        <w:rPr>
          <w:rFonts w:ascii="Times New Roman" w:hAnsi="Times New Roman" w:cs="Times New Roman"/>
          <w:sz w:val="24"/>
          <w:szCs w:val="24"/>
        </w:rPr>
      </w:pPr>
      <w:r>
        <w:rPr>
          <w:rFonts w:ascii="Times New Roman" w:hAnsi="Times New Roman" w:cs="Times New Roman"/>
          <w:color w:val="auto"/>
          <w:sz w:val="24"/>
          <w:szCs w:val="24"/>
        </w:rPr>
        <w:t>Skylark management studies in recent years have also been conducting research on field structure rather than only on habitat category. Beninde and Hunke (2025) found that the density of skylarks was relatively high in winter cereal fields with skylark plots in Germany, but its actual effect varied based on other factors. More research in agriculture and the environment shows that long-term fallow farming, seed-rich options, and winter cover are particularly favourable for farmland birds (Staggenborg and Anthes, 2022). The above results are relevant to the GIS model because they show why high Phase 1 suitability should be interpreted in conjunction with management factors not fully represented in the available layers, such as crop diversity, timing of operations, and the presence of in-field plots or margins</w:t>
      </w:r>
      <w:r>
        <w:rPr>
          <w:rFonts w:ascii="Times New Roman" w:hAnsi="Times New Roman" w:cs="Times New Roman"/>
          <w:sz w:val="24"/>
          <w:szCs w:val="24"/>
        </w:rPr>
        <w:t>.</w:t>
      </w:r>
    </w:p>
    <w:p w14:paraId="6BEBDD0A">
      <w:pPr>
        <w:spacing w:after="0" w:line="360" w:lineRule="auto"/>
        <w:ind w:firstLine="480" w:firstLineChars="200"/>
        <w:jc w:val="left"/>
        <w:rPr>
          <w:rFonts w:ascii="Times New Roman" w:hAnsi="Times New Roman" w:cs="Times New Roman"/>
          <w:color w:val="auto"/>
          <w:sz w:val="24"/>
          <w:szCs w:val="24"/>
        </w:rPr>
      </w:pPr>
      <w:r>
        <w:rPr>
          <w:rFonts w:ascii="Times New Roman" w:hAnsi="Times New Roman" w:cs="Times New Roman"/>
          <w:color w:val="auto"/>
          <w:sz w:val="24"/>
          <w:szCs w:val="24"/>
        </w:rPr>
        <w:t>Additional species-specific literature has strengthened the use of habitat type and open-landscape variables in the Cardiff model. Chamberlain and Gregory (1999) found that the breeding grounds of Skylarks in the UK have habitat associations at both coarse and fine spatial scales; therefore, broad land-cover information can be used in the first stage of a GIS filter, and local field-scale changes are still identified. The BTO organic and conventional farmland report and related research in the Journal of Applied Ecology have also linked Skylark territory distribution and breeding success to farmland conditions, vegetation structure and management intensity (Wilson and Browne, 1993; Wilson et al., 1997). Copland et al. (2012) reached a similar conclusion for Irish farmland; that is to say, breeding Skylark habitat associations have direct implications for agri-environment planning. Together, these studies support using Phase 1 habitat data, open grassland or farmland categories, and field validation as the core of suitability analysis.</w:t>
      </w:r>
    </w:p>
    <w:p w14:paraId="52BE8282">
      <w:pPr>
        <w:spacing w:after="0" w:line="360" w:lineRule="auto"/>
        <w:ind w:firstLine="480" w:firstLineChars="200"/>
        <w:jc w:val="left"/>
        <w:rPr>
          <w:rFonts w:ascii="Times New Roman" w:hAnsi="Times New Roman" w:cs="Times New Roman"/>
          <w:color w:val="auto"/>
          <w:sz w:val="24"/>
          <w:szCs w:val="24"/>
        </w:rPr>
      </w:pPr>
      <w:r>
        <w:rPr>
          <w:rFonts w:ascii="Times New Roman" w:hAnsi="Times New Roman" w:cs="Times New Roman"/>
          <w:color w:val="auto"/>
          <w:sz w:val="24"/>
          <w:szCs w:val="24"/>
        </w:rPr>
        <w:t>The above study also supports the management interpretation of the GIS results. Skylark is consistently described as a species of open countryside, grassland and farmland, and this is consistent with the suitability scores assigned to open habitat classes in the model (The Wildlife Trusts). More specific studies of farmland show that the requirements for suitability are not only that the land is agricultural but also whether there is an available foraging area in the landscape and a certain degree of structural diversity. Puttmanns et al. (2022) have found that heterogeneous farmlands can offer foraging spaces for breeding Skylarks, and Ottens et al. (2014) have shown that field margins can expand the food sources for Skylarks in intensive farmland. Support for the final recommendations on field margins, reduced disturbance, winter stubble, low-intensity grassland, and survey-based refinement of the model.</w:t>
      </w:r>
    </w:p>
    <w:p w14:paraId="5541359F">
      <w:pPr>
        <w:pStyle w:val="4"/>
        <w:spacing w:before="0" w:after="0" w:line="360" w:lineRule="auto"/>
        <w:rPr>
          <w:rFonts w:ascii="Times New Roman" w:hAnsi="Times New Roman" w:cs="Times New Roman"/>
          <w:color w:val="auto"/>
          <w:sz w:val="24"/>
          <w:szCs w:val="24"/>
        </w:rPr>
      </w:pPr>
      <w:r>
        <w:rPr>
          <w:rFonts w:ascii="Times New Roman" w:hAnsi="Times New Roman" w:cs="Times New Roman"/>
          <w:color w:val="auto"/>
          <w:sz w:val="24"/>
          <w:szCs w:val="24"/>
        </w:rPr>
        <w:t>Final GIS Criteria and Scoring</w:t>
      </w:r>
    </w:p>
    <w:p w14:paraId="41B2F4E5">
      <w:pPr>
        <w:spacing w:after="0" w:line="360" w:lineRule="auto"/>
        <w:ind w:firstLine="480" w:firstLineChars="200"/>
        <w:jc w:val="left"/>
        <w:rPr>
          <w:rFonts w:ascii="Times New Roman" w:hAnsi="Times New Roman" w:cs="Times New Roman"/>
          <w:color w:val="auto"/>
          <w:sz w:val="24"/>
          <w:szCs w:val="24"/>
        </w:rPr>
      </w:pPr>
      <w:r>
        <w:rPr>
          <w:rFonts w:ascii="Times New Roman" w:hAnsi="Times New Roman" w:cs="Times New Roman"/>
          <w:color w:val="auto"/>
          <w:sz w:val="24"/>
          <w:szCs w:val="24"/>
        </w:rPr>
        <w:t>The three indices of the final model are: Phase 1 habitat suitability, distance from hedgerows, and distance from red fox presence. All the layers were reclassified to the same suitability score before running the weighted multiplication overlay. Table 1 shows the scores decided upon in the experiment.</w:t>
      </w:r>
    </w:p>
    <w:tbl>
      <w:tblPr>
        <w:tblStyle w:val="33"/>
        <w:tblW w:w="9488" w:type="dxa"/>
        <w:tblInd w:w="-8" w:type="dxa"/>
        <w:tblBorders>
          <w:top w:val="single" w:color="B8C4D6" w:sz="6" w:space="0"/>
          <w:left w:val="single" w:color="B8C4D6" w:sz="6" w:space="0"/>
          <w:bottom w:val="single" w:color="B8C4D6" w:sz="6" w:space="0"/>
          <w:right w:val="single" w:color="B8C4D6" w:sz="6" w:space="0"/>
          <w:insideH w:val="single" w:color="B8C4D6" w:sz="6" w:space="0"/>
          <w:insideV w:val="single" w:color="B8C4D6" w:sz="6" w:space="0"/>
        </w:tblBorders>
        <w:tblLayout w:type="fixed"/>
        <w:tblCellMar>
          <w:top w:w="0" w:type="dxa"/>
          <w:left w:w="108" w:type="dxa"/>
          <w:bottom w:w="0" w:type="dxa"/>
          <w:right w:w="108" w:type="dxa"/>
        </w:tblCellMar>
      </w:tblPr>
      <w:tblGrid>
        <w:gridCol w:w="2072"/>
        <w:gridCol w:w="3096"/>
        <w:gridCol w:w="928"/>
        <w:gridCol w:w="3392"/>
      </w:tblGrid>
      <w:tr w14:paraId="1F75E5B8">
        <w:trPr>
          <w:cantSplit/>
          <w:tblHeader/>
        </w:trPr>
        <w:tc>
          <w:tcPr>
            <w:tcW w:w="2072" w:type="dxa"/>
            <w:tcMar>
              <w:top w:w="80" w:type="dxa"/>
              <w:left w:w="120" w:type="dxa"/>
              <w:bottom w:w="80" w:type="dxa"/>
              <w:right w:w="120" w:type="dxa"/>
            </w:tcMar>
            <w:vAlign w:val="center"/>
          </w:tcPr>
          <w:p w14:paraId="0969D0C2">
            <w:pPr>
              <w:spacing w:after="0" w:line="240" w:lineRule="auto"/>
              <w:jc w:val="left"/>
              <w:rPr>
                <w:rFonts w:ascii="Times New Roman" w:hAnsi="Times New Roman" w:cs="Times New Roman"/>
                <w:color w:val="auto"/>
                <w:sz w:val="21"/>
                <w:szCs w:val="21"/>
              </w:rPr>
            </w:pPr>
            <w:r>
              <w:rPr>
                <w:rFonts w:ascii="Times New Roman" w:hAnsi="Times New Roman" w:cs="Times New Roman"/>
                <w:b/>
                <w:color w:val="auto"/>
                <w:sz w:val="21"/>
                <w:szCs w:val="21"/>
              </w:rPr>
              <w:t>Criterion / data layer</w:t>
            </w:r>
          </w:p>
        </w:tc>
        <w:tc>
          <w:tcPr>
            <w:tcW w:w="3096" w:type="dxa"/>
            <w:tcMar>
              <w:top w:w="80" w:type="dxa"/>
              <w:left w:w="120" w:type="dxa"/>
              <w:bottom w:w="80" w:type="dxa"/>
              <w:right w:w="120" w:type="dxa"/>
            </w:tcMar>
            <w:vAlign w:val="center"/>
          </w:tcPr>
          <w:p w14:paraId="3B7A549B">
            <w:pPr>
              <w:spacing w:after="0" w:line="240" w:lineRule="auto"/>
              <w:jc w:val="left"/>
              <w:rPr>
                <w:rFonts w:ascii="Times New Roman" w:hAnsi="Times New Roman" w:cs="Times New Roman"/>
                <w:color w:val="auto"/>
                <w:sz w:val="21"/>
                <w:szCs w:val="21"/>
              </w:rPr>
            </w:pPr>
            <w:r>
              <w:rPr>
                <w:rFonts w:ascii="Times New Roman" w:hAnsi="Times New Roman" w:cs="Times New Roman"/>
                <w:b/>
                <w:color w:val="auto"/>
                <w:sz w:val="21"/>
                <w:szCs w:val="21"/>
              </w:rPr>
              <w:t>Reclassification applied</w:t>
            </w:r>
          </w:p>
        </w:tc>
        <w:tc>
          <w:tcPr>
            <w:tcW w:w="928" w:type="dxa"/>
            <w:tcMar>
              <w:top w:w="80" w:type="dxa"/>
              <w:left w:w="120" w:type="dxa"/>
              <w:bottom w:w="80" w:type="dxa"/>
              <w:right w:w="120" w:type="dxa"/>
            </w:tcMar>
            <w:vAlign w:val="center"/>
          </w:tcPr>
          <w:p w14:paraId="5F0C85A4">
            <w:pPr>
              <w:spacing w:after="0" w:line="240" w:lineRule="auto"/>
              <w:jc w:val="left"/>
              <w:rPr>
                <w:rFonts w:ascii="Times New Roman" w:hAnsi="Times New Roman" w:cs="Times New Roman"/>
                <w:color w:val="auto"/>
                <w:sz w:val="21"/>
                <w:szCs w:val="21"/>
              </w:rPr>
            </w:pPr>
            <w:r>
              <w:rPr>
                <w:rFonts w:ascii="Times New Roman" w:hAnsi="Times New Roman" w:cs="Times New Roman"/>
                <w:b/>
                <w:color w:val="auto"/>
                <w:sz w:val="21"/>
                <w:szCs w:val="21"/>
              </w:rPr>
              <w:t>Weight</w:t>
            </w:r>
          </w:p>
        </w:tc>
        <w:tc>
          <w:tcPr>
            <w:tcW w:w="3392" w:type="dxa"/>
            <w:tcMar>
              <w:top w:w="80" w:type="dxa"/>
              <w:left w:w="120" w:type="dxa"/>
              <w:bottom w:w="80" w:type="dxa"/>
              <w:right w:w="120" w:type="dxa"/>
            </w:tcMar>
            <w:vAlign w:val="center"/>
          </w:tcPr>
          <w:p w14:paraId="7E6FBB6B">
            <w:pPr>
              <w:spacing w:after="0" w:line="240" w:lineRule="auto"/>
              <w:jc w:val="left"/>
              <w:rPr>
                <w:rFonts w:ascii="Times New Roman" w:hAnsi="Times New Roman" w:cs="Times New Roman"/>
                <w:color w:val="auto"/>
                <w:sz w:val="21"/>
                <w:szCs w:val="21"/>
              </w:rPr>
            </w:pPr>
            <w:r>
              <w:rPr>
                <w:rFonts w:ascii="Times New Roman" w:hAnsi="Times New Roman" w:cs="Times New Roman"/>
                <w:b/>
                <w:color w:val="auto"/>
                <w:sz w:val="21"/>
                <w:szCs w:val="21"/>
              </w:rPr>
              <w:t>Decision-making rationale</w:t>
            </w:r>
          </w:p>
        </w:tc>
      </w:tr>
      <w:tr w14:paraId="530E3941">
        <w:trPr>
          <w:cantSplit/>
        </w:trPr>
        <w:tc>
          <w:tcPr>
            <w:tcW w:w="2072" w:type="dxa"/>
            <w:tcMar>
              <w:top w:w="80" w:type="dxa"/>
              <w:left w:w="120" w:type="dxa"/>
              <w:bottom w:w="80" w:type="dxa"/>
              <w:right w:w="120" w:type="dxa"/>
            </w:tcMar>
            <w:vAlign w:val="center"/>
          </w:tcPr>
          <w:p w14:paraId="08FA826A">
            <w:pPr>
              <w:spacing w:after="0" w:line="240" w:lineRule="auto"/>
              <w:jc w:val="left"/>
              <w:rPr>
                <w:rFonts w:ascii="Times New Roman" w:hAnsi="Times New Roman" w:cs="Times New Roman"/>
                <w:color w:val="auto"/>
                <w:sz w:val="21"/>
                <w:szCs w:val="21"/>
              </w:rPr>
            </w:pPr>
            <w:r>
              <w:rPr>
                <w:rFonts w:ascii="Times New Roman" w:hAnsi="Times New Roman" w:cs="Times New Roman"/>
                <w:color w:val="auto"/>
                <w:sz w:val="21"/>
                <w:szCs w:val="21"/>
              </w:rPr>
              <w:t>Phase 1 habitat suitability</w:t>
            </w:r>
          </w:p>
        </w:tc>
        <w:tc>
          <w:tcPr>
            <w:tcW w:w="3096" w:type="dxa"/>
            <w:tcMar>
              <w:top w:w="80" w:type="dxa"/>
              <w:left w:w="120" w:type="dxa"/>
              <w:bottom w:w="80" w:type="dxa"/>
              <w:right w:w="120" w:type="dxa"/>
            </w:tcMar>
            <w:vAlign w:val="center"/>
          </w:tcPr>
          <w:p w14:paraId="0D69C353">
            <w:pPr>
              <w:spacing w:after="0" w:line="240" w:lineRule="auto"/>
              <w:jc w:val="left"/>
              <w:rPr>
                <w:rFonts w:ascii="Times New Roman" w:hAnsi="Times New Roman" w:cs="Times New Roman"/>
                <w:color w:val="auto"/>
                <w:sz w:val="21"/>
                <w:szCs w:val="21"/>
              </w:rPr>
            </w:pPr>
            <w:r>
              <w:rPr>
                <w:rFonts w:ascii="Times New Roman" w:hAnsi="Times New Roman" w:cs="Times New Roman"/>
                <w:color w:val="auto"/>
                <w:sz w:val="21"/>
                <w:szCs w:val="21"/>
              </w:rPr>
              <w:t>0 = not suitable; 1 = poor; 2 = moderate; 3 = good. Higher scores were assigned to open grassland, rough grassland, arable and open mosaic classes. Woodland, dense scrub, water, built-up land and unsuitable artificial surfaces were set low or zero.</w:t>
            </w:r>
          </w:p>
        </w:tc>
        <w:tc>
          <w:tcPr>
            <w:tcW w:w="928" w:type="dxa"/>
            <w:tcMar>
              <w:top w:w="80" w:type="dxa"/>
              <w:left w:w="120" w:type="dxa"/>
              <w:bottom w:w="80" w:type="dxa"/>
              <w:right w:w="120" w:type="dxa"/>
            </w:tcMar>
            <w:vAlign w:val="center"/>
          </w:tcPr>
          <w:p w14:paraId="2D76FE14">
            <w:pPr>
              <w:spacing w:after="0" w:line="240" w:lineRule="auto"/>
              <w:jc w:val="left"/>
              <w:rPr>
                <w:rFonts w:ascii="Times New Roman" w:hAnsi="Times New Roman" w:cs="Times New Roman"/>
                <w:color w:val="auto"/>
                <w:sz w:val="21"/>
                <w:szCs w:val="21"/>
              </w:rPr>
            </w:pPr>
            <w:r>
              <w:rPr>
                <w:rFonts w:ascii="Times New Roman" w:hAnsi="Times New Roman" w:cs="Times New Roman"/>
                <w:color w:val="auto"/>
                <w:sz w:val="21"/>
                <w:szCs w:val="21"/>
              </w:rPr>
              <w:t>0.5</w:t>
            </w:r>
          </w:p>
        </w:tc>
        <w:tc>
          <w:tcPr>
            <w:tcW w:w="3392" w:type="dxa"/>
            <w:tcMar>
              <w:top w:w="80" w:type="dxa"/>
              <w:left w:w="120" w:type="dxa"/>
              <w:bottom w:w="80" w:type="dxa"/>
              <w:right w:w="120" w:type="dxa"/>
            </w:tcMar>
            <w:vAlign w:val="center"/>
          </w:tcPr>
          <w:p w14:paraId="48FDFE36">
            <w:pPr>
              <w:spacing w:after="0" w:line="240" w:lineRule="auto"/>
              <w:jc w:val="left"/>
              <w:rPr>
                <w:rFonts w:ascii="Times New Roman" w:hAnsi="Times New Roman" w:cs="Times New Roman"/>
                <w:color w:val="auto"/>
                <w:sz w:val="21"/>
                <w:szCs w:val="21"/>
              </w:rPr>
            </w:pPr>
            <w:r>
              <w:rPr>
                <w:rFonts w:ascii="Times New Roman" w:hAnsi="Times New Roman" w:cs="Times New Roman"/>
                <w:color w:val="auto"/>
                <w:sz w:val="21"/>
                <w:szCs w:val="21"/>
              </w:rPr>
              <w:t>Core ecological constraint because skylarks require open ground for nesting and nearby foraging. Unsuitable habitat cannot become suitable only because a distance variable is favourable.</w:t>
            </w:r>
          </w:p>
        </w:tc>
      </w:tr>
      <w:tr w14:paraId="625B7E13">
        <w:trPr>
          <w:cantSplit/>
        </w:trPr>
        <w:tc>
          <w:tcPr>
            <w:tcW w:w="2072" w:type="dxa"/>
            <w:tcMar>
              <w:top w:w="80" w:type="dxa"/>
              <w:left w:w="120" w:type="dxa"/>
              <w:bottom w:w="80" w:type="dxa"/>
              <w:right w:w="120" w:type="dxa"/>
            </w:tcMar>
            <w:vAlign w:val="center"/>
          </w:tcPr>
          <w:p w14:paraId="63B75212">
            <w:pPr>
              <w:spacing w:after="0" w:line="240" w:lineRule="auto"/>
              <w:jc w:val="left"/>
              <w:rPr>
                <w:rFonts w:ascii="Times New Roman" w:hAnsi="Times New Roman" w:cs="Times New Roman"/>
                <w:color w:val="auto"/>
                <w:sz w:val="21"/>
                <w:szCs w:val="21"/>
              </w:rPr>
            </w:pPr>
            <w:r>
              <w:rPr>
                <w:rFonts w:ascii="Times New Roman" w:hAnsi="Times New Roman" w:cs="Times New Roman"/>
                <w:color w:val="auto"/>
                <w:sz w:val="21"/>
                <w:szCs w:val="21"/>
              </w:rPr>
              <w:t>Distance from hedgerows</w:t>
            </w:r>
          </w:p>
        </w:tc>
        <w:tc>
          <w:tcPr>
            <w:tcW w:w="3096" w:type="dxa"/>
            <w:tcMar>
              <w:top w:w="80" w:type="dxa"/>
              <w:left w:w="120" w:type="dxa"/>
              <w:bottom w:w="80" w:type="dxa"/>
              <w:right w:w="120" w:type="dxa"/>
            </w:tcMar>
            <w:vAlign w:val="center"/>
          </w:tcPr>
          <w:p w14:paraId="0AD4661E">
            <w:pPr>
              <w:spacing w:after="0" w:line="240" w:lineRule="auto"/>
              <w:jc w:val="left"/>
              <w:rPr>
                <w:rFonts w:ascii="Times New Roman" w:hAnsi="Times New Roman" w:cs="Times New Roman"/>
                <w:color w:val="auto"/>
                <w:sz w:val="21"/>
                <w:szCs w:val="21"/>
              </w:rPr>
            </w:pPr>
            <w:r>
              <w:rPr>
                <w:rFonts w:ascii="Times New Roman" w:hAnsi="Times New Roman" w:cs="Times New Roman"/>
                <w:color w:val="auto"/>
                <w:sz w:val="21"/>
                <w:szCs w:val="21"/>
              </w:rPr>
              <w:t>The hedgerow distance raster was reclassified as 0-10 m = 1, 10-100 m = 2 and more than 100 m = 1.</w:t>
            </w:r>
          </w:p>
        </w:tc>
        <w:tc>
          <w:tcPr>
            <w:tcW w:w="928" w:type="dxa"/>
            <w:tcMar>
              <w:top w:w="80" w:type="dxa"/>
              <w:left w:w="120" w:type="dxa"/>
              <w:bottom w:w="80" w:type="dxa"/>
              <w:right w:w="120" w:type="dxa"/>
            </w:tcMar>
            <w:vAlign w:val="center"/>
          </w:tcPr>
          <w:p w14:paraId="115E3DC1">
            <w:pPr>
              <w:spacing w:after="0" w:line="240" w:lineRule="auto"/>
              <w:jc w:val="left"/>
              <w:rPr>
                <w:rFonts w:ascii="Times New Roman" w:hAnsi="Times New Roman" w:cs="Times New Roman"/>
                <w:color w:val="auto"/>
                <w:sz w:val="21"/>
                <w:szCs w:val="21"/>
              </w:rPr>
            </w:pPr>
            <w:r>
              <w:rPr>
                <w:rFonts w:ascii="Times New Roman" w:hAnsi="Times New Roman" w:cs="Times New Roman"/>
                <w:color w:val="auto"/>
                <w:sz w:val="21"/>
                <w:szCs w:val="21"/>
              </w:rPr>
              <w:t>0.3</w:t>
            </w:r>
          </w:p>
        </w:tc>
        <w:tc>
          <w:tcPr>
            <w:tcW w:w="3392" w:type="dxa"/>
            <w:tcMar>
              <w:top w:w="80" w:type="dxa"/>
              <w:left w:w="120" w:type="dxa"/>
              <w:bottom w:w="80" w:type="dxa"/>
              <w:right w:w="120" w:type="dxa"/>
            </w:tcMar>
            <w:vAlign w:val="center"/>
          </w:tcPr>
          <w:p w14:paraId="6773D912">
            <w:pPr>
              <w:spacing w:after="0" w:line="240" w:lineRule="auto"/>
              <w:jc w:val="left"/>
              <w:rPr>
                <w:rFonts w:ascii="Times New Roman" w:hAnsi="Times New Roman" w:cs="Times New Roman"/>
                <w:color w:val="auto"/>
                <w:sz w:val="21"/>
                <w:szCs w:val="21"/>
              </w:rPr>
            </w:pPr>
            <w:r>
              <w:rPr>
                <w:rFonts w:ascii="Times New Roman" w:hAnsi="Times New Roman" w:cs="Times New Roman"/>
                <w:color w:val="auto"/>
                <w:sz w:val="21"/>
                <w:szCs w:val="21"/>
              </w:rPr>
              <w:t>Represents field-edge and vertical-feature effects. The intermediate band avoids the immediate hedgerow edge while remaining within an open field landscape.</w:t>
            </w:r>
          </w:p>
        </w:tc>
      </w:tr>
      <w:tr w14:paraId="296470F9">
        <w:trPr>
          <w:cantSplit/>
        </w:trPr>
        <w:tc>
          <w:tcPr>
            <w:tcW w:w="2072" w:type="dxa"/>
            <w:tcMar>
              <w:top w:w="80" w:type="dxa"/>
              <w:left w:w="120" w:type="dxa"/>
              <w:bottom w:w="80" w:type="dxa"/>
              <w:right w:w="120" w:type="dxa"/>
            </w:tcMar>
            <w:vAlign w:val="center"/>
          </w:tcPr>
          <w:p w14:paraId="6B008660">
            <w:pPr>
              <w:spacing w:after="0" w:line="240" w:lineRule="auto"/>
              <w:jc w:val="left"/>
              <w:rPr>
                <w:rFonts w:ascii="Times New Roman" w:hAnsi="Times New Roman" w:cs="Times New Roman"/>
                <w:color w:val="auto"/>
                <w:sz w:val="21"/>
                <w:szCs w:val="21"/>
              </w:rPr>
            </w:pPr>
            <w:r>
              <w:rPr>
                <w:rFonts w:ascii="Times New Roman" w:hAnsi="Times New Roman" w:cs="Times New Roman"/>
                <w:color w:val="auto"/>
                <w:sz w:val="21"/>
                <w:szCs w:val="21"/>
              </w:rPr>
              <w:t>Distance from red fox presence</w:t>
            </w:r>
          </w:p>
        </w:tc>
        <w:tc>
          <w:tcPr>
            <w:tcW w:w="3096" w:type="dxa"/>
            <w:tcMar>
              <w:top w:w="80" w:type="dxa"/>
              <w:left w:w="120" w:type="dxa"/>
              <w:bottom w:w="80" w:type="dxa"/>
              <w:right w:w="120" w:type="dxa"/>
            </w:tcMar>
            <w:vAlign w:val="center"/>
          </w:tcPr>
          <w:p w14:paraId="0E300B29">
            <w:pPr>
              <w:spacing w:after="0" w:line="240" w:lineRule="auto"/>
              <w:jc w:val="left"/>
              <w:rPr>
                <w:rFonts w:ascii="Times New Roman" w:hAnsi="Times New Roman" w:cs="Times New Roman"/>
                <w:color w:val="auto"/>
                <w:sz w:val="21"/>
                <w:szCs w:val="21"/>
              </w:rPr>
            </w:pPr>
            <w:r>
              <w:rPr>
                <w:rFonts w:ascii="Times New Roman" w:hAnsi="Times New Roman" w:cs="Times New Roman"/>
                <w:color w:val="auto"/>
                <w:sz w:val="21"/>
                <w:szCs w:val="21"/>
              </w:rPr>
              <w:t>The red fox proximity raster was reclassified as 0-500 m = 0, 500-1000 m = 1, 1000-2000 m = 2 and more than 2000 m = 3.</w:t>
            </w:r>
          </w:p>
        </w:tc>
        <w:tc>
          <w:tcPr>
            <w:tcW w:w="928" w:type="dxa"/>
            <w:tcMar>
              <w:top w:w="80" w:type="dxa"/>
              <w:left w:w="120" w:type="dxa"/>
              <w:bottom w:w="80" w:type="dxa"/>
              <w:right w:w="120" w:type="dxa"/>
            </w:tcMar>
            <w:vAlign w:val="center"/>
          </w:tcPr>
          <w:p w14:paraId="6428E827">
            <w:pPr>
              <w:spacing w:after="0" w:line="240" w:lineRule="auto"/>
              <w:jc w:val="left"/>
              <w:rPr>
                <w:rFonts w:ascii="Times New Roman" w:hAnsi="Times New Roman" w:cs="Times New Roman"/>
                <w:color w:val="auto"/>
                <w:sz w:val="21"/>
                <w:szCs w:val="21"/>
              </w:rPr>
            </w:pPr>
            <w:r>
              <w:rPr>
                <w:rFonts w:ascii="Times New Roman" w:hAnsi="Times New Roman" w:cs="Times New Roman"/>
                <w:color w:val="auto"/>
                <w:sz w:val="21"/>
                <w:szCs w:val="21"/>
              </w:rPr>
              <w:t>0.2</w:t>
            </w:r>
          </w:p>
        </w:tc>
        <w:tc>
          <w:tcPr>
            <w:tcW w:w="3392" w:type="dxa"/>
            <w:tcMar>
              <w:top w:w="80" w:type="dxa"/>
              <w:left w:w="120" w:type="dxa"/>
              <w:bottom w:w="80" w:type="dxa"/>
              <w:right w:w="120" w:type="dxa"/>
            </w:tcMar>
            <w:vAlign w:val="center"/>
          </w:tcPr>
          <w:p w14:paraId="105F0C38">
            <w:pPr>
              <w:spacing w:after="0" w:line="240" w:lineRule="auto"/>
              <w:jc w:val="left"/>
              <w:rPr>
                <w:rFonts w:ascii="Times New Roman" w:hAnsi="Times New Roman" w:cs="Times New Roman"/>
                <w:color w:val="auto"/>
                <w:sz w:val="21"/>
                <w:szCs w:val="21"/>
              </w:rPr>
            </w:pPr>
            <w:r>
              <w:rPr>
                <w:rFonts w:ascii="Times New Roman" w:hAnsi="Times New Roman" w:cs="Times New Roman"/>
                <w:color w:val="auto"/>
                <w:sz w:val="21"/>
                <w:szCs w:val="21"/>
              </w:rPr>
              <w:t>Acts as a predation-risk penalty. Suitability increases with distance from recorded red fox presence.</w:t>
            </w:r>
          </w:p>
        </w:tc>
      </w:tr>
      <w:tr w14:paraId="3FF7780D">
        <w:trPr>
          <w:cantSplit/>
        </w:trPr>
        <w:tc>
          <w:tcPr>
            <w:tcW w:w="2072" w:type="dxa"/>
            <w:tcMar>
              <w:top w:w="80" w:type="dxa"/>
              <w:left w:w="120" w:type="dxa"/>
              <w:bottom w:w="80" w:type="dxa"/>
              <w:right w:w="120" w:type="dxa"/>
            </w:tcMar>
            <w:vAlign w:val="center"/>
          </w:tcPr>
          <w:p w14:paraId="0D4ED5E1">
            <w:pPr>
              <w:spacing w:after="0" w:line="240" w:lineRule="auto"/>
              <w:jc w:val="left"/>
              <w:rPr>
                <w:rFonts w:ascii="Times New Roman" w:hAnsi="Times New Roman" w:cs="Times New Roman"/>
                <w:color w:val="auto"/>
                <w:sz w:val="21"/>
                <w:szCs w:val="21"/>
              </w:rPr>
            </w:pPr>
            <w:r>
              <w:rPr>
                <w:rFonts w:ascii="Times New Roman" w:hAnsi="Times New Roman" w:cs="Times New Roman"/>
                <w:color w:val="auto"/>
                <w:sz w:val="21"/>
                <w:szCs w:val="21"/>
              </w:rPr>
              <w:t>Combined suitability calculation</w:t>
            </w:r>
          </w:p>
        </w:tc>
        <w:tc>
          <w:tcPr>
            <w:tcW w:w="3096" w:type="dxa"/>
            <w:tcMar>
              <w:top w:w="80" w:type="dxa"/>
              <w:left w:w="120" w:type="dxa"/>
              <w:bottom w:w="80" w:type="dxa"/>
              <w:right w:w="120" w:type="dxa"/>
            </w:tcMar>
            <w:vAlign w:val="center"/>
          </w:tcPr>
          <w:p w14:paraId="246FCEEA">
            <w:pPr>
              <w:spacing w:after="0" w:line="240" w:lineRule="auto"/>
              <w:jc w:val="left"/>
              <w:rPr>
                <w:rFonts w:ascii="Times New Roman" w:hAnsi="Times New Roman" w:cs="Times New Roman"/>
                <w:color w:val="auto"/>
                <w:sz w:val="21"/>
                <w:szCs w:val="21"/>
              </w:rPr>
            </w:pPr>
            <w:r>
              <w:rPr>
                <w:rFonts w:ascii="Times New Roman" w:hAnsi="Times New Roman" w:cs="Times New Roman"/>
                <w:color w:val="auto"/>
                <w:sz w:val="21"/>
                <w:szCs w:val="21"/>
              </w:rPr>
              <w:t>Final suitability = (Phase 1 score x 0.5) x (hedgerow score x 0.3) x (red fox score x 0.2). The maximum possible score was therefore 0.54.</w:t>
            </w:r>
          </w:p>
        </w:tc>
        <w:tc>
          <w:tcPr>
            <w:tcW w:w="928" w:type="dxa"/>
            <w:tcMar>
              <w:top w:w="80" w:type="dxa"/>
              <w:left w:w="120" w:type="dxa"/>
              <w:bottom w:w="80" w:type="dxa"/>
              <w:right w:w="120" w:type="dxa"/>
            </w:tcMar>
            <w:vAlign w:val="center"/>
          </w:tcPr>
          <w:p w14:paraId="7061A6FE">
            <w:pPr>
              <w:spacing w:after="0" w:line="240" w:lineRule="auto"/>
              <w:jc w:val="left"/>
              <w:rPr>
                <w:rFonts w:ascii="Times New Roman" w:hAnsi="Times New Roman" w:cs="Times New Roman"/>
                <w:color w:val="auto"/>
                <w:sz w:val="21"/>
                <w:szCs w:val="21"/>
              </w:rPr>
            </w:pPr>
            <w:r>
              <w:rPr>
                <w:rFonts w:ascii="Times New Roman" w:hAnsi="Times New Roman" w:cs="Times New Roman"/>
                <w:color w:val="auto"/>
                <w:sz w:val="21"/>
                <w:szCs w:val="21"/>
              </w:rPr>
              <w:t>n/a</w:t>
            </w:r>
          </w:p>
        </w:tc>
        <w:tc>
          <w:tcPr>
            <w:tcW w:w="3392" w:type="dxa"/>
            <w:tcMar>
              <w:top w:w="80" w:type="dxa"/>
              <w:left w:w="120" w:type="dxa"/>
              <w:bottom w:w="80" w:type="dxa"/>
              <w:right w:w="120" w:type="dxa"/>
            </w:tcMar>
            <w:vAlign w:val="center"/>
          </w:tcPr>
          <w:p w14:paraId="6D50631E">
            <w:pPr>
              <w:spacing w:after="0" w:line="240" w:lineRule="auto"/>
              <w:jc w:val="left"/>
              <w:rPr>
                <w:rFonts w:ascii="Times New Roman" w:hAnsi="Times New Roman" w:cs="Times New Roman"/>
                <w:color w:val="auto"/>
                <w:sz w:val="21"/>
                <w:szCs w:val="21"/>
              </w:rPr>
            </w:pPr>
            <w:r>
              <w:rPr>
                <w:rFonts w:ascii="Times New Roman" w:hAnsi="Times New Roman" w:cs="Times New Roman"/>
                <w:color w:val="auto"/>
                <w:sz w:val="21"/>
                <w:szCs w:val="21"/>
              </w:rPr>
              <w:t>A conservative product model. A zero or very low score in one ecological constraint strongly reduces the final output.</w:t>
            </w:r>
          </w:p>
        </w:tc>
      </w:tr>
    </w:tbl>
    <w:p w14:paraId="13C551D5">
      <w:pPr>
        <w:spacing w:after="0" w:line="360" w:lineRule="auto"/>
        <w:rPr>
          <w:rFonts w:ascii="Times New Roman" w:hAnsi="Times New Roman" w:cs="Times New Roman"/>
          <w:color w:val="auto"/>
          <w:sz w:val="24"/>
          <w:szCs w:val="24"/>
        </w:rPr>
      </w:pPr>
    </w:p>
    <w:p w14:paraId="13E11A52">
      <w:pPr>
        <w:pStyle w:val="3"/>
        <w:spacing w:before="0" w:after="0" w:line="360" w:lineRule="auto"/>
        <w:rPr>
          <w:rFonts w:ascii="Times New Roman" w:hAnsi="Times New Roman" w:cs="Times New Roman"/>
          <w:color w:val="auto"/>
          <w:sz w:val="24"/>
          <w:szCs w:val="24"/>
        </w:rPr>
      </w:pPr>
      <w:bookmarkStart w:id="4" w:name="_Toc660364942"/>
      <w:r>
        <w:rPr>
          <w:rFonts w:ascii="Times New Roman" w:hAnsi="Times New Roman" w:cs="Times New Roman"/>
          <w:color w:val="auto"/>
          <w:sz w:val="24"/>
          <w:szCs w:val="24"/>
        </w:rPr>
        <w:t>Completed GIS Workflow and Overlay Method</w:t>
      </w:r>
      <w:bookmarkEnd w:id="4"/>
    </w:p>
    <w:p w14:paraId="13956973">
      <w:pPr>
        <w:spacing w:after="0" w:line="360" w:lineRule="auto"/>
        <w:ind w:firstLine="480" w:firstLineChars="200"/>
        <w:jc w:val="left"/>
        <w:rPr>
          <w:rFonts w:ascii="Times New Roman" w:hAnsi="Times New Roman" w:cs="Times New Roman"/>
          <w:color w:val="auto"/>
          <w:sz w:val="24"/>
          <w:szCs w:val="24"/>
        </w:rPr>
      </w:pPr>
      <w:r>
        <w:rPr>
          <w:rFonts w:ascii="Times New Roman" w:hAnsi="Times New Roman" w:cs="Times New Roman"/>
          <w:color w:val="auto"/>
          <w:sz w:val="24"/>
          <w:szCs w:val="24"/>
        </w:rPr>
        <w:t>Cardiff was chosen as the area of study for the GIS workflow in QGIS. Clip the input layers to the Cardiff boundary and treat them as equivalent spatial layers for reclassification. The Phase 1 habitat layer is a broad-scale ecological suitability of the land cover. A distance band was added to show the field-edge effect of the hedgerow layer spatially. The presence layer of the red fox was also converted into distance bands, and proximity to a potential nest predator could be used as a penalty term in the model.</w:t>
      </w:r>
    </w:p>
    <w:p w14:paraId="65FB2929">
      <w:pPr>
        <w:spacing w:after="0" w:line="360" w:lineRule="auto"/>
        <w:ind w:firstLine="480" w:firstLineChars="200"/>
        <w:jc w:val="left"/>
        <w:rPr>
          <w:rFonts w:ascii="Times New Roman" w:hAnsi="Times New Roman" w:cs="Times New Roman"/>
          <w:color w:val="auto"/>
          <w:sz w:val="24"/>
          <w:szCs w:val="24"/>
        </w:rPr>
      </w:pPr>
      <w:r>
        <w:rPr>
          <w:rFonts w:ascii="Times New Roman" w:hAnsi="Times New Roman" w:cs="Times New Roman"/>
          <w:color w:val="auto"/>
          <w:sz w:val="24"/>
          <w:szCs w:val="24"/>
        </w:rPr>
        <w:t>Normalise the indicator by converting it into a suitability score instead of using its original units. Habitat codes, hedgerow distances and fox distances are not the same; therefore, this is required. Standardisation has made the decisions clearer, and now the model shows not only where the data is located but also what it considers to be an ecological judgement of skylark habitat suitability for each dataset. Suitability modelling combines individual criteria to construct an all-encompassing suitability map through such integration (Berry, 2004; Malczewski, 2004).</w:t>
      </w:r>
    </w:p>
    <w:p w14:paraId="6F66E634">
      <w:pPr>
        <w:spacing w:after="0" w:line="360" w:lineRule="auto"/>
        <w:ind w:firstLine="480" w:firstLineChars="200"/>
        <w:jc w:val="left"/>
        <w:rPr>
          <w:rFonts w:ascii="Times New Roman" w:hAnsi="Times New Roman" w:cs="Times New Roman"/>
          <w:color w:val="auto"/>
          <w:sz w:val="24"/>
          <w:szCs w:val="24"/>
        </w:rPr>
      </w:pPr>
      <w:r>
        <w:rPr>
          <w:rFonts w:ascii="Times New Roman" w:hAnsi="Times New Roman" w:cs="Times New Roman"/>
          <w:color w:val="auto"/>
          <w:sz w:val="24"/>
          <w:szCs w:val="24"/>
        </w:rPr>
        <w:t>Finally, a multiplier was employed in the overlay instead of direct addition. Skylark is only suitable when many of these conditions are met simultaneously, so it was not selected on purpose. If a cell had a high Phase 1 habitat score but was very close to a red fox area, then the final score was reduced. If a cell had a score of zero in one layer, then the final multiplied score would also be zero. Therefore, the model is relatively conservative, but it is suitable for habitat management because it does not conceal a serious ecological deficiency with a single favourable factor.</w:t>
      </w:r>
    </w:p>
    <w:p w14:paraId="599A50B3">
      <w:pPr>
        <w:spacing w:after="0" w:line="360" w:lineRule="auto"/>
        <w:ind w:firstLine="480" w:firstLineChars="200"/>
        <w:jc w:val="left"/>
        <w:rPr>
          <w:rFonts w:ascii="Times New Roman" w:hAnsi="Times New Roman" w:cs="Times New Roman"/>
          <w:color w:val="auto"/>
          <w:sz w:val="24"/>
          <w:szCs w:val="24"/>
        </w:rPr>
      </w:pPr>
      <w:r>
        <w:rPr>
          <w:rFonts w:ascii="Times New Roman" w:hAnsi="Times New Roman" w:cs="Times New Roman"/>
          <w:color w:val="auto"/>
          <w:sz w:val="24"/>
          <w:szCs w:val="24"/>
        </w:rPr>
        <w:t>Field verification of the map as proof of skylark settlement has not yet been carried out. The current output should be added to the high-priority list for the next round of surveys and management.</w:t>
      </w:r>
    </w:p>
    <w:p w14:paraId="369EE92C">
      <w:pPr>
        <w:spacing w:after="0" w:line="360" w:lineRule="auto"/>
        <w:ind w:firstLine="480" w:firstLineChars="200"/>
        <w:jc w:val="left"/>
        <w:rPr>
          <w:rFonts w:ascii="Times New Roman" w:hAnsi="Times New Roman" w:cs="Times New Roman"/>
          <w:color w:val="auto"/>
          <w:sz w:val="24"/>
          <w:szCs w:val="24"/>
        </w:rPr>
      </w:pPr>
      <w:r>
        <w:rPr>
          <w:rFonts w:ascii="Times New Roman" w:hAnsi="Times New Roman" w:cs="Times New Roman"/>
          <w:color w:val="auto"/>
          <w:sz w:val="24"/>
          <w:szCs w:val="24"/>
        </w:rPr>
        <w:t xml:space="preserve">The Red Fox Layer should also be handled with the same care. The model uses red fox presence as a spatial proxy for predation risk, but occurrence records in biodiversity databases are not systematic predator-density surveys. The NBN Atlas guidance notes that the occurrence records come from several data partners and datasets, so when these are used in analysis, issues of attribution, licence and recording effort need to be taken into account (NBN Trust, 2026). Therefore, the red fox layer in this report serves as a general warning indicator of high predation pressure and is not evidence that all areas with low scores are subject to such high predation. </w:t>
      </w:r>
    </w:p>
    <w:p w14:paraId="75AFB182">
      <w:pPr>
        <w:spacing w:after="0" w:line="360" w:lineRule="auto"/>
        <w:jc w:val="left"/>
        <w:rPr>
          <w:rFonts w:ascii="Times New Roman" w:hAnsi="Times New Roman" w:cs="Times New Roman"/>
          <w:color w:val="auto"/>
          <w:sz w:val="24"/>
          <w:szCs w:val="24"/>
        </w:rPr>
      </w:pPr>
    </w:p>
    <w:p w14:paraId="08CE5682">
      <w:pPr>
        <w:spacing w:after="0" w:line="360" w:lineRule="auto"/>
        <w:jc w:val="left"/>
        <w:rPr>
          <w:rFonts w:ascii="Times New Roman" w:hAnsi="Times New Roman" w:cs="Times New Roman"/>
          <w:color w:val="auto"/>
          <w:sz w:val="24"/>
          <w:szCs w:val="24"/>
        </w:rPr>
      </w:pPr>
    </w:p>
    <w:p w14:paraId="6C0C1434">
      <w:pPr>
        <w:spacing w:after="0" w:line="360" w:lineRule="auto"/>
        <w:jc w:val="left"/>
        <w:rPr>
          <w:rFonts w:ascii="Times New Roman" w:hAnsi="Times New Roman" w:cs="Times New Roman"/>
          <w:color w:val="auto"/>
          <w:sz w:val="24"/>
          <w:szCs w:val="24"/>
        </w:rPr>
      </w:pPr>
    </w:p>
    <w:p w14:paraId="7223EFE0">
      <w:pPr>
        <w:spacing w:after="0" w:line="360" w:lineRule="auto"/>
        <w:jc w:val="left"/>
        <w:rPr>
          <w:rFonts w:ascii="Times New Roman" w:hAnsi="Times New Roman" w:cs="Times New Roman"/>
          <w:color w:val="auto"/>
          <w:sz w:val="24"/>
          <w:szCs w:val="24"/>
        </w:rPr>
      </w:pPr>
    </w:p>
    <w:p w14:paraId="3B9B74BD">
      <w:pPr>
        <w:spacing w:after="0" w:line="360" w:lineRule="auto"/>
        <w:jc w:val="left"/>
        <w:rPr>
          <w:rFonts w:ascii="Times New Roman" w:hAnsi="Times New Roman" w:cs="Times New Roman"/>
          <w:color w:val="auto"/>
          <w:sz w:val="24"/>
          <w:szCs w:val="24"/>
        </w:rPr>
      </w:pPr>
    </w:p>
    <w:p w14:paraId="2169CFD2">
      <w:pPr>
        <w:spacing w:after="0" w:line="360" w:lineRule="auto"/>
        <w:jc w:val="left"/>
        <w:rPr>
          <w:rFonts w:ascii="Times New Roman" w:hAnsi="Times New Roman" w:cs="Times New Roman"/>
          <w:color w:val="auto"/>
          <w:sz w:val="24"/>
          <w:szCs w:val="24"/>
        </w:rPr>
      </w:pPr>
    </w:p>
    <w:p w14:paraId="5D927E61">
      <w:pPr>
        <w:spacing w:after="0" w:line="360" w:lineRule="auto"/>
        <w:jc w:val="left"/>
        <w:rPr>
          <w:rFonts w:ascii="Times New Roman" w:hAnsi="Times New Roman" w:cs="Times New Roman"/>
          <w:color w:val="auto"/>
          <w:sz w:val="24"/>
          <w:szCs w:val="24"/>
        </w:rPr>
      </w:pPr>
    </w:p>
    <w:p w14:paraId="21D616AE">
      <w:pPr>
        <w:spacing w:after="0" w:line="360" w:lineRule="auto"/>
        <w:jc w:val="left"/>
        <w:rPr>
          <w:rFonts w:ascii="Times New Roman" w:hAnsi="Times New Roman" w:cs="Times New Roman"/>
          <w:color w:val="auto"/>
          <w:sz w:val="24"/>
          <w:szCs w:val="24"/>
        </w:rPr>
      </w:pPr>
    </w:p>
    <w:p w14:paraId="5A63225A">
      <w:pPr>
        <w:spacing w:after="0" w:line="360" w:lineRule="auto"/>
        <w:jc w:val="left"/>
        <w:rPr>
          <w:rFonts w:ascii="Times New Roman" w:hAnsi="Times New Roman" w:cs="Times New Roman"/>
          <w:color w:val="auto"/>
          <w:sz w:val="24"/>
          <w:szCs w:val="24"/>
        </w:rPr>
      </w:pPr>
    </w:p>
    <w:p w14:paraId="7B905D48">
      <w:pPr>
        <w:spacing w:after="0" w:line="360" w:lineRule="auto"/>
        <w:jc w:val="left"/>
        <w:rPr>
          <w:rFonts w:ascii="Times New Roman" w:hAnsi="Times New Roman" w:cs="Times New Roman"/>
          <w:color w:val="auto"/>
          <w:sz w:val="24"/>
          <w:szCs w:val="24"/>
        </w:rPr>
      </w:pPr>
    </w:p>
    <w:p w14:paraId="510C318F">
      <w:pPr>
        <w:spacing w:after="0" w:line="360" w:lineRule="auto"/>
        <w:jc w:val="left"/>
        <w:rPr>
          <w:rFonts w:ascii="Times New Roman" w:hAnsi="Times New Roman" w:cs="Times New Roman"/>
          <w:color w:val="auto"/>
          <w:sz w:val="24"/>
          <w:szCs w:val="24"/>
        </w:rPr>
      </w:pPr>
    </w:p>
    <w:p w14:paraId="384BED6C">
      <w:pPr>
        <w:spacing w:after="0" w:line="360" w:lineRule="auto"/>
        <w:jc w:val="left"/>
        <w:rPr>
          <w:rFonts w:ascii="Times New Roman" w:hAnsi="Times New Roman" w:cs="Times New Roman"/>
          <w:color w:val="auto"/>
          <w:sz w:val="24"/>
          <w:szCs w:val="24"/>
        </w:rPr>
      </w:pPr>
    </w:p>
    <w:p w14:paraId="720B842C">
      <w:pPr>
        <w:spacing w:after="0" w:line="360" w:lineRule="auto"/>
        <w:jc w:val="left"/>
        <w:rPr>
          <w:rFonts w:ascii="Times New Roman" w:hAnsi="Times New Roman" w:cs="Times New Roman"/>
          <w:color w:val="auto"/>
          <w:sz w:val="24"/>
          <w:szCs w:val="24"/>
        </w:rPr>
      </w:pPr>
    </w:p>
    <w:p w14:paraId="485B33B2">
      <w:pPr>
        <w:spacing w:after="0" w:line="360" w:lineRule="auto"/>
        <w:jc w:val="left"/>
        <w:rPr>
          <w:rFonts w:hint="default" w:ascii="Times New Roman Bold" w:hAnsi="Times New Roman Bold" w:cs="Times New Roman Bold"/>
          <w:b/>
          <w:bCs/>
          <w:color w:val="auto"/>
          <w:sz w:val="24"/>
          <w:szCs w:val="24"/>
        </w:rPr>
      </w:pPr>
      <w:r>
        <w:rPr>
          <w:rFonts w:hint="default" w:ascii="Times New Roman Bold" w:hAnsi="Times New Roman Bold" w:cs="Times New Roman Bold"/>
          <w:b/>
          <w:bCs/>
          <w:color w:val="auto"/>
          <w:sz w:val="24"/>
          <w:szCs w:val="24"/>
        </w:rPr>
        <w:t>Results</w:t>
      </w:r>
    </w:p>
    <w:p w14:paraId="6DDAFE71">
      <w:pPr>
        <w:spacing w:after="0" w:line="360" w:lineRule="auto"/>
        <w:ind w:firstLine="480" w:firstLineChars="200"/>
        <w:rPr>
          <w:rFonts w:ascii="Times New Roman" w:hAnsi="Times New Roman" w:cs="Times New Roman"/>
          <w:color w:val="auto"/>
          <w:sz w:val="24"/>
          <w:szCs w:val="24"/>
        </w:rPr>
      </w:pPr>
      <w:r>
        <w:rPr>
          <w:rFonts w:ascii="Times New Roman" w:hAnsi="Times New Roman" w:cs="Times New Roman"/>
          <w:color w:val="auto"/>
          <w:sz w:val="24"/>
          <w:szCs w:val="24"/>
        </w:rPr>
        <w:t>The individual criterion maps show that suitability is spatially uneven in Cardiff. The Phase 1 habitat layer is adjacent to the dense urban area and other unsuitable land-cover types, but is adjacent to open grassland, farmland and semi-natural areas in the outer districts of the city. Skylarks are unlikely to be part of the project in areas that do not meet the basic requirements of an open-habitat.</w:t>
      </w:r>
    </w:p>
    <w:p w14:paraId="05601989">
      <w:pPr>
        <w:spacing w:after="0" w:line="360" w:lineRule="auto"/>
        <w:ind w:firstLine="480" w:firstLineChars="200"/>
        <w:jc w:val="center"/>
        <w:rPr>
          <w:rFonts w:ascii="Times New Roman" w:hAnsi="Times New Roman" w:cs="Times New Roman"/>
          <w:color w:val="auto"/>
          <w:sz w:val="24"/>
          <w:szCs w:val="24"/>
        </w:rPr>
      </w:pPr>
      <w:r>
        <w:rPr>
          <w:rFonts w:ascii="Times New Roman" w:hAnsi="Times New Roman" w:cs="Times New Roman"/>
          <w:color w:val="auto"/>
          <w:sz w:val="24"/>
          <w:szCs w:val="24"/>
        </w:rPr>
        <w:drawing>
          <wp:inline distT="0" distB="0" distL="0" distR="0">
            <wp:extent cx="5760720" cy="40735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stretch>
                      <a:fillRect/>
                    </a:stretch>
                  </pic:blipFill>
                  <pic:spPr>
                    <a:xfrm>
                      <a:off x="0" y="0"/>
                      <a:ext cx="5760720" cy="4073879"/>
                    </a:xfrm>
                    <a:prstGeom prst="rect">
                      <a:avLst/>
                    </a:prstGeom>
                  </pic:spPr>
                </pic:pic>
              </a:graphicData>
            </a:graphic>
          </wp:inline>
        </w:drawing>
      </w:r>
    </w:p>
    <w:p w14:paraId="52C04036">
      <w:pPr>
        <w:pStyle w:val="15"/>
        <w:spacing w:after="0" w:line="360" w:lineRule="auto"/>
        <w:ind w:firstLine="480" w:firstLineChars="200"/>
        <w:jc w:val="center"/>
        <w:rPr>
          <w:rFonts w:ascii="Times New Roman" w:hAnsi="Times New Roman" w:cs="Times New Roman"/>
          <w:i/>
          <w:color w:val="auto"/>
          <w:sz w:val="24"/>
          <w:szCs w:val="24"/>
        </w:rPr>
      </w:pPr>
      <w:r>
        <w:rPr>
          <w:rFonts w:ascii="Times New Roman" w:hAnsi="Times New Roman" w:cs="Times New Roman"/>
          <w:i/>
          <w:color w:val="auto"/>
          <w:sz w:val="24"/>
          <w:szCs w:val="24"/>
        </w:rPr>
        <w:t>Figure 1. Reclassified Phase 1 habitat suitability map for Cardiff.</w:t>
      </w:r>
    </w:p>
    <w:p w14:paraId="64F0C498">
      <w:pPr>
        <w:rPr>
          <w:rFonts w:ascii="Times New Roman" w:hAnsi="Times New Roman" w:cs="Times New Roman"/>
          <w:i/>
          <w:color w:val="auto"/>
          <w:sz w:val="24"/>
          <w:szCs w:val="24"/>
        </w:rPr>
      </w:pPr>
    </w:p>
    <w:p w14:paraId="68819765">
      <w:pPr>
        <w:rPr>
          <w:rFonts w:ascii="Times New Roman" w:hAnsi="Times New Roman" w:cs="Times New Roman"/>
          <w:i/>
          <w:color w:val="auto"/>
          <w:sz w:val="24"/>
          <w:szCs w:val="24"/>
        </w:rPr>
      </w:pPr>
    </w:p>
    <w:p w14:paraId="22FE0531">
      <w:pPr>
        <w:rPr>
          <w:rFonts w:ascii="Times New Roman" w:hAnsi="Times New Roman" w:cs="Times New Roman"/>
          <w:i/>
          <w:color w:val="auto"/>
          <w:sz w:val="24"/>
          <w:szCs w:val="24"/>
        </w:rPr>
      </w:pPr>
    </w:p>
    <w:p w14:paraId="0F282133">
      <w:pPr>
        <w:rPr>
          <w:rFonts w:ascii="Times New Roman" w:hAnsi="Times New Roman" w:cs="Times New Roman"/>
          <w:i/>
          <w:color w:val="auto"/>
          <w:sz w:val="24"/>
          <w:szCs w:val="24"/>
        </w:rPr>
      </w:pPr>
    </w:p>
    <w:p w14:paraId="4B425BE9">
      <w:pPr>
        <w:rPr>
          <w:rFonts w:ascii="Times New Roman" w:hAnsi="Times New Roman" w:cs="Times New Roman"/>
          <w:i/>
          <w:color w:val="auto"/>
          <w:sz w:val="24"/>
          <w:szCs w:val="24"/>
        </w:rPr>
      </w:pPr>
    </w:p>
    <w:p w14:paraId="71593340">
      <w:pPr>
        <w:rPr>
          <w:rFonts w:ascii="Times New Roman" w:hAnsi="Times New Roman" w:cs="Times New Roman"/>
          <w:i/>
          <w:color w:val="auto"/>
          <w:sz w:val="24"/>
          <w:szCs w:val="24"/>
        </w:rPr>
      </w:pPr>
    </w:p>
    <w:p w14:paraId="346C2E3C">
      <w:pPr>
        <w:spacing w:after="0" w:line="360" w:lineRule="auto"/>
        <w:ind w:firstLine="480" w:firstLineChars="200"/>
        <w:rPr>
          <w:rFonts w:ascii="Times New Roman" w:hAnsi="Times New Roman" w:cs="Times New Roman"/>
          <w:color w:val="auto"/>
          <w:sz w:val="24"/>
          <w:szCs w:val="24"/>
        </w:rPr>
      </w:pPr>
      <w:r>
        <w:rPr>
          <w:rFonts w:ascii="Times New Roman" w:hAnsi="Times New Roman" w:cs="Times New Roman"/>
          <w:color w:val="auto"/>
          <w:sz w:val="24"/>
          <w:szCs w:val="24"/>
        </w:rPr>
        <w:t>The hedgerow distance layer has a smaller score range than the other criteria and ranges from 1 to 2. Therefore, it is not possible to exclude a large area by itself for refinement. The highest score is in the 10-100 m range, and such locations are not directly at the edge of a hedgerow but are still in an open field area. This condition is practical because at the edge of the field, the disturbance and predator behaviour or perception of openness for a ground-nesting bird may change.</w:t>
      </w:r>
    </w:p>
    <w:p w14:paraId="35368CBD">
      <w:pPr>
        <w:spacing w:after="0" w:line="360" w:lineRule="auto"/>
        <w:ind w:firstLine="480" w:firstLineChars="200"/>
        <w:jc w:val="center"/>
        <w:rPr>
          <w:rFonts w:ascii="Times New Roman" w:hAnsi="Times New Roman" w:cs="Times New Roman"/>
          <w:color w:val="auto"/>
          <w:sz w:val="24"/>
          <w:szCs w:val="24"/>
        </w:rPr>
      </w:pPr>
      <w:r>
        <w:rPr>
          <w:rFonts w:ascii="Times New Roman" w:hAnsi="Times New Roman" w:cs="Times New Roman"/>
          <w:color w:val="auto"/>
          <w:sz w:val="24"/>
          <w:szCs w:val="24"/>
        </w:rPr>
        <w:drawing>
          <wp:inline distT="0" distB="0" distL="0" distR="0">
            <wp:extent cx="5486400" cy="38747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9"/>
                    <a:stretch>
                      <a:fillRect/>
                    </a:stretch>
                  </pic:blipFill>
                  <pic:spPr>
                    <a:xfrm>
                      <a:off x="0" y="0"/>
                      <a:ext cx="5486400" cy="3874770"/>
                    </a:xfrm>
                    <a:prstGeom prst="rect">
                      <a:avLst/>
                    </a:prstGeom>
                  </pic:spPr>
                </pic:pic>
              </a:graphicData>
            </a:graphic>
          </wp:inline>
        </w:drawing>
      </w:r>
    </w:p>
    <w:p w14:paraId="08C1F971">
      <w:pPr>
        <w:pStyle w:val="15"/>
        <w:spacing w:after="0" w:line="360" w:lineRule="auto"/>
        <w:ind w:firstLine="480" w:firstLineChars="200"/>
        <w:jc w:val="center"/>
        <w:rPr>
          <w:rFonts w:ascii="Times New Roman" w:hAnsi="Times New Roman" w:cs="Times New Roman"/>
          <w:color w:val="auto"/>
          <w:sz w:val="24"/>
          <w:szCs w:val="24"/>
        </w:rPr>
      </w:pPr>
      <w:r>
        <w:rPr>
          <w:rFonts w:ascii="Times New Roman" w:hAnsi="Times New Roman" w:cs="Times New Roman"/>
          <w:i/>
          <w:color w:val="auto"/>
          <w:sz w:val="24"/>
          <w:szCs w:val="24"/>
        </w:rPr>
        <w:t>Figure 2. Distance from hedgerow suitability layer for Cardiff.</w:t>
      </w:r>
    </w:p>
    <w:p w14:paraId="538ED902">
      <w:pPr>
        <w:spacing w:after="0" w:line="360" w:lineRule="auto"/>
        <w:ind w:firstLine="480" w:firstLineChars="200"/>
        <w:rPr>
          <w:rFonts w:ascii="Times New Roman" w:hAnsi="Times New Roman" w:cs="Times New Roman"/>
          <w:color w:val="auto"/>
          <w:sz w:val="24"/>
          <w:szCs w:val="24"/>
        </w:rPr>
      </w:pPr>
    </w:p>
    <w:p w14:paraId="53DA6167">
      <w:pPr>
        <w:spacing w:after="0" w:line="360" w:lineRule="auto"/>
        <w:ind w:firstLine="480" w:firstLineChars="200"/>
        <w:rPr>
          <w:rFonts w:ascii="Times New Roman" w:hAnsi="Times New Roman" w:cs="Times New Roman"/>
          <w:color w:val="auto"/>
          <w:sz w:val="24"/>
          <w:szCs w:val="24"/>
        </w:rPr>
      </w:pPr>
    </w:p>
    <w:p w14:paraId="7D5B4168">
      <w:pPr>
        <w:spacing w:after="0" w:line="360" w:lineRule="auto"/>
        <w:ind w:firstLine="480" w:firstLineChars="200"/>
        <w:rPr>
          <w:rFonts w:ascii="Times New Roman" w:hAnsi="Times New Roman" w:cs="Times New Roman"/>
          <w:color w:val="auto"/>
          <w:sz w:val="24"/>
          <w:szCs w:val="24"/>
        </w:rPr>
      </w:pPr>
    </w:p>
    <w:p w14:paraId="0E304FA6">
      <w:pPr>
        <w:spacing w:after="0" w:line="360" w:lineRule="auto"/>
        <w:ind w:firstLine="480" w:firstLineChars="200"/>
        <w:rPr>
          <w:rFonts w:ascii="Times New Roman" w:hAnsi="Times New Roman" w:cs="Times New Roman"/>
          <w:color w:val="auto"/>
          <w:sz w:val="24"/>
          <w:szCs w:val="24"/>
        </w:rPr>
      </w:pPr>
    </w:p>
    <w:p w14:paraId="0D5949E1">
      <w:pPr>
        <w:spacing w:after="0" w:line="360" w:lineRule="auto"/>
        <w:ind w:firstLine="480" w:firstLineChars="200"/>
        <w:rPr>
          <w:rFonts w:ascii="Times New Roman" w:hAnsi="Times New Roman" w:cs="Times New Roman"/>
          <w:color w:val="auto"/>
          <w:sz w:val="24"/>
          <w:szCs w:val="24"/>
        </w:rPr>
      </w:pPr>
    </w:p>
    <w:p w14:paraId="7B4753B1">
      <w:pPr>
        <w:spacing w:after="0" w:line="360" w:lineRule="auto"/>
        <w:ind w:firstLine="480" w:firstLineChars="200"/>
        <w:rPr>
          <w:rFonts w:ascii="Times New Roman" w:hAnsi="Times New Roman" w:cs="Times New Roman"/>
          <w:color w:val="auto"/>
          <w:sz w:val="24"/>
          <w:szCs w:val="24"/>
        </w:rPr>
      </w:pPr>
    </w:p>
    <w:p w14:paraId="702A4CF7">
      <w:pPr>
        <w:spacing w:after="0" w:line="360" w:lineRule="auto"/>
        <w:ind w:firstLine="480" w:firstLineChars="200"/>
        <w:rPr>
          <w:rFonts w:ascii="Times New Roman" w:hAnsi="Times New Roman" w:cs="Times New Roman"/>
          <w:color w:val="auto"/>
          <w:sz w:val="24"/>
          <w:szCs w:val="24"/>
        </w:rPr>
      </w:pPr>
    </w:p>
    <w:p w14:paraId="18281FF7">
      <w:pPr>
        <w:spacing w:after="0" w:line="360" w:lineRule="auto"/>
        <w:ind w:firstLine="480" w:firstLineChars="200"/>
        <w:rPr>
          <w:rFonts w:ascii="Times New Roman" w:hAnsi="Times New Roman" w:cs="Times New Roman"/>
          <w:color w:val="auto"/>
          <w:sz w:val="24"/>
          <w:szCs w:val="24"/>
        </w:rPr>
      </w:pPr>
    </w:p>
    <w:p w14:paraId="148B222B">
      <w:pPr>
        <w:spacing w:after="0" w:line="360" w:lineRule="auto"/>
        <w:ind w:firstLine="480" w:firstLineChars="200"/>
        <w:rPr>
          <w:rFonts w:ascii="Times New Roman" w:hAnsi="Times New Roman" w:cs="Times New Roman"/>
          <w:color w:val="auto"/>
          <w:sz w:val="24"/>
          <w:szCs w:val="24"/>
        </w:rPr>
      </w:pPr>
      <w:r>
        <w:rPr>
          <w:rFonts w:ascii="Times New Roman" w:hAnsi="Times New Roman" w:cs="Times New Roman"/>
          <w:color w:val="auto"/>
          <w:sz w:val="24"/>
          <w:szCs w:val="24"/>
        </w:rPr>
        <w:t>The red fox distance layer has a higher contrast because the closest 0-500m band was given a score of zero. Therefore, the area near a red fox record will not be included in the most suitable category after multiplication by the layer. Many areas with low scores are located near fox presence records, and these areas may be less suitable for ground-nesting birds due to increased predator pressure. However, this layer should be handled with caution because species-record data are influenced by the effort of recording and do not necessarily reflect the whole distribution or density of red foxes.</w:t>
      </w:r>
    </w:p>
    <w:p w14:paraId="38AA955A">
      <w:pPr>
        <w:spacing w:after="0" w:line="360" w:lineRule="auto"/>
        <w:ind w:firstLine="480" w:firstLineChars="200"/>
        <w:jc w:val="center"/>
        <w:rPr>
          <w:rFonts w:ascii="Times New Roman" w:hAnsi="Times New Roman" w:cs="Times New Roman"/>
          <w:color w:val="auto"/>
          <w:sz w:val="24"/>
          <w:szCs w:val="24"/>
        </w:rPr>
      </w:pPr>
      <w:r>
        <w:rPr>
          <w:rFonts w:ascii="Times New Roman" w:hAnsi="Times New Roman" w:cs="Times New Roman"/>
          <w:color w:val="auto"/>
          <w:sz w:val="24"/>
          <w:szCs w:val="24"/>
        </w:rPr>
        <w:drawing>
          <wp:inline distT="0" distB="0" distL="0" distR="0">
            <wp:extent cx="5486400" cy="38747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0"/>
                    <a:stretch>
                      <a:fillRect/>
                    </a:stretch>
                  </pic:blipFill>
                  <pic:spPr>
                    <a:xfrm>
                      <a:off x="0" y="0"/>
                      <a:ext cx="5486400" cy="3874770"/>
                    </a:xfrm>
                    <a:prstGeom prst="rect">
                      <a:avLst/>
                    </a:prstGeom>
                  </pic:spPr>
                </pic:pic>
              </a:graphicData>
            </a:graphic>
          </wp:inline>
        </w:drawing>
      </w:r>
    </w:p>
    <w:p w14:paraId="03306D59">
      <w:pPr>
        <w:pStyle w:val="15"/>
        <w:spacing w:after="0" w:line="360" w:lineRule="auto"/>
        <w:ind w:firstLine="480" w:firstLineChars="200"/>
        <w:jc w:val="center"/>
        <w:rPr>
          <w:rFonts w:ascii="Times New Roman" w:hAnsi="Times New Roman" w:cs="Times New Roman"/>
          <w:color w:val="auto"/>
          <w:sz w:val="24"/>
          <w:szCs w:val="24"/>
        </w:rPr>
      </w:pPr>
      <w:r>
        <w:rPr>
          <w:rFonts w:ascii="Times New Roman" w:hAnsi="Times New Roman" w:cs="Times New Roman"/>
          <w:i/>
          <w:color w:val="auto"/>
          <w:sz w:val="24"/>
          <w:szCs w:val="24"/>
        </w:rPr>
        <w:t>Figure 3. Distance from red fox presence suitability layer for Cardiff.</w:t>
      </w:r>
    </w:p>
    <w:p w14:paraId="0F934E37">
      <w:pPr>
        <w:spacing w:after="0" w:line="360" w:lineRule="auto"/>
        <w:ind w:firstLine="480" w:firstLineChars="200"/>
        <w:rPr>
          <w:rFonts w:ascii="Times New Roman" w:hAnsi="Times New Roman" w:cs="Times New Roman"/>
          <w:color w:val="auto"/>
          <w:sz w:val="24"/>
          <w:szCs w:val="24"/>
        </w:rPr>
      </w:pPr>
    </w:p>
    <w:p w14:paraId="79108FF1">
      <w:pPr>
        <w:spacing w:after="0" w:line="360" w:lineRule="auto"/>
        <w:ind w:firstLine="480" w:firstLineChars="200"/>
        <w:rPr>
          <w:rFonts w:ascii="Times New Roman" w:hAnsi="Times New Roman" w:cs="Times New Roman"/>
          <w:color w:val="auto"/>
          <w:sz w:val="24"/>
          <w:szCs w:val="24"/>
        </w:rPr>
      </w:pPr>
    </w:p>
    <w:p w14:paraId="1E12C875">
      <w:pPr>
        <w:spacing w:after="0" w:line="360" w:lineRule="auto"/>
        <w:ind w:firstLine="480" w:firstLineChars="200"/>
        <w:rPr>
          <w:rFonts w:ascii="Times New Roman" w:hAnsi="Times New Roman" w:cs="Times New Roman"/>
          <w:color w:val="auto"/>
          <w:sz w:val="24"/>
          <w:szCs w:val="24"/>
        </w:rPr>
      </w:pPr>
    </w:p>
    <w:p w14:paraId="6BA206C7">
      <w:pPr>
        <w:spacing w:after="0" w:line="360" w:lineRule="auto"/>
        <w:ind w:firstLine="480" w:firstLineChars="200"/>
        <w:rPr>
          <w:rFonts w:ascii="Times New Roman" w:hAnsi="Times New Roman" w:cs="Times New Roman"/>
          <w:color w:val="auto"/>
          <w:sz w:val="24"/>
          <w:szCs w:val="24"/>
        </w:rPr>
      </w:pPr>
    </w:p>
    <w:p w14:paraId="03AC58A4">
      <w:pPr>
        <w:spacing w:after="0" w:line="360" w:lineRule="auto"/>
        <w:ind w:firstLine="480" w:firstLineChars="200"/>
        <w:rPr>
          <w:rFonts w:ascii="Times New Roman" w:hAnsi="Times New Roman" w:cs="Times New Roman"/>
          <w:color w:val="auto"/>
          <w:sz w:val="24"/>
          <w:szCs w:val="24"/>
        </w:rPr>
      </w:pPr>
    </w:p>
    <w:p w14:paraId="0F3A2C31">
      <w:pPr>
        <w:spacing w:after="0" w:line="360" w:lineRule="auto"/>
        <w:ind w:firstLine="480" w:firstLineChars="200"/>
        <w:rPr>
          <w:rFonts w:ascii="Times New Roman" w:hAnsi="Times New Roman" w:cs="Times New Roman"/>
          <w:color w:val="auto"/>
          <w:sz w:val="24"/>
          <w:szCs w:val="24"/>
        </w:rPr>
      </w:pPr>
    </w:p>
    <w:p w14:paraId="4C39370C">
      <w:pPr>
        <w:spacing w:after="0" w:line="360" w:lineRule="auto"/>
        <w:ind w:firstLine="480" w:firstLineChars="200"/>
        <w:rPr>
          <w:rFonts w:ascii="Times New Roman" w:hAnsi="Times New Roman" w:cs="Times New Roman"/>
          <w:color w:val="auto"/>
          <w:sz w:val="24"/>
          <w:szCs w:val="24"/>
        </w:rPr>
      </w:pPr>
    </w:p>
    <w:p w14:paraId="73DFA607">
      <w:pPr>
        <w:spacing w:after="0" w:line="360" w:lineRule="auto"/>
        <w:ind w:firstLine="480" w:firstLineChars="200"/>
        <w:rPr>
          <w:rFonts w:ascii="Times New Roman" w:hAnsi="Times New Roman" w:cs="Times New Roman"/>
          <w:color w:val="auto"/>
          <w:sz w:val="24"/>
          <w:szCs w:val="24"/>
        </w:rPr>
      </w:pPr>
      <w:r>
        <w:rPr>
          <w:rFonts w:ascii="Times New Roman" w:hAnsi="Times New Roman" w:cs="Times New Roman"/>
          <w:color w:val="auto"/>
          <w:sz w:val="24"/>
          <w:szCs w:val="24"/>
        </w:rPr>
        <w:t>The final multiplied output has a maximum value of 0.54, which matches the theoretical maximum of the weighted product: 3 x 0.5 for Phase 1 habitat, 2 x 0.3 for hedgerow distance and 3 x 0.2 for red fox distance. The map therefore should not be read as a 0-3 class map, but as a relative suitability surface produced by the weighted multiplication model. Green areas represent the strongest combination of the three selected criteria, while red or low-value areas indicate locations where at least one important requirement is weak or absent.</w:t>
      </w:r>
    </w:p>
    <w:p w14:paraId="65F14B4F">
      <w:pPr>
        <w:spacing w:after="0" w:line="360" w:lineRule="auto"/>
        <w:ind w:firstLine="480" w:firstLineChars="200"/>
        <w:jc w:val="center"/>
        <w:rPr>
          <w:rFonts w:ascii="Times New Roman" w:hAnsi="Times New Roman" w:cs="Times New Roman"/>
          <w:color w:val="auto"/>
          <w:sz w:val="24"/>
          <w:szCs w:val="24"/>
        </w:rPr>
      </w:pPr>
      <w:r>
        <w:rPr>
          <w:rFonts w:ascii="Times New Roman" w:hAnsi="Times New Roman" w:cs="Times New Roman"/>
          <w:color w:val="auto"/>
          <w:sz w:val="24"/>
          <w:szCs w:val="24"/>
        </w:rPr>
        <w:drawing>
          <wp:inline distT="0" distB="0" distL="0" distR="0">
            <wp:extent cx="5486400" cy="38747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11"/>
                    <a:stretch>
                      <a:fillRect/>
                    </a:stretch>
                  </pic:blipFill>
                  <pic:spPr>
                    <a:xfrm>
                      <a:off x="0" y="0"/>
                      <a:ext cx="5486400" cy="3874770"/>
                    </a:xfrm>
                    <a:prstGeom prst="rect">
                      <a:avLst/>
                    </a:prstGeom>
                  </pic:spPr>
                </pic:pic>
              </a:graphicData>
            </a:graphic>
          </wp:inline>
        </w:drawing>
      </w:r>
    </w:p>
    <w:p w14:paraId="74E314B3">
      <w:pPr>
        <w:pStyle w:val="15"/>
        <w:spacing w:after="0" w:line="360" w:lineRule="auto"/>
        <w:ind w:firstLine="480" w:firstLineChars="200"/>
        <w:jc w:val="center"/>
        <w:rPr>
          <w:rFonts w:ascii="Times New Roman" w:hAnsi="Times New Roman" w:cs="Times New Roman"/>
          <w:color w:val="auto"/>
          <w:sz w:val="24"/>
          <w:szCs w:val="24"/>
        </w:rPr>
      </w:pPr>
      <w:r>
        <w:rPr>
          <w:rFonts w:ascii="Times New Roman" w:hAnsi="Times New Roman" w:cs="Times New Roman"/>
          <w:i/>
          <w:color w:val="auto"/>
          <w:sz w:val="24"/>
          <w:szCs w:val="24"/>
        </w:rPr>
        <w:t>Figure 4. Final multiplied skylark habitat suitability output for Cardiff.</w:t>
      </w:r>
    </w:p>
    <w:p w14:paraId="78383127">
      <w:pPr>
        <w:spacing w:after="0" w:line="360" w:lineRule="auto"/>
        <w:ind w:firstLine="480" w:firstLineChars="200"/>
        <w:jc w:val="left"/>
        <w:rPr>
          <w:rFonts w:ascii="Times New Roman" w:hAnsi="Times New Roman" w:cs="Times New Roman"/>
          <w:color w:val="auto"/>
          <w:sz w:val="24"/>
          <w:szCs w:val="24"/>
        </w:rPr>
      </w:pPr>
      <w:r>
        <w:rPr>
          <w:rFonts w:ascii="Times New Roman" w:hAnsi="Times New Roman" w:cs="Times New Roman"/>
          <w:color w:val="auto"/>
          <w:sz w:val="24"/>
          <w:szCs w:val="24"/>
        </w:rPr>
        <w:t>In short, it can be seen that most of the potential skylark habitats in Cardiff are in the open areas around the city and not within the city itself. Areas with a high value are likely to be those close to a suitable Phase 1 habitat in a suitable hedgerow-distance band and far from recorded red fox presence. These areas should be given higher priority for field verification because they have been identified by the model as potential habitats, not because they have been confirmed as active breeding sites for skylarks at present.</w:t>
      </w:r>
    </w:p>
    <w:p w14:paraId="1EC29291">
      <w:pPr>
        <w:spacing w:after="0" w:line="360" w:lineRule="auto"/>
        <w:ind w:firstLine="480" w:firstLineChars="200"/>
        <w:jc w:val="left"/>
        <w:rPr>
          <w:rFonts w:ascii="Times New Roman" w:hAnsi="Times New Roman" w:cs="Times New Roman"/>
          <w:color w:val="auto"/>
          <w:sz w:val="24"/>
          <w:szCs w:val="24"/>
        </w:rPr>
      </w:pPr>
      <w:r>
        <w:rPr>
          <w:rFonts w:ascii="Times New Roman" w:hAnsi="Times New Roman" w:cs="Times New Roman"/>
          <w:color w:val="auto"/>
          <w:sz w:val="24"/>
          <w:szCs w:val="24"/>
        </w:rPr>
        <w:t>Based on the above, the strengths and weaknesses of GIS in habitat management have also been identified. It can be used to show the decision-making process and is reproducible; that is, if either the score or the weight were to be modified, a different map could be generated and compared with the current one. The Model uses proxy data and is thus limited. Phase 1 habitat data are lacking in vegetation height, cutting dates, grazing pressure and pesticide use, and the red fox layer is based on occurrence records rather than a full-coverage predator survey. Therefore, the output will be used to direct management and field investigation rather than replace in-situ ecological assessment.</w:t>
      </w:r>
    </w:p>
    <w:p w14:paraId="297D7FA5">
      <w:pPr>
        <w:spacing w:after="0" w:line="360" w:lineRule="auto"/>
        <w:ind w:firstLine="480" w:firstLineChars="200"/>
        <w:jc w:val="left"/>
        <w:rPr>
          <w:rFonts w:ascii="Times New Roman" w:hAnsi="Times New Roman" w:cs="Times New Roman"/>
          <w:color w:val="auto"/>
          <w:sz w:val="24"/>
          <w:szCs w:val="24"/>
        </w:rPr>
      </w:pPr>
      <w:r>
        <w:rPr>
          <w:rFonts w:ascii="Times New Roman" w:hAnsi="Times New Roman" w:cs="Times New Roman"/>
          <w:color w:val="auto"/>
          <w:sz w:val="24"/>
          <w:szCs w:val="24"/>
        </w:rPr>
        <w:t>The model has also been set to use a fixed set of weights so far.</w:t>
      </w:r>
      <w:r>
        <w:rPr>
          <w:rFonts w:hint="eastAsia" w:ascii="Times New Roman" w:hAnsi="Times New Roman" w:cs="Times New Roman"/>
          <w:color w:val="auto"/>
          <w:sz w:val="24"/>
          <w:szCs w:val="24"/>
        </w:rPr>
        <w:t>Phase 1 habitat mapping is useful for identifying general habitat patterns across a landscape, but it has some limitations when applied to skylark habitat suitability. The classification system groups habitats into broad categories and does not always reflect differences in vegetation structure at a finer scale. This is important because skylarks are strongly influenced by factors such as vegetation height, ground cover and seasonal growth during the breeding season. As a result, areas mapped under the same habitat category may still differ in their suitability for nesting. For instance, one improved grassland field may be heavily grazed with very short vegetation, while another may contain taller and more varied grass due to lower management intensity. These small-scale differences are difficult to represent accurately using a simple habitat scoring approach.</w:t>
      </w:r>
      <w:r>
        <w:rPr>
          <w:rFonts w:ascii="Times New Roman" w:hAnsi="Times New Roman" w:cs="Times New Roman"/>
          <w:color w:val="auto"/>
          <w:sz w:val="24"/>
          <w:szCs w:val="24"/>
        </w:rPr>
        <w:t xml:space="preserve"> The Phase 1 layer is most affected because the core constraint is habitat type, and hedgerow distance and red fox distance are modifying factors. This is ecologically justifiable, but it is still a model-building choice. Recently, GIS-MCDA research has proposed that adjusting weights, thresholds or the rule of combination for these parameters will change the final priority map ( </w:t>
      </w:r>
      <w:r>
        <w:rPr>
          <w:rFonts w:hint="eastAsia" w:ascii="Times New Roman" w:hAnsi="Times New Roman" w:cs="Times New Roman"/>
          <w:color w:val="auto"/>
          <w:sz w:val="24"/>
          <w:szCs w:val="24"/>
        </w:rPr>
        <w:t>Rodríguez-Merino</w:t>
      </w:r>
      <w:r>
        <w:rPr>
          <w:rFonts w:hint="default" w:ascii="Times New Roman" w:hAnsi="Times New Roman" w:cs="Times New Roman"/>
          <w:color w:val="auto"/>
          <w:sz w:val="24"/>
          <w:szCs w:val="24"/>
          <w:lang w:val="en-US"/>
        </w:rPr>
        <w:t xml:space="preserve"> </w:t>
      </w:r>
      <w:r>
        <w:rPr>
          <w:rFonts w:ascii="Times New Roman" w:hAnsi="Times New Roman" w:cs="Times New Roman"/>
          <w:color w:val="auto"/>
          <w:sz w:val="24"/>
          <w:szCs w:val="24"/>
        </w:rPr>
        <w:t>et al., 2020). Therefore, a more advanced version of the Cardiff model could add a sensitivity analysis, for instance, by comparing the current multiplicative model with an additive overlay or by adjusting the red fox distance thresholds. If the same area is a high score under many plausible scenarios, then confidence in that top location will increase.</w:t>
      </w:r>
    </w:p>
    <w:p w14:paraId="69474629">
      <w:pPr>
        <w:spacing w:after="0" w:line="360" w:lineRule="auto"/>
        <w:ind w:firstLine="480" w:firstLineChars="200"/>
        <w:jc w:val="left"/>
        <w:rPr>
          <w:rFonts w:ascii="Times New Roman" w:hAnsi="Times New Roman" w:cs="Times New Roman"/>
          <w:sz w:val="24"/>
          <w:szCs w:val="24"/>
        </w:rPr>
      </w:pPr>
      <w:r>
        <w:rPr>
          <w:rFonts w:ascii="Times New Roman" w:hAnsi="Times New Roman" w:cs="Times New Roman"/>
          <w:color w:val="auto"/>
          <w:sz w:val="24"/>
          <w:szCs w:val="24"/>
        </w:rPr>
        <w:t>The model also shows why suitability mapping should be iterative. The first output can be used to select survey areas; then, based on the results of these surveys, corrections can be made to habitat classes and thresholds, and any missing variables will be identified. Recently, studies in remote sensing and species distribution have been carried out using the above method, and spatial predictions are now often regarded as decision-support tools to be enhanced by expert knowledge and field observations (Crispim-Mendes et al., 2024; Radovic, Kapelj and Taylor, 2025). For Cardiff, the next set of data that would be most beneficial are current vegetation height, recent mowing or grazing, crop type, public-access pressure, and skylark presence or absence during the breeding season</w:t>
      </w:r>
      <w:r>
        <w:rPr>
          <w:rFonts w:ascii="Times New Roman" w:hAnsi="Times New Roman" w:cs="Times New Roman"/>
          <w:sz w:val="24"/>
          <w:szCs w:val="24"/>
        </w:rPr>
        <w:t>.</w:t>
      </w:r>
    </w:p>
    <w:p w14:paraId="345EDD9C">
      <w:pPr>
        <w:pStyle w:val="3"/>
        <w:spacing w:after="0" w:line="360" w:lineRule="auto"/>
        <w:jc w:val="left"/>
        <w:rPr>
          <w:rFonts w:ascii="Times New Roman" w:hAnsi="Times New Roman" w:cs="Times New Roman"/>
          <w:color w:val="auto"/>
          <w:sz w:val="24"/>
          <w:szCs w:val="24"/>
        </w:rPr>
      </w:pPr>
      <w:bookmarkStart w:id="5" w:name="_Toc558092498"/>
      <w:r>
        <w:rPr>
          <w:rFonts w:ascii="Times New Roman" w:hAnsi="Times New Roman" w:cs="Times New Roman"/>
          <w:color w:val="auto"/>
          <w:sz w:val="24"/>
          <w:szCs w:val="24"/>
        </w:rPr>
        <w:t>Management Recommendations for Farmers and Landowners</w:t>
      </w:r>
      <w:bookmarkEnd w:id="5"/>
    </w:p>
    <w:p w14:paraId="41391323">
      <w:pPr>
        <w:spacing w:after="0" w:line="360" w:lineRule="auto"/>
        <w:ind w:firstLine="480" w:firstLineChars="200"/>
        <w:rPr>
          <w:rFonts w:ascii="Times New Roman" w:hAnsi="Times New Roman" w:cs="Times New Roman"/>
          <w:sz w:val="24"/>
          <w:szCs w:val="24"/>
        </w:rPr>
      </w:pPr>
      <w:r>
        <w:rPr>
          <w:rFonts w:ascii="Times New Roman" w:hAnsi="Times New Roman" w:cs="Times New Roman"/>
          <w:sz w:val="24"/>
          <w:szCs w:val="24"/>
        </w:rPr>
        <w:t>Therefore, the management recommendations below are based on two types of evidence: the spatial pattern produced by the GIS model and recent studies on the recovery of farmland birds. The map can help determine where the action is most likely to be applied, and the literature can provide the contents of such an action. This is because the practical measures for farmers and landowners should be ecologically sound and feasible in their work-farm systems.</w:t>
      </w:r>
    </w:p>
    <w:p w14:paraId="459FFB6F">
      <w:pPr>
        <w:spacing w:after="0" w:line="360" w:lineRule="auto"/>
        <w:ind w:firstLine="480" w:firstLineChars="200"/>
        <w:rPr>
          <w:rFonts w:ascii="Times New Roman" w:hAnsi="Times New Roman" w:cs="Times New Roman"/>
          <w:sz w:val="24"/>
          <w:szCs w:val="24"/>
        </w:rPr>
      </w:pPr>
      <w:r>
        <w:rPr>
          <w:rFonts w:ascii="Times New Roman" w:hAnsi="Times New Roman" w:cs="Times New Roman"/>
          <w:sz w:val="24"/>
          <w:szCs w:val="24"/>
        </w:rPr>
        <w:t>First, one needs to protect the existing natural habitat in a relatively undisturbed area and develop it rather than building new small-scale facilities. Skylark plots are relatively easy to set up in areas with a high density of cereal crops, but recent studies have also shown that their actual effects vary according to the overall composition of crops and the availability of auxiliary environments, such as flower strips, fallows and seed-rich edges (Beninde and Hunke, 2025; Staggenborg and Anthes, 2022). Therefore, in Cardiff, high-scoring areas will not be treated as individual pixels on a map but will be discussed in the context of the broader field or farm plan with land managers.</w:t>
      </w:r>
    </w:p>
    <w:p w14:paraId="257DA35F">
      <w:pPr>
        <w:spacing w:after="0" w:line="360" w:lineRule="auto"/>
        <w:ind w:firstLine="480" w:firstLineChars="200"/>
        <w:rPr>
          <w:rFonts w:ascii="Times New Roman" w:hAnsi="Times New Roman" w:cs="Times New Roman"/>
          <w:sz w:val="24"/>
          <w:szCs w:val="24"/>
        </w:rPr>
      </w:pPr>
      <w:r>
        <w:rPr>
          <w:rFonts w:ascii="Times New Roman" w:hAnsi="Times New Roman" w:cs="Times New Roman"/>
          <w:sz w:val="24"/>
          <w:szCs w:val="24"/>
        </w:rPr>
        <w:t>Survey Priority: The areas with high scores will be designated as priority areas for skylark observation before changing land-use activities. Survey visits will be organised during the breeding season to confirm whether the suitable area in the map has actual skylark populations, song-and-flight activities, or nesting sites.</w:t>
      </w:r>
    </w:p>
    <w:p w14:paraId="5FF14961">
      <w:pPr>
        <w:spacing w:after="0" w:line="360" w:lineRule="auto"/>
        <w:ind w:firstLine="480" w:firstLineChars="200"/>
        <w:rPr>
          <w:rFonts w:ascii="Times New Roman" w:hAnsi="Times New Roman" w:cs="Times New Roman"/>
          <w:sz w:val="24"/>
          <w:szCs w:val="24"/>
        </w:rPr>
      </w:pPr>
      <w:r>
        <w:rPr>
          <w:rFonts w:ascii="Times New Roman" w:hAnsi="Times New Roman" w:cs="Times New Roman"/>
          <w:sz w:val="24"/>
          <w:szCs w:val="24"/>
        </w:rPr>
        <w:t>Open Habitat Retention: Keep open grassland and arable land in the area with good suitability. Woodland planting, tall shelterbelts and dense scrub formation should be avoided in the most promising skylark Areas unless there is an urgent conservation need of the site; vertical-structured vegetation does not reduce the openness that these species require.</w:t>
      </w:r>
    </w:p>
    <w:p w14:paraId="4698EE39">
      <w:pPr>
        <w:spacing w:after="0" w:line="360" w:lineRule="auto"/>
        <w:ind w:firstLine="480" w:firstLineChars="200"/>
        <w:rPr>
          <w:rFonts w:ascii="Times New Roman" w:hAnsi="Times New Roman" w:cs="Times New Roman"/>
          <w:sz w:val="24"/>
          <w:szCs w:val="24"/>
        </w:rPr>
      </w:pPr>
      <w:r>
        <w:rPr>
          <w:rFonts w:ascii="Times New Roman" w:hAnsi="Times New Roman" w:cs="Times New Roman"/>
          <w:sz w:val="24"/>
          <w:szCs w:val="24"/>
        </w:rPr>
        <w:t>Breeding Season Operations: Adjust mowing, grazing and cultivation times to reduce nest disturbance. Grassland management should delay or reschedule cutting to avoid the main nesting season when possible. Skylark plots or unsown patches can be added to the crops in arable land to create walking paths and reduce the problem of dense vegetation.</w:t>
      </w:r>
    </w:p>
    <w:p w14:paraId="73F7CE54">
      <w:pPr>
        <w:spacing w:after="0" w:line="360" w:lineRule="auto"/>
        <w:ind w:firstLine="480" w:firstLineChars="200"/>
        <w:rPr>
          <w:rFonts w:ascii="Times New Roman" w:hAnsi="Times New Roman" w:cs="Times New Roman"/>
          <w:sz w:val="24"/>
          <w:szCs w:val="24"/>
        </w:rPr>
      </w:pPr>
      <w:r>
        <w:rPr>
          <w:rFonts w:ascii="Times New Roman" w:hAnsi="Times New Roman" w:cs="Times New Roman"/>
          <w:sz w:val="24"/>
          <w:szCs w:val="24"/>
        </w:rPr>
        <w:t>Foraging Resources: Strengthen foraging resources by keeping winter stubbles, various field margins and low-intensity grasslands available. Reduce the pressure of pesticides and herbicides on invertebrate and seed resources that serve as food for adult and chick food sources.</w:t>
      </w:r>
    </w:p>
    <w:p w14:paraId="04B3739E">
      <w:pPr>
        <w:spacing w:after="0" w:line="360" w:lineRule="auto"/>
        <w:ind w:firstLine="480" w:firstLineChars="200"/>
        <w:rPr>
          <w:rFonts w:ascii="Times New Roman" w:hAnsi="Times New Roman" w:cs="Times New Roman"/>
          <w:sz w:val="24"/>
          <w:szCs w:val="24"/>
        </w:rPr>
      </w:pPr>
      <w:r>
        <w:rPr>
          <w:rFonts w:ascii="Times New Roman" w:hAnsi="Times New Roman" w:cs="Times New Roman"/>
          <w:sz w:val="24"/>
          <w:szCs w:val="24"/>
        </w:rPr>
        <w:t>Predator-Risk Management: Reduce preventable predator subsidies in high-suitability areas. It does not mean that predator control should be the main measure; rather, it refers to reducing waste generation, regulating the storage of feed and covering around nesting areas, and so on, to prevent an increase in red fox activity in these areas due to farm operations.</w:t>
      </w:r>
    </w:p>
    <w:p w14:paraId="3B90C0B6">
      <w:pPr>
        <w:spacing w:after="0" w:line="360" w:lineRule="auto"/>
        <w:ind w:firstLine="480" w:firstLineChars="200"/>
        <w:rPr>
          <w:rFonts w:ascii="Times New Roman" w:hAnsi="Times New Roman" w:eastAsia="宋体" w:cs="Times New Roman"/>
          <w:bCs/>
          <w:color w:val="auto"/>
          <w:sz w:val="24"/>
          <w:szCs w:val="24"/>
          <w:lang w:eastAsia="zh-CN"/>
        </w:rPr>
      </w:pPr>
      <w:r>
        <w:rPr>
          <w:rFonts w:ascii="Times New Roman" w:hAnsi="Times New Roman" w:cs="Times New Roman"/>
          <w:sz w:val="24"/>
          <w:szCs w:val="24"/>
        </w:rPr>
        <w:t>Monitoring and Model Updates: A GIS model is used for monitoring. Based on the new survey data, mowing information, crop data and predator records for farmers, landowners and conservationists, update the model to make data-driven management decisions at various times with this new information.</w:t>
      </w:r>
    </w:p>
    <w:p w14:paraId="3B3DC715">
      <w:pPr>
        <w:pStyle w:val="3"/>
        <w:spacing w:after="0" w:line="360" w:lineRule="auto"/>
        <w:jc w:val="left"/>
        <w:rPr>
          <w:rFonts w:ascii="Times New Roman" w:hAnsi="Times New Roman" w:cs="Times New Roman"/>
          <w:color w:val="auto"/>
          <w:sz w:val="24"/>
          <w:szCs w:val="24"/>
        </w:rPr>
      </w:pPr>
      <w:bookmarkStart w:id="6" w:name="_Toc1799527437"/>
      <w:r>
        <w:rPr>
          <w:rFonts w:ascii="Times New Roman" w:hAnsi="Times New Roman" w:cs="Times New Roman"/>
          <w:color w:val="auto"/>
          <w:sz w:val="24"/>
          <w:szCs w:val="24"/>
        </w:rPr>
        <w:t>Conclusion</w:t>
      </w:r>
      <w:bookmarkEnd w:id="6"/>
    </w:p>
    <w:p w14:paraId="0B2BA544">
      <w:pPr>
        <w:spacing w:after="0" w:line="360" w:lineRule="auto"/>
        <w:ind w:firstLine="480" w:firstLineChars="200"/>
        <w:rPr>
          <w:rFonts w:ascii="Times New Roman" w:hAnsi="Times New Roman" w:cs="Times New Roman"/>
          <w:color w:val="auto"/>
          <w:sz w:val="24"/>
          <w:szCs w:val="24"/>
        </w:rPr>
      </w:pPr>
      <w:r>
        <w:rPr>
          <w:rFonts w:ascii="Times New Roman" w:hAnsi="Times New Roman" w:cs="Times New Roman"/>
          <w:color w:val="auto"/>
          <w:sz w:val="24"/>
          <w:szCs w:val="24"/>
        </w:rPr>
        <w:t>Managers of ecosystems can use GIS to organise the work of habitat protection and management more efficiently in space. Skylark in Cardiff's final map was based on the three selected indicators: Phase 1 habitat suitability, distance from hedgerows, and distance to red fox presence. Multiply the weighted criteria to obtain a conservative suitability surface, and a weak ecological condition reduced the final score. This helps management understand why several favourable conditions have occurred together and is also more easily accepted.</w:t>
      </w:r>
    </w:p>
    <w:p w14:paraId="653AF189">
      <w:pPr>
        <w:spacing w:after="0" w:line="360" w:lineRule="auto"/>
        <w:ind w:firstLine="480" w:firstLineChars="200"/>
        <w:rPr>
          <w:rFonts w:ascii="Times New Roman" w:hAnsi="Times New Roman" w:cs="Times New Roman"/>
          <w:color w:val="auto"/>
          <w:sz w:val="24"/>
          <w:szCs w:val="24"/>
        </w:rPr>
      </w:pPr>
      <w:r>
        <w:rPr>
          <w:rFonts w:ascii="Times New Roman" w:hAnsi="Times New Roman" w:cs="Times New Roman"/>
          <w:color w:val="auto"/>
          <w:sz w:val="24"/>
          <w:szCs w:val="24"/>
        </w:rPr>
        <w:t>The output will serve as a reference for the subsequent targeted field study, farmer participation and habitat-management planning, rather than as confirmation of skylark presence. Its first function is to assist farmers, landowners and conservation managers in determining which areas are most suitable for measures such as reduced mowing, skylark plots, open habitat retention and enhanced foraging resources. Next, we will verify the areas of high and low suitability in the field, and then adjust the model according to local observations of vegetation structure, management intensity and skylark presence.</w:t>
      </w:r>
    </w:p>
    <w:p w14:paraId="58275607">
      <w:pPr>
        <w:spacing w:after="0" w:line="360" w:lineRule="auto"/>
        <w:ind w:firstLine="480" w:firstLineChars="200"/>
        <w:rPr>
          <w:rFonts w:ascii="Times New Roman" w:hAnsi="Times New Roman" w:cs="Times New Roman"/>
          <w:color w:val="auto"/>
          <w:sz w:val="24"/>
          <w:szCs w:val="24"/>
        </w:rPr>
      </w:pPr>
    </w:p>
    <w:p w14:paraId="478A73E0">
      <w:pPr>
        <w:spacing w:after="0" w:line="360" w:lineRule="auto"/>
        <w:ind w:firstLine="480" w:firstLineChars="200"/>
        <w:rPr>
          <w:rFonts w:ascii="Times New Roman" w:hAnsi="Times New Roman" w:cs="Times New Roman"/>
          <w:color w:val="auto"/>
          <w:sz w:val="24"/>
          <w:szCs w:val="24"/>
        </w:rPr>
      </w:pPr>
    </w:p>
    <w:p w14:paraId="68D17F6A">
      <w:pPr>
        <w:spacing w:after="0" w:line="360" w:lineRule="auto"/>
        <w:ind w:firstLine="480" w:firstLineChars="200"/>
        <w:rPr>
          <w:rFonts w:ascii="Times New Roman" w:hAnsi="Times New Roman" w:cs="Times New Roman"/>
          <w:color w:val="auto"/>
          <w:sz w:val="24"/>
          <w:szCs w:val="24"/>
        </w:rPr>
      </w:pPr>
    </w:p>
    <w:p w14:paraId="21510012">
      <w:pPr>
        <w:pStyle w:val="3"/>
        <w:spacing w:before="0" w:after="0" w:line="360" w:lineRule="auto"/>
        <w:rPr>
          <w:rFonts w:ascii="Times New Roman" w:hAnsi="Times New Roman" w:cs="Times New Roman"/>
          <w:color w:val="auto"/>
          <w:sz w:val="24"/>
          <w:szCs w:val="24"/>
        </w:rPr>
      </w:pPr>
      <w:bookmarkStart w:id="7" w:name="_Toc1645432958"/>
      <w:r>
        <w:rPr>
          <w:rFonts w:ascii="Times New Roman" w:hAnsi="Times New Roman" w:cs="Times New Roman"/>
          <w:color w:val="auto"/>
          <w:sz w:val="24"/>
          <w:szCs w:val="24"/>
        </w:rPr>
        <w:t>References</w:t>
      </w:r>
      <w:bookmarkEnd w:id="7"/>
    </w:p>
    <w:p w14:paraId="7993CB25">
      <w:pPr>
        <w:pStyle w:val="167"/>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 xml:space="preserve">Beninde, J. and Hunke, P. (2025) 'The use of skylark plots by the European Skylark (Alauda arvensis) in Germany', Journal of Ornithology, 166, pp. 603-607. </w:t>
      </w:r>
    </w:p>
    <w:p w14:paraId="35E54F5D">
      <w:pPr>
        <w:pStyle w:val="167"/>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 xml:space="preserve">Berry, J.K. (2004) </w:t>
      </w:r>
      <w:r>
        <w:rPr>
          <w:rFonts w:hint="eastAsia" w:ascii="Times New Roman" w:hAnsi="Times New Roman" w:cs="Times New Roman"/>
          <w:sz w:val="24"/>
          <w:szCs w:val="24"/>
        </w:rPr>
        <w:t>Beyond Mapping III</w:t>
      </w:r>
      <w:r>
        <w:rPr>
          <w:rFonts w:hint="default" w:ascii="Times New Roman" w:hAnsi="Times New Roman" w:cs="Times New Roman"/>
          <w:sz w:val="24"/>
          <w:szCs w:val="24"/>
          <w:lang w:val="en-US"/>
        </w:rPr>
        <w:t xml:space="preserve">, </w:t>
      </w:r>
      <w:r>
        <w:rPr>
          <w:rFonts w:hint="eastAsia" w:ascii="Times New Roman" w:hAnsi="Times New Roman" w:cs="Times New Roman"/>
          <w:sz w:val="24"/>
          <w:szCs w:val="24"/>
        </w:rPr>
        <w:t>Topic 23: Suitability Modeling</w:t>
      </w:r>
      <w:r>
        <w:rPr>
          <w:rFonts w:ascii="Times New Roman" w:hAnsi="Times New Roman" w:cs="Times New Roman"/>
          <w:sz w:val="24"/>
          <w:szCs w:val="24"/>
        </w:rPr>
        <w:t xml:space="preserve">, Map Analysis. Available at: </w:t>
      </w:r>
      <w:r>
        <w:rPr>
          <w:rFonts w:hint="eastAsia" w:ascii="Times New Roman" w:hAnsi="Times New Roman" w:cs="Times New Roman"/>
          <w:sz w:val="24"/>
          <w:szCs w:val="24"/>
        </w:rPr>
        <w:t>http://www.innovativegis.com/Basis/mapanalysis/Topic23/Topic23.pdf</w:t>
      </w:r>
      <w:r>
        <w:rPr>
          <w:rFonts w:ascii="Times New Roman" w:hAnsi="Times New Roman" w:cs="Times New Roman"/>
          <w:sz w:val="24"/>
          <w:szCs w:val="24"/>
        </w:rPr>
        <w:t>(Accessed: 2</w:t>
      </w:r>
      <w:r>
        <w:rPr>
          <w:rFonts w:hint="default" w:ascii="Times New Roman" w:hAnsi="Times New Roman" w:cs="Times New Roman"/>
          <w:sz w:val="24"/>
          <w:szCs w:val="24"/>
          <w:lang w:val="en-US"/>
        </w:rPr>
        <w:t>4</w:t>
      </w:r>
      <w:r>
        <w:rPr>
          <w:rFonts w:ascii="Times New Roman" w:hAnsi="Times New Roman" w:cs="Times New Roman"/>
          <w:sz w:val="24"/>
          <w:szCs w:val="24"/>
        </w:rPr>
        <w:t xml:space="preserve"> May 2026)</w:t>
      </w:r>
    </w:p>
    <w:p w14:paraId="3922859E">
      <w:pPr>
        <w:pStyle w:val="167"/>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BTO (2026) Skylark: BirdFacts</w:t>
      </w:r>
      <w:r>
        <w:rPr>
          <w:rFonts w:hint="default" w:ascii="Times New Roman" w:hAnsi="Times New Roman" w:cs="Times New Roman"/>
          <w:sz w:val="24"/>
          <w:szCs w:val="24"/>
          <w:lang w:val="en-US"/>
        </w:rPr>
        <w:t xml:space="preserve"> Species</w:t>
      </w:r>
      <w:r>
        <w:rPr>
          <w:rFonts w:ascii="Times New Roman" w:hAnsi="Times New Roman" w:cs="Times New Roman"/>
          <w:sz w:val="24"/>
          <w:szCs w:val="24"/>
        </w:rPr>
        <w:t xml:space="preserve">. Available at: </w:t>
      </w:r>
      <w:r>
        <w:rPr>
          <w:rFonts w:hint="eastAsia" w:ascii="Times New Roman" w:hAnsi="Times New Roman" w:cs="Times New Roman"/>
          <w:sz w:val="24"/>
          <w:szCs w:val="24"/>
        </w:rPr>
        <w:t>https://www.bto.org/learn/about-birds/birdfacts/skylark</w:t>
      </w:r>
      <w:r>
        <w:rPr>
          <w:rFonts w:ascii="Times New Roman" w:hAnsi="Times New Roman" w:cs="Times New Roman"/>
          <w:sz w:val="24"/>
          <w:szCs w:val="24"/>
        </w:rPr>
        <w:t>(Accessed: 25 May 2026)</w:t>
      </w:r>
    </w:p>
    <w:p w14:paraId="7C6CC846">
      <w:pPr>
        <w:pStyle w:val="167"/>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 xml:space="preserve">Cardiff Council (2016) Sustainability Appraisal and Strategic Environmental Assessment of the Cardiff Local Development Plan: Final Sustainability Appraisal Report, Appendix 6. </w:t>
      </w:r>
    </w:p>
    <w:p w14:paraId="744C2960">
      <w:pPr>
        <w:pStyle w:val="167"/>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Chamberlain, D.E.,</w:t>
      </w:r>
      <w:r>
        <w:rPr>
          <w:rFonts w:hint="default" w:ascii="Times New Roman" w:hAnsi="Times New Roman" w:cs="Times New Roman"/>
          <w:sz w:val="24"/>
          <w:szCs w:val="24"/>
          <w:lang w:val="en-US"/>
        </w:rPr>
        <w:t>and</w:t>
      </w:r>
      <w:r>
        <w:rPr>
          <w:rFonts w:ascii="Times New Roman" w:hAnsi="Times New Roman" w:cs="Times New Roman"/>
          <w:sz w:val="24"/>
          <w:szCs w:val="24"/>
        </w:rPr>
        <w:t xml:space="preserve"> Siriwardena, G.M. (2000) 'The effects of agricultural intensification on skylarks (Alauda arvensis): evidence from monitoring studies in Great Britain', Environmental Reviews, 8(2), pp. 95-113.</w:t>
      </w:r>
    </w:p>
    <w:p w14:paraId="7F9981E3">
      <w:pPr>
        <w:pStyle w:val="167"/>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 xml:space="preserve">Chamberlain, D.E. and Gregory, R.D. (1999) 'Coarse and fine scale habitat associations of breeding Skylarks Alauda arvensis in the UK', Bird Study, 46(1), pp. 47-58. </w:t>
      </w:r>
    </w:p>
    <w:p w14:paraId="109E0739">
      <w:pPr>
        <w:pStyle w:val="167"/>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 xml:space="preserve">Crispim-Mendes, T., Valerio, F., Marques, A.T., Pita, R., Godinho, S. and Silva, J.P. (2024) 'High-resolution species distribution modelling reveals spatio-temporal variability of habitat suitability in a declining grassland bird', Landscape Ecology, 39, 49. </w:t>
      </w:r>
    </w:p>
    <w:p w14:paraId="561D1FDF">
      <w:pPr>
        <w:pStyle w:val="167"/>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 xml:space="preserve">Copland, A.S., Crowe, O., Wilson, M.W. and O'Halloran, J. (2012) 'Habitat associations of Eurasian Skylarks Alauda arvensis breeding on Irish farmland and implications for agri-environment planning', Bird Study, 59(2), pp. 155-165. </w:t>
      </w:r>
    </w:p>
    <w:p w14:paraId="2508418D">
      <w:pPr>
        <w:pStyle w:val="167"/>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 xml:space="preserve">Department for Environment, Food and Rural Affairs (Defra) (2025) Wild bird populations in the UK and England, 1970 to 2024. Available at: </w:t>
      </w:r>
      <w:r>
        <w:rPr>
          <w:rFonts w:hint="eastAsia" w:ascii="Times New Roman" w:hAnsi="Times New Roman" w:cs="Times New Roman"/>
          <w:sz w:val="24"/>
          <w:szCs w:val="24"/>
        </w:rPr>
        <w:t>https://www.gov.uk/government/statistics/wild-bird-populations-in-the-uk/wild-bird-populations-in-the-uk-and-england-1970-to-2024</w:t>
      </w:r>
      <w:r>
        <w:rPr>
          <w:rFonts w:hint="default" w:ascii="Times New Roman" w:hAnsi="Times New Roman" w:cs="Times New Roman"/>
          <w:sz w:val="24"/>
          <w:szCs w:val="24"/>
          <w:lang w:val="en-US"/>
        </w:rPr>
        <w:t xml:space="preserve"> </w:t>
      </w:r>
      <w:r>
        <w:rPr>
          <w:rFonts w:ascii="Times New Roman" w:hAnsi="Times New Roman" w:cs="Times New Roman"/>
          <w:sz w:val="24"/>
          <w:szCs w:val="24"/>
        </w:rPr>
        <w:t>(Accessed: 25 May 2026)</w:t>
      </w:r>
    </w:p>
    <w:p w14:paraId="48C77BAA">
      <w:pPr>
        <w:pStyle w:val="167"/>
        <w:spacing w:after="0" w:line="360" w:lineRule="auto"/>
        <w:ind w:left="357" w:hanging="357"/>
        <w:rPr>
          <w:rFonts w:hint="default" w:ascii="Times New Roman" w:hAnsi="Times New Roman" w:cs="Times New Roman"/>
          <w:sz w:val="24"/>
          <w:szCs w:val="24"/>
          <w:lang w:val="en-US"/>
        </w:rPr>
      </w:pPr>
      <w:r>
        <w:rPr>
          <w:rFonts w:ascii="Times New Roman" w:hAnsi="Times New Roman" w:cs="Times New Roman"/>
          <w:sz w:val="24"/>
          <w:szCs w:val="24"/>
        </w:rPr>
        <w:t xml:space="preserve">FAS (2024) Land Management for Skylarks Alauda arvensis. </w:t>
      </w:r>
      <w:r>
        <w:rPr>
          <w:rFonts w:hint="default" w:ascii="Times New Roman" w:hAnsi="Times New Roman" w:cs="Times New Roman"/>
          <w:sz w:val="24"/>
          <w:szCs w:val="24"/>
          <w:lang w:val="en-US"/>
        </w:rPr>
        <w:t>Available at:https://www.fas.scot/article/land-management-for-skylarks-alauda-arvensis/</w:t>
      </w:r>
      <w:r>
        <w:rPr>
          <w:rFonts w:ascii="Times New Roman" w:hAnsi="Times New Roman" w:cs="Times New Roman"/>
          <w:sz w:val="24"/>
          <w:szCs w:val="24"/>
        </w:rPr>
        <w:t>(Accessed: 25 May 2026)</w:t>
      </w:r>
    </w:p>
    <w:p w14:paraId="2F51FF5D">
      <w:pPr>
        <w:pStyle w:val="167"/>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 xml:space="preserve">Game &amp; Wildlife Conservation Trust (GWCT) (n.d.) Skylark facts, song, habitat, food, nesting. Available at: </w:t>
      </w:r>
      <w:r>
        <w:rPr>
          <w:rFonts w:hint="eastAsia" w:ascii="Times New Roman" w:hAnsi="Times New Roman" w:cs="Times New Roman"/>
          <w:sz w:val="24"/>
          <w:szCs w:val="24"/>
        </w:rPr>
        <w:t>https://www.gwct.org.uk/farming/big-farmland-bird-count/farmland-birds-to-count/skylark/</w:t>
      </w:r>
      <w:r>
        <w:rPr>
          <w:rFonts w:ascii="Times New Roman" w:hAnsi="Times New Roman" w:cs="Times New Roman"/>
          <w:sz w:val="24"/>
          <w:szCs w:val="24"/>
        </w:rPr>
        <w:t>(Accessed: 25 May 2026)</w:t>
      </w:r>
    </w:p>
    <w:p w14:paraId="577FFCE0">
      <w:pPr>
        <w:pStyle w:val="167"/>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Guisan, A., Thuiller, W. and Zimmermann, N.E. (2017) Habitat Suitability and Distribution Models: With Applications in R. Cambridge: Cambridge University Press.</w:t>
      </w:r>
    </w:p>
    <w:p w14:paraId="6414F710">
      <w:pPr>
        <w:pStyle w:val="167"/>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Heywood, J.J.N., Massimino, D., Baker, L., Balmer, D.E., Brighton, C.H., Gillings, S., Kelly, L., Noble, D.G., Pearce-Higgins, J.W., White, D.M., Woodcock, P., Workman, E. and Wotton, S. (2025) The Breeding Bird Survey 2024. BTO Research Report 787. Thetford: British Trust for Ornithology. Available at: https://www.bto.org/our-work/science/publications/reports/bbs-reports/2024 (Accessed: 25 May 2026).</w:t>
      </w:r>
    </w:p>
    <w:p w14:paraId="13570AEA">
      <w:pPr>
        <w:pStyle w:val="167"/>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Malczewski, J. (2004) 'GIS-based land-use suitability analysis: a critical overview', Progress in Planning, 62(1), pp. 3-65.</w:t>
      </w:r>
    </w:p>
    <w:p w14:paraId="7B756744">
      <w:pPr>
        <w:pStyle w:val="167"/>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Natural Resources Wales (2023) Terrestrial Phase 1 Habitat Survey. Data</w:t>
      </w:r>
      <w:r>
        <w:rPr>
          <w:rFonts w:hint="eastAsia" w:ascii="Times New Roman" w:hAnsi="Times New Roman" w:eastAsia="宋体" w:cs="Times New Roman"/>
          <w:sz w:val="24"/>
          <w:szCs w:val="24"/>
          <w:lang w:eastAsia="zh-CN"/>
        </w:rPr>
        <w:t xml:space="preserve"> </w:t>
      </w:r>
      <w:r>
        <w:rPr>
          <w:rFonts w:ascii="Times New Roman" w:hAnsi="Times New Roman" w:cs="Times New Roman"/>
          <w:sz w:val="24"/>
          <w:szCs w:val="24"/>
        </w:rPr>
        <w:t>Map</w:t>
      </w:r>
      <w:r>
        <w:rPr>
          <w:rFonts w:hint="eastAsia" w:ascii="Times New Roman" w:hAnsi="Times New Roman" w:eastAsia="宋体" w:cs="Times New Roman"/>
          <w:sz w:val="24"/>
          <w:szCs w:val="24"/>
          <w:lang w:eastAsia="zh-CN"/>
        </w:rPr>
        <w:t xml:space="preserve"> </w:t>
      </w:r>
      <w:r>
        <w:rPr>
          <w:rFonts w:ascii="Times New Roman" w:hAnsi="Times New Roman" w:cs="Times New Roman"/>
          <w:sz w:val="24"/>
          <w:szCs w:val="24"/>
        </w:rPr>
        <w:t>Wales. Available at:</w:t>
      </w:r>
      <w:r>
        <w:rPr>
          <w:rFonts w:hint="default" w:ascii="Times New Roman" w:hAnsi="Times New Roman" w:cs="Times New Roman"/>
          <w:sz w:val="24"/>
          <w:szCs w:val="24"/>
          <w:lang w:val="en-US"/>
        </w:rPr>
        <w:t xml:space="preserve"> </w:t>
      </w:r>
      <w:r>
        <w:rPr>
          <w:rFonts w:hint="eastAsia" w:ascii="Times New Roman" w:hAnsi="Times New Roman" w:cs="Times New Roman"/>
          <w:sz w:val="24"/>
          <w:szCs w:val="24"/>
        </w:rPr>
        <w:t>https://datamap.gov.wales/layers/geonode:nrw_terrestrial_phase_1_habitat_survey</w:t>
      </w:r>
      <w:r>
        <w:rPr>
          <w:rFonts w:ascii="Times New Roman" w:hAnsi="Times New Roman" w:cs="Times New Roman"/>
          <w:sz w:val="24"/>
          <w:szCs w:val="24"/>
        </w:rPr>
        <w:t xml:space="preserve"> (Accessed: 25 May 2026).</w:t>
      </w:r>
    </w:p>
    <w:p w14:paraId="2F0D5673">
      <w:pPr>
        <w:pStyle w:val="167"/>
        <w:spacing w:after="0" w:line="360" w:lineRule="auto"/>
        <w:ind w:left="357" w:hanging="357"/>
        <w:rPr>
          <w:rFonts w:hint="default" w:ascii="Times New Roman" w:hAnsi="Times New Roman" w:cs="Times New Roman"/>
          <w:sz w:val="24"/>
          <w:szCs w:val="24"/>
          <w:lang w:val="en-US"/>
        </w:rPr>
      </w:pPr>
      <w:r>
        <w:rPr>
          <w:rFonts w:ascii="Times New Roman" w:hAnsi="Times New Roman" w:cs="Times New Roman"/>
          <w:sz w:val="24"/>
          <w:szCs w:val="24"/>
        </w:rPr>
        <w:t xml:space="preserve">Natural Resources Wales (2025) State of Natural Resources Report 2025: </w:t>
      </w:r>
      <w:r>
        <w:rPr>
          <w:rFonts w:hint="eastAsia" w:ascii="Times New Roman" w:hAnsi="Times New Roman" w:cs="Times New Roman"/>
          <w:sz w:val="24"/>
          <w:szCs w:val="24"/>
        </w:rPr>
        <w:t>Explore SoNaRR 2025 content</w:t>
      </w:r>
      <w:r>
        <w:rPr>
          <w:rFonts w:hint="default" w:ascii="Times New Roman" w:hAnsi="Times New Roman" w:cs="Times New Roman"/>
          <w:sz w:val="24"/>
          <w:szCs w:val="24"/>
          <w:lang w:val="en-US"/>
        </w:rPr>
        <w:t>. Available at: https://naturalresources.wales/evidence-and-data/research-and-reports/state-of-natural-resources-report-2025/?lang=en</w:t>
      </w:r>
      <w:r>
        <w:rPr>
          <w:rFonts w:ascii="Times New Roman" w:hAnsi="Times New Roman" w:cs="Times New Roman"/>
          <w:sz w:val="24"/>
          <w:szCs w:val="24"/>
        </w:rPr>
        <w:t>(Accessed: 25 May 2026).</w:t>
      </w:r>
    </w:p>
    <w:p w14:paraId="57E6B12F">
      <w:pPr>
        <w:pStyle w:val="167"/>
        <w:spacing w:after="0" w:line="360" w:lineRule="auto"/>
        <w:ind w:left="357" w:hanging="357"/>
        <w:rPr>
          <w:rFonts w:ascii="Times New Roman" w:hAnsi="Times New Roman" w:cs="Times New Roman"/>
          <w:sz w:val="24"/>
          <w:szCs w:val="24"/>
        </w:rPr>
      </w:pPr>
      <w:r>
        <w:rPr>
          <w:rFonts w:hint="eastAsia" w:ascii="Times New Roman" w:hAnsi="Times New Roman" w:cs="Times New Roman"/>
          <w:sz w:val="24"/>
          <w:szCs w:val="24"/>
        </w:rPr>
        <w:t>National Biodiversity Network (NBN) Trust</w:t>
      </w:r>
      <w:r>
        <w:rPr>
          <w:rFonts w:ascii="Times New Roman" w:hAnsi="Times New Roman" w:cs="Times New Roman"/>
          <w:sz w:val="24"/>
          <w:szCs w:val="24"/>
        </w:rPr>
        <w:t xml:space="preserve"> (2026) National Biodiversity Network. Available at: https://nbnatlas.org/ (Accessed: 25 May 2026).</w:t>
      </w:r>
    </w:p>
    <w:p w14:paraId="331FBC79">
      <w:pPr>
        <w:pStyle w:val="167"/>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Ottens, H.J., Kuiper, M.W., Flinks, H., van Ruijven, J., Siepel, H., Koks, B.J., Berendse, F. and de Snoo, G.R. (2014) 'Do field margins enrich the diet of the Eurasian Skylark Alauda arvensis on intensive farmland?', Ardea, 102(2), pp. 161-174.</w:t>
      </w:r>
    </w:p>
    <w:p w14:paraId="653A9C3D">
      <w:pPr>
        <w:pStyle w:val="167"/>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 xml:space="preserve">Puttmanns, M. et al. (2022) 'Habitat use and foraging parameters of breeding Skylarks indicate no seasonal decrease in food availability in heterogeneous farmland', Ecology and Evolution, 12(1), e8461. </w:t>
      </w:r>
    </w:p>
    <w:p w14:paraId="26881FAA">
      <w:pPr>
        <w:pStyle w:val="167"/>
        <w:spacing w:after="0" w:line="360" w:lineRule="auto"/>
        <w:ind w:left="357" w:hanging="357"/>
        <w:rPr>
          <w:rFonts w:ascii="Times New Roman" w:hAnsi="Times New Roman" w:cs="Times New Roman"/>
          <w:sz w:val="24"/>
          <w:szCs w:val="24"/>
        </w:rPr>
      </w:pPr>
      <w:r>
        <w:rPr>
          <w:rFonts w:hint="eastAsia" w:ascii="Times New Roman" w:hAnsi="Times New Roman" w:cs="Times New Roman"/>
          <w:sz w:val="24"/>
          <w:szCs w:val="24"/>
        </w:rPr>
        <w:t xml:space="preserve">Rodríguez-Merino, A., García-Murillo, P., </w:t>
      </w:r>
      <w:r>
        <w:rPr>
          <w:rFonts w:hint="default" w:ascii="Times New Roman" w:hAnsi="Times New Roman" w:cs="Times New Roman"/>
          <w:sz w:val="24"/>
          <w:szCs w:val="24"/>
          <w:lang w:val="en-US"/>
        </w:rPr>
        <w:t>and</w:t>
      </w:r>
      <w:r>
        <w:rPr>
          <w:rFonts w:hint="eastAsia" w:ascii="Times New Roman" w:hAnsi="Times New Roman" w:cs="Times New Roman"/>
          <w:sz w:val="24"/>
          <w:szCs w:val="24"/>
        </w:rPr>
        <w:t xml:space="preserve"> Fernández-Zamudio, R. (2020).</w:t>
      </w:r>
      <w:r>
        <w:rPr>
          <w:rFonts w:ascii="Times New Roman" w:hAnsi="Times New Roman" w:cs="Times New Roman"/>
          <w:sz w:val="24"/>
          <w:szCs w:val="24"/>
        </w:rPr>
        <w:t xml:space="preserve"> 'Combining multicriteria decision analysis and GIS to assess vulnerability within a protected area: An objective methodology for managing complex and fragile systems', Ecological Indicators, 108, 105738. </w:t>
      </w:r>
    </w:p>
    <w:p w14:paraId="03014935">
      <w:pPr>
        <w:pStyle w:val="167"/>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 xml:space="preserve">Radovic, A., Kapelj, S. and Taylor, L.T. (2025) 'Utilizing Remote Sensing Data for Species Distribution Modeling of Birds in Croatia', Diversity, 17(6), 399. </w:t>
      </w:r>
    </w:p>
    <w:p w14:paraId="5D271EB1">
      <w:pPr>
        <w:pStyle w:val="167"/>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 xml:space="preserve">Rigal, S. et al. (2023) 'Farmland practices are driving bird population decline across Europe', Proceedings of the National Academy of Sciences of the United States of America, 120(21), e2216573120. </w:t>
      </w:r>
    </w:p>
    <w:p w14:paraId="7D822A9E">
      <w:pPr>
        <w:pStyle w:val="167"/>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RSPB (n.d.a) Skylark. Available at: https://www.rspb.org.uk/birds-and-wildlife/skylark (Accessed: 18 May 2026).</w:t>
      </w:r>
    </w:p>
    <w:p w14:paraId="28515FD3">
      <w:pPr>
        <w:pStyle w:val="167"/>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 xml:space="preserve">RSPB (n.d.b) Skylark conservation advice for farmers. Available at: https://www.rspb.org.uk/helping-nature/what-we-do/influence-government-and-business/farming/advice-for-farmers-helping-bird-species/skylark-advice-for-farmers.(Accessed: </w:t>
      </w:r>
      <w:r>
        <w:rPr>
          <w:rFonts w:hint="default" w:ascii="Times New Roman" w:hAnsi="Times New Roman" w:cs="Times New Roman"/>
          <w:sz w:val="24"/>
          <w:szCs w:val="24"/>
          <w:lang w:val="en-US"/>
        </w:rPr>
        <w:t>25</w:t>
      </w:r>
      <w:r>
        <w:rPr>
          <w:rFonts w:ascii="Times New Roman" w:hAnsi="Times New Roman" w:cs="Times New Roman"/>
          <w:sz w:val="24"/>
          <w:szCs w:val="24"/>
        </w:rPr>
        <w:t xml:space="preserve"> May 2026).</w:t>
      </w:r>
    </w:p>
    <w:p w14:paraId="638D765D">
      <w:pPr>
        <w:pStyle w:val="167"/>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Skidmore, A.K. et al. (2015) 'Agree on biodiversity metrics to track from space', Nature, 523, pp. 403-405.</w:t>
      </w:r>
    </w:p>
    <w:p w14:paraId="4502B0B1">
      <w:pPr>
        <w:pStyle w:val="167"/>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 xml:space="preserve">Staggenborg, J. and Anthes, N. (2022) 'Long-term fallows rate best among agri-environment scheme effects on farmland birds - A meta-analysis', Conservation Letters, 15(4), e12904. </w:t>
      </w:r>
    </w:p>
    <w:p w14:paraId="7B014EF9">
      <w:pPr>
        <w:pStyle w:val="167"/>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 xml:space="preserve">State of Nature Partnership (2023) State of Nature </w:t>
      </w:r>
      <w:r>
        <w:rPr>
          <w:rFonts w:hint="default" w:ascii="Times New Roman" w:hAnsi="Times New Roman" w:cs="Times New Roman"/>
          <w:sz w:val="24"/>
          <w:szCs w:val="24"/>
          <w:lang w:val="en-US"/>
        </w:rPr>
        <w:t xml:space="preserve">report </w:t>
      </w:r>
      <w:r>
        <w:rPr>
          <w:rFonts w:ascii="Times New Roman" w:hAnsi="Times New Roman" w:cs="Times New Roman"/>
          <w:sz w:val="24"/>
          <w:szCs w:val="24"/>
        </w:rPr>
        <w:t xml:space="preserve">2023. Available at: </w:t>
      </w:r>
      <w:r>
        <w:rPr>
          <w:rFonts w:hint="eastAsia" w:ascii="Times New Roman" w:hAnsi="Times New Roman" w:cs="Times New Roman"/>
          <w:sz w:val="24"/>
          <w:szCs w:val="24"/>
        </w:rPr>
        <w:t>https://www.bto.org/our-work/science/publications/reports/state-of-nature/2023</w:t>
      </w:r>
      <w:r>
        <w:rPr>
          <w:rFonts w:ascii="Times New Roman" w:hAnsi="Times New Roman" w:cs="Times New Roman"/>
          <w:sz w:val="24"/>
          <w:szCs w:val="24"/>
        </w:rPr>
        <w:t xml:space="preserve">(Accessed: </w:t>
      </w:r>
      <w:r>
        <w:rPr>
          <w:rFonts w:hint="default" w:ascii="Times New Roman" w:hAnsi="Times New Roman" w:cs="Times New Roman"/>
          <w:sz w:val="24"/>
          <w:szCs w:val="24"/>
          <w:lang w:val="en-US"/>
        </w:rPr>
        <w:t>25</w:t>
      </w:r>
      <w:r>
        <w:rPr>
          <w:rFonts w:ascii="Times New Roman" w:hAnsi="Times New Roman" w:cs="Times New Roman"/>
          <w:sz w:val="24"/>
          <w:szCs w:val="24"/>
        </w:rPr>
        <w:t xml:space="preserve"> May 2026).</w:t>
      </w:r>
    </w:p>
    <w:p w14:paraId="4A535645">
      <w:pPr>
        <w:pStyle w:val="167"/>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Suffolk Wildlife Trust (n.d.) Skylark. Available at: https://www.suffolkwildlifetrust.org/skylark (Accessed: 18 May 2026).</w:t>
      </w:r>
    </w:p>
    <w:p w14:paraId="7F6BF8BA">
      <w:pPr>
        <w:pStyle w:val="167"/>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The Wildlife Trust of South and West Wales (n.d.) Skylark. Available at: https://www.welshwildlife.org/wildlife-explorer/birds/larks-sparrows-pipits-wagtails-and-dunnock/skylark (Accessed: 18 May 2026).</w:t>
      </w:r>
    </w:p>
    <w:p w14:paraId="2BBF9FE7">
      <w:pPr>
        <w:pStyle w:val="167"/>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 xml:space="preserve">The Wildlife Trusts (n.d.) Skylark. Available at: https://www.wildlifetrusts.org/wildlife-explorer/birds/larks-sparrows-pipits-wagtails-and-dunnock/skylark  (Accessed: </w:t>
      </w:r>
      <w:r>
        <w:rPr>
          <w:rFonts w:hint="default" w:ascii="Times New Roman" w:hAnsi="Times New Roman" w:cs="Times New Roman"/>
          <w:sz w:val="24"/>
          <w:szCs w:val="24"/>
          <w:lang w:val="en-US"/>
        </w:rPr>
        <w:t>20</w:t>
      </w:r>
      <w:r>
        <w:rPr>
          <w:rFonts w:ascii="Times New Roman" w:hAnsi="Times New Roman" w:cs="Times New Roman"/>
          <w:sz w:val="24"/>
          <w:szCs w:val="24"/>
        </w:rPr>
        <w:t xml:space="preserve"> May 2026).</w:t>
      </w:r>
    </w:p>
    <w:p w14:paraId="6EF653F8">
      <w:pPr>
        <w:pStyle w:val="167"/>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Welsh Government (2025) Section 6 biodiversity and resilience of ecosystems duty: reporting guidance. Available at: https://www.gov.wales/section-6-biodiversity-and-resilience-ecosystems-duty-reporting-guidance (Accessed: 18 May 2026).</w:t>
      </w:r>
    </w:p>
    <w:p w14:paraId="717D3617">
      <w:pPr>
        <w:pStyle w:val="167"/>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 xml:space="preserve">Wilson, J.D. and Browne, S.J. (1993) Habitat selection and breeding success of Skylarks Alauda arvensis on organic and conventional farmland. BTO Research Report No. 129. Thetford: British Trust for Ornithology. </w:t>
      </w:r>
    </w:p>
    <w:p w14:paraId="6B91149A">
      <w:pPr>
        <w:pStyle w:val="167"/>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 xml:space="preserve">Wilson, J.D., Evans, J., Browne, S.J. and King, J.R. (1997) 'Territory distribution and breeding success of Skylarks Alauda arvensis on organic and intensive farmland in southern England', Journal of Applied Ecology, 34(6), pp. 1462-1478. </w:t>
      </w:r>
    </w:p>
    <w:p w14:paraId="2EDA3657">
      <w:pPr>
        <w:pStyle w:val="167"/>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Zurell, D. et al. (2020) 'A standard protocol for reporting species distribution models', Ecography, 43(9), pp. 1261-1277.  (Accessed: 25 May 2026).</w:t>
      </w:r>
    </w:p>
    <w:p w14:paraId="7F8CACF8">
      <w:pPr>
        <w:pStyle w:val="167"/>
        <w:spacing w:after="0" w:line="360" w:lineRule="auto"/>
        <w:ind w:left="357" w:hanging="357"/>
        <w:rPr>
          <w:rFonts w:ascii="Times New Roman" w:hAnsi="Times New Roman" w:cs="Times New Roman"/>
          <w:sz w:val="24"/>
          <w:szCs w:val="24"/>
        </w:rPr>
      </w:pPr>
      <w:r>
        <w:rPr>
          <w:rFonts w:ascii="Times New Roman" w:hAnsi="Times New Roman" w:cs="Times New Roman"/>
          <w:sz w:val="24"/>
          <w:szCs w:val="24"/>
        </w:rPr>
        <w:t xml:space="preserve"> </w:t>
      </w:r>
    </w:p>
    <w:p w14:paraId="6BA5BCB8">
      <w:pPr>
        <w:pStyle w:val="167"/>
        <w:spacing w:after="0" w:line="360" w:lineRule="auto"/>
        <w:ind w:left="357" w:hanging="357"/>
        <w:rPr>
          <w:rFonts w:ascii="Times New Roman" w:hAnsi="Times New Roman" w:cs="Times New Roman"/>
          <w:sz w:val="24"/>
          <w:szCs w:val="24"/>
        </w:rPr>
      </w:pPr>
    </w:p>
    <w:sectPr>
      <w:footerReference r:id="rId6" w:type="default"/>
      <w:pgSz w:w="12240" w:h="15840"/>
      <w:pgMar w:top="1440" w:right="1440" w:bottom="1440" w:left="1440" w:header="708" w:footer="708" w:gutter="0"/>
      <w:pgNumType w:start="1"/>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Cambria">
    <w:altName w:val="苹方-简"/>
    <w:panose1 w:val="02040503050406030204"/>
    <w:charset w:val="00"/>
    <w:family w:val="roman"/>
    <w:pitch w:val="default"/>
    <w:sig w:usb0="00000000" w:usb1="00000000" w:usb2="02000000" w:usb3="00000000" w:csb0="0000019F" w:csb1="00000000"/>
  </w:font>
  <w:font w:name="ＭＳ 明朝">
    <w:altName w:val="Hiragino Sans"/>
    <w:panose1 w:val="00000000000000000000"/>
    <w:charset w:val="86"/>
    <w:family w:val="auto"/>
    <w:pitch w:val="default"/>
    <w:sig w:usb0="00000000" w:usb1="00000000" w:usb2="00000000" w:usb3="00000000" w:csb0="00000000" w:csb1="00000000"/>
  </w:font>
  <w:font w:name="ＭＳ ゴシック">
    <w:altName w:val="苹方-简"/>
    <w:panose1 w:val="00000000000000000000"/>
    <w:charset w:val="00"/>
    <w:family w:val="auto"/>
    <w:pitch w:val="default"/>
    <w:sig w:usb0="00000000" w:usb1="00000000" w:usb2="00000000" w:usb3="00000000" w:csb0="00000000" w:csb1="00000000"/>
  </w:font>
  <w:font w:name="Courier">
    <w:altName w:val="苹方-简"/>
    <w:panose1 w:val="02070409020205020404"/>
    <w:charset w:val="00"/>
    <w:family w:val="auto"/>
    <w:pitch w:val="default"/>
    <w:sig w:usb0="00000000" w:usb1="00000000" w:usb2="00000000" w:usb3="00000000" w:csb0="00000001" w:csb1="00000000"/>
  </w:font>
  <w:font w:name="ＭＳ 明朝">
    <w:altName w:val="Hiragino Sans"/>
    <w:panose1 w:val="00000000000000000000"/>
    <w:charset w:val="00"/>
    <w:family w:val="auto"/>
    <w:pitch w:val="default"/>
    <w:sig w:usb0="00000000" w:usb1="00000000" w:usb2="00000000" w:usb3="00000000" w:csb0="00000000" w:csb1="00000000"/>
  </w:font>
  <w:font w:name="Hiragino Sans">
    <w:panose1 w:val="020B0300000000000000"/>
    <w:charset w:val="80"/>
    <w:family w:val="auto"/>
    <w:pitch w:val="default"/>
    <w:sig w:usb0="E00002FF" w:usb1="7AE7FFFF" w:usb2="00000012" w:usb3="00000000" w:csb0="0002000D" w:csb1="00000000"/>
  </w:font>
  <w:font w:name="Helvetica Neue">
    <w:panose1 w:val="02000503000000020004"/>
    <w:charset w:val="00"/>
    <w:family w:val="auto"/>
    <w:pitch w:val="default"/>
    <w:sig w:usb0="E50002FF" w:usb1="500079DB" w:usb2="00000010" w:usb3="00000000" w:csb0="00000000"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Kingsoft Sign">
    <w:panose1 w:val="05050102010706020507"/>
    <w:charset w:val="00"/>
    <w:family w:val="auto"/>
    <w:pitch w:val="default"/>
    <w:sig w:usb0="00000000" w:usb1="10000000" w:usb2="00000000" w:usb3="00000000" w:csb0="00000001" w:csb1="00000000"/>
  </w:font>
  <w:font w:name="汉仪中黑KW">
    <w:panose1 w:val="00020600040101010101"/>
    <w:charset w:val="86"/>
    <w:family w:val="auto"/>
    <w:pitch w:val="default"/>
    <w:sig w:usb0="A00002BF" w:usb1="18EF7CFA" w:usb2="00000016" w:usb3="00000000" w:csb0="00040000" w:csb1="00000000"/>
  </w:font>
  <w:font w:name="宋体-简">
    <w:panose1 w:val="02010800040101010101"/>
    <w:charset w:val="86"/>
    <w:family w:val="auto"/>
    <w:pitch w:val="default"/>
    <w:sig w:usb0="00000001" w:usb1="080F0000" w:usb2="00000000" w:usb3="00000000" w:csb0="00040000" w:csb1="00000000"/>
  </w:font>
  <w:font w:name="Arial">
    <w:panose1 w:val="020B0604020202090204"/>
    <w:charset w:val="00"/>
    <w:family w:val="auto"/>
    <w:pitch w:val="default"/>
    <w:sig w:usb0="E0000AFF" w:usb1="00007843" w:usb2="00000001" w:usb3="00000000" w:csb0="400001BF" w:csb1="DFF70000"/>
  </w:font>
  <w:font w:name="PingFang SC">
    <w:panose1 w:val="020B0400000000000000"/>
    <w:charset w:val="86"/>
    <w:family w:val="auto"/>
    <w:pitch w:val="default"/>
    <w:sig w:usb0="A00002FF" w:usb1="7ACFFDFB" w:usb2="00000017" w:usb3="00000000" w:csb0="00040001" w:csb1="00000000"/>
  </w:font>
  <w:font w:name="Tahoma">
    <w:panose1 w:val="020B0604030504040204"/>
    <w:charset w:val="00"/>
    <w:family w:val="auto"/>
    <w:pitch w:val="default"/>
    <w:sig w:usb0="E1002AFF" w:usb1="C000605B" w:usb2="00000029" w:usb3="00000000" w:csb0="200101FF" w:csb1="20280000"/>
  </w:font>
  <w:font w:name="Times New Roman Bold">
    <w:panose1 w:val="02020503050405090304"/>
    <w:charset w:val="00"/>
    <w:family w:val="auto"/>
    <w:pitch w:val="default"/>
    <w:sig w:usb0="E0000AFF" w:usb1="00007843" w:usb2="00000001" w:usb3="00000000" w:csb0="400001BF" w:csb1="DFF70000"/>
  </w:font>
  <w:font w:name="黑体">
    <w:altName w:val="汉仪中黑KW"/>
    <w:panose1 w:val="02010609060101010101"/>
    <w:charset w:val="00"/>
    <w:family w:val="auto"/>
    <w:pitch w:val="default"/>
    <w:sig w:usb0="800002BF" w:usb1="38CF7CFA" w:usb2="00000016" w:usb3="00000000" w:csb0="00040001" w:csb1="00000000"/>
  </w:font>
  <w:font w:name="楷体_GB2312">
    <w:altName w:val="汉仪楷体简"/>
    <w:panose1 w:val="02010609030101010101"/>
    <w:charset w:val="00"/>
    <w:family w:val="modern"/>
    <w:pitch w:val="default"/>
    <w:sig w:usb0="00000001" w:usb1="080E0000" w:usb2="00000000" w:usb3="00000000" w:csb0="00040000" w:csb1="00000000"/>
  </w:font>
  <w:font w:name="仿宋_GB2312">
    <w:altName w:val="仿宋-简"/>
    <w:panose1 w:val="02010609030101010101"/>
    <w:charset w:val="00"/>
    <w:family w:val="modern"/>
    <w:pitch w:val="default"/>
    <w:sig w:usb0="00000001" w:usb1="080E0000" w:usb2="00000000" w:usb3="00000000" w:csb0="00040000" w:csb1="00000000"/>
  </w:font>
  <w:font w:name="Verdana">
    <w:panose1 w:val="020B0804030504040204"/>
    <w:charset w:val="00"/>
    <w:family w:val="swiss"/>
    <w:pitch w:val="default"/>
    <w:sig w:usb0="A10006FF" w:usb1="4000205B" w:usb2="00000010" w:usb3="00000000" w:csb0="2000019F" w:csb1="00000000"/>
  </w:font>
  <w:font w:name="仿宋-简">
    <w:panose1 w:val="02010609060101010101"/>
    <w:charset w:val="86"/>
    <w:family w:val="auto"/>
    <w:pitch w:val="default"/>
    <w:sig w:usb0="A00002BF" w:usb1="3ACF7CFA" w:usb2="00000016" w:usb3="00000000" w:csb0="00040001" w:csb1="00000000"/>
  </w:font>
  <w:font w:name="汉仪楷体简">
    <w:panose1 w:val="02010600000101010101"/>
    <w:charset w:val="86"/>
    <w:family w:val="auto"/>
    <w:pitch w:val="default"/>
    <w:sig w:usb0="00000001" w:usb1="080E0800" w:usb2="00000002" w:usb3="00000000" w:csb0="00040000" w:csb1="00000000"/>
  </w:font>
  <w:font w:name="Times New Roman Regular">
    <w:panose1 w:val="02020503050405090304"/>
    <w:charset w:val="00"/>
    <w:family w:val="auto"/>
    <w:pitch w:val="default"/>
    <w:sig w:usb0="E0000AFF" w:usb1="00007843" w:usb2="00000001" w:usb3="00000000" w:csb0="400001BF" w:csb1="DFF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AF04837">
    <w:pPr>
      <w:pStyle w:val="24"/>
    </w:pPr>
    <w:r>
      <w:rPr>
        <w:sz w:val="22"/>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7" name="文本框 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5BF7A0BC">
                          <w:pPr>
                            <w:pStyle w:val="2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9YuHZDICAABhBAAADgAAAAAAAAABACAAAAAfAQAAZHJzL2Uyb0RvYy54bWxQSwUG&#10;AAAAAAYABgBZAQAAwwUAAAAA&#10;">
              <v:fill on="f" focussize="0,0"/>
              <v:stroke on="f" weight="0.5pt"/>
              <v:imagedata o:title=""/>
              <o:lock v:ext="edit" aspectratio="f"/>
              <v:textbox inset="0mm,0mm,0mm,0mm" style="mso-fit-shape-to-text:t;">
                <w:txbxContent>
                  <w:p w14:paraId="5BF7A0BC">
                    <w:pPr>
                      <w:pStyle w:val="24"/>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20" w:lineRule="auto"/>
      </w:pPr>
      <w:r>
        <w:separator/>
      </w:r>
    </w:p>
  </w:footnote>
  <w:footnote w:type="continuationSeparator" w:id="1">
    <w:p>
      <w:pPr>
        <w:spacing w:before="0" w:after="0" w:line="32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B303770">
    <w:pPr>
      <w:pStyle w:val="166"/>
      <w:jc w:val="right"/>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FFFFF7E"/>
    <w:multiLevelType w:val="singleLevel"/>
    <w:tmpl w:val="FFFFFF7E"/>
    <w:lvl w:ilvl="0" w:tentative="0">
      <w:start w:val="1"/>
      <w:numFmt w:val="decimal"/>
      <w:pStyle w:val="20"/>
      <w:lvlText w:val="%1."/>
      <w:lvlJc w:val="left"/>
      <w:pPr>
        <w:tabs>
          <w:tab w:val="left" w:pos="1080"/>
        </w:tabs>
        <w:ind w:left="1080" w:hanging="360"/>
      </w:pPr>
    </w:lvl>
  </w:abstractNum>
  <w:abstractNum w:abstractNumId="1">
    <w:nsid w:val="FFFFFF7F"/>
    <w:multiLevelType w:val="singleLevel"/>
    <w:tmpl w:val="FFFFFF7F"/>
    <w:lvl w:ilvl="0" w:tentative="0">
      <w:start w:val="1"/>
      <w:numFmt w:val="decimal"/>
      <w:pStyle w:val="13"/>
      <w:lvlText w:val="%1."/>
      <w:lvlJc w:val="left"/>
      <w:pPr>
        <w:tabs>
          <w:tab w:val="left" w:pos="720"/>
        </w:tabs>
        <w:ind w:left="720" w:hanging="360"/>
      </w:pPr>
    </w:lvl>
  </w:abstractNum>
  <w:abstractNum w:abstractNumId="2">
    <w:nsid w:val="FFFFFF82"/>
    <w:multiLevelType w:val="singleLevel"/>
    <w:tmpl w:val="FFFFFF82"/>
    <w:lvl w:ilvl="0" w:tentative="0">
      <w:start w:val="1"/>
      <w:numFmt w:val="bullet"/>
      <w:pStyle w:val="18"/>
      <w:lvlText w:val=""/>
      <w:lvlJc w:val="left"/>
      <w:pPr>
        <w:tabs>
          <w:tab w:val="left" w:pos="1080"/>
        </w:tabs>
        <w:ind w:left="1080" w:hanging="360"/>
      </w:pPr>
      <w:rPr>
        <w:rFonts w:hint="default" w:ascii="Symbol" w:hAnsi="Symbol"/>
      </w:rPr>
    </w:lvl>
  </w:abstractNum>
  <w:abstractNum w:abstractNumId="3">
    <w:nsid w:val="FFFFFF83"/>
    <w:multiLevelType w:val="singleLevel"/>
    <w:tmpl w:val="FFFFFF83"/>
    <w:lvl w:ilvl="0" w:tentative="0">
      <w:start w:val="1"/>
      <w:numFmt w:val="bullet"/>
      <w:pStyle w:val="23"/>
      <w:lvlText w:val=""/>
      <w:lvlJc w:val="left"/>
      <w:pPr>
        <w:tabs>
          <w:tab w:val="left" w:pos="720"/>
        </w:tabs>
        <w:ind w:left="720" w:hanging="360"/>
      </w:pPr>
      <w:rPr>
        <w:rFonts w:hint="default" w:ascii="Symbol" w:hAnsi="Symbol"/>
      </w:rPr>
    </w:lvl>
  </w:abstractNum>
  <w:abstractNum w:abstractNumId="4">
    <w:nsid w:val="FFFFFF88"/>
    <w:multiLevelType w:val="singleLevel"/>
    <w:tmpl w:val="FFFFFF88"/>
    <w:lvl w:ilvl="0" w:tentative="0">
      <w:start w:val="1"/>
      <w:numFmt w:val="decimal"/>
      <w:pStyle w:val="14"/>
      <w:lvlText w:val="%1."/>
      <w:lvlJc w:val="left"/>
      <w:pPr>
        <w:tabs>
          <w:tab w:val="left" w:pos="360"/>
        </w:tabs>
        <w:ind w:left="360" w:hanging="360"/>
      </w:pPr>
    </w:lvl>
  </w:abstractNum>
  <w:abstractNum w:abstractNumId="5">
    <w:nsid w:val="FFFFFF89"/>
    <w:multiLevelType w:val="singleLevel"/>
    <w:tmpl w:val="FFFFFF89"/>
    <w:lvl w:ilvl="0" w:tentative="0">
      <w:start w:val="1"/>
      <w:numFmt w:val="bullet"/>
      <w:pStyle w:val="16"/>
      <w:lvlText w:val=""/>
      <w:lvlJc w:val="left"/>
      <w:pPr>
        <w:tabs>
          <w:tab w:val="left" w:pos="360"/>
        </w:tabs>
        <w:ind w:left="360" w:hanging="360"/>
      </w:pPr>
      <w:rPr>
        <w:rFonts w:hint="default" w:ascii="Symbol" w:hAnsi="Symbol"/>
      </w:rPr>
    </w:lvl>
  </w:abstractNum>
  <w:num w:numId="1">
    <w:abstractNumId w:val="1"/>
  </w:num>
  <w:num w:numId="2">
    <w:abstractNumId w:val="4"/>
  </w:num>
  <w:num w:numId="3">
    <w:abstractNumId w:val="5"/>
  </w:num>
  <w:num w:numId="4">
    <w:abstractNumId w:val="2"/>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3"/>
  <w:bordersDoNotSurroundHeader w:val="0"/>
  <w:bordersDoNotSurroundFooter w:val="0"/>
  <w:attachedTemplate r:id="rId1"/>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2A27"/>
    <w:rsid w:val="00034616"/>
    <w:rsid w:val="0006063C"/>
    <w:rsid w:val="000E0C09"/>
    <w:rsid w:val="000E2A08"/>
    <w:rsid w:val="0015074B"/>
    <w:rsid w:val="00165F01"/>
    <w:rsid w:val="001B0705"/>
    <w:rsid w:val="00246623"/>
    <w:rsid w:val="0029639D"/>
    <w:rsid w:val="002A3958"/>
    <w:rsid w:val="00326F90"/>
    <w:rsid w:val="004D2AF6"/>
    <w:rsid w:val="00530A78"/>
    <w:rsid w:val="005315F8"/>
    <w:rsid w:val="00575FAF"/>
    <w:rsid w:val="005C1DBE"/>
    <w:rsid w:val="005F63AF"/>
    <w:rsid w:val="006050CE"/>
    <w:rsid w:val="00813F30"/>
    <w:rsid w:val="00846E16"/>
    <w:rsid w:val="0086163C"/>
    <w:rsid w:val="00901DD8"/>
    <w:rsid w:val="00904B4E"/>
    <w:rsid w:val="009C6C2A"/>
    <w:rsid w:val="00AA1D8D"/>
    <w:rsid w:val="00B47730"/>
    <w:rsid w:val="00BA5EED"/>
    <w:rsid w:val="00C9190B"/>
    <w:rsid w:val="00CB0664"/>
    <w:rsid w:val="00CD2C5F"/>
    <w:rsid w:val="00D95F41"/>
    <w:rsid w:val="00DB1911"/>
    <w:rsid w:val="00DC13E6"/>
    <w:rsid w:val="00E02F57"/>
    <w:rsid w:val="00E839CC"/>
    <w:rsid w:val="00ED7DB2"/>
    <w:rsid w:val="00FC693F"/>
    <w:rsid w:val="21193EA1"/>
    <w:rsid w:val="232519D8"/>
    <w:rsid w:val="23FFDC12"/>
    <w:rsid w:val="3BCF94CD"/>
    <w:rsid w:val="3DFED178"/>
    <w:rsid w:val="3F3B3D57"/>
    <w:rsid w:val="3FFFE37D"/>
    <w:rsid w:val="48574FEF"/>
    <w:rsid w:val="5A86191C"/>
    <w:rsid w:val="5AFEB69E"/>
    <w:rsid w:val="5DFE0A16"/>
    <w:rsid w:val="5FDFB99A"/>
    <w:rsid w:val="5FEFF4A3"/>
    <w:rsid w:val="679ECBD5"/>
    <w:rsid w:val="68BD7B9F"/>
    <w:rsid w:val="6BFA32D9"/>
    <w:rsid w:val="6CEABA93"/>
    <w:rsid w:val="6DC7FEAA"/>
    <w:rsid w:val="6F65277C"/>
    <w:rsid w:val="6FFD1393"/>
    <w:rsid w:val="72D946C9"/>
    <w:rsid w:val="77577D41"/>
    <w:rsid w:val="77F22527"/>
    <w:rsid w:val="7BCB7FEB"/>
    <w:rsid w:val="7BF4E458"/>
    <w:rsid w:val="7BFFEA6E"/>
    <w:rsid w:val="7E7FD0FF"/>
    <w:rsid w:val="7FD70ECA"/>
    <w:rsid w:val="7FEEFC3E"/>
    <w:rsid w:val="7FFDDAF4"/>
    <w:rsid w:val="7FFF1A56"/>
    <w:rsid w:val="9EAF5D61"/>
    <w:rsid w:val="ABFF17F8"/>
    <w:rsid w:val="B178CD2A"/>
    <w:rsid w:val="B2D2995C"/>
    <w:rsid w:val="B3EE35E2"/>
    <w:rsid w:val="BABD00DD"/>
    <w:rsid w:val="BB7FBC3E"/>
    <w:rsid w:val="CF7FE863"/>
    <w:rsid w:val="DDDF8C44"/>
    <w:rsid w:val="DFE3554F"/>
    <w:rsid w:val="ED7E6327"/>
    <w:rsid w:val="EF6F06AE"/>
    <w:rsid w:val="F8F752C0"/>
    <w:rsid w:val="FA7BE2D4"/>
    <w:rsid w:val="FAFABE17"/>
    <w:rsid w:val="FBE7BE11"/>
    <w:rsid w:val="FBF751CA"/>
    <w:rsid w:val="FD77FC19"/>
    <w:rsid w:val="FDFB9649"/>
    <w:rsid w:val="FEDF9A90"/>
    <w:rsid w:val="FF6B687B"/>
    <w:rsid w:val="FFB6E581"/>
    <w:rsid w:val="FFE67D5D"/>
    <w:rsid w:val="FFEE4376"/>
    <w:rsid w:val="FFF7B476"/>
  </w:rsids>
  <m:mathPr>
    <m:mathFont m:val="Cambria Math"/>
    <m:brkBin m:val="before"/>
    <m:brkBinSub m:val="--"/>
    <m:smallFrac m:val="0"/>
    <m:dispDef/>
    <m:lMargin m:val="0"/>
    <m:rMargin m:val="0"/>
    <m:defJc m:val="centerGroup"/>
    <m:wrapIndent m:val="1440"/>
    <m:intLim m:val="subSup"/>
    <m:naryLim m:val="undOvr"/>
  </m:mathPr>
  <w:doNotAutoCompressPictures/>
  <w:themeFontLang w:val="en-US"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fill="f" stroke="f">
      <v:fill on="f" focussize="0,0"/>
      <v:stroke on="f"/>
    </o:shapedefaults>
    <o:shapelayout v:ext="edit">
      <o:idmap v:ext="edit" data="2"/>
    </o:shapelayout>
  </w:shapeDefaults>
  <w14:defaultImageDpi w14:val="300"/>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nhideWhenUsed="0" w:uiPriority="0" w:semiHidden="0" w:name="header"/>
    <w:lsdException w:unhideWhenUsed="0" w:uiPriority="0"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nhideWhenUsed="0" w:uiPriority="0"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nhideWhenUsed="0" w:uiPriority="0"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iPriority="99"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iPriority="99" w:name="List Paragraph"/>
    <w:lsdException w:uiPriority="99" w:name="Quote"/>
    <w:lsdException w:uiPriority="99"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20" w:lineRule="auto"/>
      <w:jc w:val="both"/>
    </w:pPr>
    <w:rPr>
      <w:rFonts w:ascii="Calibri" w:hAnsi="Calibri" w:eastAsiaTheme="minorEastAsia" w:cstheme="minorBidi"/>
      <w:color w:val="000000"/>
      <w:sz w:val="22"/>
      <w:szCs w:val="22"/>
      <w:lang w:val="en-US" w:eastAsia="en-US" w:bidi="ar-SA"/>
    </w:rPr>
  </w:style>
  <w:style w:type="paragraph" w:styleId="3">
    <w:name w:val="heading 1"/>
    <w:basedOn w:val="1"/>
    <w:next w:val="1"/>
    <w:link w:val="140"/>
    <w:qFormat/>
    <w:uiPriority w:val="9"/>
    <w:pPr>
      <w:keepNext/>
      <w:keepLines/>
      <w:spacing w:before="360" w:after="200" w:line="264" w:lineRule="auto"/>
      <w:outlineLvl w:val="0"/>
    </w:pPr>
    <w:rPr>
      <w:rFonts w:asciiTheme="majorHAnsi" w:hAnsiTheme="majorHAnsi" w:eastAsiaTheme="majorEastAsia" w:cstheme="majorBidi"/>
      <w:b/>
      <w:bCs/>
      <w:color w:val="2E74B5"/>
      <w:sz w:val="32"/>
      <w:szCs w:val="28"/>
    </w:rPr>
  </w:style>
  <w:style w:type="paragraph" w:styleId="4">
    <w:name w:val="heading 2"/>
    <w:basedOn w:val="1"/>
    <w:next w:val="1"/>
    <w:link w:val="141"/>
    <w:semiHidden/>
    <w:unhideWhenUsed/>
    <w:qFormat/>
    <w:uiPriority w:val="9"/>
    <w:pPr>
      <w:keepNext/>
      <w:keepLines/>
      <w:spacing w:before="240" w:after="120" w:line="264" w:lineRule="auto"/>
      <w:outlineLvl w:val="1"/>
    </w:pPr>
    <w:rPr>
      <w:rFonts w:asciiTheme="majorHAnsi" w:hAnsiTheme="majorHAnsi" w:eastAsiaTheme="majorEastAsia" w:cstheme="majorBidi"/>
      <w:b/>
      <w:bCs/>
      <w:color w:val="2E74B5"/>
      <w:sz w:val="26"/>
      <w:szCs w:val="26"/>
    </w:rPr>
  </w:style>
  <w:style w:type="paragraph" w:styleId="5">
    <w:name w:val="heading 3"/>
    <w:basedOn w:val="1"/>
    <w:next w:val="1"/>
    <w:link w:val="142"/>
    <w:semiHidden/>
    <w:unhideWhenUsed/>
    <w:qFormat/>
    <w:uiPriority w:val="9"/>
    <w:pPr>
      <w:keepNext/>
      <w:keepLines/>
      <w:spacing w:before="160" w:after="80" w:line="264" w:lineRule="auto"/>
      <w:outlineLvl w:val="2"/>
    </w:pPr>
    <w:rPr>
      <w:rFonts w:asciiTheme="majorHAnsi" w:hAnsiTheme="majorHAnsi" w:eastAsiaTheme="majorEastAsia" w:cstheme="majorBidi"/>
      <w:b/>
      <w:bCs/>
      <w:color w:val="1F4D78"/>
      <w:sz w:val="24"/>
    </w:rPr>
  </w:style>
  <w:style w:type="paragraph" w:styleId="6">
    <w:name w:val="heading 4"/>
    <w:basedOn w:val="1"/>
    <w:next w:val="1"/>
    <w:link w:val="152"/>
    <w:semiHidden/>
    <w:unhideWhenUsed/>
    <w:qFormat/>
    <w:uiPriority w:val="9"/>
    <w:pPr>
      <w:keepNext/>
      <w:keepLines/>
      <w:spacing w:before="200" w:after="0"/>
      <w:outlineLvl w:val="3"/>
    </w:pPr>
    <w:rPr>
      <w:rFonts w:asciiTheme="majorHAnsi" w:hAnsiTheme="majorHAnsi" w:eastAsiaTheme="majorEastAsia" w:cstheme="majorBidi"/>
      <w:b/>
      <w:bCs/>
      <w:i/>
      <w:iCs/>
      <w:color w:val="4F81BD" w:themeColor="accent1"/>
      <w14:textFill>
        <w14:solidFill>
          <w14:schemeClr w14:val="accent1"/>
        </w14:solidFill>
      </w14:textFill>
    </w:rPr>
  </w:style>
  <w:style w:type="paragraph" w:styleId="7">
    <w:name w:val="heading 5"/>
    <w:basedOn w:val="1"/>
    <w:next w:val="1"/>
    <w:link w:val="153"/>
    <w:semiHidden/>
    <w:unhideWhenUsed/>
    <w:qFormat/>
    <w:uiPriority w:val="9"/>
    <w:pPr>
      <w:keepNext/>
      <w:keepLines/>
      <w:spacing w:before="200" w:after="0"/>
      <w:outlineLvl w:val="4"/>
    </w:pPr>
    <w:rPr>
      <w:rFonts w:asciiTheme="majorHAnsi" w:hAnsiTheme="majorHAnsi" w:eastAsiaTheme="majorEastAsia" w:cstheme="majorBidi"/>
      <w:color w:val="254061" w:themeColor="accent1" w:themeShade="80"/>
    </w:rPr>
  </w:style>
  <w:style w:type="paragraph" w:styleId="8">
    <w:name w:val="heading 6"/>
    <w:basedOn w:val="1"/>
    <w:next w:val="1"/>
    <w:link w:val="154"/>
    <w:semiHidden/>
    <w:unhideWhenUsed/>
    <w:qFormat/>
    <w:uiPriority w:val="9"/>
    <w:pPr>
      <w:keepNext/>
      <w:keepLines/>
      <w:spacing w:before="200" w:after="0"/>
      <w:outlineLvl w:val="5"/>
    </w:pPr>
    <w:rPr>
      <w:rFonts w:asciiTheme="majorHAnsi" w:hAnsiTheme="majorHAnsi" w:eastAsiaTheme="majorEastAsia" w:cstheme="majorBidi"/>
      <w:i/>
      <w:iCs/>
      <w:color w:val="254061" w:themeColor="accent1" w:themeShade="80"/>
    </w:rPr>
  </w:style>
  <w:style w:type="paragraph" w:styleId="9">
    <w:name w:val="heading 7"/>
    <w:basedOn w:val="1"/>
    <w:next w:val="1"/>
    <w:link w:val="155"/>
    <w:semiHidden/>
    <w:unhideWhenUsed/>
    <w:qFormat/>
    <w:uiPriority w:val="9"/>
    <w:pPr>
      <w:keepNext/>
      <w:keepLines/>
      <w:spacing w:before="200" w:after="0"/>
      <w:outlineLvl w:val="6"/>
    </w:pPr>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paragraph" w:styleId="10">
    <w:name w:val="heading 8"/>
    <w:basedOn w:val="1"/>
    <w:next w:val="1"/>
    <w:link w:val="156"/>
    <w:semiHidden/>
    <w:unhideWhenUsed/>
    <w:qFormat/>
    <w:uiPriority w:val="9"/>
    <w:pPr>
      <w:keepNext/>
      <w:keepLines/>
      <w:spacing w:before="200" w:after="0"/>
      <w:outlineLvl w:val="7"/>
    </w:pPr>
    <w:rPr>
      <w:rFonts w:asciiTheme="majorHAnsi" w:hAnsiTheme="majorHAnsi" w:eastAsiaTheme="majorEastAsia" w:cstheme="majorBidi"/>
      <w:color w:val="4F81BD" w:themeColor="accent1"/>
      <w:sz w:val="20"/>
      <w:szCs w:val="20"/>
      <w14:textFill>
        <w14:solidFill>
          <w14:schemeClr w14:val="accent1"/>
        </w14:solidFill>
      </w14:textFill>
    </w:rPr>
  </w:style>
  <w:style w:type="paragraph" w:styleId="11">
    <w:name w:val="heading 9"/>
    <w:basedOn w:val="1"/>
    <w:next w:val="1"/>
    <w:link w:val="157"/>
    <w:semiHidden/>
    <w:unhideWhenUsed/>
    <w:qFormat/>
    <w:uiPriority w:val="9"/>
    <w:pPr>
      <w:keepNext/>
      <w:keepLines/>
      <w:spacing w:before="200" w:after="0"/>
      <w:outlineLvl w:val="8"/>
    </w:pPr>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character" w:default="1" w:styleId="133">
    <w:name w:val="Default Paragraph Font"/>
    <w:uiPriority w:val="0"/>
  </w:style>
  <w:style w:type="table" w:default="1" w:styleId="33">
    <w:name w:val="Normal Table"/>
    <w:unhideWhenUsed/>
    <w:uiPriority w:val="99"/>
    <w:tblPr>
      <w:tblCellMar>
        <w:top w:w="0" w:type="dxa"/>
        <w:left w:w="108" w:type="dxa"/>
        <w:bottom w:w="0" w:type="dxa"/>
        <w:right w:w="108" w:type="dxa"/>
      </w:tblCellMar>
    </w:tblPr>
  </w:style>
  <w:style w:type="paragraph" w:styleId="2">
    <w:name w:val="macro"/>
    <w:link w:val="149"/>
    <w:semiHidden/>
    <w:unhideWhenUsed/>
    <w:uiPriority w:val="99"/>
    <w:pPr>
      <w:tabs>
        <w:tab w:val="left" w:pos="576"/>
        <w:tab w:val="left" w:pos="1152"/>
        <w:tab w:val="left" w:pos="1728"/>
        <w:tab w:val="left" w:pos="2304"/>
        <w:tab w:val="left" w:pos="2880"/>
        <w:tab w:val="left" w:pos="3456"/>
        <w:tab w:val="left" w:pos="4032"/>
      </w:tabs>
      <w:spacing w:after="200" w:line="276" w:lineRule="auto"/>
    </w:pPr>
    <w:rPr>
      <w:rFonts w:ascii="Courier" w:hAnsi="Courier" w:eastAsiaTheme="minorEastAsia" w:cstheme="minorBidi"/>
      <w:sz w:val="20"/>
      <w:szCs w:val="20"/>
      <w:lang w:val="en-US" w:eastAsia="en-US" w:bidi="ar-SA"/>
    </w:rPr>
  </w:style>
  <w:style w:type="paragraph" w:styleId="12">
    <w:name w:val="List 3"/>
    <w:basedOn w:val="1"/>
    <w:semiHidden/>
    <w:unhideWhenUsed/>
    <w:uiPriority w:val="99"/>
    <w:pPr>
      <w:ind w:left="1080" w:hanging="360"/>
      <w:contextualSpacing/>
    </w:pPr>
  </w:style>
  <w:style w:type="paragraph" w:styleId="13">
    <w:name w:val="List Number 2"/>
    <w:basedOn w:val="1"/>
    <w:semiHidden/>
    <w:unhideWhenUsed/>
    <w:uiPriority w:val="99"/>
    <w:pPr>
      <w:numPr>
        <w:ilvl w:val="0"/>
        <w:numId w:val="1"/>
      </w:numPr>
      <w:contextualSpacing/>
    </w:pPr>
  </w:style>
  <w:style w:type="paragraph" w:styleId="14">
    <w:name w:val="List Number"/>
    <w:basedOn w:val="1"/>
    <w:semiHidden/>
    <w:unhideWhenUsed/>
    <w:uiPriority w:val="99"/>
    <w:pPr>
      <w:numPr>
        <w:ilvl w:val="0"/>
        <w:numId w:val="2"/>
      </w:numPr>
      <w:contextualSpacing/>
    </w:pPr>
  </w:style>
  <w:style w:type="paragraph" w:styleId="15">
    <w:name w:val="caption"/>
    <w:basedOn w:val="1"/>
    <w:next w:val="1"/>
    <w:semiHidden/>
    <w:unhideWhenUsed/>
    <w:qFormat/>
    <w:uiPriority w:val="35"/>
    <w:pPr>
      <w:spacing w:line="240" w:lineRule="auto"/>
    </w:pPr>
    <w:rPr>
      <w:b/>
      <w:bCs/>
      <w:color w:val="4F81BD" w:themeColor="accent1"/>
      <w:sz w:val="18"/>
      <w:szCs w:val="18"/>
      <w14:textFill>
        <w14:solidFill>
          <w14:schemeClr w14:val="accent1"/>
        </w14:solidFill>
      </w14:textFill>
    </w:rPr>
  </w:style>
  <w:style w:type="paragraph" w:styleId="16">
    <w:name w:val="List Bullet"/>
    <w:basedOn w:val="1"/>
    <w:semiHidden/>
    <w:unhideWhenUsed/>
    <w:uiPriority w:val="99"/>
    <w:pPr>
      <w:numPr>
        <w:ilvl w:val="0"/>
        <w:numId w:val="3"/>
      </w:numPr>
      <w:contextualSpacing/>
    </w:pPr>
  </w:style>
  <w:style w:type="paragraph" w:styleId="17">
    <w:name w:val="Body Text 3"/>
    <w:basedOn w:val="1"/>
    <w:link w:val="148"/>
    <w:semiHidden/>
    <w:unhideWhenUsed/>
    <w:uiPriority w:val="99"/>
    <w:pPr>
      <w:spacing w:after="120"/>
    </w:pPr>
    <w:rPr>
      <w:sz w:val="16"/>
      <w:szCs w:val="16"/>
    </w:rPr>
  </w:style>
  <w:style w:type="paragraph" w:styleId="18">
    <w:name w:val="List Bullet 3"/>
    <w:basedOn w:val="1"/>
    <w:semiHidden/>
    <w:unhideWhenUsed/>
    <w:uiPriority w:val="99"/>
    <w:pPr>
      <w:numPr>
        <w:ilvl w:val="0"/>
        <w:numId w:val="4"/>
      </w:numPr>
      <w:contextualSpacing/>
    </w:pPr>
  </w:style>
  <w:style w:type="paragraph" w:styleId="19">
    <w:name w:val="Body Text"/>
    <w:basedOn w:val="1"/>
    <w:link w:val="146"/>
    <w:semiHidden/>
    <w:unhideWhenUsed/>
    <w:uiPriority w:val="99"/>
    <w:pPr>
      <w:spacing w:after="120"/>
    </w:pPr>
  </w:style>
  <w:style w:type="paragraph" w:styleId="20">
    <w:name w:val="List Number 3"/>
    <w:basedOn w:val="1"/>
    <w:semiHidden/>
    <w:unhideWhenUsed/>
    <w:uiPriority w:val="99"/>
    <w:pPr>
      <w:numPr>
        <w:ilvl w:val="0"/>
        <w:numId w:val="5"/>
      </w:numPr>
      <w:contextualSpacing/>
    </w:pPr>
  </w:style>
  <w:style w:type="paragraph" w:styleId="21">
    <w:name w:val="List 2"/>
    <w:basedOn w:val="1"/>
    <w:semiHidden/>
    <w:unhideWhenUsed/>
    <w:uiPriority w:val="99"/>
    <w:pPr>
      <w:ind w:left="720" w:hanging="360"/>
      <w:contextualSpacing/>
    </w:pPr>
  </w:style>
  <w:style w:type="paragraph" w:styleId="22">
    <w:name w:val="List Continue"/>
    <w:basedOn w:val="1"/>
    <w:semiHidden/>
    <w:unhideWhenUsed/>
    <w:uiPriority w:val="99"/>
    <w:pPr>
      <w:spacing w:after="120"/>
      <w:ind w:left="360"/>
      <w:contextualSpacing/>
    </w:pPr>
  </w:style>
  <w:style w:type="paragraph" w:styleId="23">
    <w:name w:val="List Bullet 2"/>
    <w:basedOn w:val="1"/>
    <w:semiHidden/>
    <w:unhideWhenUsed/>
    <w:uiPriority w:val="99"/>
    <w:pPr>
      <w:numPr>
        <w:ilvl w:val="0"/>
        <w:numId w:val="6"/>
      </w:numPr>
      <w:contextualSpacing/>
    </w:pPr>
  </w:style>
  <w:style w:type="paragraph" w:styleId="24">
    <w:name w:val="footer"/>
    <w:basedOn w:val="1"/>
    <w:link w:val="138"/>
    <w:uiPriority w:val="0"/>
    <w:pPr>
      <w:tabs>
        <w:tab w:val="center" w:pos="4680"/>
        <w:tab w:val="right" w:pos="9360"/>
      </w:tabs>
      <w:spacing w:after="0" w:line="240" w:lineRule="auto"/>
    </w:pPr>
  </w:style>
  <w:style w:type="paragraph" w:styleId="25">
    <w:name w:val="header"/>
    <w:basedOn w:val="1"/>
    <w:link w:val="137"/>
    <w:uiPriority w:val="0"/>
    <w:pPr>
      <w:tabs>
        <w:tab w:val="center" w:pos="4680"/>
        <w:tab w:val="right" w:pos="9360"/>
      </w:tabs>
      <w:spacing w:after="0" w:line="240" w:lineRule="auto"/>
    </w:pPr>
  </w:style>
  <w:style w:type="paragraph" w:styleId="26">
    <w:name w:val="toc 1"/>
    <w:basedOn w:val="1"/>
    <w:next w:val="1"/>
    <w:semiHidden/>
    <w:unhideWhenUsed/>
    <w:uiPriority w:val="39"/>
  </w:style>
  <w:style w:type="paragraph" w:styleId="27">
    <w:name w:val="Subtitle"/>
    <w:basedOn w:val="1"/>
    <w:next w:val="1"/>
    <w:link w:val="144"/>
    <w:qFormat/>
    <w:uiPriority w:val="11"/>
    <w:pPr>
      <w:spacing w:after="280" w:line="264" w:lineRule="auto"/>
    </w:pPr>
    <w:rPr>
      <w:rFonts w:asciiTheme="majorHAnsi" w:hAnsiTheme="majorHAnsi" w:eastAsiaTheme="majorEastAsia" w:cstheme="majorBidi"/>
      <w:i/>
      <w:iCs/>
      <w:color w:val="555555"/>
      <w:spacing w:val="15"/>
      <w:sz w:val="25"/>
      <w:szCs w:val="24"/>
    </w:rPr>
  </w:style>
  <w:style w:type="paragraph" w:styleId="28">
    <w:name w:val="List"/>
    <w:basedOn w:val="1"/>
    <w:semiHidden/>
    <w:unhideWhenUsed/>
    <w:uiPriority w:val="99"/>
    <w:pPr>
      <w:ind w:left="360" w:hanging="360"/>
      <w:contextualSpacing/>
    </w:pPr>
  </w:style>
  <w:style w:type="paragraph" w:styleId="29">
    <w:name w:val="Body Text 2"/>
    <w:basedOn w:val="1"/>
    <w:link w:val="147"/>
    <w:semiHidden/>
    <w:unhideWhenUsed/>
    <w:uiPriority w:val="99"/>
    <w:pPr>
      <w:spacing w:after="120" w:line="480" w:lineRule="auto"/>
    </w:pPr>
  </w:style>
  <w:style w:type="paragraph" w:styleId="30">
    <w:name w:val="List Continue 2"/>
    <w:basedOn w:val="1"/>
    <w:semiHidden/>
    <w:unhideWhenUsed/>
    <w:uiPriority w:val="99"/>
    <w:pPr>
      <w:spacing w:after="120"/>
      <w:ind w:left="720"/>
      <w:contextualSpacing/>
    </w:pPr>
  </w:style>
  <w:style w:type="paragraph" w:styleId="31">
    <w:name w:val="List Continue 3"/>
    <w:basedOn w:val="1"/>
    <w:semiHidden/>
    <w:unhideWhenUsed/>
    <w:uiPriority w:val="99"/>
    <w:pPr>
      <w:spacing w:after="120"/>
      <w:ind w:left="1080"/>
      <w:contextualSpacing/>
    </w:pPr>
  </w:style>
  <w:style w:type="paragraph" w:styleId="32">
    <w:name w:val="Title"/>
    <w:basedOn w:val="1"/>
    <w:next w:val="1"/>
    <w:link w:val="143"/>
    <w:qFormat/>
    <w:uiPriority w:val="10"/>
    <w:pPr>
      <w:pBdr>
        <w:bottom w:val="single" w:color="4F81BD" w:themeColor="accent1" w:sz="8" w:space="4"/>
      </w:pBdr>
      <w:spacing w:before="360" w:after="80" w:line="264" w:lineRule="auto"/>
      <w:contextualSpacing/>
      <w:jc w:val="left"/>
    </w:pPr>
    <w:rPr>
      <w:rFonts w:asciiTheme="majorHAnsi" w:hAnsiTheme="majorHAnsi" w:eastAsiaTheme="majorEastAsia" w:cstheme="majorBidi"/>
      <w:b/>
      <w:spacing w:val="5"/>
      <w:kern w:val="28"/>
      <w:sz w:val="46"/>
      <w:szCs w:val="52"/>
    </w:rPr>
  </w:style>
  <w:style w:type="table" w:styleId="34">
    <w:name w:val="Table Grid"/>
    <w:basedOn w:val="33"/>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35">
    <w:name w:val="Light Shading"/>
    <w:basedOn w:val="33"/>
    <w:uiPriority w:val="60"/>
    <w:pPr>
      <w:spacing w:after="0" w:line="240" w:lineRule="auto"/>
    </w:pPr>
    <w:rPr>
      <w:color w:val="000000" w:themeColor="text1" w:themeShade="BF"/>
    </w:rPr>
    <w:tblPr>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left w:val="nil"/>
          <w:right w:val="nil"/>
          <w:insideH w:val="nil"/>
          <w:insideV w:val="nil"/>
        </w:tcBorders>
        <w:shd w:val="clear" w:color="auto" w:fill="BFBFBF" w:themeFill="text1" w:themeFillTint="3F"/>
      </w:tcPr>
    </w:tblStylePr>
  </w:style>
  <w:style w:type="table" w:styleId="36">
    <w:name w:val="Light Shading Accent 1"/>
    <w:basedOn w:val="33"/>
    <w:uiPriority w:val="60"/>
    <w:pPr>
      <w:spacing w:after="0" w:line="240" w:lineRule="auto"/>
    </w:pPr>
    <w:rPr>
      <w:color w:val="376092" w:themeColor="accent1" w:themeShade="BF"/>
    </w:rPr>
    <w:tblPr>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37">
    <w:name w:val="Light Shading Accent 2"/>
    <w:basedOn w:val="33"/>
    <w:uiPriority w:val="60"/>
    <w:pPr>
      <w:spacing w:after="0" w:line="240" w:lineRule="auto"/>
    </w:pPr>
    <w:rPr>
      <w:color w:val="953735" w:themeColor="accent2" w:themeShade="BF"/>
    </w:rPr>
    <w:tblPr>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left w:val="nil"/>
          <w:right w:val="nil"/>
          <w:insideH w:val="nil"/>
          <w:insideV w:val="nil"/>
        </w:tcBorders>
        <w:shd w:val="clear" w:color="auto" w:fill="EFD3D3" w:themeFill="accent2" w:themeFillTint="3F"/>
      </w:tcPr>
    </w:tblStylePr>
  </w:style>
  <w:style w:type="table" w:styleId="38">
    <w:name w:val="Light Shading Accent 3"/>
    <w:basedOn w:val="33"/>
    <w:uiPriority w:val="60"/>
    <w:pPr>
      <w:spacing w:after="0" w:line="240" w:lineRule="auto"/>
    </w:pPr>
    <w:rPr>
      <w:color w:val="77933C" w:themeColor="accent3" w:themeShade="BF"/>
    </w:rPr>
    <w:tblPr>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39">
    <w:name w:val="Light Shading Accent 4"/>
    <w:basedOn w:val="33"/>
    <w:uiPriority w:val="60"/>
    <w:pPr>
      <w:spacing w:after="0" w:line="240" w:lineRule="auto"/>
    </w:pPr>
    <w:rPr>
      <w:color w:val="604A7B" w:themeColor="accent4" w:themeShade="BF"/>
    </w:rPr>
    <w:tblPr>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40">
    <w:name w:val="Light Shading Accent 5"/>
    <w:basedOn w:val="33"/>
    <w:uiPriority w:val="60"/>
    <w:pPr>
      <w:spacing w:after="0" w:line="240" w:lineRule="auto"/>
    </w:pPr>
    <w:rPr>
      <w:color w:val="31859C" w:themeColor="accent5" w:themeShade="BF"/>
    </w:rPr>
    <w:tblPr>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left w:val="nil"/>
          <w:right w:val="nil"/>
          <w:insideH w:val="nil"/>
          <w:insideV w:val="nil"/>
        </w:tcBorders>
        <w:shd w:val="clear" w:color="auto" w:fill="D2EAF0" w:themeFill="accent5" w:themeFillTint="3F"/>
      </w:tcPr>
    </w:tblStylePr>
  </w:style>
  <w:style w:type="table" w:styleId="41">
    <w:name w:val="Light Shading Accent 6"/>
    <w:basedOn w:val="33"/>
    <w:uiPriority w:val="60"/>
    <w:pPr>
      <w:spacing w:after="0" w:line="240" w:lineRule="auto"/>
    </w:pPr>
    <w:rPr>
      <w:color w:val="E46C0A" w:themeColor="accent6" w:themeShade="BF"/>
    </w:rPr>
    <w:tblPr>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left w:val="nil"/>
          <w:right w:val="nil"/>
          <w:insideH w:val="nil"/>
          <w:insideV w:val="nil"/>
        </w:tcBorders>
        <w:shd w:val="clear" w:color="auto" w:fill="FDE5D1" w:themeFill="accent6" w:themeFillTint="3F"/>
      </w:tcPr>
    </w:tblStylePr>
  </w:style>
  <w:style w:type="table" w:styleId="42">
    <w:name w:val="Light List"/>
    <w:basedOn w:val="33"/>
    <w:uiPriority w:val="61"/>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43">
    <w:name w:val="Light List Accent 1"/>
    <w:basedOn w:val="33"/>
    <w:uiPriority w:val="61"/>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44">
    <w:name w:val="Light List Accent 2"/>
    <w:basedOn w:val="33"/>
    <w:uiPriority w:val="61"/>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45">
    <w:name w:val="Light List Accent 3"/>
    <w:basedOn w:val="33"/>
    <w:uiPriority w:val="61"/>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46">
    <w:name w:val="Light List Accent 4"/>
    <w:basedOn w:val="33"/>
    <w:uiPriority w:val="61"/>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47">
    <w:name w:val="Light List Accent 5"/>
    <w:basedOn w:val="33"/>
    <w:uiPriority w:val="61"/>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48">
    <w:name w:val="Light List Accent 6"/>
    <w:basedOn w:val="33"/>
    <w:uiPriority w:val="61"/>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14:textFill>
          <w14:solidFill>
            <w14:schemeClr w14:val="bg1"/>
          </w14:solidFill>
        </w14:textFill>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49">
    <w:name w:val="Light Grid"/>
    <w:basedOn w:val="33"/>
    <w:uiPriority w:val="62"/>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FBFBF"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shd w:val="clear" w:color="auto" w:fill="BFBFBF"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tcPr>
    </w:tblStylePr>
  </w:style>
  <w:style w:type="table" w:styleId="50">
    <w:name w:val="Light Grid Accent 1"/>
    <w:basedOn w:val="33"/>
    <w:uiPriority w:val="62"/>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tcPr>
    </w:tblStylePr>
  </w:style>
  <w:style w:type="table" w:styleId="51">
    <w:name w:val="Light Grid Accent 2"/>
    <w:basedOn w:val="33"/>
    <w:uiPriority w:val="62"/>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3"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shd w:val="clear" w:color="auto" w:fill="EFD3D3"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tcPr>
    </w:tblStylePr>
  </w:style>
  <w:style w:type="table" w:styleId="52">
    <w:name w:val="Light Grid Accent 3"/>
    <w:basedOn w:val="33"/>
    <w:uiPriority w:val="62"/>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tcPr>
    </w:tblStylePr>
  </w:style>
  <w:style w:type="table" w:styleId="53">
    <w:name w:val="Light Grid Accent 4"/>
    <w:basedOn w:val="33"/>
    <w:uiPriority w:val="62"/>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tcPr>
    </w:tblStylePr>
  </w:style>
  <w:style w:type="table" w:styleId="54">
    <w:name w:val="Light Grid Accent 5"/>
    <w:basedOn w:val="33"/>
    <w:uiPriority w:val="62"/>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0"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shd w:val="clear" w:color="auto" w:fill="D2EAF0"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tcPr>
    </w:tblStylePr>
  </w:style>
  <w:style w:type="table" w:styleId="55">
    <w:name w:val="Light Grid Accent 6"/>
    <w:basedOn w:val="33"/>
    <w:uiPriority w:val="62"/>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5D1"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shd w:val="clear" w:color="auto" w:fill="FDE5D1"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tcPr>
    </w:tblStylePr>
  </w:style>
  <w:style w:type="table" w:styleId="56">
    <w:name w:val="Medium Shading 1"/>
    <w:basedOn w:val="33"/>
    <w:uiPriority w:val="63"/>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3F3F3F" w:themeColor="text1" w:themeTint="BF" w:sz="6" w:space="0"/>
          <w:left w:val="single" w:color="3F3F3F" w:themeColor="text1" w:themeTint="BF" w:sz="8" w:space="0"/>
          <w:bottom w:val="single" w:color="3F3F3F" w:themeColor="text1" w:themeTint="BF" w:sz="8" w:space="0"/>
          <w:right w:val="single" w:color="3F3F3F"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BFBFBF" w:themeFill="text1" w:themeFillTint="3F"/>
      </w:tcPr>
    </w:tblStylePr>
    <w:tblStylePr w:type="band1Horz">
      <w:tblPr/>
      <w:tcPr>
        <w:tcBorders>
          <w:insideH w:val="nil"/>
          <w:insideV w:val="nil"/>
        </w:tcBorders>
        <w:shd w:val="clear" w:color="auto" w:fill="BFBFBF" w:themeFill="text1" w:themeFillTint="3F"/>
      </w:tcPr>
    </w:tblStylePr>
    <w:tblStylePr w:type="band2Horz">
      <w:tblPr/>
      <w:tcPr>
        <w:tcBorders>
          <w:insideH w:val="nil"/>
          <w:insideV w:val="nil"/>
        </w:tcBorders>
      </w:tcPr>
    </w:tblStylePr>
  </w:style>
  <w:style w:type="table" w:styleId="57">
    <w:name w:val="Medium Shading 1 Accent 1"/>
    <w:basedOn w:val="33"/>
    <w:uiPriority w:val="63"/>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58">
    <w:name w:val="Medium Shading 1 Accent 2"/>
    <w:basedOn w:val="33"/>
    <w:uiPriority w:val="63"/>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3" w:themeFill="accent2" w:themeFillTint="3F"/>
      </w:tcPr>
    </w:tblStylePr>
    <w:tblStylePr w:type="band1Horz">
      <w:tblPr/>
      <w:tcPr>
        <w:tcBorders>
          <w:insideH w:val="nil"/>
          <w:insideV w:val="nil"/>
        </w:tcBorders>
        <w:shd w:val="clear" w:color="auto" w:fill="EFD3D3" w:themeFill="accent2" w:themeFillTint="3F"/>
      </w:tcPr>
    </w:tblStylePr>
    <w:tblStylePr w:type="band2Horz">
      <w:tblPr/>
      <w:tcPr>
        <w:tcBorders>
          <w:insideH w:val="nil"/>
          <w:insideV w:val="nil"/>
        </w:tcBorders>
      </w:tcPr>
    </w:tblStylePr>
  </w:style>
  <w:style w:type="table" w:styleId="59">
    <w:name w:val="Medium Shading 1 Accent 3"/>
    <w:basedOn w:val="33"/>
    <w:uiPriority w:val="63"/>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4CC82" w:themeColor="accent3" w:themeTint="BF" w:sz="6"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60">
    <w:name w:val="Medium Shading 1 Accent 4"/>
    <w:basedOn w:val="33"/>
    <w:uiPriority w:val="63"/>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61">
    <w:name w:val="Medium Shading 1 Accent 5"/>
    <w:basedOn w:val="33"/>
    <w:uiPriority w:val="63"/>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0" w:themeFill="accent5" w:themeFillTint="3F"/>
      </w:tcPr>
    </w:tblStylePr>
    <w:tblStylePr w:type="band1Horz">
      <w:tblPr/>
      <w:tcPr>
        <w:tcBorders>
          <w:insideH w:val="nil"/>
          <w:insideV w:val="nil"/>
        </w:tcBorders>
        <w:shd w:val="clear" w:color="auto" w:fill="D2EAF0" w:themeFill="accent5" w:themeFillTint="3F"/>
      </w:tcPr>
    </w:tblStylePr>
    <w:tblStylePr w:type="band2Horz">
      <w:tblPr/>
      <w:tcPr>
        <w:tcBorders>
          <w:insideH w:val="nil"/>
          <w:insideV w:val="nil"/>
        </w:tcBorders>
      </w:tcPr>
    </w:tblStylePr>
  </w:style>
  <w:style w:type="table" w:styleId="62">
    <w:name w:val="Medium Shading 1 Accent 6"/>
    <w:basedOn w:val="33"/>
    <w:uiPriority w:val="63"/>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5D1" w:themeFill="accent6" w:themeFillTint="3F"/>
      </w:tcPr>
    </w:tblStylePr>
    <w:tblStylePr w:type="band1Horz">
      <w:tblPr/>
      <w:tcPr>
        <w:tcBorders>
          <w:insideH w:val="nil"/>
          <w:insideV w:val="nil"/>
        </w:tcBorders>
        <w:shd w:val="clear" w:color="auto" w:fill="FDE5D1" w:themeFill="accent6" w:themeFillTint="3F"/>
      </w:tcPr>
    </w:tblStylePr>
    <w:tblStylePr w:type="band2Horz">
      <w:tblPr/>
      <w:tcPr>
        <w:tcBorders>
          <w:insideH w:val="nil"/>
          <w:insideV w:val="nil"/>
        </w:tcBorders>
      </w:tcPr>
    </w:tblStylePr>
  </w:style>
  <w:style w:type="table" w:styleId="63">
    <w:name w:val="Medium Shading 2"/>
    <w:basedOn w:val="33"/>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4">
    <w:name w:val="Medium Shading 2 Accent 1"/>
    <w:basedOn w:val="33"/>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5">
    <w:name w:val="Medium Shading 2 Accent 2"/>
    <w:basedOn w:val="33"/>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6">
    <w:name w:val="Medium Shading 2 Accent 3"/>
    <w:basedOn w:val="33"/>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7">
    <w:name w:val="Medium Shading 2 Accent 4"/>
    <w:basedOn w:val="33"/>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8">
    <w:name w:val="Medium Shading 2 Accent 5"/>
    <w:basedOn w:val="33"/>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9">
    <w:name w:val="Medium Shading 2 Accent 6"/>
    <w:basedOn w:val="33"/>
    <w:uiPriority w:val="64"/>
    <w:pPr>
      <w:spacing w:after="0" w:line="240" w:lineRule="auto"/>
    </w:pPr>
    <w:tblPr>
      <w:tblBorders>
        <w:top w:val="single" w:color="auto" w:sz="18" w:space="0"/>
        <w:bottom w:val="single" w:color="auto" w:sz="18" w:space="0"/>
      </w:tblBorders>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0">
    <w:name w:val="Medium List 1"/>
    <w:basedOn w:val="33"/>
    <w:uiPriority w:val="65"/>
    <w:pPr>
      <w:spacing w:after="0" w:line="240" w:lineRule="auto"/>
    </w:pPr>
    <w:rPr>
      <w:color w:val="000000" w:themeColor="text1"/>
      <w14:textFill>
        <w14:solidFill>
          <w14:schemeClr w14:val="tx1"/>
        </w14:solidFill>
      </w14:textFill>
    </w:rPr>
    <w:tblPr>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14:textFill>
          <w14:solidFill>
            <w14:schemeClr w14:val="tx2"/>
          </w14:solidFill>
        </w14:textFill>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BFBFBF" w:themeFill="text1" w:themeFillTint="3F"/>
      </w:tcPr>
    </w:tblStylePr>
    <w:tblStylePr w:type="band1Horz">
      <w:tblPr/>
      <w:tcPr>
        <w:shd w:val="clear" w:color="auto" w:fill="BFBFBF" w:themeFill="text1" w:themeFillTint="3F"/>
      </w:tcPr>
    </w:tblStylePr>
  </w:style>
  <w:style w:type="table" w:styleId="71">
    <w:name w:val="Medium List 1 Accent 1"/>
    <w:basedOn w:val="33"/>
    <w:uiPriority w:val="65"/>
    <w:pPr>
      <w:spacing w:after="0" w:line="240" w:lineRule="auto"/>
    </w:pPr>
    <w:rPr>
      <w:color w:val="000000" w:themeColor="text1"/>
      <w14:textFill>
        <w14:solidFill>
          <w14:schemeClr w14:val="tx1"/>
        </w14:solidFill>
      </w14:textFill>
    </w:rPr>
    <w:tblPr>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14:textFill>
          <w14:solidFill>
            <w14:schemeClr w14:val="tx2"/>
          </w14:solidFill>
        </w14:textFill>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72">
    <w:name w:val="Medium List 1 Accent 2"/>
    <w:basedOn w:val="33"/>
    <w:uiPriority w:val="65"/>
    <w:pPr>
      <w:spacing w:after="0" w:line="240" w:lineRule="auto"/>
    </w:pPr>
    <w:rPr>
      <w:color w:val="000000" w:themeColor="text1"/>
      <w14:textFill>
        <w14:solidFill>
          <w14:schemeClr w14:val="tx1"/>
        </w14:solidFill>
      </w14:textFill>
    </w:rPr>
    <w:tblPr>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14:textFill>
          <w14:solidFill>
            <w14:schemeClr w14:val="tx2"/>
          </w14:solidFill>
        </w14:textFill>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3" w:themeFill="accent2" w:themeFillTint="3F"/>
      </w:tcPr>
    </w:tblStylePr>
    <w:tblStylePr w:type="band1Horz">
      <w:tblPr/>
      <w:tcPr>
        <w:shd w:val="clear" w:color="auto" w:fill="EFD3D3" w:themeFill="accent2" w:themeFillTint="3F"/>
      </w:tcPr>
    </w:tblStylePr>
  </w:style>
  <w:style w:type="table" w:styleId="73">
    <w:name w:val="Medium List 1 Accent 3"/>
    <w:basedOn w:val="33"/>
    <w:uiPriority w:val="65"/>
    <w:pPr>
      <w:spacing w:after="0" w:line="240" w:lineRule="auto"/>
    </w:pPr>
    <w:rPr>
      <w:color w:val="000000" w:themeColor="text1"/>
      <w14:textFill>
        <w14:solidFill>
          <w14:schemeClr w14:val="tx1"/>
        </w14:solidFill>
      </w14:textFill>
    </w:rPr>
    <w:tblPr>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14:textFill>
          <w14:solidFill>
            <w14:schemeClr w14:val="tx2"/>
          </w14:solidFill>
        </w14:textFill>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74">
    <w:name w:val="Medium List 1 Accent 4"/>
    <w:basedOn w:val="33"/>
    <w:uiPriority w:val="65"/>
    <w:pPr>
      <w:spacing w:after="0" w:line="240" w:lineRule="auto"/>
    </w:pPr>
    <w:rPr>
      <w:color w:val="000000" w:themeColor="text1"/>
      <w14:textFill>
        <w14:solidFill>
          <w14:schemeClr w14:val="tx1"/>
        </w14:solidFill>
      </w14:textFill>
    </w:rPr>
    <w:tblPr>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14:textFill>
          <w14:solidFill>
            <w14:schemeClr w14:val="tx2"/>
          </w14:solidFill>
        </w14:textFill>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75">
    <w:name w:val="Medium List 1 Accent 5"/>
    <w:basedOn w:val="33"/>
    <w:uiPriority w:val="65"/>
    <w:pPr>
      <w:spacing w:after="0" w:line="240" w:lineRule="auto"/>
    </w:pPr>
    <w:rPr>
      <w:color w:val="000000" w:themeColor="text1"/>
      <w14:textFill>
        <w14:solidFill>
          <w14:schemeClr w14:val="tx1"/>
        </w14:solidFill>
      </w14:textFill>
    </w:rPr>
    <w:tblPr>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14:textFill>
          <w14:solidFill>
            <w14:schemeClr w14:val="tx2"/>
          </w14:solidFill>
        </w14:textFill>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0" w:themeFill="accent5" w:themeFillTint="3F"/>
      </w:tcPr>
    </w:tblStylePr>
    <w:tblStylePr w:type="band1Horz">
      <w:tblPr/>
      <w:tcPr>
        <w:shd w:val="clear" w:color="auto" w:fill="D2EAF0" w:themeFill="accent5" w:themeFillTint="3F"/>
      </w:tcPr>
    </w:tblStylePr>
  </w:style>
  <w:style w:type="table" w:styleId="76">
    <w:name w:val="Medium List 1 Accent 6"/>
    <w:basedOn w:val="33"/>
    <w:uiPriority w:val="65"/>
    <w:pPr>
      <w:spacing w:after="0" w:line="240" w:lineRule="auto"/>
    </w:pPr>
    <w:rPr>
      <w:color w:val="000000" w:themeColor="text1"/>
      <w14:textFill>
        <w14:solidFill>
          <w14:schemeClr w14:val="tx1"/>
        </w14:solidFill>
      </w14:textFill>
    </w:rPr>
    <w:tblPr>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14:textFill>
          <w14:solidFill>
            <w14:schemeClr w14:val="tx2"/>
          </w14:solidFill>
        </w14:textFill>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5D1" w:themeFill="accent6" w:themeFillTint="3F"/>
      </w:tcPr>
    </w:tblStylePr>
    <w:tblStylePr w:type="band1Horz">
      <w:tblPr/>
      <w:tcPr>
        <w:shd w:val="clear" w:color="auto" w:fill="FDE5D1" w:themeFill="accent6" w:themeFillTint="3F"/>
      </w:tcPr>
    </w:tblStylePr>
  </w:style>
  <w:style w:type="table" w:styleId="77">
    <w:name w:val="Medium List 2"/>
    <w:basedOn w:val="33"/>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top w:val="nil"/>
          <w:bottom w:val="nil"/>
          <w:insideH w:val="nil"/>
          <w:insideV w:val="nil"/>
        </w:tcBorders>
        <w:shd w:val="clear" w:color="auto" w:fill="BFBFBF"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78">
    <w:name w:val="Medium List 2 Accent 1"/>
    <w:basedOn w:val="33"/>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79">
    <w:name w:val="Medium List 2 Accent 2"/>
    <w:basedOn w:val="33"/>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top w:val="nil"/>
          <w:bottom w:val="nil"/>
          <w:insideH w:val="nil"/>
          <w:insideV w:val="nil"/>
        </w:tcBorders>
        <w:shd w:val="clear" w:color="auto" w:fill="EFD3D3"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80">
    <w:name w:val="Medium List 2 Accent 3"/>
    <w:basedOn w:val="33"/>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81">
    <w:name w:val="Medium List 2 Accent 4"/>
    <w:basedOn w:val="33"/>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82">
    <w:name w:val="Medium List 2 Accent 5"/>
    <w:basedOn w:val="33"/>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top w:val="nil"/>
          <w:bottom w:val="nil"/>
          <w:insideH w:val="nil"/>
          <w:insideV w:val="nil"/>
        </w:tcBorders>
        <w:shd w:val="clear" w:color="auto" w:fill="D2EAF0"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83">
    <w:name w:val="Medium List 2 Accent 6"/>
    <w:basedOn w:val="33"/>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top w:val="nil"/>
          <w:bottom w:val="nil"/>
          <w:insideH w:val="nil"/>
          <w:insideV w:val="nil"/>
        </w:tcBorders>
        <w:shd w:val="clear" w:color="auto" w:fill="FDE5D1"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84">
    <w:name w:val="Medium Grid 1"/>
    <w:basedOn w:val="33"/>
    <w:uiPriority w:val="67"/>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insideV w:val="single" w:color="3F3F3F" w:themeColor="text1" w:themeTint="BF" w:sz="8" w:space="0"/>
      </w:tblBorders>
    </w:tblPr>
    <w:tcPr>
      <w:shd w:val="clear" w:color="auto" w:fill="BFBFBF" w:themeFill="text1" w:themeFillTint="3F"/>
    </w:tcPr>
    <w:tblStylePr w:type="firstRow">
      <w:rPr>
        <w:b/>
        <w:bCs/>
      </w:rPr>
    </w:tblStylePr>
    <w:tblStylePr w:type="lastRow">
      <w:rPr>
        <w:b/>
        <w:bCs/>
      </w:rPr>
      <w:tblPr/>
      <w:tcPr>
        <w:tcBorders>
          <w:top w:val="single" w:color="3F3F3F" w:themeColor="text1" w:themeTint="BF" w:sz="18" w:space="0"/>
        </w:tcBorders>
      </w:tcPr>
    </w:tblStylePr>
    <w:tblStylePr w:type="firstCol">
      <w:rPr>
        <w:b/>
        <w:bCs/>
      </w:rPr>
    </w:tblStylePr>
    <w:tblStylePr w:type="lastCol">
      <w:rPr>
        <w:b/>
        <w:bCs/>
      </w:r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85">
    <w:name w:val="Medium Grid 1 Accent 1"/>
    <w:basedOn w:val="33"/>
    <w:uiPriority w:val="67"/>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86">
    <w:name w:val="Medium Grid 1 Accent 2"/>
    <w:basedOn w:val="33"/>
    <w:uiPriority w:val="67"/>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3"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87">
    <w:name w:val="Medium Grid 1 Accent 3"/>
    <w:basedOn w:val="33"/>
    <w:uiPriority w:val="67"/>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insideV w:val="single" w:color="B4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4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88">
    <w:name w:val="Medium Grid 1 Accent 4"/>
    <w:basedOn w:val="33"/>
    <w:uiPriority w:val="67"/>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89">
    <w:name w:val="Medium Grid 1 Accent 5"/>
    <w:basedOn w:val="33"/>
    <w:uiPriority w:val="67"/>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0"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90">
    <w:name w:val="Medium Grid 1 Accent 6"/>
    <w:basedOn w:val="33"/>
    <w:uiPriority w:val="67"/>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5D1"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91">
    <w:name w:val="Medium Grid 2"/>
    <w:basedOn w:val="33"/>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BFBFBF" w:themeFill="text1" w:themeFillTint="3F"/>
    </w:tcPr>
    <w:tblStylePr w:type="firstRow">
      <w:rPr>
        <w:b/>
        <w:bCs/>
        <w:color w:val="000000" w:themeColor="text1"/>
        <w14:textFill>
          <w14:solidFill>
            <w14:schemeClr w14:val="tx1"/>
          </w14:solidFill>
        </w14:textFill>
      </w:rPr>
      <w:tblPr/>
      <w:tcPr>
        <w:shd w:val="clear" w:color="auto" w:fill="E5E5E5" w:themeFill="tex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7F7F7F" w:themeFill="text1" w:themeFillTint="7F"/>
      </w:tcPr>
    </w:tblStylePr>
    <w:tblStylePr w:type="band1Horz">
      <w:tblPr/>
      <w:tcPr>
        <w:tcBorders>
          <w:insideH w:val="single" w:sz="6" w:space="0"/>
          <w:insideV w:val="single" w:sz="6" w:space="0"/>
        </w:tcBorders>
        <w:shd w:val="clear" w:color="auto" w:fill="7F7F7F" w:themeFill="text1" w:themeFillTint="7F"/>
      </w:tcPr>
    </w:tblStylePr>
    <w:tblStylePr w:type="nwCell">
      <w:tblPr/>
      <w:tcPr>
        <w:shd w:val="clear" w:color="auto" w:fill="FFFFFF" w:themeFill="background1"/>
      </w:tcPr>
    </w:tblStylePr>
  </w:style>
  <w:style w:type="table" w:styleId="92">
    <w:name w:val="Medium Grid 2 Accent 1"/>
    <w:basedOn w:val="33"/>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14:textFill>
          <w14:solidFill>
            <w14:schemeClr w14:val="tx1"/>
          </w14:solidFill>
        </w14:textFill>
      </w:rPr>
      <w:tblPr/>
      <w:tcPr>
        <w:shd w:val="clear" w:color="auto" w:fill="EDF2F8" w:themeFill="accen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C0DE" w:themeFill="accent1" w:themeFillTint="7F"/>
      </w:tcPr>
    </w:tblStylePr>
    <w:tblStylePr w:type="band1Horz">
      <w:tblPr/>
      <w:tcPr>
        <w:tcBorders>
          <w:insideH w:val="single" w:sz="6" w:space="0"/>
          <w:insideV w:val="single" w:sz="6" w:space="0"/>
        </w:tcBorders>
        <w:shd w:val="clear" w:color="auto" w:fill="A7C0DE" w:themeFill="accent1" w:themeFillTint="7F"/>
      </w:tcPr>
    </w:tblStylePr>
    <w:tblStylePr w:type="nwCell">
      <w:tblPr/>
      <w:tcPr>
        <w:shd w:val="clear" w:color="auto" w:fill="FFFFFF" w:themeFill="background1"/>
      </w:tcPr>
    </w:tblStylePr>
  </w:style>
  <w:style w:type="table" w:styleId="93">
    <w:name w:val="Medium Grid 2 Accent 2"/>
    <w:basedOn w:val="33"/>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3" w:themeFill="accent2" w:themeFillTint="3F"/>
    </w:tcPr>
    <w:tblStylePr w:type="firstRow">
      <w:rPr>
        <w:b/>
        <w:bCs/>
        <w:color w:val="000000" w:themeColor="text1"/>
        <w14:textFill>
          <w14:solidFill>
            <w14:schemeClr w14:val="tx1"/>
          </w14:solidFill>
        </w14:textFill>
      </w:rPr>
      <w:tblPr/>
      <w:tcPr>
        <w:shd w:val="clear" w:color="auto" w:fill="F8EDED" w:themeFill="accent2"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insideV w:val="single" w:sz="6" w:space="0"/>
        </w:tcBorders>
        <w:shd w:val="clear" w:color="auto" w:fill="DFA7A6" w:themeFill="accent2" w:themeFillTint="7F"/>
      </w:tcPr>
    </w:tblStylePr>
    <w:tblStylePr w:type="nwCell">
      <w:tblPr/>
      <w:tcPr>
        <w:shd w:val="clear" w:color="auto" w:fill="FFFFFF" w:themeFill="background1"/>
      </w:tcPr>
    </w:tblStylePr>
  </w:style>
  <w:style w:type="table" w:styleId="94">
    <w:name w:val="Medium Grid 2 Accent 3"/>
    <w:basedOn w:val="33"/>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14:textFill>
          <w14:solidFill>
            <w14:schemeClr w14:val="tx1"/>
          </w14:solidFill>
        </w14:textFill>
      </w:rPr>
      <w:tblPr/>
      <w:tcPr>
        <w:shd w:val="clear" w:color="auto" w:fill="F5F8EE" w:themeFill="accent3"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insideV w:val="single" w:sz="6" w:space="0"/>
        </w:tcBorders>
        <w:shd w:val="clear" w:color="auto" w:fill="CDDDAC" w:themeFill="accent3" w:themeFillTint="7F"/>
      </w:tcPr>
    </w:tblStylePr>
    <w:tblStylePr w:type="nwCell">
      <w:tblPr/>
      <w:tcPr>
        <w:shd w:val="clear" w:color="auto" w:fill="FFFFFF" w:themeFill="background1"/>
      </w:tcPr>
    </w:tblStylePr>
  </w:style>
  <w:style w:type="table" w:styleId="95">
    <w:name w:val="Medium Grid 2 Accent 4"/>
    <w:basedOn w:val="33"/>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14:textFill>
          <w14:solidFill>
            <w14:schemeClr w14:val="tx1"/>
          </w14:solidFill>
        </w14:textFill>
      </w:rPr>
      <w:tblPr/>
      <w:tcPr>
        <w:shd w:val="clear" w:color="auto" w:fill="F2EFF5" w:themeFill="accent4"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insideV w:val="single" w:sz="6" w:space="0"/>
        </w:tcBorders>
        <w:shd w:val="clear" w:color="auto" w:fill="BFB1D0" w:themeFill="accent4" w:themeFillTint="7F"/>
      </w:tcPr>
    </w:tblStylePr>
    <w:tblStylePr w:type="nwCell">
      <w:tblPr/>
      <w:tcPr>
        <w:shd w:val="clear" w:color="auto" w:fill="FFFFFF" w:themeFill="background1"/>
      </w:tcPr>
    </w:tblStylePr>
  </w:style>
  <w:style w:type="table" w:styleId="96">
    <w:name w:val="Medium Grid 2 Accent 5"/>
    <w:basedOn w:val="33"/>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0" w:themeFill="accent5" w:themeFillTint="3F"/>
    </w:tcPr>
    <w:tblStylePr w:type="firstRow">
      <w:rPr>
        <w:b/>
        <w:bCs/>
        <w:color w:val="000000" w:themeColor="text1"/>
        <w14:textFill>
          <w14:solidFill>
            <w14:schemeClr w14:val="tx1"/>
          </w14:solidFill>
        </w14:textFill>
      </w:rPr>
      <w:tblPr/>
      <w:tcPr>
        <w:shd w:val="clear" w:color="auto" w:fill="EDF6F9" w:themeFill="accent5"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insideV w:val="single" w:sz="6" w:space="0"/>
        </w:tcBorders>
        <w:shd w:val="clear" w:color="auto" w:fill="A5D5E2" w:themeFill="accent5" w:themeFillTint="7F"/>
      </w:tcPr>
    </w:tblStylePr>
    <w:tblStylePr w:type="nwCell">
      <w:tblPr/>
      <w:tcPr>
        <w:shd w:val="clear" w:color="auto" w:fill="FFFFFF" w:themeFill="background1"/>
      </w:tcPr>
    </w:tblStylePr>
  </w:style>
  <w:style w:type="table" w:styleId="97">
    <w:name w:val="Medium Grid 2 Accent 6"/>
    <w:basedOn w:val="33"/>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5D1" w:themeFill="accent6" w:themeFillTint="3F"/>
    </w:tcPr>
    <w:tblStylePr w:type="firstRow">
      <w:rPr>
        <w:b/>
        <w:bCs/>
        <w:color w:val="000000" w:themeColor="text1"/>
        <w14:textFill>
          <w14:solidFill>
            <w14:schemeClr w14:val="tx1"/>
          </w14:solidFill>
        </w14:textFill>
      </w:rPr>
      <w:tblPr/>
      <w:tcPr>
        <w:shd w:val="clear" w:color="auto" w:fill="FEF4EC" w:themeFill="accent6"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insideV w:val="single" w:sz="6" w:space="0"/>
        </w:tcBorders>
        <w:shd w:val="clear" w:color="auto" w:fill="FBCAA2" w:themeFill="accent6" w:themeFillTint="7F"/>
      </w:tcPr>
    </w:tblStylePr>
    <w:tblStylePr w:type="nwCell">
      <w:tblPr/>
      <w:tcPr>
        <w:shd w:val="clear" w:color="auto" w:fill="FFFFFF" w:themeFill="background1"/>
      </w:tcPr>
    </w:tblStylePr>
  </w:style>
  <w:style w:type="table" w:styleId="98">
    <w:name w:val="Medium Grid 3"/>
    <w:basedOn w:val="33"/>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BFBFBF" w:themeFill="tex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000000" w:themeFill="tex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000000" w:themeFill="tex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F7F7F"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7F7F7F" w:themeFill="text1" w:themeFillTint="7F"/>
      </w:tcPr>
    </w:tblStylePr>
  </w:style>
  <w:style w:type="table" w:styleId="99">
    <w:name w:val="Medium Grid 3 Accent 1"/>
    <w:basedOn w:val="33"/>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F81BD" w:themeFill="accen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F81BD" w:themeFill="accen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C0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7C0DE" w:themeFill="accent1" w:themeFillTint="7F"/>
      </w:tcPr>
    </w:tblStylePr>
  </w:style>
  <w:style w:type="table" w:styleId="100">
    <w:name w:val="Medium Grid 3 Accent 2"/>
    <w:basedOn w:val="33"/>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3" w:themeFill="accent2"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C0504D" w:themeFill="accent2"/>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C0504D" w:themeFill="accent2"/>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DFA7A6" w:themeFill="accent2" w:themeFillTint="7F"/>
      </w:tcPr>
    </w:tblStylePr>
  </w:style>
  <w:style w:type="table" w:styleId="101">
    <w:name w:val="Medium Grid 3 Accent 3"/>
    <w:basedOn w:val="33"/>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9BBB59" w:themeFill="accent3"/>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9BBB59" w:themeFill="accent3"/>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CDDDAC" w:themeFill="accent3" w:themeFillTint="7F"/>
      </w:tcPr>
    </w:tblStylePr>
  </w:style>
  <w:style w:type="table" w:styleId="102">
    <w:name w:val="Medium Grid 3 Accent 4"/>
    <w:basedOn w:val="33"/>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8064A2" w:themeFill="accent4"/>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8064A2" w:themeFill="accent4"/>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BFB1D0" w:themeFill="accent4" w:themeFillTint="7F"/>
      </w:tcPr>
    </w:tblStylePr>
  </w:style>
  <w:style w:type="table" w:styleId="103">
    <w:name w:val="Medium Grid 3 Accent 5"/>
    <w:basedOn w:val="33"/>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0" w:themeFill="accent5"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BACC6" w:themeFill="accent5"/>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BACC6" w:themeFill="accent5"/>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5D5E2" w:themeFill="accent5" w:themeFillTint="7F"/>
      </w:tcPr>
    </w:tblStylePr>
  </w:style>
  <w:style w:type="table" w:styleId="104">
    <w:name w:val="Medium Grid 3 Accent 6"/>
    <w:basedOn w:val="33"/>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5D1" w:themeFill="accent6"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F79646" w:themeFill="accent6"/>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F79646" w:themeFill="accent6"/>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FBCAA2" w:themeFill="accent6" w:themeFillTint="7F"/>
      </w:tcPr>
    </w:tblStylePr>
  </w:style>
  <w:style w:type="table" w:styleId="105">
    <w:name w:val="Dark List"/>
    <w:basedOn w:val="33"/>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106">
    <w:name w:val="Dark List Accent 1"/>
    <w:basedOn w:val="33"/>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1"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60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6091" w:themeFill="accent1" w:themeFillShade="BF"/>
      </w:tcPr>
    </w:tblStylePr>
    <w:tblStylePr w:type="band1Vert">
      <w:tblPr/>
      <w:tcPr>
        <w:tcBorders>
          <w:top w:val="nil"/>
          <w:left w:val="nil"/>
          <w:bottom w:val="nil"/>
          <w:right w:val="nil"/>
          <w:insideH w:val="nil"/>
          <w:insideV w:val="nil"/>
        </w:tcBorders>
        <w:shd w:val="clear" w:color="auto" w:fill="366091" w:themeFill="accent1" w:themeFillShade="BF"/>
      </w:tcPr>
    </w:tblStylePr>
    <w:tblStylePr w:type="band1Horz">
      <w:tblPr/>
      <w:tcPr>
        <w:tcBorders>
          <w:top w:val="nil"/>
          <w:left w:val="nil"/>
          <w:bottom w:val="nil"/>
          <w:right w:val="nil"/>
          <w:insideH w:val="nil"/>
          <w:insideV w:val="nil"/>
        </w:tcBorders>
        <w:shd w:val="clear" w:color="auto" w:fill="366091" w:themeFill="accent1" w:themeFillShade="BF"/>
      </w:tcPr>
    </w:tblStylePr>
  </w:style>
  <w:style w:type="table" w:styleId="107">
    <w:name w:val="Dark List Accent 2"/>
    <w:basedOn w:val="33"/>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7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734" w:themeFill="accent2" w:themeFillShade="BF"/>
      </w:tcPr>
    </w:tblStylePr>
    <w:tblStylePr w:type="band1Vert">
      <w:tblPr/>
      <w:tcPr>
        <w:tcBorders>
          <w:top w:val="nil"/>
          <w:left w:val="nil"/>
          <w:bottom w:val="nil"/>
          <w:right w:val="nil"/>
          <w:insideH w:val="nil"/>
          <w:insideV w:val="nil"/>
        </w:tcBorders>
        <w:shd w:val="clear" w:color="auto" w:fill="943734" w:themeFill="accent2" w:themeFillShade="BF"/>
      </w:tcPr>
    </w:tblStylePr>
    <w:tblStylePr w:type="band1Horz">
      <w:tblPr/>
      <w:tcPr>
        <w:tcBorders>
          <w:top w:val="nil"/>
          <w:left w:val="nil"/>
          <w:bottom w:val="nil"/>
          <w:right w:val="nil"/>
          <w:insideH w:val="nil"/>
          <w:insideV w:val="nil"/>
        </w:tcBorders>
        <w:shd w:val="clear" w:color="auto" w:fill="943734" w:themeFill="accent2" w:themeFillShade="BF"/>
      </w:tcPr>
    </w:tblStylePr>
  </w:style>
  <w:style w:type="table" w:styleId="108">
    <w:name w:val="Dark List Accent 3"/>
    <w:basedOn w:val="33"/>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7"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109">
    <w:name w:val="Dark List Accent 4"/>
    <w:basedOn w:val="33"/>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0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110">
    <w:name w:val="Dark List Accent 5"/>
    <w:basedOn w:val="33"/>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111">
    <w:name w:val="Dark List Accent 6"/>
    <w:basedOn w:val="33"/>
    <w:uiPriority w:val="70"/>
    <w:pPr>
      <w:spacing w:after="0" w:line="240" w:lineRule="auto"/>
    </w:pPr>
    <w:rPr>
      <w:color w:val="FFFFFF" w:themeColor="background1"/>
      <w14:textFill>
        <w14:solidFill>
          <w14:schemeClr w14:val="bg1"/>
        </w14:solidFill>
      </w14:textFill>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9"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9" w:themeFill="accent6" w:themeFillShade="BF"/>
      </w:tcPr>
    </w:tblStylePr>
    <w:tblStylePr w:type="band1Vert">
      <w:tblPr/>
      <w:tcPr>
        <w:tcBorders>
          <w:top w:val="nil"/>
          <w:left w:val="nil"/>
          <w:bottom w:val="nil"/>
          <w:right w:val="nil"/>
          <w:insideH w:val="nil"/>
          <w:insideV w:val="nil"/>
        </w:tcBorders>
        <w:shd w:val="clear" w:color="auto" w:fill="E36C09" w:themeFill="accent6" w:themeFillShade="BF"/>
      </w:tcPr>
    </w:tblStylePr>
    <w:tblStylePr w:type="band1Horz">
      <w:tblPr/>
      <w:tcPr>
        <w:tcBorders>
          <w:top w:val="nil"/>
          <w:left w:val="nil"/>
          <w:bottom w:val="nil"/>
          <w:right w:val="nil"/>
          <w:insideH w:val="nil"/>
          <w:insideV w:val="nil"/>
        </w:tcBorders>
        <w:shd w:val="clear" w:color="auto" w:fill="E36C09" w:themeFill="accent6" w:themeFillShade="BF"/>
      </w:tcPr>
    </w:tblStylePr>
  </w:style>
  <w:style w:type="table" w:styleId="112">
    <w:name w:val="Colorful Shading"/>
    <w:basedOn w:val="33"/>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5E5E5"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000000" w:themeFill="tex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000000" w:themeFill="tex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7F7F7F" w:themeFill="tex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3">
    <w:name w:val="Colorful Shading Accent 1"/>
    <w:basedOn w:val="33"/>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B4D74" w:themeFill="accen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B4D74" w:themeFill="accen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B4D74" w:themeFill="accent1" w:themeFillShade="99"/>
      </w:tcPr>
    </w:tblStylePr>
    <w:tblStylePr w:type="band1Vert">
      <w:tblPr/>
      <w:tcPr>
        <w:shd w:val="clear" w:color="auto" w:fill="B8CCE4" w:themeFill="accent1" w:themeFillTint="66"/>
      </w:tcPr>
    </w:tblStylePr>
    <w:tblStylePr w:type="band1Horz">
      <w:tblPr/>
      <w:tcPr>
        <w:shd w:val="clear" w:color="auto" w:fill="A7C0DE" w:themeFill="accen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4">
    <w:name w:val="Colorful Shading Accent 2"/>
    <w:basedOn w:val="33"/>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772C2A" w:themeFill="accent2"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772C2A" w:themeFill="accent2"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5">
    <w:name w:val="Colorful Shading Accent 3"/>
    <w:basedOn w:val="33"/>
    <w:uiPriority w:val="71"/>
    <w:pPr>
      <w:spacing w:after="0" w:line="240" w:lineRule="auto"/>
    </w:pPr>
    <w:rPr>
      <w:color w:val="000000" w:themeColor="text1"/>
      <w14:textFill>
        <w14:solidFill>
          <w14:schemeClr w14:val="tx1"/>
        </w14:solidFill>
      </w14:textFill>
    </w:rPr>
    <w:tblPr>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5E7530" w:themeFill="accent3"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5E7530" w:themeFill="accent3"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116">
    <w:name w:val="Colorful Shading Accent 4"/>
    <w:basedOn w:val="33"/>
    <w:uiPriority w:val="71"/>
    <w:pPr>
      <w:spacing w:after="0" w:line="240" w:lineRule="auto"/>
    </w:pPr>
    <w:rPr>
      <w:color w:val="000000" w:themeColor="text1"/>
      <w14:textFill>
        <w14:solidFill>
          <w14:schemeClr w14:val="tx1"/>
        </w14:solidFill>
      </w14:textFill>
    </w:rPr>
    <w:tblPr>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5"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4C3A62" w:themeFill="accent4"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4C3A62" w:themeFill="accent4"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4C3A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7">
    <w:name w:val="Colorful Shading Accent 5"/>
    <w:basedOn w:val="33"/>
    <w:uiPriority w:val="71"/>
    <w:pPr>
      <w:spacing w:after="0" w:line="240" w:lineRule="auto"/>
    </w:pPr>
    <w:rPr>
      <w:color w:val="000000" w:themeColor="text1"/>
      <w14:textFill>
        <w14:solidFill>
          <w14:schemeClr w14:val="tx1"/>
        </w14:solidFill>
      </w14:textFill>
    </w:rPr>
    <w:tblPr>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76A7C" w:themeFill="accent5"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76A7C" w:themeFill="accent5"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8">
    <w:name w:val="Colorful Shading Accent 6"/>
    <w:basedOn w:val="33"/>
    <w:uiPriority w:val="71"/>
    <w:pPr>
      <w:spacing w:after="0" w:line="240" w:lineRule="auto"/>
    </w:pPr>
    <w:rPr>
      <w:color w:val="000000" w:themeColor="text1"/>
      <w14:textFill>
        <w14:solidFill>
          <w14:schemeClr w14:val="tx1"/>
        </w14:solidFill>
      </w14:textFill>
    </w:rPr>
    <w:tblPr>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B65607" w:themeFill="accent6"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B65607" w:themeFill="accent6"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B65607"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9">
    <w:name w:val="Colorful List"/>
    <w:basedOn w:val="33"/>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E5E5E5" w:themeFill="tex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FBFBF" w:themeFill="text1" w:themeFillTint="3F"/>
      </w:tcPr>
    </w:tblStylePr>
    <w:tblStylePr w:type="band1Horz">
      <w:tblPr/>
      <w:tcPr>
        <w:shd w:val="clear" w:color="auto" w:fill="CCCCCC" w:themeFill="text1" w:themeFillTint="33"/>
      </w:tcPr>
    </w:tblStylePr>
  </w:style>
  <w:style w:type="table" w:styleId="120">
    <w:name w:val="Colorful List Accent 1"/>
    <w:basedOn w:val="33"/>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EDF2F8" w:themeFill="accen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121">
    <w:name w:val="Colorful List Accent 2"/>
    <w:basedOn w:val="33"/>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F8EDED" w:themeFill="accent2"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3" w:themeFill="accent2" w:themeFillTint="3F"/>
      </w:tcPr>
    </w:tblStylePr>
    <w:tblStylePr w:type="band1Horz">
      <w:tblPr/>
      <w:tcPr>
        <w:shd w:val="clear" w:color="auto" w:fill="F2DBDB" w:themeFill="accent2" w:themeFillTint="33"/>
      </w:tcPr>
    </w:tblStylePr>
  </w:style>
  <w:style w:type="table" w:styleId="122">
    <w:name w:val="Colorful List Accent 3"/>
    <w:basedOn w:val="33"/>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F5F8EE" w:themeFill="accent3"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664E82" w:themeFill="accent4" w:themeFillShade="CC"/>
      </w:tcPr>
    </w:tblStylePr>
    <w:tblStylePr w:type="lastRow">
      <w:rPr>
        <w:b/>
        <w:bCs/>
        <w:color w:val="664F83"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123">
    <w:name w:val="Colorful List Accent 4"/>
    <w:basedOn w:val="33"/>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F2EFF5" w:themeFill="accent4"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7E9C40" w:themeFill="accent3" w:themeFillShade="CC"/>
      </w:tcPr>
    </w:tblStylePr>
    <w:tblStylePr w:type="lastRow">
      <w:rPr>
        <w:b/>
        <w:bCs/>
        <w:color w:val="7E9D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124">
    <w:name w:val="Colorful List Accent 5"/>
    <w:basedOn w:val="33"/>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EDF6F9" w:themeFill="accent5"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F3730A" w:themeFill="accent6" w:themeFillShade="CC"/>
      </w:tcPr>
    </w:tblStylePr>
    <w:tblStylePr w:type="lastRow">
      <w:rPr>
        <w:b/>
        <w:bCs/>
        <w:color w:val="F3740B"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0" w:themeFill="accent5" w:themeFillTint="3F"/>
      </w:tcPr>
    </w:tblStylePr>
    <w:tblStylePr w:type="band1Horz">
      <w:tblPr/>
      <w:tcPr>
        <w:shd w:val="clear" w:color="auto" w:fill="DAEEF3" w:themeFill="accent5" w:themeFillTint="33"/>
      </w:tcPr>
    </w:tblStylePr>
  </w:style>
  <w:style w:type="table" w:styleId="125">
    <w:name w:val="Colorful List Accent 6"/>
    <w:basedOn w:val="33"/>
    <w:uiPriority w:val="72"/>
    <w:pPr>
      <w:spacing w:after="0" w:line="240" w:lineRule="auto"/>
    </w:pPr>
    <w:rPr>
      <w:color w:val="000000" w:themeColor="text1"/>
      <w14:textFill>
        <w14:solidFill>
          <w14:schemeClr w14:val="tx1"/>
        </w14:solidFill>
      </w14:textFill>
    </w:rPr>
    <w:tblPr>
      <w:tblStyleRowBandSize w:val="1"/>
      <w:tblStyleColBandSize w:val="1"/>
    </w:tblPr>
    <w:tcPr>
      <w:shd w:val="clear" w:color="auto" w:fill="FEF4EC" w:themeFill="accent6"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348DA5" w:themeFill="accent5" w:themeFillShade="CC"/>
      </w:tcPr>
    </w:tblStylePr>
    <w:tblStylePr w:type="lastRow">
      <w:rPr>
        <w:b/>
        <w:bCs/>
        <w:color w:val="358EA6"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5D1" w:themeFill="accent6" w:themeFillTint="3F"/>
      </w:tcPr>
    </w:tblStylePr>
    <w:tblStylePr w:type="band1Horz">
      <w:tblPr/>
      <w:tcPr>
        <w:shd w:val="clear" w:color="auto" w:fill="FDE9D9" w:themeFill="accent6" w:themeFillTint="33"/>
      </w:tcPr>
    </w:tblStylePr>
  </w:style>
  <w:style w:type="table" w:styleId="126">
    <w:name w:val="Colorful Grid"/>
    <w:basedOn w:val="33"/>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14:textFill>
          <w14:solidFill>
            <w14:schemeClr w14:val="tx1"/>
          </w14:solidFill>
        </w14:textFill>
      </w:rPr>
      <w:tblPr/>
      <w:tcPr>
        <w:shd w:val="clear" w:color="auto" w:fill="999999" w:themeFill="text1" w:themeFillTint="66"/>
      </w:tcPr>
    </w:tblStylePr>
    <w:tblStylePr w:type="firstCol">
      <w:rPr>
        <w:color w:val="FFFFFF" w:themeColor="background1"/>
        <w14:textFill>
          <w14:solidFill>
            <w14:schemeClr w14:val="bg1"/>
          </w14:solidFill>
        </w14:textFill>
      </w:rPr>
      <w:tblPr/>
      <w:tcPr>
        <w:shd w:val="clear" w:color="auto" w:fill="000000" w:themeFill="text1" w:themeFillShade="BF"/>
      </w:tcPr>
    </w:tblStylePr>
    <w:tblStylePr w:type="lastCol">
      <w:rPr>
        <w:color w:val="FFFFFF" w:themeColor="background1"/>
        <w14:textFill>
          <w14:solidFill>
            <w14:schemeClr w14:val="bg1"/>
          </w14:solidFill>
        </w14:textFill>
      </w:rPr>
      <w:tblPr/>
      <w:tcPr>
        <w:shd w:val="clear" w:color="auto" w:fill="000000" w:themeFill="text1" w:themeFillShade="BF"/>
      </w:tc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127">
    <w:name w:val="Colorful Grid Accent 1"/>
    <w:basedOn w:val="33"/>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14:textFill>
          <w14:solidFill>
            <w14:schemeClr w14:val="tx1"/>
          </w14:solidFill>
        </w14:textFill>
      </w:rPr>
      <w:tblPr/>
      <w:tcPr>
        <w:shd w:val="clear" w:color="auto" w:fill="B8CCE4" w:themeFill="accent1" w:themeFillTint="66"/>
      </w:tcPr>
    </w:tblStylePr>
    <w:tblStylePr w:type="firstCol">
      <w:rPr>
        <w:color w:val="FFFFFF" w:themeColor="background1"/>
        <w14:textFill>
          <w14:solidFill>
            <w14:schemeClr w14:val="bg1"/>
          </w14:solidFill>
        </w14:textFill>
      </w:rPr>
      <w:tblPr/>
      <w:tcPr>
        <w:shd w:val="clear" w:color="auto" w:fill="366091" w:themeFill="accent1" w:themeFillShade="BF"/>
      </w:tcPr>
    </w:tblStylePr>
    <w:tblStylePr w:type="lastCol">
      <w:rPr>
        <w:color w:val="FFFFFF" w:themeColor="background1"/>
        <w14:textFill>
          <w14:solidFill>
            <w14:schemeClr w14:val="bg1"/>
          </w14:solidFill>
        </w14:textFill>
      </w:rPr>
      <w:tblPr/>
      <w:tcPr>
        <w:shd w:val="clear" w:color="auto" w:fill="366091" w:themeFill="accent1" w:themeFillShade="BF"/>
      </w:tc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128">
    <w:name w:val="Colorful Grid Accent 2"/>
    <w:basedOn w:val="33"/>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14:textFill>
          <w14:solidFill>
            <w14:schemeClr w14:val="tx1"/>
          </w14:solidFill>
        </w14:textFill>
      </w:rPr>
      <w:tblPr/>
      <w:tcPr>
        <w:shd w:val="clear" w:color="auto" w:fill="E5B8B7" w:themeFill="accent2" w:themeFillTint="66"/>
      </w:tcPr>
    </w:tblStylePr>
    <w:tblStylePr w:type="firstCol">
      <w:rPr>
        <w:color w:val="FFFFFF" w:themeColor="background1"/>
        <w14:textFill>
          <w14:solidFill>
            <w14:schemeClr w14:val="bg1"/>
          </w14:solidFill>
        </w14:textFill>
      </w:rPr>
      <w:tblPr/>
      <w:tcPr>
        <w:shd w:val="clear" w:color="auto" w:fill="943734" w:themeFill="accent2" w:themeFillShade="BF"/>
      </w:tcPr>
    </w:tblStylePr>
    <w:tblStylePr w:type="lastCol">
      <w:rPr>
        <w:color w:val="FFFFFF" w:themeColor="background1"/>
        <w14:textFill>
          <w14:solidFill>
            <w14:schemeClr w14:val="bg1"/>
          </w14:solidFill>
        </w14:textFill>
      </w:rPr>
      <w:tblPr/>
      <w:tcPr>
        <w:shd w:val="clear" w:color="auto" w:fill="9437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129">
    <w:name w:val="Colorful Grid Accent 3"/>
    <w:basedOn w:val="33"/>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14:textFill>
          <w14:solidFill>
            <w14:schemeClr w14:val="tx1"/>
          </w14:solidFill>
        </w14:textFill>
      </w:rPr>
      <w:tblPr/>
      <w:tcPr>
        <w:shd w:val="clear" w:color="auto" w:fill="D6E3BC" w:themeFill="accent3" w:themeFillTint="66"/>
      </w:tcPr>
    </w:tblStylePr>
    <w:tblStylePr w:type="firstCol">
      <w:rPr>
        <w:color w:val="FFFFFF" w:themeColor="background1"/>
        <w14:textFill>
          <w14:solidFill>
            <w14:schemeClr w14:val="bg1"/>
          </w14:solidFill>
        </w14:textFill>
      </w:rPr>
      <w:tblPr/>
      <w:tcPr>
        <w:shd w:val="clear" w:color="auto" w:fill="76923C" w:themeFill="accent3" w:themeFillShade="BF"/>
      </w:tcPr>
    </w:tblStylePr>
    <w:tblStylePr w:type="lastCol">
      <w:rPr>
        <w:color w:val="FFFFFF" w:themeColor="background1"/>
        <w14:textFill>
          <w14:solidFill>
            <w14:schemeClr w14:val="bg1"/>
          </w14:solidFill>
        </w14:textFill>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130">
    <w:name w:val="Colorful Grid Accent 4"/>
    <w:basedOn w:val="33"/>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14:textFill>
          <w14:solidFill>
            <w14:schemeClr w14:val="tx1"/>
          </w14:solidFill>
        </w14:textFill>
      </w:rPr>
      <w:tblPr/>
      <w:tcPr>
        <w:shd w:val="clear" w:color="auto" w:fill="CCC0D9" w:themeFill="accent4" w:themeFillTint="66"/>
      </w:tcPr>
    </w:tblStylePr>
    <w:tblStylePr w:type="firstCol">
      <w:rPr>
        <w:color w:val="FFFFFF" w:themeColor="background1"/>
        <w14:textFill>
          <w14:solidFill>
            <w14:schemeClr w14:val="bg1"/>
          </w14:solidFill>
        </w14:textFill>
      </w:rPr>
      <w:tblPr/>
      <w:tcPr>
        <w:shd w:val="clear" w:color="auto" w:fill="5F497A" w:themeFill="accent4" w:themeFillShade="BF"/>
      </w:tcPr>
    </w:tblStylePr>
    <w:tblStylePr w:type="lastCol">
      <w:rPr>
        <w:color w:val="FFFFFF" w:themeColor="background1"/>
        <w14:textFill>
          <w14:solidFill>
            <w14:schemeClr w14:val="bg1"/>
          </w14:solidFill>
        </w14:textFill>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131">
    <w:name w:val="Colorful Grid Accent 5"/>
    <w:basedOn w:val="33"/>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14:textFill>
          <w14:solidFill>
            <w14:schemeClr w14:val="tx1"/>
          </w14:solidFill>
        </w14:textFill>
      </w:rPr>
      <w:tblPr/>
      <w:tcPr>
        <w:shd w:val="clear" w:color="auto" w:fill="B6DDE8" w:themeFill="accent5" w:themeFillTint="66"/>
      </w:tcPr>
    </w:tblStylePr>
    <w:tblStylePr w:type="firstCol">
      <w:rPr>
        <w:color w:val="FFFFFF" w:themeColor="background1"/>
        <w14:textFill>
          <w14:solidFill>
            <w14:schemeClr w14:val="bg1"/>
          </w14:solidFill>
        </w14:textFill>
      </w:rPr>
      <w:tblPr/>
      <w:tcPr>
        <w:shd w:val="clear" w:color="auto" w:fill="31849B" w:themeFill="accent5" w:themeFillShade="BF"/>
      </w:tcPr>
    </w:tblStylePr>
    <w:tblStylePr w:type="lastCol">
      <w:rPr>
        <w:color w:val="FFFFFF" w:themeColor="background1"/>
        <w14:textFill>
          <w14:solidFill>
            <w14:schemeClr w14:val="bg1"/>
          </w14:solidFill>
        </w14:textFill>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132">
    <w:name w:val="Colorful Grid Accent 6"/>
    <w:basedOn w:val="33"/>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14:textFill>
          <w14:solidFill>
            <w14:schemeClr w14:val="tx1"/>
          </w14:solidFill>
        </w14:textFill>
      </w:rPr>
      <w:tblPr/>
      <w:tcPr>
        <w:shd w:val="clear" w:color="auto" w:fill="FBD4B4" w:themeFill="accent6" w:themeFillTint="66"/>
      </w:tcPr>
    </w:tblStylePr>
    <w:tblStylePr w:type="firstCol">
      <w:rPr>
        <w:color w:val="FFFFFF" w:themeColor="background1"/>
        <w14:textFill>
          <w14:solidFill>
            <w14:schemeClr w14:val="bg1"/>
          </w14:solidFill>
        </w14:textFill>
      </w:rPr>
      <w:tblPr/>
      <w:tcPr>
        <w:shd w:val="clear" w:color="auto" w:fill="E36C09" w:themeFill="accent6" w:themeFillShade="BF"/>
      </w:tcPr>
    </w:tblStylePr>
    <w:tblStylePr w:type="lastCol">
      <w:rPr>
        <w:color w:val="FFFFFF" w:themeColor="background1"/>
        <w14:textFill>
          <w14:solidFill>
            <w14:schemeClr w14:val="bg1"/>
          </w14:solidFill>
        </w14:textFill>
      </w:rPr>
      <w:tblPr/>
      <w:tcPr>
        <w:shd w:val="clear" w:color="auto" w:fill="E36C09"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134">
    <w:name w:val="Strong"/>
    <w:basedOn w:val="133"/>
    <w:qFormat/>
    <w:uiPriority w:val="22"/>
    <w:rPr>
      <w:b/>
      <w:bCs/>
    </w:rPr>
  </w:style>
  <w:style w:type="character" w:styleId="135">
    <w:name w:val="page number"/>
    <w:basedOn w:val="133"/>
    <w:uiPriority w:val="0"/>
    <w:rPr>
      <w:rFonts w:ascii="Times New Roman" w:hAnsi="Times New Roman" w:eastAsia="宋体" w:cs="Times New Roman"/>
    </w:rPr>
  </w:style>
  <w:style w:type="character" w:styleId="136">
    <w:name w:val="Emphasis"/>
    <w:basedOn w:val="133"/>
    <w:qFormat/>
    <w:uiPriority w:val="20"/>
    <w:rPr>
      <w:i/>
      <w:iCs/>
    </w:rPr>
  </w:style>
  <w:style w:type="character" w:customStyle="1" w:styleId="137">
    <w:name w:val="页眉 字符"/>
    <w:basedOn w:val="133"/>
    <w:link w:val="25"/>
    <w:uiPriority w:val="99"/>
  </w:style>
  <w:style w:type="character" w:customStyle="1" w:styleId="138">
    <w:name w:val="页脚 字符"/>
    <w:basedOn w:val="133"/>
    <w:link w:val="24"/>
    <w:uiPriority w:val="99"/>
  </w:style>
  <w:style w:type="paragraph" w:styleId="139">
    <w:name w:val="No Spacing"/>
    <w:semiHidden/>
    <w:unhideWhenUsed/>
    <w:uiPriority w:val="99"/>
    <w:pPr>
      <w:spacing w:after="0" w:line="240" w:lineRule="auto"/>
    </w:pPr>
    <w:rPr>
      <w:rFonts w:asciiTheme="minorHAnsi" w:hAnsiTheme="minorHAnsi" w:eastAsiaTheme="minorEastAsia" w:cstheme="minorBidi"/>
      <w:sz w:val="22"/>
      <w:szCs w:val="22"/>
      <w:lang w:val="en-US" w:eastAsia="en-US" w:bidi="ar-SA"/>
    </w:rPr>
  </w:style>
  <w:style w:type="character" w:customStyle="1" w:styleId="140">
    <w:name w:val="标题 1 字符"/>
    <w:basedOn w:val="133"/>
    <w:link w:val="3"/>
    <w:uiPriority w:val="9"/>
    <w:rPr>
      <w:rFonts w:asciiTheme="majorHAnsi" w:hAnsiTheme="majorHAnsi" w:eastAsiaTheme="majorEastAsia" w:cstheme="majorBidi"/>
      <w:b/>
      <w:bCs/>
      <w:color w:val="376092" w:themeColor="accent1" w:themeShade="BF"/>
      <w:sz w:val="28"/>
      <w:szCs w:val="28"/>
    </w:rPr>
  </w:style>
  <w:style w:type="character" w:customStyle="1" w:styleId="141">
    <w:name w:val="标题 2 字符"/>
    <w:basedOn w:val="133"/>
    <w:link w:val="4"/>
    <w:uiPriority w:val="9"/>
    <w:rPr>
      <w:rFonts w:asciiTheme="majorHAnsi" w:hAnsiTheme="majorHAnsi" w:eastAsiaTheme="majorEastAsia" w:cstheme="majorBidi"/>
      <w:b/>
      <w:bCs/>
      <w:color w:val="4F81BD" w:themeColor="accent1"/>
      <w:sz w:val="26"/>
      <w:szCs w:val="26"/>
      <w14:textFill>
        <w14:solidFill>
          <w14:schemeClr w14:val="accent1"/>
        </w14:solidFill>
      </w14:textFill>
    </w:rPr>
  </w:style>
  <w:style w:type="character" w:customStyle="1" w:styleId="142">
    <w:name w:val="标题 3 字符"/>
    <w:basedOn w:val="133"/>
    <w:link w:val="5"/>
    <w:uiPriority w:val="9"/>
    <w:rPr>
      <w:rFonts w:asciiTheme="majorHAnsi" w:hAnsiTheme="majorHAnsi" w:eastAsiaTheme="majorEastAsia" w:cstheme="majorBidi"/>
      <w:b/>
      <w:bCs/>
      <w:color w:val="4F81BD" w:themeColor="accent1"/>
      <w14:textFill>
        <w14:solidFill>
          <w14:schemeClr w14:val="accent1"/>
        </w14:solidFill>
      </w14:textFill>
    </w:rPr>
  </w:style>
  <w:style w:type="character" w:customStyle="1" w:styleId="143">
    <w:name w:val="标题 字符"/>
    <w:basedOn w:val="133"/>
    <w:link w:val="32"/>
    <w:uiPriority w:val="10"/>
    <w:rPr>
      <w:rFonts w:asciiTheme="majorHAnsi" w:hAnsiTheme="majorHAnsi" w:eastAsiaTheme="majorEastAsia" w:cstheme="majorBidi"/>
      <w:color w:val="17375E" w:themeColor="text2" w:themeShade="BF"/>
      <w:spacing w:val="5"/>
      <w:kern w:val="28"/>
      <w:sz w:val="52"/>
      <w:szCs w:val="52"/>
    </w:rPr>
  </w:style>
  <w:style w:type="character" w:customStyle="1" w:styleId="144">
    <w:name w:val="副标题 字符"/>
    <w:basedOn w:val="133"/>
    <w:link w:val="27"/>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paragraph" w:styleId="145">
    <w:name w:val="List Paragraph"/>
    <w:basedOn w:val="1"/>
    <w:semiHidden/>
    <w:unhideWhenUsed/>
    <w:uiPriority w:val="99"/>
    <w:pPr>
      <w:ind w:left="720"/>
      <w:contextualSpacing/>
    </w:pPr>
  </w:style>
  <w:style w:type="character" w:customStyle="1" w:styleId="146">
    <w:name w:val="正文文本 字符"/>
    <w:basedOn w:val="133"/>
    <w:link w:val="19"/>
    <w:uiPriority w:val="99"/>
  </w:style>
  <w:style w:type="character" w:customStyle="1" w:styleId="147">
    <w:name w:val="正文文本 2 字符"/>
    <w:basedOn w:val="133"/>
    <w:link w:val="29"/>
    <w:uiPriority w:val="99"/>
  </w:style>
  <w:style w:type="character" w:customStyle="1" w:styleId="148">
    <w:name w:val="正文文本 3 字符"/>
    <w:basedOn w:val="133"/>
    <w:link w:val="17"/>
    <w:uiPriority w:val="99"/>
    <w:rPr>
      <w:sz w:val="16"/>
      <w:szCs w:val="16"/>
    </w:rPr>
  </w:style>
  <w:style w:type="character" w:customStyle="1" w:styleId="149">
    <w:name w:val="宏文本 字符"/>
    <w:basedOn w:val="133"/>
    <w:link w:val="2"/>
    <w:uiPriority w:val="99"/>
    <w:rPr>
      <w:rFonts w:ascii="Courier" w:hAnsi="Courier"/>
      <w:sz w:val="20"/>
      <w:szCs w:val="20"/>
    </w:rPr>
  </w:style>
  <w:style w:type="paragraph" w:styleId="150">
    <w:name w:val="Quote"/>
    <w:basedOn w:val="1"/>
    <w:next w:val="1"/>
    <w:link w:val="151"/>
    <w:semiHidden/>
    <w:unhideWhenUsed/>
    <w:uiPriority w:val="99"/>
    <w:rPr>
      <w:i/>
      <w:iCs/>
      <w:color w:val="000000" w:themeColor="text1"/>
      <w14:textFill>
        <w14:solidFill>
          <w14:schemeClr w14:val="tx1"/>
        </w14:solidFill>
      </w14:textFill>
    </w:rPr>
  </w:style>
  <w:style w:type="character" w:customStyle="1" w:styleId="151">
    <w:name w:val="引用 字符"/>
    <w:basedOn w:val="133"/>
    <w:link w:val="150"/>
    <w:uiPriority w:val="29"/>
    <w:rPr>
      <w:i/>
      <w:iCs/>
      <w:color w:val="000000" w:themeColor="text1"/>
      <w14:textFill>
        <w14:solidFill>
          <w14:schemeClr w14:val="tx1"/>
        </w14:solidFill>
      </w14:textFill>
    </w:rPr>
  </w:style>
  <w:style w:type="character" w:customStyle="1" w:styleId="152">
    <w:name w:val="标题 4 字符"/>
    <w:basedOn w:val="133"/>
    <w:link w:val="6"/>
    <w:semiHidden/>
    <w:uiPriority w:val="9"/>
    <w:rPr>
      <w:rFonts w:asciiTheme="majorHAnsi" w:hAnsiTheme="majorHAnsi" w:eastAsiaTheme="majorEastAsia" w:cstheme="majorBidi"/>
      <w:b/>
      <w:bCs/>
      <w:i/>
      <w:iCs/>
      <w:color w:val="4F81BD" w:themeColor="accent1"/>
      <w14:textFill>
        <w14:solidFill>
          <w14:schemeClr w14:val="accent1"/>
        </w14:solidFill>
      </w14:textFill>
    </w:rPr>
  </w:style>
  <w:style w:type="character" w:customStyle="1" w:styleId="153">
    <w:name w:val="标题 5 字符"/>
    <w:basedOn w:val="133"/>
    <w:link w:val="7"/>
    <w:semiHidden/>
    <w:uiPriority w:val="9"/>
    <w:rPr>
      <w:rFonts w:asciiTheme="majorHAnsi" w:hAnsiTheme="majorHAnsi" w:eastAsiaTheme="majorEastAsia" w:cstheme="majorBidi"/>
      <w:color w:val="254061" w:themeColor="accent1" w:themeShade="80"/>
    </w:rPr>
  </w:style>
  <w:style w:type="character" w:customStyle="1" w:styleId="154">
    <w:name w:val="标题 6 字符"/>
    <w:basedOn w:val="133"/>
    <w:link w:val="8"/>
    <w:semiHidden/>
    <w:uiPriority w:val="9"/>
    <w:rPr>
      <w:rFonts w:asciiTheme="majorHAnsi" w:hAnsiTheme="majorHAnsi" w:eastAsiaTheme="majorEastAsia" w:cstheme="majorBidi"/>
      <w:i/>
      <w:iCs/>
      <w:color w:val="254061" w:themeColor="accent1" w:themeShade="80"/>
    </w:rPr>
  </w:style>
  <w:style w:type="character" w:customStyle="1" w:styleId="155">
    <w:name w:val="标题 7 字符"/>
    <w:basedOn w:val="133"/>
    <w:link w:val="9"/>
    <w:semiHidden/>
    <w:uiPriority w:val="9"/>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character" w:customStyle="1" w:styleId="156">
    <w:name w:val="标题 8 字符"/>
    <w:basedOn w:val="133"/>
    <w:link w:val="10"/>
    <w:semiHidden/>
    <w:uiPriority w:val="9"/>
    <w:rPr>
      <w:rFonts w:asciiTheme="majorHAnsi" w:hAnsiTheme="majorHAnsi" w:eastAsiaTheme="majorEastAsia" w:cstheme="majorBidi"/>
      <w:color w:val="4F81BD" w:themeColor="accent1"/>
      <w:sz w:val="20"/>
      <w:szCs w:val="20"/>
      <w14:textFill>
        <w14:solidFill>
          <w14:schemeClr w14:val="accent1"/>
        </w14:solidFill>
      </w14:textFill>
    </w:rPr>
  </w:style>
  <w:style w:type="character" w:customStyle="1" w:styleId="157">
    <w:name w:val="标题 9 字符"/>
    <w:basedOn w:val="133"/>
    <w:link w:val="11"/>
    <w:semiHidden/>
    <w:uiPriority w:val="9"/>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paragraph" w:styleId="158">
    <w:name w:val="Intense Quote"/>
    <w:basedOn w:val="1"/>
    <w:next w:val="1"/>
    <w:link w:val="159"/>
    <w:semiHidden/>
    <w:unhideWhenUsed/>
    <w:uiPriority w:val="99"/>
    <w:pPr>
      <w:pBdr>
        <w:bottom w:val="single" w:color="4F81BD" w:themeColor="accent1" w:sz="4" w:space="4"/>
      </w:pBdr>
      <w:spacing w:before="200" w:after="280"/>
      <w:ind w:left="936" w:right="936"/>
    </w:pPr>
    <w:rPr>
      <w:b/>
      <w:bCs/>
      <w:i/>
      <w:iCs/>
      <w:color w:val="4F81BD" w:themeColor="accent1"/>
      <w14:textFill>
        <w14:solidFill>
          <w14:schemeClr w14:val="accent1"/>
        </w14:solidFill>
      </w14:textFill>
    </w:rPr>
  </w:style>
  <w:style w:type="character" w:customStyle="1" w:styleId="159">
    <w:name w:val="明显引用 字符"/>
    <w:basedOn w:val="133"/>
    <w:link w:val="158"/>
    <w:uiPriority w:val="30"/>
    <w:rPr>
      <w:b/>
      <w:bCs/>
      <w:i/>
      <w:iCs/>
      <w:color w:val="4F81BD" w:themeColor="accent1"/>
      <w14:textFill>
        <w14:solidFill>
          <w14:schemeClr w14:val="accent1"/>
        </w14:solidFill>
      </w14:textFill>
    </w:rPr>
  </w:style>
  <w:style w:type="character" w:customStyle="1" w:styleId="160">
    <w:name w:val="Subtle Emphasis"/>
    <w:basedOn w:val="133"/>
    <w:qFormat/>
    <w:uiPriority w:val="19"/>
    <w:rPr>
      <w:i/>
      <w:iCs/>
      <w:color w:val="808080" w:themeColor="text1" w:themeTint="80"/>
      <w14:textFill>
        <w14:solidFill>
          <w14:schemeClr w14:val="tx1">
            <w14:lumMod w14:val="50000"/>
            <w14:lumOff w14:val="50000"/>
          </w14:schemeClr>
        </w14:solidFill>
      </w14:textFill>
    </w:rPr>
  </w:style>
  <w:style w:type="character" w:customStyle="1" w:styleId="161">
    <w:name w:val="Intense Emphasis"/>
    <w:basedOn w:val="133"/>
    <w:qFormat/>
    <w:uiPriority w:val="21"/>
    <w:rPr>
      <w:b/>
      <w:bCs/>
      <w:i/>
      <w:iCs/>
      <w:color w:val="4F81BD" w:themeColor="accent1"/>
      <w14:textFill>
        <w14:solidFill>
          <w14:schemeClr w14:val="accent1"/>
        </w14:solidFill>
      </w14:textFill>
    </w:rPr>
  </w:style>
  <w:style w:type="character" w:customStyle="1" w:styleId="162">
    <w:name w:val="Subtle Reference"/>
    <w:basedOn w:val="133"/>
    <w:qFormat/>
    <w:uiPriority w:val="31"/>
    <w:rPr>
      <w:smallCaps/>
      <w:color w:val="C0504D" w:themeColor="accent2"/>
      <w:u w:val="single"/>
      <w14:textFill>
        <w14:solidFill>
          <w14:schemeClr w14:val="accent2"/>
        </w14:solidFill>
      </w14:textFill>
    </w:rPr>
  </w:style>
  <w:style w:type="character" w:customStyle="1" w:styleId="163">
    <w:name w:val="Intense Reference"/>
    <w:basedOn w:val="133"/>
    <w:qFormat/>
    <w:uiPriority w:val="32"/>
    <w:rPr>
      <w:b/>
      <w:bCs/>
      <w:smallCaps/>
      <w:color w:val="C0504D" w:themeColor="accent2"/>
      <w:spacing w:val="5"/>
      <w:u w:val="single"/>
      <w14:textFill>
        <w14:solidFill>
          <w14:schemeClr w14:val="accent2"/>
        </w14:solidFill>
      </w14:textFill>
    </w:rPr>
  </w:style>
  <w:style w:type="character" w:customStyle="1" w:styleId="164">
    <w:name w:val="Book Title"/>
    <w:basedOn w:val="133"/>
    <w:qFormat/>
    <w:uiPriority w:val="33"/>
    <w:rPr>
      <w:b/>
      <w:bCs/>
      <w:smallCaps/>
      <w:spacing w:val="5"/>
    </w:rPr>
  </w:style>
  <w:style w:type="paragraph" w:customStyle="1" w:styleId="165">
    <w:name w:val="TOC Heading"/>
    <w:basedOn w:val="3"/>
    <w:next w:val="1"/>
    <w:semiHidden/>
    <w:unhideWhenUsed/>
    <w:qFormat/>
    <w:uiPriority w:val="39"/>
    <w:pPr>
      <w:outlineLvl w:val="9"/>
    </w:pPr>
  </w:style>
  <w:style w:type="paragraph" w:customStyle="1" w:styleId="166">
    <w:name w:val="Meta"/>
    <w:uiPriority w:val="0"/>
    <w:pPr>
      <w:spacing w:after="40" w:line="264" w:lineRule="auto"/>
    </w:pPr>
    <w:rPr>
      <w:rFonts w:ascii="Calibri" w:hAnsi="Calibri" w:eastAsiaTheme="minorEastAsia" w:cstheme="minorBidi"/>
      <w:color w:val="555555"/>
      <w:sz w:val="20"/>
      <w:szCs w:val="22"/>
      <w:lang w:val="en-US" w:eastAsia="en-US" w:bidi="ar-SA"/>
    </w:rPr>
  </w:style>
  <w:style w:type="paragraph" w:customStyle="1" w:styleId="167">
    <w:name w:val="Reference"/>
    <w:uiPriority w:val="0"/>
    <w:pPr>
      <w:spacing w:after="120" w:line="276" w:lineRule="auto"/>
      <w:ind w:left="360" w:hanging="360"/>
    </w:pPr>
    <w:rPr>
      <w:rFonts w:ascii="Calibri" w:hAnsi="Calibri" w:eastAsiaTheme="minorEastAsia" w:cstheme="minorBidi"/>
      <w:sz w:val="20"/>
      <w:szCs w:val="22"/>
      <w:lang w:val="en-US" w:eastAsia="en-US" w:bidi="ar-SA"/>
    </w:rPr>
  </w:style>
  <w:style w:type="paragraph" w:customStyle="1" w:styleId="168">
    <w:name w:val="TableText"/>
    <w:uiPriority w:val="0"/>
    <w:pPr>
      <w:spacing w:after="40" w:line="276" w:lineRule="auto"/>
    </w:pPr>
    <w:rPr>
      <w:rFonts w:ascii="Calibri" w:hAnsi="Calibri" w:eastAsiaTheme="minorEastAsia" w:cstheme="minorBidi"/>
      <w:sz w:val="18"/>
      <w:szCs w:val="22"/>
      <w:lang w:val="en-US" w:eastAsia="en-US" w:bidi="ar-SA"/>
    </w:rPr>
  </w:style>
</w:styles>
</file>

<file path=word/_rels/document.xml.rels><?xml version="1.0" encoding="UTF-8" standalone="yes"?>
<Relationships xmlns="http://schemas.openxmlformats.org/package/2006/relationships"><Relationship Id="rId9" Type="http://schemas.openxmlformats.org/officeDocument/2006/relationships/image" Target="media/image2.jpeg"/><Relationship Id="rId8" Type="http://schemas.openxmlformats.org/officeDocument/2006/relationships/image" Target="media/image1.jpeg"/><Relationship Id="rId7" Type="http://schemas.openxmlformats.org/officeDocument/2006/relationships/theme" Target="theme/theme1.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customXml" Target="../customXml/item2.xml"/><Relationship Id="rId13" Type="http://schemas.openxmlformats.org/officeDocument/2006/relationships/numbering" Target="numbering.xml"/><Relationship Id="rId12" Type="http://schemas.openxmlformats.org/officeDocument/2006/relationships/customXml" Target="../customXml/item1.xml"/><Relationship Id="rId11" Type="http://schemas.openxmlformats.org/officeDocument/2006/relationships/image" Target="media/image4.jpeg"/><Relationship Id="rId10" Type="http://schemas.openxmlformats.org/officeDocument/2006/relationships/image" Target="media/image3.jpeg"/><Relationship Id="rId1"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Users/zhenweiyan/Library/Containers/com.kingsoft.wpsoffice.mac/Data/Normal.wp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sectNamePr val="简约型"/>
      <sectRole val="1"/>
    </customSectPr>
    <customSectPr/>
  </customSectProps>
  <customShpExts>
    <customShpInfo spid="_x0000_s1026" textRotate="1"/>
    <customShpInfo spid="_x0000_s2058"/>
    <customShpInfo spid="_x0000_s2056"/>
  </customShpExts>
</s:customData>
</file>

<file path=customXml/item2.xml><?xml version="1.0" encoding="utf-8"?>
<b:Sources xmlns="http://schemas.openxmlformats.org/officeDocument/2006/bibliography" xmlns:b="http://schemas.openxmlformats.org/officeDocument/2006/bibliography" StyleName="APA" SelectedStyle="/APA.XSL"/>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EF278816-EC6F-A645-907D-7F25AECB1D4A}">
  <ds:schemaRefs/>
</ds:datastoreItem>
</file>

<file path=docProps/app.xml><?xml version="1.0" encoding="utf-8"?>
<Properties xmlns="http://schemas.openxmlformats.org/officeDocument/2006/extended-properties" xmlns:vt="http://schemas.openxmlformats.org/officeDocument/2006/docPropsVTypes">
  <Template>Normal.dotm</Template>
  <Pages>23</Pages>
  <Words>6263</Words>
  <Characters>35574</Characters>
  <Lines>539</Lines>
  <Paragraphs>147</Paragraphs>
  <TotalTime>1</TotalTime>
  <ScaleCrop>false</ScaleCrop>
  <LinksUpToDate>false</LinksUpToDate>
  <CharactersWithSpaces>41690</CharactersWithSpaces>
  <Application>WPS Office_12.1.25895.25895_F1E327BC-269C-435d-A152-05C5408002CA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2026-05-25T15:42:00Z</dcterms:created>
  <dc:creator>1111</dc:creator>
  <dc:description>generated by python-docx</dc:description>
  <cp:lastModifiedBy>おうがいの薇</cp:lastModifiedBy>
  <dcterms:modified xsi:type="dcterms:W3CDTF">2026-05-26T22:40:26Z</dcterms:modified>
  <dc:subject>ACBA7005 written report draft</dc:subject>
  <dc:title>GIS-Based Habitat Suitability Analysis for Skylark in Cardiff - Working Draft</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2052-12.1.25895.25895</vt:lpwstr>
  </property>
  <property fmtid="{D5CDD505-2E9C-101B-9397-08002B2CF9AE}" pid="3" name="ICV">
    <vt:lpwstr>178F7DB990EC162C3A05166A27DE6B53_43</vt:lpwstr>
  </property>
</Properties>
</file>