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DDA48" w14:textId="77777777" w:rsidR="00C71A55" w:rsidRDefault="00B64D1A">
      <w:pPr>
        <w:spacing w:after="114" w:line="259" w:lineRule="auto"/>
        <w:ind w:left="-1" w:firstLine="0"/>
      </w:pPr>
      <w:r>
        <w:rPr>
          <w:noProof/>
        </w:rPr>
        <w:drawing>
          <wp:inline distT="0" distB="0" distL="0" distR="0" wp14:anchorId="6CDFCB35" wp14:editId="6083B194">
            <wp:extent cx="1809750" cy="724916"/>
            <wp:effectExtent l="0" t="0" r="0" b="0"/>
            <wp:docPr id="459" name="Picture 459"/>
            <wp:cNvGraphicFramePr/>
            <a:graphic xmlns:a="http://schemas.openxmlformats.org/drawingml/2006/main">
              <a:graphicData uri="http://schemas.openxmlformats.org/drawingml/2006/picture">
                <pic:pic xmlns:pic="http://schemas.openxmlformats.org/drawingml/2006/picture">
                  <pic:nvPicPr>
                    <pic:cNvPr id="459" name="Picture 459"/>
                    <pic:cNvPicPr/>
                  </pic:nvPicPr>
                  <pic:blipFill>
                    <a:blip r:embed="rId6"/>
                    <a:stretch>
                      <a:fillRect/>
                    </a:stretch>
                  </pic:blipFill>
                  <pic:spPr>
                    <a:xfrm>
                      <a:off x="0" y="0"/>
                      <a:ext cx="1809750" cy="724916"/>
                    </a:xfrm>
                    <a:prstGeom prst="rect">
                      <a:avLst/>
                    </a:prstGeom>
                  </pic:spPr>
                </pic:pic>
              </a:graphicData>
            </a:graphic>
          </wp:inline>
        </w:drawing>
      </w:r>
      <w:r>
        <w:t xml:space="preserve"> </w:t>
      </w:r>
    </w:p>
    <w:p w14:paraId="25DBC776" w14:textId="77777777" w:rsidR="00C71A55" w:rsidRDefault="00B64D1A">
      <w:pPr>
        <w:spacing w:after="184" w:line="259" w:lineRule="auto"/>
        <w:ind w:left="0" w:firstLine="0"/>
      </w:pPr>
      <w:r>
        <w:t xml:space="preserve"> </w:t>
      </w:r>
    </w:p>
    <w:p w14:paraId="7B7FC265" w14:textId="77777777" w:rsidR="00C71A55" w:rsidRDefault="00B64D1A">
      <w:pPr>
        <w:spacing w:after="179" w:line="259" w:lineRule="auto"/>
        <w:ind w:left="0" w:firstLine="0"/>
      </w:pPr>
      <w:r>
        <w:t xml:space="preserve"> </w:t>
      </w:r>
    </w:p>
    <w:p w14:paraId="1D67473F" w14:textId="6C97F610" w:rsidR="00C71A55" w:rsidRPr="00D336F7" w:rsidRDefault="00B64D1A" w:rsidP="008D5FA4">
      <w:pPr>
        <w:spacing w:after="179" w:line="259" w:lineRule="auto"/>
        <w:ind w:left="0" w:firstLine="0"/>
        <w:rPr>
          <w:rFonts w:ascii="Arial" w:hAnsi="Arial" w:cs="Arial"/>
        </w:rPr>
      </w:pPr>
      <w:r>
        <w:t xml:space="preserve"> </w:t>
      </w:r>
    </w:p>
    <w:p w14:paraId="1E24EBFE" w14:textId="77777777" w:rsidR="00C71A55" w:rsidRPr="00D336F7" w:rsidRDefault="00B64D1A">
      <w:pPr>
        <w:spacing w:after="182" w:line="259" w:lineRule="auto"/>
        <w:ind w:left="0" w:right="5" w:firstLine="0"/>
        <w:jc w:val="center"/>
        <w:rPr>
          <w:rFonts w:ascii="Arial" w:hAnsi="Arial" w:cs="Arial"/>
        </w:rPr>
      </w:pPr>
      <w:r w:rsidRPr="00D336F7">
        <w:rPr>
          <w:rFonts w:ascii="Arial" w:eastAsia="Arial" w:hAnsi="Arial" w:cs="Arial"/>
          <w:b/>
        </w:rPr>
        <w:t xml:space="preserve">Health and Social Care </w:t>
      </w:r>
    </w:p>
    <w:p w14:paraId="097E3A48" w14:textId="77777777" w:rsidR="00C71A55" w:rsidRPr="00D336F7" w:rsidRDefault="00B64D1A">
      <w:pPr>
        <w:spacing w:after="185" w:line="259" w:lineRule="auto"/>
        <w:ind w:left="48" w:firstLine="0"/>
        <w:jc w:val="center"/>
        <w:rPr>
          <w:rFonts w:ascii="Arial" w:hAnsi="Arial" w:cs="Arial"/>
        </w:rPr>
      </w:pPr>
      <w:r w:rsidRPr="00D336F7">
        <w:rPr>
          <w:rFonts w:ascii="Arial" w:hAnsi="Arial" w:cs="Arial"/>
        </w:rPr>
        <w:t xml:space="preserve"> </w:t>
      </w:r>
    </w:p>
    <w:p w14:paraId="4A8E88D0" w14:textId="77777777" w:rsidR="00C71A55" w:rsidRPr="00D336F7" w:rsidRDefault="00B64D1A">
      <w:pPr>
        <w:jc w:val="center"/>
        <w:rPr>
          <w:rFonts w:ascii="Arial" w:hAnsi="Arial" w:cs="Arial"/>
        </w:rPr>
      </w:pPr>
      <w:r w:rsidRPr="00D336F7">
        <w:rPr>
          <w:rFonts w:ascii="Arial" w:eastAsia="Arial" w:hAnsi="Arial" w:cs="Arial"/>
          <w:b/>
        </w:rPr>
        <w:t>Module:</w:t>
      </w:r>
      <w:r w:rsidRPr="00D336F7">
        <w:rPr>
          <w:rFonts w:ascii="Arial" w:hAnsi="Arial" w:cs="Arial"/>
        </w:rPr>
        <w:t xml:space="preserve"> introduction to independent research skills (BMHP5019) </w:t>
      </w:r>
    </w:p>
    <w:p w14:paraId="5923774A" w14:textId="77777777" w:rsidR="00C71A55" w:rsidRPr="00D336F7" w:rsidRDefault="00B64D1A">
      <w:pPr>
        <w:spacing w:after="202" w:line="259" w:lineRule="auto"/>
        <w:ind w:left="48" w:firstLine="0"/>
        <w:jc w:val="center"/>
        <w:rPr>
          <w:rFonts w:ascii="Arial" w:hAnsi="Arial" w:cs="Arial"/>
        </w:rPr>
      </w:pPr>
      <w:r w:rsidRPr="00D336F7">
        <w:rPr>
          <w:rFonts w:ascii="Arial" w:hAnsi="Arial" w:cs="Arial"/>
        </w:rPr>
        <w:t xml:space="preserve"> </w:t>
      </w:r>
    </w:p>
    <w:p w14:paraId="40A44905" w14:textId="2C4D78D4" w:rsidR="00C71A55" w:rsidRPr="00D336F7" w:rsidRDefault="00B64D1A">
      <w:pPr>
        <w:ind w:right="6"/>
        <w:jc w:val="center"/>
        <w:rPr>
          <w:rFonts w:ascii="Arial" w:hAnsi="Arial" w:cs="Arial"/>
        </w:rPr>
      </w:pPr>
      <w:r w:rsidRPr="00D336F7">
        <w:rPr>
          <w:rFonts w:ascii="Arial" w:eastAsia="Arial" w:hAnsi="Arial" w:cs="Arial"/>
          <w:b/>
        </w:rPr>
        <w:t>Assessment title:</w:t>
      </w:r>
      <w:r w:rsidRPr="00D336F7">
        <w:rPr>
          <w:rFonts w:ascii="Arial" w:hAnsi="Arial" w:cs="Arial"/>
        </w:rPr>
        <w:t xml:space="preserve"> Assessment </w:t>
      </w:r>
      <w:r w:rsidR="00BB7F94">
        <w:rPr>
          <w:rFonts w:ascii="Arial" w:hAnsi="Arial" w:cs="Arial"/>
        </w:rPr>
        <w:t>2</w:t>
      </w:r>
      <w:r w:rsidRPr="00D336F7">
        <w:rPr>
          <w:rFonts w:ascii="Arial" w:hAnsi="Arial" w:cs="Arial"/>
        </w:rPr>
        <w:t xml:space="preserve"> – Research Report  </w:t>
      </w:r>
    </w:p>
    <w:p w14:paraId="7992174F" w14:textId="77777777" w:rsidR="00C71A55" w:rsidRPr="00D336F7" w:rsidRDefault="00B64D1A">
      <w:pPr>
        <w:spacing w:after="179" w:line="259" w:lineRule="auto"/>
        <w:ind w:left="0" w:firstLine="0"/>
        <w:rPr>
          <w:rFonts w:ascii="Arial" w:hAnsi="Arial" w:cs="Arial"/>
        </w:rPr>
      </w:pPr>
      <w:r w:rsidRPr="00D336F7">
        <w:rPr>
          <w:rFonts w:ascii="Arial" w:hAnsi="Arial" w:cs="Arial"/>
        </w:rPr>
        <w:t xml:space="preserve"> </w:t>
      </w:r>
    </w:p>
    <w:p w14:paraId="74953160" w14:textId="77777777" w:rsidR="00C71A55" w:rsidRPr="00D336F7" w:rsidRDefault="00B64D1A">
      <w:pPr>
        <w:ind w:right="2"/>
        <w:jc w:val="center"/>
        <w:rPr>
          <w:rFonts w:ascii="Arial" w:hAnsi="Arial" w:cs="Arial"/>
        </w:rPr>
      </w:pPr>
      <w:r w:rsidRPr="00D336F7">
        <w:rPr>
          <w:rFonts w:ascii="Arial" w:hAnsi="Arial" w:cs="Arial"/>
          <w:b/>
        </w:rPr>
        <w:t>Topic:</w:t>
      </w:r>
      <w:r w:rsidRPr="00D336F7">
        <w:rPr>
          <w:rFonts w:ascii="Arial" w:hAnsi="Arial" w:cs="Arial"/>
        </w:rPr>
        <w:t xml:space="preserve"> Inequalities in the treatment and Management of Sickle Cell Disease within the NHS.  </w:t>
      </w:r>
    </w:p>
    <w:p w14:paraId="1A941D7F" w14:textId="77777777" w:rsidR="00C71A55" w:rsidRPr="00D336F7" w:rsidRDefault="00B64D1A">
      <w:pPr>
        <w:spacing w:after="184" w:line="259" w:lineRule="auto"/>
        <w:ind w:left="0" w:firstLine="0"/>
        <w:rPr>
          <w:rFonts w:ascii="Arial" w:hAnsi="Arial" w:cs="Arial"/>
        </w:rPr>
      </w:pPr>
      <w:r w:rsidRPr="00D336F7">
        <w:rPr>
          <w:rFonts w:ascii="Arial" w:hAnsi="Arial" w:cs="Arial"/>
        </w:rPr>
        <w:t xml:space="preserve"> </w:t>
      </w:r>
    </w:p>
    <w:p w14:paraId="71032E17" w14:textId="03CC2D5B" w:rsidR="00C71A55" w:rsidRPr="00D336F7" w:rsidRDefault="00B64D1A" w:rsidP="008D5FA4">
      <w:pPr>
        <w:spacing w:after="179" w:line="259" w:lineRule="auto"/>
        <w:ind w:left="0" w:firstLine="0"/>
        <w:rPr>
          <w:rFonts w:ascii="Arial" w:hAnsi="Arial" w:cs="Arial"/>
        </w:rPr>
      </w:pPr>
      <w:r w:rsidRPr="00D336F7">
        <w:rPr>
          <w:rFonts w:ascii="Arial" w:hAnsi="Arial" w:cs="Arial"/>
        </w:rPr>
        <w:t xml:space="preserve">  </w:t>
      </w:r>
    </w:p>
    <w:p w14:paraId="220C16E0" w14:textId="77777777" w:rsidR="00C71A55" w:rsidRPr="00D336F7" w:rsidRDefault="00B64D1A">
      <w:pPr>
        <w:spacing w:after="213" w:line="259" w:lineRule="auto"/>
        <w:ind w:left="-5"/>
        <w:rPr>
          <w:rFonts w:ascii="Arial" w:hAnsi="Arial" w:cs="Arial"/>
        </w:rPr>
      </w:pPr>
      <w:r w:rsidRPr="00D336F7">
        <w:rPr>
          <w:rFonts w:ascii="Arial" w:eastAsia="Arial" w:hAnsi="Arial" w:cs="Arial"/>
          <w:b/>
        </w:rPr>
        <w:t>Student ID:</w:t>
      </w:r>
      <w:r w:rsidRPr="00D336F7">
        <w:rPr>
          <w:rFonts w:ascii="Arial" w:hAnsi="Arial" w:cs="Arial"/>
        </w:rPr>
        <w:t xml:space="preserve"> 2028154 </w:t>
      </w:r>
    </w:p>
    <w:p w14:paraId="44D66638" w14:textId="77777777" w:rsidR="00C71A55" w:rsidRPr="00D336F7" w:rsidRDefault="00B64D1A">
      <w:pPr>
        <w:spacing w:after="195"/>
        <w:ind w:left="-5" w:right="4"/>
        <w:rPr>
          <w:rFonts w:ascii="Arial" w:hAnsi="Arial" w:cs="Arial"/>
        </w:rPr>
      </w:pPr>
      <w:r w:rsidRPr="00D336F7">
        <w:rPr>
          <w:rFonts w:ascii="Arial" w:eastAsia="Arial" w:hAnsi="Arial" w:cs="Arial"/>
          <w:b/>
        </w:rPr>
        <w:t>Student name:</w:t>
      </w:r>
      <w:r w:rsidRPr="00D336F7">
        <w:rPr>
          <w:rFonts w:ascii="Arial" w:hAnsi="Arial" w:cs="Arial"/>
        </w:rPr>
        <w:t xml:space="preserve"> Edmilza veloso  </w:t>
      </w:r>
    </w:p>
    <w:p w14:paraId="701C39D3" w14:textId="1064D09A" w:rsidR="00C71A55" w:rsidRPr="00D336F7" w:rsidRDefault="00B64D1A">
      <w:pPr>
        <w:ind w:left="-5" w:right="4"/>
        <w:rPr>
          <w:rFonts w:ascii="Arial" w:hAnsi="Arial" w:cs="Arial"/>
        </w:rPr>
      </w:pPr>
      <w:r w:rsidRPr="00D336F7">
        <w:rPr>
          <w:rFonts w:ascii="Arial" w:eastAsia="Arial" w:hAnsi="Arial" w:cs="Arial"/>
          <w:b/>
        </w:rPr>
        <w:t>Lecture name:</w:t>
      </w:r>
      <w:r w:rsidR="00B42EAB" w:rsidRPr="00D336F7">
        <w:rPr>
          <w:rFonts w:ascii="Arial" w:eastAsia="Arial" w:hAnsi="Arial" w:cs="Arial"/>
          <w:b/>
        </w:rPr>
        <w:t xml:space="preserve"> </w:t>
      </w:r>
      <w:r w:rsidR="00B42EAB" w:rsidRPr="00D336F7">
        <w:rPr>
          <w:rFonts w:ascii="Arial" w:eastAsia="Arial" w:hAnsi="Arial" w:cs="Arial"/>
          <w:bCs/>
        </w:rPr>
        <w:t>Dr</w:t>
      </w:r>
      <w:r w:rsidRPr="00D336F7">
        <w:rPr>
          <w:rFonts w:ascii="Arial" w:hAnsi="Arial" w:cs="Arial"/>
        </w:rPr>
        <w:t xml:space="preserve"> Eleni Koutsogeorgou-Andreou </w:t>
      </w:r>
    </w:p>
    <w:p w14:paraId="05E3386F" w14:textId="1CFF957A" w:rsidR="00C71A55" w:rsidRPr="00D336F7" w:rsidRDefault="00B64D1A">
      <w:pPr>
        <w:spacing w:after="180" w:line="259" w:lineRule="auto"/>
        <w:ind w:left="-5"/>
        <w:rPr>
          <w:rFonts w:ascii="Arial" w:hAnsi="Arial" w:cs="Arial"/>
          <w:bCs/>
        </w:rPr>
      </w:pPr>
      <w:r w:rsidRPr="00D336F7">
        <w:rPr>
          <w:rFonts w:ascii="Arial" w:eastAsia="Arial" w:hAnsi="Arial" w:cs="Arial"/>
          <w:b/>
        </w:rPr>
        <w:t xml:space="preserve">Date of submission: </w:t>
      </w:r>
      <w:r w:rsidR="00B42EAB" w:rsidRPr="00D336F7">
        <w:rPr>
          <w:rFonts w:ascii="Arial" w:eastAsia="Arial" w:hAnsi="Arial" w:cs="Arial"/>
          <w:bCs/>
        </w:rPr>
        <w:t>24/04/2026</w:t>
      </w:r>
    </w:p>
    <w:p w14:paraId="78F8B9A3" w14:textId="41A1F719" w:rsidR="00C71A55" w:rsidRPr="00D336F7" w:rsidRDefault="00B64D1A">
      <w:pPr>
        <w:spacing w:after="180" w:line="259" w:lineRule="auto"/>
        <w:ind w:left="-5"/>
        <w:rPr>
          <w:rFonts w:ascii="Arial" w:hAnsi="Arial" w:cs="Arial"/>
          <w:bCs/>
        </w:rPr>
      </w:pPr>
      <w:r w:rsidRPr="00D336F7">
        <w:rPr>
          <w:rFonts w:ascii="Arial" w:eastAsia="Arial" w:hAnsi="Arial" w:cs="Arial"/>
          <w:b/>
        </w:rPr>
        <w:t>Word count:</w:t>
      </w:r>
      <w:r w:rsidR="00B42EAB" w:rsidRPr="00D336F7">
        <w:rPr>
          <w:rFonts w:ascii="Arial" w:eastAsia="Arial" w:hAnsi="Arial" w:cs="Arial"/>
          <w:b/>
        </w:rPr>
        <w:t xml:space="preserve"> </w:t>
      </w:r>
      <w:r w:rsidR="00B42EAB" w:rsidRPr="00D336F7">
        <w:rPr>
          <w:rFonts w:ascii="Arial" w:eastAsia="Arial" w:hAnsi="Arial" w:cs="Arial"/>
          <w:bCs/>
        </w:rPr>
        <w:t>3</w:t>
      </w:r>
      <w:r w:rsidR="009138C0">
        <w:rPr>
          <w:rFonts w:ascii="Arial" w:eastAsia="Arial" w:hAnsi="Arial" w:cs="Arial"/>
          <w:bCs/>
        </w:rPr>
        <w:t>600</w:t>
      </w:r>
      <w:r w:rsidR="008C00CA">
        <w:rPr>
          <w:rFonts w:ascii="Arial" w:eastAsia="Arial" w:hAnsi="Arial" w:cs="Arial"/>
          <w:bCs/>
        </w:rPr>
        <w:t xml:space="preserve"> </w:t>
      </w:r>
    </w:p>
    <w:p w14:paraId="78F68EB5" w14:textId="77777777" w:rsidR="00C71A55" w:rsidRPr="00D336F7" w:rsidRDefault="00B64D1A">
      <w:pPr>
        <w:spacing w:after="177" w:line="259" w:lineRule="auto"/>
        <w:ind w:left="0" w:firstLine="0"/>
        <w:rPr>
          <w:rFonts w:ascii="Arial" w:eastAsia="Arial" w:hAnsi="Arial" w:cs="Arial"/>
          <w:b/>
        </w:rPr>
      </w:pPr>
      <w:r w:rsidRPr="00D336F7">
        <w:rPr>
          <w:rFonts w:ascii="Arial" w:eastAsia="Arial" w:hAnsi="Arial" w:cs="Arial"/>
          <w:b/>
        </w:rPr>
        <w:t xml:space="preserve"> </w:t>
      </w:r>
    </w:p>
    <w:p w14:paraId="4F8EAC1E" w14:textId="3C09D49B" w:rsidR="001D4C2E" w:rsidRPr="00D336F7" w:rsidRDefault="001D4C2E">
      <w:pPr>
        <w:spacing w:after="0" w:line="259" w:lineRule="auto"/>
        <w:ind w:left="0" w:firstLine="0"/>
        <w:rPr>
          <w:rFonts w:ascii="Arial" w:hAnsi="Arial" w:cs="Arial"/>
        </w:rPr>
      </w:pPr>
    </w:p>
    <w:p w14:paraId="01D8A8D6" w14:textId="77777777" w:rsidR="001D4C2E" w:rsidRPr="00D336F7" w:rsidRDefault="001D4C2E">
      <w:pPr>
        <w:spacing w:after="0" w:line="259" w:lineRule="auto"/>
        <w:ind w:left="0" w:firstLine="0"/>
        <w:rPr>
          <w:rFonts w:ascii="Arial" w:hAnsi="Arial" w:cs="Arial"/>
        </w:rPr>
      </w:pPr>
    </w:p>
    <w:p w14:paraId="165DDA2E" w14:textId="77777777" w:rsidR="001D4C2E" w:rsidRPr="00D336F7" w:rsidRDefault="001D4C2E">
      <w:pPr>
        <w:spacing w:after="0" w:line="259" w:lineRule="auto"/>
        <w:ind w:left="0" w:firstLine="0"/>
        <w:rPr>
          <w:rFonts w:ascii="Arial" w:hAnsi="Arial" w:cs="Arial"/>
        </w:rPr>
      </w:pPr>
    </w:p>
    <w:p w14:paraId="5D6976CF" w14:textId="77777777" w:rsidR="001D4C2E" w:rsidRDefault="001D4C2E">
      <w:pPr>
        <w:spacing w:after="0" w:line="259" w:lineRule="auto"/>
        <w:ind w:left="0" w:firstLine="0"/>
        <w:rPr>
          <w:rFonts w:ascii="Arial" w:hAnsi="Arial" w:cs="Arial"/>
        </w:rPr>
      </w:pPr>
    </w:p>
    <w:p w14:paraId="5672FA79" w14:textId="77777777" w:rsidR="00D336F7" w:rsidRPr="00D336F7" w:rsidRDefault="00D336F7">
      <w:pPr>
        <w:spacing w:after="0" w:line="259" w:lineRule="auto"/>
        <w:ind w:left="0" w:firstLine="0"/>
        <w:rPr>
          <w:rFonts w:ascii="Arial" w:hAnsi="Arial" w:cs="Arial"/>
        </w:rPr>
      </w:pPr>
    </w:p>
    <w:p w14:paraId="3E11D721" w14:textId="77777777" w:rsidR="001D4C2E" w:rsidRPr="00D336F7" w:rsidRDefault="001D4C2E">
      <w:pPr>
        <w:spacing w:after="0" w:line="259" w:lineRule="auto"/>
        <w:ind w:left="0" w:firstLine="0"/>
        <w:rPr>
          <w:rFonts w:ascii="Arial" w:hAnsi="Arial" w:cs="Arial"/>
        </w:rPr>
      </w:pPr>
    </w:p>
    <w:p w14:paraId="642EF3F2" w14:textId="77777777" w:rsidR="001D4C2E" w:rsidRPr="00D336F7" w:rsidRDefault="001D4C2E">
      <w:pPr>
        <w:spacing w:after="0" w:line="259" w:lineRule="auto"/>
        <w:ind w:left="0" w:firstLine="0"/>
        <w:rPr>
          <w:rFonts w:ascii="Arial" w:hAnsi="Arial" w:cs="Arial"/>
        </w:rPr>
      </w:pPr>
    </w:p>
    <w:p w14:paraId="696465D0" w14:textId="77777777" w:rsidR="001D4C2E" w:rsidRDefault="001D4C2E">
      <w:pPr>
        <w:spacing w:after="0" w:line="259" w:lineRule="auto"/>
        <w:ind w:left="0" w:firstLine="0"/>
      </w:pPr>
    </w:p>
    <w:p w14:paraId="3EEE400D" w14:textId="77777777" w:rsidR="001D4C2E" w:rsidRDefault="001D4C2E">
      <w:pPr>
        <w:spacing w:after="0" w:line="259" w:lineRule="auto"/>
        <w:ind w:left="0" w:firstLine="0"/>
      </w:pPr>
    </w:p>
    <w:sdt>
      <w:sdtPr>
        <w:rPr>
          <w:rFonts w:ascii="Aptos" w:eastAsia="Aptos" w:hAnsi="Aptos" w:cs="Times New Roman"/>
          <w:color w:val="000000"/>
          <w:kern w:val="2"/>
          <w:sz w:val="24"/>
          <w:szCs w:val="24"/>
          <w:lang w:val="en" w:eastAsia="en"/>
          <w14:ligatures w14:val="standardContextual"/>
        </w:rPr>
        <w:id w:val="-824975315"/>
        <w:docPartObj>
          <w:docPartGallery w:val="Table of Contents"/>
          <w:docPartUnique/>
        </w:docPartObj>
      </w:sdtPr>
      <w:sdtEndPr>
        <w:rPr>
          <w:rFonts w:ascii="Arial" w:hAnsi="Arial" w:cs="Arial"/>
          <w:b/>
          <w:bCs/>
        </w:rPr>
      </w:sdtEndPr>
      <w:sdtContent>
        <w:p w14:paraId="2F6DD1E4" w14:textId="267EBECB" w:rsidR="001D4C2E" w:rsidRPr="00D336F7" w:rsidRDefault="001D4C2E" w:rsidP="00D336F7">
          <w:pPr>
            <w:pStyle w:val="TOCHeading"/>
            <w:spacing w:line="360" w:lineRule="auto"/>
            <w:jc w:val="both"/>
            <w:rPr>
              <w:rFonts w:ascii="Arial" w:hAnsi="Arial" w:cs="Arial"/>
              <w:sz w:val="24"/>
              <w:szCs w:val="24"/>
            </w:rPr>
          </w:pPr>
          <w:r w:rsidRPr="00D336F7">
            <w:rPr>
              <w:rFonts w:ascii="Arial" w:hAnsi="Arial" w:cs="Arial"/>
              <w:sz w:val="24"/>
              <w:szCs w:val="24"/>
            </w:rPr>
            <w:t>Table of Contents</w:t>
          </w:r>
        </w:p>
        <w:p w14:paraId="72F7C527" w14:textId="254DC76B" w:rsidR="001D4C2E" w:rsidRPr="00D336F7" w:rsidRDefault="001D4C2E" w:rsidP="00D336F7">
          <w:pPr>
            <w:pStyle w:val="TOC1"/>
            <w:tabs>
              <w:tab w:val="right" w:leader="dot" w:pos="9015"/>
            </w:tabs>
            <w:spacing w:line="360" w:lineRule="auto"/>
            <w:jc w:val="both"/>
            <w:rPr>
              <w:rFonts w:ascii="Arial" w:eastAsiaTheme="minorEastAsia" w:hAnsi="Arial" w:cs="Arial"/>
              <w:noProof/>
              <w:color w:val="auto"/>
              <w:lang w:val="en-GB" w:eastAsia="en-GB"/>
            </w:rPr>
          </w:pPr>
          <w:r w:rsidRPr="00D336F7">
            <w:rPr>
              <w:rFonts w:ascii="Arial" w:hAnsi="Arial" w:cs="Arial"/>
            </w:rPr>
            <w:fldChar w:fldCharType="begin"/>
          </w:r>
          <w:r w:rsidRPr="00D336F7">
            <w:rPr>
              <w:rFonts w:ascii="Arial" w:hAnsi="Arial" w:cs="Arial"/>
            </w:rPr>
            <w:instrText xml:space="preserve"> TOC \o "1-3" \h \z \u </w:instrText>
          </w:r>
          <w:r w:rsidRPr="00D336F7">
            <w:rPr>
              <w:rFonts w:ascii="Arial" w:hAnsi="Arial" w:cs="Arial"/>
            </w:rPr>
            <w:fldChar w:fldCharType="separate"/>
          </w:r>
          <w:hyperlink w:anchor="_Toc227710441" w:history="1">
            <w:r w:rsidRPr="00D336F7">
              <w:rPr>
                <w:rStyle w:val="Hyperlink"/>
                <w:rFonts w:ascii="Arial" w:hAnsi="Arial" w:cs="Arial"/>
                <w:noProof/>
              </w:rPr>
              <w:t>Table of contents</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_Toc227710441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1</w:t>
            </w:r>
            <w:r w:rsidRPr="00D336F7">
              <w:rPr>
                <w:rFonts w:ascii="Arial" w:hAnsi="Arial" w:cs="Arial"/>
                <w:noProof/>
                <w:webHidden/>
              </w:rPr>
              <w:fldChar w:fldCharType="end"/>
            </w:r>
          </w:hyperlink>
        </w:p>
        <w:p w14:paraId="26535956" w14:textId="6B2BE7F0" w:rsidR="001D4C2E" w:rsidRPr="00D336F7" w:rsidRDefault="001D4C2E" w:rsidP="00D336F7">
          <w:pPr>
            <w:pStyle w:val="TOC1"/>
            <w:tabs>
              <w:tab w:val="right" w:leader="dot" w:pos="9015"/>
            </w:tabs>
            <w:spacing w:line="360" w:lineRule="auto"/>
            <w:jc w:val="both"/>
            <w:rPr>
              <w:rFonts w:ascii="Arial" w:eastAsiaTheme="minorEastAsia" w:hAnsi="Arial" w:cs="Arial"/>
              <w:noProof/>
              <w:color w:val="auto"/>
              <w:lang w:val="en-GB" w:eastAsia="en-GB"/>
            </w:rPr>
          </w:pPr>
          <w:hyperlink w:anchor="_Toc227710442" w:history="1">
            <w:r w:rsidRPr="00D336F7">
              <w:rPr>
                <w:rStyle w:val="Hyperlink"/>
                <w:rFonts w:ascii="Arial" w:hAnsi="Arial" w:cs="Arial"/>
                <w:noProof/>
              </w:rPr>
              <w:t>Abstract</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_Toc227710442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2</w:t>
            </w:r>
            <w:r w:rsidRPr="00D336F7">
              <w:rPr>
                <w:rFonts w:ascii="Arial" w:hAnsi="Arial" w:cs="Arial"/>
                <w:noProof/>
                <w:webHidden/>
              </w:rPr>
              <w:fldChar w:fldCharType="end"/>
            </w:r>
          </w:hyperlink>
        </w:p>
        <w:p w14:paraId="66970EEF" w14:textId="24123C03" w:rsidR="001D4C2E" w:rsidRPr="00D336F7" w:rsidRDefault="001D4C2E" w:rsidP="00D336F7">
          <w:pPr>
            <w:pStyle w:val="TOC1"/>
            <w:tabs>
              <w:tab w:val="right" w:leader="dot" w:pos="9015"/>
            </w:tabs>
            <w:spacing w:line="360" w:lineRule="auto"/>
            <w:jc w:val="both"/>
            <w:rPr>
              <w:rFonts w:ascii="Arial" w:eastAsiaTheme="minorEastAsia" w:hAnsi="Arial" w:cs="Arial"/>
              <w:noProof/>
              <w:color w:val="auto"/>
              <w:lang w:val="en-GB" w:eastAsia="en-GB"/>
            </w:rPr>
          </w:pPr>
          <w:hyperlink w:anchor="_Toc227710443" w:history="1">
            <w:r w:rsidRPr="00D336F7">
              <w:rPr>
                <w:rStyle w:val="Hyperlink"/>
                <w:rFonts w:ascii="Arial" w:hAnsi="Arial" w:cs="Arial"/>
                <w:noProof/>
              </w:rPr>
              <w:t>Introduction</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_Toc227710443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2</w:t>
            </w:r>
            <w:r w:rsidRPr="00D336F7">
              <w:rPr>
                <w:rFonts w:ascii="Arial" w:hAnsi="Arial" w:cs="Arial"/>
                <w:noProof/>
                <w:webHidden/>
              </w:rPr>
              <w:fldChar w:fldCharType="end"/>
            </w:r>
          </w:hyperlink>
        </w:p>
        <w:p w14:paraId="4C24C6BB" w14:textId="719FFA06" w:rsidR="001D4C2E" w:rsidRPr="00D336F7" w:rsidRDefault="001D4C2E" w:rsidP="00D336F7">
          <w:pPr>
            <w:pStyle w:val="TOC1"/>
            <w:tabs>
              <w:tab w:val="right" w:leader="dot" w:pos="9015"/>
            </w:tabs>
            <w:spacing w:line="360" w:lineRule="auto"/>
            <w:jc w:val="both"/>
            <w:rPr>
              <w:rFonts w:ascii="Arial" w:eastAsiaTheme="minorEastAsia" w:hAnsi="Arial" w:cs="Arial"/>
              <w:noProof/>
              <w:color w:val="auto"/>
              <w:lang w:val="en-GB" w:eastAsia="en-GB"/>
            </w:rPr>
          </w:pPr>
          <w:hyperlink w:anchor="_Toc227710444" w:history="1">
            <w:r w:rsidRPr="00D336F7">
              <w:rPr>
                <w:rStyle w:val="Hyperlink"/>
                <w:rFonts w:ascii="Arial" w:hAnsi="Arial" w:cs="Arial"/>
                <w:noProof/>
              </w:rPr>
              <w:t>Background</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_Toc227710444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3</w:t>
            </w:r>
            <w:r w:rsidRPr="00D336F7">
              <w:rPr>
                <w:rFonts w:ascii="Arial" w:hAnsi="Arial" w:cs="Arial"/>
                <w:noProof/>
                <w:webHidden/>
              </w:rPr>
              <w:fldChar w:fldCharType="end"/>
            </w:r>
          </w:hyperlink>
        </w:p>
        <w:p w14:paraId="39E8E0F4" w14:textId="5462DCD6" w:rsidR="001D4C2E" w:rsidRPr="00D336F7" w:rsidRDefault="001D4C2E" w:rsidP="00D336F7">
          <w:pPr>
            <w:pStyle w:val="TOC1"/>
            <w:tabs>
              <w:tab w:val="right" w:leader="dot" w:pos="9015"/>
            </w:tabs>
            <w:spacing w:line="360" w:lineRule="auto"/>
            <w:jc w:val="both"/>
            <w:rPr>
              <w:rFonts w:ascii="Arial" w:eastAsiaTheme="minorEastAsia" w:hAnsi="Arial" w:cs="Arial"/>
              <w:noProof/>
              <w:color w:val="auto"/>
              <w:lang w:val="en-GB" w:eastAsia="en-GB"/>
            </w:rPr>
          </w:pPr>
          <w:hyperlink w:anchor="_Toc227710445" w:history="1">
            <w:r w:rsidRPr="00D336F7">
              <w:rPr>
                <w:rStyle w:val="Hyperlink"/>
                <w:rFonts w:ascii="Arial" w:hAnsi="Arial" w:cs="Arial"/>
                <w:noProof/>
              </w:rPr>
              <w:t>Methods</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_Toc227710445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5</w:t>
            </w:r>
            <w:r w:rsidRPr="00D336F7">
              <w:rPr>
                <w:rFonts w:ascii="Arial" w:hAnsi="Arial" w:cs="Arial"/>
                <w:noProof/>
                <w:webHidden/>
              </w:rPr>
              <w:fldChar w:fldCharType="end"/>
            </w:r>
          </w:hyperlink>
        </w:p>
        <w:p w14:paraId="360AD57F" w14:textId="0A6C3DC2" w:rsidR="001D4C2E" w:rsidRPr="00D336F7" w:rsidRDefault="001D4C2E" w:rsidP="00D336F7">
          <w:pPr>
            <w:pStyle w:val="TOC1"/>
            <w:tabs>
              <w:tab w:val="right" w:leader="dot" w:pos="9015"/>
            </w:tabs>
            <w:spacing w:line="360" w:lineRule="auto"/>
            <w:jc w:val="both"/>
            <w:rPr>
              <w:rFonts w:ascii="Arial" w:eastAsiaTheme="minorEastAsia" w:hAnsi="Arial" w:cs="Arial"/>
              <w:noProof/>
              <w:color w:val="auto"/>
              <w:lang w:val="en-GB" w:eastAsia="en-GB"/>
            </w:rPr>
          </w:pPr>
          <w:hyperlink w:anchor="_Toc227710446" w:history="1">
            <w:r w:rsidRPr="00D336F7">
              <w:rPr>
                <w:rStyle w:val="Hyperlink"/>
                <w:rFonts w:ascii="Arial" w:hAnsi="Arial" w:cs="Arial"/>
                <w:noProof/>
              </w:rPr>
              <w:t>-</w:t>
            </w:r>
            <w:r w:rsidRPr="00D336F7">
              <w:rPr>
                <w:rStyle w:val="Hyperlink"/>
                <w:rFonts w:ascii="Arial" w:eastAsia="Arial" w:hAnsi="Arial" w:cs="Arial"/>
                <w:noProof/>
              </w:rPr>
              <w:t xml:space="preserve"> </w:t>
            </w:r>
            <w:r w:rsidRPr="00D336F7">
              <w:rPr>
                <w:rStyle w:val="Hyperlink"/>
                <w:rFonts w:ascii="Arial" w:hAnsi="Arial" w:cs="Arial"/>
                <w:noProof/>
              </w:rPr>
              <w:t>Search Strategy and Data Collection</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_Toc227710446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5</w:t>
            </w:r>
            <w:r w:rsidRPr="00D336F7">
              <w:rPr>
                <w:rFonts w:ascii="Arial" w:hAnsi="Arial" w:cs="Arial"/>
                <w:noProof/>
                <w:webHidden/>
              </w:rPr>
              <w:fldChar w:fldCharType="end"/>
            </w:r>
          </w:hyperlink>
        </w:p>
        <w:p w14:paraId="58AD2F58" w14:textId="46EEA055" w:rsidR="001D4C2E" w:rsidRPr="00D336F7" w:rsidRDefault="001D4C2E" w:rsidP="00D336F7">
          <w:pPr>
            <w:pStyle w:val="TOC2"/>
            <w:tabs>
              <w:tab w:val="right" w:leader="dot" w:pos="9015"/>
            </w:tabs>
            <w:spacing w:line="360" w:lineRule="auto"/>
            <w:jc w:val="both"/>
            <w:rPr>
              <w:rFonts w:ascii="Arial" w:eastAsiaTheme="minorEastAsia" w:hAnsi="Arial" w:cs="Arial"/>
              <w:noProof/>
              <w:color w:val="auto"/>
              <w:lang w:val="en-GB" w:eastAsia="en-GB"/>
            </w:rPr>
          </w:pPr>
          <w:hyperlink w:anchor="_Toc227710447" w:history="1">
            <w:r w:rsidRPr="00D336F7">
              <w:rPr>
                <w:rStyle w:val="Hyperlink"/>
                <w:rFonts w:ascii="Arial" w:hAnsi="Arial" w:cs="Arial"/>
                <w:noProof/>
              </w:rPr>
              <w:t>-</w:t>
            </w:r>
            <w:r w:rsidRPr="00D336F7">
              <w:rPr>
                <w:rStyle w:val="Hyperlink"/>
                <w:rFonts w:ascii="Arial" w:eastAsia="Arial" w:hAnsi="Arial" w:cs="Arial"/>
                <w:noProof/>
              </w:rPr>
              <w:t xml:space="preserve"> </w:t>
            </w:r>
            <w:r w:rsidRPr="00D336F7">
              <w:rPr>
                <w:rStyle w:val="Hyperlink"/>
                <w:rFonts w:ascii="Arial" w:hAnsi="Arial" w:cs="Arial"/>
                <w:noProof/>
              </w:rPr>
              <w:t xml:space="preserve">  Data Analysis</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_Toc227710447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6</w:t>
            </w:r>
            <w:r w:rsidRPr="00D336F7">
              <w:rPr>
                <w:rFonts w:ascii="Arial" w:hAnsi="Arial" w:cs="Arial"/>
                <w:noProof/>
                <w:webHidden/>
              </w:rPr>
              <w:fldChar w:fldCharType="end"/>
            </w:r>
          </w:hyperlink>
        </w:p>
        <w:p w14:paraId="06FE2461" w14:textId="7B2E19CA" w:rsidR="001D4C2E" w:rsidRPr="00D336F7" w:rsidRDefault="001D4C2E" w:rsidP="00D336F7">
          <w:pPr>
            <w:pStyle w:val="TOC2"/>
            <w:tabs>
              <w:tab w:val="left" w:pos="720"/>
              <w:tab w:val="right" w:leader="dot" w:pos="9015"/>
            </w:tabs>
            <w:spacing w:line="360" w:lineRule="auto"/>
            <w:jc w:val="both"/>
            <w:rPr>
              <w:rFonts w:ascii="Arial" w:eastAsiaTheme="minorEastAsia" w:hAnsi="Arial" w:cs="Arial"/>
              <w:noProof/>
              <w:color w:val="auto"/>
              <w:lang w:val="en-GB" w:eastAsia="en-GB"/>
            </w:rPr>
          </w:pPr>
          <w:hyperlink w:anchor="_Toc227710448" w:history="1">
            <w:r w:rsidRPr="00D336F7">
              <w:rPr>
                <w:rStyle w:val="Hyperlink"/>
                <w:rFonts w:ascii="Arial" w:hAnsi="Arial" w:cs="Arial"/>
                <w:noProof/>
              </w:rPr>
              <w:t>-</w:t>
            </w:r>
            <w:r w:rsidRPr="00D336F7">
              <w:rPr>
                <w:rFonts w:ascii="Arial" w:eastAsiaTheme="minorEastAsia" w:hAnsi="Arial" w:cs="Arial"/>
                <w:noProof/>
                <w:color w:val="auto"/>
                <w:lang w:val="en-GB" w:eastAsia="en-GB"/>
              </w:rPr>
              <w:tab/>
            </w:r>
            <w:r w:rsidRPr="00D336F7">
              <w:rPr>
                <w:rStyle w:val="Hyperlink"/>
                <w:rFonts w:ascii="Arial" w:hAnsi="Arial" w:cs="Arial"/>
                <w:noProof/>
              </w:rPr>
              <w:t>Ethical Considerations</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_Toc227710448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6</w:t>
            </w:r>
            <w:r w:rsidRPr="00D336F7">
              <w:rPr>
                <w:rFonts w:ascii="Arial" w:hAnsi="Arial" w:cs="Arial"/>
                <w:noProof/>
                <w:webHidden/>
              </w:rPr>
              <w:fldChar w:fldCharType="end"/>
            </w:r>
          </w:hyperlink>
        </w:p>
        <w:p w14:paraId="5EC655CF" w14:textId="4E9D28C5" w:rsidR="001D4C2E" w:rsidRPr="00D336F7" w:rsidRDefault="001D4C2E" w:rsidP="00D336F7">
          <w:pPr>
            <w:pStyle w:val="TOC2"/>
            <w:tabs>
              <w:tab w:val="right" w:leader="dot" w:pos="9015"/>
            </w:tabs>
            <w:spacing w:line="360" w:lineRule="auto"/>
            <w:jc w:val="both"/>
            <w:rPr>
              <w:rFonts w:ascii="Arial" w:eastAsiaTheme="minorEastAsia" w:hAnsi="Arial" w:cs="Arial"/>
              <w:noProof/>
              <w:color w:val="auto"/>
              <w:lang w:val="en-GB" w:eastAsia="en-GB"/>
            </w:rPr>
          </w:pPr>
          <w:hyperlink w:anchor="_Toc227710449" w:history="1">
            <w:r w:rsidRPr="00D336F7">
              <w:rPr>
                <w:rStyle w:val="Hyperlink"/>
                <w:rFonts w:ascii="Arial" w:hAnsi="Arial" w:cs="Arial"/>
                <w:noProof/>
              </w:rPr>
              <w:t>Table 1: Characteristics of selected studies</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_Toc227710449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7</w:t>
            </w:r>
            <w:r w:rsidRPr="00D336F7">
              <w:rPr>
                <w:rFonts w:ascii="Arial" w:hAnsi="Arial" w:cs="Arial"/>
                <w:noProof/>
                <w:webHidden/>
              </w:rPr>
              <w:fldChar w:fldCharType="end"/>
            </w:r>
          </w:hyperlink>
        </w:p>
        <w:p w14:paraId="79D6C55B" w14:textId="5D789C14" w:rsidR="001D4C2E" w:rsidRPr="00D336F7" w:rsidRDefault="001D4C2E" w:rsidP="00D336F7">
          <w:pPr>
            <w:pStyle w:val="TOC2"/>
            <w:tabs>
              <w:tab w:val="right" w:leader="dot" w:pos="9015"/>
            </w:tabs>
            <w:spacing w:line="360" w:lineRule="auto"/>
            <w:jc w:val="both"/>
            <w:rPr>
              <w:rFonts w:ascii="Arial" w:eastAsiaTheme="minorEastAsia" w:hAnsi="Arial" w:cs="Arial"/>
              <w:noProof/>
              <w:color w:val="auto"/>
              <w:lang w:val="en-GB" w:eastAsia="en-GB"/>
            </w:rPr>
          </w:pPr>
          <w:hyperlink w:anchor="_Toc227710450" w:history="1">
            <w:r w:rsidRPr="00D336F7">
              <w:rPr>
                <w:rStyle w:val="Hyperlink"/>
                <w:rFonts w:ascii="Arial" w:hAnsi="Arial" w:cs="Arial"/>
                <w:noProof/>
              </w:rPr>
              <w:t>-</w:t>
            </w:r>
            <w:r w:rsidRPr="00D336F7">
              <w:rPr>
                <w:rStyle w:val="Hyperlink"/>
                <w:rFonts w:ascii="Arial" w:eastAsia="Arial" w:hAnsi="Arial" w:cs="Arial"/>
                <w:noProof/>
              </w:rPr>
              <w:t xml:space="preserve"> </w:t>
            </w:r>
            <w:r w:rsidRPr="00D336F7">
              <w:rPr>
                <w:rStyle w:val="Hyperlink"/>
                <w:rFonts w:ascii="Arial" w:hAnsi="Arial" w:cs="Arial"/>
                <w:noProof/>
              </w:rPr>
              <w:t>Thematic Analysis</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_Toc227710450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7</w:t>
            </w:r>
            <w:r w:rsidRPr="00D336F7">
              <w:rPr>
                <w:rFonts w:ascii="Arial" w:hAnsi="Arial" w:cs="Arial"/>
                <w:noProof/>
                <w:webHidden/>
              </w:rPr>
              <w:fldChar w:fldCharType="end"/>
            </w:r>
          </w:hyperlink>
        </w:p>
        <w:p w14:paraId="3F5E281F" w14:textId="1F3D1395" w:rsidR="001D4C2E" w:rsidRPr="00D336F7" w:rsidRDefault="001D4C2E" w:rsidP="00D336F7">
          <w:pPr>
            <w:pStyle w:val="TOC3"/>
            <w:tabs>
              <w:tab w:val="right" w:leader="dot" w:pos="9015"/>
            </w:tabs>
            <w:spacing w:line="360" w:lineRule="auto"/>
            <w:jc w:val="both"/>
            <w:rPr>
              <w:rFonts w:ascii="Arial" w:eastAsiaTheme="minorEastAsia" w:hAnsi="Arial" w:cs="Arial"/>
              <w:noProof/>
              <w:color w:val="auto"/>
              <w:lang w:val="en-GB" w:eastAsia="en-GB"/>
            </w:rPr>
          </w:pPr>
          <w:hyperlink w:anchor="_Toc227710451" w:history="1">
            <w:r w:rsidRPr="00D336F7">
              <w:rPr>
                <w:rStyle w:val="Hyperlink"/>
                <w:rFonts w:ascii="Arial" w:hAnsi="Arial" w:cs="Arial"/>
                <w:noProof/>
              </w:rPr>
              <w:t>1.</w:t>
            </w:r>
            <w:r w:rsidRPr="00D336F7">
              <w:rPr>
                <w:rStyle w:val="Hyperlink"/>
                <w:rFonts w:ascii="Arial" w:eastAsia="Arial" w:hAnsi="Arial" w:cs="Arial"/>
                <w:noProof/>
              </w:rPr>
              <w:t xml:space="preserve"> </w:t>
            </w:r>
            <w:r w:rsidRPr="00D336F7">
              <w:rPr>
                <w:rStyle w:val="Hyperlink"/>
                <w:rFonts w:ascii="Arial" w:hAnsi="Arial" w:cs="Arial"/>
                <w:noProof/>
              </w:rPr>
              <w:t>Theme 1: Delays in pain management</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_Toc227710451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7</w:t>
            </w:r>
            <w:r w:rsidRPr="00D336F7">
              <w:rPr>
                <w:rFonts w:ascii="Arial" w:hAnsi="Arial" w:cs="Arial"/>
                <w:noProof/>
                <w:webHidden/>
              </w:rPr>
              <w:fldChar w:fldCharType="end"/>
            </w:r>
          </w:hyperlink>
        </w:p>
        <w:p w14:paraId="1A36150A" w14:textId="789CD70B" w:rsidR="001D4C2E" w:rsidRPr="00D336F7" w:rsidRDefault="001D4C2E" w:rsidP="00D336F7">
          <w:pPr>
            <w:pStyle w:val="TOC3"/>
            <w:tabs>
              <w:tab w:val="right" w:leader="dot" w:pos="9015"/>
            </w:tabs>
            <w:spacing w:line="360" w:lineRule="auto"/>
            <w:jc w:val="both"/>
            <w:rPr>
              <w:rFonts w:ascii="Arial" w:eastAsiaTheme="minorEastAsia" w:hAnsi="Arial" w:cs="Arial"/>
              <w:noProof/>
              <w:color w:val="auto"/>
              <w:lang w:val="en-GB" w:eastAsia="en-GB"/>
            </w:rPr>
          </w:pPr>
          <w:hyperlink w:anchor="_Toc227710452" w:history="1">
            <w:r w:rsidRPr="00D336F7">
              <w:rPr>
                <w:rStyle w:val="Hyperlink"/>
                <w:rFonts w:ascii="Arial" w:hAnsi="Arial" w:cs="Arial"/>
                <w:noProof/>
              </w:rPr>
              <w:t>2.</w:t>
            </w:r>
            <w:r w:rsidRPr="00D336F7">
              <w:rPr>
                <w:rStyle w:val="Hyperlink"/>
                <w:rFonts w:ascii="Arial" w:eastAsia="Arial" w:hAnsi="Arial" w:cs="Arial"/>
                <w:noProof/>
              </w:rPr>
              <w:t xml:space="preserve"> </w:t>
            </w:r>
            <w:r w:rsidRPr="00D336F7">
              <w:rPr>
                <w:rStyle w:val="Hyperlink"/>
                <w:rFonts w:ascii="Arial" w:hAnsi="Arial" w:cs="Arial"/>
                <w:noProof/>
              </w:rPr>
              <w:t>Theme 2: Lack of specialist knowledge and services</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_Toc227710452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8</w:t>
            </w:r>
            <w:r w:rsidRPr="00D336F7">
              <w:rPr>
                <w:rFonts w:ascii="Arial" w:hAnsi="Arial" w:cs="Arial"/>
                <w:noProof/>
                <w:webHidden/>
              </w:rPr>
              <w:fldChar w:fldCharType="end"/>
            </w:r>
          </w:hyperlink>
        </w:p>
        <w:p w14:paraId="27D1EA10" w14:textId="7F080004" w:rsidR="001D4C2E" w:rsidRPr="00D336F7" w:rsidRDefault="001D4C2E" w:rsidP="00D336F7">
          <w:pPr>
            <w:pStyle w:val="TOC3"/>
            <w:tabs>
              <w:tab w:val="right" w:leader="dot" w:pos="9015"/>
            </w:tabs>
            <w:spacing w:line="360" w:lineRule="auto"/>
            <w:jc w:val="both"/>
            <w:rPr>
              <w:rFonts w:ascii="Arial" w:eastAsiaTheme="minorEastAsia" w:hAnsi="Arial" w:cs="Arial"/>
              <w:noProof/>
              <w:color w:val="auto"/>
              <w:lang w:val="en-GB" w:eastAsia="en-GB"/>
            </w:rPr>
          </w:pPr>
          <w:hyperlink w:anchor="_Toc227710453" w:history="1">
            <w:r w:rsidRPr="00D336F7">
              <w:rPr>
                <w:rStyle w:val="Hyperlink"/>
                <w:rFonts w:ascii="Arial" w:hAnsi="Arial" w:cs="Arial"/>
                <w:noProof/>
              </w:rPr>
              <w:t>3.</w:t>
            </w:r>
            <w:r w:rsidRPr="00D336F7">
              <w:rPr>
                <w:rStyle w:val="Hyperlink"/>
                <w:rFonts w:ascii="Arial" w:eastAsia="Arial" w:hAnsi="Arial" w:cs="Arial"/>
                <w:noProof/>
              </w:rPr>
              <w:t xml:space="preserve"> </w:t>
            </w:r>
            <w:r w:rsidRPr="00D336F7">
              <w:rPr>
                <w:rStyle w:val="Hyperlink"/>
                <w:rFonts w:ascii="Arial" w:hAnsi="Arial" w:cs="Arial"/>
                <w:noProof/>
              </w:rPr>
              <w:t>Theme 3: Racial bias and patient experience</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_Toc227710453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8</w:t>
            </w:r>
            <w:r w:rsidRPr="00D336F7">
              <w:rPr>
                <w:rFonts w:ascii="Arial" w:hAnsi="Arial" w:cs="Arial"/>
                <w:noProof/>
                <w:webHidden/>
              </w:rPr>
              <w:fldChar w:fldCharType="end"/>
            </w:r>
          </w:hyperlink>
        </w:p>
        <w:p w14:paraId="3B0D41F4" w14:textId="1B05DD55" w:rsidR="001D4C2E" w:rsidRPr="00D336F7" w:rsidRDefault="001D4C2E" w:rsidP="00D336F7">
          <w:pPr>
            <w:pStyle w:val="TOC1"/>
            <w:tabs>
              <w:tab w:val="right" w:leader="dot" w:pos="9015"/>
            </w:tabs>
            <w:spacing w:line="360" w:lineRule="auto"/>
            <w:jc w:val="both"/>
            <w:rPr>
              <w:rFonts w:ascii="Arial" w:eastAsiaTheme="minorEastAsia" w:hAnsi="Arial" w:cs="Arial"/>
              <w:noProof/>
              <w:color w:val="auto"/>
              <w:lang w:val="en-GB" w:eastAsia="en-GB"/>
            </w:rPr>
          </w:pPr>
          <w:hyperlink w:anchor="_Toc227710454" w:history="1">
            <w:r w:rsidRPr="00D336F7">
              <w:rPr>
                <w:rStyle w:val="Hyperlink"/>
                <w:rFonts w:ascii="Arial" w:hAnsi="Arial" w:cs="Arial"/>
                <w:noProof/>
              </w:rPr>
              <w:t>Discussion</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_Toc227710454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8</w:t>
            </w:r>
            <w:r w:rsidRPr="00D336F7">
              <w:rPr>
                <w:rFonts w:ascii="Arial" w:hAnsi="Arial" w:cs="Arial"/>
                <w:noProof/>
                <w:webHidden/>
              </w:rPr>
              <w:fldChar w:fldCharType="end"/>
            </w:r>
          </w:hyperlink>
        </w:p>
        <w:p w14:paraId="06A7F4D4" w14:textId="2B118ED5" w:rsidR="001D4C2E" w:rsidRPr="00D336F7" w:rsidRDefault="001D4C2E" w:rsidP="00D336F7">
          <w:pPr>
            <w:pStyle w:val="TOC1"/>
            <w:tabs>
              <w:tab w:val="right" w:leader="dot" w:pos="9015"/>
            </w:tabs>
            <w:spacing w:line="360" w:lineRule="auto"/>
            <w:jc w:val="both"/>
            <w:rPr>
              <w:rFonts w:ascii="Arial" w:eastAsiaTheme="minorEastAsia" w:hAnsi="Arial" w:cs="Arial"/>
              <w:noProof/>
              <w:color w:val="auto"/>
              <w:lang w:val="en-GB" w:eastAsia="en-GB"/>
            </w:rPr>
          </w:pPr>
          <w:hyperlink w:anchor="_Toc227710455" w:history="1">
            <w:r w:rsidRPr="00D336F7">
              <w:rPr>
                <w:rStyle w:val="Hyperlink"/>
                <w:rFonts w:ascii="Arial" w:hAnsi="Arial" w:cs="Arial"/>
                <w:noProof/>
              </w:rPr>
              <w:t>Conclusion and Recommendations</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_Toc227710455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10</w:t>
            </w:r>
            <w:r w:rsidRPr="00D336F7">
              <w:rPr>
                <w:rFonts w:ascii="Arial" w:hAnsi="Arial" w:cs="Arial"/>
                <w:noProof/>
                <w:webHidden/>
              </w:rPr>
              <w:fldChar w:fldCharType="end"/>
            </w:r>
          </w:hyperlink>
        </w:p>
        <w:p w14:paraId="74680B8E" w14:textId="562A1C8D" w:rsidR="001D4C2E" w:rsidRPr="00D336F7" w:rsidRDefault="001D4C2E" w:rsidP="00D336F7">
          <w:pPr>
            <w:pStyle w:val="TOC1"/>
            <w:tabs>
              <w:tab w:val="right" w:leader="dot" w:pos="9015"/>
            </w:tabs>
            <w:spacing w:line="360" w:lineRule="auto"/>
            <w:jc w:val="both"/>
            <w:rPr>
              <w:rFonts w:ascii="Arial" w:eastAsiaTheme="minorEastAsia" w:hAnsi="Arial" w:cs="Arial"/>
              <w:noProof/>
              <w:color w:val="auto"/>
              <w:lang w:val="en-GB" w:eastAsia="en-GB"/>
            </w:rPr>
          </w:pPr>
          <w:hyperlink w:anchor="_Toc227710456" w:history="1">
            <w:r w:rsidRPr="00D336F7">
              <w:rPr>
                <w:rStyle w:val="Hyperlink"/>
                <w:rFonts w:ascii="Arial" w:hAnsi="Arial" w:cs="Arial"/>
                <w:noProof/>
              </w:rPr>
              <w:t>References</w:t>
            </w:r>
            <w:r w:rsidRPr="00D336F7">
              <w:rPr>
                <w:rFonts w:ascii="Arial" w:hAnsi="Arial" w:cs="Arial"/>
                <w:noProof/>
                <w:webHidden/>
              </w:rPr>
              <w:tab/>
            </w:r>
            <w:r w:rsidRPr="00D336F7">
              <w:rPr>
                <w:rFonts w:ascii="Arial" w:hAnsi="Arial" w:cs="Arial"/>
                <w:noProof/>
                <w:webHidden/>
              </w:rPr>
              <w:fldChar w:fldCharType="begin"/>
            </w:r>
            <w:r w:rsidRPr="00D336F7">
              <w:rPr>
                <w:rFonts w:ascii="Arial" w:hAnsi="Arial" w:cs="Arial"/>
                <w:noProof/>
                <w:webHidden/>
              </w:rPr>
              <w:instrText xml:space="preserve"> PAGEREF _Toc227710456 \h </w:instrText>
            </w:r>
            <w:r w:rsidRPr="00D336F7">
              <w:rPr>
                <w:rFonts w:ascii="Arial" w:hAnsi="Arial" w:cs="Arial"/>
                <w:noProof/>
                <w:webHidden/>
              </w:rPr>
            </w:r>
            <w:r w:rsidRPr="00D336F7">
              <w:rPr>
                <w:rFonts w:ascii="Arial" w:hAnsi="Arial" w:cs="Arial"/>
                <w:noProof/>
                <w:webHidden/>
              </w:rPr>
              <w:fldChar w:fldCharType="separate"/>
            </w:r>
            <w:r w:rsidRPr="00D336F7">
              <w:rPr>
                <w:rFonts w:ascii="Arial" w:hAnsi="Arial" w:cs="Arial"/>
                <w:noProof/>
                <w:webHidden/>
              </w:rPr>
              <w:t>11</w:t>
            </w:r>
            <w:r w:rsidRPr="00D336F7">
              <w:rPr>
                <w:rFonts w:ascii="Arial" w:hAnsi="Arial" w:cs="Arial"/>
                <w:noProof/>
                <w:webHidden/>
              </w:rPr>
              <w:fldChar w:fldCharType="end"/>
            </w:r>
          </w:hyperlink>
        </w:p>
        <w:p w14:paraId="2319ED40" w14:textId="28963BBE" w:rsidR="001D4C2E" w:rsidRPr="00D336F7" w:rsidRDefault="001D4C2E" w:rsidP="00D336F7">
          <w:pPr>
            <w:spacing w:line="360" w:lineRule="auto"/>
            <w:jc w:val="both"/>
            <w:rPr>
              <w:rFonts w:ascii="Arial" w:hAnsi="Arial" w:cs="Arial"/>
            </w:rPr>
          </w:pPr>
          <w:r w:rsidRPr="00D336F7">
            <w:rPr>
              <w:rFonts w:ascii="Arial" w:hAnsi="Arial" w:cs="Arial"/>
              <w:b/>
              <w:bCs/>
            </w:rPr>
            <w:fldChar w:fldCharType="end"/>
          </w:r>
        </w:p>
      </w:sdtContent>
    </w:sdt>
    <w:p w14:paraId="25CDB68F" w14:textId="68CE5B3A" w:rsidR="00C71A55" w:rsidRPr="00D336F7" w:rsidRDefault="00C71A55" w:rsidP="00D336F7">
      <w:pPr>
        <w:spacing w:after="0" w:line="360" w:lineRule="auto"/>
        <w:ind w:left="0" w:firstLine="0"/>
        <w:jc w:val="both"/>
        <w:rPr>
          <w:rFonts w:ascii="Arial" w:hAnsi="Arial" w:cs="Arial"/>
        </w:rPr>
      </w:pPr>
    </w:p>
    <w:p w14:paraId="5FE148B7" w14:textId="77777777" w:rsidR="00C71A55" w:rsidRPr="00D336F7" w:rsidRDefault="00B64D1A" w:rsidP="00D336F7">
      <w:pPr>
        <w:spacing w:after="527" w:line="360" w:lineRule="auto"/>
        <w:ind w:left="0" w:firstLine="0"/>
        <w:jc w:val="both"/>
        <w:rPr>
          <w:rFonts w:ascii="Arial" w:eastAsia="Arial" w:hAnsi="Arial" w:cs="Arial"/>
          <w:b/>
        </w:rPr>
      </w:pPr>
      <w:r w:rsidRPr="00D336F7">
        <w:rPr>
          <w:rFonts w:ascii="Arial" w:eastAsia="Arial" w:hAnsi="Arial" w:cs="Arial"/>
          <w:b/>
        </w:rPr>
        <w:t xml:space="preserve"> </w:t>
      </w:r>
    </w:p>
    <w:p w14:paraId="5FEBE34F" w14:textId="77777777" w:rsidR="001D4C2E" w:rsidRPr="00D336F7" w:rsidRDefault="001D4C2E" w:rsidP="00D336F7">
      <w:pPr>
        <w:spacing w:after="527" w:line="360" w:lineRule="auto"/>
        <w:ind w:left="0" w:firstLine="0"/>
        <w:jc w:val="both"/>
        <w:rPr>
          <w:rFonts w:ascii="Arial" w:eastAsia="Arial" w:hAnsi="Arial" w:cs="Arial"/>
          <w:b/>
        </w:rPr>
      </w:pPr>
    </w:p>
    <w:p w14:paraId="7172E5E3" w14:textId="77777777" w:rsidR="001D4C2E" w:rsidRPr="00D336F7" w:rsidRDefault="001D4C2E" w:rsidP="00D336F7">
      <w:pPr>
        <w:spacing w:after="527" w:line="360" w:lineRule="auto"/>
        <w:ind w:left="0" w:firstLine="0"/>
        <w:jc w:val="both"/>
        <w:rPr>
          <w:rFonts w:ascii="Arial" w:eastAsia="Arial" w:hAnsi="Arial" w:cs="Arial"/>
          <w:b/>
        </w:rPr>
      </w:pPr>
    </w:p>
    <w:p w14:paraId="1F5AC447" w14:textId="77777777" w:rsidR="001D4C2E" w:rsidRPr="00D336F7" w:rsidRDefault="001D4C2E" w:rsidP="00D336F7">
      <w:pPr>
        <w:spacing w:after="527" w:line="360" w:lineRule="auto"/>
        <w:ind w:left="0" w:firstLine="0"/>
        <w:jc w:val="both"/>
        <w:rPr>
          <w:rFonts w:ascii="Arial" w:eastAsia="Arial" w:hAnsi="Arial" w:cs="Arial"/>
          <w:b/>
        </w:rPr>
      </w:pPr>
    </w:p>
    <w:p w14:paraId="08BB2C35" w14:textId="77777777" w:rsidR="001D4C2E" w:rsidRPr="00D336F7" w:rsidRDefault="001D4C2E" w:rsidP="00D336F7">
      <w:pPr>
        <w:spacing w:after="527" w:line="360" w:lineRule="auto"/>
        <w:ind w:left="0" w:firstLine="0"/>
        <w:jc w:val="both"/>
        <w:rPr>
          <w:rFonts w:ascii="Arial" w:eastAsia="Arial" w:hAnsi="Arial" w:cs="Arial"/>
          <w:b/>
        </w:rPr>
      </w:pPr>
    </w:p>
    <w:p w14:paraId="5DF29CD2" w14:textId="77777777" w:rsidR="001D4C2E" w:rsidRPr="00D336F7" w:rsidRDefault="001D4C2E" w:rsidP="00D336F7">
      <w:pPr>
        <w:spacing w:after="527" w:line="360" w:lineRule="auto"/>
        <w:ind w:left="0" w:firstLine="0"/>
        <w:jc w:val="both"/>
        <w:rPr>
          <w:rFonts w:ascii="Arial" w:eastAsia="Arial" w:hAnsi="Arial" w:cs="Arial"/>
          <w:b/>
        </w:rPr>
      </w:pPr>
    </w:p>
    <w:p w14:paraId="040D6DBD" w14:textId="77777777" w:rsidR="001D4C2E" w:rsidRPr="00D336F7" w:rsidRDefault="001D4C2E" w:rsidP="00D336F7">
      <w:pPr>
        <w:spacing w:after="527" w:line="360" w:lineRule="auto"/>
        <w:ind w:left="0" w:firstLine="0"/>
        <w:jc w:val="both"/>
        <w:rPr>
          <w:rFonts w:ascii="Arial" w:eastAsia="Arial" w:hAnsi="Arial" w:cs="Arial"/>
          <w:b/>
        </w:rPr>
      </w:pPr>
    </w:p>
    <w:p w14:paraId="25E6CE6B" w14:textId="77777777" w:rsidR="001D4C2E" w:rsidRPr="00D336F7" w:rsidRDefault="001D4C2E" w:rsidP="00D336F7">
      <w:pPr>
        <w:spacing w:after="527" w:line="360" w:lineRule="auto"/>
        <w:ind w:left="0" w:firstLine="0"/>
        <w:jc w:val="both"/>
        <w:rPr>
          <w:rFonts w:ascii="Arial" w:eastAsia="Arial" w:hAnsi="Arial" w:cs="Arial"/>
          <w:b/>
        </w:rPr>
      </w:pPr>
    </w:p>
    <w:p w14:paraId="1AF84DB8" w14:textId="77777777" w:rsidR="001D4C2E" w:rsidRPr="00D336F7" w:rsidRDefault="001D4C2E" w:rsidP="00D336F7">
      <w:pPr>
        <w:spacing w:after="527" w:line="360" w:lineRule="auto"/>
        <w:ind w:left="0" w:firstLine="0"/>
        <w:jc w:val="both"/>
        <w:rPr>
          <w:rFonts w:ascii="Arial" w:hAnsi="Arial" w:cs="Arial"/>
        </w:rPr>
      </w:pPr>
    </w:p>
    <w:p w14:paraId="60AF7A3B" w14:textId="2D598637" w:rsidR="00C71A55" w:rsidRPr="00D336F7" w:rsidRDefault="00B64D1A" w:rsidP="00D336F7">
      <w:pPr>
        <w:pStyle w:val="Heading1"/>
        <w:spacing w:line="360" w:lineRule="auto"/>
        <w:ind w:left="-5"/>
        <w:jc w:val="both"/>
        <w:rPr>
          <w:rFonts w:ascii="Arial" w:hAnsi="Arial" w:cs="Arial"/>
          <w:b/>
          <w:bCs/>
          <w:color w:val="auto"/>
          <w:sz w:val="24"/>
        </w:rPr>
      </w:pPr>
      <w:bookmarkStart w:id="0" w:name="_Toc227710360"/>
      <w:bookmarkStart w:id="1" w:name="_Toc227710442"/>
      <w:r w:rsidRPr="00D336F7">
        <w:rPr>
          <w:rFonts w:ascii="Arial" w:hAnsi="Arial" w:cs="Arial"/>
          <w:b/>
          <w:bCs/>
          <w:color w:val="auto"/>
          <w:sz w:val="24"/>
        </w:rPr>
        <w:t>Abstract</w:t>
      </w:r>
      <w:bookmarkEnd w:id="0"/>
      <w:bookmarkEnd w:id="1"/>
      <w:r w:rsidRPr="00D336F7">
        <w:rPr>
          <w:rFonts w:ascii="Arial" w:hAnsi="Arial" w:cs="Arial"/>
          <w:b/>
          <w:bCs/>
          <w:color w:val="auto"/>
          <w:sz w:val="24"/>
        </w:rPr>
        <w:t xml:space="preserve">  </w:t>
      </w:r>
    </w:p>
    <w:p w14:paraId="46F11CE6"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Sickle cell disease (SCD) is a significant inherited blood disorder that predominantly affects individuals from racially minoritised communities in the United Kingdom. Despite the existence of national clinical guidelines and specialised services within the National Health Service (NHS), growing evidence suggests that patients with SCD experience inequalities in the treatment and management of their condition. This scoping review aimed to explore the nature of these inequalities by addressing the question: What inequalities exist in the treatment and management of sickle cell disease within the NHS in the United Kingdom? </w:t>
      </w:r>
    </w:p>
    <w:p w14:paraId="2AEE79E0" w14:textId="3473C796"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A scoping review methodology was employed, involving a structured search of </w:t>
      </w:r>
      <w:r w:rsidR="00FC4C78" w:rsidRPr="00D336F7">
        <w:rPr>
          <w:rFonts w:ascii="Arial" w:hAnsi="Arial" w:cs="Arial"/>
        </w:rPr>
        <w:t>peer reviewed</w:t>
      </w:r>
      <w:r w:rsidRPr="00D336F7">
        <w:rPr>
          <w:rFonts w:ascii="Arial" w:hAnsi="Arial" w:cs="Arial"/>
        </w:rPr>
        <w:t xml:space="preserve"> literature from databases including PubMed, Scopus and Google Scholar. Studies published between 2016 and 2026 and focused on the UK context were included. A small number of relevant studies were selected and analysed using thematic analysis to identify recurring patterns in </w:t>
      </w:r>
      <w:r w:rsidR="00D336F7" w:rsidRPr="00D336F7">
        <w:rPr>
          <w:rFonts w:ascii="Arial" w:hAnsi="Arial" w:cs="Arial"/>
        </w:rPr>
        <w:t>literature</w:t>
      </w:r>
      <w:r w:rsidRPr="00D336F7">
        <w:rPr>
          <w:rFonts w:ascii="Arial" w:hAnsi="Arial" w:cs="Arial"/>
        </w:rPr>
        <w:t xml:space="preserve">.  </w:t>
      </w:r>
    </w:p>
    <w:p w14:paraId="19C64372" w14:textId="03F573CB" w:rsidR="00C71A55" w:rsidRPr="00D336F7" w:rsidRDefault="00B64D1A" w:rsidP="00D336F7">
      <w:pPr>
        <w:spacing w:after="516" w:line="360" w:lineRule="auto"/>
        <w:ind w:left="-5" w:right="4"/>
        <w:jc w:val="both"/>
        <w:rPr>
          <w:rFonts w:ascii="Arial" w:hAnsi="Arial" w:cs="Arial"/>
        </w:rPr>
      </w:pPr>
      <w:r w:rsidRPr="00D336F7">
        <w:rPr>
          <w:rFonts w:ascii="Arial" w:hAnsi="Arial" w:cs="Arial"/>
        </w:rPr>
        <w:t>The findings revealed consistent inequalities in several areas, including delays in pain management, limited access to specialised services, gaps in healthcare professionals’ knowledge and negative patient experiences linked to perceived racial bias. These disparities highlight a disconnect between national guidelines and actual clinical practice.</w:t>
      </w:r>
      <w:r w:rsidR="008D5FA4" w:rsidRPr="00D336F7">
        <w:rPr>
          <w:rFonts w:ascii="Arial" w:hAnsi="Arial" w:cs="Arial"/>
        </w:rPr>
        <w:t xml:space="preserve"> Overall,</w:t>
      </w:r>
      <w:r w:rsidRPr="00D336F7">
        <w:rPr>
          <w:rFonts w:ascii="Arial" w:hAnsi="Arial" w:cs="Arial"/>
        </w:rPr>
        <w:t xml:space="preserve"> </w:t>
      </w:r>
      <w:r w:rsidR="0015441A" w:rsidRPr="00D336F7">
        <w:rPr>
          <w:rFonts w:ascii="Arial" w:hAnsi="Arial" w:cs="Arial"/>
        </w:rPr>
        <w:t>i</w:t>
      </w:r>
      <w:r w:rsidRPr="00D336F7">
        <w:rPr>
          <w:rFonts w:ascii="Arial" w:hAnsi="Arial" w:cs="Arial"/>
        </w:rPr>
        <w:t xml:space="preserve">nequalities in SCD care within the NHS remain a significant concern and are influenced by both clinical and structural factors. Addressing these issues requires improved professional education, better implementation of guidelines and a commitment to reducing systemic inequalities in healthcare delivery.   </w:t>
      </w:r>
    </w:p>
    <w:p w14:paraId="66162150" w14:textId="77777777" w:rsidR="00C71A55" w:rsidRPr="00D336F7" w:rsidRDefault="00B64D1A" w:rsidP="00D336F7">
      <w:pPr>
        <w:pStyle w:val="Heading1"/>
        <w:spacing w:line="360" w:lineRule="auto"/>
        <w:ind w:left="-5"/>
        <w:jc w:val="both"/>
        <w:rPr>
          <w:rFonts w:ascii="Arial" w:hAnsi="Arial" w:cs="Arial"/>
          <w:b/>
          <w:bCs/>
          <w:color w:val="auto"/>
          <w:sz w:val="24"/>
        </w:rPr>
      </w:pPr>
      <w:bookmarkStart w:id="2" w:name="_Toc227710361"/>
      <w:bookmarkStart w:id="3" w:name="_Toc227710443"/>
      <w:r w:rsidRPr="00D336F7">
        <w:rPr>
          <w:rFonts w:ascii="Arial" w:hAnsi="Arial" w:cs="Arial"/>
          <w:b/>
          <w:bCs/>
          <w:color w:val="auto"/>
          <w:sz w:val="24"/>
        </w:rPr>
        <w:lastRenderedPageBreak/>
        <w:t>Introduction</w:t>
      </w:r>
      <w:bookmarkEnd w:id="2"/>
      <w:bookmarkEnd w:id="3"/>
      <w:r w:rsidRPr="00D336F7">
        <w:rPr>
          <w:rFonts w:ascii="Arial" w:hAnsi="Arial" w:cs="Arial"/>
          <w:b/>
          <w:bCs/>
          <w:color w:val="auto"/>
          <w:sz w:val="24"/>
        </w:rPr>
        <w:t xml:space="preserve">  </w:t>
      </w:r>
    </w:p>
    <w:p w14:paraId="7A08DD0A" w14:textId="50B0C806"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Sickle cell disease (SCD) is an inherited </w:t>
      </w:r>
      <w:r w:rsidR="00FC4C78" w:rsidRPr="00D336F7">
        <w:rPr>
          <w:rFonts w:ascii="Arial" w:hAnsi="Arial" w:cs="Arial"/>
        </w:rPr>
        <w:t>hemoglobin</w:t>
      </w:r>
      <w:r w:rsidRPr="00D336F7">
        <w:rPr>
          <w:rFonts w:ascii="Arial" w:hAnsi="Arial" w:cs="Arial"/>
        </w:rPr>
        <w:t xml:space="preserve"> disorder characterised by the production of abnormal </w:t>
      </w:r>
      <w:r w:rsidR="00FC4C78" w:rsidRPr="00D336F7">
        <w:rPr>
          <w:rFonts w:ascii="Arial" w:hAnsi="Arial" w:cs="Arial"/>
        </w:rPr>
        <w:t>hemoglobin</w:t>
      </w:r>
      <w:r w:rsidRPr="00D336F7">
        <w:rPr>
          <w:rFonts w:ascii="Arial" w:hAnsi="Arial" w:cs="Arial"/>
        </w:rPr>
        <w:t xml:space="preserve"> S, which can cause chronic </w:t>
      </w:r>
      <w:r w:rsidR="008D5FA4" w:rsidRPr="00D336F7">
        <w:rPr>
          <w:rFonts w:ascii="Arial" w:hAnsi="Arial" w:cs="Arial"/>
        </w:rPr>
        <w:t>hemolytic</w:t>
      </w:r>
      <w:r w:rsidRPr="00D336F7">
        <w:rPr>
          <w:rFonts w:ascii="Arial" w:hAnsi="Arial" w:cs="Arial"/>
        </w:rPr>
        <w:t xml:space="preserve"> </w:t>
      </w:r>
      <w:r w:rsidR="00FC4C78" w:rsidRPr="00D336F7">
        <w:rPr>
          <w:rFonts w:ascii="Arial" w:hAnsi="Arial" w:cs="Arial"/>
        </w:rPr>
        <w:t>anemia</w:t>
      </w:r>
      <w:r w:rsidRPr="00D336F7">
        <w:rPr>
          <w:rFonts w:ascii="Arial" w:hAnsi="Arial" w:cs="Arial"/>
        </w:rPr>
        <w:t xml:space="preserve">, recurrent vaso-occlusive crises, progressive organ damage and reduced life expectancy. SCD is associated with acute pain episodes, chronic complications and repeated use of healthcare services across the life course. For this reason, the quality and timeliness of care are especially important for individuals living with this condition.   Although SCD is a genetic condition, its impact is shaped not only by biology but also by the quality, accessibility and responsiveness of healthcare services. In the United Kingdom, SCD is one of the most common serious inherited conditions and primarily affects people of African and Caribbean heritage, although it may also occur in individuals from Mediterranean, Middle Eastern and South Asian backgrounds. Its relevance </w:t>
      </w:r>
      <w:r w:rsidR="008D5FA4" w:rsidRPr="00D336F7">
        <w:rPr>
          <w:rFonts w:ascii="Arial" w:hAnsi="Arial" w:cs="Arial"/>
        </w:rPr>
        <w:t>to</w:t>
      </w:r>
      <w:r w:rsidRPr="00D336F7">
        <w:rPr>
          <w:rFonts w:ascii="Arial" w:hAnsi="Arial" w:cs="Arial"/>
        </w:rPr>
        <w:t xml:space="preserve"> UK health and social care is therefore closely linked to questions of ethnicity, equity and access within NHS services.  </w:t>
      </w:r>
    </w:p>
    <w:p w14:paraId="4114C6D0"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Within this report, the term ‘inequalities’ refers to avoidable and unjust differences in the treatment and management of SCD within the NHS. These may include delays in assessment and pain relief during acute episodes, inconsistent access to specialist haemoglobinopathy services, poor coordination of care, limited professional knowledge of SCD, and negative assumptions about patients presenting with pain. National guidance from NICE recommends prompt and effective management of acute painful sickle cell episodes in hospital settings, including timely analgesia and ongoing reassessment, which indicates that standards of care are clearly established. However, reports and emerging research suggest that actual patient experience may fall short of these standards, raising concerns about variation in care and structural disadvantage within the health system.  </w:t>
      </w:r>
    </w:p>
    <w:p w14:paraId="551BEEE8"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This topic was selected because increasing attention has been drawn to inequities in the care of people living with SCD in England, particularly in relation to pain management, service responsiveness and experiences of discrimination. The issue is significant not only because of the clinical burden associated with SCD, but also because the condition predominantly affects racially minoritised communities who may already face broader health inequalities. The APPG inquiry No One’s Listening highlighted serious concerns regarding inadequate treatment, poor adherence to care standards, low staff awareness and patient experiences suggesting racism within </w:t>
      </w:r>
      <w:r w:rsidRPr="00D336F7">
        <w:rPr>
          <w:rFonts w:ascii="Arial" w:hAnsi="Arial" w:cs="Arial"/>
        </w:rPr>
        <w:lastRenderedPageBreak/>
        <w:t xml:space="preserve">secondary care. In addition, NHS England has commissioned specialised haemoglobinopathy services, demonstrating that SCD care is recognised as an important area of specialised provision; however, the existence of national structures does not automatically ensure equity in practice. A scoping review is therefore appropriate to identify what peer-reviewed UK-based literature shows about inequalities in the treatment and management of SCD within the NHS. </w:t>
      </w:r>
    </w:p>
    <w:p w14:paraId="2BA90FDA" w14:textId="474DA717" w:rsidR="00C71A55" w:rsidRPr="00D336F7" w:rsidRDefault="00B64D1A" w:rsidP="00D336F7">
      <w:pPr>
        <w:spacing w:after="523" w:line="360" w:lineRule="auto"/>
        <w:ind w:left="-5" w:right="4"/>
        <w:jc w:val="both"/>
        <w:rPr>
          <w:rFonts w:ascii="Arial" w:hAnsi="Arial" w:cs="Arial"/>
        </w:rPr>
      </w:pPr>
      <w:r w:rsidRPr="00D336F7">
        <w:rPr>
          <w:rFonts w:ascii="Arial" w:hAnsi="Arial" w:cs="Arial"/>
        </w:rPr>
        <w:t xml:space="preserve">The review question guiding this report is: </w:t>
      </w:r>
      <w:r w:rsidRPr="00D336F7">
        <w:rPr>
          <w:rFonts w:ascii="Arial" w:hAnsi="Arial" w:cs="Arial"/>
          <w:b/>
        </w:rPr>
        <w:t xml:space="preserve">What inequalities exist in the treatment and management of sickle cell disease within the NHS in the United Kingdom? </w:t>
      </w:r>
      <w:r w:rsidRPr="00D336F7">
        <w:rPr>
          <w:rFonts w:ascii="Arial" w:hAnsi="Arial" w:cs="Arial"/>
        </w:rPr>
        <w:t>The objectives of the review are to identify the main forms of inequality described in the literature, to examine factors contributing to these inequalities, including racial bias, access to specialist care and healthcare professionals’ knowledge, and to explore recommendations proposed in the literature to improve equity in NHS care for people living with SCD. The relevance of this topic is particularly strong within U</w:t>
      </w:r>
      <w:r w:rsidR="008D5FA4" w:rsidRPr="00D336F7">
        <w:rPr>
          <w:rFonts w:ascii="Arial" w:hAnsi="Arial" w:cs="Arial"/>
        </w:rPr>
        <w:t>K</w:t>
      </w:r>
      <w:r w:rsidRPr="00D336F7">
        <w:rPr>
          <w:rFonts w:ascii="Arial" w:hAnsi="Arial" w:cs="Arial"/>
        </w:rPr>
        <w:t xml:space="preserve"> health and social care because SCD sits at the intersection of chronic illness, emergency care, ethnicity and inequality. Exploring the issue through a scoping review makes it possible to map the current evidence base and identify recurring concerns in NHS practice. This introduction provides the conceptual foundation for the scoping review, which will next examine the wider UK policy and service context relevant to SCD care. </w:t>
      </w:r>
    </w:p>
    <w:p w14:paraId="0FD1E24F" w14:textId="77777777" w:rsidR="00C71A55" w:rsidRPr="00D336F7" w:rsidRDefault="00B64D1A" w:rsidP="00D336F7">
      <w:pPr>
        <w:pStyle w:val="Heading1"/>
        <w:spacing w:line="360" w:lineRule="auto"/>
        <w:ind w:left="-5"/>
        <w:jc w:val="both"/>
        <w:rPr>
          <w:rFonts w:ascii="Arial" w:hAnsi="Arial" w:cs="Arial"/>
          <w:sz w:val="24"/>
        </w:rPr>
      </w:pPr>
      <w:bookmarkStart w:id="4" w:name="_Toc227710362"/>
      <w:bookmarkStart w:id="5" w:name="_Toc227710444"/>
      <w:r w:rsidRPr="00D336F7">
        <w:rPr>
          <w:rFonts w:ascii="Arial" w:hAnsi="Arial" w:cs="Arial"/>
          <w:color w:val="auto"/>
          <w:sz w:val="24"/>
        </w:rPr>
        <w:t>Background</w:t>
      </w:r>
      <w:bookmarkEnd w:id="4"/>
      <w:bookmarkEnd w:id="5"/>
      <w:r w:rsidRPr="00D336F7">
        <w:rPr>
          <w:rFonts w:ascii="Arial" w:hAnsi="Arial" w:cs="Arial"/>
          <w:sz w:val="24"/>
        </w:rPr>
        <w:t xml:space="preserve"> </w:t>
      </w:r>
    </w:p>
    <w:p w14:paraId="01E3A873" w14:textId="08AFFA08"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Sickle cell disease (SCD) represents a significant public health concern within the United Kingdom, with approximately 15,000 individuals currently living with the condition and many more identified as carriers through national screening </w:t>
      </w:r>
      <w:r w:rsidR="00FC4C78" w:rsidRPr="00D336F7">
        <w:rPr>
          <w:rFonts w:ascii="Arial" w:hAnsi="Arial" w:cs="Arial"/>
        </w:rPr>
        <w:t>programmers</w:t>
      </w:r>
      <w:r w:rsidRPr="00D336F7">
        <w:rPr>
          <w:rFonts w:ascii="Arial" w:hAnsi="Arial" w:cs="Arial"/>
        </w:rPr>
        <w:t>. The distribution of SCD within the UK population is not uniform, as the condition predominantly affects individuals of African and Caribbean heritage. As a result, SCD is closely associated with issues of ethnicity and health inequality. Despite advances in clinical management and early diagnosis through neonatal screening, patients with SCD continue to experience poorer health outcomes compared with individuals with other long-term conditions. This raises important questions about equity in healthcare provision and whether NHS services are</w:t>
      </w:r>
      <w:r w:rsidR="00485AF5" w:rsidRPr="00D336F7">
        <w:rPr>
          <w:rFonts w:ascii="Arial" w:hAnsi="Arial" w:cs="Arial"/>
        </w:rPr>
        <w:t xml:space="preserve"> </w:t>
      </w:r>
      <w:r w:rsidR="0015441A" w:rsidRPr="00D336F7">
        <w:rPr>
          <w:rFonts w:ascii="Arial" w:hAnsi="Arial" w:cs="Arial"/>
        </w:rPr>
        <w:t>effectively meeting</w:t>
      </w:r>
      <w:r w:rsidRPr="00D336F7">
        <w:rPr>
          <w:rFonts w:ascii="Arial" w:hAnsi="Arial" w:cs="Arial"/>
        </w:rPr>
        <w:t xml:space="preserve"> the needs of this patient population. </w:t>
      </w:r>
    </w:p>
    <w:p w14:paraId="15C1FCA7" w14:textId="7DBD2BF2" w:rsidR="00C71A55" w:rsidRPr="00D336F7" w:rsidRDefault="00B64D1A" w:rsidP="00D336F7">
      <w:pPr>
        <w:spacing w:line="360" w:lineRule="auto"/>
        <w:ind w:left="-5" w:right="4"/>
        <w:jc w:val="both"/>
        <w:rPr>
          <w:rFonts w:ascii="Arial" w:hAnsi="Arial" w:cs="Arial"/>
        </w:rPr>
      </w:pPr>
      <w:r w:rsidRPr="00D336F7">
        <w:rPr>
          <w:rFonts w:ascii="Arial" w:hAnsi="Arial" w:cs="Arial"/>
        </w:rPr>
        <w:lastRenderedPageBreak/>
        <w:t xml:space="preserve">The National Health Service (NHS) is founded on the principle of providing comprehensive healthcare that is free at the point of delivery. In relation to SCD, care is delivered through a combination of primary care services, emergency departments and specialised haemoglobinopathy </w:t>
      </w:r>
      <w:r w:rsidR="00306B4E" w:rsidRPr="00D336F7">
        <w:rPr>
          <w:rFonts w:ascii="Arial" w:hAnsi="Arial" w:cs="Arial"/>
        </w:rPr>
        <w:t>centers</w:t>
      </w:r>
      <w:r w:rsidRPr="00D336F7">
        <w:rPr>
          <w:rFonts w:ascii="Arial" w:hAnsi="Arial" w:cs="Arial"/>
        </w:rPr>
        <w:t xml:space="preserve"> commissioned by NHS England. These specialised services are intended to provide expert multidisciplinary care, including </w:t>
      </w:r>
      <w:r w:rsidR="00D336F7" w:rsidRPr="00D336F7">
        <w:rPr>
          <w:rFonts w:ascii="Arial" w:hAnsi="Arial" w:cs="Arial"/>
        </w:rPr>
        <w:t>hematology</w:t>
      </w:r>
      <w:r w:rsidRPr="00D336F7">
        <w:rPr>
          <w:rFonts w:ascii="Arial" w:hAnsi="Arial" w:cs="Arial"/>
        </w:rPr>
        <w:t xml:space="preserve"> support, pain management and long-term disease monitoring. However, access to such specialist services is not always consistent across regions, and many patients rely on general hospital services during acute episodes. This can lead to variation in the quality of care received, particularly when healthcare professionals have limited experience or training in managing SCD. Consequently, the structure of NHS service provision may contribute to disparities in patient outcomes. In addition to specialist and emergency care, individuals with SCD may also require ongoing support through outpatient monitoring, primary care and community-based follow-up. This means that inequalities can emerge across the whole patient pathway, not only during hospital attendance. Problems in referral, continuity of care and communication between services may therefore contribute to fragmented care and poorer outcomes. </w:t>
      </w:r>
    </w:p>
    <w:p w14:paraId="4E0640FA" w14:textId="78023D42"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National clinical guidance has been developed to standardise the management of SCD and improve patient care. The National Institute for Health and Care Excellence (NICE) has issued guidelines for the management of acute painful episodes in SCD, emphasising the importance of rapid assessment, timely administration of analgesia and ongoing monitoring. These guidelines highlight that pain associated with </w:t>
      </w:r>
      <w:r w:rsidR="00485AF5" w:rsidRPr="00D336F7">
        <w:rPr>
          <w:rFonts w:ascii="Arial" w:hAnsi="Arial" w:cs="Arial"/>
        </w:rPr>
        <w:t>v</w:t>
      </w:r>
      <w:r w:rsidRPr="00D336F7">
        <w:rPr>
          <w:rFonts w:ascii="Arial" w:hAnsi="Arial" w:cs="Arial"/>
        </w:rPr>
        <w:t>aso</w:t>
      </w:r>
      <w:r w:rsidR="00485AF5" w:rsidRPr="00D336F7">
        <w:rPr>
          <w:rFonts w:ascii="Arial" w:hAnsi="Arial" w:cs="Arial"/>
        </w:rPr>
        <w:t>-</w:t>
      </w:r>
      <w:r w:rsidRPr="00D336F7">
        <w:rPr>
          <w:rFonts w:ascii="Arial" w:hAnsi="Arial" w:cs="Arial"/>
        </w:rPr>
        <w:t xml:space="preserve">occlusive crises should be treated as a medical emergency, with prompt intervention required to prevent complications. Despite the existence of such standards, evidence suggests that adherence to these guidelines is inconsistent in practice. Delays in the provision of pain relief and inadequate assessment of patient-reported pain have been widely reported, indicating a gap between policy and clinical reality within NHS settings. In a healthcare system based on equity and universal access, such variation is particularly concerning. It suggests that the existence of national standards does not automatically ensure equitable care in practice. For this reason, SCD is an important case through which to examine how policy expectations compare with the lived experiences of patients using NHS services. </w:t>
      </w:r>
    </w:p>
    <w:p w14:paraId="60F78B0A" w14:textId="77777777" w:rsidR="00C71A55" w:rsidRPr="00D336F7" w:rsidRDefault="00B64D1A" w:rsidP="00D336F7">
      <w:pPr>
        <w:spacing w:after="515" w:line="360" w:lineRule="auto"/>
        <w:ind w:left="-5" w:right="4"/>
        <w:jc w:val="both"/>
        <w:rPr>
          <w:rFonts w:ascii="Arial" w:hAnsi="Arial" w:cs="Arial"/>
        </w:rPr>
      </w:pPr>
      <w:r w:rsidRPr="00D336F7">
        <w:rPr>
          <w:rFonts w:ascii="Arial" w:hAnsi="Arial" w:cs="Arial"/>
        </w:rPr>
        <w:t xml:space="preserve">A growing body of evidence highlights that inequalities in treatment and management of SCD are influenced by a combination of structural, institutional and interpersonal </w:t>
      </w:r>
      <w:r w:rsidRPr="00D336F7">
        <w:rPr>
          <w:rFonts w:ascii="Arial" w:hAnsi="Arial" w:cs="Arial"/>
        </w:rPr>
        <w:lastRenderedPageBreak/>
        <w:t xml:space="preserve">factors. Reports such as the All-Party Parliamentary Group (APPG) inquiry No One’s Listening have documented patient experiences of delayed care, dismissive attitudes and perceived racial bias within healthcare settings. These findings suggest that individuals with SCD may face additional barriers linked to racialised assumptions, particularly in emergency care where pain is sometimes underestimated or questioned. Furthermore, limited awareness and education among healthcare professionals regarding SCD can contribute to suboptimal care and reinforce inequalities. Taken together, these factors indicate that disparities in SCD care within the NHS are not solely clinical but are also shaped by broader social and systemic issues within the healthcare system.    </w:t>
      </w:r>
    </w:p>
    <w:p w14:paraId="0E27CC57" w14:textId="77777777" w:rsidR="00306B4E" w:rsidRPr="00D336F7" w:rsidRDefault="00B64D1A" w:rsidP="00D336F7">
      <w:pPr>
        <w:pStyle w:val="Heading1"/>
        <w:spacing w:line="360" w:lineRule="auto"/>
        <w:ind w:left="-5"/>
        <w:jc w:val="both"/>
        <w:rPr>
          <w:rFonts w:ascii="Arial" w:hAnsi="Arial" w:cs="Arial"/>
          <w:b/>
          <w:bCs/>
          <w:color w:val="auto"/>
          <w:sz w:val="24"/>
        </w:rPr>
      </w:pPr>
      <w:bookmarkStart w:id="6" w:name="_Toc227710363"/>
      <w:bookmarkStart w:id="7" w:name="_Toc227710445"/>
      <w:r w:rsidRPr="00D336F7">
        <w:rPr>
          <w:rFonts w:ascii="Arial" w:hAnsi="Arial" w:cs="Arial"/>
          <w:b/>
          <w:bCs/>
          <w:color w:val="auto"/>
          <w:sz w:val="24"/>
        </w:rPr>
        <w:t>Methods</w:t>
      </w:r>
      <w:bookmarkEnd w:id="6"/>
      <w:bookmarkEnd w:id="7"/>
      <w:r w:rsidRPr="00D336F7">
        <w:rPr>
          <w:rFonts w:ascii="Arial" w:hAnsi="Arial" w:cs="Arial"/>
          <w:b/>
          <w:bCs/>
          <w:color w:val="auto"/>
          <w:sz w:val="24"/>
        </w:rPr>
        <w:t xml:space="preserve"> </w:t>
      </w:r>
    </w:p>
    <w:p w14:paraId="139DDEC5" w14:textId="61E44B40" w:rsidR="00C71A55" w:rsidRPr="00D336F7" w:rsidRDefault="00B64D1A" w:rsidP="00D336F7">
      <w:pPr>
        <w:pStyle w:val="Heading1"/>
        <w:spacing w:line="360" w:lineRule="auto"/>
        <w:ind w:left="-5"/>
        <w:jc w:val="both"/>
        <w:rPr>
          <w:rFonts w:ascii="Arial" w:hAnsi="Arial" w:cs="Arial"/>
          <w:b/>
          <w:bCs/>
          <w:color w:val="auto"/>
          <w:sz w:val="24"/>
        </w:rPr>
      </w:pPr>
      <w:bookmarkStart w:id="8" w:name="_Toc227710364"/>
      <w:bookmarkStart w:id="9" w:name="_Toc227710446"/>
      <w:r w:rsidRPr="00D336F7">
        <w:rPr>
          <w:rFonts w:ascii="Arial" w:hAnsi="Arial" w:cs="Arial"/>
          <w:color w:val="auto"/>
          <w:sz w:val="24"/>
        </w:rPr>
        <w:t>-</w:t>
      </w:r>
      <w:r w:rsidRPr="00D336F7">
        <w:rPr>
          <w:rFonts w:ascii="Arial" w:eastAsia="Arial" w:hAnsi="Arial" w:cs="Arial"/>
          <w:color w:val="auto"/>
          <w:sz w:val="24"/>
        </w:rPr>
        <w:t xml:space="preserve"> </w:t>
      </w:r>
      <w:r w:rsidRPr="00D336F7">
        <w:rPr>
          <w:rFonts w:ascii="Arial" w:hAnsi="Arial" w:cs="Arial"/>
          <w:b/>
          <w:bCs/>
          <w:color w:val="auto"/>
          <w:sz w:val="24"/>
        </w:rPr>
        <w:t>Search Strategy and Data Collection</w:t>
      </w:r>
      <w:bookmarkEnd w:id="8"/>
      <w:bookmarkEnd w:id="9"/>
      <w:r w:rsidRPr="00D336F7">
        <w:rPr>
          <w:rFonts w:ascii="Arial" w:hAnsi="Arial" w:cs="Arial"/>
          <w:b/>
          <w:bCs/>
          <w:color w:val="auto"/>
          <w:sz w:val="24"/>
        </w:rPr>
        <w:t xml:space="preserve">  </w:t>
      </w:r>
    </w:p>
    <w:p w14:paraId="2A77E0C4"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This study adopts a scoping review methodology to explore existing evidence on inequalities in the treatment and management of sickle cell disease (SCD) within the National Health Service (NHS) in the United Kingdom. A scoping review approach was selected as it allows for the identification, mapping and synthesis of key concepts and evidence within a broad research area, particularly where the topic has not been comprehensively reviewed.  </w:t>
      </w:r>
    </w:p>
    <w:p w14:paraId="53F697B1"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A systematic search of electronic academic databases was conducted to identify relevant peer-reviewed literature. The databases used included PubMed, Scopus and Google Scholar. These databases were selected due to their comprehensive coverage of medical, health and social care research. Searches were carried out using combinations of keywords and Boolean operators, including: “sickle cell disease”, “health inequalities”, “NHS”, “United Kingdom”, “pain management”, and “racial disparities”. Keywords were combined using operators such as AND and OR to refine the search and ensure relevance.  </w:t>
      </w:r>
    </w:p>
    <w:p w14:paraId="36264EFF" w14:textId="6D9BD310"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Inclusion criteria were applied to ensure that only relevant studies were selected. Studies were included if they were peer-reviewed journal articles, published in English between 2016 and 2026, and focused on the treatment or management of SCD within the UK context. Both primary and secondary research studies were considered. Studies were excluded if they were not peer-reviewed, did not focus on the UK, or did </w:t>
      </w:r>
      <w:r w:rsidRPr="00D336F7">
        <w:rPr>
          <w:rFonts w:ascii="Arial" w:hAnsi="Arial" w:cs="Arial"/>
        </w:rPr>
        <w:lastRenderedPageBreak/>
        <w:t xml:space="preserve">not address inequalities in care. Policy documents, reports and commentaries were excluded from the analytical sample, although they were used to provide contextual information in the background section. Duplicate results were removed where necessary, and priority was given to studies that directly addressed care delivery, pain </w:t>
      </w:r>
      <w:r w:rsidR="00485AF5" w:rsidRPr="00D336F7">
        <w:rPr>
          <w:rFonts w:ascii="Arial" w:hAnsi="Arial" w:cs="Arial"/>
        </w:rPr>
        <w:t>management and patient experience</w:t>
      </w:r>
      <w:r w:rsidRPr="00D336F7">
        <w:rPr>
          <w:rFonts w:ascii="Arial" w:hAnsi="Arial" w:cs="Arial"/>
        </w:rPr>
        <w:t xml:space="preserve"> within UK healthcare settings. This helped ensure that the final sample remained closely aligned with the review question. </w:t>
      </w:r>
    </w:p>
    <w:p w14:paraId="76B1637A" w14:textId="7C88F4AC" w:rsidR="00C71A55" w:rsidRPr="00D336F7" w:rsidRDefault="00B64D1A" w:rsidP="00D336F7">
      <w:pPr>
        <w:spacing w:after="248" w:line="360" w:lineRule="auto"/>
        <w:ind w:left="-5" w:right="4"/>
        <w:jc w:val="both"/>
        <w:rPr>
          <w:rFonts w:ascii="Arial" w:hAnsi="Arial" w:cs="Arial"/>
        </w:rPr>
      </w:pPr>
      <w:r w:rsidRPr="00D336F7">
        <w:rPr>
          <w:rFonts w:ascii="Arial" w:hAnsi="Arial" w:cs="Arial"/>
        </w:rPr>
        <w:t>The study selection process involved two stages. First, titles and abstracts were screened to identify potentially relevant studies. Following this, full-text articles were reviewed to determine final inclusion. A total of three to five studies were selected for detailed analysis</w:t>
      </w:r>
      <w:r w:rsidR="00485AF5" w:rsidRPr="00D336F7">
        <w:rPr>
          <w:rFonts w:ascii="Arial" w:hAnsi="Arial" w:cs="Arial"/>
        </w:rPr>
        <w:t>,</w:t>
      </w:r>
      <w:r w:rsidRPr="00D336F7">
        <w:rPr>
          <w:rFonts w:ascii="Arial" w:hAnsi="Arial" w:cs="Arial"/>
        </w:rPr>
        <w:t xml:space="preserve"> in line with the requirements of </w:t>
      </w:r>
      <w:r w:rsidR="00485AF5" w:rsidRPr="00D336F7">
        <w:rPr>
          <w:rFonts w:ascii="Arial" w:hAnsi="Arial" w:cs="Arial"/>
        </w:rPr>
        <w:t>this</w:t>
      </w:r>
      <w:r w:rsidRPr="00D336F7">
        <w:rPr>
          <w:rFonts w:ascii="Arial" w:hAnsi="Arial" w:cs="Arial"/>
        </w:rPr>
        <w:t xml:space="preserve"> scoping review. </w:t>
      </w:r>
    </w:p>
    <w:p w14:paraId="0E422D2B" w14:textId="296BE844" w:rsidR="00C71A55" w:rsidRPr="00D336F7" w:rsidRDefault="00B64D1A" w:rsidP="00D336F7">
      <w:pPr>
        <w:pStyle w:val="Heading2"/>
        <w:spacing w:line="360" w:lineRule="auto"/>
        <w:ind w:left="356"/>
        <w:jc w:val="both"/>
        <w:rPr>
          <w:rFonts w:ascii="Arial" w:hAnsi="Arial" w:cs="Arial"/>
          <w:sz w:val="24"/>
        </w:rPr>
      </w:pPr>
      <w:bookmarkStart w:id="10" w:name="_Toc227710365"/>
      <w:bookmarkStart w:id="11" w:name="_Toc227710447"/>
      <w:r w:rsidRPr="00D336F7">
        <w:rPr>
          <w:rFonts w:ascii="Arial" w:hAnsi="Arial" w:cs="Arial"/>
          <w:sz w:val="24"/>
        </w:rPr>
        <w:t>-</w:t>
      </w:r>
      <w:r w:rsidRPr="00D336F7">
        <w:rPr>
          <w:rFonts w:ascii="Arial" w:eastAsia="Arial" w:hAnsi="Arial" w:cs="Arial"/>
          <w:sz w:val="24"/>
        </w:rPr>
        <w:t xml:space="preserve"> </w:t>
      </w:r>
      <w:r w:rsidRPr="00D336F7">
        <w:rPr>
          <w:rFonts w:ascii="Arial" w:hAnsi="Arial" w:cs="Arial"/>
          <w:color w:val="auto"/>
          <w:sz w:val="24"/>
        </w:rPr>
        <w:t xml:space="preserve">  </w:t>
      </w:r>
      <w:r w:rsidR="0031220C" w:rsidRPr="00D336F7">
        <w:rPr>
          <w:rFonts w:ascii="Arial" w:hAnsi="Arial" w:cs="Arial"/>
          <w:b/>
          <w:bCs/>
          <w:color w:val="auto"/>
          <w:sz w:val="24"/>
        </w:rPr>
        <w:t>Data Analysis</w:t>
      </w:r>
      <w:bookmarkEnd w:id="10"/>
      <w:bookmarkEnd w:id="11"/>
    </w:p>
    <w:p w14:paraId="1BCB890A"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The selected studies were analysed using thematic analysis to identify key patterns and recurring themes related to inequalities in SCD care. This approach allowed for the organisation and interpretation of qualitative and quantitative findings across the selected literature.   </w:t>
      </w:r>
    </w:p>
    <w:p w14:paraId="6A5503DF"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Data extraction focused on key study characteristics, including author, year of publication, study aim, methodology, location and main findings. These characteristics were summarised in a table to provide an overview of the included studies. </w:t>
      </w:r>
    </w:p>
    <w:p w14:paraId="1947339B" w14:textId="0825C02C" w:rsidR="00306B4E" w:rsidRPr="00D336F7" w:rsidRDefault="00B64D1A" w:rsidP="00D336F7">
      <w:pPr>
        <w:spacing w:after="4" w:line="360" w:lineRule="auto"/>
        <w:ind w:left="-5" w:right="13"/>
        <w:jc w:val="both"/>
        <w:rPr>
          <w:rFonts w:ascii="Arial" w:eastAsia="Aptos Display" w:hAnsi="Arial" w:cs="Arial"/>
          <w:color w:val="0F4761"/>
        </w:rPr>
      </w:pPr>
      <w:r w:rsidRPr="00D336F7">
        <w:rPr>
          <w:rFonts w:ascii="Arial" w:hAnsi="Arial" w:cs="Arial"/>
        </w:rPr>
        <w:t xml:space="preserve">Following data extraction, the findings of each study were reviewed and coded to identify common themes. Themes were developed inductively based on the data and included areas such as delays in pain management, access to specialist services, healthcare professionals’ knowledge and experiences of racial bias. These themes were then used to structure the results section and support a synthesis of the evidence. Although no formal quality appraisal tool was used, attention was paid to the relevance, credibility and methodological approach of the included studies. This was considered appropriate because the purpose of the scoping review was to map the evidence base rather than to assess intervention effectiveness in a systematic-review format. </w:t>
      </w:r>
    </w:p>
    <w:p w14:paraId="5A82678A" w14:textId="4CC6B9B5" w:rsidR="00C71A55" w:rsidRPr="00D336F7" w:rsidRDefault="00B64D1A" w:rsidP="00D336F7">
      <w:pPr>
        <w:pStyle w:val="Heading2"/>
        <w:numPr>
          <w:ilvl w:val="0"/>
          <w:numId w:val="2"/>
        </w:numPr>
        <w:spacing w:line="360" w:lineRule="auto"/>
        <w:jc w:val="both"/>
        <w:rPr>
          <w:rFonts w:ascii="Arial" w:hAnsi="Arial" w:cs="Arial"/>
          <w:b/>
          <w:bCs/>
          <w:color w:val="auto"/>
          <w:sz w:val="24"/>
        </w:rPr>
      </w:pPr>
      <w:bookmarkStart w:id="12" w:name="_Toc227710366"/>
      <w:bookmarkStart w:id="13" w:name="_Toc227710448"/>
      <w:r w:rsidRPr="00D336F7">
        <w:rPr>
          <w:rFonts w:ascii="Arial" w:hAnsi="Arial" w:cs="Arial"/>
          <w:b/>
          <w:bCs/>
          <w:color w:val="auto"/>
          <w:sz w:val="24"/>
        </w:rPr>
        <w:t>Ethical Considerations</w:t>
      </w:r>
      <w:bookmarkEnd w:id="12"/>
      <w:bookmarkEnd w:id="13"/>
      <w:r w:rsidRPr="00D336F7">
        <w:rPr>
          <w:rFonts w:ascii="Arial" w:hAnsi="Arial" w:cs="Arial"/>
          <w:b/>
          <w:bCs/>
          <w:color w:val="auto"/>
          <w:sz w:val="24"/>
        </w:rPr>
        <w:t xml:space="preserve">  </w:t>
      </w:r>
    </w:p>
    <w:p w14:paraId="57CAF7B1"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This research is based exclusively on previously published literature and does not involve direct interaction with human participants or the collection of primary data. As </w:t>
      </w:r>
      <w:r w:rsidRPr="00D336F7">
        <w:rPr>
          <w:rFonts w:ascii="Arial" w:hAnsi="Arial" w:cs="Arial"/>
        </w:rPr>
        <w:lastRenderedPageBreak/>
        <w:t xml:space="preserve">such, formal ethical approval from the NHS or a university ethics committee was not required. </w:t>
      </w:r>
    </w:p>
    <w:p w14:paraId="49FBDB3B" w14:textId="0EB0EB13"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However, ethical principles were maintained throughout the research process. This included accurate representation of study findings, critical engagement with the literature and appropriate acknowledgement of all sources using the Harvard referencing style. Care was also taken to avoid misinterpretation or selective reporting of evidence, ensuring that the review presents a balanced and transparent account of the available research. </w:t>
      </w:r>
    </w:p>
    <w:p w14:paraId="394CE148" w14:textId="77777777" w:rsidR="001D4C2E" w:rsidRPr="00D336F7" w:rsidRDefault="001D4C2E" w:rsidP="00D336F7">
      <w:pPr>
        <w:spacing w:line="360" w:lineRule="auto"/>
        <w:ind w:left="-5" w:right="4"/>
        <w:jc w:val="both"/>
        <w:rPr>
          <w:rFonts w:ascii="Arial" w:hAnsi="Arial" w:cs="Arial"/>
        </w:rPr>
      </w:pPr>
    </w:p>
    <w:p w14:paraId="0BAB53F2" w14:textId="77777777" w:rsidR="001D4C2E" w:rsidRPr="00D336F7" w:rsidRDefault="001D4C2E" w:rsidP="00D336F7">
      <w:pPr>
        <w:spacing w:line="360" w:lineRule="auto"/>
        <w:ind w:left="-5" w:right="4"/>
        <w:jc w:val="both"/>
        <w:rPr>
          <w:rFonts w:ascii="Arial" w:hAnsi="Arial" w:cs="Arial"/>
        </w:rPr>
      </w:pPr>
    </w:p>
    <w:p w14:paraId="5E1638A1" w14:textId="7A0B522D" w:rsidR="00C71A55" w:rsidRPr="00D336F7" w:rsidRDefault="00B64D1A" w:rsidP="00D336F7">
      <w:pPr>
        <w:pStyle w:val="Heading2"/>
        <w:spacing w:line="360" w:lineRule="auto"/>
        <w:ind w:left="356"/>
        <w:jc w:val="both"/>
        <w:rPr>
          <w:rFonts w:ascii="Arial" w:hAnsi="Arial" w:cs="Arial"/>
          <w:b/>
          <w:bCs/>
          <w:sz w:val="24"/>
        </w:rPr>
      </w:pPr>
      <w:bookmarkStart w:id="14" w:name="_Toc227710367"/>
      <w:bookmarkStart w:id="15" w:name="_Toc227710449"/>
      <w:r w:rsidRPr="00D336F7">
        <w:rPr>
          <w:rFonts w:ascii="Arial" w:hAnsi="Arial" w:cs="Arial"/>
          <w:b/>
          <w:bCs/>
          <w:color w:val="auto"/>
          <w:sz w:val="24"/>
        </w:rPr>
        <w:t>Table 1: Characteristics of selecte</w:t>
      </w:r>
      <w:bookmarkEnd w:id="14"/>
      <w:bookmarkEnd w:id="15"/>
      <w:r w:rsidR="00D336F7">
        <w:rPr>
          <w:rFonts w:ascii="Arial" w:hAnsi="Arial" w:cs="Arial"/>
          <w:b/>
          <w:bCs/>
          <w:color w:val="auto"/>
          <w:sz w:val="24"/>
        </w:rPr>
        <w:t xml:space="preserve">d studies </w:t>
      </w:r>
    </w:p>
    <w:p w14:paraId="15875C4C" w14:textId="77777777" w:rsidR="00C71A55" w:rsidRPr="00D336F7" w:rsidRDefault="00B64D1A" w:rsidP="00D336F7">
      <w:pPr>
        <w:spacing w:after="0" w:line="360" w:lineRule="auto"/>
        <w:ind w:left="-5" w:right="4"/>
        <w:jc w:val="both"/>
        <w:rPr>
          <w:rFonts w:ascii="Arial" w:hAnsi="Arial" w:cs="Arial"/>
        </w:rPr>
      </w:pPr>
      <w:r w:rsidRPr="00D336F7">
        <w:rPr>
          <w:rFonts w:ascii="Arial" w:hAnsi="Arial" w:cs="Arial"/>
        </w:rPr>
        <w:t xml:space="preserve">Five studies were included in the final review. The main characteristics of the selected studies are summarised in Table 1.  </w:t>
      </w:r>
    </w:p>
    <w:tbl>
      <w:tblPr>
        <w:tblStyle w:val="TableGrid"/>
        <w:tblW w:w="9019" w:type="dxa"/>
        <w:tblInd w:w="5" w:type="dxa"/>
        <w:tblCellMar>
          <w:left w:w="105" w:type="dxa"/>
          <w:right w:w="11" w:type="dxa"/>
        </w:tblCellMar>
        <w:tblLook w:val="04A0" w:firstRow="1" w:lastRow="0" w:firstColumn="1" w:lastColumn="0" w:noHBand="0" w:noVBand="1"/>
      </w:tblPr>
      <w:tblGrid>
        <w:gridCol w:w="1671"/>
        <w:gridCol w:w="1315"/>
        <w:gridCol w:w="1482"/>
        <w:gridCol w:w="1498"/>
        <w:gridCol w:w="1424"/>
        <w:gridCol w:w="1629"/>
      </w:tblGrid>
      <w:tr w:rsidR="00C71A55" w:rsidRPr="00D336F7" w14:paraId="3268FBF3" w14:textId="77777777">
        <w:trPr>
          <w:trHeight w:val="560"/>
        </w:trPr>
        <w:tc>
          <w:tcPr>
            <w:tcW w:w="1681" w:type="dxa"/>
            <w:tcBorders>
              <w:top w:val="single" w:sz="4" w:space="0" w:color="000000"/>
              <w:left w:val="single" w:sz="4" w:space="0" w:color="000000"/>
              <w:bottom w:val="single" w:sz="4" w:space="0" w:color="000000"/>
              <w:right w:val="single" w:sz="4" w:space="0" w:color="000000"/>
            </w:tcBorders>
          </w:tcPr>
          <w:p w14:paraId="04EC80FE"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b/>
              </w:rPr>
              <w:t xml:space="preserve">Author  </w:t>
            </w:r>
          </w:p>
        </w:tc>
        <w:tc>
          <w:tcPr>
            <w:tcW w:w="1330" w:type="dxa"/>
            <w:tcBorders>
              <w:top w:val="single" w:sz="4" w:space="0" w:color="000000"/>
              <w:left w:val="single" w:sz="4" w:space="0" w:color="000000"/>
              <w:bottom w:val="single" w:sz="4" w:space="0" w:color="000000"/>
              <w:right w:val="single" w:sz="4" w:space="0" w:color="000000"/>
            </w:tcBorders>
          </w:tcPr>
          <w:p w14:paraId="001D384A" w14:textId="77777777" w:rsidR="00C71A55" w:rsidRPr="00D336F7" w:rsidRDefault="00B64D1A" w:rsidP="00D336F7">
            <w:pPr>
              <w:spacing w:after="0" w:line="360" w:lineRule="auto"/>
              <w:ind w:left="0" w:firstLine="0"/>
              <w:jc w:val="both"/>
              <w:rPr>
                <w:rFonts w:ascii="Arial" w:hAnsi="Arial" w:cs="Arial"/>
              </w:rPr>
            </w:pPr>
            <w:r w:rsidRPr="00D336F7">
              <w:rPr>
                <w:rFonts w:ascii="Arial" w:hAnsi="Arial" w:cs="Arial"/>
                <w:b/>
              </w:rPr>
              <w:t xml:space="preserve">Year  </w:t>
            </w:r>
          </w:p>
        </w:tc>
        <w:tc>
          <w:tcPr>
            <w:tcW w:w="1486" w:type="dxa"/>
            <w:tcBorders>
              <w:top w:val="single" w:sz="4" w:space="0" w:color="000000"/>
              <w:left w:val="single" w:sz="4" w:space="0" w:color="000000"/>
              <w:bottom w:val="single" w:sz="4" w:space="0" w:color="000000"/>
              <w:right w:val="single" w:sz="4" w:space="0" w:color="000000"/>
            </w:tcBorders>
          </w:tcPr>
          <w:p w14:paraId="7C052235"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b/>
              </w:rPr>
              <w:t xml:space="preserve">Aim  </w:t>
            </w:r>
          </w:p>
        </w:tc>
        <w:tc>
          <w:tcPr>
            <w:tcW w:w="1500" w:type="dxa"/>
            <w:tcBorders>
              <w:top w:val="single" w:sz="4" w:space="0" w:color="000000"/>
              <w:left w:val="single" w:sz="4" w:space="0" w:color="000000"/>
              <w:bottom w:val="single" w:sz="4" w:space="0" w:color="000000"/>
              <w:right w:val="single" w:sz="4" w:space="0" w:color="000000"/>
            </w:tcBorders>
          </w:tcPr>
          <w:p w14:paraId="6BFE355A"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b/>
              </w:rPr>
              <w:t xml:space="preserve">Method  </w:t>
            </w:r>
          </w:p>
        </w:tc>
        <w:tc>
          <w:tcPr>
            <w:tcW w:w="1431" w:type="dxa"/>
            <w:tcBorders>
              <w:top w:val="single" w:sz="4" w:space="0" w:color="000000"/>
              <w:left w:val="single" w:sz="4" w:space="0" w:color="000000"/>
              <w:bottom w:val="single" w:sz="4" w:space="0" w:color="000000"/>
              <w:right w:val="single" w:sz="4" w:space="0" w:color="000000"/>
            </w:tcBorders>
          </w:tcPr>
          <w:p w14:paraId="1251ADB7"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b/>
              </w:rPr>
              <w:t xml:space="preserve">Location  </w:t>
            </w:r>
          </w:p>
        </w:tc>
        <w:tc>
          <w:tcPr>
            <w:tcW w:w="1591" w:type="dxa"/>
            <w:tcBorders>
              <w:top w:val="single" w:sz="4" w:space="0" w:color="000000"/>
              <w:left w:val="single" w:sz="4" w:space="0" w:color="000000"/>
              <w:bottom w:val="single" w:sz="4" w:space="0" w:color="000000"/>
              <w:right w:val="single" w:sz="4" w:space="0" w:color="000000"/>
            </w:tcBorders>
          </w:tcPr>
          <w:p w14:paraId="62820E3C" w14:textId="6D414B7F" w:rsidR="00C71A55" w:rsidRPr="00D336F7" w:rsidRDefault="0015441A" w:rsidP="00D336F7">
            <w:pPr>
              <w:spacing w:after="0" w:line="360" w:lineRule="auto"/>
              <w:ind w:left="5" w:right="35" w:firstLine="0"/>
              <w:jc w:val="both"/>
              <w:rPr>
                <w:rFonts w:ascii="Arial" w:hAnsi="Arial" w:cs="Arial"/>
              </w:rPr>
            </w:pPr>
            <w:r w:rsidRPr="00D336F7">
              <w:rPr>
                <w:rFonts w:ascii="Arial" w:eastAsia="Arial" w:hAnsi="Arial" w:cs="Arial"/>
                <w:b/>
              </w:rPr>
              <w:t xml:space="preserve">Main </w:t>
            </w:r>
            <w:r w:rsidR="00B64D1A" w:rsidRPr="00D336F7">
              <w:rPr>
                <w:rFonts w:ascii="Arial" w:eastAsia="Arial" w:hAnsi="Arial" w:cs="Arial"/>
                <w:b/>
              </w:rPr>
              <w:t xml:space="preserve">findings  </w:t>
            </w:r>
          </w:p>
        </w:tc>
      </w:tr>
      <w:tr w:rsidR="00C71A55" w:rsidRPr="00D336F7" w14:paraId="3C784929" w14:textId="77777777">
        <w:trPr>
          <w:trHeight w:val="1185"/>
        </w:trPr>
        <w:tc>
          <w:tcPr>
            <w:tcW w:w="1681" w:type="dxa"/>
            <w:tcBorders>
              <w:top w:val="single" w:sz="4" w:space="0" w:color="000000"/>
              <w:left w:val="single" w:sz="4" w:space="0" w:color="000000"/>
              <w:bottom w:val="single" w:sz="4" w:space="0" w:color="000000"/>
              <w:right w:val="single" w:sz="4" w:space="0" w:color="000000"/>
            </w:tcBorders>
          </w:tcPr>
          <w:p w14:paraId="00965F31"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Darlington et al.  </w:t>
            </w:r>
          </w:p>
        </w:tc>
        <w:tc>
          <w:tcPr>
            <w:tcW w:w="1330" w:type="dxa"/>
            <w:tcBorders>
              <w:top w:val="single" w:sz="4" w:space="0" w:color="000000"/>
              <w:left w:val="single" w:sz="4" w:space="0" w:color="000000"/>
              <w:bottom w:val="single" w:sz="4" w:space="0" w:color="000000"/>
              <w:right w:val="single" w:sz="4" w:space="0" w:color="000000"/>
            </w:tcBorders>
          </w:tcPr>
          <w:p w14:paraId="23CE79F9" w14:textId="223B11DE" w:rsidR="00C71A55" w:rsidRPr="00D336F7" w:rsidRDefault="00B64D1A" w:rsidP="00D336F7">
            <w:pPr>
              <w:spacing w:after="0" w:line="360" w:lineRule="auto"/>
              <w:ind w:left="0" w:firstLine="0"/>
              <w:jc w:val="both"/>
              <w:rPr>
                <w:rFonts w:ascii="Arial" w:hAnsi="Arial" w:cs="Arial"/>
              </w:rPr>
            </w:pPr>
            <w:r w:rsidRPr="00D336F7">
              <w:rPr>
                <w:rFonts w:ascii="Arial" w:hAnsi="Arial" w:cs="Arial"/>
              </w:rPr>
              <w:t>202</w:t>
            </w:r>
            <w:r w:rsidR="00B42EAB" w:rsidRPr="00D336F7">
              <w:rPr>
                <w:rFonts w:ascii="Arial" w:hAnsi="Arial" w:cs="Arial"/>
              </w:rPr>
              <w:t>0</w:t>
            </w:r>
          </w:p>
        </w:tc>
        <w:tc>
          <w:tcPr>
            <w:tcW w:w="1486" w:type="dxa"/>
            <w:tcBorders>
              <w:top w:val="single" w:sz="4" w:space="0" w:color="000000"/>
              <w:left w:val="single" w:sz="4" w:space="0" w:color="000000"/>
              <w:bottom w:val="single" w:sz="4" w:space="0" w:color="000000"/>
              <w:right w:val="single" w:sz="4" w:space="0" w:color="000000"/>
            </w:tcBorders>
          </w:tcPr>
          <w:p w14:paraId="432A0E83"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To explore inequalities in SCD care  </w:t>
            </w:r>
          </w:p>
        </w:tc>
        <w:tc>
          <w:tcPr>
            <w:tcW w:w="1500" w:type="dxa"/>
            <w:tcBorders>
              <w:top w:val="single" w:sz="4" w:space="0" w:color="000000"/>
              <w:left w:val="single" w:sz="4" w:space="0" w:color="000000"/>
              <w:bottom w:val="single" w:sz="4" w:space="0" w:color="000000"/>
              <w:right w:val="single" w:sz="4" w:space="0" w:color="000000"/>
            </w:tcBorders>
          </w:tcPr>
          <w:p w14:paraId="3F7BA0C1"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Qualitative study  </w:t>
            </w:r>
          </w:p>
        </w:tc>
        <w:tc>
          <w:tcPr>
            <w:tcW w:w="1431" w:type="dxa"/>
            <w:tcBorders>
              <w:top w:val="single" w:sz="4" w:space="0" w:color="000000"/>
              <w:left w:val="single" w:sz="4" w:space="0" w:color="000000"/>
              <w:bottom w:val="single" w:sz="4" w:space="0" w:color="000000"/>
              <w:right w:val="single" w:sz="4" w:space="0" w:color="000000"/>
            </w:tcBorders>
          </w:tcPr>
          <w:p w14:paraId="04D2D03A"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UK </w:t>
            </w:r>
          </w:p>
        </w:tc>
        <w:tc>
          <w:tcPr>
            <w:tcW w:w="1591" w:type="dxa"/>
            <w:tcBorders>
              <w:top w:val="single" w:sz="4" w:space="0" w:color="000000"/>
              <w:left w:val="single" w:sz="4" w:space="0" w:color="000000"/>
              <w:bottom w:val="single" w:sz="4" w:space="0" w:color="000000"/>
              <w:right w:val="single" w:sz="4" w:space="0" w:color="000000"/>
            </w:tcBorders>
          </w:tcPr>
          <w:p w14:paraId="268AF8D2" w14:textId="77777777" w:rsidR="00C71A55" w:rsidRPr="00D336F7" w:rsidRDefault="00B64D1A" w:rsidP="00D336F7">
            <w:pPr>
              <w:spacing w:after="0" w:line="360" w:lineRule="auto"/>
              <w:ind w:left="5" w:right="333" w:firstLine="0"/>
              <w:jc w:val="both"/>
              <w:rPr>
                <w:rFonts w:ascii="Arial" w:hAnsi="Arial" w:cs="Arial"/>
              </w:rPr>
            </w:pPr>
            <w:r w:rsidRPr="00D336F7">
              <w:rPr>
                <w:rFonts w:ascii="Arial" w:hAnsi="Arial" w:cs="Arial"/>
              </w:rPr>
              <w:t xml:space="preserve">Delays in care, poor patient experience  </w:t>
            </w:r>
          </w:p>
        </w:tc>
      </w:tr>
      <w:tr w:rsidR="00C71A55" w:rsidRPr="00D336F7" w14:paraId="2C1F455A" w14:textId="77777777">
        <w:trPr>
          <w:trHeight w:val="1181"/>
        </w:trPr>
        <w:tc>
          <w:tcPr>
            <w:tcW w:w="1681" w:type="dxa"/>
            <w:tcBorders>
              <w:top w:val="single" w:sz="4" w:space="0" w:color="000000"/>
              <w:left w:val="single" w:sz="4" w:space="0" w:color="000000"/>
              <w:bottom w:val="single" w:sz="4" w:space="0" w:color="000000"/>
              <w:right w:val="single" w:sz="4" w:space="0" w:color="000000"/>
            </w:tcBorders>
          </w:tcPr>
          <w:p w14:paraId="6D9B7E90" w14:textId="77777777" w:rsidR="00C71A55" w:rsidRPr="00D336F7" w:rsidRDefault="00B64D1A" w:rsidP="00D336F7">
            <w:pPr>
              <w:spacing w:after="0" w:line="360" w:lineRule="auto"/>
              <w:ind w:left="5" w:right="14" w:firstLine="0"/>
              <w:jc w:val="both"/>
              <w:rPr>
                <w:rFonts w:ascii="Arial" w:hAnsi="Arial" w:cs="Arial"/>
              </w:rPr>
            </w:pPr>
            <w:r w:rsidRPr="00D336F7">
              <w:rPr>
                <w:rFonts w:ascii="Arial" w:hAnsi="Arial" w:cs="Arial"/>
              </w:rPr>
              <w:t xml:space="preserve">Osunkwo et al.  </w:t>
            </w:r>
          </w:p>
        </w:tc>
        <w:tc>
          <w:tcPr>
            <w:tcW w:w="1330" w:type="dxa"/>
            <w:tcBorders>
              <w:top w:val="single" w:sz="4" w:space="0" w:color="000000"/>
              <w:left w:val="single" w:sz="4" w:space="0" w:color="000000"/>
              <w:bottom w:val="single" w:sz="4" w:space="0" w:color="000000"/>
              <w:right w:val="single" w:sz="4" w:space="0" w:color="000000"/>
            </w:tcBorders>
          </w:tcPr>
          <w:p w14:paraId="01533DE5" w14:textId="77777777" w:rsidR="00C71A55" w:rsidRPr="00D336F7" w:rsidRDefault="00B64D1A" w:rsidP="00D336F7">
            <w:pPr>
              <w:spacing w:after="0" w:line="360" w:lineRule="auto"/>
              <w:ind w:left="0" w:firstLine="0"/>
              <w:jc w:val="both"/>
              <w:rPr>
                <w:rFonts w:ascii="Arial" w:hAnsi="Arial" w:cs="Arial"/>
              </w:rPr>
            </w:pPr>
            <w:r w:rsidRPr="00D336F7">
              <w:rPr>
                <w:rFonts w:ascii="Arial" w:hAnsi="Arial" w:cs="Arial"/>
              </w:rPr>
              <w:t xml:space="preserve">2020 </w:t>
            </w:r>
          </w:p>
        </w:tc>
        <w:tc>
          <w:tcPr>
            <w:tcW w:w="1486" w:type="dxa"/>
            <w:tcBorders>
              <w:top w:val="single" w:sz="4" w:space="0" w:color="000000"/>
              <w:left w:val="single" w:sz="4" w:space="0" w:color="000000"/>
              <w:bottom w:val="single" w:sz="4" w:space="0" w:color="000000"/>
              <w:right w:val="single" w:sz="4" w:space="0" w:color="000000"/>
            </w:tcBorders>
          </w:tcPr>
          <w:p w14:paraId="717A3D1A" w14:textId="77777777" w:rsidR="00C71A55" w:rsidRPr="00D336F7" w:rsidRDefault="00B64D1A" w:rsidP="00D336F7">
            <w:pPr>
              <w:spacing w:after="0" w:line="360" w:lineRule="auto"/>
              <w:ind w:left="5" w:right="302" w:firstLine="0"/>
              <w:jc w:val="both"/>
              <w:rPr>
                <w:rFonts w:ascii="Arial" w:hAnsi="Arial" w:cs="Arial"/>
              </w:rPr>
            </w:pPr>
            <w:r w:rsidRPr="00D336F7">
              <w:rPr>
                <w:rFonts w:ascii="Arial" w:hAnsi="Arial" w:cs="Arial"/>
              </w:rPr>
              <w:t xml:space="preserve">To identify barriers to care  </w:t>
            </w:r>
          </w:p>
        </w:tc>
        <w:tc>
          <w:tcPr>
            <w:tcW w:w="1500" w:type="dxa"/>
            <w:tcBorders>
              <w:top w:val="single" w:sz="4" w:space="0" w:color="000000"/>
              <w:left w:val="single" w:sz="4" w:space="0" w:color="000000"/>
              <w:bottom w:val="single" w:sz="4" w:space="0" w:color="000000"/>
              <w:right w:val="single" w:sz="4" w:space="0" w:color="000000"/>
            </w:tcBorders>
          </w:tcPr>
          <w:p w14:paraId="7986F026"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Review  </w:t>
            </w:r>
          </w:p>
        </w:tc>
        <w:tc>
          <w:tcPr>
            <w:tcW w:w="1431" w:type="dxa"/>
            <w:tcBorders>
              <w:top w:val="single" w:sz="4" w:space="0" w:color="000000"/>
              <w:left w:val="single" w:sz="4" w:space="0" w:color="000000"/>
              <w:bottom w:val="single" w:sz="4" w:space="0" w:color="000000"/>
              <w:right w:val="single" w:sz="4" w:space="0" w:color="000000"/>
            </w:tcBorders>
          </w:tcPr>
          <w:p w14:paraId="48B7E827"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UK </w:t>
            </w:r>
          </w:p>
        </w:tc>
        <w:tc>
          <w:tcPr>
            <w:tcW w:w="1591" w:type="dxa"/>
            <w:tcBorders>
              <w:top w:val="single" w:sz="4" w:space="0" w:color="000000"/>
              <w:left w:val="single" w:sz="4" w:space="0" w:color="000000"/>
              <w:bottom w:val="single" w:sz="4" w:space="0" w:color="000000"/>
              <w:right w:val="single" w:sz="4" w:space="0" w:color="000000"/>
            </w:tcBorders>
          </w:tcPr>
          <w:p w14:paraId="5251EDDE"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Limited access, knowledge gaps  </w:t>
            </w:r>
          </w:p>
        </w:tc>
      </w:tr>
      <w:tr w:rsidR="00C71A55" w:rsidRPr="00D336F7" w14:paraId="1C734470" w14:textId="77777777">
        <w:trPr>
          <w:trHeight w:val="890"/>
        </w:trPr>
        <w:tc>
          <w:tcPr>
            <w:tcW w:w="1681" w:type="dxa"/>
            <w:tcBorders>
              <w:top w:val="single" w:sz="4" w:space="0" w:color="000000"/>
              <w:left w:val="single" w:sz="4" w:space="0" w:color="000000"/>
              <w:bottom w:val="single" w:sz="4" w:space="0" w:color="000000"/>
              <w:right w:val="single" w:sz="4" w:space="0" w:color="000000"/>
            </w:tcBorders>
          </w:tcPr>
          <w:p w14:paraId="46B45028"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Tanabe et al. </w:t>
            </w:r>
          </w:p>
        </w:tc>
        <w:tc>
          <w:tcPr>
            <w:tcW w:w="1330" w:type="dxa"/>
            <w:tcBorders>
              <w:top w:val="single" w:sz="4" w:space="0" w:color="000000"/>
              <w:left w:val="single" w:sz="4" w:space="0" w:color="000000"/>
              <w:bottom w:val="single" w:sz="4" w:space="0" w:color="000000"/>
              <w:right w:val="single" w:sz="4" w:space="0" w:color="000000"/>
            </w:tcBorders>
          </w:tcPr>
          <w:p w14:paraId="0E73ECCB" w14:textId="77777777" w:rsidR="00C71A55" w:rsidRPr="00D336F7" w:rsidRDefault="00B64D1A" w:rsidP="00D336F7">
            <w:pPr>
              <w:spacing w:after="0" w:line="360" w:lineRule="auto"/>
              <w:ind w:left="0" w:firstLine="0"/>
              <w:jc w:val="both"/>
              <w:rPr>
                <w:rFonts w:ascii="Arial" w:hAnsi="Arial" w:cs="Arial"/>
              </w:rPr>
            </w:pPr>
            <w:r w:rsidRPr="00D336F7">
              <w:rPr>
                <w:rFonts w:ascii="Arial" w:hAnsi="Arial" w:cs="Arial"/>
              </w:rPr>
              <w:t xml:space="preserve">2019 </w:t>
            </w:r>
          </w:p>
        </w:tc>
        <w:tc>
          <w:tcPr>
            <w:tcW w:w="1486" w:type="dxa"/>
            <w:tcBorders>
              <w:top w:val="single" w:sz="4" w:space="0" w:color="000000"/>
              <w:left w:val="single" w:sz="4" w:space="0" w:color="000000"/>
              <w:bottom w:val="single" w:sz="4" w:space="0" w:color="000000"/>
              <w:right w:val="single" w:sz="4" w:space="0" w:color="000000"/>
            </w:tcBorders>
          </w:tcPr>
          <w:p w14:paraId="104FEE8E"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To examine pain disparities  </w:t>
            </w:r>
          </w:p>
        </w:tc>
        <w:tc>
          <w:tcPr>
            <w:tcW w:w="1500" w:type="dxa"/>
            <w:tcBorders>
              <w:top w:val="single" w:sz="4" w:space="0" w:color="000000"/>
              <w:left w:val="single" w:sz="4" w:space="0" w:color="000000"/>
              <w:bottom w:val="single" w:sz="4" w:space="0" w:color="000000"/>
              <w:right w:val="single" w:sz="4" w:space="0" w:color="000000"/>
            </w:tcBorders>
          </w:tcPr>
          <w:p w14:paraId="657F8A03"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Quantitative  </w:t>
            </w:r>
          </w:p>
        </w:tc>
        <w:tc>
          <w:tcPr>
            <w:tcW w:w="1431" w:type="dxa"/>
            <w:tcBorders>
              <w:top w:val="single" w:sz="4" w:space="0" w:color="000000"/>
              <w:left w:val="single" w:sz="4" w:space="0" w:color="000000"/>
              <w:bottom w:val="single" w:sz="4" w:space="0" w:color="000000"/>
              <w:right w:val="single" w:sz="4" w:space="0" w:color="000000"/>
            </w:tcBorders>
          </w:tcPr>
          <w:p w14:paraId="68DE796B"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UK </w:t>
            </w:r>
          </w:p>
        </w:tc>
        <w:tc>
          <w:tcPr>
            <w:tcW w:w="1591" w:type="dxa"/>
            <w:tcBorders>
              <w:top w:val="single" w:sz="4" w:space="0" w:color="000000"/>
              <w:left w:val="single" w:sz="4" w:space="0" w:color="000000"/>
              <w:bottom w:val="single" w:sz="4" w:space="0" w:color="000000"/>
              <w:right w:val="single" w:sz="4" w:space="0" w:color="000000"/>
            </w:tcBorders>
          </w:tcPr>
          <w:p w14:paraId="39E4E007"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Delayed pain management  </w:t>
            </w:r>
          </w:p>
        </w:tc>
      </w:tr>
      <w:tr w:rsidR="00C71A55" w:rsidRPr="00D336F7" w14:paraId="6B2B5056" w14:textId="77777777">
        <w:trPr>
          <w:trHeight w:val="890"/>
        </w:trPr>
        <w:tc>
          <w:tcPr>
            <w:tcW w:w="1681" w:type="dxa"/>
            <w:tcBorders>
              <w:top w:val="single" w:sz="4" w:space="0" w:color="000000"/>
              <w:left w:val="single" w:sz="4" w:space="0" w:color="000000"/>
              <w:bottom w:val="single" w:sz="4" w:space="0" w:color="000000"/>
              <w:right w:val="single" w:sz="4" w:space="0" w:color="000000"/>
            </w:tcBorders>
          </w:tcPr>
          <w:p w14:paraId="014468AB" w14:textId="0BF4AE84" w:rsidR="00C71A55" w:rsidRPr="00D336F7" w:rsidRDefault="0015441A" w:rsidP="00D336F7">
            <w:pPr>
              <w:spacing w:after="0" w:line="360" w:lineRule="auto"/>
              <w:ind w:left="5" w:firstLine="0"/>
              <w:jc w:val="both"/>
              <w:rPr>
                <w:rFonts w:ascii="Arial" w:hAnsi="Arial" w:cs="Arial"/>
              </w:rPr>
            </w:pPr>
            <w:r w:rsidRPr="00D336F7">
              <w:rPr>
                <w:rFonts w:ascii="Arial" w:hAnsi="Arial" w:cs="Arial"/>
              </w:rPr>
              <w:t>Ghosh et al.</w:t>
            </w:r>
            <w:r w:rsidR="00B64D1A" w:rsidRPr="00D336F7">
              <w:rPr>
                <w:rFonts w:ascii="Arial" w:hAnsi="Arial" w:cs="Arial"/>
              </w:rPr>
              <w:t xml:space="preserve">  </w:t>
            </w:r>
          </w:p>
        </w:tc>
        <w:tc>
          <w:tcPr>
            <w:tcW w:w="1330" w:type="dxa"/>
            <w:tcBorders>
              <w:top w:val="single" w:sz="4" w:space="0" w:color="000000"/>
              <w:left w:val="single" w:sz="4" w:space="0" w:color="000000"/>
              <w:bottom w:val="single" w:sz="4" w:space="0" w:color="000000"/>
              <w:right w:val="single" w:sz="4" w:space="0" w:color="000000"/>
            </w:tcBorders>
          </w:tcPr>
          <w:p w14:paraId="3870063E" w14:textId="77777777" w:rsidR="00C71A55" w:rsidRPr="00D336F7" w:rsidRDefault="00B64D1A" w:rsidP="00D336F7">
            <w:pPr>
              <w:spacing w:after="0" w:line="360" w:lineRule="auto"/>
              <w:ind w:left="0" w:firstLine="0"/>
              <w:jc w:val="both"/>
              <w:rPr>
                <w:rFonts w:ascii="Arial" w:hAnsi="Arial" w:cs="Arial"/>
              </w:rPr>
            </w:pPr>
            <w:r w:rsidRPr="00D336F7">
              <w:rPr>
                <w:rFonts w:ascii="Arial" w:hAnsi="Arial" w:cs="Arial"/>
              </w:rPr>
              <w:t xml:space="preserve">2024 </w:t>
            </w:r>
          </w:p>
        </w:tc>
        <w:tc>
          <w:tcPr>
            <w:tcW w:w="1486" w:type="dxa"/>
            <w:tcBorders>
              <w:top w:val="single" w:sz="4" w:space="0" w:color="000000"/>
              <w:left w:val="single" w:sz="4" w:space="0" w:color="000000"/>
              <w:bottom w:val="single" w:sz="4" w:space="0" w:color="000000"/>
              <w:right w:val="single" w:sz="4" w:space="0" w:color="000000"/>
            </w:tcBorders>
          </w:tcPr>
          <w:p w14:paraId="3CAC531D"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To analyse inequalities in SCD </w:t>
            </w:r>
          </w:p>
        </w:tc>
        <w:tc>
          <w:tcPr>
            <w:tcW w:w="1500" w:type="dxa"/>
            <w:tcBorders>
              <w:top w:val="single" w:sz="4" w:space="0" w:color="000000"/>
              <w:left w:val="single" w:sz="4" w:space="0" w:color="000000"/>
              <w:bottom w:val="single" w:sz="4" w:space="0" w:color="000000"/>
              <w:right w:val="single" w:sz="4" w:space="0" w:color="000000"/>
            </w:tcBorders>
          </w:tcPr>
          <w:p w14:paraId="39FD55A1"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Mixed methods  </w:t>
            </w:r>
          </w:p>
        </w:tc>
        <w:tc>
          <w:tcPr>
            <w:tcW w:w="1431" w:type="dxa"/>
            <w:tcBorders>
              <w:top w:val="single" w:sz="4" w:space="0" w:color="000000"/>
              <w:left w:val="single" w:sz="4" w:space="0" w:color="000000"/>
              <w:bottom w:val="single" w:sz="4" w:space="0" w:color="000000"/>
              <w:right w:val="single" w:sz="4" w:space="0" w:color="000000"/>
            </w:tcBorders>
          </w:tcPr>
          <w:p w14:paraId="46CAD003"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UK </w:t>
            </w:r>
          </w:p>
        </w:tc>
        <w:tc>
          <w:tcPr>
            <w:tcW w:w="1591" w:type="dxa"/>
            <w:tcBorders>
              <w:top w:val="single" w:sz="4" w:space="0" w:color="000000"/>
              <w:left w:val="single" w:sz="4" w:space="0" w:color="000000"/>
              <w:bottom w:val="single" w:sz="4" w:space="0" w:color="000000"/>
              <w:right w:val="single" w:sz="4" w:space="0" w:color="000000"/>
            </w:tcBorders>
          </w:tcPr>
          <w:p w14:paraId="6D9AEAB7"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Structural inequalities  </w:t>
            </w:r>
          </w:p>
        </w:tc>
      </w:tr>
      <w:tr w:rsidR="00C71A55" w:rsidRPr="00D336F7" w14:paraId="133A38AA" w14:textId="77777777">
        <w:trPr>
          <w:trHeight w:val="885"/>
        </w:trPr>
        <w:tc>
          <w:tcPr>
            <w:tcW w:w="1681" w:type="dxa"/>
            <w:tcBorders>
              <w:top w:val="single" w:sz="4" w:space="0" w:color="000000"/>
              <w:left w:val="single" w:sz="4" w:space="0" w:color="000000"/>
              <w:bottom w:val="single" w:sz="4" w:space="0" w:color="000000"/>
              <w:right w:val="single" w:sz="4" w:space="0" w:color="000000"/>
            </w:tcBorders>
          </w:tcPr>
          <w:p w14:paraId="77B5D59F" w14:textId="69F40B04" w:rsidR="00C71A55" w:rsidRPr="00D336F7" w:rsidRDefault="0015441A" w:rsidP="00D336F7">
            <w:pPr>
              <w:spacing w:after="0" w:line="360" w:lineRule="auto"/>
              <w:ind w:left="5" w:firstLine="0"/>
              <w:jc w:val="both"/>
              <w:rPr>
                <w:rFonts w:ascii="Arial" w:hAnsi="Arial" w:cs="Arial"/>
              </w:rPr>
            </w:pPr>
            <w:r w:rsidRPr="00D336F7">
              <w:rPr>
                <w:rFonts w:ascii="Arial" w:hAnsi="Arial" w:cs="Arial"/>
              </w:rPr>
              <w:t>Aljuburi et al.</w:t>
            </w:r>
          </w:p>
        </w:tc>
        <w:tc>
          <w:tcPr>
            <w:tcW w:w="1330" w:type="dxa"/>
            <w:tcBorders>
              <w:top w:val="single" w:sz="4" w:space="0" w:color="000000"/>
              <w:left w:val="single" w:sz="4" w:space="0" w:color="000000"/>
              <w:bottom w:val="single" w:sz="4" w:space="0" w:color="000000"/>
              <w:right w:val="single" w:sz="4" w:space="0" w:color="000000"/>
            </w:tcBorders>
          </w:tcPr>
          <w:p w14:paraId="15D121A3" w14:textId="77777777" w:rsidR="00C71A55" w:rsidRPr="00D336F7" w:rsidRDefault="00B64D1A" w:rsidP="00D336F7">
            <w:pPr>
              <w:spacing w:after="0" w:line="360" w:lineRule="auto"/>
              <w:ind w:left="0" w:firstLine="0"/>
              <w:jc w:val="both"/>
              <w:rPr>
                <w:rFonts w:ascii="Arial" w:hAnsi="Arial" w:cs="Arial"/>
              </w:rPr>
            </w:pPr>
            <w:r w:rsidRPr="00D336F7">
              <w:rPr>
                <w:rFonts w:ascii="Arial" w:hAnsi="Arial" w:cs="Arial"/>
              </w:rPr>
              <w:t xml:space="preserve">2019 </w:t>
            </w:r>
          </w:p>
        </w:tc>
        <w:tc>
          <w:tcPr>
            <w:tcW w:w="1486" w:type="dxa"/>
            <w:tcBorders>
              <w:top w:val="single" w:sz="4" w:space="0" w:color="000000"/>
              <w:left w:val="single" w:sz="4" w:space="0" w:color="000000"/>
              <w:bottom w:val="single" w:sz="4" w:space="0" w:color="000000"/>
              <w:right w:val="single" w:sz="4" w:space="0" w:color="000000"/>
            </w:tcBorders>
          </w:tcPr>
          <w:p w14:paraId="13041AD9"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To assess </w:t>
            </w:r>
          </w:p>
          <w:p w14:paraId="1F86A5E4"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quality of </w:t>
            </w:r>
          </w:p>
          <w:p w14:paraId="0B96D201"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lastRenderedPageBreak/>
              <w:t xml:space="preserve">life  </w:t>
            </w:r>
          </w:p>
        </w:tc>
        <w:tc>
          <w:tcPr>
            <w:tcW w:w="1500" w:type="dxa"/>
            <w:tcBorders>
              <w:top w:val="single" w:sz="4" w:space="0" w:color="000000"/>
              <w:left w:val="single" w:sz="4" w:space="0" w:color="000000"/>
              <w:bottom w:val="single" w:sz="4" w:space="0" w:color="000000"/>
              <w:right w:val="single" w:sz="4" w:space="0" w:color="000000"/>
            </w:tcBorders>
          </w:tcPr>
          <w:p w14:paraId="3403305A"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lastRenderedPageBreak/>
              <w:t xml:space="preserve">Quantitative  </w:t>
            </w:r>
          </w:p>
        </w:tc>
        <w:tc>
          <w:tcPr>
            <w:tcW w:w="1431" w:type="dxa"/>
            <w:tcBorders>
              <w:top w:val="single" w:sz="4" w:space="0" w:color="000000"/>
              <w:left w:val="single" w:sz="4" w:space="0" w:color="000000"/>
              <w:bottom w:val="single" w:sz="4" w:space="0" w:color="000000"/>
              <w:right w:val="single" w:sz="4" w:space="0" w:color="000000"/>
            </w:tcBorders>
          </w:tcPr>
          <w:p w14:paraId="7962CB2D" w14:textId="77777777"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 xml:space="preserve">UK </w:t>
            </w:r>
          </w:p>
        </w:tc>
        <w:tc>
          <w:tcPr>
            <w:tcW w:w="1591" w:type="dxa"/>
            <w:tcBorders>
              <w:top w:val="single" w:sz="4" w:space="0" w:color="000000"/>
              <w:left w:val="single" w:sz="4" w:space="0" w:color="000000"/>
              <w:bottom w:val="single" w:sz="4" w:space="0" w:color="000000"/>
              <w:right w:val="single" w:sz="4" w:space="0" w:color="000000"/>
            </w:tcBorders>
          </w:tcPr>
          <w:p w14:paraId="5E197F6C" w14:textId="02189E48" w:rsidR="00C71A55" w:rsidRPr="00D336F7" w:rsidRDefault="00B64D1A" w:rsidP="00D336F7">
            <w:pPr>
              <w:spacing w:after="0" w:line="360" w:lineRule="auto"/>
              <w:ind w:left="5" w:firstLine="0"/>
              <w:jc w:val="both"/>
              <w:rPr>
                <w:rFonts w:ascii="Arial" w:hAnsi="Arial" w:cs="Arial"/>
              </w:rPr>
            </w:pPr>
            <w:r w:rsidRPr="00D336F7">
              <w:rPr>
                <w:rFonts w:ascii="Arial" w:hAnsi="Arial" w:cs="Arial"/>
              </w:rPr>
              <w:t>Impact</w:t>
            </w:r>
            <w:r w:rsidR="0015441A" w:rsidRPr="00D336F7">
              <w:rPr>
                <w:rFonts w:ascii="Arial" w:hAnsi="Arial" w:cs="Arial"/>
              </w:rPr>
              <w:t xml:space="preserve"> </w:t>
            </w:r>
            <w:r w:rsidRPr="00D336F7">
              <w:rPr>
                <w:rFonts w:ascii="Arial" w:hAnsi="Arial" w:cs="Arial"/>
              </w:rPr>
              <w:t xml:space="preserve">of poor care  </w:t>
            </w:r>
          </w:p>
        </w:tc>
      </w:tr>
    </w:tbl>
    <w:p w14:paraId="3B9C90D9" w14:textId="77777777" w:rsidR="00C71A55" w:rsidRPr="00D336F7" w:rsidRDefault="00B64D1A" w:rsidP="00D336F7">
      <w:pPr>
        <w:spacing w:after="261" w:line="360" w:lineRule="auto"/>
        <w:ind w:left="0" w:firstLine="0"/>
        <w:jc w:val="both"/>
        <w:rPr>
          <w:rFonts w:ascii="Arial" w:hAnsi="Arial" w:cs="Arial"/>
        </w:rPr>
      </w:pPr>
      <w:r w:rsidRPr="00D336F7">
        <w:rPr>
          <w:rFonts w:ascii="Arial" w:hAnsi="Arial" w:cs="Arial"/>
        </w:rPr>
        <w:t xml:space="preserve"> </w:t>
      </w:r>
    </w:p>
    <w:p w14:paraId="006DAC6D" w14:textId="77777777" w:rsidR="00C71A55" w:rsidRPr="00D336F7" w:rsidRDefault="00B64D1A" w:rsidP="00D336F7">
      <w:pPr>
        <w:pStyle w:val="Heading2"/>
        <w:spacing w:after="155" w:line="360" w:lineRule="auto"/>
        <w:ind w:left="356"/>
        <w:jc w:val="both"/>
        <w:rPr>
          <w:rFonts w:ascii="Arial" w:hAnsi="Arial" w:cs="Arial"/>
          <w:b/>
          <w:bCs/>
          <w:color w:val="auto"/>
          <w:sz w:val="24"/>
        </w:rPr>
      </w:pPr>
      <w:bookmarkStart w:id="16" w:name="_Toc227710368"/>
      <w:bookmarkStart w:id="17" w:name="_Toc227710450"/>
      <w:r w:rsidRPr="00D336F7">
        <w:rPr>
          <w:rFonts w:ascii="Arial" w:hAnsi="Arial" w:cs="Arial"/>
          <w:color w:val="auto"/>
          <w:sz w:val="24"/>
        </w:rPr>
        <w:t>-</w:t>
      </w:r>
      <w:r w:rsidRPr="00D336F7">
        <w:rPr>
          <w:rFonts w:ascii="Arial" w:eastAsia="Arial" w:hAnsi="Arial" w:cs="Arial"/>
          <w:color w:val="auto"/>
          <w:sz w:val="24"/>
        </w:rPr>
        <w:t xml:space="preserve"> </w:t>
      </w:r>
      <w:r w:rsidRPr="00D336F7">
        <w:rPr>
          <w:rFonts w:ascii="Arial" w:hAnsi="Arial" w:cs="Arial"/>
          <w:b/>
          <w:bCs/>
          <w:color w:val="auto"/>
          <w:sz w:val="24"/>
        </w:rPr>
        <w:t>Thematic Analysis</w:t>
      </w:r>
      <w:bookmarkEnd w:id="16"/>
      <w:bookmarkEnd w:id="17"/>
      <w:r w:rsidRPr="00D336F7">
        <w:rPr>
          <w:rFonts w:ascii="Arial" w:hAnsi="Arial" w:cs="Arial"/>
          <w:b/>
          <w:bCs/>
          <w:color w:val="auto"/>
          <w:sz w:val="24"/>
        </w:rPr>
        <w:t xml:space="preserve">  </w:t>
      </w:r>
    </w:p>
    <w:p w14:paraId="0A7C920A" w14:textId="77777777" w:rsidR="00C71A55" w:rsidRPr="00D336F7" w:rsidRDefault="00B64D1A" w:rsidP="00D336F7">
      <w:pPr>
        <w:pStyle w:val="Heading3"/>
        <w:spacing w:line="360" w:lineRule="auto"/>
        <w:ind w:left="1076"/>
        <w:jc w:val="both"/>
        <w:rPr>
          <w:rFonts w:ascii="Arial" w:hAnsi="Arial" w:cs="Arial"/>
          <w:b/>
          <w:bCs/>
          <w:color w:val="auto"/>
          <w:sz w:val="24"/>
        </w:rPr>
      </w:pPr>
      <w:bookmarkStart w:id="18" w:name="_Toc227710369"/>
      <w:bookmarkStart w:id="19" w:name="_Toc227710451"/>
      <w:r w:rsidRPr="00D336F7">
        <w:rPr>
          <w:rFonts w:ascii="Arial" w:hAnsi="Arial" w:cs="Arial"/>
          <w:b/>
          <w:bCs/>
          <w:color w:val="auto"/>
          <w:sz w:val="24"/>
        </w:rPr>
        <w:t>1.</w:t>
      </w:r>
      <w:r w:rsidRPr="00D336F7">
        <w:rPr>
          <w:rFonts w:ascii="Arial" w:eastAsia="Arial" w:hAnsi="Arial" w:cs="Arial"/>
          <w:b/>
          <w:bCs/>
          <w:color w:val="auto"/>
          <w:sz w:val="24"/>
        </w:rPr>
        <w:t xml:space="preserve"> </w:t>
      </w:r>
      <w:r w:rsidRPr="00D336F7">
        <w:rPr>
          <w:rFonts w:ascii="Arial" w:hAnsi="Arial" w:cs="Arial"/>
          <w:b/>
          <w:bCs/>
          <w:color w:val="auto"/>
          <w:sz w:val="24"/>
        </w:rPr>
        <w:t>Theme 1: Delays in pain management</w:t>
      </w:r>
      <w:bookmarkEnd w:id="18"/>
      <w:bookmarkEnd w:id="19"/>
      <w:r w:rsidRPr="00D336F7">
        <w:rPr>
          <w:rFonts w:ascii="Arial" w:hAnsi="Arial" w:cs="Arial"/>
          <w:b/>
          <w:bCs/>
          <w:color w:val="auto"/>
          <w:sz w:val="24"/>
        </w:rPr>
        <w:t xml:space="preserve">  </w:t>
      </w:r>
    </w:p>
    <w:p w14:paraId="67FB4533"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Patients with sickle cell disease frequently experience delays in the administration of pain relief during acute episodes within NHS settings. Several studies highlighted that pain is often underestimated or not treated as a priority, despite national guidelines recommending rapid intervention. Tanabe et al. (2019) found significant disparities in the timelines of analgesia, while Darlington et al. (2020) reported that patients often feel their pain is not taken seriously by healthcare professionals. These delays can lead to worsening clinical outcomes and increased patient distress. </w:t>
      </w:r>
    </w:p>
    <w:p w14:paraId="2D9AAA61" w14:textId="77777777" w:rsidR="00C71A55" w:rsidRPr="00D336F7" w:rsidRDefault="00B64D1A" w:rsidP="00D336F7">
      <w:pPr>
        <w:spacing w:after="206" w:line="360" w:lineRule="auto"/>
        <w:ind w:left="-5" w:right="4"/>
        <w:jc w:val="both"/>
        <w:rPr>
          <w:rFonts w:ascii="Arial" w:hAnsi="Arial" w:cs="Arial"/>
        </w:rPr>
      </w:pPr>
      <w:r w:rsidRPr="00D336F7">
        <w:rPr>
          <w:rFonts w:ascii="Arial" w:hAnsi="Arial" w:cs="Arial"/>
        </w:rPr>
        <w:t xml:space="preserve">This theme is especially important because vaso-occlusive pain is one of the main reasons why individuals with SCD seek urgent care. Delayed treatment may increase physical suffering and may also reduce trust in healthcare providers. Repeated experiences of delay can shape how patients view NHS services and may discourage timely help-seeking in future episodes. </w:t>
      </w:r>
    </w:p>
    <w:p w14:paraId="21871C3D" w14:textId="77777777" w:rsidR="00C71A55" w:rsidRPr="00D336F7" w:rsidRDefault="00B64D1A" w:rsidP="00D336F7">
      <w:pPr>
        <w:pStyle w:val="Heading3"/>
        <w:spacing w:after="66" w:line="360" w:lineRule="auto"/>
        <w:ind w:left="0" w:right="313" w:firstLine="0"/>
        <w:jc w:val="both"/>
        <w:rPr>
          <w:rFonts w:ascii="Arial" w:hAnsi="Arial" w:cs="Arial"/>
          <w:b/>
          <w:bCs/>
          <w:color w:val="auto"/>
          <w:sz w:val="24"/>
        </w:rPr>
      </w:pPr>
      <w:bookmarkStart w:id="20" w:name="_Toc227710370"/>
      <w:bookmarkStart w:id="21" w:name="_Toc227710452"/>
      <w:r w:rsidRPr="00D336F7">
        <w:rPr>
          <w:rFonts w:ascii="Arial" w:hAnsi="Arial" w:cs="Arial"/>
          <w:b/>
          <w:bCs/>
          <w:color w:val="auto"/>
          <w:sz w:val="24"/>
        </w:rPr>
        <w:t>2.</w:t>
      </w:r>
      <w:r w:rsidRPr="00D336F7">
        <w:rPr>
          <w:rFonts w:ascii="Arial" w:eastAsia="Arial" w:hAnsi="Arial" w:cs="Arial"/>
          <w:b/>
          <w:bCs/>
          <w:color w:val="auto"/>
          <w:sz w:val="24"/>
        </w:rPr>
        <w:t xml:space="preserve"> </w:t>
      </w:r>
      <w:r w:rsidRPr="00D336F7">
        <w:rPr>
          <w:rFonts w:ascii="Arial" w:hAnsi="Arial" w:cs="Arial"/>
          <w:b/>
          <w:bCs/>
          <w:color w:val="auto"/>
          <w:sz w:val="24"/>
        </w:rPr>
        <w:t>Theme 2: Lack of specialist knowledge and services</w:t>
      </w:r>
      <w:bookmarkEnd w:id="20"/>
      <w:bookmarkEnd w:id="21"/>
      <w:r w:rsidRPr="00D336F7">
        <w:rPr>
          <w:rFonts w:ascii="Arial" w:hAnsi="Arial" w:cs="Arial"/>
          <w:b/>
          <w:bCs/>
          <w:color w:val="auto"/>
          <w:sz w:val="24"/>
        </w:rPr>
        <w:t xml:space="preserve">  </w:t>
      </w:r>
    </w:p>
    <w:p w14:paraId="57531132"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Another key theme identified is the lack of knowledge and experience among healthcare professionals in managing SCD. Osunkwo et al. (2020) highlighted that limited training contributes to inadequate care, particularly in non-specialist settings such as emergency departments. In addition, access to specialised haemoglobinopathy services is not consistent across regions, which results in variation in care quality. The 2024 study further emphasised that structural gaps in service provision contribute to unequal treatment across NHS settings.  </w:t>
      </w:r>
    </w:p>
    <w:p w14:paraId="28C79E7B" w14:textId="5E7593A3" w:rsidR="00C71A55" w:rsidRPr="00D336F7" w:rsidRDefault="00B64D1A" w:rsidP="00D336F7">
      <w:pPr>
        <w:spacing w:after="207" w:line="360" w:lineRule="auto"/>
        <w:ind w:left="-5" w:right="4"/>
        <w:jc w:val="both"/>
        <w:rPr>
          <w:rFonts w:ascii="Arial" w:hAnsi="Arial" w:cs="Arial"/>
        </w:rPr>
      </w:pPr>
      <w:r w:rsidRPr="00D336F7">
        <w:rPr>
          <w:rFonts w:ascii="Arial" w:hAnsi="Arial" w:cs="Arial"/>
        </w:rPr>
        <w:t xml:space="preserve">The literature also suggests that specialist knowledge is not equally available across all healthcare environments. Patients may receive more informed care in specialist </w:t>
      </w:r>
      <w:r w:rsidR="00D336F7" w:rsidRPr="00D336F7">
        <w:rPr>
          <w:rFonts w:ascii="Arial" w:hAnsi="Arial" w:cs="Arial"/>
        </w:rPr>
        <w:t>centers</w:t>
      </w:r>
      <w:r w:rsidRPr="00D336F7">
        <w:rPr>
          <w:rFonts w:ascii="Arial" w:hAnsi="Arial" w:cs="Arial"/>
        </w:rPr>
        <w:t xml:space="preserve">, but they often </w:t>
      </w:r>
      <w:r w:rsidR="00D336F7" w:rsidRPr="00D336F7">
        <w:rPr>
          <w:rFonts w:ascii="Arial" w:hAnsi="Arial" w:cs="Arial"/>
        </w:rPr>
        <w:t>present first</w:t>
      </w:r>
      <w:r w:rsidRPr="00D336F7">
        <w:rPr>
          <w:rFonts w:ascii="Arial" w:hAnsi="Arial" w:cs="Arial"/>
        </w:rPr>
        <w:t xml:space="preserve"> to non-specialist emergency departments where staff confidence and experience may be lower. This can create inconsistencies in assessment, treatment and onward referral. </w:t>
      </w:r>
    </w:p>
    <w:p w14:paraId="0D179D11" w14:textId="3BE3DB7D" w:rsidR="00C71A55" w:rsidRPr="00D336F7" w:rsidRDefault="00B64D1A" w:rsidP="00D336F7">
      <w:pPr>
        <w:pStyle w:val="Heading3"/>
        <w:spacing w:line="360" w:lineRule="auto"/>
        <w:ind w:left="0" w:firstLine="0"/>
        <w:jc w:val="both"/>
        <w:rPr>
          <w:rFonts w:ascii="Arial" w:hAnsi="Arial" w:cs="Arial"/>
          <w:b/>
          <w:bCs/>
          <w:color w:val="auto"/>
          <w:sz w:val="24"/>
        </w:rPr>
      </w:pPr>
      <w:bookmarkStart w:id="22" w:name="_Toc227710371"/>
      <w:bookmarkStart w:id="23" w:name="_Toc227710453"/>
      <w:r w:rsidRPr="00D336F7">
        <w:rPr>
          <w:rFonts w:ascii="Arial" w:hAnsi="Arial" w:cs="Arial"/>
          <w:b/>
          <w:bCs/>
          <w:color w:val="auto"/>
          <w:sz w:val="24"/>
        </w:rPr>
        <w:lastRenderedPageBreak/>
        <w:t>3.</w:t>
      </w:r>
      <w:r w:rsidRPr="00D336F7">
        <w:rPr>
          <w:rFonts w:ascii="Arial" w:eastAsia="Arial" w:hAnsi="Arial" w:cs="Arial"/>
          <w:b/>
          <w:bCs/>
          <w:color w:val="auto"/>
          <w:sz w:val="24"/>
        </w:rPr>
        <w:t xml:space="preserve"> </w:t>
      </w:r>
      <w:r w:rsidRPr="00D336F7">
        <w:rPr>
          <w:rFonts w:ascii="Arial" w:hAnsi="Arial" w:cs="Arial"/>
          <w:b/>
          <w:bCs/>
          <w:color w:val="auto"/>
          <w:sz w:val="24"/>
        </w:rPr>
        <w:t>Theme 3: Racial bias and patient experience</w:t>
      </w:r>
      <w:bookmarkEnd w:id="22"/>
      <w:bookmarkEnd w:id="23"/>
      <w:r w:rsidRPr="00D336F7">
        <w:rPr>
          <w:rFonts w:ascii="Arial" w:hAnsi="Arial" w:cs="Arial"/>
          <w:b/>
          <w:bCs/>
          <w:color w:val="auto"/>
          <w:sz w:val="24"/>
        </w:rPr>
        <w:t xml:space="preserve">  </w:t>
      </w:r>
    </w:p>
    <w:p w14:paraId="5DF15A7C"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Racial bias and negative patient experiences were also identified as significant contributors to inequalities in SCD care. Several studies reported that patients felt stigmatised or not believed when presenting with pain. Darlington et al. (2020) found that some patients perceived discriminatory attitudes, which affected their trust in healthcare services. These findings suggest that inequalities in SCD care are not only clinical but also influenced by broader social and institutional factors, including systemic racism within healthcare systems. </w:t>
      </w:r>
    </w:p>
    <w:p w14:paraId="0F292190" w14:textId="1C1BF6B2" w:rsidR="00C71A55" w:rsidRPr="00D336F7" w:rsidRDefault="00B64D1A" w:rsidP="00D336F7">
      <w:pPr>
        <w:spacing w:line="360" w:lineRule="auto"/>
        <w:ind w:left="-5" w:right="4"/>
        <w:jc w:val="both"/>
        <w:rPr>
          <w:rFonts w:ascii="Arial" w:hAnsi="Arial" w:cs="Arial"/>
        </w:rPr>
      </w:pPr>
      <w:r w:rsidRPr="00D336F7">
        <w:rPr>
          <w:rFonts w:ascii="Arial" w:hAnsi="Arial" w:cs="Arial"/>
        </w:rPr>
        <w:t>These experiences are significant because SCD is</w:t>
      </w:r>
      <w:r w:rsidR="0031220C" w:rsidRPr="00D336F7">
        <w:rPr>
          <w:rFonts w:ascii="Arial" w:hAnsi="Arial" w:cs="Arial"/>
        </w:rPr>
        <w:t xml:space="preserve"> a</w:t>
      </w:r>
      <w:r w:rsidRPr="00D336F7">
        <w:rPr>
          <w:rFonts w:ascii="Arial" w:hAnsi="Arial" w:cs="Arial"/>
        </w:rPr>
        <w:t xml:space="preserve"> lifelong condition that often requires repeated engagement with health services. Where patients feel disbelieved or stigmatised, confidence in care may weaken over time. This suggests that racial bias in SCD care is not only a matter of individual attitude, but also part of a wider structural context affecting service quality and patient safety. </w:t>
      </w:r>
    </w:p>
    <w:p w14:paraId="37F954F9" w14:textId="77777777" w:rsidR="00C71A55" w:rsidRPr="00D336F7" w:rsidRDefault="00B64D1A" w:rsidP="00D336F7">
      <w:pPr>
        <w:pStyle w:val="Heading1"/>
        <w:spacing w:line="360" w:lineRule="auto"/>
        <w:ind w:left="-5"/>
        <w:jc w:val="both"/>
        <w:rPr>
          <w:rFonts w:ascii="Arial" w:hAnsi="Arial" w:cs="Arial"/>
          <w:b/>
          <w:bCs/>
          <w:sz w:val="24"/>
        </w:rPr>
      </w:pPr>
      <w:bookmarkStart w:id="24" w:name="_Toc227710372"/>
      <w:bookmarkStart w:id="25" w:name="_Toc227710454"/>
      <w:r w:rsidRPr="00D336F7">
        <w:rPr>
          <w:rFonts w:ascii="Arial" w:hAnsi="Arial" w:cs="Arial"/>
          <w:b/>
          <w:bCs/>
          <w:color w:val="auto"/>
          <w:sz w:val="24"/>
        </w:rPr>
        <w:t>Discussion</w:t>
      </w:r>
      <w:bookmarkEnd w:id="24"/>
      <w:bookmarkEnd w:id="25"/>
      <w:r w:rsidRPr="00D336F7">
        <w:rPr>
          <w:rFonts w:ascii="Arial" w:hAnsi="Arial" w:cs="Arial"/>
          <w:b/>
          <w:bCs/>
          <w:sz w:val="24"/>
        </w:rPr>
        <w:t xml:space="preserve"> </w:t>
      </w:r>
    </w:p>
    <w:p w14:paraId="733DAF1E"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The findings of this scoping review indicate that significant inequalities exist in the treatment and management of sickle cell disease (SCD) within the National Health Service (NHS) in the United Kingdom. Across the selected studies, common issues included delays in pain management, limited access to specialist services, gaps in healthcare professionals’ knowledge and negative patient experiences. These findings directly address the review question by demonstrating that inequalities are present at multiple levels of care, particularly during acute episodes where timely and appropriate treatment is critical. Despite the existence of national guidelines and specialised services, the evidence suggests that patients with SCD do not consistently receive equitable care within NHS settings. </w:t>
      </w:r>
    </w:p>
    <w:p w14:paraId="207409DC" w14:textId="4A57BDFF"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A key issue identified in this review is the persistence of structural and institutional factors that contribute to unequal care. Delays in pain management, for example, may reflect not only clinical challenges but also underlying attitudes towards patients presenting with SCD. Some studies suggest that patients’ reports of pain are sometimes questioned or underestimated, which may be linked to racialised assumptions and implicit bias within healthcare settings. This highlights the role of systemic inequalities in shaping patient experiences and outcomes. In addition, variations in access to specialised haemoglobinopathy services suggest that </w:t>
      </w:r>
      <w:r w:rsidRPr="00D336F7">
        <w:rPr>
          <w:rFonts w:ascii="Arial" w:hAnsi="Arial" w:cs="Arial"/>
        </w:rPr>
        <w:lastRenderedPageBreak/>
        <w:t xml:space="preserve">geographical location may influence the quality of care received, further reinforcing disparities within the NHS. These findings </w:t>
      </w:r>
      <w:r w:rsidR="0031220C" w:rsidRPr="00D336F7">
        <w:rPr>
          <w:rFonts w:ascii="Arial" w:hAnsi="Arial" w:cs="Arial"/>
        </w:rPr>
        <w:t>suggest</w:t>
      </w:r>
      <w:r w:rsidRPr="00D336F7">
        <w:rPr>
          <w:rFonts w:ascii="Arial" w:hAnsi="Arial" w:cs="Arial"/>
        </w:rPr>
        <w:t xml:space="preserve"> that inequalities in SCD care are not solely due to individual factors but are embedded within wider organisational and social structures.  </w:t>
      </w:r>
    </w:p>
    <w:p w14:paraId="1EAB0F6C" w14:textId="7228D0C2"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These findings are important </w:t>
      </w:r>
      <w:r w:rsidR="0031220C" w:rsidRPr="00D336F7">
        <w:rPr>
          <w:rFonts w:ascii="Arial" w:hAnsi="Arial" w:cs="Arial"/>
        </w:rPr>
        <w:t xml:space="preserve">as </w:t>
      </w:r>
      <w:r w:rsidRPr="00D336F7">
        <w:rPr>
          <w:rFonts w:ascii="Arial" w:hAnsi="Arial" w:cs="Arial"/>
        </w:rPr>
        <w:t xml:space="preserve">they </w:t>
      </w:r>
      <w:r w:rsidR="0031220C" w:rsidRPr="00D336F7">
        <w:rPr>
          <w:rFonts w:ascii="Arial" w:hAnsi="Arial" w:cs="Arial"/>
        </w:rPr>
        <w:t>demonstrate</w:t>
      </w:r>
      <w:r w:rsidRPr="00D336F7">
        <w:rPr>
          <w:rFonts w:ascii="Arial" w:hAnsi="Arial" w:cs="Arial"/>
        </w:rPr>
        <w:t xml:space="preserve"> that inequalities in SCD care are not isolated incidents. Instead, they appear as recurring patterns linked to service organisation, staff knowledge and patient-provider interaction. In this sense, inequality in SCD care may be understood as both structural and cumulative, because repeated negative experiences may intensify disadvantage over time. </w:t>
      </w:r>
    </w:p>
    <w:p w14:paraId="237B5530" w14:textId="46F6376F"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The implications of these findings for health and social care are significant. Inequalities in SCD management can lead to poorer clinical outcomes, increased hospital admissions and reduced quality of life for patients. Delayed or inadequate pain management can result in severe complications and psychological distress. From a </w:t>
      </w:r>
      <w:r w:rsidR="00D336F7" w:rsidRPr="00D336F7">
        <w:rPr>
          <w:rFonts w:ascii="Arial" w:hAnsi="Arial" w:cs="Arial"/>
        </w:rPr>
        <w:t>healthcare</w:t>
      </w:r>
      <w:r w:rsidRPr="00D336F7">
        <w:rPr>
          <w:rFonts w:ascii="Arial" w:hAnsi="Arial" w:cs="Arial"/>
        </w:rPr>
        <w:t xml:space="preserve"> perspective, inconsistencies in care may increase the burden on emergency services and contribute to inefficiencies within the NHS. Addressing these issues is therefore essential not only to improve patient outcomes but also to promote equity and quality within healthcare delivery. Improving professional education, increasing awareness of SCD and ensuring adherence to clinical guidelines are key steps that may help reduce these disparities. From a health and social care perspective, the review also highlights the need for culturally competent practice and professional reflection. Staff working in emergency, community and specialist settings require not only clinical knowledge of SCD but also an understanding of how bias, communication and institutional culture may shape patient experience and access to care. </w:t>
      </w:r>
    </w:p>
    <w:p w14:paraId="4D7FD9B2" w14:textId="2503D04F" w:rsidR="00C71A55" w:rsidRPr="00D336F7" w:rsidRDefault="00B64D1A" w:rsidP="00D336F7">
      <w:pPr>
        <w:spacing w:after="521" w:line="360" w:lineRule="auto"/>
        <w:ind w:left="-5" w:right="4"/>
        <w:jc w:val="both"/>
        <w:rPr>
          <w:rFonts w:ascii="Arial" w:hAnsi="Arial" w:cs="Arial"/>
        </w:rPr>
      </w:pPr>
      <w:r w:rsidRPr="00D336F7">
        <w:rPr>
          <w:rFonts w:ascii="Arial" w:hAnsi="Arial" w:cs="Arial"/>
        </w:rPr>
        <w:t>However, several limitations should be acknowledged. First, this review included a relatively small number of studies, which may limit the generalisability of the findings. Second, the focus on UK-based research, while necessary to meet the aims of the study, may exclude relevant insights from international literature. Third, as a scoping review, this study aimed to map the available evidence rather than provide a detailed critical appraisal of every included study, which may limit the depth of analysis. Despite these limitations, the review provides a useful overview of the nature and extent of</w:t>
      </w:r>
      <w:r w:rsidR="00D336F7">
        <w:rPr>
          <w:rFonts w:ascii="Arial" w:hAnsi="Arial" w:cs="Arial"/>
        </w:rPr>
        <w:t xml:space="preserve"> </w:t>
      </w:r>
      <w:r w:rsidRPr="00D336F7">
        <w:rPr>
          <w:rFonts w:ascii="Arial" w:hAnsi="Arial" w:cs="Arial"/>
        </w:rPr>
        <w:lastRenderedPageBreak/>
        <w:t xml:space="preserve">inequalities in SCD care within the NHS and identifies areas requiring further attention in policy, practice and research.  </w:t>
      </w:r>
    </w:p>
    <w:p w14:paraId="3CCF518A" w14:textId="77777777" w:rsidR="00C71A55" w:rsidRPr="00D336F7" w:rsidRDefault="00B64D1A" w:rsidP="00D336F7">
      <w:pPr>
        <w:pStyle w:val="Heading1"/>
        <w:spacing w:line="360" w:lineRule="auto"/>
        <w:ind w:left="-5"/>
        <w:jc w:val="both"/>
        <w:rPr>
          <w:rFonts w:ascii="Arial" w:hAnsi="Arial" w:cs="Arial"/>
          <w:b/>
          <w:bCs/>
          <w:color w:val="auto"/>
          <w:sz w:val="24"/>
        </w:rPr>
      </w:pPr>
      <w:bookmarkStart w:id="26" w:name="_Toc227710373"/>
      <w:bookmarkStart w:id="27" w:name="_Toc227710455"/>
      <w:r w:rsidRPr="00D336F7">
        <w:rPr>
          <w:rFonts w:ascii="Arial" w:hAnsi="Arial" w:cs="Arial"/>
          <w:b/>
          <w:bCs/>
          <w:color w:val="auto"/>
          <w:sz w:val="24"/>
        </w:rPr>
        <w:t>Conclusion and Recommendations</w:t>
      </w:r>
      <w:bookmarkEnd w:id="26"/>
      <w:bookmarkEnd w:id="27"/>
      <w:r w:rsidRPr="00D336F7">
        <w:rPr>
          <w:rFonts w:ascii="Arial" w:hAnsi="Arial" w:cs="Arial"/>
          <w:b/>
          <w:bCs/>
          <w:color w:val="auto"/>
          <w:sz w:val="24"/>
        </w:rPr>
        <w:t xml:space="preserve"> </w:t>
      </w:r>
    </w:p>
    <w:p w14:paraId="7877E6BB" w14:textId="77777777" w:rsidR="00C71A55" w:rsidRPr="00D336F7" w:rsidRDefault="00B64D1A" w:rsidP="00D336F7">
      <w:pPr>
        <w:spacing w:after="181" w:line="360" w:lineRule="auto"/>
        <w:ind w:left="-5"/>
        <w:jc w:val="both"/>
        <w:rPr>
          <w:rFonts w:ascii="Arial" w:hAnsi="Arial" w:cs="Arial"/>
        </w:rPr>
      </w:pPr>
      <w:r w:rsidRPr="00D336F7">
        <w:rPr>
          <w:rFonts w:ascii="Arial" w:hAnsi="Arial" w:cs="Arial"/>
          <w:b/>
        </w:rPr>
        <w:t xml:space="preserve">Conclusion  </w:t>
      </w:r>
    </w:p>
    <w:p w14:paraId="2ADB9EB4"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This scoping review has demonstrated that inequalities in the treatment and management of sickle cell disease (SCD) persist within the National Health Service (NHS) in the United Kingdom. The findings highlight that patients with SCD continue to experience delays in pain management, inconsistent access to specialist services and negative healthcare experiences. These inequalities occur despite the presence of national clinical guidelines and specialised care pathways, suggesting a gap between policy and practice within NHS settings.  </w:t>
      </w:r>
    </w:p>
    <w:p w14:paraId="4613A4E0" w14:textId="5D98CB6F"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The review question (what inequalities exist in the treatment and management of sickle cell disease within the NHS) can therefore be </w:t>
      </w:r>
      <w:r w:rsidR="0031220C" w:rsidRPr="00D336F7">
        <w:rPr>
          <w:rFonts w:ascii="Arial" w:hAnsi="Arial" w:cs="Arial"/>
        </w:rPr>
        <w:t>addressed</w:t>
      </w:r>
      <w:r w:rsidRPr="00D336F7">
        <w:rPr>
          <w:rFonts w:ascii="Arial" w:hAnsi="Arial" w:cs="Arial"/>
        </w:rPr>
        <w:t xml:space="preserve"> by identifying multiple and interconnected forms of disparity. These include clinical inequalities, such as delays in analgesia; organisational inequalities, such as inconsistent service provision; and social inequalities, including the effects of racial bias and discrimination. Together, these factors contribute to unequal health outcomes and reduced quality of care for individuals living with SCD</w:t>
      </w:r>
      <w:r w:rsidR="0031220C" w:rsidRPr="00D336F7">
        <w:rPr>
          <w:rFonts w:ascii="Arial" w:hAnsi="Arial" w:cs="Arial"/>
        </w:rPr>
        <w:t>.</w:t>
      </w:r>
      <w:r w:rsidRPr="00D336F7">
        <w:rPr>
          <w:rFonts w:ascii="Arial" w:hAnsi="Arial" w:cs="Arial"/>
        </w:rPr>
        <w:t xml:space="preserve">  </w:t>
      </w:r>
    </w:p>
    <w:p w14:paraId="7AA8F34C" w14:textId="77777777" w:rsidR="00C71A55" w:rsidRPr="00D336F7" w:rsidRDefault="00B64D1A" w:rsidP="00D336F7">
      <w:pPr>
        <w:spacing w:after="181" w:line="360" w:lineRule="auto"/>
        <w:ind w:left="-5"/>
        <w:jc w:val="both"/>
        <w:rPr>
          <w:rFonts w:ascii="Arial" w:hAnsi="Arial" w:cs="Arial"/>
        </w:rPr>
      </w:pPr>
      <w:r w:rsidRPr="00D336F7">
        <w:rPr>
          <w:rFonts w:ascii="Arial" w:hAnsi="Arial" w:cs="Arial"/>
          <w:b/>
        </w:rPr>
        <w:t xml:space="preserve">Recommendations  </w:t>
      </w:r>
    </w:p>
    <w:p w14:paraId="3E8AA737"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Based on the findings of this review, several recommendations can be made to improve equity in SCD care within the NHS. </w:t>
      </w:r>
    </w:p>
    <w:p w14:paraId="683DC584"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First, there is a need for improved education and training for healthcare professionals, particularly in emergency care settings. Increasing awareness and understanding of SCD can help ensure that patients receive timely and appropriate treatment, especially during acute pain episodes. </w:t>
      </w:r>
    </w:p>
    <w:p w14:paraId="24CF3F4F"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Second, access to specialised haemoglobinopathy services should be strengthened and made more consistent across regions. Reducing geographical variation in care would support more equitable service provision and improve patient outcomes. </w:t>
      </w:r>
    </w:p>
    <w:p w14:paraId="3DBC71D2" w14:textId="77777777" w:rsidR="00C71A55" w:rsidRPr="00D336F7" w:rsidRDefault="00B64D1A" w:rsidP="00D336F7">
      <w:pPr>
        <w:spacing w:line="360" w:lineRule="auto"/>
        <w:ind w:left="-5" w:right="4"/>
        <w:jc w:val="both"/>
        <w:rPr>
          <w:rFonts w:ascii="Arial" w:hAnsi="Arial" w:cs="Arial"/>
        </w:rPr>
      </w:pPr>
      <w:r w:rsidRPr="00D336F7">
        <w:rPr>
          <w:rFonts w:ascii="Arial" w:hAnsi="Arial" w:cs="Arial"/>
        </w:rPr>
        <w:lastRenderedPageBreak/>
        <w:t xml:space="preserve">Third, greater emphasis should be placed on adherence to national guidelines, such as those provided by NICE. Ensuring that clinical standards are consistently implemented in practice is essential to reducing delays in treatment and improving patient care. </w:t>
      </w:r>
    </w:p>
    <w:p w14:paraId="7601236D" w14:textId="5C2BB748"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Finally, addressing structural and institutional inequalities within healthcare is crucial. This includes recognising and challenging racial bias, promoting culturally competent care and ensuring that patient voices are heard and valued within healthcare settings. </w:t>
      </w:r>
    </w:p>
    <w:p w14:paraId="24B8F20E" w14:textId="77777777" w:rsidR="00C71A55" w:rsidRPr="00D336F7" w:rsidRDefault="00B64D1A" w:rsidP="00D336F7">
      <w:pPr>
        <w:spacing w:after="516" w:line="360" w:lineRule="auto"/>
        <w:ind w:left="-5" w:right="4"/>
        <w:jc w:val="both"/>
        <w:rPr>
          <w:rFonts w:ascii="Arial" w:hAnsi="Arial" w:cs="Arial"/>
        </w:rPr>
      </w:pPr>
      <w:r w:rsidRPr="00D336F7">
        <w:rPr>
          <w:rFonts w:ascii="Arial" w:hAnsi="Arial" w:cs="Arial"/>
        </w:rPr>
        <w:t xml:space="preserve">In addition, further UK-based research is needed to examine patient experience, regional variation in service quality and the implementation of national standards for SCD care. Strengthening the evidence base would support more targeted improvements in both policy and professional practice. </w:t>
      </w:r>
    </w:p>
    <w:p w14:paraId="662ABFDA" w14:textId="77777777" w:rsidR="00C71A55" w:rsidRPr="00D336F7" w:rsidRDefault="00B64D1A" w:rsidP="00D336F7">
      <w:pPr>
        <w:pStyle w:val="Heading1"/>
        <w:spacing w:line="360" w:lineRule="auto"/>
        <w:ind w:left="-5"/>
        <w:jc w:val="both"/>
        <w:rPr>
          <w:rFonts w:ascii="Arial" w:hAnsi="Arial" w:cs="Arial"/>
          <w:b/>
          <w:bCs/>
          <w:sz w:val="24"/>
        </w:rPr>
      </w:pPr>
      <w:bookmarkStart w:id="28" w:name="_Toc227710374"/>
      <w:bookmarkStart w:id="29" w:name="_Toc227710456"/>
      <w:r w:rsidRPr="00D336F7">
        <w:rPr>
          <w:rFonts w:ascii="Arial" w:hAnsi="Arial" w:cs="Arial"/>
          <w:b/>
          <w:bCs/>
          <w:color w:val="auto"/>
          <w:sz w:val="24"/>
        </w:rPr>
        <w:t>References</w:t>
      </w:r>
      <w:bookmarkEnd w:id="28"/>
      <w:bookmarkEnd w:id="29"/>
      <w:r w:rsidRPr="00D336F7">
        <w:rPr>
          <w:rFonts w:ascii="Arial" w:hAnsi="Arial" w:cs="Arial"/>
          <w:b/>
          <w:bCs/>
          <w:sz w:val="24"/>
        </w:rPr>
        <w:t xml:space="preserve">  </w:t>
      </w:r>
    </w:p>
    <w:p w14:paraId="05B17E62" w14:textId="6DB89781" w:rsidR="00C71A55" w:rsidRPr="00D336F7" w:rsidRDefault="00B64D1A" w:rsidP="00D336F7">
      <w:pPr>
        <w:spacing w:after="162" w:line="360" w:lineRule="auto"/>
        <w:ind w:left="-5"/>
        <w:jc w:val="both"/>
        <w:rPr>
          <w:rFonts w:ascii="Arial" w:hAnsi="Arial" w:cs="Arial"/>
        </w:rPr>
      </w:pPr>
      <w:r w:rsidRPr="00D336F7">
        <w:rPr>
          <w:rFonts w:ascii="Arial" w:hAnsi="Arial" w:cs="Arial"/>
        </w:rPr>
        <w:t xml:space="preserve">Atkin, K., Ahmad, W.I.U. and Anionwu, E. (2019) ‘Screening and counselling for sickle cell disorders and thalassaemia: the experience of parents and health professionals’, Social Science &amp; Medicine, 223, pp. 1–8.  </w:t>
      </w:r>
    </w:p>
    <w:p w14:paraId="088F9C05" w14:textId="594BA88B" w:rsidR="00C71A55" w:rsidRPr="00D336F7" w:rsidRDefault="00B64D1A" w:rsidP="00D336F7">
      <w:pPr>
        <w:spacing w:after="162" w:line="360" w:lineRule="auto"/>
        <w:ind w:left="-5"/>
        <w:jc w:val="both"/>
        <w:rPr>
          <w:rFonts w:ascii="Arial" w:hAnsi="Arial" w:cs="Arial"/>
        </w:rPr>
      </w:pPr>
      <w:r w:rsidRPr="00D336F7">
        <w:rPr>
          <w:rFonts w:ascii="Arial" w:hAnsi="Arial" w:cs="Arial"/>
        </w:rPr>
        <w:t xml:space="preserve">Darlington, M., et al. (2020) ‘Health inequalities and access to care for people with sickle cell disease in the UK’, British Journal of Haematology, 190(5), pp. 724–731. </w:t>
      </w:r>
    </w:p>
    <w:p w14:paraId="1130EF77" w14:textId="48F44C3F" w:rsidR="00C71A55" w:rsidRPr="00D336F7" w:rsidRDefault="00B64D1A" w:rsidP="00D336F7">
      <w:pPr>
        <w:spacing w:after="154" w:line="360" w:lineRule="auto"/>
        <w:ind w:left="-5" w:right="13"/>
        <w:jc w:val="both"/>
        <w:rPr>
          <w:rFonts w:ascii="Arial" w:hAnsi="Arial" w:cs="Arial"/>
        </w:rPr>
      </w:pPr>
      <w:r w:rsidRPr="00D336F7">
        <w:rPr>
          <w:rFonts w:ascii="Arial" w:hAnsi="Arial" w:cs="Arial"/>
        </w:rPr>
        <w:t xml:space="preserve">National Institute for Health and Care Excellence (NICE) (2012) Sickle cell acute painful episode: management. Available at: </w:t>
      </w:r>
      <w:hyperlink r:id="rId7">
        <w:r w:rsidRPr="00D336F7">
          <w:rPr>
            <w:rFonts w:ascii="Arial" w:hAnsi="Arial" w:cs="Arial"/>
            <w:color w:val="467886"/>
            <w:u w:val="single" w:color="467886"/>
          </w:rPr>
          <w:t>https://www.nice.org.uk/guidance/cg143</w:t>
        </w:r>
      </w:hyperlink>
      <w:hyperlink r:id="rId8">
        <w:r w:rsidRPr="00D336F7">
          <w:rPr>
            <w:rFonts w:ascii="Arial" w:hAnsi="Arial" w:cs="Arial"/>
          </w:rPr>
          <w:t xml:space="preserve"> </w:t>
        </w:r>
      </w:hyperlink>
      <w:r w:rsidRPr="00D336F7">
        <w:rPr>
          <w:rFonts w:ascii="Arial" w:hAnsi="Arial" w:cs="Arial"/>
        </w:rPr>
        <w:t xml:space="preserve">(Accessed: 15 April 2026). </w:t>
      </w:r>
    </w:p>
    <w:p w14:paraId="6E0063EA" w14:textId="5F1DE1B4" w:rsidR="00C71A55" w:rsidRPr="00D336F7" w:rsidRDefault="00B64D1A" w:rsidP="00D336F7">
      <w:pPr>
        <w:spacing w:line="360" w:lineRule="auto"/>
        <w:ind w:left="2" w:right="4" w:firstLine="0"/>
        <w:jc w:val="both"/>
        <w:rPr>
          <w:rFonts w:ascii="Arial" w:hAnsi="Arial" w:cs="Arial"/>
        </w:rPr>
      </w:pPr>
      <w:r w:rsidRPr="00D336F7">
        <w:rPr>
          <w:rFonts w:ascii="Arial" w:hAnsi="Arial" w:cs="Arial"/>
        </w:rPr>
        <w:t xml:space="preserve">NHS England (2023) Specialised haemoglobinopathy services. Available at: </w:t>
      </w:r>
      <w:hyperlink r:id="rId9">
        <w:r w:rsidRPr="00D336F7">
          <w:rPr>
            <w:rFonts w:ascii="Arial" w:hAnsi="Arial" w:cs="Arial"/>
            <w:color w:val="467886"/>
            <w:u w:val="single" w:color="467886"/>
          </w:rPr>
          <w:t>https://www.england.nhs.uk</w:t>
        </w:r>
      </w:hyperlink>
      <w:hyperlink r:id="rId10">
        <w:r w:rsidRPr="00D336F7">
          <w:rPr>
            <w:rFonts w:ascii="Arial" w:hAnsi="Arial" w:cs="Arial"/>
          </w:rPr>
          <w:t xml:space="preserve"> </w:t>
        </w:r>
      </w:hyperlink>
      <w:r w:rsidRPr="00D336F7">
        <w:rPr>
          <w:rFonts w:ascii="Arial" w:hAnsi="Arial" w:cs="Arial"/>
        </w:rPr>
        <w:t xml:space="preserve">(Accessed: 15 April 2026).  </w:t>
      </w:r>
    </w:p>
    <w:p w14:paraId="21D1F8AA" w14:textId="01FE503E" w:rsidR="00C71A55" w:rsidRPr="00D336F7" w:rsidRDefault="00B64D1A" w:rsidP="00D336F7">
      <w:pPr>
        <w:spacing w:after="162" w:line="360" w:lineRule="auto"/>
        <w:ind w:left="-5"/>
        <w:jc w:val="both"/>
        <w:rPr>
          <w:rFonts w:ascii="Arial" w:hAnsi="Arial" w:cs="Arial"/>
        </w:rPr>
      </w:pPr>
      <w:r w:rsidRPr="00D336F7">
        <w:rPr>
          <w:rFonts w:ascii="Arial" w:hAnsi="Arial" w:cs="Arial"/>
        </w:rPr>
        <w:t xml:space="preserve">Osunkwo, I., et al. (2020) ‘Barriers to care for patients with sickle cell disease’, British Journal of Haematology, 190(5), pp. 713–722. </w:t>
      </w:r>
    </w:p>
    <w:p w14:paraId="3D39B919" w14:textId="37BA24D4" w:rsidR="00C71A55" w:rsidRPr="00D336F7" w:rsidRDefault="00B64D1A" w:rsidP="00D336F7">
      <w:pPr>
        <w:spacing w:line="360" w:lineRule="auto"/>
        <w:ind w:left="-5" w:right="4"/>
        <w:jc w:val="both"/>
        <w:rPr>
          <w:rFonts w:ascii="Arial" w:hAnsi="Arial" w:cs="Arial"/>
        </w:rPr>
      </w:pPr>
      <w:r w:rsidRPr="00D336F7">
        <w:rPr>
          <w:rFonts w:ascii="Arial" w:hAnsi="Arial" w:cs="Arial"/>
        </w:rPr>
        <w:t xml:space="preserve">Rees, D.C., Williams, T.N. and Gladwin, M.T. (2019) ‘Sickle-cell disease’, The Lancet, 394(10209), pp. 2018–2031. </w:t>
      </w:r>
    </w:p>
    <w:p w14:paraId="1CE85155" w14:textId="24DBDE5C" w:rsidR="00C71A55" w:rsidRPr="00D336F7" w:rsidRDefault="00B64D1A" w:rsidP="00D336F7">
      <w:pPr>
        <w:spacing w:after="162" w:line="360" w:lineRule="auto"/>
        <w:ind w:left="-5"/>
        <w:jc w:val="both"/>
        <w:rPr>
          <w:rFonts w:ascii="Arial" w:hAnsi="Arial" w:cs="Arial"/>
        </w:rPr>
      </w:pPr>
      <w:r w:rsidRPr="00D336F7">
        <w:rPr>
          <w:rFonts w:ascii="Arial" w:hAnsi="Arial" w:cs="Arial"/>
        </w:rPr>
        <w:t xml:space="preserve">Tanabe, P., Hafner, J.W. and Martinovich, Z. (2019) ‘Pain treatment disparities in sickle cell disease’, Journal of Pain Research, 12, pp. 123–132. </w:t>
      </w:r>
    </w:p>
    <w:p w14:paraId="1784ECB8" w14:textId="77777777" w:rsidR="00C71A55" w:rsidRPr="00D336F7" w:rsidRDefault="00B64D1A" w:rsidP="00D336F7">
      <w:pPr>
        <w:spacing w:after="6" w:line="360" w:lineRule="auto"/>
        <w:ind w:left="-5" w:right="4"/>
        <w:jc w:val="both"/>
        <w:rPr>
          <w:rFonts w:ascii="Arial" w:hAnsi="Arial" w:cs="Arial"/>
        </w:rPr>
      </w:pPr>
      <w:r w:rsidRPr="00D336F7">
        <w:rPr>
          <w:rFonts w:ascii="Arial" w:hAnsi="Arial" w:cs="Arial"/>
        </w:rPr>
        <w:lastRenderedPageBreak/>
        <w:t xml:space="preserve">All-Party Parliamentary Group on Sickle Cell and Thalassaemia (2021) No One’s Listening: An inquiry into sickle cell care in England. Available at: </w:t>
      </w:r>
    </w:p>
    <w:p w14:paraId="20DA53E9" w14:textId="4B66B911" w:rsidR="00C71A55" w:rsidRPr="00D336F7" w:rsidRDefault="00B64D1A" w:rsidP="00D336F7">
      <w:pPr>
        <w:spacing w:after="174" w:line="360" w:lineRule="auto"/>
        <w:ind w:left="-5"/>
        <w:jc w:val="both"/>
        <w:rPr>
          <w:rFonts w:ascii="Arial" w:hAnsi="Arial" w:cs="Arial"/>
        </w:rPr>
      </w:pPr>
      <w:hyperlink r:id="rId11">
        <w:r w:rsidRPr="00D336F7">
          <w:rPr>
            <w:rFonts w:ascii="Arial" w:hAnsi="Arial" w:cs="Arial"/>
            <w:color w:val="467886"/>
            <w:u w:val="single" w:color="467886"/>
          </w:rPr>
          <w:t>https://www.sicklecellsociety.org</w:t>
        </w:r>
      </w:hyperlink>
      <w:hyperlink r:id="rId12">
        <w:r w:rsidRPr="00D336F7">
          <w:rPr>
            <w:rFonts w:ascii="Arial" w:hAnsi="Arial" w:cs="Arial"/>
          </w:rPr>
          <w:t xml:space="preserve"> </w:t>
        </w:r>
      </w:hyperlink>
      <w:r w:rsidRPr="00D336F7">
        <w:rPr>
          <w:rFonts w:ascii="Arial" w:hAnsi="Arial" w:cs="Arial"/>
        </w:rPr>
        <w:t xml:space="preserve">(Accessed: 18 April 2026). </w:t>
      </w:r>
    </w:p>
    <w:p w14:paraId="788919A2" w14:textId="3395A0BF" w:rsidR="00C71A55" w:rsidRPr="00D336F7" w:rsidRDefault="00EC5FFA" w:rsidP="00D336F7">
      <w:pPr>
        <w:spacing w:after="179" w:line="360" w:lineRule="auto"/>
        <w:ind w:left="0" w:firstLine="0"/>
        <w:jc w:val="both"/>
        <w:rPr>
          <w:rFonts w:ascii="Arial" w:hAnsi="Arial" w:cs="Arial"/>
        </w:rPr>
      </w:pPr>
      <w:r w:rsidRPr="00D336F7">
        <w:rPr>
          <w:rFonts w:ascii="Arial" w:hAnsi="Arial" w:cs="Arial"/>
        </w:rPr>
        <w:t xml:space="preserve">Aljuburi, G., et al. (2019) ‘Health-related quality of life in patients with sickle cell disease’, Health and Quality of Life Outcomes, 17(1), pp. 1–9. Available at: </w:t>
      </w:r>
      <w:hyperlink r:id="rId13" w:history="1">
        <w:r w:rsidRPr="00D336F7">
          <w:rPr>
            <w:rStyle w:val="Hyperlink"/>
            <w:rFonts w:ascii="Arial" w:hAnsi="Arial" w:cs="Arial"/>
          </w:rPr>
          <w:t>https://link.springer.com/article/10.1186/s12955-019-1136-7</w:t>
        </w:r>
      </w:hyperlink>
      <w:r w:rsidRPr="00D336F7">
        <w:rPr>
          <w:rFonts w:ascii="Arial" w:hAnsi="Arial" w:cs="Arial"/>
        </w:rPr>
        <w:t xml:space="preserve"> (Accessed: 18 April 2026).</w:t>
      </w:r>
      <w:r w:rsidR="00B64D1A" w:rsidRPr="00D336F7">
        <w:rPr>
          <w:rFonts w:ascii="Arial" w:hAnsi="Arial" w:cs="Arial"/>
        </w:rPr>
        <w:t xml:space="preserve"> </w:t>
      </w:r>
    </w:p>
    <w:p w14:paraId="2435C3FB" w14:textId="5C413BEC" w:rsidR="00C71A55" w:rsidRPr="00D336F7" w:rsidRDefault="00EC5FFA" w:rsidP="00D336F7">
      <w:pPr>
        <w:spacing w:after="179" w:line="360" w:lineRule="auto"/>
        <w:ind w:left="0" w:firstLine="0"/>
        <w:jc w:val="both"/>
        <w:rPr>
          <w:rFonts w:ascii="Arial" w:hAnsi="Arial" w:cs="Arial"/>
        </w:rPr>
      </w:pPr>
      <w:r w:rsidRPr="00D336F7">
        <w:rPr>
          <w:rFonts w:ascii="Arial" w:hAnsi="Arial" w:cs="Arial"/>
        </w:rPr>
        <w:t xml:space="preserve">Ghosh, S., et al. (2024) ‘Inequalities in the treatment and management of sickle cell disease’, Journal of Advanced Nursing. Available at: </w:t>
      </w:r>
      <w:hyperlink r:id="rId14" w:history="1">
        <w:r w:rsidRPr="00D336F7">
          <w:rPr>
            <w:rStyle w:val="Hyperlink"/>
            <w:rFonts w:ascii="Arial" w:hAnsi="Arial" w:cs="Arial"/>
          </w:rPr>
          <w:t>https://www.sciencedirect.com/science/article/pii/S0149291824002868</w:t>
        </w:r>
      </w:hyperlink>
      <w:r w:rsidRPr="00D336F7">
        <w:rPr>
          <w:rFonts w:ascii="Arial" w:hAnsi="Arial" w:cs="Arial"/>
        </w:rPr>
        <w:t xml:space="preserve"> (Accessed: 20 April 2026).</w:t>
      </w:r>
      <w:r w:rsidR="00B64D1A" w:rsidRPr="00D336F7">
        <w:rPr>
          <w:rFonts w:ascii="Arial" w:hAnsi="Arial" w:cs="Arial"/>
        </w:rPr>
        <w:t xml:space="preserve"> </w:t>
      </w:r>
    </w:p>
    <w:p w14:paraId="3DAC311A" w14:textId="77777777" w:rsidR="00C71A55" w:rsidRDefault="00B64D1A">
      <w:pPr>
        <w:spacing w:after="179" w:line="259" w:lineRule="auto"/>
        <w:ind w:left="0" w:firstLine="0"/>
      </w:pPr>
      <w:r>
        <w:t xml:space="preserve"> </w:t>
      </w:r>
    </w:p>
    <w:p w14:paraId="11E47FC6" w14:textId="77777777" w:rsidR="00C71A55" w:rsidRDefault="00B64D1A">
      <w:pPr>
        <w:spacing w:after="184" w:line="259" w:lineRule="auto"/>
        <w:ind w:left="0" w:firstLine="0"/>
      </w:pPr>
      <w:r>
        <w:t xml:space="preserve"> </w:t>
      </w:r>
    </w:p>
    <w:p w14:paraId="060693CB" w14:textId="77777777" w:rsidR="00C71A55" w:rsidRDefault="00B64D1A">
      <w:pPr>
        <w:spacing w:after="179" w:line="259" w:lineRule="auto"/>
        <w:ind w:left="0" w:firstLine="0"/>
      </w:pPr>
      <w:r>
        <w:t xml:space="preserve"> </w:t>
      </w:r>
    </w:p>
    <w:p w14:paraId="630FB6AC" w14:textId="0D10B9A3" w:rsidR="00C71A55" w:rsidRDefault="00B64D1A" w:rsidP="00D336F7">
      <w:pPr>
        <w:spacing w:after="179" w:line="259" w:lineRule="auto"/>
        <w:ind w:left="0" w:firstLine="0"/>
      </w:pPr>
      <w:r>
        <w:t xml:space="preserve"> </w:t>
      </w:r>
    </w:p>
    <w:sectPr w:rsidR="00C71A55">
      <w:pgSz w:w="11905" w:h="16840"/>
      <w:pgMar w:top="1440" w:right="1439" w:bottom="1453"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10060"/>
    <w:multiLevelType w:val="hybridMultilevel"/>
    <w:tmpl w:val="1038A826"/>
    <w:lvl w:ilvl="0" w:tplc="5BE4B22E">
      <w:numFmt w:val="bullet"/>
      <w:lvlText w:val="-"/>
      <w:lvlJc w:val="left"/>
      <w:pPr>
        <w:ind w:left="435" w:hanging="360"/>
      </w:pPr>
      <w:rPr>
        <w:rFonts w:ascii="Arial" w:eastAsia="Arial" w:hAnsi="Arial" w:cs="Arial" w:hint="default"/>
        <w:color w:val="0F4761"/>
        <w:sz w:val="32"/>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44437EF6"/>
    <w:multiLevelType w:val="hybridMultilevel"/>
    <w:tmpl w:val="05284C88"/>
    <w:lvl w:ilvl="0" w:tplc="8CBCA06E">
      <w:numFmt w:val="bullet"/>
      <w:lvlText w:val="-"/>
      <w:lvlJc w:val="left"/>
      <w:pPr>
        <w:ind w:left="721" w:hanging="360"/>
      </w:pPr>
      <w:rPr>
        <w:rFonts w:ascii="Aptos Display" w:eastAsia="Aptos Display" w:hAnsi="Aptos Display" w:cs="Aptos Display"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num w:numId="1" w16cid:durableId="46074744">
    <w:abstractNumId w:val="0"/>
  </w:num>
  <w:num w:numId="2" w16cid:durableId="1352755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A55"/>
    <w:rsid w:val="0015441A"/>
    <w:rsid w:val="00171CF2"/>
    <w:rsid w:val="001D4C2E"/>
    <w:rsid w:val="00295AB6"/>
    <w:rsid w:val="00306B4E"/>
    <w:rsid w:val="00311F42"/>
    <w:rsid w:val="0031220C"/>
    <w:rsid w:val="00485AF5"/>
    <w:rsid w:val="008C00CA"/>
    <w:rsid w:val="008D5FA4"/>
    <w:rsid w:val="009138C0"/>
    <w:rsid w:val="00A60500"/>
    <w:rsid w:val="00B42EAB"/>
    <w:rsid w:val="00B64D1A"/>
    <w:rsid w:val="00BA1313"/>
    <w:rsid w:val="00BB7F94"/>
    <w:rsid w:val="00C71A55"/>
    <w:rsid w:val="00D336F7"/>
    <w:rsid w:val="00EC5FFA"/>
    <w:rsid w:val="00F83777"/>
    <w:rsid w:val="00FC4C78"/>
    <w:rsid w:val="00FF3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30FC1"/>
  <w15:docId w15:val="{8F37EDF4-0BE4-F841-B32E-C9D6B611A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8" w:line="269" w:lineRule="auto"/>
      <w:ind w:left="12" w:hanging="10"/>
    </w:pPr>
    <w:rPr>
      <w:rFonts w:ascii="Aptos" w:eastAsia="Aptos" w:hAnsi="Aptos" w:cs="Times New Roman"/>
      <w:color w:val="000000"/>
      <w:lang w:val="en" w:eastAsia="en"/>
    </w:rPr>
  </w:style>
  <w:style w:type="paragraph" w:styleId="Heading1">
    <w:name w:val="heading 1"/>
    <w:next w:val="Normal"/>
    <w:link w:val="Heading1Char"/>
    <w:uiPriority w:val="9"/>
    <w:qFormat/>
    <w:pPr>
      <w:keepNext/>
      <w:keepLines/>
      <w:spacing w:after="0" w:line="259" w:lineRule="auto"/>
      <w:ind w:left="10" w:hanging="10"/>
      <w:outlineLvl w:val="0"/>
    </w:pPr>
    <w:rPr>
      <w:rFonts w:ascii="Aptos Display" w:eastAsia="Aptos Display" w:hAnsi="Aptos Display" w:cs="Aptos Display"/>
      <w:color w:val="0F4761"/>
      <w:sz w:val="40"/>
    </w:rPr>
  </w:style>
  <w:style w:type="paragraph" w:styleId="Heading2">
    <w:name w:val="heading 2"/>
    <w:next w:val="Normal"/>
    <w:link w:val="Heading2Char"/>
    <w:uiPriority w:val="9"/>
    <w:unhideWhenUsed/>
    <w:qFormat/>
    <w:pPr>
      <w:keepNext/>
      <w:keepLines/>
      <w:spacing w:after="34" w:line="259" w:lineRule="auto"/>
      <w:ind w:left="371" w:hanging="10"/>
      <w:outlineLvl w:val="1"/>
    </w:pPr>
    <w:rPr>
      <w:rFonts w:ascii="Aptos Display" w:eastAsia="Aptos Display" w:hAnsi="Aptos Display" w:cs="Aptos Display"/>
      <w:color w:val="0F4761"/>
      <w:sz w:val="32"/>
    </w:rPr>
  </w:style>
  <w:style w:type="paragraph" w:styleId="Heading3">
    <w:name w:val="heading 3"/>
    <w:next w:val="Normal"/>
    <w:link w:val="Heading3Char"/>
    <w:uiPriority w:val="9"/>
    <w:unhideWhenUsed/>
    <w:qFormat/>
    <w:pPr>
      <w:keepNext/>
      <w:keepLines/>
      <w:spacing w:after="64" w:line="259" w:lineRule="auto"/>
      <w:ind w:left="1091" w:hanging="10"/>
      <w:outlineLvl w:val="2"/>
    </w:pPr>
    <w:rPr>
      <w:rFonts w:ascii="Aptos" w:eastAsia="Aptos" w:hAnsi="Aptos" w:cs="Aptos"/>
      <w:color w:val="0F476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ptos" w:eastAsia="Aptos" w:hAnsi="Aptos" w:cs="Aptos"/>
      <w:color w:val="0F4761"/>
      <w:sz w:val="28"/>
    </w:rPr>
  </w:style>
  <w:style w:type="character" w:customStyle="1" w:styleId="Heading2Char">
    <w:name w:val="Heading 2 Char"/>
    <w:link w:val="Heading2"/>
    <w:rPr>
      <w:rFonts w:ascii="Aptos Display" w:eastAsia="Aptos Display" w:hAnsi="Aptos Display" w:cs="Aptos Display"/>
      <w:color w:val="0F4761"/>
      <w:sz w:val="32"/>
    </w:rPr>
  </w:style>
  <w:style w:type="character" w:customStyle="1" w:styleId="Heading1Char">
    <w:name w:val="Heading 1 Char"/>
    <w:link w:val="Heading1"/>
    <w:rPr>
      <w:rFonts w:ascii="Aptos Display" w:eastAsia="Aptos Display" w:hAnsi="Aptos Display" w:cs="Aptos Display"/>
      <w:color w:val="0F4761"/>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C5FFA"/>
    <w:rPr>
      <w:color w:val="467886" w:themeColor="hyperlink"/>
      <w:u w:val="single"/>
    </w:rPr>
  </w:style>
  <w:style w:type="character" w:styleId="UnresolvedMention">
    <w:name w:val="Unresolved Mention"/>
    <w:basedOn w:val="DefaultParagraphFont"/>
    <w:uiPriority w:val="99"/>
    <w:semiHidden/>
    <w:unhideWhenUsed/>
    <w:rsid w:val="00EC5FFA"/>
    <w:rPr>
      <w:color w:val="605E5C"/>
      <w:shd w:val="clear" w:color="auto" w:fill="E1DFDD"/>
    </w:rPr>
  </w:style>
  <w:style w:type="paragraph" w:styleId="ListParagraph">
    <w:name w:val="List Paragraph"/>
    <w:basedOn w:val="Normal"/>
    <w:uiPriority w:val="34"/>
    <w:qFormat/>
    <w:rsid w:val="00306B4E"/>
    <w:pPr>
      <w:ind w:left="720"/>
      <w:contextualSpacing/>
    </w:pPr>
  </w:style>
  <w:style w:type="paragraph" w:styleId="TOCHeading">
    <w:name w:val="TOC Heading"/>
    <w:basedOn w:val="Heading1"/>
    <w:next w:val="Normal"/>
    <w:uiPriority w:val="39"/>
    <w:unhideWhenUsed/>
    <w:qFormat/>
    <w:rsid w:val="00306B4E"/>
    <w:pPr>
      <w:spacing w:before="240"/>
      <w:ind w:left="0" w:firstLine="0"/>
      <w:outlineLvl w:val="9"/>
    </w:pPr>
    <w:rPr>
      <w:rFonts w:asciiTheme="majorHAnsi" w:eastAsiaTheme="majorEastAsia" w:hAnsiTheme="majorHAnsi" w:cstheme="majorBidi"/>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306B4E"/>
    <w:pPr>
      <w:spacing w:after="100"/>
      <w:ind w:left="0"/>
    </w:pPr>
  </w:style>
  <w:style w:type="paragraph" w:styleId="TOC2">
    <w:name w:val="toc 2"/>
    <w:basedOn w:val="Normal"/>
    <w:next w:val="Normal"/>
    <w:autoRedefine/>
    <w:uiPriority w:val="39"/>
    <w:unhideWhenUsed/>
    <w:rsid w:val="00306B4E"/>
    <w:pPr>
      <w:spacing w:after="100"/>
      <w:ind w:left="240"/>
    </w:pPr>
  </w:style>
  <w:style w:type="paragraph" w:styleId="TOC3">
    <w:name w:val="toc 3"/>
    <w:basedOn w:val="Normal"/>
    <w:next w:val="Normal"/>
    <w:autoRedefine/>
    <w:uiPriority w:val="39"/>
    <w:unhideWhenUsed/>
    <w:rsid w:val="00306B4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ice.org.uk/guidance/cg143" TargetMode="External"/><Relationship Id="rId13" Type="http://schemas.openxmlformats.org/officeDocument/2006/relationships/hyperlink" Target="https://link.springer.com/article/10.1186/s12955-019-1136-7" TargetMode="External"/><Relationship Id="rId3" Type="http://schemas.openxmlformats.org/officeDocument/2006/relationships/styles" Target="styles.xml"/><Relationship Id="rId7" Type="http://schemas.openxmlformats.org/officeDocument/2006/relationships/hyperlink" Target="https://www.nice.org.uk/guidance/cg143" TargetMode="External"/><Relationship Id="rId12" Type="http://schemas.openxmlformats.org/officeDocument/2006/relationships/hyperlink" Target="https://www.sicklecellsociety.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icklecellsociety.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ngland.nhs.uk/" TargetMode="External"/><Relationship Id="rId4" Type="http://schemas.openxmlformats.org/officeDocument/2006/relationships/settings" Target="settings.xml"/><Relationship Id="rId9" Type="http://schemas.openxmlformats.org/officeDocument/2006/relationships/hyperlink" Target="https://www.england.nhs.uk/" TargetMode="External"/><Relationship Id="rId14" Type="http://schemas.openxmlformats.org/officeDocument/2006/relationships/hyperlink" Target="https://www.sciencedirect.com/science/article/pii/S0149291824002868"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52996-8573-4509-A8CD-9859B040B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15</Pages>
  <Words>4336</Words>
  <Characters>24721</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edmilza veloso</dc:creator>
  <cp:keywords/>
  <cp:lastModifiedBy>edmilza veloso</cp:lastModifiedBy>
  <cp:revision>9</cp:revision>
  <dcterms:created xsi:type="dcterms:W3CDTF">2026-04-21T23:45:00Z</dcterms:created>
  <dcterms:modified xsi:type="dcterms:W3CDTF">2026-04-22T16:45:00Z</dcterms:modified>
</cp:coreProperties>
</file>