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hint="eastAsia"/>
          <w:b/>
          <w:bCs/>
          <w:sz w:val="28"/>
          <w:szCs w:val="28"/>
          <w:lang w:val="en-US" w:eastAsia="zh-CN"/>
        </w:rPr>
      </w:pPr>
    </w:p>
    <w:p>
      <w:pPr>
        <w:jc w:val="center"/>
        <w:rPr>
          <w:rFonts w:hint="eastAsia"/>
          <w:b/>
          <w:bCs/>
          <w:sz w:val="28"/>
          <w:szCs w:val="28"/>
          <w:lang w:val="en-US" w:eastAsia="zh-CN"/>
        </w:rPr>
      </w:pPr>
    </w:p>
    <w:p>
      <w:pPr>
        <w:jc w:val="center"/>
        <w:rPr>
          <w:rFonts w:hint="eastAsia"/>
          <w:b/>
          <w:bCs/>
          <w:sz w:val="28"/>
          <w:szCs w:val="28"/>
          <w:lang w:val="en-US" w:eastAsia="zh-CN"/>
        </w:rPr>
      </w:pPr>
    </w:p>
    <w:p>
      <w:pPr>
        <w:jc w:val="center"/>
        <w:rPr>
          <w:rFonts w:hint="eastAsia"/>
          <w:b/>
          <w:bCs/>
          <w:sz w:val="28"/>
          <w:szCs w:val="28"/>
          <w:lang w:val="en-US" w:eastAsia="zh-CN"/>
        </w:rPr>
      </w:pPr>
    </w:p>
    <w:p>
      <w:pPr>
        <w:jc w:val="center"/>
        <w:rPr>
          <w:rFonts w:hint="eastAsia"/>
          <w:b/>
          <w:bCs/>
          <w:sz w:val="28"/>
          <w:szCs w:val="28"/>
          <w:lang w:val="en-US" w:eastAsia="zh-CN"/>
        </w:rPr>
      </w:pPr>
      <w:r>
        <w:rPr>
          <w:rFonts w:hint="eastAsia"/>
          <w:b/>
          <w:bCs/>
          <w:sz w:val="28"/>
          <w:szCs w:val="28"/>
          <w:lang w:val="en-US" w:eastAsia="zh-CN"/>
        </w:rPr>
        <w:t>Assignment 2</w:t>
      </w:r>
    </w:p>
    <w:p>
      <w:pPr>
        <w:jc w:val="center"/>
        <w:rPr>
          <w:rFonts w:hint="eastAsia"/>
          <w:b/>
          <w:bCs/>
          <w:sz w:val="28"/>
          <w:szCs w:val="28"/>
          <w:lang w:val="en-US" w:eastAsia="zh-CN"/>
        </w:rPr>
      </w:pPr>
      <w:r>
        <w:rPr>
          <w:rFonts w:hint="eastAsia"/>
          <w:b/>
          <w:bCs/>
          <w:sz w:val="28"/>
          <w:szCs w:val="28"/>
          <w:lang w:val="en-US" w:eastAsia="zh-CN"/>
        </w:rPr>
        <w:t>HR Skills Improvement Proposal</w:t>
      </w:r>
    </w:p>
    <w:p>
      <w:pPr>
        <w:jc w:val="center"/>
        <w:rPr>
          <w:rFonts w:hint="eastAsia"/>
          <w:b/>
          <w:bCs/>
          <w:sz w:val="28"/>
          <w:szCs w:val="28"/>
          <w:lang w:val="en-US" w:eastAsia="zh-CN"/>
        </w:rPr>
      </w:pPr>
    </w:p>
    <w:p>
      <w:pPr>
        <w:jc w:val="center"/>
        <w:rPr>
          <w:rFonts w:hint="eastAsia"/>
          <w:b/>
          <w:bCs/>
          <w:sz w:val="28"/>
          <w:szCs w:val="28"/>
          <w:lang w:val="en-US" w:eastAsia="zh-CN"/>
        </w:rPr>
      </w:pPr>
    </w:p>
    <w:p>
      <w:pPr>
        <w:jc w:val="center"/>
        <w:rPr>
          <w:rFonts w:hint="eastAsia"/>
          <w:b/>
          <w:bCs/>
          <w:sz w:val="28"/>
          <w:szCs w:val="28"/>
          <w:lang w:val="en-US" w:eastAsia="zh-CN"/>
        </w:rPr>
      </w:pPr>
    </w:p>
    <w:p>
      <w:pPr>
        <w:jc w:val="center"/>
        <w:rPr>
          <w:rFonts w:hint="eastAsia"/>
          <w:b/>
          <w:bCs/>
          <w:sz w:val="28"/>
          <w:szCs w:val="28"/>
          <w:lang w:val="en-US" w:eastAsia="zh-CN"/>
        </w:rPr>
      </w:pPr>
    </w:p>
    <w:p>
      <w:pPr>
        <w:jc w:val="center"/>
        <w:rPr>
          <w:rFonts w:hint="eastAsia"/>
          <w:b/>
          <w:bCs/>
          <w:sz w:val="28"/>
          <w:szCs w:val="28"/>
          <w:lang w:val="en-US" w:eastAsia="zh-CN"/>
        </w:rPr>
      </w:pPr>
    </w:p>
    <w:p>
      <w:pPr>
        <w:jc w:val="center"/>
        <w:rPr>
          <w:rFonts w:hint="eastAsia"/>
          <w:b/>
          <w:bCs/>
          <w:sz w:val="28"/>
          <w:szCs w:val="28"/>
          <w:lang w:val="en-US" w:eastAsia="zh-CN"/>
        </w:rPr>
      </w:pPr>
      <w:r>
        <w:rPr>
          <w:rFonts w:hint="eastAsia"/>
          <w:b/>
          <w:bCs/>
          <w:sz w:val="28"/>
          <w:szCs w:val="28"/>
          <w:lang w:val="en-US" w:eastAsia="zh-CN"/>
        </w:rPr>
        <w:t>BMMB7007</w:t>
      </w:r>
    </w:p>
    <w:p>
      <w:pPr>
        <w:jc w:val="center"/>
        <w:rPr>
          <w:rFonts w:hint="eastAsia"/>
          <w:b/>
          <w:bCs/>
          <w:sz w:val="28"/>
          <w:szCs w:val="28"/>
          <w:lang w:val="en-US" w:eastAsia="zh-CN"/>
        </w:rPr>
      </w:pPr>
      <w:r>
        <w:rPr>
          <w:rFonts w:hint="eastAsia"/>
          <w:b/>
          <w:bCs/>
          <w:sz w:val="28"/>
          <w:szCs w:val="28"/>
          <w:lang w:val="en-US" w:eastAsia="zh-CN"/>
        </w:rPr>
        <w:t>Student Name: Jianmei, Liu</w:t>
      </w:r>
    </w:p>
    <w:p>
      <w:pPr>
        <w:jc w:val="center"/>
        <w:rPr>
          <w:rFonts w:hint="eastAsia"/>
          <w:b/>
          <w:bCs/>
          <w:sz w:val="28"/>
          <w:szCs w:val="28"/>
          <w:lang w:val="en-US" w:eastAsia="zh-CN"/>
        </w:rPr>
      </w:pPr>
      <w:r>
        <w:rPr>
          <w:rFonts w:hint="eastAsia"/>
          <w:b/>
          <w:bCs/>
          <w:sz w:val="28"/>
          <w:szCs w:val="28"/>
          <w:lang w:val="en-US" w:eastAsia="zh-CN"/>
        </w:rPr>
        <w:t>Student number: 2234055</w:t>
      </w:r>
    </w:p>
    <w:p>
      <w:pPr>
        <w:jc w:val="center"/>
        <w:rPr>
          <w:rFonts w:hint="default" w:eastAsia="宋体"/>
          <w:b/>
          <w:bCs/>
          <w:sz w:val="28"/>
          <w:szCs w:val="28"/>
          <w:lang w:val="en-US" w:eastAsia="zh-CN"/>
        </w:rPr>
      </w:pPr>
      <w:r>
        <w:rPr>
          <w:rFonts w:hint="eastAsia"/>
          <w:b/>
          <w:bCs/>
          <w:sz w:val="28"/>
          <w:szCs w:val="28"/>
          <w:lang w:val="en-US" w:eastAsia="zh-CN"/>
        </w:rPr>
        <w:t xml:space="preserve">Video Link: </w:t>
      </w:r>
      <w:r>
        <w:rPr>
          <w:rFonts w:ascii="宋体" w:hAnsi="宋体" w:eastAsia="宋体" w:cs="宋体"/>
          <w:sz w:val="24"/>
          <w:szCs w:val="24"/>
        </w:rPr>
        <w:fldChar w:fldCharType="begin"/>
      </w:r>
      <w:r>
        <w:rPr>
          <w:rFonts w:ascii="宋体" w:hAnsi="宋体" w:eastAsia="宋体" w:cs="宋体"/>
          <w:sz w:val="24"/>
          <w:szCs w:val="24"/>
        </w:rPr>
        <w:instrText xml:space="preserve"> HYPERLINK "https://web.microsoftstream.com/video/dda6f061-2950-4dd2-bc43-9ffb0dd38cb8?list=studio" </w:instrText>
      </w:r>
      <w:r>
        <w:rPr>
          <w:rFonts w:ascii="宋体" w:hAnsi="宋体" w:eastAsia="宋体" w:cs="宋体"/>
          <w:sz w:val="24"/>
          <w:szCs w:val="24"/>
        </w:rPr>
        <w:fldChar w:fldCharType="separate"/>
      </w:r>
      <w:r>
        <w:rPr>
          <w:rStyle w:val="5"/>
          <w:rFonts w:ascii="宋体" w:hAnsi="宋体" w:eastAsia="宋体" w:cs="宋体"/>
          <w:sz w:val="24"/>
          <w:szCs w:val="24"/>
        </w:rPr>
        <w:t>Watch 'BMMB7007-Jianmei Liu-2234055' | Microsoft Stream (Classic)</w:t>
      </w:r>
      <w:r>
        <w:rPr>
          <w:rFonts w:ascii="宋体" w:hAnsi="宋体" w:eastAsia="宋体" w:cs="宋体"/>
          <w:sz w:val="24"/>
          <w:szCs w:val="24"/>
        </w:rPr>
        <w:fldChar w:fldCharType="end"/>
      </w:r>
      <w:r>
        <w:rPr>
          <w:rFonts w:hint="eastAsia" w:ascii="宋体" w:hAnsi="宋体" w:eastAsia="宋体" w:cs="宋体"/>
          <w:sz w:val="24"/>
          <w:szCs w:val="24"/>
          <w:lang w:val="en-US" w:eastAsia="zh-CN"/>
        </w:rPr>
        <w:t>(https://web.microsoftstream.com/video/dda6f061-2950-4dd2-bc43-9ffb0dd38cb8?list=studio)</w:t>
      </w:r>
    </w:p>
    <w:p>
      <w:pPr>
        <w:jc w:val="center"/>
        <w:rPr>
          <w:rFonts w:hint="eastAsia"/>
          <w:b/>
          <w:bCs/>
          <w:sz w:val="28"/>
          <w:szCs w:val="28"/>
          <w:lang w:val="en-US" w:eastAsia="zh-CN"/>
        </w:rPr>
      </w:pPr>
      <w:r>
        <w:rPr>
          <w:rFonts w:hint="eastAsia"/>
          <w:b/>
          <w:bCs/>
          <w:sz w:val="28"/>
          <w:szCs w:val="28"/>
          <w:lang w:val="en-US" w:eastAsia="zh-CN"/>
        </w:rPr>
        <w:br w:type="page"/>
      </w:r>
      <w:bookmarkStart w:id="1" w:name="_GoBack"/>
      <w:bookmarkEnd w:id="1"/>
    </w:p>
    <w:p>
      <w:pPr>
        <w:rPr>
          <w:rFonts w:hint="eastAsia"/>
          <w:b/>
          <w:bCs/>
          <w:lang w:val="en-US" w:eastAsia="zh-CN"/>
        </w:rPr>
      </w:pPr>
      <w:r>
        <w:rPr>
          <w:rFonts w:hint="eastAsia"/>
          <w:b/>
          <w:bCs/>
          <w:lang w:val="en-US" w:eastAsia="zh-CN"/>
        </w:rPr>
        <w:t>Reference List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after="313" w:afterLines="100"/>
        <w:textAlignment w:val="auto"/>
        <w:rPr>
          <w:rFonts w:hint="default"/>
          <w:lang w:val="en-US" w:eastAsia="zh-CN"/>
        </w:rPr>
      </w:pPr>
      <w:r>
        <w:rPr>
          <w:rFonts w:hint="default"/>
          <w:lang w:val="en-US" w:eastAsia="zh-CN"/>
        </w:rPr>
        <w:t xml:space="preserve">Ijie, B.A. and Iyoriobhe, M.O. (2020) “Effective Communication in Human Resources Management,” ResearchGate [Preprint]. Available at: </w:t>
      </w:r>
      <w:r>
        <w:rPr>
          <w:rFonts w:hint="default"/>
          <w:color w:val="auto"/>
          <w:u w:val="none"/>
          <w:lang w:val="en-US" w:eastAsia="zh-CN"/>
        </w:rPr>
        <w:t>https://www.researchgate.net/publication/344152716_Effective_Communication_in_Human_Resources_Management.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after="313" w:afterLines="100"/>
        <w:textAlignment w:val="auto"/>
        <w:rPr>
          <w:rFonts w:hint="default"/>
          <w:lang w:val="en-US" w:eastAsia="zh-CN"/>
        </w:rPr>
      </w:pPr>
      <w:r>
        <w:rPr>
          <w:rFonts w:hint="default"/>
          <w:lang w:val="en-US" w:eastAsia="zh-CN"/>
        </w:rPr>
        <w:t>Bigelow, S.J. and Pratt, M.K. (2022) “strategic planning,” CIO [Preprint]. Available at: https://www.techtarget.com/searchcio/definition/strategic-planning.</w:t>
      </w:r>
    </w:p>
    <w:p>
      <w:pPr>
        <w:rPr>
          <w:rFonts w:hint="eastAsia"/>
        </w:rPr>
      </w:pPr>
      <w:r>
        <w:rPr>
          <w:rFonts w:hint="eastAsia"/>
        </w:rPr>
        <w:t xml:space="preserve">Beheshti, N. (2019) “10 Timely Statistics About The Connection Between Employee Engagement And Wellness,” Forbes, 16 January. Available at: </w:t>
      </w:r>
      <w:r>
        <w:rPr>
          <w:rFonts w:hint="eastAsia"/>
          <w:color w:val="auto"/>
          <w:u w:val="none"/>
        </w:rPr>
        <w:t>https://www.forbes.com/sites/nazbeheshti/2019/01/16/10-timely-statistics-about-the-connection-between-employee-engagement-and-wellness/?sh=169f4dc422a0.</w:t>
      </w:r>
    </w:p>
    <w:p>
      <w:pPr>
        <w:rPr>
          <w:rFonts w:hint="eastAsia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after="313" w:afterLines="100"/>
        <w:textAlignment w:val="auto"/>
        <w:rPr>
          <w:rFonts w:hint="eastAsia"/>
        </w:rPr>
      </w:pPr>
      <w:r>
        <w:rPr>
          <w:rFonts w:hint="eastAsia"/>
        </w:rPr>
        <w:t xml:space="preserve">Van Vulpen, E. (2023) “11 HR Trends for 2023: Seizing the Window of Opportunity,” AIHR [Preprint]. Available at: </w:t>
      </w:r>
      <w:r>
        <w:rPr>
          <w:rFonts w:hint="eastAsia"/>
          <w:color w:val="auto"/>
          <w:u w:val="none"/>
        </w:rPr>
        <w:t>https://www.aihr.com/blog/hr-trends/#Wellbeing.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after="313" w:afterLines="100"/>
        <w:textAlignment w:val="auto"/>
        <w:rPr>
          <w:rFonts w:hint="default"/>
          <w:lang w:val="en-US" w:eastAsia="zh-CN"/>
        </w:rPr>
      </w:pPr>
      <w:bookmarkStart w:id="0" w:name="OLE_LINK1"/>
      <w:r>
        <w:rPr>
          <w:rFonts w:hint="default"/>
          <w:lang w:val="en-US" w:eastAsia="zh-CN"/>
        </w:rPr>
        <w:t xml:space="preserve">Storey, J. (2001) </w:t>
      </w:r>
      <w:bookmarkEnd w:id="0"/>
      <w:r>
        <w:rPr>
          <w:rFonts w:hint="default"/>
          <w:lang w:val="en-US" w:eastAsia="zh-CN"/>
        </w:rPr>
        <w:t>Human Resource Management: A Critical Text. Cengage Learning Business Press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after="313" w:afterLines="100"/>
        <w:textAlignment w:val="auto"/>
        <w:rPr>
          <w:rFonts w:hint="eastAsia"/>
        </w:rPr>
      </w:pPr>
      <w:r>
        <w:rPr>
          <w:rFonts w:hint="eastAsia"/>
        </w:rPr>
        <w:t xml:space="preserve">Barcelos, K. (2021) “Top 6 Technology Skills Every HR Professional Needs Today,” AIHR [Preprint]. Available at: </w:t>
      </w:r>
      <w:r>
        <w:rPr>
          <w:rFonts w:hint="eastAsia"/>
          <w:color w:val="auto"/>
          <w:u w:val="none"/>
        </w:rPr>
        <w:t>https://www.aihr.com/blog/technology-skills-every-hr-professional-needs/.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after="313" w:afterLines="100"/>
        <w:textAlignment w:val="auto"/>
        <w:rPr>
          <w:rFonts w:hint="default"/>
          <w:lang w:val="en-US" w:eastAsia="zh-CN"/>
        </w:rPr>
      </w:pPr>
      <w:r>
        <w:rPr>
          <w:rFonts w:hint="eastAsia"/>
        </w:rPr>
        <w:t xml:space="preserve">Joubert, S. (2021) HR Laws &amp; Regulations Every HR Professional Should Know. Available at: </w:t>
      </w:r>
      <w:r>
        <w:rPr>
          <w:rFonts w:hint="eastAsia"/>
          <w:color w:val="auto"/>
          <w:u w:val="none"/>
        </w:rPr>
        <w:t>https://www.northeastern.edu/graduate/blog/hr-laws-to-know/.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 w:line="315" w:lineRule="atLeast"/>
        <w:ind w:left="0" w:right="0" w:firstLine="0"/>
        <w:rPr>
          <w:rFonts w:hint="default" w:ascii="Calibri" w:hAnsi="Calibri" w:cs="Calibri"/>
          <w:i w:val="0"/>
          <w:iCs w:val="0"/>
          <w:caps w:val="0"/>
          <w:color w:val="000000"/>
          <w:spacing w:val="0"/>
          <w:sz w:val="18"/>
          <w:szCs w:val="18"/>
        </w:rPr>
      </w:pPr>
      <w:r>
        <w:rPr>
          <w:rFonts w:hint="default" w:ascii="Calibri" w:hAnsi="Calibri" w:cs="Calibri"/>
          <w:i w:val="0"/>
          <w:iCs w:val="0"/>
          <w:caps w:val="0"/>
          <w:color w:val="000000"/>
          <w:spacing w:val="0"/>
          <w:sz w:val="18"/>
          <w:szCs w:val="18"/>
        </w:rPr>
        <w:t>World Economic Forum (2020). </w:t>
      </w:r>
      <w:r>
        <w:rPr>
          <w:rFonts w:hint="default" w:ascii="Calibri" w:hAnsi="Calibri" w:cs="Calibri"/>
          <w:i/>
          <w:iCs/>
          <w:caps w:val="0"/>
          <w:color w:val="000000"/>
          <w:spacing w:val="0"/>
          <w:sz w:val="18"/>
          <w:szCs w:val="18"/>
        </w:rPr>
        <w:t>The future of jobs report 2020</w:t>
      </w:r>
      <w:r>
        <w:rPr>
          <w:rFonts w:hint="default" w:ascii="Calibri" w:hAnsi="Calibri" w:cs="Calibri"/>
          <w:i w:val="0"/>
          <w:iCs w:val="0"/>
          <w:caps w:val="0"/>
          <w:color w:val="000000"/>
          <w:spacing w:val="0"/>
          <w:sz w:val="18"/>
          <w:szCs w:val="18"/>
        </w:rPr>
        <w:t xml:space="preserve">. [online] World Economic Forum. Available at: </w:t>
      </w:r>
      <w:r>
        <w:rPr>
          <w:rFonts w:hint="default" w:ascii="Calibri" w:hAnsi="Calibri" w:cs="Calibri"/>
          <w:i w:val="0"/>
          <w:iCs w:val="0"/>
          <w:caps w:val="0"/>
          <w:color w:val="000000"/>
          <w:spacing w:val="0"/>
          <w:sz w:val="18"/>
          <w:szCs w:val="18"/>
          <w:u w:val="none"/>
        </w:rPr>
        <w:t>https://www.weforum.org/reports/the-future-of-jobs-report-2020.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 w:line="315" w:lineRule="atLeast"/>
        <w:ind w:left="0" w:right="0" w:firstLine="0"/>
        <w:rPr>
          <w:rFonts w:hint="default" w:ascii="Calibri" w:hAnsi="Calibri" w:cs="Calibri"/>
          <w:i w:val="0"/>
          <w:iCs w:val="0"/>
          <w:caps w:val="0"/>
          <w:color w:val="000000"/>
          <w:spacing w:val="0"/>
          <w:sz w:val="18"/>
          <w:szCs w:val="18"/>
        </w:rPr>
      </w:pP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 w:line="315" w:lineRule="atLeast"/>
        <w:ind w:left="0" w:right="0" w:firstLine="0"/>
        <w:rPr>
          <w:rFonts w:hint="default" w:ascii="Calibri" w:hAnsi="Calibri" w:cs="Calibri"/>
          <w:i w:val="0"/>
          <w:iCs w:val="0"/>
          <w:caps w:val="0"/>
          <w:color w:val="000000"/>
          <w:spacing w:val="0"/>
          <w:sz w:val="18"/>
          <w:szCs w:val="18"/>
        </w:rPr>
      </w:pPr>
      <w:r>
        <w:rPr>
          <w:rFonts w:hint="default" w:ascii="Calibri" w:hAnsi="Calibri" w:cs="Calibri"/>
          <w:i w:val="0"/>
          <w:iCs w:val="0"/>
          <w:caps w:val="0"/>
          <w:color w:val="000000"/>
          <w:spacing w:val="0"/>
          <w:sz w:val="18"/>
          <w:szCs w:val="18"/>
        </w:rPr>
        <w:t>The People Profession survey | CIPD (</w:t>
      </w:r>
      <w:r>
        <w:rPr>
          <w:rFonts w:hint="eastAsia" w:ascii="Calibri" w:hAnsi="Calibri" w:cs="Calibri"/>
          <w:i w:val="0"/>
          <w:iCs w:val="0"/>
          <w:caps w:val="0"/>
          <w:color w:val="000000"/>
          <w:spacing w:val="0"/>
          <w:sz w:val="18"/>
          <w:szCs w:val="18"/>
          <w:lang w:val="en-US" w:eastAsia="zh-CN"/>
        </w:rPr>
        <w:t>2020</w:t>
      </w:r>
      <w:r>
        <w:rPr>
          <w:rFonts w:hint="default" w:ascii="Calibri" w:hAnsi="Calibri" w:cs="Calibri"/>
          <w:i w:val="0"/>
          <w:iCs w:val="0"/>
          <w:caps w:val="0"/>
          <w:color w:val="000000"/>
          <w:spacing w:val="0"/>
          <w:sz w:val="18"/>
          <w:szCs w:val="18"/>
        </w:rPr>
        <w:t xml:space="preserve">). Available at: </w:t>
      </w:r>
      <w:r>
        <w:rPr>
          <w:rFonts w:hint="default" w:ascii="Calibri" w:hAnsi="Calibri" w:cs="Calibri"/>
          <w:i w:val="0"/>
          <w:iCs w:val="0"/>
          <w:caps w:val="0"/>
          <w:color w:val="000000"/>
          <w:spacing w:val="0"/>
          <w:sz w:val="18"/>
          <w:szCs w:val="18"/>
          <w:u w:val="none"/>
        </w:rPr>
        <w:t>https://www.cipd.co.uk/knowledge/strategy/hr/people-profession-survey.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 w:line="315" w:lineRule="atLeast"/>
        <w:ind w:left="0" w:right="0" w:firstLine="0"/>
        <w:rPr>
          <w:rFonts w:hint="default" w:ascii="Calibri" w:hAnsi="Calibri" w:cs="Calibri"/>
          <w:i w:val="0"/>
          <w:iCs w:val="0"/>
          <w:caps w:val="0"/>
          <w:color w:val="000000"/>
          <w:spacing w:val="0"/>
          <w:sz w:val="18"/>
          <w:szCs w:val="18"/>
        </w:rPr>
      </w:pP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 w:line="315" w:lineRule="atLeast"/>
        <w:ind w:left="0" w:right="0" w:firstLine="0"/>
        <w:rPr>
          <w:rFonts w:hint="default" w:ascii="Calibri" w:hAnsi="Calibri" w:cs="Calibri"/>
          <w:i w:val="0"/>
          <w:iCs w:val="0"/>
          <w:caps w:val="0"/>
          <w:color w:val="000000"/>
          <w:spacing w:val="0"/>
          <w:sz w:val="18"/>
          <w:szCs w:val="18"/>
        </w:rPr>
      </w:pPr>
      <w:r>
        <w:rPr>
          <w:rFonts w:hint="default" w:ascii="Calibri" w:hAnsi="Calibri" w:cs="Calibri"/>
          <w:i w:val="0"/>
          <w:iCs w:val="0"/>
          <w:caps w:val="0"/>
          <w:color w:val="000000"/>
          <w:spacing w:val="0"/>
          <w:sz w:val="18"/>
          <w:szCs w:val="18"/>
        </w:rPr>
        <w:t>Benitez, J.F., Ruiz, L.Q. and Popovič, A. (2022) “Impact of mobile technology-enabled HR gamification on employee performance: An empirical investigation,” Information &amp; Management, 59(4), p. 103647. Available at: https://doi.org/10.1016/j.im.2022.103647.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 w:line="315" w:lineRule="atLeast"/>
        <w:ind w:left="0" w:right="0" w:firstLine="0"/>
        <w:rPr>
          <w:rFonts w:hint="default" w:ascii="Calibri" w:hAnsi="Calibri" w:cs="Calibri"/>
          <w:i w:val="0"/>
          <w:iCs w:val="0"/>
          <w:caps w:val="0"/>
          <w:color w:val="000000"/>
          <w:spacing w:val="0"/>
          <w:sz w:val="18"/>
          <w:szCs w:val="18"/>
        </w:rPr>
      </w:pP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 w:line="315" w:lineRule="atLeast"/>
        <w:ind w:left="0" w:right="0" w:firstLine="0"/>
        <w:rPr>
          <w:rFonts w:hint="default" w:ascii="Calibri" w:hAnsi="Calibri" w:cs="Calibri"/>
          <w:i w:val="0"/>
          <w:iCs w:val="0"/>
          <w:caps w:val="0"/>
          <w:color w:val="000000"/>
          <w:spacing w:val="0"/>
          <w:sz w:val="18"/>
          <w:szCs w:val="18"/>
        </w:rPr>
      </w:pPr>
      <w:r>
        <w:rPr>
          <w:rFonts w:hint="default" w:ascii="Calibri" w:hAnsi="Calibri" w:cs="Calibri"/>
          <w:i w:val="0"/>
          <w:iCs w:val="0"/>
          <w:caps w:val="0"/>
          <w:color w:val="000000"/>
          <w:spacing w:val="0"/>
          <w:sz w:val="18"/>
          <w:szCs w:val="18"/>
        </w:rPr>
        <w:t>International Labour Standards on Social security (no date). Available at: https://www.ilo.org/global/standards/subjects-covered-by-international-labour-standards/social-security/lang--en/index.htm.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 w:line="315" w:lineRule="atLeast"/>
        <w:ind w:left="0" w:right="0" w:firstLine="0"/>
        <w:rPr>
          <w:rFonts w:hint="default" w:ascii="Calibri" w:hAnsi="Calibri" w:cs="Calibri"/>
          <w:i w:val="0"/>
          <w:iCs w:val="0"/>
          <w:caps w:val="0"/>
          <w:color w:val="000000"/>
          <w:spacing w:val="0"/>
          <w:sz w:val="18"/>
          <w:szCs w:val="18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after="313" w:afterLines="100"/>
        <w:textAlignment w:val="auto"/>
        <w:rPr>
          <w:rFonts w:hint="default"/>
          <w:lang w:val="en-US" w:eastAsia="zh-CN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40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commondata" w:val="eyJoZGlkIjoiN2YzNjBkOTgyNWQ1YTMxYzM3MzMwNWFiODNmOWIzYWMifQ=="/>
  </w:docVars>
  <w:rsids>
    <w:rsidRoot w:val="64032968"/>
    <w:rsid w:val="08FF500C"/>
    <w:rsid w:val="3B860B64"/>
    <w:rsid w:val="640329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qFormat="1"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qFormat="1"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4">
    <w:name w:val="Default Paragraph Font"/>
    <w:semiHidden/>
    <w:uiPriority w:val="0"/>
  </w:style>
  <w:style w:type="table" w:default="1" w:styleId="3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Normal (Web)"/>
    <w:basedOn w:val="1"/>
    <w:qFormat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lang w:val="en-US" w:eastAsia="zh-CN" w:bidi="ar"/>
    </w:rPr>
  </w:style>
  <w:style w:type="character" w:styleId="5">
    <w:name w:val="Hyperlink"/>
    <w:basedOn w:val="4"/>
    <w:qFormat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4" Type="http://schemas.openxmlformats.org/officeDocument/2006/relationships/fontTable" Target="fontTable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36</TotalTime>
  <ScaleCrop>false</ScaleCrop>
  <LinksUpToDate>false</LinksUpToDate>
  <CharactersWithSpaces>0</CharactersWithSpaces>
  <Application>WPS Office_11.1.0.14036_F1E327BC-269C-435d-A152-05C5408002CA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2023-04-21T06:55:00Z</dcterms:created>
  <dc:creator>宝儿</dc:creator>
  <cp:lastModifiedBy>宝儿</cp:lastModifiedBy>
  <dcterms:modified xsi:type="dcterms:W3CDTF">2023-04-24T09:54:29Z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2052-11.1.0.14036</vt:lpwstr>
  </property>
  <property fmtid="{D5CDD505-2E9C-101B-9397-08002B2CF9AE}" pid="3" name="ICV">
    <vt:lpwstr>7312E1E383F746A28DA28F4233273A96_11</vt:lpwstr>
  </property>
</Properties>
</file>