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pageBreakBefore w:val="0"/>
        <w:kinsoku/>
        <w:wordWrap/>
        <w:overflowPunct/>
        <w:topLinePunct w:val="0"/>
        <w:autoSpaceDE/>
        <w:autoSpaceDN/>
        <w:bidi w:val="0"/>
        <w:adjustRightInd/>
        <w:snapToGrid/>
        <w:spacing w:before="0" w:beforeAutospacing="0" w:after="0" w:afterAutospacing="0" w:line="240" w:lineRule="auto"/>
        <w:ind w:left="-180" w:right="-334"/>
        <w:textAlignment w:val="auto"/>
      </w:pPr>
      <w:r>
        <w:drawing>
          <wp:inline distT="0" distB="0" distL="114300" distR="114300">
            <wp:extent cx="1816735" cy="728980"/>
            <wp:effectExtent l="0" t="0" r="12065" b="7620"/>
            <wp:docPr id="1" name="图片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UWTSD Logo"/>
                    <pic:cNvPicPr>
                      <a:picLocks noChangeAspect="1"/>
                    </pic:cNvPicPr>
                  </pic:nvPicPr>
                  <pic:blipFill>
                    <a:blip r:embed="rId7"/>
                    <a:stretch>
                      <a:fillRect/>
                    </a:stretch>
                  </pic:blipFill>
                  <pic:spPr>
                    <a:xfrm>
                      <a:off x="0" y="0"/>
                      <a:ext cx="1816735" cy="728980"/>
                    </a:xfrm>
                    <a:prstGeom prst="rect">
                      <a:avLst/>
                    </a:prstGeom>
                    <a:noFill/>
                    <a:ln>
                      <a:noFill/>
                    </a:ln>
                  </pic:spPr>
                </pic:pic>
              </a:graphicData>
            </a:graphic>
          </wp:inline>
        </w:drawing>
      </w:r>
    </w:p>
    <w:p>
      <w:pPr>
        <w:pStyle w:val="10"/>
        <w:pageBreakBefore w:val="0"/>
        <w:kinsoku/>
        <w:wordWrap/>
        <w:overflowPunct/>
        <w:topLinePunct w:val="0"/>
        <w:autoSpaceDE/>
        <w:autoSpaceDN/>
        <w:bidi w:val="0"/>
        <w:adjustRightInd/>
        <w:snapToGrid/>
        <w:spacing w:before="0" w:beforeAutospacing="0" w:after="0" w:afterAutospacing="0" w:line="240" w:lineRule="auto"/>
        <w:ind w:left="-180" w:right="-334"/>
        <w:textAlignment w:val="auto"/>
      </w:pPr>
    </w:p>
    <w:p>
      <w:pPr>
        <w:pStyle w:val="10"/>
        <w:pageBreakBefore w:val="0"/>
        <w:kinsoku/>
        <w:wordWrap/>
        <w:overflowPunct/>
        <w:topLinePunct w:val="0"/>
        <w:autoSpaceDE/>
        <w:autoSpaceDN/>
        <w:bidi w:val="0"/>
        <w:adjustRightInd/>
        <w:snapToGrid/>
        <w:spacing w:before="0" w:beforeAutospacing="0" w:after="0" w:afterAutospacing="0" w:line="240" w:lineRule="auto"/>
        <w:ind w:left="-180" w:right="-334"/>
        <w:textAlignment w:val="auto"/>
      </w:pPr>
    </w:p>
    <w:p>
      <w:pPr>
        <w:pStyle w:val="10"/>
        <w:pageBreakBefore w:val="0"/>
        <w:kinsoku/>
        <w:wordWrap/>
        <w:overflowPunct/>
        <w:topLinePunct w:val="0"/>
        <w:autoSpaceDE/>
        <w:autoSpaceDN/>
        <w:bidi w:val="0"/>
        <w:adjustRightInd/>
        <w:snapToGrid/>
        <w:spacing w:before="0" w:beforeAutospacing="0" w:after="0" w:afterAutospacing="0" w:line="240" w:lineRule="auto"/>
        <w:ind w:left="-180" w:right="-334"/>
        <w:jc w:val="center"/>
        <w:textAlignment w:val="auto"/>
        <w:rPr>
          <w:rFonts w:ascii="Arial" w:hAnsi="Arial" w:cs="Arial"/>
          <w:b/>
          <w:sz w:val="28"/>
          <w:szCs w:val="28"/>
          <w:lang w:val="cy-GB"/>
        </w:rPr>
      </w:pPr>
      <w:r>
        <w:rPr>
          <w:rFonts w:ascii="Arial" w:hAnsi="Arial" w:cs="Arial"/>
          <w:b/>
          <w:sz w:val="28"/>
          <w:szCs w:val="28"/>
          <w:lang w:val="cy-GB"/>
        </w:rPr>
        <w:t xml:space="preserve">Postgraduate/Distance Learning </w:t>
      </w:r>
    </w:p>
    <w:p>
      <w:pPr>
        <w:pStyle w:val="10"/>
        <w:pageBreakBefore w:val="0"/>
        <w:kinsoku/>
        <w:wordWrap/>
        <w:overflowPunct/>
        <w:topLinePunct w:val="0"/>
        <w:autoSpaceDE/>
        <w:autoSpaceDN/>
        <w:bidi w:val="0"/>
        <w:adjustRightInd/>
        <w:snapToGrid/>
        <w:spacing w:before="0" w:beforeAutospacing="0" w:after="0" w:afterAutospacing="0" w:line="240" w:lineRule="auto"/>
        <w:ind w:left="-180" w:right="-334"/>
        <w:jc w:val="center"/>
        <w:textAlignment w:val="auto"/>
        <w:rPr>
          <w:rFonts w:ascii="Arial" w:hAnsi="Arial" w:cs="Arial"/>
          <w:b/>
          <w:sz w:val="28"/>
          <w:szCs w:val="28"/>
        </w:rPr>
      </w:pPr>
      <w:r>
        <w:rPr>
          <w:rFonts w:ascii="Arial" w:hAnsi="Arial" w:cs="Arial"/>
          <w:b/>
          <w:sz w:val="28"/>
          <w:szCs w:val="28"/>
          <w:lang w:val="cy-GB"/>
        </w:rPr>
        <w:t>Assignment coversheet &amp; feedback form</w:t>
      </w: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sz w:val="28"/>
          <w:szCs w:val="28"/>
          <w:lang w:val="cy-GB"/>
        </w:rPr>
      </w:pPr>
    </w:p>
    <w:p>
      <w:pPr>
        <w:pStyle w:val="4"/>
        <w:pageBreakBefore w:val="0"/>
        <w:kinsoku/>
        <w:wordWrap/>
        <w:overflowPunct/>
        <w:topLinePunct w:val="0"/>
        <w:autoSpaceDE/>
        <w:autoSpaceDN/>
        <w:bidi w:val="0"/>
        <w:adjustRightInd/>
        <w:snapToGrid/>
        <w:spacing w:beforeAutospacing="0" w:afterAutospacing="0" w:line="240" w:lineRule="auto"/>
        <w:jc w:val="center"/>
        <w:textAlignment w:val="auto"/>
        <w:rPr>
          <w:lang w:val="cy-GB"/>
        </w:rPr>
      </w:pPr>
      <w:r>
        <w:rPr>
          <w:lang w:val="cy-GB"/>
        </w:rPr>
        <w:t>THIS SHEET MUST BE THE FIRST PAGE OF THE ASSIGNMENT YOU ARE SUBMITTING  (DO NOT SEND AS A SEPARATE FILE)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59"/>
        <w:gridCol w:w="415"/>
        <w:gridCol w:w="1527"/>
        <w:gridCol w:w="280"/>
        <w:gridCol w:w="1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4" w:hRule="atLeast"/>
        </w:trPr>
        <w:tc>
          <w:tcPr>
            <w:tcW w:w="8856" w:type="dxa"/>
            <w:gridSpan w:val="5"/>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8" w:hRule="atLeast"/>
        </w:trPr>
        <w:tc>
          <w:tcPr>
            <w:tcW w:w="8856" w:type="dxa"/>
            <w:gridSpan w:val="5"/>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hint="eastAsia" w:ascii="Arial" w:hAnsi="Arial" w:cs="Arial"/>
                <w:sz w:val="22"/>
                <w:szCs w:val="22"/>
                <w:lang w:val="en-US" w:eastAsia="zh-CN"/>
              </w:rPr>
            </w:pPr>
            <w:r>
              <w:rPr>
                <w:rFonts w:ascii="Arial" w:hAnsi="Arial" w:cs="Arial"/>
                <w:sz w:val="22"/>
                <w:szCs w:val="22"/>
              </w:rPr>
              <w:t>Student Name:</w:t>
            </w:r>
            <w:r>
              <w:rPr>
                <w:rFonts w:hint="eastAsia" w:ascii="Arial" w:hAnsi="Arial" w:cs="Arial"/>
                <w:sz w:val="22"/>
                <w:szCs w:val="22"/>
                <w:lang w:val="en-US" w:eastAsia="zh-CN"/>
              </w:rPr>
              <w:t>Xiaoyan Zhang</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hint="eastAsia" w:ascii="Arial" w:hAnsi="Arial" w:cs="Arial"/>
                <w:sz w:val="22"/>
                <w:szCs w:val="22"/>
                <w:lang w:val="en-US" w:eastAsia="zh-CN"/>
              </w:rPr>
              <w:t>Student University Email: 2518635@student.uwtsd.ac.uk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49" w:hRule="atLeast"/>
        </w:trPr>
        <w:tc>
          <w:tcPr>
            <w:tcW w:w="4788" w:type="dxa"/>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Module code:</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hint="default" w:ascii="Arial" w:hAnsi="Arial" w:eastAsia="宋体" w:cs="Arial"/>
                <w:sz w:val="22"/>
                <w:szCs w:val="22"/>
                <w:lang w:val="en-US" w:eastAsia="zh-CN"/>
              </w:rPr>
            </w:pPr>
            <w:r>
              <w:rPr>
                <w:rFonts w:hint="eastAsia" w:ascii="Arial" w:hAnsi="Arial" w:cs="Arial"/>
                <w:sz w:val="22"/>
                <w:szCs w:val="22"/>
                <w:lang w:val="en-US" w:eastAsia="zh-CN"/>
              </w:rPr>
              <w:t>HPCA7015</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Module title:</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hint="default" w:ascii="Arial" w:hAnsi="Arial" w:cs="Arial"/>
                <w:sz w:val="22"/>
                <w:szCs w:val="22"/>
                <w:lang w:val="de"/>
              </w:rPr>
              <w:t>Foundations in Cultural Astronomy and Astrology</w:t>
            </w:r>
          </w:p>
        </w:tc>
        <w:tc>
          <w:tcPr>
            <w:tcW w:w="2266" w:type="dxa"/>
            <w:gridSpan w:val="3"/>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Student ID number:</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hint="eastAsia" w:ascii="Arial" w:hAnsi="Arial" w:cs="Arial"/>
                <w:sz w:val="22"/>
                <w:szCs w:val="22"/>
                <w:lang w:val="en-US" w:eastAsia="zh-CN"/>
              </w:rPr>
              <w:t>2518635</w:t>
            </w:r>
          </w:p>
        </w:tc>
        <w:tc>
          <w:tcPr>
            <w:tcW w:w="1802" w:type="dxa"/>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Educational support needs:</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9" w:hRule="atLeast"/>
        </w:trPr>
        <w:tc>
          <w:tcPr>
            <w:tcW w:w="8856" w:type="dxa"/>
            <w:gridSpan w:val="5"/>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Assignment title:</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hint="eastAsia" w:ascii="Arial" w:hAnsi="Arial" w:cs="Arial"/>
                <w:sz w:val="22"/>
                <w:szCs w:val="22"/>
                <w:lang w:val="en-US" w:eastAsia="zh-CN"/>
              </w:rPr>
            </w:pPr>
            <w:r>
              <w:rPr>
                <w:rFonts w:hint="eastAsia" w:ascii="Arial" w:hAnsi="Arial" w:cs="Arial"/>
                <w:sz w:val="22"/>
                <w:szCs w:val="22"/>
                <w:lang w:val="en-US" w:eastAsia="zh-CN"/>
              </w:rPr>
              <w:t>Are perceptions of the cosmos culturally conditioned?</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Assignment due date:</w:t>
            </w:r>
            <w:r>
              <w:rPr>
                <w:rFonts w:hint="eastAsia" w:ascii="Arial" w:hAnsi="Arial" w:cs="Arial"/>
                <w:sz w:val="22"/>
                <w:szCs w:val="22"/>
                <w:lang w:val="en-US" w:eastAsia="zh-CN"/>
              </w:rPr>
              <w:t xml:space="preserve"> 5</w:t>
            </w:r>
            <w:r>
              <w:rPr>
                <w:rFonts w:ascii="Arial" w:hAnsi="Arial" w:cs="Arial"/>
                <w:sz w:val="22"/>
                <w:szCs w:val="22"/>
              </w:rPr>
              <w:t xml:space="preserve"> </w:t>
            </w:r>
            <w:r>
              <w:rPr>
                <w:rFonts w:hint="eastAsia" w:ascii="Arial" w:hAnsi="Arial" w:cs="Arial"/>
                <w:sz w:val="22"/>
                <w:szCs w:val="22"/>
                <w:lang w:val="en-US" w:eastAsia="zh-CN"/>
              </w:rPr>
              <w:t>January</w:t>
            </w:r>
            <w:r>
              <w:rPr>
                <w:rFonts w:ascii="Arial" w:hAnsi="Arial" w:cs="Arial"/>
                <w:sz w:val="22"/>
                <w:szCs w:val="22"/>
              </w:rPr>
              <w:t xml:space="preserve"> 202</w:t>
            </w:r>
            <w:r>
              <w:rPr>
                <w:rFonts w:hint="eastAsia" w:ascii="Arial" w:hAnsi="Arial" w:cs="Arial"/>
                <w:sz w:val="22"/>
                <w:szCs w:val="22"/>
                <w:lang w:val="en-US" w:eastAsia="zh-CN"/>
              </w:rPr>
              <w:t>6</w:t>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8856" w:type="dxa"/>
            <w:gridSpan w:val="5"/>
            <w:tcBorders>
              <w:bottom w:val="single" w:color="000000" w:sz="4" w:space="0"/>
            </w:tcBorders>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sz w:val="22"/>
                <w:szCs w:val="22"/>
              </w:rPr>
            </w:pPr>
            <w:r>
              <w:rPr>
                <w:rFonts w:ascii="Arial" w:hAnsi="Arial" w:cs="Arial"/>
                <w:sz w:val="22"/>
                <w:szCs w:val="22"/>
              </w:rPr>
              <w:t>This assignment is for the       1</w:t>
            </w:r>
            <w:r>
              <w:rPr>
                <w:rFonts w:ascii="Arial" w:hAnsi="Arial" w:cs="Arial"/>
                <w:sz w:val="22"/>
                <w:szCs w:val="22"/>
                <w:vertAlign w:val="superscript"/>
              </w:rPr>
              <w:t xml:space="preserve">st </w:t>
            </w:r>
            <w:r>
              <w:rPr>
                <w:rFonts w:ascii="Arial" w:hAnsi="Arial" w:cs="Arial"/>
                <w:sz w:val="22"/>
                <w:szCs w:val="22"/>
              </w:rPr>
              <w:fldChar w:fldCharType="begin">
                <w:ffData>
                  <w:name w:val="Check15"/>
                  <w:enabled/>
                  <w:calcOnExit w:val="0"/>
                  <w:checkBox>
                    <w:sizeAuto/>
                    <w:default w:val="0"/>
                    <w:checked w:val="0"/>
                  </w:checkBox>
                </w:ffData>
              </w:fldChar>
            </w:r>
            <w:bookmarkStart w:id="0" w:name="Check15"/>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0"/>
            <w:r>
              <w:rPr>
                <w:rFonts w:ascii="Arial" w:hAnsi="Arial" w:cs="Arial"/>
                <w:sz w:val="22"/>
                <w:szCs w:val="22"/>
              </w:rPr>
              <w:t xml:space="preserve">    2</w:t>
            </w:r>
            <w:r>
              <w:rPr>
                <w:rFonts w:ascii="Arial" w:hAnsi="Arial" w:cs="Arial"/>
                <w:sz w:val="22"/>
                <w:szCs w:val="22"/>
                <w:vertAlign w:val="superscript"/>
              </w:rPr>
              <w:t>nd</w:t>
            </w:r>
            <w:r>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0"/>
                    <w:checked w:val="0"/>
                  </w:checkBox>
                </w:ffData>
              </w:fldChar>
            </w:r>
            <w:bookmarkStart w:id="1" w:name="Check14"/>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1"/>
            <w:r>
              <w:rPr>
                <w:rFonts w:ascii="Arial" w:hAnsi="Arial" w:cs="Arial"/>
                <w:sz w:val="22"/>
                <w:szCs w:val="22"/>
              </w:rPr>
              <w:t xml:space="preserve">     3</w:t>
            </w:r>
            <w:r>
              <w:rPr>
                <w:rFonts w:ascii="Arial" w:hAnsi="Arial" w:cs="Arial"/>
                <w:sz w:val="22"/>
                <w:szCs w:val="22"/>
                <w:vertAlign w:val="superscript"/>
              </w:rPr>
              <w:t>rd</w:t>
            </w:r>
            <w:r>
              <w:rPr>
                <w:rFonts w:ascii="Arial" w:hAnsi="Arial" w:cs="Arial"/>
                <w:sz w:val="22"/>
                <w:szCs w:val="22"/>
              </w:rPr>
              <w:t xml:space="preserve">  </w:t>
            </w:r>
            <w:r>
              <w:rPr>
                <w:rFonts w:hint="default" w:ascii="Arial" w:hAnsi="Arial" w:cs="Arial"/>
                <w:sz w:val="22"/>
                <w:szCs w:val="22"/>
              </w:rPr>
              <w:t>√</w:t>
            </w:r>
            <w:r>
              <w:rPr>
                <w:rFonts w:ascii="Arial" w:hAnsi="Arial" w:cs="Arial"/>
                <w:sz w:val="22"/>
                <w:szCs w:val="22"/>
              </w:rPr>
              <w:fldChar w:fldCharType="begin">
                <w:ffData>
                  <w:name w:val="Check13"/>
                  <w:enabled/>
                  <w:calcOnExit w:val="0"/>
                  <w:checkBox>
                    <w:sizeAuto/>
                    <w:default w:val="0"/>
                    <w:checked w:val="0"/>
                  </w:checkBox>
                </w:ffData>
              </w:fldChar>
            </w:r>
            <w:bookmarkStart w:id="2" w:name="Check13"/>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2"/>
            <w:r>
              <w:rPr>
                <w:rFonts w:ascii="Arial" w:hAnsi="Arial" w:cs="Arial"/>
                <w:sz w:val="22"/>
                <w:szCs w:val="22"/>
              </w:rPr>
              <w:t xml:space="preserve">      4</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6"/>
                  <w:enabled/>
                  <w:calcOnExit w:val="0"/>
                  <w:checkBox>
                    <w:sizeAuto/>
                    <w:default w:val="0"/>
                    <w:checked w:val="0"/>
                  </w:checkBox>
                </w:ffData>
              </w:fldChar>
            </w:r>
            <w:bookmarkStart w:id="3" w:name="Check16"/>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3"/>
            <w:r>
              <w:rPr>
                <w:rFonts w:ascii="Arial" w:hAnsi="Arial" w:cs="Arial"/>
                <w:sz w:val="22"/>
                <w:szCs w:val="22"/>
              </w:rPr>
              <w:t xml:space="preserve">      5</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7"/>
                  <w:enabled/>
                  <w:calcOnExit w:val="0"/>
                  <w:checkBox>
                    <w:sizeAuto/>
                    <w:default w:val="0"/>
                    <w:checked w:val="0"/>
                  </w:checkBox>
                </w:ffData>
              </w:fldChar>
            </w:r>
            <w:bookmarkStart w:id="4" w:name="Check17"/>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4"/>
            <w:r>
              <w:rPr>
                <w:rFonts w:ascii="Arial" w:hAnsi="Arial" w:cs="Arial"/>
                <w:sz w:val="22"/>
                <w:szCs w:val="22"/>
              </w:rPr>
              <w:t xml:space="preserve">      6</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8"/>
                  <w:enabled/>
                  <w:calcOnExit w:val="0"/>
                  <w:checkBox>
                    <w:sizeAuto/>
                    <w:default w:val="0"/>
                    <w:checked w:val="0"/>
                  </w:checkBox>
                </w:ffData>
              </w:fldChar>
            </w:r>
            <w:bookmarkStart w:id="5" w:name="Check18"/>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5"/>
            <w:r>
              <w:rPr>
                <w:rFonts w:ascii="Arial" w:hAnsi="Arial" w:cs="Arial"/>
                <w:b/>
                <w:sz w:val="22"/>
                <w:szCs w:val="22"/>
              </w:rPr>
              <w:t xml:space="preserve">   </w:t>
            </w:r>
            <w:r>
              <w:rPr>
                <w:rFonts w:ascii="Arial" w:hAnsi="Arial" w:cs="Arial"/>
                <w:sz w:val="22"/>
                <w:szCs w:val="22"/>
              </w:rPr>
              <w:t>module of the degree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8856" w:type="dxa"/>
            <w:gridSpan w:val="5"/>
            <w:shd w:val="clear" w:color="auto" w:fill="D9D9D9"/>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Arial" w:hAnsi="Arial" w:cs="Arial"/>
                <w:sz w:val="22"/>
                <w:szCs w:val="22"/>
              </w:rPr>
              <w:t>Signed ……………………………………………………………</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hint="eastAsia" w:ascii="Calibri" w:hAnsi="Calibri" w:eastAsia="宋体" w:cs="Calibri"/>
                <w:b/>
                <w:sz w:val="44"/>
                <w:szCs w:val="44"/>
                <w:lang w:eastAsia="zh-CN"/>
              </w:rPr>
            </w:pPr>
            <w:r>
              <w:rPr>
                <w:rFonts w:ascii="Calibri" w:hAnsi="Calibri" w:cs="Tahoma"/>
                <w:b/>
                <w:sz w:val="24"/>
                <w:szCs w:val="24"/>
              </w:rPr>
              <w:t xml:space="preserve">Email submission:if you are submitting this form via email, please tick this box </w:t>
            </w:r>
            <w:r>
              <w:rPr>
                <w:rFonts w:hint="eastAsia" w:ascii="Calibri" w:hAnsi="Calibri" w:cs="Calibri"/>
                <w:b/>
                <w:sz w:val="44"/>
                <w:szCs w:val="44"/>
                <w:lang w:eastAsia="zh-CN"/>
              </w:rPr>
              <w:t>☑</w:t>
            </w:r>
          </w:p>
          <w:p>
            <w:pPr>
              <w:pStyle w:val="10"/>
              <w:pageBreakBefore w:val="0"/>
              <w:kinsoku/>
              <w:wordWrap/>
              <w:overflowPunct/>
              <w:topLinePunct w:val="0"/>
              <w:autoSpaceDE/>
              <w:autoSpaceDN/>
              <w:bidi w:val="0"/>
              <w:adjustRightInd/>
              <w:snapToGrid/>
              <w:spacing w:before="0" w:beforeAutospacing="0" w:after="0" w:afterAutospacing="0" w:line="240" w:lineRule="auto"/>
              <w:ind w:right="34"/>
              <w:textAlignment w:val="auto"/>
              <w:rPr>
                <w:rFonts w:ascii="Arial" w:hAnsi="Arial" w:cs="Arial"/>
                <w:sz w:val="22"/>
                <w:szCs w:val="22"/>
              </w:rPr>
            </w:pPr>
            <w:r>
              <w:rPr>
                <w:rFonts w:ascii="Calibri" w:hAnsi="Calibri" w:cs="Tahoma"/>
                <w:b/>
                <w:sz w:val="24"/>
                <w:szCs w:val="24"/>
              </w:rPr>
              <w:t>(as a substitute for your signature) to confirm that you agree to the above declaration.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2" w:hRule="atLeast"/>
        </w:trPr>
        <w:tc>
          <w:tcPr>
            <w:tcW w:w="8856" w:type="dxa"/>
            <w:gridSpan w:val="5"/>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b/>
              </w:rPr>
            </w:pP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rPr>
            </w:pPr>
            <w:r>
              <w:rPr>
                <w:rFonts w:ascii="Arial" w:hAnsi="Arial"/>
                <w:b/>
              </w:rPr>
              <w:t>Assignment Mark</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2"/>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r>
                    <w:rPr>
                      <w:rFonts w:ascii="Arial" w:hAnsi="Arial"/>
                      <w:sz w:val="20"/>
                      <w:szCs w:val="20"/>
                    </w:rPr>
                    <w:t>External Examiner’s mark (if relevant)</w:t>
                  </w:r>
                </w:p>
              </w:tc>
              <w:tc>
                <w:tcPr>
                  <w:tcW w:w="166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b/>
                      <w:sz w:val="20"/>
                      <w:szCs w:val="20"/>
                    </w:rPr>
                  </w:pPr>
                  <w:r>
                    <w:rPr>
                      <w:rFonts w:ascii="Arial" w:hAnsi="Arial"/>
                      <w:b/>
                      <w:sz w:val="20"/>
                      <w:szCs w:val="20"/>
                    </w:rPr>
                    <w:t>Final Mark</w:t>
                  </w:r>
                </w:p>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tc>
              <w:tc>
                <w:tcPr>
                  <w:tcW w:w="1660" w:type="dxa"/>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sz w:val="20"/>
                      <w:szCs w:val="20"/>
                    </w:rPr>
                  </w:pPr>
                </w:p>
              </w:tc>
            </w:tr>
          </w:tbl>
          <w:p>
            <w:pPr>
              <w:pStyle w:val="10"/>
              <w:pageBreakBefore w:val="0"/>
              <w:kinsoku/>
              <w:wordWrap/>
              <w:overflowPunct/>
              <w:topLinePunct w:val="0"/>
              <w:autoSpaceDE/>
              <w:autoSpaceDN/>
              <w:bidi w:val="0"/>
              <w:adjustRightInd/>
              <w:snapToGrid/>
              <w:spacing w:before="0" w:beforeAutospacing="0" w:after="0" w:afterAutospacing="0" w:line="240" w:lineRule="auto"/>
              <w:ind w:left="142" w:right="34"/>
              <w:textAlignment w:val="auto"/>
              <w:rPr>
                <w:rFonts w:ascii="Arial" w:hAnsi="Arial" w:cs="Arial"/>
                <w:b/>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left="142" w:right="34"/>
              <w:textAlignment w:val="auto"/>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10"/>
              <w:pageBreakBefore w:val="0"/>
              <w:kinsoku/>
              <w:wordWrap/>
              <w:overflowPunct/>
              <w:topLinePunct w:val="0"/>
              <w:autoSpaceDE/>
              <w:autoSpaceDN/>
              <w:bidi w:val="0"/>
              <w:adjustRightInd/>
              <w:snapToGrid/>
              <w:spacing w:before="0" w:beforeAutospacing="0" w:after="0" w:afterAutospacing="0" w:line="240" w:lineRule="auto"/>
              <w:textAlignment w:val="auto"/>
              <w:rPr>
                <w:rFonts w:ascii="Arial" w:hAnsi="Arial" w:cs="Arial"/>
                <w:b/>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textAlignment w:val="auto"/>
              <w:rPr>
                <w:rFonts w:ascii="Arial" w:hAnsi="Arial" w:cs="Arial"/>
                <w:b/>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textAlignment w:val="auto"/>
              <w:rPr>
                <w:rFonts w:ascii="Arial" w:hAnsi="Arial" w:cs="Arial"/>
                <w:b/>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textAlignment w:val="auto"/>
              <w:rPr>
                <w:rFonts w:ascii="Arial" w:hAnsi="Arial" w:cs="Arial"/>
                <w:b/>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textAlignment w:val="auto"/>
              <w:rPr>
                <w:rFonts w:ascii="Arial" w:hAnsi="Arial" w:cs="Arial"/>
                <w:b/>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textAlignment w:val="auto"/>
              <w:rPr>
                <w:rFonts w:ascii="Arial" w:hAnsi="Arial" w:cs="Arial"/>
                <w:b/>
                <w:sz w:val="22"/>
                <w:szCs w:val="22"/>
              </w:rPr>
            </w:pPr>
            <w:r>
              <w:rPr>
                <w:rFonts w:ascii="Arial" w:hAnsi="Arial" w:cs="Arial"/>
                <w:b/>
                <w:sz w:val="22"/>
                <w:szCs w:val="22"/>
              </w:rPr>
              <w:t>For completion by Marker 1 :</w:t>
            </w:r>
          </w:p>
          <w:p>
            <w:pPr>
              <w:pStyle w:val="10"/>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sz w:val="22"/>
                <w:szCs w:val="22"/>
              </w:rPr>
            </w:pPr>
            <w:r>
              <w:rPr>
                <w:rFonts w:ascii="Arial" w:hAnsi="Arial" w:cs="Arial"/>
                <w:sz w:val="22"/>
                <w:szCs w:val="22"/>
              </w:rPr>
              <w:t>Comments:</w:t>
            </w:r>
          </w:p>
          <w:p>
            <w:pPr>
              <w:pStyle w:val="10"/>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2" w:hRule="atLeast"/>
        </w:trPr>
        <w:tc>
          <w:tcPr>
            <w:tcW w:w="6768" w:type="dxa"/>
            <w:gridSpan w:val="3"/>
            <w:noWrap w:val="0"/>
            <w:vAlign w:val="top"/>
          </w:tcPr>
          <w:p>
            <w:pPr>
              <w:pStyle w:val="10"/>
              <w:pageBreakBefore w:val="0"/>
              <w:kinsoku/>
              <w:wordWrap/>
              <w:overflowPunct/>
              <w:topLinePunct w:val="0"/>
              <w:autoSpaceDE/>
              <w:autoSpaceDN/>
              <w:bidi w:val="0"/>
              <w:adjustRightInd/>
              <w:snapToGrid/>
              <w:spacing w:beforeAutospacing="0" w:afterAutospacing="0" w:line="240" w:lineRule="auto"/>
              <w:ind w:left="142" w:right="34"/>
              <w:textAlignment w:val="auto"/>
              <w:rPr>
                <w:rFonts w:ascii="Arial" w:hAnsi="Arial" w:cs="Arial"/>
                <w:sz w:val="22"/>
                <w:szCs w:val="22"/>
              </w:rPr>
            </w:pPr>
            <w:r>
              <w:rPr>
                <w:rFonts w:ascii="Arial" w:hAnsi="Arial" w:cs="Arial"/>
                <w:sz w:val="22"/>
                <w:szCs w:val="22"/>
              </w:rPr>
              <w:t>Marker’s signature:</w:t>
            </w:r>
          </w:p>
        </w:tc>
        <w:tc>
          <w:tcPr>
            <w:tcW w:w="2088" w:type="dxa"/>
            <w:gridSpan w:val="2"/>
            <w:noWrap w:val="0"/>
            <w:vAlign w:val="top"/>
          </w:tcPr>
          <w:p>
            <w:pPr>
              <w:pStyle w:val="10"/>
              <w:pageBreakBefore w:val="0"/>
              <w:kinsoku/>
              <w:wordWrap/>
              <w:overflowPunct/>
              <w:topLinePunct w:val="0"/>
              <w:autoSpaceDE/>
              <w:autoSpaceDN/>
              <w:bidi w:val="0"/>
              <w:adjustRightInd/>
              <w:snapToGrid/>
              <w:spacing w:beforeAutospacing="0" w:after="0" w:afterAutospacing="0" w:line="240" w:lineRule="auto"/>
              <w:ind w:left="142" w:right="34"/>
              <w:textAlignment w:val="auto"/>
              <w:rPr>
                <w:rFonts w:ascii="Arial" w:hAnsi="Arial" w:cs="Arial"/>
                <w:sz w:val="22"/>
                <w:szCs w:val="22"/>
              </w:rPr>
            </w:pPr>
            <w:r>
              <w:rPr>
                <w:rFonts w:ascii="Arial" w:hAnsi="Arial" w:cs="Arial"/>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856" w:type="dxa"/>
            <w:gridSpan w:val="5"/>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i/>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
                <w:bCs/>
                <w:sz w:val="22"/>
                <w:szCs w:val="22"/>
              </w:rPr>
            </w:pPr>
            <w:r>
              <w:rPr>
                <w:rFonts w:ascii="Arial" w:hAnsi="Arial" w:cs="Arial"/>
                <w:b/>
                <w:bCs/>
                <w:sz w:val="22"/>
                <w:szCs w:val="22"/>
              </w:rPr>
              <w:t>For completion by Marker 2/Moderator:</w:t>
            </w: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r>
              <w:rPr>
                <w:rFonts w:ascii="Arial" w:hAnsi="Arial" w:cs="Arial"/>
                <w:bCs/>
                <w:sz w:val="22"/>
                <w:szCs w:val="22"/>
              </w:rPr>
              <w:t>Comments:</w:t>
            </w: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trPr>
        <w:tc>
          <w:tcPr>
            <w:tcW w:w="5211" w:type="dxa"/>
            <w:gridSpan w:val="2"/>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r>
              <w:rPr>
                <w:rFonts w:ascii="Arial" w:hAnsi="Arial" w:cs="Arial"/>
                <w:bCs/>
                <w:sz w:val="22"/>
                <w:szCs w:val="22"/>
              </w:rPr>
              <w:t>Marker’s Signature:</w:t>
            </w:r>
          </w:p>
        </w:tc>
        <w:tc>
          <w:tcPr>
            <w:tcW w:w="3645" w:type="dxa"/>
            <w:gridSpan w:val="3"/>
            <w:noWrap w:val="0"/>
            <w:vAlign w:val="top"/>
          </w:tcPr>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r>
              <w:rPr>
                <w:rFonts w:ascii="Arial" w:hAnsi="Arial" w:cs="Arial"/>
                <w:bCs/>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trPr>
        <w:tc>
          <w:tcPr>
            <w:tcW w:w="8856" w:type="dxa"/>
            <w:gridSpan w:val="5"/>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b/>
                <w:sz w:val="22"/>
                <w:szCs w:val="22"/>
              </w:rPr>
            </w:pPr>
            <w:r>
              <w:rPr>
                <w:rFonts w:ascii="Arial" w:hAnsi="Arial" w:cs="Arial"/>
                <w:b/>
                <w:sz w:val="22"/>
                <w:szCs w:val="22"/>
              </w:rPr>
              <w:t>External Examiner’s comments (if relevant)</w:t>
            </w: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Arial" w:hAnsi="Arial" w:cs="Arial"/>
                <w:bCs/>
                <w:sz w:val="22"/>
                <w:szCs w:val="22"/>
              </w:rPr>
            </w:pPr>
          </w:p>
          <w:p>
            <w:pPr>
              <w:pStyle w:val="10"/>
              <w:pageBreakBefore w:val="0"/>
              <w:kinsoku/>
              <w:wordWrap/>
              <w:overflowPunct/>
              <w:topLinePunct w:val="0"/>
              <w:autoSpaceDE/>
              <w:autoSpaceDN/>
              <w:bidi w:val="0"/>
              <w:adjustRightInd/>
              <w:snapToGrid/>
              <w:spacing w:before="0" w:beforeAutospacing="0" w:after="0" w:afterAutospacing="0" w:line="240" w:lineRule="auto"/>
              <w:ind w:left="0" w:leftChars="0" w:right="-334" w:firstLine="0" w:firstLineChars="0"/>
              <w:textAlignment w:val="auto"/>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trPr>
        <w:tc>
          <w:tcPr>
            <w:tcW w:w="5211" w:type="dxa"/>
            <w:gridSpan w:val="2"/>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sz w:val="22"/>
                <w:szCs w:val="22"/>
              </w:rPr>
            </w:pPr>
            <w:r>
              <w:rPr>
                <w:rFonts w:ascii="Arial" w:hAnsi="Arial" w:cs="Arial"/>
                <w:sz w:val="22"/>
                <w:szCs w:val="22"/>
              </w:rPr>
              <w:t>External Examiner’s Signature:</w:t>
            </w:r>
          </w:p>
        </w:tc>
        <w:tc>
          <w:tcPr>
            <w:tcW w:w="3645" w:type="dxa"/>
            <w:gridSpan w:val="3"/>
            <w:noWrap w:val="0"/>
            <w:vAlign w:val="top"/>
          </w:tcPr>
          <w:p>
            <w:pPr>
              <w:pageBreakBefore w:val="0"/>
              <w:kinsoku/>
              <w:wordWrap/>
              <w:overflowPunct/>
              <w:topLinePunct w:val="0"/>
              <w:autoSpaceDE/>
              <w:autoSpaceDN/>
              <w:bidi w:val="0"/>
              <w:adjustRightInd/>
              <w:snapToGrid/>
              <w:spacing w:beforeAutospacing="0" w:afterAutospacing="0" w:line="240" w:lineRule="auto"/>
              <w:textAlignment w:val="auto"/>
              <w:rPr>
                <w:rFonts w:ascii="Arial" w:hAnsi="Arial" w:cs="Arial"/>
                <w:sz w:val="22"/>
                <w:szCs w:val="22"/>
              </w:rPr>
            </w:pPr>
            <w:r>
              <w:rPr>
                <w:rFonts w:ascii="Arial" w:hAnsi="Arial" w:cs="Arial"/>
                <w:sz w:val="22"/>
                <w:szCs w:val="22"/>
              </w:rPr>
              <w:t>Date:</w:t>
            </w:r>
          </w:p>
        </w:tc>
      </w:tr>
    </w:tbl>
    <w:p>
      <w:pPr>
        <w:pStyle w:val="10"/>
        <w:pageBreakBefore w:val="0"/>
        <w:kinsoku/>
        <w:wordWrap/>
        <w:overflowPunct/>
        <w:topLinePunct w:val="0"/>
        <w:autoSpaceDE/>
        <w:autoSpaceDN/>
        <w:bidi w:val="0"/>
        <w:adjustRightInd/>
        <w:snapToGrid/>
        <w:spacing w:before="0" w:beforeAutospacing="0" w:after="0" w:afterAutospacing="0" w:line="240" w:lineRule="auto"/>
        <w:ind w:right="-334"/>
        <w:textAlignment w:val="auto"/>
        <w:rPr>
          <w:rFonts w:ascii="Trebuchet MS" w:hAnsi="Trebuchet MS" w:cs="Tahoma"/>
          <w:bCs/>
          <w:sz w:val="24"/>
          <w:szCs w:val="24"/>
        </w:rPr>
      </w:pPr>
    </w:p>
    <w:p>
      <w:pPr>
        <w:pageBreakBefore w:val="0"/>
        <w:kinsoku/>
        <w:wordWrap/>
        <w:overflowPunct/>
        <w:topLinePunct w:val="0"/>
        <w:autoSpaceDE/>
        <w:autoSpaceDN/>
        <w:bidi w:val="0"/>
        <w:adjustRightInd/>
        <w:snapToGrid/>
        <w:spacing w:beforeAutospacing="0" w:afterAutospacing="0" w:line="240" w:lineRule="auto"/>
        <w:textAlignment w:val="auto"/>
        <w:rPr>
          <w:rStyle w:val="16"/>
          <w:rFonts w:hint="default"/>
          <w:lang w:val="en-US" w:eastAsia="zh-CN"/>
        </w:rPr>
      </w:pPr>
      <w:r>
        <w:rPr>
          <w:rFonts w:hint="default" w:ascii="Times New Roman" w:hAnsi="Times New Roman" w:cs="Times New Roman"/>
          <w:b w:val="0"/>
          <w:bCs w:val="0"/>
          <w:sz w:val="32"/>
          <w:szCs w:val="32"/>
        </w:rPr>
        <w:br w:type="page"/>
      </w:r>
    </w:p>
    <w:p>
      <w:pPr>
        <w:keepNext w:val="0"/>
        <w:keepLines w:val="0"/>
        <w:widowControl/>
        <w:suppressLineNumbers w:val="0"/>
        <w:spacing w:before="105" w:beforeAutospacing="0" w:after="105" w:afterAutospacing="0"/>
        <w:jc w:val="center"/>
        <w:rPr>
          <w:rStyle w:val="16"/>
          <w:rFonts w:hint="default"/>
          <w:lang w:val="en-US" w:eastAsia="zh-CN"/>
        </w:rPr>
      </w:pPr>
      <w:r>
        <w:rPr>
          <w:rStyle w:val="16"/>
          <w:rFonts w:hint="default"/>
          <w:lang w:val="en-US" w:eastAsia="zh-CN"/>
        </w:rPr>
        <w:t>Are perceptions of the cosmos culturally conditioned?</w:t>
      </w:r>
    </w:p>
    <w:p>
      <w:pPr>
        <w:keepNext w:val="0"/>
        <w:keepLines w:val="0"/>
        <w:widowControl/>
        <w:suppressLineNumbers w:val="0"/>
        <w:spacing w:before="105" w:beforeAutospacing="0" w:after="105" w:afterAutospacing="0"/>
        <w:jc w:val="center"/>
        <w:rPr>
          <w:rStyle w:val="16"/>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rPr>
        <w:t xml:space="preserve">Word </w:t>
      </w:r>
      <w:r>
        <w:rPr>
          <w:rFonts w:hint="default" w:ascii="Times New Roman Regular" w:hAnsi="Times New Roman Regular" w:cs="Times New Roman Regular"/>
          <w:sz w:val="24"/>
          <w:szCs w:val="24"/>
          <w:lang w:val="en-US" w:eastAsia="zh-CN"/>
        </w:rPr>
        <w:t>C</w:t>
      </w:r>
      <w:r>
        <w:rPr>
          <w:rFonts w:hint="default" w:ascii="Times New Roman Regular" w:hAnsi="Times New Roman Regular" w:cs="Times New Roman Regular"/>
          <w:sz w:val="24"/>
          <w:szCs w:val="24"/>
        </w:rPr>
        <w:t>ount</w:t>
      </w:r>
      <w:r>
        <w:rPr>
          <w:rFonts w:hint="default" w:ascii="Times New Roman Regular" w:hAnsi="Times New Roman Regular" w:cs="Times New Roman Regular"/>
          <w:sz w:val="24"/>
          <w:szCs w:val="24"/>
          <w:lang w:eastAsia="zh-CN"/>
        </w:rPr>
        <w:t>：</w:t>
      </w:r>
      <w:r>
        <w:rPr>
          <w:rFonts w:hint="eastAsia" w:ascii="Times New Roman Regular" w:hAnsi="Times New Roman Regular" w:cs="Times New Roman Regular"/>
          <w:sz w:val="24"/>
          <w:szCs w:val="24"/>
          <w:lang w:val="en-US" w:eastAsia="zh-CN"/>
        </w:rPr>
        <w:t>3437</w:t>
      </w:r>
    </w:p>
    <w:p>
      <w:pPr>
        <w:keepNext w:val="0"/>
        <w:keepLines w:val="0"/>
        <w:widowControl/>
        <w:suppressLineNumbers w:val="0"/>
        <w:spacing w:before="105" w:beforeAutospacing="0" w:after="105" w:afterAutospacing="0"/>
        <w:jc w:val="left"/>
        <w:rPr>
          <w:rFonts w:hint="default" w:ascii="Times New Roman Regular" w:hAnsi="Times New Roman Regular" w:cs="Times New Roman Regular"/>
        </w:rPr>
      </w:pPr>
      <w:r>
        <w:rPr>
          <w:rFonts w:hint="default" w:ascii="Times New Roman Regular" w:hAnsi="Times New Roman Regular" w:eastAsia="宋体" w:cs="Times New Roman Regular"/>
          <w:kern w:val="0"/>
          <w:sz w:val="24"/>
          <w:szCs w:val="24"/>
          <w:lang w:val="en-US" w:eastAsia="zh-CN" w:bidi="ar"/>
        </w:rPr>
        <w:t>The study is based on Chinese and Hindu cosmology and treats these two long-standing systems as subjects through which the relationship between cultural assumptions and the formation of cosmological models can be examined to address whether cosmic orders originate within culture itself.</w:t>
      </w:r>
    </w:p>
    <w:p>
      <w:pPr>
        <w:pStyle w:val="3"/>
        <w:bidi w:val="0"/>
        <w:rPr>
          <w:rFonts w:hint="default"/>
          <w:lang w:val="en-US" w:eastAsia="zh-CN"/>
        </w:rPr>
      </w:pPr>
      <w:r>
        <w:rPr>
          <w:rFonts w:hint="default"/>
          <w:lang w:val="en-US" w:eastAsia="zh-CN"/>
        </w:rPr>
        <w:t>Introduction</w:t>
      </w:r>
    </w:p>
    <w:p>
      <w:pPr>
        <w:bidi w:val="0"/>
        <w:rPr>
          <w:rFonts w:hint="default"/>
          <w:lang w:val="en-US" w:eastAsia="zh-CN"/>
        </w:rPr>
      </w:pPr>
      <w:r>
        <w:rPr>
          <w:rFonts w:hint="default"/>
          <w:lang w:val="en-US" w:eastAsia="zh-CN"/>
        </w:rPr>
        <w:t>British anthropologist Edward Burnett Tylor proposed the academic concept of culture in 1871, defining it as the complex whole which includes knowledge, belief, art, law, morality, customs, and whatever other capabilities and habits a society has acquired as a member</w:t>
      </w:r>
      <w:r>
        <w:rPr>
          <w:rStyle w:val="15"/>
          <w:rFonts w:hint="default" w:ascii="Times New Roman Regular" w:hAnsi="Times New Roman Regular" w:eastAsia="宋体" w:cs="Times New Roman Regular"/>
          <w:kern w:val="0"/>
          <w:szCs w:val="24"/>
          <w:lang w:val="en-US" w:eastAsia="zh-CN" w:bidi="ar"/>
        </w:rPr>
        <w:footnoteReference w:id="0"/>
      </w:r>
      <w:r>
        <w:rPr>
          <w:rFonts w:hint="default"/>
          <w:lang w:val="en-US" w:eastAsia="zh-CN"/>
        </w:rPr>
        <w:t>. When cosmology is conceived of as an intellectual frame through which communities narrate the emergence, organization, and moral direction of the cosmos, it reveals the complex interweaving of metaphysical imagination with cultural patterning. Comparing Chinese and Hindu models of cosmic order is especially fruitful for entering into these entanglements.</w:t>
      </w:r>
      <w:r>
        <w:rPr>
          <w:rFonts w:hint="eastAsia"/>
          <w:lang w:val="en-US" w:eastAsia="zh-CN"/>
        </w:rPr>
        <w:t xml:space="preserve"> </w:t>
      </w:r>
      <w:r>
        <w:rPr>
          <w:rFonts w:hint="default"/>
          <w:lang w:val="en-US" w:eastAsia="zh-CN"/>
        </w:rPr>
        <w:t>Whether it is the continuously evolving Chinese culture that gradually integrated the three doctrines of Confucianism, Buddhism, and Taoism since the 5th century AD, or the intermittently evolving Hindu culture that followed changes in the caste system and the secular-religious power structure, both have developed their own unique cosmological systems.</w:t>
      </w:r>
    </w:p>
    <w:p>
      <w:pPr>
        <w:bidi w:val="0"/>
        <w:rPr>
          <w:rFonts w:hint="default"/>
          <w:lang w:val="en-US" w:eastAsia="zh-CN"/>
        </w:rPr>
      </w:pPr>
      <w:r>
        <w:rPr>
          <w:rFonts w:hint="default"/>
          <w:lang w:val="en-US" w:eastAsia="zh-CN"/>
        </w:rPr>
        <w:t>Campion</w:t>
      </w:r>
      <w:r>
        <w:rPr>
          <w:rStyle w:val="15"/>
          <w:rFonts w:hint="default" w:ascii="Times New Roman Regular" w:hAnsi="Times New Roman Regular" w:eastAsia="宋体" w:cs="Times New Roman Regular"/>
          <w:kern w:val="0"/>
          <w:szCs w:val="24"/>
          <w:lang w:val="en-US" w:eastAsia="zh-CN" w:bidi="ar"/>
        </w:rPr>
        <w:footnoteReference w:id="1"/>
      </w:r>
      <w:r>
        <w:rPr>
          <w:rFonts w:hint="default"/>
          <w:lang w:val="en-US" w:eastAsia="zh-CN"/>
        </w:rPr>
        <w:t xml:space="preserve"> writes that</w:t>
      </w:r>
      <w:r>
        <w:rPr>
          <w:rFonts w:hint="eastAsia"/>
          <w:lang w:val="en-US" w:eastAsia="zh-CN"/>
        </w:rPr>
        <w:t xml:space="preserve"> </w:t>
      </w:r>
      <w:r>
        <w:rPr>
          <w:rFonts w:hint="default"/>
          <w:lang w:val="en-US" w:eastAsia="zh-CN"/>
        </w:rPr>
        <w:t>‘People construct anthropological cosmologies’, and ‘scientific cosmology should be understood as a significant cultural influence,’ a statement that underscores the difficulty of separating cosmic explanation from the cultural environment that sustains its categories, narrative structures, and conceptual limits.</w:t>
      </w:r>
      <w:r>
        <w:rPr>
          <w:rFonts w:hint="eastAsia"/>
          <w:lang w:val="en-US" w:eastAsia="zh-CN"/>
        </w:rPr>
        <w:t xml:space="preserve"> </w:t>
      </w:r>
      <w:r>
        <w:t>Norriss Hetherington</w:t>
      </w:r>
      <w:r>
        <w:rPr>
          <w:rStyle w:val="15"/>
          <w:rFonts w:cs="Times New Roman"/>
        </w:rPr>
        <w:footnoteReference w:id="2"/>
      </w:r>
      <w:r>
        <w:t xml:space="preserve"> points out that </w:t>
      </w:r>
      <w:r>
        <w:rPr>
          <w:rFonts w:hint="default"/>
          <w:lang w:val="en-US" w:eastAsia="zh-CN"/>
        </w:rPr>
        <w:t>‘</w:t>
      </w:r>
      <w:r>
        <w:t>The fact that different cultures have produced different sciences, including different cosmologies, suggests that science may be relative</w:t>
      </w:r>
      <w:r>
        <w:rPr>
          <w:rFonts w:hint="default"/>
          <w:lang w:val="en-US" w:eastAsia="zh-CN"/>
        </w:rPr>
        <w:t>’</w:t>
      </w:r>
      <w:r>
        <w:t>, and he further states that Native American, Chinese, Mesopotamian, or Presocratic Greek cosmologies could awaken an appreciation of cosmology as a human intellectual creation rather than a purely objective description, an argument that directly situates cosmological speculation within culturally specific systems of rationality.</w:t>
      </w:r>
      <w:r>
        <w:rPr>
          <w:rFonts w:hint="eastAsia"/>
          <w:lang w:val="en-US" w:eastAsia="zh-CN"/>
        </w:rPr>
        <w:t xml:space="preserve"> </w:t>
      </w:r>
      <w:r>
        <w:rPr>
          <w:rFonts w:hint="default"/>
          <w:lang w:val="en-US" w:eastAsia="zh-CN"/>
        </w:rPr>
        <w:t>While recurring themes like cycles, origins, and order across cultures might hint at a shared observation of some cosmic reality, they also raise a critical question about interpretation: to what extent is our understanding of the cosmos a product of the cultural lens through which we view it? To investigate this question, this study will focus on how phenomena are imbued with meaning and integrated into a social fabric. It will do so by examining the Chinese concepts of qi, the Mandate of Heaven, cyclic time, and correlative thinking, alongside their Hindu counterparts: Brahman, cosmic cycles, and the layered universe. The aim is to illuminate how cosmologies function as epistemological systems, moral landscapes, and cultural artefacts, thereby exploring whether the concept of cosmic order emerges from within culture or is perceived as being beyond it.</w:t>
      </w:r>
    </w:p>
    <w:p>
      <w:pPr>
        <w:pStyle w:val="3"/>
        <w:bidi w:val="0"/>
        <w:rPr>
          <w:rFonts w:hint="default"/>
          <w:lang w:val="en-US" w:eastAsia="zh-CN"/>
        </w:rPr>
      </w:pPr>
      <w:r>
        <w:rPr>
          <w:rFonts w:hint="eastAsia"/>
        </w:rPr>
        <w:t>Cultural Conditioning and the Formation of Chinese Cosmology</w:t>
      </w:r>
    </w:p>
    <w:p>
      <w:pPr>
        <w:bidi w:val="0"/>
        <w:rPr>
          <w:rFonts w:hint="eastAsia"/>
          <w:lang w:val="en-US" w:eastAsia="zh-CN"/>
        </w:rPr>
      </w:pPr>
      <w:r>
        <w:rPr>
          <w:rFonts w:hint="eastAsia"/>
          <w:lang w:val="en-US" w:eastAsia="zh-CN"/>
        </w:rPr>
        <w:t>Chinese cosmology was not produced through detached speculation about nature but emerged within a dense network of ritual practice, ancestral thought, political symbolism, divination, and administrative order. Cosmological concepts such as qi, yin–yang, Heaven, and Earth developed as extensions of ritual codes, lineage systems, canonical texts, and governance structures. Examining Chinese cosmology, therefore, requires attention not only to metaphysical claims but also to the moral and cultural assumptions embedded within them, in order to determine whether Chinese understandings of the universe constituted culturally conditioned constructions rather than value-neutral descriptions of cosmic substance.</w:t>
      </w:r>
    </w:p>
    <w:p>
      <w:pPr>
        <w:bidi w:val="0"/>
        <w:rPr>
          <w:rFonts w:hint="eastAsia"/>
          <w:lang w:val="en-US" w:eastAsia="zh-CN"/>
        </w:rPr>
      </w:pPr>
      <w:r>
        <w:rPr>
          <w:rFonts w:hint="eastAsia"/>
          <w:lang w:val="en-US" w:eastAsia="zh-CN"/>
        </w:rPr>
        <w:t>A defining feature of Chinese cosmological thought is the systematic integration of metaphysics with social life. Cosmological speculation was consistently intertwined with seasonal observation, sacralization, political hierarchy, and ethical cultivation, producing a symbolic order in which natural cycles, moral constraints, political legitimacy, and metaphysical principles were interpreted as parallel expressions of a single patterned totality. This correlative structure unified diverse domains—including astronomy, medicine, governance, kinship ideology, and ecology—into a coherent cosmological architecture. As a result, cosmological order did not operate independently of social order; rather, cosmic harmony was understood to require moral governance, while social disorder was believed to generate cosmic imbalance.</w:t>
      </w:r>
    </w:p>
    <w:p>
      <w:pPr>
        <w:bidi w:val="0"/>
        <w:rPr>
          <w:rFonts w:hint="eastAsia"/>
          <w:lang w:val="en-US" w:eastAsia="zh-CN"/>
        </w:rPr>
      </w:pPr>
      <w:r>
        <w:rPr>
          <w:rFonts w:hint="eastAsia"/>
          <w:lang w:val="en-US" w:eastAsia="zh-CN"/>
        </w:rPr>
        <w:t>This structural logic is clearly articulated in Neo-Confucian metaphysics. Hu J</w:t>
      </w:r>
      <w:r>
        <w:rPr>
          <w:rStyle w:val="15"/>
          <w:rFonts w:hint="eastAsia"/>
          <w:lang w:val="en-US" w:eastAsia="zh-CN"/>
        </w:rPr>
        <w:footnoteReference w:id="3"/>
      </w:r>
      <w:r>
        <w:rPr>
          <w:rFonts w:hint="eastAsia"/>
          <w:lang w:val="en-US" w:eastAsia="zh-CN"/>
        </w:rPr>
        <w:t xml:space="preserve"> notes that Zhu Xi conceived the universe as a patterned li totality composed of acosmic vapour qi, which condenses and differentiates into polarity, the Five Phases, and ultimately the phenomenal world of Heaven, Earth, and the myriad things. This formulation reflects a culturally specific mode of cosmological reasoning that privileges correlation, circulation, balance, and resonance—concepts shaped by ritual ontology and classical medical models—over causal or mechanistic explanation. Cosmic processes were thus interpreted through moral and ritual grammars rather than abstract physical laws.</w:t>
      </w:r>
    </w:p>
    <w:p>
      <w:pPr>
        <w:bidi w:val="0"/>
        <w:rPr>
          <w:rFonts w:hint="eastAsia"/>
          <w:lang w:val="en-US" w:eastAsia="zh-CN"/>
        </w:rPr>
      </w:pPr>
      <w:r>
        <w:rPr>
          <w:rFonts w:hint="eastAsia"/>
          <w:lang w:val="en-US" w:eastAsia="zh-CN"/>
        </w:rPr>
        <w:t>Within this framework, Chinese cosmology explicitly rejected anthropocentric arrogance by situating humanity within a broader cosmic continuum. As J. Kassiola</w:t>
      </w:r>
      <w:r>
        <w:rPr>
          <w:rStyle w:val="15"/>
          <w:rFonts w:hint="eastAsia"/>
          <w:lang w:val="en-US" w:eastAsia="zh-CN"/>
        </w:rPr>
        <w:footnoteReference w:id="4"/>
      </w:r>
      <w:r>
        <w:rPr>
          <w:rFonts w:hint="eastAsia"/>
          <w:lang w:val="en-US" w:eastAsia="zh-CN"/>
        </w:rPr>
        <w:t xml:space="preserve"> observes, Zhang Zai’s metaphysical vision framed human existence as one component within an interconnected cosmic ecology, thereby embedding ethical prescriptions within cosmological description. This perspective transformed cosmology into a cultural discourse emphasizing humility, relational responsibility, ecological reciprocity, and moral restraint. Rather than elevating humanity above nature, Chinese cosmology portrayed human conduct as one resonant factor within a morally responsive universe.</w:t>
      </w:r>
    </w:p>
    <w:p>
      <w:pPr>
        <w:keepNext w:val="0"/>
        <w:keepLines w:val="0"/>
        <w:widowControl/>
        <w:suppressLineNumbers w:val="0"/>
        <w:jc w:val="left"/>
        <w:rPr>
          <w:rFonts w:hint="eastAsia"/>
          <w:lang w:val="en-US" w:eastAsia="zh-CN"/>
        </w:rPr>
      </w:pPr>
      <w:r>
        <w:rPr>
          <w:rFonts w:hint="eastAsia"/>
          <w:lang w:val="en-US" w:eastAsia="zh-CN"/>
        </w:rPr>
        <w:t>The embedding of ethical norms within cosmological structure is further illustrated by the pervasive use of kinship metaphors. Li C</w:t>
      </w:r>
      <w:r>
        <w:rPr>
          <w:rStyle w:val="15"/>
          <w:rFonts w:hint="eastAsia"/>
          <w:lang w:val="en-US" w:eastAsia="zh-CN"/>
        </w:rPr>
        <w:footnoteReference w:id="5"/>
      </w:r>
      <w:r>
        <w:rPr>
          <w:rFonts w:hint="eastAsia"/>
          <w:lang w:val="en-US" w:eastAsia="zh-CN"/>
        </w:rPr>
        <w:t xml:space="preserve"> points out that classical Chinese thought designated Heaven and Earth as the “father” and “mother” of humanity, a view articulated explicitly in Zhang Zai’s Western Inscription: “</w:t>
      </w:r>
      <w:r>
        <w:rPr>
          <w:lang w:val="en-US" w:eastAsia="zh-CN"/>
        </w:rPr>
        <w:t>乾稱父 :</w:t>
      </w:r>
      <w:r>
        <w:rPr>
          <w:rFonts w:hint="eastAsia"/>
          <w:lang w:val="en-US" w:eastAsia="zh-CN"/>
        </w:rPr>
        <w:t xml:space="preserve"> </w:t>
      </w:r>
      <w:r>
        <w:rPr>
          <w:rFonts w:hint="default"/>
          <w:lang w:val="en-US" w:eastAsia="zh-CN"/>
        </w:rPr>
        <w:t>Qián</w:t>
      </w:r>
      <w:r>
        <w:rPr>
          <w:rFonts w:hint="eastAsia"/>
          <w:lang w:val="en-US" w:eastAsia="zh-CN"/>
        </w:rPr>
        <w:t xml:space="preserve"> </w:t>
      </w:r>
      <w:r>
        <w:rPr>
          <w:rFonts w:hint="default"/>
          <w:lang w:val="en-US" w:eastAsia="zh-CN"/>
        </w:rPr>
        <w:t>(</w:t>
      </w:r>
      <w:r>
        <w:rPr>
          <w:lang w:val="en-US" w:eastAsia="zh-CN"/>
        </w:rPr>
        <w:t>Yang</w:t>
      </w:r>
      <w:r>
        <w:rPr>
          <w:rFonts w:hint="eastAsia"/>
          <w:lang w:val="en-US" w:eastAsia="zh-CN"/>
        </w:rPr>
        <w:t>/Heaven</w:t>
      </w:r>
      <w:r>
        <w:rPr>
          <w:rFonts w:hint="default"/>
          <w:lang w:val="en-US" w:eastAsia="zh-CN"/>
        </w:rPr>
        <w:t xml:space="preserve">) is </w:t>
      </w:r>
      <w:r>
        <w:rPr>
          <w:rFonts w:hint="eastAsia"/>
          <w:lang w:val="en-US" w:eastAsia="zh-CN"/>
        </w:rPr>
        <w:t>my</w:t>
      </w:r>
      <w:r>
        <w:rPr>
          <w:rFonts w:hint="default"/>
          <w:lang w:val="en-US" w:eastAsia="zh-CN"/>
        </w:rPr>
        <w:t xml:space="preserve"> ‘father’;</w:t>
      </w:r>
      <w:r>
        <w:rPr>
          <w:rFonts w:hint="eastAsia"/>
          <w:lang w:val="en-US" w:eastAsia="zh-CN"/>
        </w:rPr>
        <w:t xml:space="preserve"> </w:t>
      </w:r>
      <w:r>
        <w:rPr>
          <w:rFonts w:hint="default"/>
          <w:lang w:val="en-US" w:eastAsia="zh-CN"/>
        </w:rPr>
        <w:t>坤稱母 :</w:t>
      </w:r>
      <w:r>
        <w:rPr>
          <w:rFonts w:hint="eastAsia"/>
          <w:lang w:val="en-US" w:eastAsia="zh-CN"/>
        </w:rPr>
        <w:t xml:space="preserve"> </w:t>
      </w:r>
      <w:r>
        <w:rPr>
          <w:rFonts w:hint="default"/>
          <w:lang w:val="en-US" w:eastAsia="zh-CN"/>
        </w:rPr>
        <w:t>Kūn</w:t>
      </w:r>
      <w:r>
        <w:rPr>
          <w:rFonts w:hint="eastAsia"/>
          <w:lang w:val="en-US" w:eastAsia="zh-CN"/>
        </w:rPr>
        <w:t xml:space="preserve"> </w:t>
      </w:r>
      <w:r>
        <w:rPr>
          <w:rFonts w:hint="default"/>
          <w:lang w:val="en-US" w:eastAsia="zh-CN"/>
        </w:rPr>
        <w:t>(</w:t>
      </w:r>
      <w:r>
        <w:rPr>
          <w:rFonts w:hint="eastAsia"/>
          <w:lang w:val="en-US" w:eastAsia="zh-CN"/>
        </w:rPr>
        <w:t>Yin/Earth</w:t>
      </w:r>
      <w:r>
        <w:rPr>
          <w:rFonts w:hint="default"/>
          <w:lang w:val="en-US" w:eastAsia="zh-CN"/>
        </w:rPr>
        <w:t xml:space="preserve">) is </w:t>
      </w:r>
      <w:r>
        <w:rPr>
          <w:rFonts w:hint="eastAsia"/>
          <w:lang w:val="en-US" w:eastAsia="zh-CN"/>
        </w:rPr>
        <w:t>my</w:t>
      </w:r>
      <w:r>
        <w:rPr>
          <w:rFonts w:hint="default"/>
          <w:lang w:val="en-US" w:eastAsia="zh-CN"/>
        </w:rPr>
        <w:t xml:space="preserve"> ‘mother’.</w:t>
      </w:r>
      <w:r>
        <w:rPr>
          <w:rFonts w:hint="eastAsia"/>
          <w:lang w:val="en-US" w:eastAsia="zh-CN"/>
        </w:rPr>
        <w:t xml:space="preserve"> </w:t>
      </w:r>
      <w:r>
        <w:rPr>
          <w:rFonts w:hint="default"/>
          <w:lang w:val="en-US" w:eastAsia="zh-CN"/>
        </w:rPr>
        <w:t>予茲藐焉 : Even I, this humble thing,</w:t>
      </w:r>
      <w:r>
        <w:rPr>
          <w:rFonts w:hint="eastAsia"/>
          <w:lang w:val="en-US" w:eastAsia="zh-CN"/>
        </w:rPr>
        <w:t xml:space="preserve"> </w:t>
      </w:r>
      <w:r>
        <w:rPr>
          <w:rFonts w:hint="default"/>
          <w:lang w:val="en-US" w:eastAsia="zh-CN"/>
        </w:rPr>
        <w:t xml:space="preserve">乃混然中處 : find a place </w:t>
      </w:r>
      <w:r>
        <w:rPr>
          <w:lang w:val="en-US" w:eastAsia="zh-CN"/>
        </w:rPr>
        <w:t>in their midst</w:t>
      </w:r>
      <w:r>
        <w:rPr>
          <w:rFonts w:hint="default"/>
          <w:lang w:val="en-US" w:eastAsia="zh-CN"/>
        </w:rPr>
        <w:t>.</w:t>
      </w:r>
      <w:r>
        <w:rPr>
          <w:rStyle w:val="15"/>
          <w:rFonts w:hint="default"/>
          <w:lang w:val="en-US" w:eastAsia="zh-CN"/>
        </w:rPr>
        <w:footnoteReference w:id="6"/>
      </w:r>
      <w:r>
        <w:rPr>
          <w:rFonts w:hint="default"/>
          <w:lang w:val="en-US" w:eastAsia="zh-CN"/>
        </w:rPr>
        <w:t>”</w:t>
      </w:r>
      <w:r>
        <w:rPr>
          <w:rFonts w:hint="eastAsia"/>
          <w:lang w:val="en-US" w:eastAsia="zh-CN"/>
        </w:rPr>
        <w:t xml:space="preserve"> This cosmically extended family model framed the universe as a moral household in which hierarchical reciprocity, mutual obligation, and social harmony governed both human and cosmic relations. Metaphysical principles thus mirrored the cultural logic of family and lineage, revealing the depth of cultural conditioning in Chinese cosmological imagination.</w:t>
      </w:r>
    </w:p>
    <w:p>
      <w:pPr>
        <w:bidi w:val="0"/>
        <w:rPr>
          <w:rFonts w:hint="eastAsia"/>
          <w:lang w:val="en-US" w:eastAsia="zh-CN"/>
        </w:rPr>
      </w:pPr>
      <w:r>
        <w:rPr>
          <w:rFonts w:hint="eastAsia"/>
          <w:lang w:val="en-US" w:eastAsia="zh-CN"/>
        </w:rPr>
        <w:t>A further indication of cultural specificity lies in the absence of a creator deity in Chinese cosmology. Unlike Western religious traditions that center cosmology on divine creation and revelation, Chinese thought emphasized cyclical transformation, correlative influence, and structural resonance. As E McMullin</w:t>
      </w:r>
      <w:r>
        <w:rPr>
          <w:rStyle w:val="15"/>
          <w:rFonts w:hint="eastAsia"/>
          <w:lang w:val="en-US" w:eastAsia="zh-CN"/>
        </w:rPr>
        <w:footnoteReference w:id="7"/>
      </w:r>
      <w:r>
        <w:rPr>
          <w:rFonts w:hint="eastAsia"/>
          <w:lang w:val="en-US" w:eastAsia="zh-CN"/>
        </w:rPr>
        <w:t xml:space="preserve"> observes, Western cosmologies are grounded in narratives of divine authorship, whereas Chinese cosmological accounts developed from ritual, political, and ecological assumptions. This divergence produced a metaphysics oriented toward renewal, balance, and responsiveness rather than origin, authorship, or transcendence.</w:t>
      </w:r>
    </w:p>
    <w:p>
      <w:pPr>
        <w:bidi w:val="0"/>
        <w:rPr>
          <w:rFonts w:hint="eastAsia"/>
          <w:lang w:val="en-US" w:eastAsia="zh-CN"/>
        </w:rPr>
      </w:pPr>
      <w:r>
        <w:rPr>
          <w:rFonts w:hint="eastAsia"/>
          <w:lang w:val="en-US" w:eastAsia="zh-CN"/>
        </w:rPr>
        <w:t>Consequently, Chinese cosmology functioned less as a purely scientific enterprise than as a moral and political interpretive framework. While Chinese astronomical observation achieved high technical sophistication, the majority of cosmological inquiry focused on eschatology, omens, and ethical significance. Celestial phenomena were interpreted as indicators of dynastic fortune, moral legitimacy, and cosmic approval, demonstrating that cosmology served to conceptualize time, authority, and social order rather than to provide neutral explanations of celestial mechanics.</w:t>
      </w:r>
    </w:p>
    <w:p>
      <w:pPr>
        <w:keepNext w:val="0"/>
        <w:keepLines w:val="0"/>
        <w:widowControl/>
        <w:suppressLineNumbers w:val="0"/>
        <w:spacing w:before="105" w:beforeAutospacing="0" w:after="105" w:afterAutospacing="0"/>
        <w:ind w:left="0" w:firstLine="561"/>
        <w:jc w:val="left"/>
        <w:rPr>
          <w:rFonts w:hint="eastAsia" w:ascii="Times New Roman" w:hAnsi="Times New Roman"/>
          <w:lang w:val="en-US" w:eastAsia="zh-CN"/>
        </w:rPr>
      </w:pPr>
      <w:r>
        <w:rPr>
          <w:rFonts w:hint="eastAsia"/>
          <w:lang w:val="en-US" w:eastAsia="zh-CN"/>
        </w:rPr>
        <w:t>This cultural embedding is also evident in the development of multiple</w:t>
      </w:r>
      <w:r>
        <w:rPr>
          <w:rFonts w:hint="eastAsia" w:ascii="Times New Roman" w:hAnsi="Times New Roman"/>
          <w:lang w:val="en-US" w:eastAsia="zh-CN"/>
        </w:rPr>
        <w:t xml:space="preserve"> cosmological models,including the Hemispherical Dome (Gaitian), Celestial Sphere (Huntian), and Infinite Empty Space (Xuanye) theories. As Needham</w:t>
      </w:r>
      <w:r>
        <w:rPr>
          <w:rFonts w:hint="eastAsia" w:ascii="Times New Roman" w:hAnsi="Times New Roman"/>
          <w:highlight w:val="none"/>
          <w:lang w:val="en-US" w:eastAsia="zh-CN"/>
        </w:rPr>
        <w:t xml:space="preserve"> and Ronan</w:t>
      </w:r>
      <w:r>
        <w:rPr>
          <w:rStyle w:val="15"/>
          <w:rFonts w:hint="eastAsia" w:ascii="Times New Roman" w:hAnsi="Times New Roman"/>
          <w:lang w:val="en-US" w:eastAsia="zh-CN"/>
        </w:rPr>
        <w:footnoteReference w:id="8"/>
      </w:r>
      <w:r>
        <w:rPr>
          <w:rFonts w:hint="eastAsia" w:ascii="Times New Roman" w:hAnsi="Times New Roman"/>
          <w:lang w:val="en-US" w:eastAsia="zh-CN"/>
        </w:rPr>
        <w:t xml:space="preserve"> explain, each model emerged from distinct cultural environments that shaped their underlying metaphors. The hemispherical dome reflected architectural and administrative symbolism; the celestial sphere aligned with correlative cosmology and divinatory practice; and the infinite empty space model drew upon Daoist values of emptiness and spontaneity. These models were not arbitrary hypotheses but culturally grounded expressions of philosophical, political, and ritual logics.</w:t>
      </w:r>
    </w:p>
    <w:p>
      <w:pPr>
        <w:keepNext w:val="0"/>
        <w:keepLines w:val="0"/>
        <w:widowControl/>
        <w:suppressLineNumbers w:val="0"/>
        <w:spacing w:before="105" w:beforeAutospacing="0" w:after="105" w:afterAutospacing="0"/>
        <w:ind w:left="0" w:firstLine="561"/>
        <w:jc w:val="left"/>
        <w:rPr>
          <w:rFonts w:hint="eastAsia" w:ascii="Times New Roman" w:hAnsi="Times New Roman"/>
          <w:lang w:val="en-US" w:eastAsia="zh-CN"/>
        </w:rPr>
      </w:pPr>
      <w:r>
        <w:rPr>
          <w:rFonts w:hint="eastAsia" w:ascii="Times New Roman" w:hAnsi="Times New Roman"/>
          <w:lang w:val="en-US" w:eastAsia="zh-CN"/>
        </w:rPr>
        <w:t>The transformation of the Book of Changes (Yijing) further illustrates how cosmology emerged from cultural practice. Originally a divinatory manual, the text evolved during the Warring States period into a comprehensive cosmological system integrating yin–yang dualism, correlative reasoning, and ethical interpretation. As Sertdemir</w:t>
      </w:r>
      <w:r>
        <w:rPr>
          <w:rStyle w:val="15"/>
          <w:rFonts w:hint="eastAsia" w:ascii="Times New Roman" w:hAnsi="Times New Roman"/>
          <w:lang w:val="en-US" w:eastAsia="zh-CN"/>
        </w:rPr>
        <w:footnoteReference w:id="9"/>
      </w:r>
      <w:r>
        <w:rPr>
          <w:rFonts w:hint="eastAsia" w:ascii="Times New Roman" w:hAnsi="Times New Roman"/>
          <w:lang w:val="en-US" w:eastAsia="zh-CN"/>
        </w:rPr>
        <w:t xml:space="preserve"> notes, this evolution demonstrates how ritual divination generated symbolic patterns that were subsequently elaborated into metaphysical, political, and moral discourses, revealing cosmology as a product of cultural need rather than abstract speculation.</w:t>
      </w:r>
    </w:p>
    <w:p>
      <w:pPr>
        <w:keepNext w:val="0"/>
        <w:keepLines w:val="0"/>
        <w:widowControl/>
        <w:suppressLineNumbers w:val="0"/>
        <w:spacing w:before="105" w:beforeAutospacing="0" w:after="105" w:afterAutospacing="0"/>
        <w:ind w:left="0" w:firstLine="561"/>
        <w:jc w:val="left"/>
        <w:rPr>
          <w:rFonts w:hint="eastAsia" w:ascii="Times New Roman" w:hAnsi="Times New Roman"/>
          <w:lang w:val="en-US" w:eastAsia="zh-CN"/>
        </w:rPr>
      </w:pPr>
      <w:r>
        <w:rPr>
          <w:rFonts w:hint="eastAsia" w:ascii="Times New Roman" w:hAnsi="Times New Roman"/>
          <w:lang w:val="en-US" w:eastAsia="zh-CN"/>
        </w:rPr>
        <w:t xml:space="preserve">The fusion of cosmic order with political legitimacy reached its most systematic articulation in the Han dynasty thinker Dong Zhongshu. Through the doctrine of </w:t>
      </w:r>
      <w:r>
        <w:rPr>
          <w:rFonts w:hint="default" w:ascii="Times New Roman" w:hAnsi="Times New Roman"/>
          <w:lang w:val="en-US" w:eastAsia="zh-CN"/>
        </w:rPr>
        <w:t>“</w:t>
      </w:r>
      <w:r>
        <w:rPr>
          <w:rFonts w:hint="eastAsia" w:ascii="Times New Roman" w:hAnsi="Times New Roman"/>
          <w:lang w:val="en-US" w:eastAsia="zh-CN"/>
        </w:rPr>
        <w:t>Mutual Resonance between Heaven and Humanity</w:t>
      </w:r>
      <w:r>
        <w:rPr>
          <w:rFonts w:hint="default" w:ascii="Times New Roman" w:hAnsi="Times New Roman"/>
          <w:lang w:val="en-US" w:eastAsia="zh-CN"/>
        </w:rPr>
        <w:t>”</w:t>
      </w:r>
      <w:r>
        <w:rPr>
          <w:rFonts w:hint="eastAsia" w:ascii="Times New Roman" w:hAnsi="Times New Roman"/>
          <w:lang w:val="en-US" w:eastAsia="zh-CN"/>
        </w:rPr>
        <w:t xml:space="preserve"> (Tian</w:t>
      </w:r>
      <w:r>
        <w:rPr>
          <w:rFonts w:hint="default" w:ascii="Times New Roman" w:hAnsi="Times New Roman"/>
          <w:lang w:val="en-US" w:eastAsia="zh-CN"/>
        </w:rPr>
        <w:t xml:space="preserve"> - </w:t>
      </w:r>
      <w:r>
        <w:rPr>
          <w:rFonts w:hint="eastAsia" w:ascii="Times New Roman" w:hAnsi="Times New Roman"/>
          <w:lang w:val="en-US" w:eastAsia="zh-CN"/>
        </w:rPr>
        <w:t xml:space="preserve">Ren Ganying), Dong interpreted natural anomalies as moral responses to human governance. In </w:t>
      </w:r>
      <w:r>
        <w:rPr>
          <w:rFonts w:hint="default" w:ascii="Times New Roman Italic" w:hAnsi="Times New Roman Italic" w:cs="Times New Roman Italic"/>
          <w:i/>
          <w:iCs/>
          <w:highlight w:val="none"/>
          <w:lang w:val="en-US" w:eastAsia="zh-CN"/>
        </w:rPr>
        <w:t>Luxuriant Dew of the Spring and Autumn Annals</w:t>
      </w:r>
      <w:r>
        <w:rPr>
          <w:rStyle w:val="15"/>
          <w:rFonts w:hint="eastAsia" w:ascii="Times New Roman" w:hAnsi="Times New Roman"/>
          <w:highlight w:val="none"/>
          <w:lang w:val="en-US" w:eastAsia="zh-CN"/>
        </w:rPr>
        <w:footnoteReference w:id="10"/>
      </w:r>
      <w:r>
        <w:rPr>
          <w:rFonts w:hint="eastAsia" w:ascii="Times New Roman" w:hAnsi="Times New Roman"/>
          <w:highlight w:val="none"/>
          <w:lang w:val="en-US" w:eastAsia="zh-CN"/>
        </w:rPr>
        <w:t>,</w:t>
      </w:r>
      <w:r>
        <w:rPr>
          <w:rFonts w:hint="eastAsia" w:ascii="Times New Roman" w:hAnsi="Times New Roman"/>
          <w:lang w:val="en-US" w:eastAsia="zh-CN"/>
        </w:rPr>
        <w:t xml:space="preserve"> he argued that disasters and celestial irregularities functioned as Heaven</w:t>
      </w:r>
      <w:r>
        <w:rPr>
          <w:rFonts w:hint="default" w:ascii="Times New Roman" w:hAnsi="Times New Roman"/>
          <w:lang w:val="en-US" w:eastAsia="zh-CN"/>
        </w:rPr>
        <w:t>’</w:t>
      </w:r>
      <w:r>
        <w:rPr>
          <w:rFonts w:hint="eastAsia" w:ascii="Times New Roman" w:hAnsi="Times New Roman"/>
          <w:lang w:val="en-US" w:eastAsia="zh-CN"/>
        </w:rPr>
        <w:t>s reprimands of immoral rulers. Here, the cosmos operates as an ethical arbiter rather than a neutral system, demonstrating the extent to which Chinese cosmology was shaped by concerns of political authority, moral responsibility, and dynastic stability.</w:t>
      </w:r>
    </w:p>
    <w:p>
      <w:pPr>
        <w:bidi w:val="0"/>
        <w:rPr>
          <w:rFonts w:hint="eastAsia"/>
          <w:lang w:val="en-US" w:eastAsia="zh-CN"/>
        </w:rPr>
      </w:pPr>
      <w:r>
        <w:rPr>
          <w:lang w:val="en-US" w:eastAsia="zh-CN"/>
        </w:rPr>
        <w:t>In sum, classical Chinese cosmology did not arise from isolated contemplation of the natural world but from culturally embedded processes that integrated ritual practice, kinship ideology, ethical norms, philosophical traditions, and astronomical observation. Cosmological models in China expressed the patterned logic governing family hierarchy, political ritual, moral cultivation, and environmental interpretation, confirming that Chinese understandings of the universe were fundamentally shaped by cultural conditioning rather than by the pursuit of universal abstraction. Celestial order was consistently interpreted through analogies drawn from social structure and moral governance, so that Heaven, Earth, and humanity formed a continuous relational field rather than separate ontological domains. As a result, cosmology functioned not merely as a descriptive account of the cosmos but as a normative framework that legitimised authority, regulated conduct, and aligned human society with perceived cosmic rhythms.</w:t>
      </w:r>
    </w:p>
    <w:p>
      <w:pPr>
        <w:pStyle w:val="3"/>
        <w:bidi w:val="0"/>
      </w:pPr>
      <w:r>
        <w:rPr>
          <w:rFonts w:hint="eastAsia"/>
        </w:rPr>
        <w:t>Cultural Conditioning and the Formation of Hindu Cosmology</w:t>
      </w:r>
    </w:p>
    <w:p>
      <w:pPr>
        <w:bidi w:val="0"/>
      </w:pPr>
      <w:r>
        <w:rPr>
          <w:lang w:val="en-US" w:eastAsia="zh-CN"/>
        </w:rPr>
        <w:t>Hindu cosmology emerged through an extensive layering of ritual practice, metaphysical speculation, poetic imagination, yogic discipline, and social order. Its subsequent development reflects the cultural processes that continuously reshaped relationships among divine presence, cosmic structure, and human obligation. The conceptual architecture of Hindu cosmology did not originate as a single unified system but as an accumulation of diverse intellectual traditions embedded in Vedic ritual, Brahmanical metaphysics, ascetic experience, and epic narrative, creating a model of the universe that mirrored cultural assumptions about duty (dharma), liberation (mokṣa), consciousness, and the cyclical transformation of reality. Any examination of Hindu cosmology, therefore, addresses the cultural matrix, because cosmological principles in Hindu thought express ritual memory, philosophical debate, and social stratification as much as they describe metaphysical order.</w:t>
      </w:r>
    </w:p>
    <w:p>
      <w:pPr>
        <w:bidi w:val="0"/>
      </w:pPr>
      <w:r>
        <w:rPr>
          <w:lang w:val="en-US" w:eastAsia="zh-CN"/>
        </w:rPr>
        <w:t>Hindu cosmology’s persistent integration of metaphysics with lived practice demonstrates how cultural conditions shaped cosmological content. The emphasis on liberation (mokṣa), duty (dharma), and right action (karma) influences cosmological construction by framing cosmic structure as a moral landscape in which human choices contribute to cosmic balance. The Hindu vision of the cosmos emerged through culturally mediated understandings of human purpose, divine presence, and the nature of reality.</w:t>
      </w:r>
    </w:p>
    <w:p>
      <w:pPr>
        <w:bidi w:val="0"/>
      </w:pPr>
      <w:r>
        <w:rPr>
          <w:lang w:val="en-US" w:eastAsia="zh-CN"/>
        </w:rPr>
        <w:t>The historical foundations of Hindu cosmology lie within the early Vedic corpus, where liturgical hymns, sacrificial codes, and priestly speculations articulated a universe animated by ritual potency, divine sovereignty, and cosmic rhythm. M. Dolan</w:t>
      </w:r>
      <w:r>
        <w:rPr>
          <w:rStyle w:val="15"/>
          <w:lang w:val="en-US" w:eastAsia="zh-CN"/>
        </w:rPr>
        <w:footnoteReference w:id="11"/>
      </w:r>
      <w:r>
        <w:rPr>
          <w:lang w:val="en-US" w:eastAsia="zh-CN"/>
        </w:rPr>
        <w:t xml:space="preserve"> states that Hinduism consists of an amalgamation of early beliefs preserved in ancient scriptures such as the Upanishads, written by Vedic sages during the second century BC, and that these texts combined deep intellectual philosophy for mystics with accessible practices for wider communities. The layering of philosophical reflection upon earlier ritual foundations produced a dynamic structure in which speculation about the Absolute (Brahman), the nature of consciousness, and the origin of the cosmos coexisted with culturally embedded practices of sacrifice, devotion, and social duty.</w:t>
      </w:r>
    </w:p>
    <w:p>
      <w:pPr>
        <w:bidi w:val="0"/>
      </w:pPr>
      <w:r>
        <w:rPr>
          <w:lang w:val="en-US" w:eastAsia="zh-CN"/>
        </w:rPr>
        <w:t>The development of Hindu cosmology reflects the influence of cultural transformations, as changing societal and religious practices shaped cosmological models. The distinction between early Vedic cosmology and later classical systems illustrates this cultural conditioning. Gombrich R</w:t>
      </w:r>
      <w:r>
        <w:rPr>
          <w:rFonts w:hint="eastAsia"/>
          <w:lang w:val="en-US" w:eastAsia="zh-CN"/>
        </w:rPr>
        <w:t xml:space="preserve"> </w:t>
      </w:r>
      <w:r>
        <w:rPr>
          <w:rStyle w:val="15"/>
          <w:rFonts w:hint="eastAsia"/>
          <w:lang w:val="en-US" w:eastAsia="zh-CN"/>
        </w:rPr>
        <w:footnoteReference w:id="12"/>
      </w:r>
      <w:r>
        <w:rPr>
          <w:lang w:val="en-US" w:eastAsia="zh-CN"/>
        </w:rPr>
        <w:t>points out that the evolution of Indian cosmology had little connection with Indian science and that Indian astronomy remained largely separate from broader cosmological structures, adding that Vedic cosmology differed significantly from the later Hindu, Buddhist, and Jain models that emerged after the middle of the first millennium BC. This historical differentiation indicates that cosmological models were not shaped primarily by empirical observation but by cultural transformations involving new social institutions, ascetic movements, philosophical schools, and devotional practices. The shift from ritual-centred Vedic cosmology to classical Hindu cosmology reflects changing cultural priorities: the expansion of metaphysical debate and the increasing prominence of personal devotion and yogic experience. These developments produced cosmologies centred on Brahman et al. concepts that emerged from cultural interpretations of consciousness, identity, and liberation rather than from systematic astronomical analysis.</w:t>
      </w:r>
    </w:p>
    <w:p>
      <w:pPr>
        <w:bidi w:val="0"/>
      </w:pPr>
      <w:r>
        <w:rPr>
          <w:lang w:val="en-US" w:eastAsia="zh-CN"/>
        </w:rPr>
        <w:t>The works of Sri Aurobindo provide a significant example of how cultural, philosophical, and experiential foundations shaped cosmological expression within modern Hindu thought. Masi M</w:t>
      </w:r>
      <w:r>
        <w:rPr>
          <w:rStyle w:val="15"/>
          <w:lang w:val="en-US" w:eastAsia="zh-CN"/>
        </w:rPr>
        <w:footnoteReference w:id="13"/>
      </w:r>
      <w:r>
        <w:rPr>
          <w:rFonts w:hint="eastAsia"/>
          <w:lang w:val="en-US" w:eastAsia="zh-CN"/>
        </w:rPr>
        <w:t xml:space="preserve"> </w:t>
      </w:r>
      <w:r>
        <w:rPr>
          <w:lang w:val="en-US" w:eastAsia="zh-CN"/>
        </w:rPr>
        <w:t>states that Aurobindo articulated an integral, multidimensional cosmology grounded in universal planes, an evolutionary vision, and a process of universal “self-limitation, in which the overmind comprehends the totality of things while operating within a cosmos of polarities and multiplicities rooted in a single original consciousness. This formulation demonstrates a cosmological structure shaped by cultural investments in consciousness, unity, transformation, and spiritual ascent, all of which reflect long-standing Indian traditions linking metaphysical truth with experiential realization. The centrality of consciousness in Aurobindo’s cosmology exemplifies a culturally conditioned emphasis on inner experience as a source of cosmic knowledge, a characteristic not shared universally across cosmological traditions.</w:t>
      </w:r>
    </w:p>
    <w:p>
      <w:pPr>
        <w:bidi w:val="0"/>
      </w:pPr>
      <w:r>
        <w:rPr>
          <w:lang w:val="en-US" w:eastAsia="zh-CN"/>
        </w:rPr>
        <w:t>Hindu cosmology is deeply shaped by cultural traditions that blend spiritual practice, philosophical exploration, and experiential discipline, reflecting a vision of the cosmos where consciousness is integral to understanding the material and metaphysical worlds. Shankar B</w:t>
      </w:r>
      <w:r>
        <w:rPr>
          <w:rStyle w:val="15"/>
          <w:lang w:val="en-US" w:eastAsia="zh-CN"/>
        </w:rPr>
        <w:footnoteReference w:id="14"/>
      </w:r>
      <w:r>
        <w:rPr>
          <w:lang w:val="en-US" w:eastAsia="zh-CN"/>
        </w:rPr>
        <w:t xml:space="preserve"> states that Aurobindo’s work reflects deep yogic insight into both individual self and universe, which share a relationship of hidden identity, and that his philosophy interprets the world-process as an evolution qualified by involution, with integralism at its core. This claim highlights how cultural traditions rooted in yogic practice, meditative experience, and embodied discipline shaped cosmological models that integrate material and metaphysical domains through states of consciousness rather than through empirical measurement. Aurobindo’s cosmology, like many earlier Hindu models, interprets matter, energy, space, and time through the lens of consciousness, providing evidence that cultural interpretations of spiritual practice contributed directly to cosmological construction.</w:t>
      </w:r>
    </w:p>
    <w:p>
      <w:pPr>
        <w:keepNext w:val="0"/>
        <w:keepLines w:val="0"/>
        <w:widowControl/>
        <w:suppressLineNumbers w:val="0"/>
        <w:jc w:val="left"/>
      </w:pPr>
      <w:r>
        <w:rPr>
          <w:lang w:val="en-US" w:eastAsia="zh-CN"/>
        </w:rPr>
        <w:t>The Bhagavad Gītā offers another crucial window into the cultural foundation of Hindu cosmological thought, particularly regarding the relationship between divine presence and cosmic structure.</w:t>
      </w:r>
      <w:r>
        <w:rPr>
          <w:rFonts w:hint="default"/>
          <w:lang w:val="en-US" w:eastAsia="zh-CN"/>
        </w:rPr>
        <w:t xml:space="preserve"> </w:t>
      </w:r>
      <w:r>
        <w:rPr>
          <w:lang w:val="en-US" w:eastAsia="zh-CN"/>
        </w:rPr>
        <w:t>Silvestre R</w:t>
      </w:r>
      <w:r>
        <w:rPr>
          <w:rStyle w:val="15"/>
          <w:lang w:val="en-US" w:eastAsia="zh-CN"/>
        </w:rPr>
        <w:footnoteReference w:id="15"/>
      </w:r>
      <w:r>
        <w:rPr>
          <w:rFonts w:hint="default"/>
          <w:lang w:val="en-US" w:eastAsia="zh-CN"/>
        </w:rPr>
        <w:t xml:space="preserve"> </w:t>
      </w:r>
      <w:r>
        <w:rPr>
          <w:lang w:val="en-US" w:eastAsia="zh-CN"/>
        </w:rPr>
        <w:t xml:space="preserve">reconstructs the Gītā’s cosmopsychism and explains how it contributes to debates on panentheism and Indian models of God. This is powerfully articulated when Lord </w:t>
      </w:r>
      <w:r>
        <w:rPr>
          <w:rFonts w:ascii="STIX-Regular" w:hAnsi="STIX-Regular" w:eastAsia="STIX-Regular" w:cs="STIX-Regular"/>
          <w:color w:val="000000"/>
          <w:kern w:val="0"/>
          <w:sz w:val="20"/>
          <w:szCs w:val="20"/>
          <w:lang w:val="en-US" w:eastAsia="zh-CN" w:bidi="ar"/>
        </w:rPr>
        <w:t>K</w:t>
      </w:r>
      <w:r>
        <w:rPr>
          <w:rFonts w:hint="default" w:ascii="Times New Roman" w:hAnsi="Times New Roman" w:eastAsia="宋体" w:cs="Times New Roman"/>
          <w:color w:val="000000"/>
          <w:kern w:val="0"/>
          <w:sz w:val="20"/>
          <w:szCs w:val="20"/>
          <w:lang w:val="en-US" w:eastAsia="zh-CN" w:bidi="ar"/>
        </w:rPr>
        <w:t>ṛṣṇ</w:t>
      </w:r>
      <w:r>
        <w:rPr>
          <w:rFonts w:hint="default" w:ascii="STIX-Regular" w:hAnsi="STIX-Regular" w:eastAsia="STIX-Regular" w:cs="STIX-Regular"/>
          <w:color w:val="000000"/>
          <w:kern w:val="0"/>
          <w:sz w:val="20"/>
          <w:szCs w:val="20"/>
          <w:lang w:val="en-US" w:eastAsia="zh-CN" w:bidi="ar"/>
        </w:rPr>
        <w:t>a</w:t>
      </w:r>
      <w:r>
        <w:rPr>
          <w:lang w:val="en-US" w:eastAsia="zh-CN"/>
        </w:rPr>
        <w:t xml:space="preserve"> reveals his cosmic form to Arjuna, explaining his relationship to the universe: “Mayā tatam idaṁ sarvaṁ jagad avyakta-mūrtinā; mat-sthāni sarva-bhūtāni na cāhaṁ teṣv avasthitaḥ” (“By Me, in My unmanifested form, this entire universe is pervaded. All beings are in Me, but I am not in them.”) This interpretation reflects a long-standing cultural inclination to conceptualize the cosmos as infused with divine consciousness, in which God exists both beyond and within the universe. Such cosmopsychic models arise from devotional traditions emphasizing surrender, moral duty, and relational intimacy with the divine, indicating that cosmological assumptions developed from culturally embedded religious practices rather than detached metaphysical speculation.</w:t>
      </w:r>
    </w:p>
    <w:p>
      <w:pPr>
        <w:bidi w:val="0"/>
        <w:rPr>
          <w:lang w:val="en-US" w:eastAsia="zh-CN"/>
        </w:rPr>
      </w:pPr>
      <w:r>
        <w:rPr>
          <w:lang w:val="en-US" w:eastAsia="zh-CN"/>
        </w:rPr>
        <w:t>The broader structure of Hindu cosmology, characterized by cyclic time, multiple universes, layered realms, cosmic dissolution, and rebirth, is also understood as a cultural expression shaped by ritual cycles, philosophical pluralism, and social interpretation. Cyclic time reflects agricultural rhythms, ritual calendars, and the experiential understanding of rebirth embedded in cultural narratives. Multiple universes and layered realms correspond to philosophical debates about perception, illusion, and consciousness, while the idea of periodic cosmic dissolution resonates with cultural reflections on impermanence, moral decay, and spiritual renewal. Each component exists not as an isolated metaphysical concept but as an expression of cultural patterns that structure ethical behaviour, ritual obligation, and metaphysical aspiration.</w:t>
      </w:r>
    </w:p>
    <w:p>
      <w:pPr>
        <w:bidi w:val="0"/>
      </w:pPr>
      <w:r>
        <w:rPr>
          <w:lang w:val="en-US" w:eastAsia="zh-CN"/>
        </w:rPr>
        <w:t>In sum, the multiplicity of Hindu cosmology’s models, the centrality of consciousness, the integration of ethical and metaphysical order, and the endurance of cyclical cosmology all reflect cultural assumptions rather than universal cosmic truths. Hindu cosmology provides clear evidence that perceptions of the universe emerge through cultural processes that configure metaphysical imagination, interpretive frameworks, and the conditions under which cosmic meaning becomes intelligible. Concepts such as karma, dharma, and mokṣa structured the cosmos as a moral and spiritual landscape in which human action, divine presence, and cosmic order were inseparably linked. Rather than offering a detached account of physical reality, Hindu cosmological thought articulated a vision of the universe oriented toward liberation, transformation, and experiential realization, revealing how cosmology functioned as an extension of culturally embedded religious practice and philosophical reflection.</w:t>
      </w:r>
    </w:p>
    <w:p>
      <w:pPr>
        <w:pStyle w:val="3"/>
        <w:bidi w:val="0"/>
      </w:pPr>
      <w:r>
        <w:t>Comparative Perspectives on Cultural Conditioning: Chinese and Hindu Cosmologies</w:t>
      </w:r>
    </w:p>
    <w:p>
      <w:pPr>
        <w:bidi w:val="0"/>
      </w:pPr>
      <w:r>
        <w:t>A comparative examination of Chinese and Hindu cosmologies demonstrates that, in both traditions, cosmological systems emerged through historically situated interactions among ritual practice, social organisation, moral philosophy, and symbolic interpretation. Rather than representing culturally neutral descriptions of the universe, these cosmologies articulate patterned responses to culturally specific concerns, translating social order, ethical expectation, and experiential reality into models of cosmic structure. While Chinese and Hindu cosmologies differ markedly in metaphysical language, symbolic logic, and ritual orientation, both illustrate how cosmological thought crystallises as a culturally mediated framework through which communities interpret the relationship between humanity and the larger cosmos.</w:t>
      </w:r>
    </w:p>
    <w:p>
      <w:pPr>
        <w:bidi w:val="0"/>
      </w:pPr>
      <w:r>
        <w:t>Classical Chinese cosmology developed around principles of correlative order, cyclical transformation, and moral resonance, reflecting a cultural emphasis on hierarchy, social harmony, kinship ethics, and ritual governance. Heaven (Tian), Earth, and humanity were understood as interdependent components within a single relational field, in which cosmic patterns both shaped and responded to human conduct. Concepts such as qi, yin–yang polarity, and the rhythmic alternation of seasons provided a cosmological grammar through which political legitimacy, ethical responsibility, and ritual timing were articulated</w:t>
      </w:r>
      <w:r>
        <w:rPr>
          <w:rStyle w:val="15"/>
        </w:rPr>
        <w:footnoteReference w:id="16"/>
      </w:r>
      <w:r>
        <w:rPr>
          <w:rStyle w:val="15"/>
        </w:rPr>
        <w:footnoteReference w:id="17"/>
      </w:r>
      <w:r>
        <w:rPr>
          <w:rFonts w:hint="default"/>
          <w:lang w:val="en-US"/>
        </w:rPr>
        <w:t>.</w:t>
      </w:r>
      <w:r>
        <w:t xml:space="preserve"> In this context, cosmology functioned less as speculative metaphysics than as a normative system linking moral behaviour to natural order, expressing cosmological meaning through analogies drawn from observable cyclical processes in nature.</w:t>
      </w:r>
    </w:p>
    <w:p>
      <w:pPr>
        <w:bidi w:val="0"/>
      </w:pPr>
      <w:r>
        <w:t>Hindu cosmology, by contrast, developed through sustained reflection on consciousness, divine presence, and the cyclical processes of rebirth (saṃsāra) and liberation (mokṣa). Drawing upon Vedic ritualism, Upaniṣadic speculation, yogic disciplines, and diverse philosophical schools, Hindu cosmological thought articulates a multilayered universe permeated by metaphysical and soteriological concerns</w:t>
      </w:r>
      <w:r>
        <w:rPr>
          <w:rStyle w:val="15"/>
        </w:rPr>
        <w:footnoteReference w:id="18"/>
      </w:r>
      <w:r>
        <w:t>. Central concepts such as Brahman, ātman, and karma encode cosmological meaning through culturally embedded interpretations of selfhood, moral action, and spiritual transformation. Rather than grounding cosmic order primarily in moral-political resonance, Hindu cosmology situates the universe within a framework in which consciousness functions as both the medium and substance of reality, and where experiential realisation plays a central epistemic role.</w:t>
      </w:r>
    </w:p>
    <w:p>
      <w:pPr>
        <w:bidi w:val="0"/>
      </w:pPr>
      <w:r>
        <w:t>Despite these differences, both traditions display structural features that point to their cultural conditioning. Each constructs the cosmos around principles that resonate with dominant cultural values: moral reciprocity and natural resonance in the Chinese tradition, and consciousness, karmic causality, and divine immanence in the Indian context. Moreover, both embed cosmic temporality within culturally meaningful cycles, whether through agricultural and seasonal rhythms in China or through expansive cycles of creation, dissolution, and rebirth in Hindu cosmology. These parallels suggest that cosmological systems function not merely as speculative accounts of the universe, but as culturally grounded frameworks through which societies articulate order, meaning, and human responsibility within the cosmos.</w:t>
      </w:r>
    </w:p>
    <w:p>
      <w:pPr>
        <w:pStyle w:val="3"/>
        <w:bidi w:val="0"/>
        <w:ind w:left="0" w:leftChars="0" w:firstLine="480" w:firstLineChars="200"/>
        <w:rPr>
          <w:rFonts w:hint="eastAsia"/>
          <w:lang w:val="en-US" w:eastAsia="zh-CN"/>
        </w:rPr>
      </w:pPr>
      <w:r>
        <w:rPr>
          <w:lang w:val="en-US" w:eastAsia="zh-CN"/>
        </w:rPr>
        <w:t>Conclusion</w:t>
      </w:r>
    </w:p>
    <w:p>
      <w:pPr>
        <w:bidi w:val="0"/>
        <w:rPr>
          <w:rFonts w:hint="eastAsia"/>
          <w:lang w:val="en-US" w:eastAsia="zh-CN"/>
        </w:rPr>
      </w:pPr>
      <w:r>
        <w:t>Rather than constituting a single, culturally neutral system, cosmological knowledge—whether articulated through astrology or broader metaphysical frameworks—must be understood as a plurality of historically situated practices through which societies articulate cosmic order, meaning, and authority. As Campion and Greene emphasise, astrology has never existed as a unified body of doctrine with a fixed essence; instead, it emerged in diverse cultural contexts, assuming forms shaped by local religious traditions, cosmological assumptions, and symbolic vocabularies.¹ From this perspective, attempts to define cosmology or astrology as singular, transhistorical systems represent modern abstractions rather than reflections of historical reality.</w:t>
      </w:r>
    </w:p>
    <w:p>
      <w:pPr>
        <w:bidi w:val="0"/>
        <w:rPr>
          <w:rFonts w:hint="eastAsia"/>
          <w:lang w:val="en-US" w:eastAsia="zh-CN"/>
        </w:rPr>
      </w:pPr>
      <w:r>
        <w:rPr>
          <w:rFonts w:hint="eastAsia"/>
          <w:lang w:val="en-US" w:eastAsia="zh-CN"/>
        </w:rPr>
        <w:t>This culturally embedded character of cosmological thought is further evident in the way celestial phenomena were rarely treated as isolated objects of technical observation. Across traditions, cosmology functioned as part of a broader symbolic framework in which ritual practice, mythic narrative, ethical order, and metaphysical speculation were inseparably intertwined. The contributions collected in Astrologies demonstrate that astrological models were routinely embedded within religious cosmologies that structured understandings of time, fate, and moral responsibility, transforming the heavens into meaningful signs within culturally specific visions of the universe.</w:t>
      </w:r>
    </w:p>
    <w:p>
      <w:pPr>
        <w:bidi w:val="0"/>
        <w:rPr>
          <w:rFonts w:hint="eastAsia"/>
          <w:lang w:val="en-US" w:eastAsia="zh-CN"/>
        </w:rPr>
      </w:pPr>
      <w:r>
        <w:rPr>
          <w:rFonts w:hint="eastAsia"/>
          <w:lang w:val="en-US" w:eastAsia="zh-CN"/>
        </w:rPr>
        <w:t>The comparative analysis of Chinese and Hindu cosmologies confirms this general pattern. While both traditions observed the same celestial rhythms and seasonal cycles, the meanings assigned to these phenomena were shaped by distinct cultural matrices. Chinese cosmology articulated a universe governed by patterned resonance, moral reciprocity, and relational harmony, reflecting social commitments to hierarchy, ritual order, and ethical governance. Hindu cosmology, by contrast, envisioned a cosmos root</w:t>
      </w:r>
      <w:bookmarkStart w:id="6" w:name="_GoBack"/>
      <w:bookmarkEnd w:id="6"/>
      <w:r>
        <w:rPr>
          <w:rFonts w:hint="eastAsia"/>
          <w:lang w:val="en-US" w:eastAsia="zh-CN"/>
        </w:rPr>
        <w:t>ed in consciousness, divine immanence, and spiritual transformation, shaped by traditions of ritual practice, yogic discipline, and metaphysical reflection. The stark contrast between a cosmos ordered through resonance and one grounded in divine consciousness demonstrates that cosmological models function not as culture-free descriptions of reality, but as symbolic expressions of culturally specific social structures, ethical priorities, and philosophical traditions. Ultimately, cosmological knowledge emerges not from neutral perception of the universe, but from interpretive processes through which cultures transform lived experience into coherent visions of cosmic order.</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textAlignment w:val="auto"/>
        <w:outlineLvl w:val="0"/>
        <w:rPr>
          <w:rFonts w:hint="eastAsia"/>
          <w:sz w:val="24"/>
          <w:szCs w:val="24"/>
          <w:lang w:val="en-US" w:eastAsia="zh-CN"/>
        </w:rPr>
      </w:pPr>
      <w:r>
        <w:rPr>
          <w:rFonts w:hint="default" w:ascii="Times New Roman Regular" w:hAnsi="Times New Roman Regular" w:cs="Times New Roman Regular"/>
          <w:b/>
          <w:bCs/>
          <w:sz w:val="24"/>
          <w:szCs w:val="24"/>
          <w:highlight w:val="none"/>
        </w:rPr>
        <w:t>References</w:t>
      </w:r>
    </w:p>
    <w:p>
      <w:pPr>
        <w:pStyle w:val="20"/>
        <w:bidi w:val="0"/>
      </w:pPr>
      <w:r>
        <w:t>Campion Nicholas, ‘The Importance Of Cosmology In Culture: Contexts And Consequences’, in Cosmology</w:t>
      </w:r>
      <w:r>
        <w:rPr>
          <w:rFonts w:hint="default"/>
          <w:lang w:val="en-US"/>
        </w:rPr>
        <w:t>,</w:t>
      </w:r>
      <w:r>
        <w:t xml:space="preserve"> ed.</w:t>
      </w:r>
      <w:r>
        <w:rPr>
          <w:rFonts w:hint="default"/>
          <w:lang w:val="en-US"/>
        </w:rPr>
        <w:t xml:space="preserve"> by </w:t>
      </w:r>
      <w:r>
        <w:t>Abraao Jesse Capistrano de Souza</w:t>
      </w:r>
      <w:r>
        <w:rPr>
          <w:rFonts w:hint="default"/>
          <w:lang w:val="en-US"/>
        </w:rPr>
        <w:t xml:space="preserve"> </w:t>
      </w:r>
      <w:r>
        <w:t>(Rijeka: InTech Open, 2017), pp. 3-17</w:t>
      </w:r>
      <w:r>
        <w:rPr>
          <w:rFonts w:hint="eastAsia"/>
          <w:lang w:val="en-US" w:eastAsia="zh-CN"/>
        </w:rPr>
        <w:t xml:space="preserve"> </w:t>
      </w:r>
      <w:r>
        <w:t>.</w:t>
      </w:r>
    </w:p>
    <w:p>
      <w:pPr>
        <w:pStyle w:val="20"/>
        <w:bidi w:val="0"/>
        <w:rPr>
          <w:rFonts w:hint="default"/>
          <w:lang w:val="en-US" w:eastAsia="zh-CN"/>
        </w:rPr>
      </w:pPr>
      <w:r>
        <w:rPr>
          <w:lang w:val="en-US" w:eastAsia="zh-CN"/>
        </w:rPr>
        <w:t>Che, X., &amp; Ren, Y. (2025). From the Great Void to Moral Practice: Ira Kasoff’s Systemic Reconstruction of Chang Tsai’s Ontological Ch’i in Cosmology, Human Nature, and Sagehood.</w:t>
      </w:r>
      <w:r>
        <w:rPr>
          <w:rFonts w:hint="default"/>
          <w:lang w:val="en-US" w:eastAsia="zh-CN"/>
        </w:rPr>
        <w:t xml:space="preserve"> Philosophies.</w:t>
      </w:r>
      <w:r>
        <w:rPr>
          <w:lang w:val="en-US" w:eastAsia="zh-CN"/>
        </w:rPr>
        <w:t>10</w:t>
      </w:r>
      <w:r>
        <w:rPr>
          <w:rFonts w:hint="default"/>
          <w:lang w:val="en-US" w:eastAsia="zh-CN"/>
        </w:rPr>
        <w:t>(3), 65. 1-14.</w:t>
      </w:r>
      <w:r>
        <w:rPr>
          <w:rFonts w:hint="default"/>
          <w:lang w:val="en-US" w:eastAsia="zh-CN"/>
        </w:rPr>
        <w:fldChar w:fldCharType="begin"/>
      </w:r>
      <w:r>
        <w:rPr>
          <w:rFonts w:hint="default"/>
          <w:lang w:val="en-US" w:eastAsia="zh-CN"/>
        </w:rPr>
        <w:instrText xml:space="preserve"> HYPERLINK "https://doi.org/10.3390/philosophies10030065." </w:instrText>
      </w:r>
      <w:r>
        <w:rPr>
          <w:rFonts w:hint="default"/>
          <w:lang w:val="en-US" w:eastAsia="zh-CN"/>
        </w:rPr>
        <w:fldChar w:fldCharType="separate"/>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default"/>
          <w:lang w:val="en-US" w:eastAsia="zh-CN"/>
        </w:rPr>
        <w:t>10.3390/philosophies10030065.</w:t>
      </w:r>
      <w:r>
        <w:rPr>
          <w:rFonts w:hint="default"/>
          <w:lang w:val="en-US" w:eastAsia="zh-CN"/>
        </w:rPr>
        <w:fldChar w:fldCharType="end"/>
      </w:r>
      <w:r>
        <w:rPr>
          <w:rFonts w:hint="default"/>
          <w:lang w:val="en-US" w:eastAsia="zh-CN"/>
        </w:rPr>
        <w:t>&gt;</w:t>
      </w:r>
    </w:p>
    <w:p>
      <w:pPr>
        <w:pStyle w:val="20"/>
        <w:bidi w:val="0"/>
        <w:rPr>
          <w:rFonts w:hint="default"/>
          <w:lang w:val="en-US" w:eastAsia="zh-CN"/>
        </w:rPr>
      </w:pPr>
      <w:r>
        <w:t>Dolan M. ‘Hinduism and Cosmology in India’</w:t>
      </w:r>
      <w:r>
        <w:rPr>
          <w:rFonts w:hint="eastAsia"/>
        </w:rPr>
        <w:t>,</w:t>
      </w:r>
      <w:r>
        <w:rPr>
          <w:rFonts w:hint="eastAsia"/>
          <w:lang w:val="en-US" w:eastAsia="zh-CN"/>
        </w:rPr>
        <w:t xml:space="preserve"> in</w:t>
      </w:r>
      <w:r>
        <w:rPr>
          <w:rFonts w:hint="eastAsia"/>
        </w:rPr>
        <w:t xml:space="preserve"> </w:t>
      </w:r>
      <w:r>
        <w:t>Decoding Astronomy in Art and Architecture</w:t>
      </w:r>
      <w:r>
        <w:rPr>
          <w:rFonts w:hint="eastAsia"/>
        </w:rPr>
        <w:t xml:space="preserve"> (</w:t>
      </w:r>
      <w:r>
        <w:t>Springer International Publishing, 2021</w:t>
      </w:r>
      <w:r>
        <w:rPr>
          <w:rFonts w:hint="eastAsia"/>
        </w:rPr>
        <w:t>),</w:t>
      </w:r>
      <w:r>
        <w:rPr>
          <w:rFonts w:hint="eastAsia"/>
          <w:lang w:val="en-US" w:eastAsia="zh-CN"/>
        </w:rPr>
        <w:t xml:space="preserve"> pp.</w:t>
      </w:r>
      <w:r>
        <w:t xml:space="preserve"> 81-88.</w:t>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default"/>
          <w:lang w:val="en-US" w:eastAsia="zh-CN"/>
        </w:rPr>
        <w:t>10.1007/978-3-030-76511-8_7</w:t>
      </w:r>
      <w:r>
        <w:rPr>
          <w:rFonts w:hint="default"/>
          <w:lang w:val="en-US"/>
        </w:rPr>
        <w:t>&gt;</w:t>
      </w:r>
    </w:p>
    <w:p>
      <w:pPr>
        <w:pStyle w:val="20"/>
        <w:bidi w:val="0"/>
      </w:pPr>
      <w:r>
        <w:rPr>
          <w:lang w:val="en-US" w:eastAsia="zh-CN"/>
        </w:rPr>
        <w:t>Dong Zhongshu, Chunqiu Fanlu (春秋繁露, Luxuriant Dew of the Spring and Autumn Annals), trans. and ed. by Sarah A. Queen and John S. Major (New York: Columbia University Press, 2016), esp. chs 1–3.</w:t>
      </w:r>
    </w:p>
    <w:p>
      <w:pPr>
        <w:pStyle w:val="20"/>
        <w:bidi w:val="0"/>
      </w:pPr>
      <w:r>
        <w:t>E</w:t>
      </w:r>
      <w:r>
        <w:rPr>
          <w:rFonts w:hint="eastAsia"/>
          <w:lang w:val="en-US" w:eastAsia="zh-CN"/>
        </w:rPr>
        <w:t xml:space="preserve"> </w:t>
      </w:r>
      <w:r>
        <w:t>McMullin</w:t>
      </w:r>
      <w:r>
        <w:rPr>
          <w:rFonts w:hint="eastAsia"/>
        </w:rPr>
        <w:t>,</w:t>
      </w:r>
      <w:r>
        <w:t xml:space="preserve"> </w:t>
      </w:r>
      <w:r>
        <w:rPr>
          <w:rFonts w:hint="default"/>
        </w:rPr>
        <w:t>‘Cosmology and religion’</w:t>
      </w:r>
      <w:r>
        <w:rPr>
          <w:rFonts w:hint="eastAsia"/>
        </w:rPr>
        <w:t>,</w:t>
      </w:r>
      <w:r>
        <w:rPr>
          <w:rFonts w:hint="eastAsia"/>
          <w:lang w:val="en-US" w:eastAsia="zh-CN"/>
        </w:rPr>
        <w:t xml:space="preserve"> in</w:t>
      </w:r>
      <w:r>
        <w:rPr>
          <w:rFonts w:hint="eastAsia"/>
        </w:rPr>
        <w:t xml:space="preserve"> </w:t>
      </w:r>
      <w:r>
        <w:rPr>
          <w:rFonts w:hint="default"/>
        </w:rPr>
        <w:t>Cosmology</w:t>
      </w:r>
      <w:r>
        <w:rPr>
          <w:rFonts w:hint="eastAsia"/>
          <w:lang w:val="en-US" w:eastAsia="zh-CN"/>
        </w:rPr>
        <w:t>,</w:t>
      </w:r>
      <w:r>
        <w:t xml:space="preserve"> ed.</w:t>
      </w:r>
      <w:r>
        <w:rPr>
          <w:rFonts w:hint="default"/>
          <w:lang w:val="en-US"/>
        </w:rPr>
        <w:t xml:space="preserve"> by </w:t>
      </w:r>
      <w:r>
        <w:t>Norriss</w:t>
      </w:r>
      <w:r>
        <w:rPr>
          <w:rFonts w:hint="eastAsia"/>
          <w:lang w:val="en-US" w:eastAsia="zh-CN"/>
        </w:rPr>
        <w:t xml:space="preserve"> S</w:t>
      </w:r>
      <w:r>
        <w:rPr>
          <w:rFonts w:hint="eastAsia"/>
        </w:rPr>
        <w:t xml:space="preserve"> </w:t>
      </w:r>
      <w:r>
        <w:t>Hetherington</w:t>
      </w:r>
      <w:r>
        <w:rPr>
          <w:rFonts w:hint="eastAsia"/>
          <w:lang w:val="en-US" w:eastAsia="zh-CN"/>
        </w:rPr>
        <w:t xml:space="preserve"> </w:t>
      </w:r>
      <w:r>
        <w:rPr>
          <w:rFonts w:hint="eastAsia"/>
        </w:rPr>
        <w:t>(</w:t>
      </w:r>
      <w:r>
        <w:t>CRC Press, 2023</w:t>
      </w:r>
      <w:r>
        <w:rPr>
          <w:rFonts w:hint="eastAsia"/>
        </w:rPr>
        <w:t>), pp.</w:t>
      </w:r>
      <w:r>
        <w:t xml:space="preserve"> 581-606</w:t>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rPr>
        <w:t>10.1201/9781003418047</w:t>
      </w:r>
      <w:r>
        <w:rPr>
          <w:rFonts w:hint="default"/>
          <w:lang w:val="en-US" w:eastAsia="zh-CN"/>
        </w:rPr>
        <w:fldChar w:fldCharType="end"/>
      </w:r>
      <w:r>
        <w:rPr>
          <w:rFonts w:hint="default"/>
          <w:lang w:val="en-US"/>
        </w:rPr>
        <w:t>&gt;</w:t>
      </w:r>
    </w:p>
    <w:p>
      <w:pPr>
        <w:pStyle w:val="20"/>
        <w:bidi w:val="0"/>
        <w:rPr>
          <w:rFonts w:hint="eastAsia" w:eastAsia="宋体"/>
          <w:lang w:val="en-US" w:eastAsia="zh-CN"/>
        </w:rPr>
      </w:pPr>
      <w:r>
        <w:t>Gombrich R</w:t>
      </w:r>
      <w:r>
        <w:rPr>
          <w:rFonts w:hint="eastAsia"/>
        </w:rPr>
        <w:t>,</w:t>
      </w:r>
      <w:r>
        <w:t xml:space="preserve"> ‘</w:t>
      </w:r>
      <w:r>
        <w:rPr>
          <w:rFonts w:hint="default"/>
        </w:rPr>
        <w:t>Ancient Indian Cosmology’</w:t>
      </w:r>
      <w:r>
        <w:rPr>
          <w:rFonts w:hint="eastAsia"/>
        </w:rPr>
        <w:t xml:space="preserve">, </w:t>
      </w:r>
      <w:r>
        <w:rPr>
          <w:rFonts w:hint="eastAsia"/>
          <w:lang w:val="en-US" w:eastAsia="zh-CN"/>
        </w:rPr>
        <w:t xml:space="preserve">in </w:t>
      </w:r>
      <w:r>
        <w:t>Ancient cosmologies</w:t>
      </w:r>
      <w:r>
        <w:rPr>
          <w:rFonts w:hint="eastAsia"/>
        </w:rPr>
        <w:t>,</w:t>
      </w:r>
      <w:r>
        <w:t xml:space="preserve"> ed.</w:t>
      </w:r>
      <w:r>
        <w:rPr>
          <w:rFonts w:hint="default"/>
          <w:lang w:val="en-US"/>
        </w:rPr>
        <w:t xml:space="preserve"> by</w:t>
      </w:r>
      <w:r>
        <w:rPr>
          <w:rFonts w:hint="eastAsia"/>
        </w:rPr>
        <w:t xml:space="preserve"> Blacker, Carmen; Loewe, Michael ( London : George Allen &amp; Unwin</w:t>
      </w:r>
      <w:r>
        <w:rPr>
          <w:rFonts w:hint="eastAsia"/>
          <w:lang w:val="en-US" w:eastAsia="zh-CN"/>
        </w:rPr>
        <w:t>, 1975</w:t>
      </w:r>
      <w:r>
        <w:rPr>
          <w:rFonts w:hint="eastAsia"/>
        </w:rPr>
        <w:t xml:space="preserve">), pp. </w:t>
      </w:r>
      <w:r>
        <w:t>110-142</w:t>
      </w:r>
      <w:r>
        <w:rPr>
          <w:rFonts w:hint="eastAsia"/>
          <w:lang w:val="en-US" w:eastAsia="zh-CN"/>
        </w:rPr>
        <w:t>.</w:t>
      </w:r>
    </w:p>
    <w:p>
      <w:pPr>
        <w:pStyle w:val="20"/>
        <w:bidi w:val="0"/>
      </w:pPr>
      <w:r>
        <w:t>Hu J</w:t>
      </w:r>
      <w:r>
        <w:rPr>
          <w:rFonts w:hint="eastAsia"/>
        </w:rPr>
        <w:t>,</w:t>
      </w:r>
      <w:r>
        <w:t xml:space="preserve"> </w:t>
      </w:r>
      <w:r>
        <w:rPr>
          <w:rFonts w:hint="default"/>
        </w:rPr>
        <w:t>‘Divinities and Ancestors: A Preliminary Comparison between African and Confucian Cosmologies’,</w:t>
      </w:r>
      <w:r>
        <w:t xml:space="preserve"> </w:t>
      </w:r>
      <w:r>
        <w:rPr>
          <w:rFonts w:hint="default"/>
        </w:rPr>
        <w:t xml:space="preserve">Filosofia Theoretica: Journal of African Philosophy, Culture and Religions, </w:t>
      </w:r>
      <w:r>
        <w:t xml:space="preserve">vol. </w:t>
      </w:r>
      <w:r>
        <w:rPr>
          <w:rFonts w:hint="eastAsia"/>
        </w:rPr>
        <w:t>11</w:t>
      </w:r>
      <w:r>
        <w:t xml:space="preserve">, </w:t>
      </w:r>
      <w:r>
        <w:rPr>
          <w:rFonts w:hint="eastAsia"/>
        </w:rPr>
        <w:t>(</w:t>
      </w:r>
      <w:r>
        <w:t>2022</w:t>
      </w:r>
      <w:r>
        <w:rPr>
          <w:rFonts w:hint="eastAsia"/>
        </w:rPr>
        <w:t>)</w:t>
      </w:r>
      <w:r>
        <w:t>, 187-196</w:t>
      </w:r>
      <w:r>
        <w:rPr>
          <w:rFonts w:hint="eastAsia"/>
          <w:lang w:val="en-US" w:eastAsia="zh-CN"/>
        </w:rPr>
        <w:t xml:space="preserve"> &lt;DOI: </w:t>
      </w:r>
      <w:r>
        <w:rPr>
          <w:lang w:val="en-US" w:eastAsia="zh-CN"/>
        </w:rPr>
        <w:t>10.4314/ft.v11i1.14</w:t>
      </w:r>
      <w:r>
        <w:rPr>
          <w:rFonts w:hint="eastAsia"/>
          <w:lang w:val="en-US" w:eastAsia="zh-CN"/>
        </w:rPr>
        <w:t>&gt;</w:t>
      </w:r>
    </w:p>
    <w:p>
      <w:pPr>
        <w:pStyle w:val="20"/>
        <w:bidi w:val="0"/>
        <w:rPr>
          <w:rFonts w:hint="default"/>
          <w:lang w:val="en-US" w:eastAsia="zh-CN"/>
        </w:rPr>
      </w:pPr>
      <w:r>
        <w:rPr>
          <w:rFonts w:hint="eastAsia"/>
        </w:rPr>
        <w:t>Jay McDaniel</w:t>
      </w:r>
      <w:r>
        <w:rPr>
          <w:rFonts w:hint="eastAsia"/>
          <w:lang w:val="en-US" w:eastAsia="zh-CN"/>
        </w:rPr>
        <w:t>,</w:t>
      </w:r>
      <w:r>
        <w:rPr>
          <w:rFonts w:hint="eastAsia"/>
        </w:rPr>
        <w:t xml:space="preserve"> </w:t>
      </w:r>
      <w:r>
        <w:rPr>
          <w:rFonts w:hint="default"/>
        </w:rPr>
        <w:t>The Western Inscription:A Gift from China to the World</w:t>
      </w:r>
      <w:r>
        <w:rPr>
          <w:rFonts w:hint="default"/>
          <w:lang w:val="en-US" w:eastAsia="zh-CN"/>
        </w:rPr>
        <w:t xml:space="preserve"> </w:t>
      </w:r>
      <w:r>
        <w:rPr>
          <w:rFonts w:hint="eastAsia"/>
          <w:lang w:val="en-US" w:eastAsia="zh-CN"/>
        </w:rPr>
        <w:t>&lt;</w:t>
      </w:r>
      <w:r>
        <w:rPr>
          <w:rFonts w:hint="eastAsia"/>
        </w:rPr>
        <w:t>https://www.openhorizons.org/the-western-inscription-a-gift-from-china-to-the-world.html</w:t>
      </w:r>
      <w:r>
        <w:rPr>
          <w:rFonts w:hint="eastAsia"/>
          <w:lang w:val="en-US" w:eastAsia="zh-CN"/>
        </w:rPr>
        <w:t>&gt;</w:t>
      </w:r>
      <w:r>
        <w:rPr>
          <w:rFonts w:hint="default"/>
          <w:lang w:val="en-US" w:eastAsia="zh-CN"/>
        </w:rPr>
        <w:t xml:space="preserve"> [accessed 19 December 2025]</w:t>
      </w:r>
    </w:p>
    <w:p>
      <w:pPr>
        <w:pStyle w:val="20"/>
        <w:bidi w:val="0"/>
      </w:pPr>
      <w:r>
        <w:rPr>
          <w:lang w:val="en-US" w:eastAsia="zh-CN"/>
        </w:rPr>
        <w:t>Kaisar, M. (2024). On the Cosmologies of Vedic, Sankhya And Vedantic Philosophies.</w:t>
      </w:r>
      <w:r>
        <w:rPr>
          <w:rFonts w:hint="default"/>
          <w:lang w:val="en-US" w:eastAsia="zh-CN"/>
        </w:rPr>
        <w:t xml:space="preserve"> International Journal of Social Sciences and Humanities Invention. 8123-8126.</w:t>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default"/>
          <w:lang w:val="en-US" w:eastAsia="zh-CN"/>
        </w:rPr>
        <w:t>10.18535/ijsshi/v11i04.03.&gt;</w:t>
      </w:r>
    </w:p>
    <w:p>
      <w:pPr>
        <w:pStyle w:val="20"/>
        <w:bidi w:val="0"/>
        <w:rPr>
          <w:rFonts w:hint="default"/>
          <w:lang w:val="en-US" w:eastAsia="zh-CN"/>
        </w:rPr>
      </w:pPr>
      <w:r>
        <w:t>Kassiola J</w:t>
      </w:r>
      <w:r>
        <w:rPr>
          <w:rFonts w:hint="eastAsia"/>
        </w:rPr>
        <w:t>,</w:t>
      </w:r>
      <w:r>
        <w:t xml:space="preserve"> </w:t>
      </w:r>
      <w:r>
        <w:rPr>
          <w:rFonts w:hint="default"/>
        </w:rPr>
        <w:t>‘Zhang Zai's cosmology of Qi and the refutation of arrogant anthropocentrism: Confucian green theory illustrated’,</w:t>
      </w:r>
      <w:r>
        <w:t xml:space="preserve"> </w:t>
      </w:r>
      <w:r>
        <w:rPr>
          <w:rFonts w:hint="default"/>
        </w:rPr>
        <w:t>Environmental Values,</w:t>
      </w:r>
      <w:r>
        <w:t xml:space="preserve"> vol. </w:t>
      </w:r>
      <w:r>
        <w:rPr>
          <w:rFonts w:hint="eastAsia"/>
        </w:rPr>
        <w:t>31</w:t>
      </w:r>
      <w:r>
        <w:rPr>
          <w:rFonts w:hint="eastAsia"/>
          <w:lang w:val="en-US" w:eastAsia="zh-CN"/>
        </w:rPr>
        <w:t xml:space="preserve"> (5)</w:t>
      </w:r>
      <w:r>
        <w:t xml:space="preserve">, </w:t>
      </w:r>
      <w:r>
        <w:rPr>
          <w:rFonts w:hint="eastAsia"/>
        </w:rPr>
        <w:t>(</w:t>
      </w:r>
      <w:r>
        <w:t>2022)</w:t>
      </w:r>
      <w:r>
        <w:rPr>
          <w:rFonts w:hint="eastAsia"/>
        </w:rPr>
        <w:t>,</w:t>
      </w:r>
      <w:r>
        <w:t xml:space="preserve"> 533-554</w:t>
      </w:r>
      <w:r>
        <w:rPr>
          <w:rFonts w:hint="eastAsia"/>
          <w:lang w:val="en-US" w:eastAsia="zh-CN"/>
        </w:rPr>
        <w:t>. &lt;DOI:</w:t>
      </w:r>
      <w:r>
        <w:rPr>
          <w:rStyle w:val="14"/>
          <w:rFonts w:hint="eastAsia" w:ascii="Times New Roman Regular" w:hAnsi="Times New Roman Regular" w:eastAsia="宋体" w:cs="Times New Roman Regular"/>
          <w:i w:val="0"/>
          <w:iCs w:val="0"/>
          <w:caps w:val="0"/>
          <w:color w:val="007A96"/>
          <w:spacing w:val="6"/>
          <w:szCs w:val="20"/>
          <w:u w:val="none"/>
          <w:shd w:val="clear" w:fill="FFFFFF"/>
          <w:lang w:val="en-US" w:eastAsia="zh-CN"/>
        </w:rPr>
        <w:t xml:space="preserve"> </w:t>
      </w:r>
      <w:r>
        <w:rPr>
          <w:lang w:val="en-US" w:eastAsia="zh-CN"/>
        </w:rPr>
        <w:t>10.3197/096327121x16245253346558</w:t>
      </w:r>
      <w:r>
        <w:rPr>
          <w:rFonts w:hint="eastAsia"/>
          <w:lang w:val="en-US" w:eastAsia="zh-CN"/>
        </w:rPr>
        <w:t>&gt;</w:t>
      </w:r>
    </w:p>
    <w:p>
      <w:pPr>
        <w:pStyle w:val="20"/>
        <w:bidi w:val="0"/>
      </w:pPr>
      <w:r>
        <w:t>Li C</w:t>
      </w:r>
      <w:r>
        <w:rPr>
          <w:rFonts w:hint="eastAsia"/>
        </w:rPr>
        <w:t>,</w:t>
      </w:r>
      <w:r>
        <w:t xml:space="preserve"> ‘The heaven-earth cosmic faith and the universality of confucian ethics’</w:t>
      </w:r>
      <w:r>
        <w:rPr>
          <w:rFonts w:hint="eastAsia"/>
        </w:rPr>
        <w:t>,</w:t>
      </w:r>
      <w:r>
        <w:t xml:space="preserve"> </w:t>
      </w:r>
      <w:r>
        <w:rPr>
          <w:rFonts w:hint="default"/>
        </w:rPr>
        <w:t>International Confucian Studies</w:t>
      </w:r>
      <w:r>
        <w:t>,</w:t>
      </w:r>
      <w:r>
        <w:rPr>
          <w:rFonts w:hint="eastAsia"/>
        </w:rPr>
        <w:t xml:space="preserve"> </w:t>
      </w:r>
      <w:r>
        <w:t xml:space="preserve">vol. </w:t>
      </w:r>
      <w:r>
        <w:rPr>
          <w:rFonts w:hint="eastAsia"/>
        </w:rPr>
        <w:t>1</w:t>
      </w:r>
      <w:r>
        <w:rPr>
          <w:rFonts w:hint="eastAsia"/>
          <w:lang w:val="en-US" w:eastAsia="zh-CN"/>
        </w:rPr>
        <w:t xml:space="preserve"> (1)</w:t>
      </w:r>
      <w:r>
        <w:t xml:space="preserve">, </w:t>
      </w:r>
      <w:r>
        <w:rPr>
          <w:rFonts w:hint="eastAsia"/>
        </w:rPr>
        <w:t>(</w:t>
      </w:r>
      <w:r>
        <w:t>2022)</w:t>
      </w:r>
      <w:r>
        <w:rPr>
          <w:rFonts w:hint="eastAsia"/>
        </w:rPr>
        <w:t>,</w:t>
      </w:r>
      <w:r>
        <w:t xml:space="preserve"> 48-63.</w:t>
      </w:r>
      <w:r>
        <w:rPr>
          <w:rFonts w:hint="eastAsia"/>
          <w:lang w:val="en-US" w:eastAsia="zh-CN"/>
        </w:rPr>
        <w:t xml:space="preserve"> &lt;DOI: </w:t>
      </w:r>
      <w:r>
        <w:rPr>
          <w:rFonts w:hint="default"/>
          <w:lang w:val="en-US" w:eastAsia="zh-CN"/>
        </w:rPr>
        <w:fldChar w:fldCharType="begin"/>
      </w:r>
      <w:r>
        <w:rPr>
          <w:rFonts w:hint="default"/>
          <w:lang w:val="en-US" w:eastAsia="zh-CN"/>
        </w:rPr>
        <w:instrText xml:space="preserve"> HYPERLINK "https://doi.org/10.1515/icos-2022-2004?urlappend=?utm_source=researchgate.net&amp;utm_medium=article" \t "/Users/xeniazhang/Documents\\x/_blank" </w:instrText>
      </w:r>
      <w:r>
        <w:rPr>
          <w:rFonts w:hint="default"/>
          <w:lang w:val="en-US" w:eastAsia="zh-CN"/>
        </w:rPr>
        <w:fldChar w:fldCharType="separate"/>
      </w:r>
      <w:r>
        <w:rPr>
          <w:rFonts w:hint="default"/>
        </w:rPr>
        <w:t>10.1515/icos-2022-2004</w:t>
      </w:r>
      <w:r>
        <w:rPr>
          <w:rFonts w:hint="default"/>
          <w:lang w:val="en-US" w:eastAsia="zh-CN"/>
        </w:rPr>
        <w:fldChar w:fldCharType="end"/>
      </w:r>
      <w:r>
        <w:rPr>
          <w:rFonts w:hint="eastAsia"/>
          <w:lang w:val="en-US" w:eastAsia="zh-CN"/>
        </w:rPr>
        <w:t>&gt;</w:t>
      </w:r>
    </w:p>
    <w:p>
      <w:pPr>
        <w:pStyle w:val="20"/>
        <w:bidi w:val="0"/>
      </w:pPr>
      <w:r>
        <w:t>Masi M</w:t>
      </w:r>
      <w:r>
        <w:rPr>
          <w:rFonts w:hint="eastAsia"/>
        </w:rPr>
        <w:t>,</w:t>
      </w:r>
      <w:r>
        <w:t xml:space="preserve"> </w:t>
      </w:r>
      <w:r>
        <w:rPr>
          <w:rFonts w:hint="default"/>
        </w:rPr>
        <w:t>‘The Integral Cosmology of Sri Aurobindo: An Introduction from the Perspective of Consciousness Studies’</w:t>
      </w:r>
      <w:r>
        <w:rPr>
          <w:rFonts w:hint="eastAsia"/>
        </w:rPr>
        <w:t xml:space="preserve">, Integral Review, </w:t>
      </w:r>
      <w:r>
        <w:t xml:space="preserve">vol. </w:t>
      </w:r>
      <w:r>
        <w:rPr>
          <w:rFonts w:hint="eastAsia"/>
        </w:rPr>
        <w:t>18</w:t>
      </w:r>
      <w:r>
        <w:t xml:space="preserve">, </w:t>
      </w:r>
      <w:r>
        <w:rPr>
          <w:rFonts w:hint="eastAsia"/>
        </w:rPr>
        <w:t>(</w:t>
      </w:r>
      <w:r>
        <w:t>2023</w:t>
      </w:r>
      <w:r>
        <w:rPr>
          <w:rFonts w:hint="eastAsia"/>
        </w:rPr>
        <w:t>), pp.512-552</w:t>
      </w:r>
      <w:r>
        <w:t>.</w:t>
      </w:r>
    </w:p>
    <w:p>
      <w:pPr>
        <w:pStyle w:val="20"/>
        <w:bidi w:val="0"/>
        <w:rPr>
          <w:rFonts w:hint="default"/>
          <w:lang w:val="en-US"/>
        </w:rPr>
      </w:pPr>
      <w:r>
        <w:t>Needham J, Ronan C</w:t>
      </w:r>
      <w:r>
        <w:rPr>
          <w:rFonts w:hint="eastAsia"/>
        </w:rPr>
        <w:t>,</w:t>
      </w:r>
      <w:r>
        <w:t xml:space="preserve"> </w:t>
      </w:r>
      <w:r>
        <w:rPr>
          <w:rFonts w:hint="default"/>
        </w:rPr>
        <w:t>‘Chinese cosmology’</w:t>
      </w:r>
      <w:r>
        <w:rPr>
          <w:rFonts w:hint="eastAsia"/>
        </w:rPr>
        <w:t xml:space="preserve">, </w:t>
      </w:r>
      <w:r>
        <w:t>Cosmology ed.</w:t>
      </w:r>
      <w:r>
        <w:rPr>
          <w:rFonts w:hint="default"/>
          <w:lang w:val="en-US"/>
        </w:rPr>
        <w:t xml:space="preserve"> by </w:t>
      </w:r>
      <w:r>
        <w:t>Norriss</w:t>
      </w:r>
      <w:r>
        <w:rPr>
          <w:rFonts w:hint="eastAsia"/>
          <w:lang w:val="en-US" w:eastAsia="zh-CN"/>
        </w:rPr>
        <w:t xml:space="preserve"> S</w:t>
      </w:r>
      <w:r>
        <w:rPr>
          <w:rFonts w:hint="eastAsia"/>
        </w:rPr>
        <w:t xml:space="preserve"> </w:t>
      </w:r>
      <w:r>
        <w:t>Hetherington</w:t>
      </w:r>
      <w:r>
        <w:rPr>
          <w:rFonts w:hint="eastAsia"/>
          <w:lang w:val="en-US" w:eastAsia="zh-CN"/>
        </w:rPr>
        <w:t xml:space="preserve"> </w:t>
      </w:r>
      <w:r>
        <w:rPr>
          <w:rFonts w:hint="eastAsia"/>
        </w:rPr>
        <w:t>(</w:t>
      </w:r>
      <w:r>
        <w:t>CRC Press, 2023</w:t>
      </w:r>
      <w:r>
        <w:rPr>
          <w:rFonts w:hint="eastAsia"/>
        </w:rPr>
        <w:t>), pp.</w:t>
      </w:r>
      <w:r>
        <w:t xml:space="preserve"> </w:t>
      </w:r>
      <w:r>
        <w:rPr>
          <w:rFonts w:hint="eastAsia"/>
          <w:lang w:val="en-US" w:eastAsia="zh-CN"/>
        </w:rPr>
        <w:t>25</w:t>
      </w:r>
      <w:r>
        <w:t>-</w:t>
      </w:r>
      <w:r>
        <w:rPr>
          <w:rFonts w:hint="eastAsia"/>
          <w:lang w:val="en-US" w:eastAsia="zh-CN"/>
        </w:rPr>
        <w:t>3</w:t>
      </w:r>
      <w:r>
        <w:t>6</w:t>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rPr>
        <w:t>10.1201/9781003418047</w:t>
      </w:r>
      <w:r>
        <w:rPr>
          <w:rFonts w:hint="default"/>
          <w:lang w:val="en-US" w:eastAsia="zh-CN"/>
        </w:rPr>
        <w:fldChar w:fldCharType="end"/>
      </w:r>
      <w:r>
        <w:rPr>
          <w:rFonts w:hint="default"/>
          <w:lang w:val="en-US"/>
        </w:rPr>
        <w:t>&gt;</w:t>
      </w:r>
    </w:p>
    <w:p>
      <w:pPr>
        <w:pStyle w:val="20"/>
        <w:bidi w:val="0"/>
      </w:pPr>
      <w:r>
        <w:t>Norriss</w:t>
      </w:r>
      <w:r>
        <w:rPr>
          <w:rFonts w:hint="eastAsia"/>
          <w:lang w:val="en-US" w:eastAsia="zh-CN"/>
        </w:rPr>
        <w:t xml:space="preserve"> S</w:t>
      </w:r>
      <w:r>
        <w:rPr>
          <w:rFonts w:hint="eastAsia"/>
        </w:rPr>
        <w:t xml:space="preserve"> </w:t>
      </w:r>
      <w:r>
        <w:t>Hetherington</w:t>
      </w:r>
      <w:r>
        <w:rPr>
          <w:rFonts w:hint="eastAsia"/>
        </w:rPr>
        <w:t>,</w:t>
      </w:r>
      <w:r>
        <w:t xml:space="preserve"> </w:t>
      </w:r>
      <w:r>
        <w:rPr>
          <w:rFonts w:hint="default"/>
        </w:rPr>
        <w:t>‘Introduction: Different cultures, different cosmologies’</w:t>
      </w:r>
      <w:r>
        <w:rPr>
          <w:rFonts w:hint="eastAsia"/>
        </w:rPr>
        <w:t xml:space="preserve">, </w:t>
      </w:r>
      <w:r>
        <w:rPr>
          <w:rFonts w:hint="eastAsia"/>
          <w:lang w:val="en-US" w:eastAsia="zh-CN"/>
        </w:rPr>
        <w:t xml:space="preserve">in </w:t>
      </w:r>
      <w:r>
        <w:t>Cosmology</w:t>
      </w:r>
      <w:r>
        <w:rPr>
          <w:rFonts w:hint="eastAsia"/>
          <w:lang w:val="en-US" w:eastAsia="zh-CN"/>
        </w:rPr>
        <w:t>,</w:t>
      </w:r>
      <w:r>
        <w:t xml:space="preserve"> ed.</w:t>
      </w:r>
      <w:r>
        <w:rPr>
          <w:rFonts w:hint="default"/>
          <w:lang w:val="en-US"/>
        </w:rPr>
        <w:t xml:space="preserve"> by </w:t>
      </w:r>
      <w:r>
        <w:t>Norriss</w:t>
      </w:r>
      <w:r>
        <w:rPr>
          <w:rFonts w:hint="eastAsia"/>
          <w:lang w:val="en-US" w:eastAsia="zh-CN"/>
        </w:rPr>
        <w:t xml:space="preserve"> S</w:t>
      </w:r>
      <w:r>
        <w:rPr>
          <w:rFonts w:hint="eastAsia"/>
        </w:rPr>
        <w:t xml:space="preserve"> </w:t>
      </w:r>
      <w:r>
        <w:t>Hetherington</w:t>
      </w:r>
      <w:r>
        <w:rPr>
          <w:rFonts w:hint="eastAsia"/>
          <w:lang w:val="en-US" w:eastAsia="zh-CN"/>
        </w:rPr>
        <w:t xml:space="preserve"> </w:t>
      </w:r>
      <w:r>
        <w:rPr>
          <w:rFonts w:hint="eastAsia"/>
        </w:rPr>
        <w:t>(</w:t>
      </w:r>
      <w:r>
        <w:t>CRC Press, 2023</w:t>
      </w:r>
      <w:r>
        <w:rPr>
          <w:rFonts w:hint="eastAsia"/>
        </w:rPr>
        <w:t>),</w:t>
      </w:r>
      <w:r>
        <w:rPr>
          <w:rFonts w:hint="eastAsia"/>
          <w:lang w:val="en-US" w:eastAsia="zh-CN"/>
        </w:rPr>
        <w:t xml:space="preserve"> pp.</w:t>
      </w:r>
      <w:r>
        <w:t xml:space="preserve"> 3-8.</w:t>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rPr>
        <w:t>10.1201/9781003418047</w:t>
      </w:r>
      <w:r>
        <w:rPr>
          <w:rFonts w:hint="default"/>
          <w:lang w:val="en-US" w:eastAsia="zh-CN"/>
        </w:rPr>
        <w:fldChar w:fldCharType="end"/>
      </w:r>
      <w:r>
        <w:rPr>
          <w:rFonts w:hint="default"/>
          <w:lang w:val="en-US"/>
        </w:rPr>
        <w:t>&gt;</w:t>
      </w:r>
    </w:p>
    <w:p>
      <w:pPr>
        <w:pStyle w:val="20"/>
        <w:bidi w:val="0"/>
      </w:pPr>
      <w:r>
        <w:t>Sertdemir</w:t>
      </w:r>
      <w:r>
        <w:rPr>
          <w:rFonts w:hint="eastAsia"/>
        </w:rPr>
        <w:t>,</w:t>
      </w:r>
      <w:r>
        <w:t xml:space="preserve"> </w:t>
      </w:r>
      <w:r>
        <w:rPr>
          <w:rFonts w:hint="default"/>
        </w:rPr>
        <w:t xml:space="preserve">‘Book of changes: Cosmological and anthropological metaphors in Chinese philosophy’, </w:t>
      </w:r>
      <w:r>
        <w:t xml:space="preserve">Academicus International Scientific Journal, vol. </w:t>
      </w:r>
      <w:r>
        <w:rPr>
          <w:rFonts w:hint="eastAsia"/>
        </w:rPr>
        <w:t>12</w:t>
      </w:r>
      <w:r>
        <w:t xml:space="preserve">, </w:t>
      </w:r>
      <w:r>
        <w:rPr>
          <w:rFonts w:hint="eastAsia"/>
        </w:rPr>
        <w:t>(</w:t>
      </w:r>
      <w:r>
        <w:t>2021</w:t>
      </w:r>
      <w:r>
        <w:rPr>
          <w:rFonts w:hint="eastAsia"/>
        </w:rPr>
        <w:t>)</w:t>
      </w:r>
      <w:r>
        <w:t>, 214-225.</w:t>
      </w:r>
      <w:r>
        <w:rPr>
          <w:rFonts w:hint="eastAsia"/>
          <w:lang w:val="en-US" w:eastAsia="zh-CN"/>
        </w:rPr>
        <w:t xml:space="preserve">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default"/>
          <w:lang w:val="en-US" w:eastAsia="zh-CN"/>
        </w:rPr>
        <w:t>10.7336/academicus.2021.24.14</w:t>
      </w:r>
      <w:r>
        <w:rPr>
          <w:rFonts w:hint="default"/>
          <w:lang w:val="en-US"/>
        </w:rPr>
        <w:t>&gt;</w:t>
      </w:r>
    </w:p>
    <w:p>
      <w:pPr>
        <w:pStyle w:val="20"/>
        <w:bidi w:val="0"/>
      </w:pPr>
      <w:r>
        <w:t>Shankar B</w:t>
      </w:r>
      <w:r>
        <w:rPr>
          <w:rFonts w:hint="eastAsia"/>
        </w:rPr>
        <w:t>,</w:t>
      </w:r>
      <w:r>
        <w:t xml:space="preserve"> ‘Sri Aurobindo: Cosmology, Psychology and Integral Experience’</w:t>
      </w:r>
      <w:r>
        <w:rPr>
          <w:rFonts w:hint="eastAsia"/>
        </w:rPr>
        <w:t>,</w:t>
      </w:r>
      <w:r>
        <w:t xml:space="preserve"> Journal of Indian Council of Philosophical Research, vol. </w:t>
      </w:r>
      <w:r>
        <w:rPr>
          <w:rFonts w:hint="eastAsia"/>
        </w:rPr>
        <w:t>41</w:t>
      </w:r>
      <w:r>
        <w:t xml:space="preserve">, </w:t>
      </w:r>
      <w:r>
        <w:rPr>
          <w:rFonts w:hint="eastAsia"/>
        </w:rPr>
        <w:t>(</w:t>
      </w:r>
      <w:r>
        <w:t>2024)</w:t>
      </w:r>
      <w:r>
        <w:rPr>
          <w:rFonts w:hint="eastAsia"/>
        </w:rPr>
        <w:t>, pp.</w:t>
      </w:r>
      <w:r>
        <w:t xml:space="preserve"> 241-258.</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default"/>
          <w:lang w:val="en-US" w:eastAsia="zh-CN"/>
        </w:rPr>
        <w:t>10.1007/s40961-024-00328-1</w:t>
      </w:r>
      <w:r>
        <w:rPr>
          <w:rFonts w:hint="default"/>
          <w:lang w:val="en-US"/>
        </w:rPr>
        <w:t>&gt;</w:t>
      </w:r>
    </w:p>
    <w:p>
      <w:pPr>
        <w:pStyle w:val="20"/>
        <w:bidi w:val="0"/>
        <w:rPr>
          <w:rFonts w:hint="default"/>
          <w:lang w:val="en-US"/>
        </w:rPr>
      </w:pPr>
      <w:r>
        <w:t>Silvestre R</w:t>
      </w:r>
      <w:r>
        <w:rPr>
          <w:rFonts w:hint="eastAsia"/>
        </w:rPr>
        <w:t>,</w:t>
      </w:r>
      <w:r>
        <w:t xml:space="preserve"> ‘Panentheism and Theistic Cosmopsychism: God and the Cosmos in the Bhavagad Gītā’</w:t>
      </w:r>
      <w:r>
        <w:rPr>
          <w:rFonts w:hint="eastAsia"/>
        </w:rPr>
        <w:t>,</w:t>
      </w:r>
      <w:r>
        <w:t xml:space="preserve"> Sophia, vol. </w:t>
      </w:r>
      <w:r>
        <w:rPr>
          <w:rFonts w:hint="eastAsia"/>
        </w:rPr>
        <w:t>63</w:t>
      </w:r>
      <w:r>
        <w:t xml:space="preserve">, </w:t>
      </w:r>
      <w:r>
        <w:rPr>
          <w:rFonts w:hint="eastAsia"/>
        </w:rPr>
        <w:t>(</w:t>
      </w:r>
      <w:r>
        <w:t>2024)</w:t>
      </w:r>
      <w:r>
        <w:rPr>
          <w:rFonts w:hint="eastAsia"/>
        </w:rPr>
        <w:t>, pp.</w:t>
      </w:r>
      <w:r>
        <w:t xml:space="preserve"> 447-469</w:t>
      </w:r>
      <w:r>
        <w:rPr>
          <w:rFonts w:hint="default"/>
          <w:lang w:val="en-US"/>
        </w:rPr>
        <w:t xml:space="preserve"> &lt;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eastAsia"/>
        </w:rPr>
        <w:t>10.1007/s11841-024-01017-x</w:t>
      </w:r>
      <w:r>
        <w:rPr>
          <w:rFonts w:hint="default"/>
          <w:lang w:val="en-US"/>
        </w:rPr>
        <w:t>&gt;</w:t>
      </w:r>
    </w:p>
    <w:p>
      <w:pPr>
        <w:pStyle w:val="20"/>
        <w:bidi w:val="0"/>
      </w:pPr>
      <w:r>
        <w:rPr>
          <w:rFonts w:hint="eastAsia"/>
        </w:rPr>
        <w:t>Tylor, Edward Burnett.</w:t>
      </w:r>
      <w:r>
        <w:rPr>
          <w:rFonts w:hint="eastAsia"/>
          <w:lang w:val="en-US" w:eastAsia="zh-CN"/>
        </w:rPr>
        <w:t xml:space="preserve"> </w:t>
      </w:r>
      <w:r>
        <w:rPr>
          <w:rFonts w:hint="default"/>
        </w:rPr>
        <w:t>Primitive Culture: Researches Into The Development Of Mythology, Philosophy, Religion, Art, And Custom.</w:t>
      </w:r>
      <w:r>
        <w:rPr>
          <w:rFonts w:hint="eastAsia"/>
        </w:rPr>
        <w:t xml:space="preserve"> </w:t>
      </w:r>
      <w:r>
        <w:rPr>
          <w:rFonts w:hint="eastAsia"/>
          <w:lang w:val="en-US" w:eastAsia="zh-CN"/>
        </w:rPr>
        <w:t>(</w:t>
      </w:r>
      <w:r>
        <w:rPr>
          <w:rFonts w:hint="eastAsia"/>
        </w:rPr>
        <w:t>London: John Murray, 1871</w:t>
      </w:r>
      <w:r>
        <w:rPr>
          <w:rFonts w:hint="eastAsia"/>
          <w:lang w:val="en-US" w:eastAsia="zh-CN"/>
        </w:rPr>
        <w:t>)</w:t>
      </w:r>
      <w:r>
        <w:rPr>
          <w:rFonts w:hint="eastAsia"/>
        </w:rPr>
        <w:t>, p. 1.</w:t>
      </w:r>
    </w:p>
    <w:p>
      <w:pPr>
        <w:pStyle w:val="20"/>
        <w:bidi w:val="0"/>
        <w:rPr>
          <w:rFonts w:hint="default"/>
          <w:lang w:val="en-US" w:eastAsia="zh-CN"/>
        </w:rPr>
      </w:pPr>
      <w:r>
        <w:rPr>
          <w:lang w:val="en-US" w:eastAsia="zh-CN"/>
        </w:rPr>
        <w:t>İlknur, S. (2021). Book of Changes: Cosmological and Anthropological Metaphors in Chinese Philosophy.</w:t>
      </w:r>
      <w:r>
        <w:rPr>
          <w:rFonts w:hint="default"/>
          <w:lang w:val="en-US" w:eastAsia="zh-CN"/>
        </w:rPr>
        <w:t xml:space="preserve"> Academicus International Scientific Journal. 214-225. </w:t>
      </w:r>
      <w:r>
        <w:rPr>
          <w:rFonts w:hint="default"/>
          <w:lang w:val="en-US"/>
        </w:rPr>
        <w:t>&lt;</w:t>
      </w:r>
      <w:r>
        <w:rPr>
          <w:rFonts w:hint="default"/>
          <w:lang w:val="en-US" w:eastAsia="zh-CN"/>
        </w:rPr>
        <w:fldChar w:fldCharType="begin"/>
      </w:r>
      <w:r>
        <w:rPr>
          <w:rFonts w:hint="default"/>
          <w:lang w:val="en-US" w:eastAsia="zh-CN"/>
        </w:rPr>
        <w:instrText xml:space="preserve"> HYPERLINK "https://doi.org/10.1201/9781003418047" \t "/Users/xeniazhang/Documents\\x/_blank" </w:instrText>
      </w:r>
      <w:r>
        <w:rPr>
          <w:rFonts w:hint="default"/>
          <w:lang w:val="en-US" w:eastAsia="zh-CN"/>
        </w:rPr>
        <w:fldChar w:fldCharType="separate"/>
      </w:r>
      <w:r>
        <w:rPr>
          <w:rFonts w:hint="default"/>
        </w:rPr>
        <w:t>DOI</w:t>
      </w:r>
      <w:r>
        <w:rPr>
          <w:rFonts w:hint="eastAsia"/>
          <w:lang w:val="en-US" w:eastAsia="zh-CN"/>
        </w:rPr>
        <w:t xml:space="preserve">: </w:t>
      </w:r>
      <w:r>
        <w:rPr>
          <w:rFonts w:hint="default"/>
          <w:lang w:val="en-US" w:eastAsia="zh-CN"/>
        </w:rPr>
        <w:fldChar w:fldCharType="end"/>
      </w:r>
      <w:r>
        <w:rPr>
          <w:rFonts w:hint="default"/>
          <w:lang w:val="en-US" w:eastAsia="zh-CN"/>
        </w:rPr>
        <w:t>10.7336/academicus.2021.24.14.&gt;</w:t>
      </w:r>
    </w:p>
    <w:sectPr>
      <w:headerReference r:id="rId5" w:type="default"/>
      <w:footnotePr>
        <w:numFmt w:val="decimalEnclosedCircleChinese"/>
      </w:footnote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40"/>
      </w:pPr>
      <w:r>
        <w:separator/>
      </w:r>
    </w:p>
  </w:endnote>
  <w:endnote w:type="continuationSeparator" w:id="1">
    <w:p>
      <w:pPr>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Times New Roman Regular">
    <w:panose1 w:val="02020603050405020304"/>
    <w:charset w:val="00"/>
    <w:family w:val="auto"/>
    <w:pitch w:val="default"/>
    <w:sig w:usb0="E0002AEF" w:usb1="C0007841" w:usb2="00000009" w:usb3="00000000" w:csb0="400001FF" w:csb1="FFFF0000"/>
  </w:font>
  <w:font w:name="Times New Roman Italic">
    <w:panose1 w:val="02020603050405020304"/>
    <w:charset w:val="00"/>
    <w:family w:val="auto"/>
    <w:pitch w:val="default"/>
    <w:sig w:usb0="E0002AEF" w:usb1="C0007841" w:usb2="00000009" w:usb3="00000000" w:csb0="400001FF" w:csb1="FFFF0000"/>
  </w:font>
  <w:font w:name="STIX-Regular">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黑体-简">
    <w:panose1 w:val="02000000000000000000"/>
    <w:charset w:val="86"/>
    <w:family w:val="auto"/>
    <w:pitch w:val="default"/>
    <w:sig w:usb0="8000002F" w:usb1="0800004A" w:usb2="00000000" w:usb3="00000000" w:csb0="203E0000" w:csb1="00000000"/>
  </w:font>
  <w:font w:name="Tahoma">
    <w:panose1 w:val="020B0804030504040204"/>
    <w:charset w:val="00"/>
    <w:family w:val="auto"/>
    <w:pitch w:val="default"/>
    <w:sig w:usb0="E1002AFF" w:usb1="C000605B" w:usb2="00000029" w:usb3="00000000" w:csb0="200101FF" w:csb1="20280000"/>
  </w:font>
  <w:font w:name="Trebuchet MS">
    <w:panose1 w:val="020B0603020202020204"/>
    <w:charset w:val="00"/>
    <w:family w:val="swiss"/>
    <w:pitch w:val="default"/>
    <w:sig w:usb0="00000287" w:usb1="00000000" w:usb2="00000000" w:usb3="00000000" w:csb0="2000009F" w:csb1="00000000"/>
  </w:font>
  <w:font w:name="Arial Unicode MS">
    <w:panose1 w:val="020B0604020202020204"/>
    <w:charset w:val="86"/>
    <w:family w:val="auto"/>
    <w:pitch w:val="default"/>
    <w:sig w:usb0="FFFFFFFF" w:usb1="E9FFFFFF" w:usb2="0000003F" w:usb3="00000000" w:csb0="603F01FF" w:csb1="FFFF0000"/>
  </w:font>
  <w:font w:name="微软雅黑">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8">
    <w:p>
      <w:pPr>
        <w:spacing w:before="0" w:after="0"/>
        <w:ind w:firstLine="440"/>
      </w:pPr>
      <w:r>
        <w:separator/>
      </w:r>
    </w:p>
  </w:footnote>
  <w:footnote w:type="continuationSeparator" w:id="39">
    <w:p>
      <w:pPr>
        <w:spacing w:before="0" w:after="0"/>
        <w:ind w:firstLine="440"/>
      </w:pPr>
      <w:r>
        <w:continuationSeparator/>
      </w:r>
    </w:p>
  </w:footnote>
  <w:footnote w:id="0">
    <w:p>
      <w:pPr>
        <w:pStyle w:val="9"/>
        <w:bidi w:val="0"/>
        <w:rPr>
          <w:sz w:val="18"/>
          <w:szCs w:val="18"/>
        </w:rPr>
      </w:pPr>
      <w:r>
        <w:rPr>
          <w:rStyle w:val="15"/>
        </w:rPr>
        <w:footnoteRef/>
      </w:r>
      <w:r>
        <w:t xml:space="preserve"> </w:t>
      </w:r>
      <w:r>
        <w:rPr>
          <w:rFonts w:hint="eastAsia" w:cs="Times New Roman"/>
          <w:color w:val="auto"/>
          <w:sz w:val="18"/>
          <w:szCs w:val="18"/>
          <w:u w:val="none"/>
        </w:rPr>
        <w:t>Tylor, Edward Burnett.</w:t>
      </w:r>
      <w:r>
        <w:rPr>
          <w:rFonts w:hint="eastAsia" w:cs="Times New Roman"/>
          <w:color w:val="auto"/>
          <w:sz w:val="18"/>
          <w:szCs w:val="18"/>
          <w:u w:val="none"/>
          <w:lang w:val="en-US" w:eastAsia="zh-CN"/>
        </w:rPr>
        <w:t xml:space="preserve"> </w:t>
      </w:r>
      <w:r>
        <w:rPr>
          <w:rFonts w:hint="default" w:ascii="Times New Roman Italic" w:hAnsi="Times New Roman Italic" w:cs="Times New Roman Italic"/>
          <w:i/>
          <w:iCs/>
          <w:color w:val="auto"/>
          <w:sz w:val="18"/>
          <w:szCs w:val="18"/>
          <w:u w:val="none"/>
          <w:shd w:val="clear" w:color="auto" w:fill="auto"/>
        </w:rPr>
        <w:t>Primitive Culture: Researches Into The Development Of Mythology, Philosophy, Religion, Art, And Custom.</w:t>
      </w:r>
      <w:r>
        <w:rPr>
          <w:rFonts w:hint="eastAsia" w:cs="Times New Roman"/>
          <w:color w:val="auto"/>
          <w:sz w:val="18"/>
          <w:szCs w:val="18"/>
          <w:u w:val="none"/>
        </w:rPr>
        <w:t xml:space="preserve"> </w:t>
      </w:r>
      <w:r>
        <w:rPr>
          <w:rFonts w:hint="eastAsia" w:cs="Times New Roman"/>
          <w:color w:val="auto"/>
          <w:sz w:val="18"/>
          <w:szCs w:val="18"/>
          <w:u w:val="none"/>
          <w:lang w:val="en-US" w:eastAsia="zh-CN"/>
        </w:rPr>
        <w:t>(</w:t>
      </w:r>
      <w:r>
        <w:rPr>
          <w:rFonts w:hint="eastAsia" w:cs="Times New Roman"/>
          <w:color w:val="auto"/>
          <w:sz w:val="18"/>
          <w:szCs w:val="18"/>
          <w:u w:val="none"/>
        </w:rPr>
        <w:t>London: John Murray, 1871</w:t>
      </w:r>
      <w:r>
        <w:rPr>
          <w:rFonts w:hint="eastAsia" w:cs="Times New Roman"/>
          <w:color w:val="auto"/>
          <w:sz w:val="18"/>
          <w:szCs w:val="18"/>
          <w:u w:val="none"/>
          <w:lang w:val="en-US" w:eastAsia="zh-CN"/>
        </w:rPr>
        <w:t>)</w:t>
      </w:r>
      <w:r>
        <w:rPr>
          <w:rFonts w:hint="eastAsia" w:cs="Times New Roman"/>
          <w:color w:val="auto"/>
          <w:sz w:val="18"/>
          <w:szCs w:val="18"/>
          <w:u w:val="none"/>
        </w:rPr>
        <w:t>, p. 1.</w:t>
      </w:r>
    </w:p>
  </w:footnote>
  <w:footnote w:id="1">
    <w:p>
      <w:pPr>
        <w:pStyle w:val="9"/>
        <w:numPr>
          <w:ilvl w:val="0"/>
          <w:numId w:val="0"/>
        </w:numPr>
        <w:rPr>
          <w:sz w:val="18"/>
          <w:szCs w:val="18"/>
        </w:rPr>
      </w:pPr>
      <w:r>
        <w:rPr>
          <w:rStyle w:val="15"/>
          <w:sz w:val="18"/>
          <w:szCs w:val="18"/>
        </w:rPr>
        <w:footnoteRef/>
      </w:r>
      <w:r>
        <w:rPr>
          <w:sz w:val="18"/>
          <w:szCs w:val="18"/>
        </w:rPr>
        <w:t xml:space="preserve"> </w:t>
      </w:r>
      <w:r>
        <w:rPr>
          <w:rFonts w:cs="Times New Roman"/>
          <w:color w:val="auto"/>
          <w:sz w:val="18"/>
          <w:szCs w:val="18"/>
          <w:u w:val="none"/>
        </w:rPr>
        <w:t>Campion Nicholas, ‘</w:t>
      </w:r>
      <w:r>
        <w:rPr>
          <w:rFonts w:cs="Times New Roman"/>
          <w:i/>
          <w:iCs/>
          <w:color w:val="auto"/>
          <w:sz w:val="18"/>
          <w:szCs w:val="18"/>
          <w:u w:val="none"/>
        </w:rPr>
        <w:t>The Importance Of Cosmology In Culture: Contexts And Consequences</w:t>
      </w:r>
      <w:r>
        <w:rPr>
          <w:rFonts w:cs="Times New Roman"/>
          <w:color w:val="auto"/>
          <w:sz w:val="18"/>
          <w:szCs w:val="18"/>
          <w:u w:val="none"/>
        </w:rPr>
        <w:t xml:space="preserve">’, in </w:t>
      </w:r>
      <w:r>
        <w:rPr>
          <w:rFonts w:cs="Times New Roman"/>
          <w:i/>
          <w:iCs/>
          <w:color w:val="auto"/>
          <w:sz w:val="18"/>
          <w:szCs w:val="18"/>
          <w:u w:val="none"/>
        </w:rPr>
        <w:t>Cosmology</w:t>
      </w:r>
      <w:r>
        <w:rPr>
          <w:rFonts w:hint="default" w:cs="Times New Roman"/>
          <w:i/>
          <w:iCs/>
          <w:color w:val="auto"/>
          <w:sz w:val="18"/>
          <w:szCs w:val="18"/>
          <w:u w:val="none"/>
          <w:lang w:val="en-US"/>
        </w:rPr>
        <w:t>,</w:t>
      </w:r>
      <w:r>
        <w:rPr>
          <w:rFonts w:cs="Times New Roman"/>
          <w:color w:val="auto"/>
          <w:sz w:val="18"/>
          <w:szCs w:val="18"/>
          <w:u w:val="none"/>
        </w:rPr>
        <w:t xml:space="preserve"> ed.</w:t>
      </w:r>
      <w:r>
        <w:rPr>
          <w:rFonts w:hint="default" w:cs="Times New Roman"/>
          <w:color w:val="auto"/>
          <w:sz w:val="18"/>
          <w:szCs w:val="18"/>
          <w:u w:val="none"/>
          <w:lang w:val="en-US"/>
        </w:rPr>
        <w:t xml:space="preserve"> by </w:t>
      </w:r>
      <w:r>
        <w:rPr>
          <w:rFonts w:cs="Times New Roman"/>
          <w:color w:val="auto"/>
          <w:sz w:val="18"/>
          <w:szCs w:val="18"/>
          <w:u w:val="none"/>
        </w:rPr>
        <w:t>Abraao Jesse Capistrano de Souza</w:t>
      </w:r>
      <w:r>
        <w:rPr>
          <w:rFonts w:hint="default" w:cs="Times New Roman"/>
          <w:color w:val="auto"/>
          <w:sz w:val="18"/>
          <w:szCs w:val="18"/>
          <w:u w:val="none"/>
          <w:lang w:val="en-US"/>
        </w:rPr>
        <w:t xml:space="preserve"> </w:t>
      </w:r>
      <w:r>
        <w:rPr>
          <w:rFonts w:cs="Times New Roman"/>
          <w:color w:val="auto"/>
          <w:sz w:val="18"/>
          <w:szCs w:val="18"/>
          <w:u w:val="none"/>
        </w:rPr>
        <w:t>(Rijeka: InTech Open, 2017), pp. 3-17</w:t>
      </w:r>
      <w:r>
        <w:rPr>
          <w:rFonts w:hint="eastAsia" w:cs="Times New Roman"/>
          <w:color w:val="auto"/>
          <w:sz w:val="18"/>
          <w:szCs w:val="18"/>
          <w:u w:val="none"/>
          <w:lang w:val="en-US" w:eastAsia="zh-CN"/>
        </w:rPr>
        <w:t xml:space="preserve"> (p. 4)</w:t>
      </w:r>
      <w:r>
        <w:rPr>
          <w:rFonts w:cs="Times New Roman"/>
          <w:color w:val="auto"/>
          <w:sz w:val="18"/>
          <w:szCs w:val="18"/>
          <w:u w:val="none"/>
        </w:rPr>
        <w:t>.</w:t>
      </w:r>
    </w:p>
  </w:footnote>
  <w:footnote w:id="2">
    <w:p>
      <w:pPr>
        <w:pStyle w:val="9"/>
        <w:ind w:firstLine="0" w:firstLineChars="0"/>
        <w:rPr>
          <w:sz w:val="18"/>
          <w:szCs w:val="18"/>
        </w:rPr>
      </w:pPr>
      <w:r>
        <w:rPr>
          <w:rStyle w:val="15"/>
          <w:sz w:val="18"/>
          <w:szCs w:val="18"/>
        </w:rPr>
        <w:footnoteRef/>
      </w:r>
      <w:r>
        <w:rPr>
          <w:sz w:val="18"/>
          <w:szCs w:val="18"/>
        </w:rPr>
        <w:t xml:space="preserve"> </w:t>
      </w:r>
      <w:r>
        <w:rPr>
          <w:rFonts w:cs="Times New Roman"/>
          <w:sz w:val="18"/>
          <w:szCs w:val="18"/>
        </w:rPr>
        <w:t>Norriss</w:t>
      </w:r>
      <w:r>
        <w:rPr>
          <w:rFonts w:hint="eastAsia" w:cs="Times New Roman"/>
          <w:sz w:val="18"/>
          <w:szCs w:val="18"/>
          <w:lang w:val="en-US" w:eastAsia="zh-CN"/>
        </w:rPr>
        <w:t xml:space="preserve"> S</w:t>
      </w:r>
      <w:r>
        <w:rPr>
          <w:rFonts w:hint="eastAsia" w:cs="Times New Roman"/>
          <w:sz w:val="18"/>
          <w:szCs w:val="18"/>
        </w:rPr>
        <w:t xml:space="preserve"> </w:t>
      </w:r>
      <w:r>
        <w:rPr>
          <w:rFonts w:cs="Times New Roman"/>
          <w:sz w:val="18"/>
          <w:szCs w:val="18"/>
        </w:rPr>
        <w:t>Hetherington</w:t>
      </w:r>
      <w:r>
        <w:rPr>
          <w:rFonts w:hint="eastAsia" w:cs="Times New Roman"/>
          <w:sz w:val="18"/>
          <w:szCs w:val="18"/>
        </w:rPr>
        <w:t>,</w:t>
      </w:r>
      <w:r>
        <w:rPr>
          <w:rFonts w:cs="Times New Roman"/>
          <w:sz w:val="18"/>
          <w:szCs w:val="18"/>
        </w:rPr>
        <w:t xml:space="preserve"> </w:t>
      </w:r>
      <w:r>
        <w:rPr>
          <w:rFonts w:hint="default" w:ascii="Times New Roman" w:hAnsi="Times New Roman" w:cs="Times New Roman"/>
          <w:i w:val="0"/>
          <w:iCs w:val="0"/>
          <w:sz w:val="18"/>
          <w:szCs w:val="18"/>
        </w:rPr>
        <w:t>‘Introduction: Different cultures, different cosmologies’</w:t>
      </w:r>
      <w:r>
        <w:rPr>
          <w:rFonts w:hint="eastAsia" w:cs="Times New Roman"/>
          <w:sz w:val="18"/>
          <w:szCs w:val="18"/>
        </w:rPr>
        <w:t xml:space="preserve">, </w:t>
      </w:r>
      <w:r>
        <w:rPr>
          <w:rFonts w:hint="eastAsia" w:cs="Times New Roman"/>
          <w:sz w:val="18"/>
          <w:szCs w:val="18"/>
          <w:lang w:val="en-US" w:eastAsia="zh-CN"/>
        </w:rPr>
        <w:t xml:space="preserve">in </w:t>
      </w:r>
      <w:r>
        <w:rPr>
          <w:rFonts w:cs="Times New Roman"/>
          <w:i/>
          <w:iCs/>
          <w:sz w:val="18"/>
          <w:szCs w:val="18"/>
        </w:rPr>
        <w:t>Cosmology</w:t>
      </w:r>
      <w:r>
        <w:rPr>
          <w:rFonts w:hint="eastAsia" w:cs="Times New Roman"/>
          <w:i/>
          <w:iCs/>
          <w:sz w:val="18"/>
          <w:szCs w:val="18"/>
          <w:lang w:val="en-US" w:eastAsia="zh-CN"/>
        </w:rPr>
        <w:t>,</w:t>
      </w:r>
      <w:r>
        <w:rPr>
          <w:rFonts w:cs="Times New Roman"/>
          <w:sz w:val="18"/>
          <w:szCs w:val="18"/>
        </w:rPr>
        <w:t xml:space="preserve"> </w:t>
      </w:r>
      <w:r>
        <w:rPr>
          <w:rFonts w:cs="Times New Roman"/>
          <w:color w:val="auto"/>
          <w:sz w:val="18"/>
          <w:szCs w:val="18"/>
          <w:u w:val="none"/>
        </w:rPr>
        <w:t>ed.</w:t>
      </w:r>
      <w:r>
        <w:rPr>
          <w:rFonts w:hint="default" w:cs="Times New Roman"/>
          <w:color w:val="auto"/>
          <w:sz w:val="18"/>
          <w:szCs w:val="18"/>
          <w:u w:val="none"/>
          <w:lang w:val="en-US"/>
        </w:rPr>
        <w:t xml:space="preserve"> by </w:t>
      </w:r>
      <w:r>
        <w:rPr>
          <w:rFonts w:cs="Times New Roman"/>
          <w:sz w:val="18"/>
          <w:szCs w:val="18"/>
        </w:rPr>
        <w:t>Norriss</w:t>
      </w:r>
      <w:r>
        <w:rPr>
          <w:rFonts w:hint="eastAsia" w:cs="Times New Roman"/>
          <w:sz w:val="18"/>
          <w:szCs w:val="18"/>
          <w:lang w:val="en-US" w:eastAsia="zh-CN"/>
        </w:rPr>
        <w:t xml:space="preserve"> S</w:t>
      </w:r>
      <w:r>
        <w:rPr>
          <w:rFonts w:hint="eastAsia" w:cs="Times New Roman"/>
          <w:sz w:val="18"/>
          <w:szCs w:val="18"/>
        </w:rPr>
        <w:t xml:space="preserve"> </w:t>
      </w:r>
      <w:r>
        <w:rPr>
          <w:rFonts w:cs="Times New Roman"/>
          <w:sz w:val="18"/>
          <w:szCs w:val="18"/>
        </w:rPr>
        <w:t>Hetherington</w:t>
      </w:r>
      <w:r>
        <w:rPr>
          <w:rFonts w:hint="eastAsia" w:cs="Times New Roman"/>
          <w:sz w:val="18"/>
          <w:szCs w:val="18"/>
          <w:lang w:val="en-US" w:eastAsia="zh-CN"/>
        </w:rPr>
        <w:t xml:space="preserve"> </w:t>
      </w:r>
      <w:r>
        <w:rPr>
          <w:rFonts w:hint="eastAsia" w:cs="Times New Roman"/>
          <w:sz w:val="18"/>
          <w:szCs w:val="18"/>
        </w:rPr>
        <w:t>(</w:t>
      </w:r>
      <w:r>
        <w:rPr>
          <w:rFonts w:cs="Times New Roman"/>
          <w:sz w:val="18"/>
          <w:szCs w:val="18"/>
        </w:rPr>
        <w:t>CRC Press, 2023</w:t>
      </w:r>
      <w:r>
        <w:rPr>
          <w:rFonts w:hint="eastAsia" w:cs="Times New Roman"/>
          <w:sz w:val="18"/>
          <w:szCs w:val="18"/>
        </w:rPr>
        <w:t>),</w:t>
      </w:r>
      <w:r>
        <w:rPr>
          <w:rFonts w:hint="eastAsia" w:cs="Times New Roman"/>
          <w:sz w:val="18"/>
          <w:szCs w:val="18"/>
          <w:lang w:val="en-US" w:eastAsia="zh-CN"/>
        </w:rPr>
        <w:t xml:space="preserve"> pp.</w:t>
      </w:r>
      <w:r>
        <w:rPr>
          <w:rFonts w:cs="Times New Roman"/>
          <w:sz w:val="18"/>
          <w:szCs w:val="18"/>
        </w:rPr>
        <w:t xml:space="preserve"> 3-8.</w:t>
      </w:r>
      <w:r>
        <w:rPr>
          <w:rFonts w:hint="eastAsia" w:cs="Times New Roman"/>
          <w:sz w:val="18"/>
          <w:szCs w:val="18"/>
          <w:lang w:val="en-US" w:eastAsia="zh-CN"/>
        </w:rPr>
        <w:t xml:space="preserve"> </w:t>
      </w:r>
      <w:r>
        <w:rPr>
          <w:rFonts w:hint="eastAsia" w:cs="Times New Roman"/>
          <w:color w:val="auto"/>
          <w:sz w:val="18"/>
          <w:szCs w:val="18"/>
          <w:u w:val="none"/>
          <w:lang w:val="en-US" w:eastAsia="zh-CN"/>
        </w:rPr>
        <w:t>(p. 3)</w:t>
      </w:r>
      <w:r>
        <w:rPr>
          <w:rFonts w:cs="Times New Roman"/>
          <w:color w:val="auto"/>
          <w:sz w:val="18"/>
          <w:szCs w:val="18"/>
          <w:u w:val="none"/>
        </w:rPr>
        <w:t>.</w:t>
      </w:r>
      <w:r>
        <w:rPr>
          <w:rFonts w:hint="eastAsia" w:cs="Times New Roman"/>
          <w:sz w:val="18"/>
          <w:szCs w:val="18"/>
          <w:lang w:val="en-US" w:eastAsia="zh-CN"/>
        </w:rPr>
        <w:t xml:space="preserve"> </w:t>
      </w:r>
      <w:r>
        <w:rPr>
          <w:rFonts w:hint="default" w:cs="Times New Roman"/>
          <w:color w:val="auto"/>
          <w:sz w:val="20"/>
          <w:szCs w:val="20"/>
          <w:u w:val="none"/>
          <w:lang w:val="en-US"/>
        </w:rPr>
        <w:t>&lt;</w:t>
      </w:r>
      <w:r>
        <w:rPr>
          <w:rStyle w:val="18"/>
          <w:rFonts w:hint="default"/>
          <w:lang w:val="en-US" w:eastAsia="zh-CN"/>
        </w:rPr>
        <w:fldChar w:fldCharType="begin"/>
      </w:r>
      <w:r>
        <w:rPr>
          <w:rStyle w:val="18"/>
          <w:rFonts w:hint="default"/>
          <w:lang w:val="en-US" w:eastAsia="zh-CN"/>
        </w:rPr>
        <w:instrText xml:space="preserve"> HYPERLINK "https://doi.org/10.1201/9781003418047" \t "/Users/xeniazhang/Documents\\x/_blank" </w:instrText>
      </w:r>
      <w:r>
        <w:rPr>
          <w:rStyle w:val="18"/>
          <w:rFonts w:hint="default"/>
          <w:lang w:val="en-US" w:eastAsia="zh-CN"/>
        </w:rPr>
        <w:fldChar w:fldCharType="separate"/>
      </w:r>
      <w:r>
        <w:rPr>
          <w:rStyle w:val="18"/>
          <w:rFonts w:hint="default"/>
        </w:rPr>
        <w:t>DOI</w:t>
      </w:r>
      <w:r>
        <w:rPr>
          <w:rStyle w:val="18"/>
          <w:rFonts w:hint="eastAsia"/>
          <w:lang w:val="en-US" w:eastAsia="zh-CN"/>
        </w:rPr>
        <w:t xml:space="preserve">: </w:t>
      </w:r>
      <w:r>
        <w:rPr>
          <w:rStyle w:val="18"/>
          <w:rFonts w:hint="default"/>
        </w:rPr>
        <w:t>10.1201/9781003418047</w:t>
      </w:r>
      <w:r>
        <w:rPr>
          <w:rStyle w:val="18"/>
          <w:rFonts w:hint="default"/>
          <w:lang w:val="en-US" w:eastAsia="zh-CN"/>
        </w:rPr>
        <w:fldChar w:fldCharType="end"/>
      </w:r>
      <w:r>
        <w:rPr>
          <w:rFonts w:hint="default" w:ascii="Times New Roman Regular" w:hAnsi="Times New Roman Regular" w:cs="Times New Roman Regular"/>
          <w:color w:val="auto"/>
          <w:sz w:val="20"/>
          <w:szCs w:val="20"/>
          <w:u w:val="none"/>
          <w:lang w:val="en-US"/>
        </w:rPr>
        <w:t>&gt;</w:t>
      </w:r>
    </w:p>
  </w:footnote>
  <w:footnote w:id="3">
    <w:p>
      <w:pPr>
        <w:pStyle w:val="9"/>
        <w:bidi w:val="0"/>
      </w:pPr>
      <w:r>
        <w:rPr>
          <w:rStyle w:val="15"/>
        </w:rPr>
        <w:footnoteRef/>
      </w:r>
      <w:r>
        <w:t xml:space="preserve"> Hu J</w:t>
      </w:r>
      <w:r>
        <w:rPr>
          <w:rFonts w:hint="eastAsia"/>
        </w:rPr>
        <w:t>,</w:t>
      </w:r>
      <w:r>
        <w:t xml:space="preserve"> </w:t>
      </w:r>
      <w:r>
        <w:rPr>
          <w:rFonts w:hint="default"/>
        </w:rPr>
        <w:t>‘Divinities and Ancestors: A Preliminary Comparison between African and Confucian Cosmologies’,</w:t>
      </w:r>
      <w:r>
        <w:t xml:space="preserve"> </w:t>
      </w:r>
      <w:r>
        <w:rPr>
          <w:rFonts w:hint="default" w:ascii="Times New Roman Italic" w:hAnsi="Times New Roman Italic" w:cs="Times New Roman Italic"/>
          <w:i/>
          <w:iCs/>
        </w:rPr>
        <w:t>Filosofia Theoretica: Journal of African Philosophy, Culture and Religions,</w:t>
      </w:r>
      <w:r>
        <w:rPr>
          <w:rFonts w:hint="default"/>
        </w:rPr>
        <w:t xml:space="preserve"> </w:t>
      </w:r>
      <w:r>
        <w:t xml:space="preserve">vol. </w:t>
      </w:r>
      <w:r>
        <w:rPr>
          <w:rFonts w:hint="eastAsia"/>
        </w:rPr>
        <w:t>11</w:t>
      </w:r>
      <w:r>
        <w:t xml:space="preserve">, </w:t>
      </w:r>
      <w:r>
        <w:rPr>
          <w:rFonts w:hint="eastAsia"/>
        </w:rPr>
        <w:t>(</w:t>
      </w:r>
      <w:r>
        <w:t>2022</w:t>
      </w:r>
      <w:r>
        <w:rPr>
          <w:rFonts w:hint="eastAsia"/>
        </w:rPr>
        <w:t>)</w:t>
      </w:r>
      <w:r>
        <w:t>, 187-196</w:t>
      </w:r>
      <w:r>
        <w:rPr>
          <w:rFonts w:hint="eastAsia"/>
          <w:lang w:val="en-US" w:eastAsia="zh-CN"/>
        </w:rPr>
        <w:t xml:space="preserve"> (</w:t>
      </w:r>
      <w:r>
        <w:rPr>
          <w:rFonts w:hint="eastAsia"/>
        </w:rPr>
        <w:t>p.</w:t>
      </w:r>
      <w:r>
        <w:t xml:space="preserve"> </w:t>
      </w:r>
      <w:r>
        <w:rPr>
          <w:rFonts w:hint="eastAsia"/>
          <w:lang w:val="en-US" w:eastAsia="zh-CN"/>
        </w:rPr>
        <w:t xml:space="preserve">190) &lt;DOI: </w:t>
      </w:r>
      <w:r>
        <w:rPr>
          <w:lang w:val="en-US" w:eastAsia="zh-CN"/>
        </w:rPr>
        <w:t>10.4314/ft.v11i1.14</w:t>
      </w:r>
      <w:r>
        <w:rPr>
          <w:rFonts w:hint="eastAsia"/>
          <w:lang w:val="en-US" w:eastAsia="zh-CN"/>
        </w:rPr>
        <w:t>&gt;</w:t>
      </w:r>
    </w:p>
  </w:footnote>
  <w:footnote w:id="4">
    <w:p>
      <w:pPr>
        <w:pStyle w:val="9"/>
        <w:bidi w:val="0"/>
        <w:rPr>
          <w:rFonts w:hint="default"/>
          <w:lang w:val="en-US" w:eastAsia="zh-CN"/>
        </w:rPr>
      </w:pPr>
      <w:r>
        <w:rPr>
          <w:rStyle w:val="15"/>
        </w:rPr>
        <w:footnoteRef/>
      </w:r>
      <w:r>
        <w:t xml:space="preserve"> Kassiola J</w:t>
      </w:r>
      <w:r>
        <w:rPr>
          <w:rFonts w:hint="eastAsia"/>
        </w:rPr>
        <w:t>,</w:t>
      </w:r>
      <w:r>
        <w:t xml:space="preserve"> </w:t>
      </w:r>
      <w:r>
        <w:rPr>
          <w:rFonts w:hint="default"/>
        </w:rPr>
        <w:t>‘Zhang Zai's cosmology of Qi and the refutation of arrogant anthropocentrism: Confucian green theory illustrated’,</w:t>
      </w:r>
      <w:r>
        <w:t xml:space="preserve"> </w:t>
      </w:r>
      <w:r>
        <w:rPr>
          <w:rFonts w:hint="default" w:ascii="Times New Roman Italic" w:hAnsi="Times New Roman Italic" w:cs="Times New Roman Italic"/>
          <w:i/>
          <w:iCs/>
        </w:rPr>
        <w:t>Environmental Values,</w:t>
      </w:r>
      <w:r>
        <w:t xml:space="preserve"> vol. </w:t>
      </w:r>
      <w:r>
        <w:rPr>
          <w:rFonts w:hint="eastAsia"/>
        </w:rPr>
        <w:t>31</w:t>
      </w:r>
      <w:r>
        <w:rPr>
          <w:rFonts w:hint="eastAsia"/>
          <w:lang w:val="en-US" w:eastAsia="zh-CN"/>
        </w:rPr>
        <w:t xml:space="preserve"> (5)</w:t>
      </w:r>
      <w:r>
        <w:t xml:space="preserve">, </w:t>
      </w:r>
      <w:r>
        <w:rPr>
          <w:rFonts w:hint="eastAsia"/>
        </w:rPr>
        <w:t>(</w:t>
      </w:r>
      <w:r>
        <w:t>2022)</w:t>
      </w:r>
      <w:r>
        <w:rPr>
          <w:rFonts w:hint="eastAsia"/>
        </w:rPr>
        <w:t>,</w:t>
      </w:r>
      <w:r>
        <w:t xml:space="preserve"> 533-554</w:t>
      </w:r>
      <w:r>
        <w:rPr>
          <w:rFonts w:hint="eastAsia"/>
          <w:lang w:val="en-US" w:eastAsia="zh-CN"/>
        </w:rPr>
        <w:t xml:space="preserve"> (</w:t>
      </w:r>
      <w:r>
        <w:rPr>
          <w:rFonts w:hint="eastAsia"/>
        </w:rPr>
        <w:t>p.</w:t>
      </w:r>
      <w:r>
        <w:rPr>
          <w:rFonts w:hint="eastAsia"/>
          <w:lang w:val="en-US" w:eastAsia="zh-CN"/>
        </w:rPr>
        <w:t xml:space="preserve"> 534) &lt;DOI:</w:t>
      </w:r>
      <w:r>
        <w:rPr>
          <w:rStyle w:val="14"/>
          <w:rFonts w:hint="eastAsia" w:ascii="Times New Roman Regular" w:hAnsi="Times New Roman Regular" w:eastAsia="宋体" w:cs="Times New Roman Regular"/>
          <w:i w:val="0"/>
          <w:iCs w:val="0"/>
          <w:caps w:val="0"/>
          <w:color w:val="007A96"/>
          <w:spacing w:val="6"/>
          <w:szCs w:val="20"/>
          <w:u w:val="none"/>
          <w:shd w:val="clear" w:fill="FFFFFF"/>
          <w:lang w:val="en-US" w:eastAsia="zh-CN"/>
        </w:rPr>
        <w:t xml:space="preserve"> </w:t>
      </w:r>
      <w:r>
        <w:rPr>
          <w:lang w:val="en-US" w:eastAsia="zh-CN"/>
        </w:rPr>
        <w:t>10.3197/096327121x16245253346558</w:t>
      </w:r>
      <w:r>
        <w:rPr>
          <w:rFonts w:hint="eastAsia"/>
          <w:lang w:val="en-US" w:eastAsia="zh-CN"/>
        </w:rPr>
        <w:t>&gt;</w:t>
      </w:r>
    </w:p>
  </w:footnote>
  <w:footnote w:id="5">
    <w:p>
      <w:pPr>
        <w:pStyle w:val="9"/>
        <w:bidi w:val="0"/>
      </w:pPr>
      <w:r>
        <w:rPr>
          <w:rStyle w:val="15"/>
        </w:rPr>
        <w:footnoteRef/>
      </w:r>
      <w:r>
        <w:t xml:space="preserve"> Li C</w:t>
      </w:r>
      <w:r>
        <w:rPr>
          <w:rFonts w:hint="eastAsia"/>
        </w:rPr>
        <w:t>,</w:t>
      </w:r>
      <w:r>
        <w:t xml:space="preserve"> ‘The heaven-earth cosmic faith and the universality of confucian ethics’</w:t>
      </w:r>
      <w:r>
        <w:rPr>
          <w:rFonts w:hint="eastAsia"/>
        </w:rPr>
        <w:t>,</w:t>
      </w:r>
      <w:r>
        <w:t xml:space="preserve"> </w:t>
      </w:r>
      <w:r>
        <w:rPr>
          <w:rFonts w:hint="default"/>
        </w:rPr>
        <w:t>International Confucian Studies</w:t>
      </w:r>
      <w:r>
        <w:t>,</w:t>
      </w:r>
      <w:r>
        <w:rPr>
          <w:rFonts w:hint="eastAsia"/>
        </w:rPr>
        <w:t xml:space="preserve"> </w:t>
      </w:r>
      <w:r>
        <w:t xml:space="preserve">vol. </w:t>
      </w:r>
      <w:r>
        <w:rPr>
          <w:rFonts w:hint="eastAsia"/>
        </w:rPr>
        <w:t>1</w:t>
      </w:r>
      <w:r>
        <w:rPr>
          <w:rFonts w:hint="eastAsia"/>
          <w:lang w:val="en-US" w:eastAsia="zh-CN"/>
        </w:rPr>
        <w:t xml:space="preserve"> (1)</w:t>
      </w:r>
      <w:r>
        <w:t xml:space="preserve">, </w:t>
      </w:r>
      <w:r>
        <w:rPr>
          <w:rFonts w:hint="eastAsia"/>
        </w:rPr>
        <w:t>(</w:t>
      </w:r>
      <w:r>
        <w:t>2022)</w:t>
      </w:r>
      <w:r>
        <w:rPr>
          <w:rFonts w:hint="eastAsia"/>
        </w:rPr>
        <w:t>,</w:t>
      </w:r>
      <w:r>
        <w:t xml:space="preserve"> 48-63.</w:t>
      </w:r>
      <w:r>
        <w:rPr>
          <w:rFonts w:hint="eastAsia"/>
          <w:lang w:val="en-US" w:eastAsia="zh-CN"/>
        </w:rPr>
        <w:t xml:space="preserve"> (</w:t>
      </w:r>
      <w:r>
        <w:rPr>
          <w:rFonts w:hint="eastAsia"/>
        </w:rPr>
        <w:t>p.</w:t>
      </w:r>
      <w:r>
        <w:rPr>
          <w:rFonts w:hint="eastAsia"/>
          <w:lang w:val="en-US" w:eastAsia="zh-CN"/>
        </w:rPr>
        <w:t xml:space="preserve"> 48) &lt;DOI: </w:t>
      </w:r>
      <w:r>
        <w:rPr>
          <w:rFonts w:hint="default"/>
          <w:lang w:val="en-US" w:eastAsia="zh-CN"/>
        </w:rPr>
        <w:fldChar w:fldCharType="begin"/>
      </w:r>
      <w:r>
        <w:rPr>
          <w:rFonts w:hint="default"/>
          <w:lang w:val="en-US" w:eastAsia="zh-CN"/>
        </w:rPr>
        <w:instrText xml:space="preserve"> HYPERLINK "https://doi.org/10.1515/icos-2022-2004?urlappend=?utm_source=researchgate.net&amp;utm_medium=article" \t "/Users/xeniazhang/Documents\\x/_blank" </w:instrText>
      </w:r>
      <w:r>
        <w:rPr>
          <w:rFonts w:hint="default"/>
          <w:lang w:val="en-US" w:eastAsia="zh-CN"/>
        </w:rPr>
        <w:fldChar w:fldCharType="separate"/>
      </w:r>
      <w:r>
        <w:rPr>
          <w:rFonts w:hint="default"/>
        </w:rPr>
        <w:t>10.1515/icos-2022-2004</w:t>
      </w:r>
      <w:r>
        <w:rPr>
          <w:rFonts w:hint="default"/>
          <w:lang w:val="en-US" w:eastAsia="zh-CN"/>
        </w:rPr>
        <w:fldChar w:fldCharType="end"/>
      </w:r>
      <w:r>
        <w:rPr>
          <w:rFonts w:hint="eastAsia"/>
          <w:lang w:val="en-US" w:eastAsia="zh-CN"/>
        </w:rPr>
        <w:t>&gt;</w:t>
      </w:r>
    </w:p>
  </w:footnote>
  <w:footnote w:id="6">
    <w:p>
      <w:pPr>
        <w:pStyle w:val="9"/>
        <w:bidi w:val="0"/>
        <w:rPr>
          <w:rFonts w:hint="default"/>
          <w:lang w:val="en-US" w:eastAsia="zh-CN"/>
        </w:rPr>
      </w:pPr>
      <w:r>
        <w:rPr>
          <w:rStyle w:val="15"/>
        </w:rPr>
        <w:footnoteRef/>
      </w:r>
      <w:r>
        <w:t xml:space="preserve"> </w:t>
      </w:r>
      <w:r>
        <w:rPr>
          <w:rFonts w:hint="eastAsia"/>
        </w:rPr>
        <w:t>Jay McDaniel</w:t>
      </w:r>
      <w:r>
        <w:rPr>
          <w:rFonts w:hint="eastAsia"/>
          <w:lang w:val="en-US" w:eastAsia="zh-CN"/>
        </w:rPr>
        <w:t>,</w:t>
      </w:r>
      <w:r>
        <w:rPr>
          <w:rFonts w:hint="eastAsia"/>
        </w:rPr>
        <w:t xml:space="preserve"> </w:t>
      </w:r>
      <w:r>
        <w:rPr>
          <w:rFonts w:hint="default" w:ascii="Times New Roman Italic" w:hAnsi="Times New Roman Italic" w:cs="Times New Roman Italic"/>
          <w:i/>
          <w:iCs/>
        </w:rPr>
        <w:t>The Western Inscription:A Gift from China to the World</w:t>
      </w:r>
      <w:r>
        <w:rPr>
          <w:rFonts w:hint="default" w:ascii="Times New Roman Italic" w:hAnsi="Times New Roman Italic" w:cs="Times New Roman Italic"/>
          <w:i/>
          <w:iCs/>
          <w:lang w:val="en-US" w:eastAsia="zh-CN"/>
        </w:rPr>
        <w:t xml:space="preserve"> </w:t>
      </w:r>
      <w:r>
        <w:rPr>
          <w:rFonts w:hint="eastAsia"/>
          <w:lang w:val="en-US" w:eastAsia="zh-CN"/>
        </w:rPr>
        <w:t>&lt;</w:t>
      </w:r>
      <w:r>
        <w:rPr>
          <w:rFonts w:hint="eastAsia"/>
        </w:rPr>
        <w:t>https://www.openhorizons.org/the-western-inscription-a-gift-from-china-to-the-world.html</w:t>
      </w:r>
      <w:r>
        <w:rPr>
          <w:rFonts w:hint="eastAsia"/>
          <w:lang w:val="en-US" w:eastAsia="zh-CN"/>
        </w:rPr>
        <w:t>&gt;</w:t>
      </w:r>
      <w:r>
        <w:rPr>
          <w:rFonts w:hint="default"/>
          <w:lang w:val="en-US" w:eastAsia="zh-CN"/>
        </w:rPr>
        <w:t xml:space="preserve"> [accessed 19 December 2025]</w:t>
      </w:r>
    </w:p>
  </w:footnote>
  <w:footnote w:id="7">
    <w:p>
      <w:pPr>
        <w:pStyle w:val="9"/>
        <w:ind w:firstLine="0" w:firstLineChars="0"/>
        <w:rPr>
          <w:highlight w:val="none"/>
        </w:rPr>
      </w:pPr>
      <w:r>
        <w:rPr>
          <w:rStyle w:val="15"/>
        </w:rPr>
        <w:footnoteRef/>
      </w:r>
      <w:r>
        <w:t xml:space="preserve"> </w:t>
      </w:r>
      <w:r>
        <w:rPr>
          <w:rStyle w:val="18"/>
        </w:rPr>
        <w:t>E</w:t>
      </w:r>
      <w:r>
        <w:rPr>
          <w:rStyle w:val="18"/>
          <w:rFonts w:hint="eastAsia"/>
          <w:lang w:val="en-US" w:eastAsia="zh-CN"/>
        </w:rPr>
        <w:t xml:space="preserve"> </w:t>
      </w:r>
      <w:r>
        <w:rPr>
          <w:rStyle w:val="18"/>
        </w:rPr>
        <w:t>McMullin</w:t>
      </w:r>
      <w:r>
        <w:rPr>
          <w:rStyle w:val="18"/>
          <w:rFonts w:hint="eastAsia"/>
        </w:rPr>
        <w:t>,</w:t>
      </w:r>
      <w:r>
        <w:rPr>
          <w:rStyle w:val="18"/>
        </w:rPr>
        <w:t xml:space="preserve"> </w:t>
      </w:r>
      <w:r>
        <w:rPr>
          <w:rStyle w:val="18"/>
          <w:rFonts w:hint="default"/>
        </w:rPr>
        <w:t>‘Cosmology and religion’</w:t>
      </w:r>
      <w:r>
        <w:rPr>
          <w:rStyle w:val="18"/>
          <w:rFonts w:hint="eastAsia"/>
        </w:rPr>
        <w:t>,</w:t>
      </w:r>
      <w:r>
        <w:rPr>
          <w:rStyle w:val="18"/>
          <w:rFonts w:hint="eastAsia"/>
          <w:lang w:val="en-US" w:eastAsia="zh-CN"/>
        </w:rPr>
        <w:t xml:space="preserve"> in</w:t>
      </w:r>
      <w:r>
        <w:rPr>
          <w:rStyle w:val="18"/>
          <w:rFonts w:hint="eastAsia"/>
        </w:rPr>
        <w:t xml:space="preserve"> </w:t>
      </w:r>
      <w:r>
        <w:rPr>
          <w:rStyle w:val="18"/>
          <w:rFonts w:hint="default" w:ascii="Times New Roman Italic" w:hAnsi="Times New Roman Italic" w:cs="Times New Roman Italic"/>
          <w:i/>
          <w:iCs/>
        </w:rPr>
        <w:t>Cosmology</w:t>
      </w:r>
      <w:r>
        <w:rPr>
          <w:rStyle w:val="18"/>
          <w:rFonts w:hint="eastAsia"/>
          <w:lang w:val="en-US" w:eastAsia="zh-CN"/>
        </w:rPr>
        <w:t>,</w:t>
      </w:r>
      <w:r>
        <w:rPr>
          <w:rStyle w:val="18"/>
        </w:rPr>
        <w:t xml:space="preserve"> ed.</w:t>
      </w:r>
      <w:r>
        <w:rPr>
          <w:rStyle w:val="18"/>
          <w:rFonts w:hint="default"/>
          <w:lang w:val="en-US"/>
        </w:rPr>
        <w:t xml:space="preserve"> by </w:t>
      </w:r>
      <w:r>
        <w:rPr>
          <w:rStyle w:val="18"/>
        </w:rPr>
        <w:t>Norriss</w:t>
      </w:r>
      <w:r>
        <w:rPr>
          <w:rStyle w:val="18"/>
          <w:rFonts w:hint="eastAsia"/>
          <w:lang w:val="en-US" w:eastAsia="zh-CN"/>
        </w:rPr>
        <w:t xml:space="preserve"> S</w:t>
      </w:r>
      <w:r>
        <w:rPr>
          <w:rStyle w:val="18"/>
          <w:rFonts w:hint="eastAsia"/>
        </w:rPr>
        <w:t xml:space="preserve"> </w:t>
      </w:r>
      <w:r>
        <w:rPr>
          <w:rStyle w:val="18"/>
        </w:rPr>
        <w:t>Hetherington</w:t>
      </w:r>
      <w:r>
        <w:rPr>
          <w:rStyle w:val="18"/>
          <w:rFonts w:hint="eastAsia"/>
          <w:lang w:val="en-US" w:eastAsia="zh-CN"/>
        </w:rPr>
        <w:t xml:space="preserve"> </w:t>
      </w:r>
      <w:r>
        <w:rPr>
          <w:rStyle w:val="18"/>
          <w:rFonts w:hint="eastAsia"/>
        </w:rPr>
        <w:t>(</w:t>
      </w:r>
      <w:r>
        <w:rPr>
          <w:rStyle w:val="18"/>
        </w:rPr>
        <w:t>CRC Press, 2023</w:t>
      </w:r>
      <w:r>
        <w:rPr>
          <w:rStyle w:val="18"/>
          <w:rFonts w:hint="eastAsia"/>
        </w:rPr>
        <w:t>)</w:t>
      </w:r>
      <w:r>
        <w:rPr>
          <w:rStyle w:val="18"/>
          <w:rFonts w:hint="eastAsia"/>
          <w:highlight w:val="none"/>
        </w:rPr>
        <w:t>, pp.</w:t>
      </w:r>
      <w:r>
        <w:rPr>
          <w:rStyle w:val="18"/>
          <w:highlight w:val="none"/>
        </w:rPr>
        <w:t xml:space="preserve"> 581-606</w:t>
      </w:r>
      <w:r>
        <w:rPr>
          <w:rStyle w:val="18"/>
          <w:rFonts w:hint="eastAsia"/>
          <w:highlight w:val="none"/>
          <w:lang w:val="en-US" w:eastAsia="zh-CN"/>
        </w:rPr>
        <w:t>. (p. 581)</w:t>
      </w:r>
      <w:r>
        <w:rPr>
          <w:rStyle w:val="18"/>
          <w:highlight w:val="none"/>
        </w:rPr>
        <w:t>.</w:t>
      </w:r>
      <w:r>
        <w:rPr>
          <w:rStyle w:val="18"/>
          <w:rFonts w:hint="eastAsia"/>
          <w:highlight w:val="none"/>
          <w:lang w:val="en-US" w:eastAsia="zh-CN"/>
        </w:rPr>
        <w:t xml:space="preserve">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rPr>
        <w:t>10.1201/9781003418047</w:t>
      </w:r>
      <w:r>
        <w:rPr>
          <w:rStyle w:val="18"/>
          <w:rFonts w:hint="default"/>
          <w:highlight w:val="none"/>
          <w:lang w:val="en-US" w:eastAsia="zh-CN"/>
        </w:rPr>
        <w:fldChar w:fldCharType="end"/>
      </w:r>
      <w:r>
        <w:rPr>
          <w:rStyle w:val="18"/>
          <w:rFonts w:hint="default"/>
          <w:highlight w:val="none"/>
          <w:lang w:val="en-US"/>
        </w:rPr>
        <w:t>&gt;</w:t>
      </w:r>
    </w:p>
  </w:footnote>
  <w:footnote w:id="8">
    <w:p>
      <w:pPr>
        <w:pStyle w:val="9"/>
        <w:ind w:firstLine="0" w:firstLineChars="0"/>
        <w:rPr>
          <w:rFonts w:hint="default"/>
          <w:lang w:val="en-US"/>
        </w:rPr>
      </w:pPr>
      <w:r>
        <w:rPr>
          <w:rStyle w:val="15"/>
        </w:rPr>
        <w:footnoteRef/>
      </w:r>
      <w:r>
        <w:t xml:space="preserve"> </w:t>
      </w:r>
      <w:r>
        <w:rPr>
          <w:rFonts w:cs="Times New Roman"/>
        </w:rPr>
        <w:t>Needham J, Ronan C</w:t>
      </w:r>
      <w:r>
        <w:rPr>
          <w:rFonts w:hint="eastAsia" w:cs="Times New Roman"/>
        </w:rPr>
        <w:t>,</w:t>
      </w:r>
      <w:r>
        <w:rPr>
          <w:rFonts w:cs="Times New Roman"/>
        </w:rPr>
        <w:t xml:space="preserve"> </w:t>
      </w:r>
      <w:r>
        <w:rPr>
          <w:rFonts w:hint="default" w:ascii="Times New Roman" w:hAnsi="Times New Roman" w:cs="Times New Roman"/>
          <w:i w:val="0"/>
          <w:iCs w:val="0"/>
        </w:rPr>
        <w:t>‘Chinese cosmology’</w:t>
      </w:r>
      <w:r>
        <w:rPr>
          <w:rFonts w:hint="eastAsia" w:cs="Times New Roman"/>
        </w:rPr>
        <w:t xml:space="preserve">, </w:t>
      </w:r>
      <w:r>
        <w:rPr>
          <w:rFonts w:cs="Times New Roman"/>
          <w:i/>
          <w:iCs/>
        </w:rPr>
        <w:t>Cosmology</w:t>
      </w:r>
      <w:r>
        <w:rPr>
          <w:rStyle w:val="18"/>
        </w:rPr>
        <w:t xml:space="preserve"> ed.</w:t>
      </w:r>
      <w:r>
        <w:rPr>
          <w:rStyle w:val="18"/>
          <w:rFonts w:hint="default"/>
          <w:lang w:val="en-US"/>
        </w:rPr>
        <w:t xml:space="preserve"> by </w:t>
      </w:r>
      <w:r>
        <w:rPr>
          <w:rStyle w:val="18"/>
        </w:rPr>
        <w:t>Norriss</w:t>
      </w:r>
      <w:r>
        <w:rPr>
          <w:rStyle w:val="18"/>
          <w:rFonts w:hint="eastAsia"/>
          <w:lang w:val="en-US" w:eastAsia="zh-CN"/>
        </w:rPr>
        <w:t xml:space="preserve"> S</w:t>
      </w:r>
      <w:r>
        <w:rPr>
          <w:rStyle w:val="18"/>
          <w:rFonts w:hint="eastAsia"/>
        </w:rPr>
        <w:t xml:space="preserve"> </w:t>
      </w:r>
      <w:r>
        <w:rPr>
          <w:rStyle w:val="18"/>
        </w:rPr>
        <w:t>Hetherington</w:t>
      </w:r>
      <w:r>
        <w:rPr>
          <w:rStyle w:val="18"/>
          <w:rFonts w:hint="eastAsia"/>
          <w:lang w:val="en-US" w:eastAsia="zh-CN"/>
        </w:rPr>
        <w:t xml:space="preserve"> </w:t>
      </w:r>
      <w:r>
        <w:rPr>
          <w:rStyle w:val="18"/>
          <w:rFonts w:hint="eastAsia"/>
        </w:rPr>
        <w:t>(</w:t>
      </w:r>
      <w:r>
        <w:rPr>
          <w:rStyle w:val="18"/>
        </w:rPr>
        <w:t>CRC Press, 2023</w:t>
      </w:r>
      <w:r>
        <w:rPr>
          <w:rStyle w:val="18"/>
          <w:rFonts w:hint="eastAsia"/>
        </w:rPr>
        <w:t>), pp.</w:t>
      </w:r>
      <w:r>
        <w:rPr>
          <w:rStyle w:val="18"/>
        </w:rPr>
        <w:t xml:space="preserve"> </w:t>
      </w:r>
      <w:r>
        <w:rPr>
          <w:rStyle w:val="18"/>
          <w:rFonts w:hint="eastAsia"/>
          <w:lang w:val="en-US" w:eastAsia="zh-CN"/>
        </w:rPr>
        <w:t>25</w:t>
      </w:r>
      <w:r>
        <w:rPr>
          <w:rStyle w:val="18"/>
        </w:rPr>
        <w:t>-</w:t>
      </w:r>
      <w:r>
        <w:rPr>
          <w:rStyle w:val="18"/>
          <w:rFonts w:hint="eastAsia"/>
          <w:lang w:val="en-US" w:eastAsia="zh-CN"/>
        </w:rPr>
        <w:t>3</w:t>
      </w:r>
      <w:r>
        <w:rPr>
          <w:rStyle w:val="18"/>
        </w:rPr>
        <w:t>6</w:t>
      </w:r>
      <w:r>
        <w:rPr>
          <w:rStyle w:val="18"/>
          <w:rFonts w:hint="eastAsia"/>
          <w:lang w:val="en-US" w:eastAsia="zh-CN"/>
        </w:rPr>
        <w:t>.</w:t>
      </w:r>
      <w:r>
        <w:rPr>
          <w:rStyle w:val="18"/>
          <w:rFonts w:hint="eastAsia"/>
          <w:highlight w:val="none"/>
          <w:lang w:val="en-US" w:eastAsia="zh-CN"/>
        </w:rPr>
        <w:t xml:space="preserve"> (p. 27-29)</w:t>
      </w:r>
      <w:r>
        <w:rPr>
          <w:rStyle w:val="18"/>
          <w:rFonts w:hint="eastAsia"/>
          <w:lang w:val="en-US" w:eastAsia="zh-CN"/>
        </w:rPr>
        <w:t xml:space="preserve"> </w:t>
      </w:r>
      <w:r>
        <w:rPr>
          <w:rStyle w:val="18"/>
          <w:rFonts w:hint="default"/>
          <w:lang w:val="en-US"/>
        </w:rPr>
        <w:t>&lt;</w:t>
      </w:r>
      <w:r>
        <w:rPr>
          <w:rStyle w:val="18"/>
          <w:rFonts w:hint="default"/>
          <w:lang w:val="en-US" w:eastAsia="zh-CN"/>
        </w:rPr>
        <w:fldChar w:fldCharType="begin"/>
      </w:r>
      <w:r>
        <w:rPr>
          <w:rStyle w:val="18"/>
          <w:rFonts w:hint="default"/>
          <w:lang w:val="en-US" w:eastAsia="zh-CN"/>
        </w:rPr>
        <w:instrText xml:space="preserve"> HYPERLINK "https://doi.org/10.1201/9781003418047" \t "/Users/xeniazhang/Documents\\x/_blank" </w:instrText>
      </w:r>
      <w:r>
        <w:rPr>
          <w:rStyle w:val="18"/>
          <w:rFonts w:hint="default"/>
          <w:lang w:val="en-US" w:eastAsia="zh-CN"/>
        </w:rPr>
        <w:fldChar w:fldCharType="separate"/>
      </w:r>
      <w:r>
        <w:rPr>
          <w:rStyle w:val="18"/>
          <w:rFonts w:hint="default"/>
        </w:rPr>
        <w:t>DOI</w:t>
      </w:r>
      <w:r>
        <w:rPr>
          <w:rStyle w:val="18"/>
          <w:rFonts w:hint="eastAsia"/>
          <w:lang w:val="en-US" w:eastAsia="zh-CN"/>
        </w:rPr>
        <w:t xml:space="preserve">: </w:t>
      </w:r>
      <w:r>
        <w:rPr>
          <w:rStyle w:val="18"/>
          <w:rFonts w:hint="default"/>
        </w:rPr>
        <w:t>10.1201/9781003418047</w:t>
      </w:r>
      <w:r>
        <w:rPr>
          <w:rStyle w:val="18"/>
          <w:rFonts w:hint="default"/>
          <w:lang w:val="en-US" w:eastAsia="zh-CN"/>
        </w:rPr>
        <w:fldChar w:fldCharType="end"/>
      </w:r>
      <w:r>
        <w:rPr>
          <w:rStyle w:val="18"/>
          <w:rFonts w:hint="default"/>
          <w:lang w:val="en-US"/>
        </w:rPr>
        <w:t>&gt;</w:t>
      </w:r>
    </w:p>
  </w:footnote>
  <w:footnote w:id="9">
    <w:p>
      <w:pPr>
        <w:pStyle w:val="9"/>
        <w:ind w:firstLine="0" w:firstLineChars="0"/>
      </w:pPr>
      <w:r>
        <w:rPr>
          <w:rStyle w:val="15"/>
        </w:rPr>
        <w:footnoteRef/>
      </w:r>
      <w:r>
        <w:t xml:space="preserve"> </w:t>
      </w:r>
      <w:r>
        <w:rPr>
          <w:rFonts w:cs="Times New Roman"/>
        </w:rPr>
        <w:t>Sertdemir</w:t>
      </w:r>
      <w:r>
        <w:rPr>
          <w:rFonts w:hint="eastAsia" w:cs="Times New Roman"/>
        </w:rPr>
        <w:t>,</w:t>
      </w:r>
      <w:r>
        <w:rPr>
          <w:rFonts w:cs="Times New Roman"/>
        </w:rPr>
        <w:t xml:space="preserve"> </w:t>
      </w:r>
      <w:r>
        <w:rPr>
          <w:rFonts w:hint="default" w:ascii="Times New Roman" w:hAnsi="Times New Roman" w:cs="Times New Roman"/>
          <w:i w:val="0"/>
          <w:iCs w:val="0"/>
        </w:rPr>
        <w:t xml:space="preserve">‘Book of changes: Cosmological and anthropological metaphors in Chinese philosophy’, </w:t>
      </w:r>
      <w:r>
        <w:rPr>
          <w:rFonts w:cs="Times New Roman"/>
          <w:i/>
          <w:iCs/>
        </w:rPr>
        <w:t>Academicus International Scientific Journal</w:t>
      </w:r>
      <w:r>
        <w:rPr>
          <w:rFonts w:cs="Times New Roman"/>
        </w:rPr>
        <w:t xml:space="preserve">, vol. </w:t>
      </w:r>
      <w:r>
        <w:rPr>
          <w:rFonts w:hint="eastAsia" w:cs="Times New Roman"/>
        </w:rPr>
        <w:t>12</w:t>
      </w:r>
      <w:r>
        <w:rPr>
          <w:rFonts w:cs="Times New Roman"/>
        </w:rPr>
        <w:t xml:space="preserve">, </w:t>
      </w:r>
      <w:r>
        <w:rPr>
          <w:rFonts w:hint="eastAsia" w:cs="Times New Roman"/>
        </w:rPr>
        <w:t>(</w:t>
      </w:r>
      <w:r>
        <w:rPr>
          <w:rFonts w:cs="Times New Roman"/>
        </w:rPr>
        <w:t>2021</w:t>
      </w:r>
      <w:r>
        <w:rPr>
          <w:rFonts w:hint="eastAsia" w:cs="Times New Roman"/>
        </w:rPr>
        <w:t>)</w:t>
      </w:r>
      <w:r>
        <w:rPr>
          <w:rFonts w:cs="Times New Roman"/>
        </w:rPr>
        <w:t>, 214-225.</w:t>
      </w:r>
      <w:r>
        <w:rPr>
          <w:rStyle w:val="18"/>
          <w:rFonts w:hint="eastAsia"/>
          <w:highlight w:val="none"/>
          <w:lang w:val="en-US" w:eastAsia="zh-CN"/>
        </w:rPr>
        <w:t xml:space="preserve"> (p. 217-223)</w:t>
      </w:r>
      <w:r>
        <w:rPr>
          <w:rStyle w:val="18"/>
          <w:highlight w:val="none"/>
        </w:rPr>
        <w:t>.</w:t>
      </w:r>
      <w:r>
        <w:rPr>
          <w:rStyle w:val="18"/>
          <w:rFonts w:hint="eastAsia"/>
          <w:highlight w:val="none"/>
          <w:lang w:val="en-US" w:eastAsia="zh-CN"/>
        </w:rPr>
        <w:t xml:space="preserve">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Style w:val="18"/>
          <w:rFonts w:hint="default"/>
          <w:highlight w:val="none"/>
          <w:lang w:val="en-US" w:eastAsia="zh-CN"/>
        </w:rPr>
        <w:t>10.7336/academicus.2021.24.14</w:t>
      </w:r>
      <w:r>
        <w:rPr>
          <w:rStyle w:val="18"/>
          <w:rFonts w:hint="default"/>
          <w:highlight w:val="none"/>
          <w:lang w:val="en-US"/>
        </w:rPr>
        <w:t>&gt;</w:t>
      </w:r>
    </w:p>
  </w:footnote>
  <w:footnote w:id="10">
    <w:p>
      <w:pPr>
        <w:pStyle w:val="9"/>
        <w:bidi w:val="0"/>
        <w:rPr>
          <w:rStyle w:val="18"/>
        </w:rPr>
      </w:pPr>
      <w:r>
        <w:rPr>
          <w:rStyle w:val="15"/>
        </w:rPr>
        <w:footnoteRef/>
      </w:r>
      <w:r>
        <w:t xml:space="preserve"> </w:t>
      </w:r>
      <w:r>
        <w:rPr>
          <w:rStyle w:val="18"/>
          <w:lang w:val="en-US" w:eastAsia="zh-CN"/>
        </w:rPr>
        <w:t>Dong Zhongshu,</w:t>
      </w:r>
      <w:r>
        <w:rPr>
          <w:rStyle w:val="18"/>
          <w:i/>
          <w:iCs/>
          <w:lang w:val="en-US" w:eastAsia="zh-CN"/>
        </w:rPr>
        <w:t xml:space="preserve"> Chunqiu Fanlu (春秋繁露, Luxuriant Dew of the Spring and Autumn Annals),</w:t>
      </w:r>
      <w:r>
        <w:rPr>
          <w:rStyle w:val="18"/>
          <w:lang w:val="en-US" w:eastAsia="zh-CN"/>
        </w:rPr>
        <w:t xml:space="preserve"> trans. and ed. by Sarah A. Queen and John S. Major (New York: Columbia University Press, 2016), esp. chs 1–3.</w:t>
      </w:r>
    </w:p>
  </w:footnote>
  <w:footnote w:id="11">
    <w:p>
      <w:pPr>
        <w:pStyle w:val="9"/>
        <w:snapToGrid w:val="0"/>
        <w:rPr>
          <w:rFonts w:hint="default" w:eastAsiaTheme="minorEastAsia"/>
          <w:lang w:val="en-US" w:eastAsia="zh-CN"/>
        </w:rPr>
      </w:pPr>
      <w:r>
        <w:rPr>
          <w:rStyle w:val="15"/>
        </w:rPr>
        <w:footnoteRef/>
      </w:r>
      <w:r>
        <w:t xml:space="preserve"> </w:t>
      </w:r>
      <w:r>
        <w:rPr>
          <w:rFonts w:cs="Times New Roman"/>
        </w:rPr>
        <w:t>Dolan M. ‘</w:t>
      </w:r>
      <w:r>
        <w:rPr>
          <w:rFonts w:cs="Times New Roman"/>
          <w:i w:val="0"/>
          <w:iCs w:val="0"/>
        </w:rPr>
        <w:t>Hinduism and Cosmology in India’</w:t>
      </w:r>
      <w:r>
        <w:rPr>
          <w:rFonts w:hint="eastAsia" w:cs="Times New Roman"/>
        </w:rPr>
        <w:t>,</w:t>
      </w:r>
      <w:r>
        <w:rPr>
          <w:rFonts w:hint="eastAsia" w:cs="Times New Roman"/>
          <w:lang w:val="en-US" w:eastAsia="zh-CN"/>
        </w:rPr>
        <w:t xml:space="preserve"> in</w:t>
      </w:r>
      <w:r>
        <w:rPr>
          <w:rFonts w:hint="eastAsia" w:cs="Times New Roman"/>
        </w:rPr>
        <w:t xml:space="preserve"> </w:t>
      </w:r>
      <w:r>
        <w:rPr>
          <w:rFonts w:cs="Times New Roman"/>
          <w:i/>
          <w:iCs/>
        </w:rPr>
        <w:t>Decoding Astronomy in Art and Architecture</w:t>
      </w:r>
      <w:r>
        <w:rPr>
          <w:rFonts w:hint="eastAsia" w:cs="Times New Roman"/>
        </w:rPr>
        <w:t xml:space="preserve"> (</w:t>
      </w:r>
      <w:r>
        <w:rPr>
          <w:rFonts w:cs="Times New Roman"/>
        </w:rPr>
        <w:t>Springer International Publishing, 2021</w:t>
      </w:r>
      <w:r>
        <w:rPr>
          <w:rFonts w:hint="eastAsia" w:cs="Times New Roman"/>
        </w:rPr>
        <w:t>),</w:t>
      </w:r>
      <w:r>
        <w:rPr>
          <w:rFonts w:hint="eastAsia" w:cs="Times New Roman"/>
          <w:lang w:val="en-US" w:eastAsia="zh-CN"/>
        </w:rPr>
        <w:t xml:space="preserve"> pp.</w:t>
      </w:r>
      <w:r>
        <w:rPr>
          <w:rFonts w:cs="Times New Roman"/>
        </w:rPr>
        <w:t xml:space="preserve"> 81-88</w:t>
      </w:r>
      <w:r>
        <w:rPr>
          <w:rFonts w:hint="default" w:cs="Times New Roman"/>
          <w:lang w:val="en-US"/>
        </w:rPr>
        <w:t xml:space="preserve"> (p. 81)</w:t>
      </w:r>
      <w:r>
        <w:rPr>
          <w:rFonts w:cs="Times New Roman"/>
        </w:rPr>
        <w:t>.</w:t>
      </w:r>
      <w:r>
        <w:rPr>
          <w:rFonts w:hint="eastAsia" w:cs="Times New Roman"/>
          <w:lang w:val="en-US" w:eastAsia="zh-CN"/>
        </w:rPr>
        <w:t xml:space="preserve">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Style w:val="18"/>
          <w:rFonts w:hint="default"/>
          <w:highlight w:val="none"/>
          <w:lang w:val="en-US" w:eastAsia="zh-CN"/>
        </w:rPr>
        <w:t>10.1007/978-3-030-76511-8_7</w:t>
      </w:r>
      <w:r>
        <w:rPr>
          <w:rStyle w:val="18"/>
          <w:rFonts w:hint="default"/>
          <w:highlight w:val="none"/>
          <w:lang w:val="en-US"/>
        </w:rPr>
        <w:t>&gt;</w:t>
      </w:r>
    </w:p>
  </w:footnote>
  <w:footnote w:id="12">
    <w:p>
      <w:pPr>
        <w:pStyle w:val="9"/>
        <w:snapToGrid w:val="0"/>
        <w:rPr>
          <w:rFonts w:hint="default" w:eastAsiaTheme="minorEastAsia"/>
          <w:lang w:val="en-US" w:eastAsia="zh-CN"/>
        </w:rPr>
      </w:pPr>
      <w:r>
        <w:rPr>
          <w:rStyle w:val="15"/>
        </w:rPr>
        <w:footnoteRef/>
      </w:r>
      <w:r>
        <w:t xml:space="preserve"> </w:t>
      </w:r>
      <w:r>
        <w:rPr>
          <w:rFonts w:cs="Times New Roman"/>
        </w:rPr>
        <w:t>Gombrich R</w:t>
      </w:r>
      <w:r>
        <w:rPr>
          <w:rFonts w:hint="eastAsia" w:cs="Times New Roman"/>
        </w:rPr>
        <w:t>,</w:t>
      </w:r>
      <w:r>
        <w:rPr>
          <w:rFonts w:cs="Times New Roman"/>
        </w:rPr>
        <w:t xml:space="preserve"> ‘</w:t>
      </w:r>
      <w:r>
        <w:rPr>
          <w:rFonts w:hint="default" w:ascii="Times New Roman" w:hAnsi="Times New Roman" w:cs="Times New Roman"/>
          <w:i w:val="0"/>
          <w:iCs w:val="0"/>
        </w:rPr>
        <w:t>Ancient Indian C</w:t>
      </w:r>
      <w:r>
        <w:rPr>
          <w:rFonts w:hint="default" w:ascii="Times New Roman" w:hAnsi="Times New Roman" w:cs="Times New Roman"/>
          <w:i w:val="0"/>
          <w:iCs w:val="0"/>
          <w:sz w:val="16"/>
          <w:szCs w:val="16"/>
        </w:rPr>
        <w:t>osmology’</w:t>
      </w:r>
      <w:r>
        <w:rPr>
          <w:rFonts w:hint="eastAsia" w:cs="Times New Roman"/>
          <w:sz w:val="16"/>
          <w:szCs w:val="16"/>
        </w:rPr>
        <w:t xml:space="preserve">, </w:t>
      </w:r>
      <w:r>
        <w:rPr>
          <w:rFonts w:hint="eastAsia" w:cs="Times New Roman"/>
          <w:sz w:val="16"/>
          <w:szCs w:val="16"/>
          <w:lang w:val="en-US" w:eastAsia="zh-CN"/>
        </w:rPr>
        <w:t xml:space="preserve">in </w:t>
      </w:r>
      <w:r>
        <w:rPr>
          <w:rFonts w:cs="Times New Roman"/>
          <w:i/>
          <w:iCs/>
          <w:sz w:val="16"/>
          <w:szCs w:val="16"/>
        </w:rPr>
        <w:t>Ancient cosmologies</w:t>
      </w:r>
      <w:r>
        <w:rPr>
          <w:rFonts w:hint="eastAsia" w:cs="Times New Roman"/>
          <w:sz w:val="16"/>
          <w:szCs w:val="16"/>
        </w:rPr>
        <w:t>,</w:t>
      </w:r>
      <w:r>
        <w:rPr>
          <w:rFonts w:cs="Times New Roman"/>
          <w:color w:val="auto"/>
          <w:sz w:val="16"/>
          <w:szCs w:val="16"/>
          <w:u w:val="none"/>
        </w:rPr>
        <w:t xml:space="preserve"> ed.</w:t>
      </w:r>
      <w:r>
        <w:rPr>
          <w:rFonts w:hint="default" w:cs="Times New Roman"/>
          <w:color w:val="auto"/>
          <w:sz w:val="16"/>
          <w:szCs w:val="16"/>
          <w:u w:val="none"/>
          <w:lang w:val="en-US"/>
        </w:rPr>
        <w:t xml:space="preserve"> by</w:t>
      </w:r>
      <w:r>
        <w:rPr>
          <w:rFonts w:hint="eastAsia" w:cs="Times New Roman"/>
          <w:sz w:val="16"/>
          <w:szCs w:val="16"/>
        </w:rPr>
        <w:t xml:space="preserve"> Blacker, Carmen; Loewe, Michael ( London : George Allen &amp; Unwin</w:t>
      </w:r>
      <w:r>
        <w:rPr>
          <w:rFonts w:hint="eastAsia" w:cs="Times New Roman"/>
          <w:sz w:val="16"/>
          <w:szCs w:val="16"/>
          <w:lang w:val="en-US" w:eastAsia="zh-CN"/>
        </w:rPr>
        <w:t>, 1975</w:t>
      </w:r>
      <w:r>
        <w:rPr>
          <w:rFonts w:hint="eastAsia" w:cs="Times New Roman"/>
          <w:sz w:val="16"/>
          <w:szCs w:val="16"/>
        </w:rPr>
        <w:t xml:space="preserve">), pp. </w:t>
      </w:r>
      <w:r>
        <w:rPr>
          <w:rFonts w:cs="Times New Roman"/>
          <w:sz w:val="16"/>
          <w:szCs w:val="16"/>
        </w:rPr>
        <w:t>110-142</w:t>
      </w:r>
      <w:r>
        <w:rPr>
          <w:rFonts w:hint="eastAsia" w:cs="Times New Roman"/>
          <w:sz w:val="16"/>
          <w:szCs w:val="16"/>
          <w:lang w:val="en-US" w:eastAsia="zh-CN"/>
        </w:rPr>
        <w:t xml:space="preserve"> (p. 110-111)</w:t>
      </w:r>
    </w:p>
  </w:footnote>
  <w:footnote w:id="13">
    <w:p>
      <w:pPr>
        <w:pStyle w:val="9"/>
        <w:ind w:firstLine="0" w:firstLineChars="0"/>
      </w:pPr>
      <w:r>
        <w:rPr>
          <w:rStyle w:val="15"/>
        </w:rPr>
        <w:footnoteRef/>
      </w:r>
      <w:r>
        <w:t xml:space="preserve"> </w:t>
      </w:r>
      <w:r>
        <w:rPr>
          <w:rFonts w:cs="Times New Roman"/>
        </w:rPr>
        <w:t>Masi M</w:t>
      </w:r>
      <w:r>
        <w:rPr>
          <w:rFonts w:hint="eastAsia" w:cs="Times New Roman"/>
        </w:rPr>
        <w:t>,</w:t>
      </w:r>
      <w:r>
        <w:rPr>
          <w:rFonts w:cs="Times New Roman"/>
        </w:rPr>
        <w:t xml:space="preserve"> </w:t>
      </w:r>
      <w:r>
        <w:rPr>
          <w:rFonts w:hint="default" w:ascii="Times New Roman" w:hAnsi="Times New Roman" w:cs="Times New Roman"/>
          <w:i w:val="0"/>
          <w:iCs w:val="0"/>
        </w:rPr>
        <w:t>‘The Integral Cosmology of Sri Aurobindo: An Introduction from the Perspective of Consciousness Studies’</w:t>
      </w:r>
      <w:r>
        <w:rPr>
          <w:rFonts w:hint="eastAsia" w:cs="Times New Roman"/>
        </w:rPr>
        <w:t xml:space="preserve">, </w:t>
      </w:r>
      <w:r>
        <w:rPr>
          <w:rFonts w:hint="eastAsia" w:cs="Times New Roman"/>
          <w:i/>
          <w:iCs/>
        </w:rPr>
        <w:t>Integral Review</w:t>
      </w:r>
      <w:r>
        <w:rPr>
          <w:rFonts w:hint="eastAsia" w:cs="Times New Roman"/>
        </w:rPr>
        <w:t xml:space="preserve">, </w:t>
      </w:r>
      <w:r>
        <w:rPr>
          <w:rFonts w:cs="Times New Roman"/>
        </w:rPr>
        <w:t xml:space="preserve">vol. </w:t>
      </w:r>
      <w:r>
        <w:rPr>
          <w:rFonts w:hint="eastAsia" w:cs="Times New Roman"/>
        </w:rPr>
        <w:t>18</w:t>
      </w:r>
      <w:r>
        <w:rPr>
          <w:rFonts w:cs="Times New Roman"/>
        </w:rPr>
        <w:t xml:space="preserve">, </w:t>
      </w:r>
      <w:r>
        <w:rPr>
          <w:rFonts w:hint="eastAsia" w:cs="Times New Roman"/>
        </w:rPr>
        <w:t>(</w:t>
      </w:r>
      <w:r>
        <w:rPr>
          <w:rFonts w:cs="Times New Roman"/>
        </w:rPr>
        <w:t>2023</w:t>
      </w:r>
      <w:r>
        <w:rPr>
          <w:rFonts w:hint="eastAsia" w:cs="Times New Roman"/>
        </w:rPr>
        <w:t>), pp.512-552</w:t>
      </w:r>
      <w:r>
        <w:rPr>
          <w:rFonts w:cs="Times New Roman"/>
        </w:rPr>
        <w:t>.</w:t>
      </w:r>
      <w:r>
        <w:rPr>
          <w:rFonts w:hint="eastAsia" w:cs="Times New Roman"/>
          <w:lang w:val="en-US" w:eastAsia="zh-CN"/>
        </w:rPr>
        <w:t xml:space="preserve"> (p. 539)</w:t>
      </w:r>
    </w:p>
  </w:footnote>
  <w:footnote w:id="14">
    <w:p>
      <w:pPr>
        <w:pStyle w:val="9"/>
        <w:snapToGrid w:val="0"/>
      </w:pPr>
      <w:r>
        <w:rPr>
          <w:rStyle w:val="15"/>
        </w:rPr>
        <w:footnoteRef/>
      </w:r>
      <w:r>
        <w:t xml:space="preserve"> </w:t>
      </w:r>
      <w:r>
        <w:rPr>
          <w:rFonts w:cs="Times New Roman"/>
        </w:rPr>
        <w:t>Shankar B</w:t>
      </w:r>
      <w:r>
        <w:rPr>
          <w:rFonts w:hint="eastAsia" w:cs="Times New Roman"/>
        </w:rPr>
        <w:t>,</w:t>
      </w:r>
      <w:r>
        <w:rPr>
          <w:rFonts w:cs="Times New Roman"/>
        </w:rPr>
        <w:t xml:space="preserve"> ‘</w:t>
      </w:r>
      <w:r>
        <w:rPr>
          <w:rFonts w:cs="Times New Roman"/>
          <w:i w:val="0"/>
          <w:iCs w:val="0"/>
        </w:rPr>
        <w:t>Sri Aurobindo: Cosmology, Psychology and Integral Experience’</w:t>
      </w:r>
      <w:r>
        <w:rPr>
          <w:rFonts w:hint="eastAsia" w:cs="Times New Roman"/>
        </w:rPr>
        <w:t>,</w:t>
      </w:r>
      <w:r>
        <w:rPr>
          <w:rFonts w:cs="Times New Roman"/>
        </w:rPr>
        <w:t xml:space="preserve"> </w:t>
      </w:r>
      <w:r>
        <w:rPr>
          <w:rFonts w:cs="Times New Roman"/>
          <w:i/>
          <w:iCs/>
        </w:rPr>
        <w:t>Journal of Indian Council of Philosophical Research</w:t>
      </w:r>
      <w:r>
        <w:rPr>
          <w:rFonts w:cs="Times New Roman"/>
        </w:rPr>
        <w:t xml:space="preserve">, vol. </w:t>
      </w:r>
      <w:r>
        <w:rPr>
          <w:rFonts w:hint="eastAsia" w:cs="Times New Roman"/>
        </w:rPr>
        <w:t>41</w:t>
      </w:r>
      <w:r>
        <w:rPr>
          <w:rFonts w:cs="Times New Roman"/>
        </w:rPr>
        <w:t xml:space="preserve">, </w:t>
      </w:r>
      <w:r>
        <w:rPr>
          <w:rFonts w:hint="eastAsia" w:cs="Times New Roman"/>
        </w:rPr>
        <w:t>(</w:t>
      </w:r>
      <w:r>
        <w:rPr>
          <w:rFonts w:cs="Times New Roman"/>
        </w:rPr>
        <w:t>2024)</w:t>
      </w:r>
      <w:r>
        <w:rPr>
          <w:rFonts w:hint="eastAsia" w:cs="Times New Roman"/>
        </w:rPr>
        <w:t>, pp.</w:t>
      </w:r>
      <w:r>
        <w:rPr>
          <w:rFonts w:cs="Times New Roman"/>
        </w:rPr>
        <w:t xml:space="preserve"> 241-258.</w:t>
      </w:r>
      <w:r>
        <w:rPr>
          <w:rFonts w:hint="eastAsia" w:cs="Times New Roman"/>
          <w:lang w:val="en-US" w:eastAsia="zh-CN"/>
        </w:rPr>
        <w:t xml:space="preserve"> (P. 241)</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Style w:val="18"/>
          <w:rFonts w:hint="default"/>
          <w:highlight w:val="none"/>
          <w:lang w:val="en-US" w:eastAsia="zh-CN"/>
        </w:rPr>
        <w:t>10.1007/s40961-024-00328-1</w:t>
      </w:r>
      <w:r>
        <w:rPr>
          <w:rStyle w:val="18"/>
          <w:rFonts w:hint="default"/>
          <w:highlight w:val="none"/>
          <w:lang w:val="en-US"/>
        </w:rPr>
        <w:t>&gt;</w:t>
      </w:r>
    </w:p>
  </w:footnote>
  <w:footnote w:id="15">
    <w:p>
      <w:pPr>
        <w:pStyle w:val="9"/>
        <w:snapToGrid w:val="0"/>
        <w:rPr>
          <w:rFonts w:hint="default"/>
          <w:lang w:val="en-US"/>
        </w:rPr>
      </w:pPr>
      <w:r>
        <w:rPr>
          <w:rStyle w:val="15"/>
        </w:rPr>
        <w:footnoteRef/>
      </w:r>
      <w:r>
        <w:t xml:space="preserve"> </w:t>
      </w:r>
      <w:r>
        <w:rPr>
          <w:rFonts w:cs="Times New Roman"/>
        </w:rPr>
        <w:t>Silvestre R</w:t>
      </w:r>
      <w:r>
        <w:rPr>
          <w:rFonts w:hint="eastAsia" w:cs="Times New Roman"/>
        </w:rPr>
        <w:t>,</w:t>
      </w:r>
      <w:r>
        <w:rPr>
          <w:rFonts w:cs="Times New Roman"/>
        </w:rPr>
        <w:t xml:space="preserve"> ‘</w:t>
      </w:r>
      <w:r>
        <w:rPr>
          <w:rFonts w:cs="Times New Roman"/>
          <w:i w:val="0"/>
          <w:iCs w:val="0"/>
        </w:rPr>
        <w:t>Panentheism and Theistic Cosmopsychism: God and the Cosmos in the Bhavagad Gītā’</w:t>
      </w:r>
      <w:r>
        <w:rPr>
          <w:rFonts w:hint="eastAsia" w:cs="Times New Roman"/>
        </w:rPr>
        <w:t>,</w:t>
      </w:r>
      <w:r>
        <w:rPr>
          <w:rFonts w:cs="Times New Roman"/>
        </w:rPr>
        <w:t xml:space="preserve"> </w:t>
      </w:r>
      <w:r>
        <w:rPr>
          <w:rFonts w:cs="Times New Roman"/>
          <w:i/>
          <w:iCs/>
        </w:rPr>
        <w:t>Sophia</w:t>
      </w:r>
      <w:r>
        <w:rPr>
          <w:rFonts w:cs="Times New Roman"/>
        </w:rPr>
        <w:t xml:space="preserve">, vol. </w:t>
      </w:r>
      <w:r>
        <w:rPr>
          <w:rFonts w:hint="eastAsia" w:cs="Times New Roman"/>
        </w:rPr>
        <w:t>63</w:t>
      </w:r>
      <w:r>
        <w:rPr>
          <w:rFonts w:cs="Times New Roman"/>
        </w:rPr>
        <w:t xml:space="preserve">, </w:t>
      </w:r>
      <w:r>
        <w:rPr>
          <w:rFonts w:hint="eastAsia" w:cs="Times New Roman"/>
        </w:rPr>
        <w:t>(</w:t>
      </w:r>
      <w:r>
        <w:rPr>
          <w:rFonts w:cs="Times New Roman"/>
        </w:rPr>
        <w:t>2024)</w:t>
      </w:r>
      <w:r>
        <w:rPr>
          <w:rFonts w:hint="eastAsia" w:cs="Times New Roman"/>
        </w:rPr>
        <w:t>, pp.</w:t>
      </w:r>
      <w:r>
        <w:rPr>
          <w:rFonts w:cs="Times New Roman"/>
        </w:rPr>
        <w:t xml:space="preserve"> 447-469</w:t>
      </w:r>
      <w:r>
        <w:rPr>
          <w:rFonts w:hint="default" w:cs="Times New Roman"/>
          <w:lang w:val="en-US"/>
        </w:rPr>
        <w:t xml:space="preserve"> (</w:t>
      </w:r>
      <w:r>
        <w:rPr>
          <w:rFonts w:hint="eastAsia" w:cs="Times New Roman"/>
        </w:rPr>
        <w:t>p.</w:t>
      </w:r>
      <w:r>
        <w:rPr>
          <w:rFonts w:hint="default" w:cs="Times New Roman"/>
          <w:lang w:val="en-US"/>
        </w:rPr>
        <w:t xml:space="preserve"> 454)</w:t>
      </w:r>
      <w:r>
        <w:rPr>
          <w:rFonts w:cs="Times New Roman"/>
        </w:rPr>
        <w:t>.</w:t>
      </w:r>
      <w:r>
        <w:rPr>
          <w:rFonts w:hint="default" w:cs="Times New Roman"/>
          <w:lang w:val="en-US"/>
        </w:rPr>
        <w:t xml:space="preserve">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Fonts w:hint="eastAsia" w:cs="Times New Roman"/>
        </w:rPr>
        <w:t>10.1007/s11841-024-01017-x</w:t>
      </w:r>
      <w:r>
        <w:rPr>
          <w:rFonts w:hint="default" w:cs="Times New Roman"/>
          <w:lang w:val="en-US"/>
        </w:rPr>
        <w:t>&gt;</w:t>
      </w:r>
    </w:p>
  </w:footnote>
  <w:footnote w:id="16">
    <w:p>
      <w:pPr>
        <w:pStyle w:val="9"/>
        <w:bidi w:val="0"/>
        <w:rPr>
          <w:rFonts w:hint="default"/>
          <w:lang w:val="en-US"/>
        </w:rPr>
      </w:pPr>
      <w:r>
        <w:rPr>
          <w:rStyle w:val="15"/>
        </w:rPr>
        <w:footnoteRef/>
      </w:r>
      <w:r>
        <w:t xml:space="preserve"> </w:t>
      </w:r>
      <w:r>
        <w:rPr>
          <w:lang w:val="en-US" w:eastAsia="zh-CN"/>
        </w:rPr>
        <w:t>İlknur, S. (2021). Book of Changes: Cosmological and Anthropological Metaphors in Chinese Philosophy.</w:t>
      </w:r>
      <w:r>
        <w:rPr>
          <w:rFonts w:hint="default"/>
          <w:lang w:val="en-US" w:eastAsia="zh-CN"/>
        </w:rPr>
        <w:t xml:space="preserve"> </w:t>
      </w:r>
      <w:r>
        <w:rPr>
          <w:rFonts w:hint="default" w:ascii="Times New Roman Italic" w:hAnsi="Times New Roman Italic" w:cs="Times New Roman Italic"/>
          <w:i/>
          <w:iCs/>
          <w:lang w:val="en-US" w:eastAsia="zh-CN"/>
        </w:rPr>
        <w:t>Academicus International Scientific Journal</w:t>
      </w:r>
      <w:r>
        <w:rPr>
          <w:rFonts w:hint="default"/>
          <w:lang w:val="en-US" w:eastAsia="zh-CN"/>
        </w:rPr>
        <w:t xml:space="preserve">. 214-225. (p.214-218).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Fonts w:hint="default"/>
          <w:lang w:val="en-US" w:eastAsia="zh-CN"/>
        </w:rPr>
        <w:t>10.7336/academicus.2021.24.14.&gt;</w:t>
      </w:r>
    </w:p>
  </w:footnote>
  <w:footnote w:id="17">
    <w:p>
      <w:pPr>
        <w:pStyle w:val="9"/>
        <w:bidi w:val="0"/>
        <w:rPr>
          <w:rFonts w:hint="default"/>
          <w:lang w:val="en-US" w:eastAsia="zh-CN"/>
        </w:rPr>
      </w:pPr>
      <w:r>
        <w:rPr>
          <w:rStyle w:val="15"/>
        </w:rPr>
        <w:footnoteRef/>
      </w:r>
      <w:r>
        <w:t xml:space="preserve"> </w:t>
      </w:r>
      <w:r>
        <w:rPr>
          <w:lang w:val="en-US" w:eastAsia="zh-CN"/>
        </w:rPr>
        <w:t>Che, X., &amp; Ren, Y. (2025). From the Great Void to Moral Practice: Ira Kasoff’s Systemic Reconstruction of Chang Tsai’s Ontological Ch’i in Cosmology, Human Nature, and Sagehood.</w:t>
      </w:r>
      <w:r>
        <w:rPr>
          <w:rFonts w:hint="default"/>
          <w:lang w:val="en-US" w:eastAsia="zh-CN"/>
        </w:rPr>
        <w:t xml:space="preserve"> Philosophies.</w:t>
      </w:r>
      <w:r>
        <w:rPr>
          <w:lang w:val="en-US" w:eastAsia="zh-CN"/>
        </w:rPr>
        <w:t>10</w:t>
      </w:r>
      <w:r>
        <w:rPr>
          <w:rFonts w:hint="default"/>
          <w:lang w:val="en-US" w:eastAsia="zh-CN"/>
        </w:rPr>
        <w:t>(3), 65. 1-14. (p.1-7).</w:t>
      </w:r>
      <w:r>
        <w:rPr>
          <w:rFonts w:hint="default"/>
          <w:lang w:val="en-US" w:eastAsia="zh-CN"/>
        </w:rPr>
        <w:fldChar w:fldCharType="begin"/>
      </w:r>
      <w:r>
        <w:rPr>
          <w:rFonts w:hint="default"/>
          <w:lang w:val="en-US" w:eastAsia="zh-CN"/>
        </w:rPr>
        <w:instrText xml:space="preserve"> HYPERLINK "https://doi.org/10.3390/philosophies10030065." </w:instrText>
      </w:r>
      <w:r>
        <w:rPr>
          <w:rFonts w:hint="default"/>
          <w:lang w:val="en-US" w:eastAsia="zh-CN"/>
        </w:rPr>
        <w:fldChar w:fldCharType="separate"/>
      </w:r>
      <w:r>
        <w:rPr>
          <w:rFonts w:hint="eastAsia" w:cs="Times New Roman"/>
          <w:lang w:val="en-US" w:eastAsia="zh-CN"/>
        </w:rPr>
        <w:t xml:space="preserve">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Fonts w:hint="default"/>
          <w:lang w:val="en-US" w:eastAsia="zh-CN"/>
        </w:rPr>
        <w:t>10.3390/philosophies10030065.</w:t>
      </w:r>
      <w:r>
        <w:rPr>
          <w:rFonts w:hint="default"/>
          <w:lang w:val="en-US" w:eastAsia="zh-CN"/>
        </w:rPr>
        <w:fldChar w:fldCharType="end"/>
      </w:r>
      <w:r>
        <w:rPr>
          <w:rFonts w:hint="default"/>
          <w:lang w:val="en-US" w:eastAsia="zh-CN"/>
        </w:rPr>
        <w:t>&gt;</w:t>
      </w:r>
    </w:p>
  </w:footnote>
  <w:footnote w:id="18">
    <w:p>
      <w:pPr>
        <w:pStyle w:val="9"/>
        <w:bidi w:val="0"/>
      </w:pPr>
      <w:r>
        <w:rPr>
          <w:rStyle w:val="15"/>
        </w:rPr>
        <w:footnoteRef/>
      </w:r>
      <w:r>
        <w:t xml:space="preserve"> </w:t>
      </w:r>
      <w:r>
        <w:rPr>
          <w:lang w:val="en-US" w:eastAsia="zh-CN"/>
        </w:rPr>
        <w:t>Kaisar, M. (2024). On the Cosmologies of Vedic, Sankhya And Vedantic Philosophies.</w:t>
      </w:r>
      <w:r>
        <w:rPr>
          <w:rFonts w:hint="default"/>
          <w:lang w:val="en-US" w:eastAsia="zh-CN"/>
        </w:rPr>
        <w:t xml:space="preserve"> International Journal of Social Sciences and Humanities Invention. 8123-8126. (p. 8124).</w:t>
      </w:r>
      <w:r>
        <w:rPr>
          <w:rFonts w:hint="eastAsia" w:cs="Times New Roman"/>
          <w:lang w:val="en-US" w:eastAsia="zh-CN"/>
        </w:rPr>
        <w:t xml:space="preserve"> </w:t>
      </w:r>
      <w:r>
        <w:rPr>
          <w:rStyle w:val="18"/>
          <w:rFonts w:hint="default"/>
          <w:highlight w:val="none"/>
          <w:lang w:val="en-US"/>
        </w:rPr>
        <w:t>&lt;</w:t>
      </w:r>
      <w:r>
        <w:rPr>
          <w:rStyle w:val="18"/>
          <w:rFonts w:hint="default"/>
          <w:highlight w:val="none"/>
          <w:lang w:val="en-US" w:eastAsia="zh-CN"/>
        </w:rPr>
        <w:fldChar w:fldCharType="begin"/>
      </w:r>
      <w:r>
        <w:rPr>
          <w:rStyle w:val="18"/>
          <w:rFonts w:hint="default"/>
          <w:highlight w:val="none"/>
          <w:lang w:val="en-US" w:eastAsia="zh-CN"/>
        </w:rPr>
        <w:instrText xml:space="preserve"> HYPERLINK "https://doi.org/10.1201/9781003418047" \t "/Users/xeniazhang/Documents\\x/_blank" </w:instrText>
      </w:r>
      <w:r>
        <w:rPr>
          <w:rStyle w:val="18"/>
          <w:rFonts w:hint="default"/>
          <w:highlight w:val="none"/>
          <w:lang w:val="en-US" w:eastAsia="zh-CN"/>
        </w:rPr>
        <w:fldChar w:fldCharType="separate"/>
      </w:r>
      <w:r>
        <w:rPr>
          <w:rStyle w:val="18"/>
          <w:rFonts w:hint="default"/>
          <w:highlight w:val="none"/>
        </w:rPr>
        <w:t>DOI</w:t>
      </w:r>
      <w:r>
        <w:rPr>
          <w:rStyle w:val="18"/>
          <w:rFonts w:hint="eastAsia"/>
          <w:highlight w:val="none"/>
          <w:lang w:val="en-US" w:eastAsia="zh-CN"/>
        </w:rPr>
        <w:t xml:space="preserve">: </w:t>
      </w:r>
      <w:r>
        <w:rPr>
          <w:rStyle w:val="18"/>
          <w:rFonts w:hint="default"/>
          <w:highlight w:val="none"/>
          <w:lang w:val="en-US" w:eastAsia="zh-CN"/>
        </w:rPr>
        <w:fldChar w:fldCharType="end"/>
      </w:r>
      <w:r>
        <w:rPr>
          <w:rFonts w:hint="default"/>
          <w:lang w:val="en-US" w:eastAsia="zh-CN"/>
        </w:rPr>
        <w:t>10.18535/ijsshi/v11i04.03.&gt;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DhU+7V1QAAAAkBAAAPAAAAAAAAAAEAIAAA&#10;ADgAAABkcnMvZG93bnJldi54bWxQSwECFAAUAAAACACHTuJA4YDTjjICAABhBAAADgAAAAAAAAAB&#10;ACAAAAA6AQAAZHJzL2Uyb0RvYy54bWxQSwUGAAAAAAYABgBZAQAA3g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13</w:t>
                    </w:r>
                    <w:r>
                      <w:fldChar w:fldCharType="end"/>
                    </w:r>
                  </w:p>
                </w:txbxContent>
              </v:textbox>
            </v:shape>
          </w:pict>
        </mc:Fallback>
      </mc:AlternateContent>
    </w:r>
    <w:r>
      <w:rPr>
        <w:rFonts w:hint="eastAsia"/>
        <w:sz w:val="18"/>
        <w:lang w:val="en-US" w:eastAsia="zh-CN"/>
      </w:rPr>
      <w:t>Xiaoyan Zhang       2518635</w:t>
    </w: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X8imvdwCAAAkBgAADgAAAAAAAAABACAAAAA1&#10;AQAAZHJzL2Uyb0RvYy54bWxQSwUGAAAAAAYABgBZAQAAgwY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13</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FE8823"/>
    <w:multiLevelType w:val="multilevel"/>
    <w:tmpl w:val="76FE8823"/>
    <w:lvl w:ilvl="0" w:tentative="0">
      <w:start w:val="1"/>
      <w:numFmt w:val="decimal"/>
      <w:pStyle w:val="3"/>
      <w:lvlText w:val="%1."/>
      <w:lvlJc w:val="left"/>
      <w:pPr>
        <w:ind w:left="425" w:hanging="425"/>
      </w:pPr>
      <w:rPr>
        <w:rFonts w:hint="default"/>
      </w:rPr>
    </w:lvl>
    <w:lvl w:ilvl="1" w:tentative="0">
      <w:start w:val="1"/>
      <w:numFmt w:val="decimal"/>
      <w:suff w:val="space"/>
      <w:lvlText w:val="%1.%2"/>
      <w:lvlJc w:val="left"/>
      <w:pPr>
        <w:tabs>
          <w:tab w:val="left" w:pos="420"/>
        </w:tabs>
        <w:ind w:left="0" w:leftChars="0" w:firstLine="0" w:firstLineChars="0"/>
      </w:pPr>
      <w:rPr>
        <w:rFonts w:hint="default" w:ascii="宋体" w:hAnsi="宋体" w:eastAsia="宋体" w:cs="汉仪书宋二KW"/>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5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footnote w:id="38"/>
    <w:footnote w:id="39"/>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F8E7A"/>
    <w:rsid w:val="073B1A79"/>
    <w:rsid w:val="0DCBE5D5"/>
    <w:rsid w:val="0F7E06FE"/>
    <w:rsid w:val="1773754D"/>
    <w:rsid w:val="1FF760B1"/>
    <w:rsid w:val="2B5F7B90"/>
    <w:rsid w:val="2C6F6AE6"/>
    <w:rsid w:val="2F8B9FB5"/>
    <w:rsid w:val="2FA71B30"/>
    <w:rsid w:val="35DF5D57"/>
    <w:rsid w:val="39DE4C38"/>
    <w:rsid w:val="3DDE12F3"/>
    <w:rsid w:val="3DED1132"/>
    <w:rsid w:val="3EFB4871"/>
    <w:rsid w:val="3F7596A1"/>
    <w:rsid w:val="3FBEAB48"/>
    <w:rsid w:val="3FCCF339"/>
    <w:rsid w:val="4D3F48B3"/>
    <w:rsid w:val="4FBF8E7A"/>
    <w:rsid w:val="566B084A"/>
    <w:rsid w:val="595B5E84"/>
    <w:rsid w:val="5B2DE610"/>
    <w:rsid w:val="5BD93317"/>
    <w:rsid w:val="5BFFD93C"/>
    <w:rsid w:val="5CB6D71B"/>
    <w:rsid w:val="5DDDEA41"/>
    <w:rsid w:val="5F729966"/>
    <w:rsid w:val="63CB52E1"/>
    <w:rsid w:val="66FFE46F"/>
    <w:rsid w:val="68DB03A9"/>
    <w:rsid w:val="6EE77753"/>
    <w:rsid w:val="6F5E0FE7"/>
    <w:rsid w:val="6FFF0ECB"/>
    <w:rsid w:val="6FFF675D"/>
    <w:rsid w:val="75DDCA6E"/>
    <w:rsid w:val="75E76C1E"/>
    <w:rsid w:val="768E34E2"/>
    <w:rsid w:val="779F17D7"/>
    <w:rsid w:val="77FB020E"/>
    <w:rsid w:val="79D21419"/>
    <w:rsid w:val="7AFED170"/>
    <w:rsid w:val="7AFFA69F"/>
    <w:rsid w:val="7BB325A5"/>
    <w:rsid w:val="7BEDA666"/>
    <w:rsid w:val="7D7E1A6F"/>
    <w:rsid w:val="7DDFAAD4"/>
    <w:rsid w:val="7DF7E4D8"/>
    <w:rsid w:val="7E1A8221"/>
    <w:rsid w:val="7E75BD0A"/>
    <w:rsid w:val="7EFBBD71"/>
    <w:rsid w:val="7F72AA4C"/>
    <w:rsid w:val="7F7307BA"/>
    <w:rsid w:val="7F7AE2AB"/>
    <w:rsid w:val="7F7F5BF2"/>
    <w:rsid w:val="7F7FE88F"/>
    <w:rsid w:val="7F87B5A3"/>
    <w:rsid w:val="7FB56ED7"/>
    <w:rsid w:val="7FBD2069"/>
    <w:rsid w:val="7FF60F67"/>
    <w:rsid w:val="7FF700D2"/>
    <w:rsid w:val="7FFCE4C4"/>
    <w:rsid w:val="8EF854C2"/>
    <w:rsid w:val="8FAF4747"/>
    <w:rsid w:val="8FFF1A58"/>
    <w:rsid w:val="9BF96ADC"/>
    <w:rsid w:val="AE7FDF6A"/>
    <w:rsid w:val="AEFF44B8"/>
    <w:rsid w:val="B7770828"/>
    <w:rsid w:val="B7EFC68E"/>
    <w:rsid w:val="B87B4C0C"/>
    <w:rsid w:val="B8EC376C"/>
    <w:rsid w:val="BE8BB6B7"/>
    <w:rsid w:val="BFDFDA8E"/>
    <w:rsid w:val="C3FA75A4"/>
    <w:rsid w:val="C72C29AF"/>
    <w:rsid w:val="CAA7BE80"/>
    <w:rsid w:val="D73F2CD9"/>
    <w:rsid w:val="D7BF9C17"/>
    <w:rsid w:val="D7FDF07C"/>
    <w:rsid w:val="D9BF1FA6"/>
    <w:rsid w:val="D9FE5064"/>
    <w:rsid w:val="DADF4415"/>
    <w:rsid w:val="DAEF3EA5"/>
    <w:rsid w:val="DBCF822F"/>
    <w:rsid w:val="DBE5ADAF"/>
    <w:rsid w:val="DEF7FC6E"/>
    <w:rsid w:val="DF7D959D"/>
    <w:rsid w:val="DFEFDBBE"/>
    <w:rsid w:val="E2B7E24F"/>
    <w:rsid w:val="E3CC1C2F"/>
    <w:rsid w:val="E7F6E76E"/>
    <w:rsid w:val="EDFF356D"/>
    <w:rsid w:val="EFFF9F4E"/>
    <w:rsid w:val="F3E69B64"/>
    <w:rsid w:val="F3EF8F14"/>
    <w:rsid w:val="F5AFB352"/>
    <w:rsid w:val="F6E389C8"/>
    <w:rsid w:val="F7D72C70"/>
    <w:rsid w:val="F7EDCAE2"/>
    <w:rsid w:val="F7F99C33"/>
    <w:rsid w:val="FA4A45E5"/>
    <w:rsid w:val="FAB75E24"/>
    <w:rsid w:val="FAD77E76"/>
    <w:rsid w:val="FBA5CF36"/>
    <w:rsid w:val="FBAF77AF"/>
    <w:rsid w:val="FBD7590E"/>
    <w:rsid w:val="FDCD18C7"/>
    <w:rsid w:val="FDF70073"/>
    <w:rsid w:val="FDFF4CA7"/>
    <w:rsid w:val="FF6C6EDB"/>
    <w:rsid w:val="FF7F3406"/>
    <w:rsid w:val="FFAF5D61"/>
    <w:rsid w:val="FFDC5AA7"/>
    <w:rsid w:val="FFDF84BE"/>
    <w:rsid w:val="FFFD1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50" w:beforeLines="50"/>
      <w:ind w:left="0" w:leftChars="0" w:firstLine="561" w:firstLineChars="200"/>
      <w:jc w:val="both"/>
    </w:pPr>
    <w:rPr>
      <w:rFonts w:ascii="Times New Roman" w:hAnsi="Times New Roman" w:eastAsiaTheme="minorEastAsia" w:cstheme="minorBidi"/>
      <w:kern w:val="2"/>
      <w:sz w:val="22"/>
      <w:szCs w:val="24"/>
      <w:lang w:val="en-US" w:eastAsia="zh-CN" w:bidi="ar-SA"/>
    </w:rPr>
  </w:style>
  <w:style w:type="paragraph" w:styleId="2">
    <w:name w:val="heading 1"/>
    <w:basedOn w:val="1"/>
    <w:next w:val="1"/>
    <w:link w:val="16"/>
    <w:qFormat/>
    <w:uiPriority w:val="0"/>
    <w:pPr>
      <w:keepNext/>
      <w:keepLines/>
      <w:spacing w:before="340" w:beforeLines="0" w:beforeAutospacing="0" w:after="330" w:afterLines="0" w:afterAutospacing="0" w:line="576" w:lineRule="auto"/>
      <w:outlineLvl w:val="0"/>
    </w:pPr>
    <w:rPr>
      <w:rFonts w:ascii="Times New Roman" w:hAnsi="Times New Roman"/>
      <w:b/>
      <w:kern w:val="44"/>
      <w:sz w:val="28"/>
    </w:rPr>
  </w:style>
  <w:style w:type="paragraph" w:styleId="3">
    <w:name w:val="heading 2"/>
    <w:basedOn w:val="1"/>
    <w:next w:val="1"/>
    <w:link w:val="17"/>
    <w:unhideWhenUsed/>
    <w:qFormat/>
    <w:uiPriority w:val="0"/>
    <w:pPr>
      <w:keepNext/>
      <w:keepLines/>
      <w:numPr>
        <w:ilvl w:val="0"/>
        <w:numId w:val="1"/>
      </w:numPr>
      <w:spacing w:before="50" w:beforeLines="50" w:beforeAutospacing="0" w:afterLines="0" w:afterAutospacing="0" w:line="240" w:lineRule="auto"/>
      <w:ind w:left="0"/>
      <w:jc w:val="left"/>
      <w:outlineLvl w:val="1"/>
    </w:pPr>
    <w:rPr>
      <w:rFonts w:ascii="Times New Roman" w:hAnsi="Times New Roman" w:eastAsia="黑体"/>
      <w:b/>
      <w:sz w:val="24"/>
    </w:rPr>
  </w:style>
  <w:style w:type="paragraph" w:styleId="4">
    <w:name w:val="heading 3"/>
    <w:basedOn w:val="1"/>
    <w:next w:val="1"/>
    <w:link w:val="19"/>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微软雅黑" w:hAnsi="微软雅黑" w:eastAsia="微软雅黑" w:cs="微软雅黑"/>
      <w:sz w:val="15"/>
      <w:szCs w:val="15"/>
      <w:lang w:val="en-US" w:eastAsia="en-US" w:bidi="ar-SA"/>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9">
    <w:name w:val="footnote text"/>
    <w:basedOn w:val="1"/>
    <w:link w:val="18"/>
    <w:qFormat/>
    <w:uiPriority w:val="0"/>
    <w:pPr>
      <w:snapToGrid w:val="0"/>
      <w:ind w:firstLine="0" w:firstLineChars="0"/>
      <w:jc w:val="left"/>
    </w:pPr>
    <w:rPr>
      <w:rFonts w:ascii="Times New Roman" w:hAnsi="Times New Roman"/>
      <w:sz w:val="16"/>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Emphasis"/>
    <w:basedOn w:val="12"/>
    <w:qFormat/>
    <w:uiPriority w:val="0"/>
    <w:rPr>
      <w:i/>
    </w:rPr>
  </w:style>
  <w:style w:type="character" w:styleId="14">
    <w:name w:val="Hyperlink"/>
    <w:basedOn w:val="12"/>
    <w:qFormat/>
    <w:uiPriority w:val="0"/>
    <w:rPr>
      <w:color w:val="0000FF"/>
      <w:u w:val="single"/>
    </w:rPr>
  </w:style>
  <w:style w:type="character" w:styleId="15">
    <w:name w:val="footnote reference"/>
    <w:basedOn w:val="12"/>
    <w:qFormat/>
    <w:uiPriority w:val="0"/>
    <w:rPr>
      <w:vertAlign w:val="superscript"/>
    </w:rPr>
  </w:style>
  <w:style w:type="character" w:customStyle="1" w:styleId="16">
    <w:name w:val="标题 1 Char"/>
    <w:link w:val="2"/>
    <w:qFormat/>
    <w:uiPriority w:val="0"/>
    <w:rPr>
      <w:rFonts w:ascii="Times New Roman" w:hAnsi="Times New Roman" w:eastAsiaTheme="minorEastAsia"/>
      <w:b/>
      <w:kern w:val="44"/>
      <w:sz w:val="28"/>
    </w:rPr>
  </w:style>
  <w:style w:type="character" w:customStyle="1" w:styleId="17">
    <w:name w:val="标题 2 Char"/>
    <w:link w:val="3"/>
    <w:qFormat/>
    <w:uiPriority w:val="0"/>
    <w:rPr>
      <w:rFonts w:ascii="Times New Roman" w:hAnsi="Times New Roman" w:eastAsia="黑体"/>
      <w:b/>
      <w:sz w:val="24"/>
    </w:rPr>
  </w:style>
  <w:style w:type="character" w:customStyle="1" w:styleId="18">
    <w:name w:val="脚注文本 Char"/>
    <w:link w:val="9"/>
    <w:qFormat/>
    <w:uiPriority w:val="0"/>
    <w:rPr>
      <w:rFonts w:ascii="Times New Roman" w:hAnsi="Times New Roman"/>
      <w:sz w:val="16"/>
    </w:rPr>
  </w:style>
  <w:style w:type="character" w:customStyle="1" w:styleId="19">
    <w:name w:val="标题 3 Char"/>
    <w:link w:val="4"/>
    <w:uiPriority w:val="0"/>
    <w:rPr>
      <w:b/>
      <w:sz w:val="32"/>
    </w:rPr>
  </w:style>
  <w:style w:type="paragraph" w:customStyle="1" w:styleId="20">
    <w:name w:val="参考文献"/>
    <w:basedOn w:val="1"/>
    <w:qFormat/>
    <w:uiPriority w:val="0"/>
    <w:pPr>
      <w:snapToGrid w:val="0"/>
      <w:spacing w:line="240" w:lineRule="auto"/>
      <w:ind w:left="400" w:right="-480" w:rightChars="-200" w:hanging="400" w:hangingChars="200"/>
      <w:jc w:val="left"/>
    </w:pPr>
    <w:rPr>
      <w:rFonts w:ascii="Times New Roman" w:hAnsi="Times New Roman" w:eastAsia="宋体" w:cs="Times New Roman"/>
      <w:color w:val="auto"/>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2026-01-01T23:34:00Z</dcterms:created>
  <dc:creator>Xenia-phosphene</dc:creator>
  <cp:lastModifiedBy>Xenia-phosphene</cp:lastModifiedBy>
  <dcterms:modified xsi:type="dcterms:W3CDTF">2026-01-02T17:02:21Z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3BBA3822AACA19DC99A357691FC9F88E_43</vt:lpwstr>
  </property>
</Properties>
</file>