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D4AEAA" w14:textId="77777777" w:rsidR="009F64C5" w:rsidRPr="005A3125" w:rsidRDefault="009F64C5">
      <w:pPr>
        <w:spacing w:after="158"/>
        <w:ind w:left="49"/>
        <w:jc w:val="center"/>
        <w:rPr>
          <w:rFonts w:asciiTheme="minorBidi" w:hAnsiTheme="minorBidi"/>
        </w:rPr>
      </w:pPr>
      <w:r w:rsidRPr="005A3125">
        <w:rPr>
          <w:rFonts w:asciiTheme="minorBidi" w:eastAsia="Calibri" w:hAnsiTheme="minorBidi"/>
        </w:rPr>
        <w:t xml:space="preserve"> </w:t>
      </w:r>
    </w:p>
    <w:p w14:paraId="6D3D663A" w14:textId="77777777" w:rsidR="009F64C5" w:rsidRPr="005A3125" w:rsidRDefault="009F64C5">
      <w:pPr>
        <w:ind w:left="49"/>
        <w:jc w:val="center"/>
        <w:rPr>
          <w:rFonts w:asciiTheme="minorBidi" w:hAnsiTheme="minorBidi"/>
        </w:rPr>
      </w:pPr>
      <w:r w:rsidRPr="005A3125">
        <w:rPr>
          <w:rFonts w:asciiTheme="minorBidi" w:eastAsia="Calibri" w:hAnsiTheme="minorBidi"/>
        </w:rPr>
        <w:t xml:space="preserve"> </w:t>
      </w:r>
    </w:p>
    <w:p w14:paraId="6787C14B" w14:textId="578E474B" w:rsidR="009F64C5" w:rsidRPr="005A3125" w:rsidRDefault="009F64C5">
      <w:pPr>
        <w:spacing w:after="158"/>
        <w:ind w:left="49"/>
        <w:jc w:val="center"/>
        <w:rPr>
          <w:rFonts w:asciiTheme="minorBidi" w:hAnsiTheme="minorBidi"/>
        </w:rPr>
      </w:pPr>
      <w:r w:rsidRPr="005A3125">
        <w:rPr>
          <w:rFonts w:asciiTheme="minorBidi" w:hAnsiTheme="minorBidi"/>
          <w:noProof/>
          <w:lang w:val="en-IN" w:eastAsia="en-IN"/>
        </w:rPr>
        <w:drawing>
          <wp:inline distT="0" distB="0" distL="0" distR="0" wp14:anchorId="0851FAE4" wp14:editId="00AFC6E2">
            <wp:extent cx="1980000" cy="82440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80000" cy="824400"/>
                    </a:xfrm>
                    <a:prstGeom prst="rect">
                      <a:avLst/>
                    </a:prstGeom>
                    <a:noFill/>
                  </pic:spPr>
                </pic:pic>
              </a:graphicData>
            </a:graphic>
          </wp:inline>
        </w:drawing>
      </w:r>
      <w:r w:rsidRPr="005A3125">
        <w:rPr>
          <w:rFonts w:asciiTheme="minorBidi" w:eastAsia="Calibri" w:hAnsiTheme="minorBidi"/>
        </w:rPr>
        <w:t xml:space="preserve"> </w:t>
      </w:r>
    </w:p>
    <w:p w14:paraId="5E0F4EC2" w14:textId="77777777" w:rsidR="009F64C5" w:rsidRPr="005A3125" w:rsidRDefault="009F64C5">
      <w:pPr>
        <w:ind w:left="49"/>
        <w:jc w:val="center"/>
        <w:rPr>
          <w:rFonts w:asciiTheme="minorBidi" w:hAnsiTheme="minorBidi"/>
        </w:rPr>
      </w:pPr>
      <w:r w:rsidRPr="005A3125">
        <w:rPr>
          <w:rFonts w:asciiTheme="minorBidi" w:eastAsia="Calibri" w:hAnsiTheme="minorBidi"/>
        </w:rPr>
        <w:t xml:space="preserve"> </w:t>
      </w:r>
    </w:p>
    <w:p w14:paraId="0C4D53A1" w14:textId="77777777" w:rsidR="009F64C5" w:rsidRPr="005A3125" w:rsidRDefault="009F64C5">
      <w:pPr>
        <w:spacing w:after="287"/>
        <w:ind w:left="49"/>
        <w:jc w:val="center"/>
        <w:rPr>
          <w:rFonts w:asciiTheme="minorBidi" w:hAnsiTheme="minorBidi"/>
        </w:rPr>
      </w:pPr>
      <w:r w:rsidRPr="005A3125">
        <w:rPr>
          <w:rFonts w:asciiTheme="minorBidi" w:eastAsia="Calibri" w:hAnsiTheme="minorBidi"/>
        </w:rPr>
        <w:t xml:space="preserve"> </w:t>
      </w:r>
    </w:p>
    <w:p w14:paraId="5E1E2E05" w14:textId="416C83B3" w:rsidR="009F64C5" w:rsidRPr="005A3125" w:rsidRDefault="006F7CFC">
      <w:pPr>
        <w:spacing w:after="42"/>
        <w:ind w:left="89"/>
        <w:jc w:val="center"/>
        <w:rPr>
          <w:rFonts w:asciiTheme="minorBidi" w:hAnsiTheme="minorBidi"/>
        </w:rPr>
      </w:pPr>
      <w:r w:rsidRPr="005A3125">
        <w:rPr>
          <w:rFonts w:asciiTheme="minorBidi" w:hAnsiTheme="minorBidi"/>
        </w:rPr>
        <w:t>Understanding Depression and Anxiety Among Black African and Mixed African Youth (16–25) in the UK: An Intersectional Review of Wider Determinants of Mental Health and Barriers to Support</w:t>
      </w:r>
      <w:r w:rsidR="009F64C5" w:rsidRPr="005A3125">
        <w:rPr>
          <w:rFonts w:asciiTheme="minorBidi" w:hAnsiTheme="minorBidi"/>
        </w:rPr>
        <w:t xml:space="preserve"> </w:t>
      </w:r>
    </w:p>
    <w:p w14:paraId="46D86011" w14:textId="77777777" w:rsidR="009F64C5" w:rsidRPr="005A3125" w:rsidRDefault="009F64C5">
      <w:pPr>
        <w:spacing w:after="157"/>
        <w:ind w:left="2367" w:right="2358"/>
        <w:jc w:val="center"/>
        <w:rPr>
          <w:rFonts w:asciiTheme="minorBidi" w:hAnsiTheme="minorBidi"/>
        </w:rPr>
      </w:pPr>
      <w:r w:rsidRPr="005A3125">
        <w:rPr>
          <w:rFonts w:asciiTheme="minorBidi" w:hAnsiTheme="minorBidi"/>
        </w:rPr>
        <w:t xml:space="preserve">by </w:t>
      </w:r>
    </w:p>
    <w:p w14:paraId="75EA3561" w14:textId="77777777" w:rsidR="009F64C5" w:rsidRPr="005A3125" w:rsidRDefault="009F64C5">
      <w:pPr>
        <w:spacing w:after="158"/>
        <w:ind w:left="59"/>
        <w:jc w:val="center"/>
        <w:rPr>
          <w:rFonts w:asciiTheme="minorBidi" w:hAnsiTheme="minorBidi"/>
        </w:rPr>
      </w:pPr>
      <w:r w:rsidRPr="005A3125">
        <w:rPr>
          <w:rFonts w:asciiTheme="minorBidi" w:hAnsiTheme="minorBidi"/>
        </w:rPr>
        <w:t xml:space="preserve"> </w:t>
      </w:r>
    </w:p>
    <w:p w14:paraId="1062A64A" w14:textId="338A5757" w:rsidR="009F64C5" w:rsidRPr="005A3125" w:rsidRDefault="006F7CFC">
      <w:pPr>
        <w:spacing w:after="158"/>
        <w:ind w:left="59"/>
        <w:jc w:val="center"/>
        <w:rPr>
          <w:rFonts w:asciiTheme="minorBidi" w:hAnsiTheme="minorBidi"/>
        </w:rPr>
      </w:pPr>
      <w:r w:rsidRPr="005A3125">
        <w:rPr>
          <w:rFonts w:asciiTheme="minorBidi" w:hAnsiTheme="minorBidi"/>
        </w:rPr>
        <w:t xml:space="preserve">Iqdad Mahamud Ali </w:t>
      </w:r>
      <w:r w:rsidR="009F64C5" w:rsidRPr="005A3125">
        <w:rPr>
          <w:rFonts w:asciiTheme="minorBidi" w:hAnsiTheme="minorBidi"/>
        </w:rPr>
        <w:t xml:space="preserve"> </w:t>
      </w:r>
    </w:p>
    <w:p w14:paraId="33922CAA" w14:textId="77777777" w:rsidR="009F64C5" w:rsidRPr="005A3125" w:rsidRDefault="009F64C5">
      <w:pPr>
        <w:spacing w:after="156"/>
        <w:ind w:left="59"/>
        <w:jc w:val="center"/>
        <w:rPr>
          <w:rFonts w:asciiTheme="minorBidi" w:hAnsiTheme="minorBidi"/>
        </w:rPr>
      </w:pPr>
      <w:r w:rsidRPr="005A3125">
        <w:rPr>
          <w:rFonts w:asciiTheme="minorBidi" w:hAnsiTheme="minorBidi"/>
        </w:rPr>
        <w:t xml:space="preserve"> </w:t>
      </w:r>
    </w:p>
    <w:p w14:paraId="09C8500D" w14:textId="77777777" w:rsidR="009F64C5" w:rsidRPr="005A3125" w:rsidRDefault="009F64C5">
      <w:pPr>
        <w:spacing w:after="158"/>
        <w:ind w:left="59"/>
        <w:jc w:val="center"/>
        <w:rPr>
          <w:rFonts w:asciiTheme="minorBidi" w:hAnsiTheme="minorBidi"/>
        </w:rPr>
      </w:pPr>
      <w:r w:rsidRPr="005A3125">
        <w:rPr>
          <w:rFonts w:asciiTheme="minorBidi" w:hAnsiTheme="minorBidi"/>
        </w:rPr>
        <w:t xml:space="preserve"> </w:t>
      </w:r>
    </w:p>
    <w:p w14:paraId="64B3B17A" w14:textId="77777777" w:rsidR="009F64C5" w:rsidRPr="005A3125" w:rsidRDefault="009F64C5">
      <w:pPr>
        <w:spacing w:after="158"/>
        <w:ind w:left="59"/>
        <w:jc w:val="center"/>
        <w:rPr>
          <w:rFonts w:asciiTheme="minorBidi" w:hAnsiTheme="minorBidi"/>
        </w:rPr>
      </w:pPr>
      <w:r w:rsidRPr="005A3125">
        <w:rPr>
          <w:rFonts w:asciiTheme="minorBidi" w:hAnsiTheme="minorBidi"/>
        </w:rPr>
        <w:t xml:space="preserve"> </w:t>
      </w:r>
    </w:p>
    <w:p w14:paraId="5CAC7C58" w14:textId="77777777" w:rsidR="009F64C5" w:rsidRPr="005A3125" w:rsidRDefault="009F64C5">
      <w:pPr>
        <w:spacing w:after="158"/>
        <w:ind w:left="59"/>
        <w:jc w:val="center"/>
        <w:rPr>
          <w:rFonts w:asciiTheme="minorBidi" w:hAnsiTheme="minorBidi"/>
        </w:rPr>
      </w:pPr>
      <w:r w:rsidRPr="005A3125">
        <w:rPr>
          <w:rFonts w:asciiTheme="minorBidi" w:hAnsiTheme="minorBidi"/>
        </w:rPr>
        <w:t xml:space="preserve"> </w:t>
      </w:r>
    </w:p>
    <w:p w14:paraId="75DE2693" w14:textId="713CCC3C" w:rsidR="009F64C5" w:rsidRPr="005A3125" w:rsidRDefault="009F64C5" w:rsidP="009F64C5">
      <w:pPr>
        <w:spacing w:after="156"/>
        <w:ind w:left="59"/>
        <w:jc w:val="center"/>
        <w:rPr>
          <w:rFonts w:asciiTheme="minorBidi" w:hAnsiTheme="minorBidi"/>
        </w:rPr>
      </w:pPr>
      <w:r w:rsidRPr="005A3125">
        <w:rPr>
          <w:rFonts w:asciiTheme="minorBidi" w:hAnsiTheme="minorBidi"/>
        </w:rPr>
        <w:t xml:space="preserve">A Dissertation submitted in partial fulfilment of the requirements for the degree of </w:t>
      </w:r>
      <w:proofErr w:type="spellStart"/>
      <w:r w:rsidRPr="005A3125">
        <w:rPr>
          <w:rFonts w:asciiTheme="minorBidi" w:hAnsiTheme="minorBidi"/>
        </w:rPr>
        <w:t>Masters</w:t>
      </w:r>
      <w:proofErr w:type="spellEnd"/>
      <w:r w:rsidRPr="005A3125">
        <w:rPr>
          <w:rFonts w:asciiTheme="minorBidi" w:hAnsiTheme="minorBidi"/>
        </w:rPr>
        <w:t xml:space="preserve"> of Science in Public Health and Social Care in Practice</w:t>
      </w:r>
    </w:p>
    <w:p w14:paraId="2678540A" w14:textId="77777777" w:rsidR="009F64C5" w:rsidRPr="005A3125" w:rsidRDefault="009F64C5" w:rsidP="009F64C5">
      <w:pPr>
        <w:spacing w:after="156"/>
        <w:ind w:left="59"/>
        <w:rPr>
          <w:rFonts w:asciiTheme="minorBidi" w:hAnsiTheme="minorBidi"/>
        </w:rPr>
      </w:pPr>
    </w:p>
    <w:p w14:paraId="6B1630CF" w14:textId="77777777" w:rsidR="009F64C5" w:rsidRPr="005A3125" w:rsidRDefault="009F64C5" w:rsidP="009F64C5">
      <w:pPr>
        <w:spacing w:after="169"/>
        <w:jc w:val="center"/>
        <w:rPr>
          <w:rFonts w:asciiTheme="minorBidi" w:hAnsiTheme="minorBidi"/>
          <w:b/>
          <w:bCs/>
        </w:rPr>
      </w:pPr>
    </w:p>
    <w:p w14:paraId="48468714" w14:textId="77777777" w:rsidR="009F64C5" w:rsidRPr="005A3125" w:rsidRDefault="009F64C5" w:rsidP="009F64C5">
      <w:pPr>
        <w:spacing w:after="169"/>
        <w:jc w:val="center"/>
        <w:rPr>
          <w:rFonts w:asciiTheme="minorBidi" w:hAnsiTheme="minorBidi"/>
          <w:b/>
          <w:bCs/>
        </w:rPr>
      </w:pPr>
    </w:p>
    <w:p w14:paraId="7C5AA9DE" w14:textId="3566044E" w:rsidR="009F64C5" w:rsidRPr="005A3125" w:rsidRDefault="34630932" w:rsidP="009F64C5">
      <w:pPr>
        <w:spacing w:after="169"/>
        <w:jc w:val="center"/>
        <w:rPr>
          <w:rFonts w:asciiTheme="minorBidi" w:hAnsiTheme="minorBidi"/>
          <w:b/>
          <w:bCs/>
        </w:rPr>
      </w:pPr>
      <w:r w:rsidRPr="005A3125">
        <w:rPr>
          <w:rFonts w:asciiTheme="minorBidi" w:hAnsiTheme="minorBidi"/>
          <w:b/>
          <w:bCs/>
        </w:rPr>
        <w:t>T</w:t>
      </w:r>
      <w:r w:rsidR="009F64C5" w:rsidRPr="005A3125">
        <w:rPr>
          <w:rFonts w:asciiTheme="minorBidi" w:hAnsiTheme="minorBidi"/>
          <w:b/>
          <w:bCs/>
        </w:rPr>
        <w:t>he Institute of Inner</w:t>
      </w:r>
      <w:r w:rsidR="4EFAA9D8" w:rsidRPr="005A3125">
        <w:rPr>
          <w:rFonts w:asciiTheme="minorBidi" w:hAnsiTheme="minorBidi"/>
          <w:b/>
          <w:bCs/>
        </w:rPr>
        <w:t>-</w:t>
      </w:r>
      <w:r w:rsidR="009F64C5" w:rsidRPr="005A3125">
        <w:rPr>
          <w:rFonts w:asciiTheme="minorBidi" w:hAnsiTheme="minorBidi"/>
          <w:b/>
          <w:bCs/>
        </w:rPr>
        <w:t>City Learning</w:t>
      </w:r>
    </w:p>
    <w:p w14:paraId="0A089F1E" w14:textId="7EF44560" w:rsidR="009F64C5" w:rsidRPr="005A3125" w:rsidRDefault="009F64C5" w:rsidP="009F64C5">
      <w:pPr>
        <w:spacing w:after="169"/>
        <w:jc w:val="center"/>
        <w:rPr>
          <w:rFonts w:asciiTheme="minorBidi" w:hAnsiTheme="minorBidi"/>
          <w:b/>
          <w:bCs/>
        </w:rPr>
      </w:pPr>
      <w:r w:rsidRPr="005A3125">
        <w:rPr>
          <w:rFonts w:asciiTheme="minorBidi" w:hAnsiTheme="minorBidi"/>
          <w:b/>
          <w:bCs/>
        </w:rPr>
        <w:t>University of Wales Trinity Saint David – London Campus</w:t>
      </w:r>
    </w:p>
    <w:p w14:paraId="4C4866B4" w14:textId="77777777" w:rsidR="009F64C5" w:rsidRPr="005A3125" w:rsidRDefault="009F64C5">
      <w:pPr>
        <w:spacing w:after="157"/>
        <w:ind w:left="2367" w:right="2357"/>
        <w:jc w:val="center"/>
        <w:rPr>
          <w:rFonts w:asciiTheme="minorBidi" w:hAnsiTheme="minorBidi"/>
          <w:b/>
          <w:bCs/>
        </w:rPr>
      </w:pPr>
    </w:p>
    <w:p w14:paraId="52A3D603" w14:textId="77777777" w:rsidR="009F64C5" w:rsidRPr="005A3125" w:rsidRDefault="009F64C5">
      <w:pPr>
        <w:spacing w:after="157"/>
        <w:ind w:left="2367" w:right="2357"/>
        <w:jc w:val="center"/>
        <w:rPr>
          <w:rFonts w:asciiTheme="minorBidi" w:hAnsiTheme="minorBidi"/>
          <w:b/>
          <w:bCs/>
        </w:rPr>
      </w:pPr>
    </w:p>
    <w:p w14:paraId="5D8C4E6F" w14:textId="46201054" w:rsidR="00113366" w:rsidRPr="005A3125" w:rsidRDefault="009F64C5">
      <w:pPr>
        <w:spacing w:after="157"/>
        <w:ind w:left="2367" w:right="2357"/>
        <w:jc w:val="center"/>
        <w:rPr>
          <w:rFonts w:asciiTheme="minorBidi" w:hAnsiTheme="minorBidi"/>
          <w:b/>
          <w:bCs/>
        </w:rPr>
      </w:pPr>
      <w:r w:rsidRPr="005A3125">
        <w:rPr>
          <w:rFonts w:asciiTheme="minorBidi" w:hAnsiTheme="minorBidi"/>
          <w:b/>
          <w:bCs/>
        </w:rPr>
        <w:t>[</w:t>
      </w:r>
      <w:r w:rsidR="005A3125">
        <w:rPr>
          <w:rFonts w:asciiTheme="minorBidi" w:hAnsiTheme="minorBidi"/>
          <w:b/>
          <w:bCs/>
        </w:rPr>
        <w:t xml:space="preserve">15 </w:t>
      </w:r>
      <w:r w:rsidR="006F7CFC" w:rsidRPr="005A3125">
        <w:rPr>
          <w:rFonts w:asciiTheme="minorBidi" w:hAnsiTheme="minorBidi"/>
          <w:b/>
          <w:bCs/>
        </w:rPr>
        <w:t>June 2026</w:t>
      </w:r>
      <w:r w:rsidRPr="005A3125">
        <w:rPr>
          <w:rFonts w:asciiTheme="minorBidi" w:hAnsiTheme="minorBidi"/>
          <w:b/>
          <w:bCs/>
        </w:rPr>
        <w:t xml:space="preserve">] </w:t>
      </w:r>
    </w:p>
    <w:p w14:paraId="46C7FCCD" w14:textId="77777777" w:rsidR="00113366" w:rsidRPr="005A3125" w:rsidRDefault="00113366">
      <w:pPr>
        <w:rPr>
          <w:rFonts w:asciiTheme="minorBidi" w:hAnsiTheme="minorBidi"/>
          <w:b/>
          <w:bCs/>
        </w:rPr>
      </w:pPr>
      <w:r w:rsidRPr="005A3125">
        <w:rPr>
          <w:rFonts w:asciiTheme="minorBidi" w:hAnsiTheme="minorBidi"/>
          <w:b/>
          <w:bCs/>
        </w:rPr>
        <w:br w:type="page"/>
      </w:r>
    </w:p>
    <w:p w14:paraId="013A249C" w14:textId="77777777" w:rsidR="00113366" w:rsidRPr="005A3125" w:rsidRDefault="00113366" w:rsidP="00113366">
      <w:pPr>
        <w:spacing w:after="200" w:line="276" w:lineRule="auto"/>
        <w:rPr>
          <w:rFonts w:asciiTheme="minorBidi" w:eastAsia="Times New Roman" w:hAnsiTheme="minorBidi"/>
          <w:b/>
          <w:bCs/>
          <w:color w:val="000000" w:themeColor="text1"/>
          <w:lang w:val="hr-HR"/>
        </w:rPr>
      </w:pPr>
      <w:r w:rsidRPr="005A3125">
        <w:rPr>
          <w:rFonts w:asciiTheme="minorBidi" w:eastAsia="Times New Roman" w:hAnsiTheme="minorBidi"/>
          <w:b/>
          <w:bCs/>
          <w:color w:val="000000" w:themeColor="text1"/>
          <w:lang w:val="hr-HR"/>
        </w:rPr>
        <w:lastRenderedPageBreak/>
        <w:t>DECLARATION</w:t>
      </w:r>
    </w:p>
    <w:p w14:paraId="2E9B29DF" w14:textId="77777777" w:rsidR="00113366" w:rsidRPr="005A3125" w:rsidRDefault="00113366" w:rsidP="00113366">
      <w:pPr>
        <w:spacing w:after="200" w:line="276" w:lineRule="auto"/>
        <w:rPr>
          <w:rFonts w:asciiTheme="minorBidi" w:eastAsia="Times New Roman" w:hAnsiTheme="minorBidi"/>
          <w:color w:val="000000" w:themeColor="text1"/>
          <w:lang w:val="hr-HR"/>
        </w:rPr>
      </w:pPr>
    </w:p>
    <w:p w14:paraId="46A549CB" w14:textId="1C2523DB" w:rsidR="00113366" w:rsidRPr="005A3125" w:rsidRDefault="00113366" w:rsidP="00BA755E">
      <w:pPr>
        <w:rPr>
          <w:rFonts w:asciiTheme="minorBidi" w:hAnsiTheme="minorBidi"/>
        </w:rPr>
      </w:pPr>
      <w:r w:rsidRPr="005A3125">
        <w:rPr>
          <w:rFonts w:asciiTheme="minorBidi" w:hAnsiTheme="minorBidi"/>
          <w:noProof/>
          <w:lang w:val="en-IN" w:eastAsia="en-IN"/>
        </w:rPr>
        <mc:AlternateContent>
          <mc:Choice Requires="wpi">
            <w:drawing>
              <wp:anchor distT="0" distB="0" distL="114300" distR="114300" simplePos="0" relativeHeight="251658240" behindDoc="0" locked="0" layoutInCell="1" allowOverlap="1" wp14:anchorId="516997D9" wp14:editId="5AF351F2">
                <wp:simplePos x="0" y="0"/>
                <wp:positionH relativeFrom="column">
                  <wp:posOffset>-1623695</wp:posOffset>
                </wp:positionH>
                <wp:positionV relativeFrom="paragraph">
                  <wp:posOffset>235585</wp:posOffset>
                </wp:positionV>
                <wp:extent cx="18415" cy="18415"/>
                <wp:effectExtent l="62230" t="65405" r="52705" b="59055"/>
                <wp:wrapNone/>
                <wp:docPr id="1585084435" name="Ink 16"/>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9">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type w14:anchorId="475FDC5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6" o:spid="_x0000_s1026" type="#_x0000_t75" style="position:absolute;margin-left:-60873680.1pt;margin-top:-60873533.7pt;width:60873553.7pt;height:60873553.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">
                <v:imagedata r:id="rId10" o:title=""/>
                <o:lock v:ext="edit" rotation="t" verticies="t" shapetype="t"/>
              </v:shape>
            </w:pict>
          </mc:Fallback>
        </mc:AlternateContent>
      </w:r>
      <w:r w:rsidRPr="005A3125">
        <w:rPr>
          <w:rFonts w:asciiTheme="minorBidi" w:hAnsiTheme="minorBidi"/>
          <w:noProof/>
          <w:lang w:val="en-IN" w:eastAsia="en-IN"/>
        </w:rPr>
        <mc:AlternateContent>
          <mc:Choice Requires="wpi">
            <w:drawing>
              <wp:anchor distT="0" distB="0" distL="114300" distR="114300" simplePos="0" relativeHeight="251658241" behindDoc="0" locked="0" layoutInCell="1" allowOverlap="1" wp14:anchorId="439BA341" wp14:editId="44D2D57F">
                <wp:simplePos x="0" y="0"/>
                <wp:positionH relativeFrom="column">
                  <wp:posOffset>-1623695</wp:posOffset>
                </wp:positionH>
                <wp:positionV relativeFrom="paragraph">
                  <wp:posOffset>241935</wp:posOffset>
                </wp:positionV>
                <wp:extent cx="18415" cy="23495"/>
                <wp:effectExtent l="62230" t="62230" r="52705" b="47625"/>
                <wp:wrapNone/>
                <wp:docPr id="1665893575" name="Ink 15"/>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1">
                      <w14:nvContentPartPr>
                        <w14:cNvContentPartPr>
                          <a14:cpLocks xmlns:a14="http://schemas.microsoft.com/office/drawing/2010/main" noRot="1" noChangeAspect="1" noEditPoints="1" noChangeArrowheads="1" noChangeShapeType="1"/>
                        </w14:cNvContentPartPr>
                      </w14:nvContentPartPr>
                      <w14:xfrm>
                        <a:off x="0" y="0"/>
                        <a:ext cx="18415" cy="23495"/>
                      </w14:xfrm>
                    </w14:contentPart>
                  </a:graphicData>
                </a:graphic>
                <wp14:sizeRelH relativeFrom="page">
                  <wp14:pctWidth>0</wp14:pctWidth>
                </wp14:sizeRelH>
                <wp14:sizeRelV relativeFrom="page">
                  <wp14:pctHeight>0</wp14:pctHeight>
                </wp14:sizeRelV>
              </wp:anchor>
            </w:drawing>
          </mc:Choice>
          <mc:Fallback>
            <w:pict>
              <v:shape w14:anchorId="20C74D26" id="Ink 15" o:spid="_x0000_s1026" type="#_x0000_t75" style="position:absolute;margin-left:-60873680.1pt;margin-top:-60873533.2pt;width:60873553.7pt;height:60873554.1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">
                <v:imagedata r:id="rId10" o:title=""/>
                <o:lock v:ext="edit" rotation="t" verticies="t" shapetype="t"/>
              </v:shape>
            </w:pict>
          </mc:Fallback>
        </mc:AlternateContent>
      </w:r>
      <w:r w:rsidRPr="005A3125">
        <w:rPr>
          <w:rFonts w:asciiTheme="minorBidi" w:hAnsiTheme="minorBidi"/>
          <w:noProof/>
          <w:lang w:val="en-IN" w:eastAsia="en-IN"/>
        </w:rPr>
        <mc:AlternateContent>
          <mc:Choice Requires="wpi">
            <w:drawing>
              <wp:anchor distT="0" distB="0" distL="114300" distR="114300" simplePos="0" relativeHeight="251658242" behindDoc="0" locked="0" layoutInCell="1" allowOverlap="1" wp14:anchorId="67553DA7" wp14:editId="4C2B2BAD">
                <wp:simplePos x="0" y="0"/>
                <wp:positionH relativeFrom="column">
                  <wp:posOffset>-1623695</wp:posOffset>
                </wp:positionH>
                <wp:positionV relativeFrom="paragraph">
                  <wp:posOffset>245745</wp:posOffset>
                </wp:positionV>
                <wp:extent cx="18415" cy="18415"/>
                <wp:effectExtent l="62230" t="66040" r="52705" b="58420"/>
                <wp:wrapNone/>
                <wp:docPr id="292278982" name="Ink 14"/>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2">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 w14:anchorId="1F19B9A5" id="Ink 14" o:spid="_x0000_s1026" type="#_x0000_t75" style="position:absolute;margin-left:-60873680.1pt;margin-top:-60873532.9pt;width:60873553.7pt;height:60873553.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">
                <v:imagedata r:id="rId10" o:title=""/>
                <o:lock v:ext="edit" rotation="t" verticies="t" shapetype="t"/>
              </v:shape>
            </w:pict>
          </mc:Fallback>
        </mc:AlternateContent>
      </w:r>
      <w:r w:rsidRPr="005A3125">
        <w:rPr>
          <w:rFonts w:asciiTheme="minorBidi" w:hAnsiTheme="minorBidi"/>
          <w:noProof/>
          <w:lang w:val="en-IN" w:eastAsia="en-IN"/>
        </w:rPr>
        <mc:AlternateContent>
          <mc:Choice Requires="wpi">
            <w:drawing>
              <wp:anchor distT="0" distB="0" distL="114300" distR="114300" simplePos="0" relativeHeight="251658243" behindDoc="0" locked="0" layoutInCell="1" allowOverlap="1" wp14:anchorId="2F3756ED" wp14:editId="790E9C15">
                <wp:simplePos x="0" y="0"/>
                <wp:positionH relativeFrom="column">
                  <wp:posOffset>-1935480</wp:posOffset>
                </wp:positionH>
                <wp:positionV relativeFrom="paragraph">
                  <wp:posOffset>243840</wp:posOffset>
                </wp:positionV>
                <wp:extent cx="18415" cy="18415"/>
                <wp:effectExtent l="64770" t="63500" r="50165" b="51435"/>
                <wp:wrapNone/>
                <wp:docPr id="968857555" name="Ink 11"/>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3">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 w14:anchorId="03274104" id="Ink 11" o:spid="_x0000_s1026" type="#_x0000_t75" style="position:absolute;margin-left:-60873704.65pt;margin-top:-60873533.05pt;width:60873553.7pt;height:60873553.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">
                <v:imagedata r:id="rId10" o:title=""/>
                <o:lock v:ext="edit" rotation="t" verticies="t" shapetype="t"/>
              </v:shape>
            </w:pict>
          </mc:Fallback>
        </mc:AlternateContent>
      </w:r>
      <w:r w:rsidR="00BA755E" w:rsidRPr="005A3125">
        <w:rPr>
          <w:rFonts w:asciiTheme="minorBidi" w:eastAsia="Times New Roman" w:hAnsiTheme="minorBidi"/>
          <w:color w:val="000000" w:themeColor="text1"/>
          <w:lang w:val="hr-HR"/>
        </w:rPr>
        <w:t xml:space="preserve">I, </w:t>
      </w:r>
      <w:r w:rsidR="00BA755E" w:rsidRPr="005A3125">
        <w:rPr>
          <w:rFonts w:asciiTheme="minorBidi" w:hAnsiTheme="minorBidi"/>
        </w:rPr>
        <w:t xml:space="preserve">Iqdad Mahamud Ali </w:t>
      </w:r>
      <w:proofErr w:type="spellStart"/>
      <w:r w:rsidR="008A73BC" w:rsidRPr="005A3125">
        <w:rPr>
          <w:rFonts w:asciiTheme="minorBidi" w:eastAsia="Times New Roman" w:hAnsiTheme="minorBidi"/>
          <w:color w:val="000000" w:themeColor="text1"/>
          <w:lang w:val="hr-HR"/>
        </w:rPr>
        <w:t>declare</w:t>
      </w:r>
      <w:proofErr w:type="spellEnd"/>
      <w:r w:rsidR="008A73BC" w:rsidRPr="005A3125">
        <w:rPr>
          <w:rFonts w:asciiTheme="minorBidi" w:eastAsia="Times New Roman" w:hAnsiTheme="minorBidi"/>
          <w:color w:val="000000" w:themeColor="text1"/>
          <w:lang w:val="hr-HR"/>
        </w:rPr>
        <w:t xml:space="preserve"> </w:t>
      </w:r>
      <w:proofErr w:type="spellStart"/>
      <w:r w:rsidR="008A73BC" w:rsidRPr="005A3125">
        <w:rPr>
          <w:rFonts w:asciiTheme="minorBidi" w:eastAsia="Times New Roman" w:hAnsiTheme="minorBidi"/>
          <w:color w:val="000000" w:themeColor="text1"/>
          <w:lang w:val="hr-HR"/>
        </w:rPr>
        <w:t>that</w:t>
      </w:r>
      <w:proofErr w:type="spellEnd"/>
      <w:r w:rsidR="008A73BC" w:rsidRPr="005A3125">
        <w:rPr>
          <w:rFonts w:asciiTheme="minorBidi" w:eastAsia="Times New Roman" w:hAnsiTheme="minorBidi"/>
          <w:color w:val="000000" w:themeColor="text1"/>
          <w:lang w:val="hr-HR"/>
        </w:rPr>
        <w:t xml:space="preserve"> </w:t>
      </w:r>
      <w:proofErr w:type="spellStart"/>
      <w:r w:rsidR="008A73BC" w:rsidRPr="005A3125">
        <w:rPr>
          <w:rFonts w:asciiTheme="minorBidi" w:eastAsia="Times New Roman" w:hAnsiTheme="minorBidi"/>
          <w:color w:val="000000" w:themeColor="text1"/>
          <w:lang w:val="hr-HR"/>
        </w:rPr>
        <w:t>this</w:t>
      </w:r>
      <w:proofErr w:type="spellEnd"/>
      <w:r w:rsidR="008A73BC" w:rsidRPr="005A3125">
        <w:rPr>
          <w:rFonts w:asciiTheme="minorBidi" w:eastAsia="Times New Roman" w:hAnsiTheme="minorBidi"/>
          <w:color w:val="000000" w:themeColor="text1"/>
          <w:lang w:val="hr-HR"/>
        </w:rPr>
        <w:t xml:space="preserve"> </w:t>
      </w:r>
      <w:proofErr w:type="spellStart"/>
      <w:r w:rsidR="008A73BC" w:rsidRPr="005A3125">
        <w:rPr>
          <w:rFonts w:asciiTheme="minorBidi" w:eastAsia="Times New Roman" w:hAnsiTheme="minorBidi"/>
          <w:color w:val="000000" w:themeColor="text1"/>
          <w:lang w:val="hr-HR"/>
        </w:rPr>
        <w:t>dissertation</w:t>
      </w:r>
      <w:proofErr w:type="spellEnd"/>
      <w:r w:rsidR="008A73BC" w:rsidRPr="005A3125">
        <w:rPr>
          <w:rFonts w:asciiTheme="minorBidi" w:eastAsia="Times New Roman" w:hAnsiTheme="minorBidi"/>
          <w:color w:val="000000" w:themeColor="text1"/>
          <w:lang w:val="hr-HR"/>
        </w:rPr>
        <w:t xml:space="preserve"> </w:t>
      </w:r>
      <w:proofErr w:type="spellStart"/>
      <w:r w:rsidR="008A73BC" w:rsidRPr="005A3125">
        <w:rPr>
          <w:rFonts w:asciiTheme="minorBidi" w:eastAsia="Times New Roman" w:hAnsiTheme="minorBidi"/>
          <w:color w:val="000000" w:themeColor="text1"/>
          <w:lang w:val="hr-HR"/>
        </w:rPr>
        <w:t>has</w:t>
      </w:r>
      <w:proofErr w:type="spellEnd"/>
      <w:r w:rsidR="008A73BC" w:rsidRPr="005A3125">
        <w:rPr>
          <w:rFonts w:asciiTheme="minorBidi" w:eastAsia="Times New Roman" w:hAnsiTheme="minorBidi"/>
          <w:color w:val="000000" w:themeColor="text1"/>
          <w:lang w:val="hr-HR"/>
        </w:rPr>
        <w:t xml:space="preserve"> </w:t>
      </w:r>
      <w:proofErr w:type="spellStart"/>
      <w:r w:rsidR="008A73BC" w:rsidRPr="005A3125">
        <w:rPr>
          <w:rFonts w:asciiTheme="minorBidi" w:eastAsia="Times New Roman" w:hAnsiTheme="minorBidi"/>
          <w:color w:val="000000" w:themeColor="text1"/>
          <w:lang w:val="hr-HR"/>
        </w:rPr>
        <w:t>been</w:t>
      </w:r>
      <w:proofErr w:type="spellEnd"/>
      <w:r w:rsidR="008A73BC" w:rsidRPr="005A3125">
        <w:rPr>
          <w:rFonts w:asciiTheme="minorBidi" w:eastAsia="Times New Roman" w:hAnsiTheme="minorBidi"/>
          <w:color w:val="000000" w:themeColor="text1"/>
          <w:lang w:val="hr-HR"/>
        </w:rPr>
        <w:t xml:space="preserve"> </w:t>
      </w:r>
      <w:proofErr w:type="spellStart"/>
      <w:r w:rsidR="008A73BC" w:rsidRPr="005A3125">
        <w:rPr>
          <w:rFonts w:asciiTheme="minorBidi" w:eastAsia="Times New Roman" w:hAnsiTheme="minorBidi"/>
          <w:color w:val="000000" w:themeColor="text1"/>
          <w:lang w:val="hr-HR"/>
        </w:rPr>
        <w:t>composed</w:t>
      </w:r>
      <w:proofErr w:type="spellEnd"/>
      <w:r w:rsidR="008A73BC" w:rsidRPr="005A3125">
        <w:rPr>
          <w:rFonts w:asciiTheme="minorBidi" w:eastAsia="Times New Roman" w:hAnsiTheme="minorBidi"/>
          <w:color w:val="000000" w:themeColor="text1"/>
          <w:lang w:val="hr-HR"/>
        </w:rPr>
        <w:t xml:space="preserve"> </w:t>
      </w:r>
      <w:proofErr w:type="spellStart"/>
      <w:r w:rsidR="008A73BC" w:rsidRPr="005A3125">
        <w:rPr>
          <w:rFonts w:asciiTheme="minorBidi" w:eastAsia="Times New Roman" w:hAnsiTheme="minorBidi"/>
          <w:color w:val="000000" w:themeColor="text1"/>
          <w:lang w:val="hr-HR"/>
        </w:rPr>
        <w:t>by</w:t>
      </w:r>
      <w:proofErr w:type="spellEnd"/>
      <w:r w:rsidR="008A73BC" w:rsidRPr="005A3125">
        <w:rPr>
          <w:rFonts w:asciiTheme="minorBidi" w:eastAsia="Times New Roman" w:hAnsiTheme="minorBidi"/>
          <w:color w:val="000000" w:themeColor="text1"/>
          <w:lang w:val="hr-HR"/>
        </w:rPr>
        <w:t xml:space="preserve"> </w:t>
      </w:r>
      <w:proofErr w:type="spellStart"/>
      <w:r w:rsidR="008A73BC" w:rsidRPr="005A3125">
        <w:rPr>
          <w:rFonts w:asciiTheme="minorBidi" w:eastAsia="Times New Roman" w:hAnsiTheme="minorBidi"/>
          <w:color w:val="000000" w:themeColor="text1"/>
          <w:lang w:val="hr-HR"/>
        </w:rPr>
        <w:t>myself</w:t>
      </w:r>
      <w:proofErr w:type="spellEnd"/>
      <w:r w:rsidR="008A73BC" w:rsidRPr="005A3125">
        <w:rPr>
          <w:rFonts w:asciiTheme="minorBidi" w:eastAsia="Times New Roman" w:hAnsiTheme="minorBidi"/>
          <w:color w:val="000000" w:themeColor="text1"/>
          <w:lang w:val="hr-HR"/>
        </w:rPr>
        <w:t xml:space="preserve">, </w:t>
      </w:r>
      <w:proofErr w:type="spellStart"/>
      <w:r w:rsidR="008A73BC" w:rsidRPr="005A3125">
        <w:rPr>
          <w:rFonts w:asciiTheme="minorBidi" w:eastAsia="Times New Roman" w:hAnsiTheme="minorBidi"/>
          <w:color w:val="000000" w:themeColor="text1"/>
          <w:lang w:val="hr-HR"/>
        </w:rPr>
        <w:t>that</w:t>
      </w:r>
      <w:proofErr w:type="spellEnd"/>
      <w:r w:rsidR="008A73BC" w:rsidRPr="005A3125">
        <w:rPr>
          <w:rFonts w:asciiTheme="minorBidi" w:eastAsia="Times New Roman" w:hAnsiTheme="minorBidi"/>
          <w:color w:val="000000" w:themeColor="text1"/>
          <w:lang w:val="hr-HR"/>
        </w:rPr>
        <w:t xml:space="preserve"> </w:t>
      </w:r>
      <w:proofErr w:type="spellStart"/>
      <w:r w:rsidR="008A73BC" w:rsidRPr="005A3125">
        <w:rPr>
          <w:rFonts w:asciiTheme="minorBidi" w:eastAsia="Times New Roman" w:hAnsiTheme="minorBidi"/>
          <w:color w:val="000000" w:themeColor="text1"/>
          <w:lang w:val="hr-HR"/>
        </w:rPr>
        <w:t>the</w:t>
      </w:r>
      <w:proofErr w:type="spellEnd"/>
      <w:r w:rsidR="008A73BC" w:rsidRPr="005A3125">
        <w:rPr>
          <w:rFonts w:asciiTheme="minorBidi" w:eastAsia="Times New Roman" w:hAnsiTheme="minorBidi"/>
          <w:color w:val="000000" w:themeColor="text1"/>
          <w:lang w:val="hr-HR"/>
        </w:rPr>
        <w:t xml:space="preserve"> </w:t>
      </w:r>
      <w:proofErr w:type="spellStart"/>
      <w:r w:rsidR="008A73BC" w:rsidRPr="005A3125">
        <w:rPr>
          <w:rFonts w:asciiTheme="minorBidi" w:eastAsia="Times New Roman" w:hAnsiTheme="minorBidi"/>
          <w:color w:val="000000" w:themeColor="text1"/>
          <w:lang w:val="hr-HR"/>
        </w:rPr>
        <w:t>work</w:t>
      </w:r>
      <w:proofErr w:type="spellEnd"/>
      <w:r w:rsidR="008A73BC" w:rsidRPr="005A3125">
        <w:rPr>
          <w:rFonts w:asciiTheme="minorBidi" w:eastAsia="Times New Roman" w:hAnsiTheme="minorBidi"/>
          <w:color w:val="000000" w:themeColor="text1"/>
          <w:lang w:val="hr-HR"/>
        </w:rPr>
        <w:t xml:space="preserve"> </w:t>
      </w:r>
      <w:proofErr w:type="spellStart"/>
      <w:r w:rsidR="008A73BC" w:rsidRPr="005A3125">
        <w:rPr>
          <w:rFonts w:asciiTheme="minorBidi" w:eastAsia="Times New Roman" w:hAnsiTheme="minorBidi"/>
          <w:color w:val="000000" w:themeColor="text1"/>
          <w:lang w:val="hr-HR"/>
        </w:rPr>
        <w:t>contained</w:t>
      </w:r>
      <w:proofErr w:type="spellEnd"/>
      <w:r w:rsidR="008A73BC" w:rsidRPr="005A3125">
        <w:rPr>
          <w:rFonts w:asciiTheme="minorBidi" w:eastAsia="Times New Roman" w:hAnsiTheme="minorBidi"/>
          <w:color w:val="000000" w:themeColor="text1"/>
          <w:lang w:val="hr-HR"/>
        </w:rPr>
        <w:t xml:space="preserve"> </w:t>
      </w:r>
      <w:proofErr w:type="spellStart"/>
      <w:r w:rsidR="008A73BC" w:rsidRPr="005A3125">
        <w:rPr>
          <w:rFonts w:asciiTheme="minorBidi" w:eastAsia="Times New Roman" w:hAnsiTheme="minorBidi"/>
          <w:color w:val="000000" w:themeColor="text1"/>
          <w:lang w:val="hr-HR"/>
        </w:rPr>
        <w:t>herein</w:t>
      </w:r>
      <w:proofErr w:type="spellEnd"/>
      <w:r w:rsidR="008A73BC" w:rsidRPr="005A3125">
        <w:rPr>
          <w:rFonts w:asciiTheme="minorBidi" w:eastAsia="Times New Roman" w:hAnsiTheme="minorBidi"/>
          <w:color w:val="000000" w:themeColor="text1"/>
          <w:lang w:val="hr-HR"/>
        </w:rPr>
        <w:t xml:space="preserve"> </w:t>
      </w:r>
      <w:proofErr w:type="spellStart"/>
      <w:r w:rsidR="008A73BC" w:rsidRPr="005A3125">
        <w:rPr>
          <w:rFonts w:asciiTheme="minorBidi" w:eastAsia="Times New Roman" w:hAnsiTheme="minorBidi"/>
          <w:color w:val="000000" w:themeColor="text1"/>
          <w:lang w:val="hr-HR"/>
        </w:rPr>
        <w:t>is</w:t>
      </w:r>
      <w:proofErr w:type="spellEnd"/>
      <w:r w:rsidR="008A73BC" w:rsidRPr="005A3125">
        <w:rPr>
          <w:rFonts w:asciiTheme="minorBidi" w:eastAsia="Times New Roman" w:hAnsiTheme="minorBidi"/>
          <w:color w:val="000000" w:themeColor="text1"/>
          <w:lang w:val="hr-HR"/>
        </w:rPr>
        <w:t xml:space="preserve"> </w:t>
      </w:r>
      <w:proofErr w:type="spellStart"/>
      <w:r w:rsidR="008A73BC" w:rsidRPr="005A3125">
        <w:rPr>
          <w:rFonts w:asciiTheme="minorBidi" w:eastAsia="Times New Roman" w:hAnsiTheme="minorBidi"/>
          <w:color w:val="000000" w:themeColor="text1"/>
          <w:lang w:val="hr-HR"/>
        </w:rPr>
        <w:t>entirely</w:t>
      </w:r>
      <w:proofErr w:type="spellEnd"/>
      <w:r w:rsidR="008A73BC" w:rsidRPr="005A3125">
        <w:rPr>
          <w:rFonts w:asciiTheme="minorBidi" w:eastAsia="Times New Roman" w:hAnsiTheme="minorBidi"/>
          <w:color w:val="000000" w:themeColor="text1"/>
          <w:lang w:val="hr-HR"/>
        </w:rPr>
        <w:t xml:space="preserve"> </w:t>
      </w:r>
      <w:proofErr w:type="spellStart"/>
      <w:r w:rsidR="008A73BC" w:rsidRPr="005A3125">
        <w:rPr>
          <w:rFonts w:asciiTheme="minorBidi" w:eastAsia="Times New Roman" w:hAnsiTheme="minorBidi"/>
          <w:color w:val="000000" w:themeColor="text1"/>
          <w:lang w:val="hr-HR"/>
        </w:rPr>
        <w:t>my</w:t>
      </w:r>
      <w:proofErr w:type="spellEnd"/>
      <w:r w:rsidR="008A73BC" w:rsidRPr="005A3125">
        <w:rPr>
          <w:rFonts w:asciiTheme="minorBidi" w:eastAsia="Times New Roman" w:hAnsiTheme="minorBidi"/>
          <w:color w:val="000000" w:themeColor="text1"/>
          <w:lang w:val="hr-HR"/>
        </w:rPr>
        <w:t xml:space="preserve"> </w:t>
      </w:r>
      <w:proofErr w:type="spellStart"/>
      <w:r w:rsidR="008A73BC" w:rsidRPr="005A3125">
        <w:rPr>
          <w:rFonts w:asciiTheme="minorBidi" w:eastAsia="Times New Roman" w:hAnsiTheme="minorBidi"/>
          <w:color w:val="000000" w:themeColor="text1"/>
          <w:lang w:val="hr-HR"/>
        </w:rPr>
        <w:t>own</w:t>
      </w:r>
      <w:proofErr w:type="spellEnd"/>
      <w:r w:rsidR="008A73BC" w:rsidRPr="005A3125">
        <w:rPr>
          <w:rFonts w:asciiTheme="minorBidi" w:eastAsia="Times New Roman" w:hAnsiTheme="minorBidi"/>
          <w:color w:val="000000" w:themeColor="text1"/>
          <w:lang w:val="hr-HR"/>
        </w:rPr>
        <w:t xml:space="preserve"> </w:t>
      </w:r>
      <w:proofErr w:type="spellStart"/>
      <w:r w:rsidR="008A73BC" w:rsidRPr="005A3125">
        <w:rPr>
          <w:rFonts w:asciiTheme="minorBidi" w:eastAsia="Times New Roman" w:hAnsiTheme="minorBidi"/>
          <w:color w:val="000000" w:themeColor="text1"/>
          <w:lang w:val="hr-HR"/>
        </w:rPr>
        <w:t>except</w:t>
      </w:r>
      <w:proofErr w:type="spellEnd"/>
      <w:r w:rsidR="008A73BC" w:rsidRPr="005A3125">
        <w:rPr>
          <w:rFonts w:asciiTheme="minorBidi" w:eastAsia="Times New Roman" w:hAnsiTheme="minorBidi"/>
          <w:color w:val="000000" w:themeColor="text1"/>
          <w:lang w:val="hr-HR"/>
        </w:rPr>
        <w:t xml:space="preserve"> </w:t>
      </w:r>
      <w:proofErr w:type="spellStart"/>
      <w:r w:rsidR="008A73BC" w:rsidRPr="005A3125">
        <w:rPr>
          <w:rFonts w:asciiTheme="minorBidi" w:eastAsia="Times New Roman" w:hAnsiTheme="minorBidi"/>
          <w:color w:val="000000" w:themeColor="text1"/>
          <w:lang w:val="hr-HR"/>
        </w:rPr>
        <w:t>where</w:t>
      </w:r>
      <w:proofErr w:type="spellEnd"/>
      <w:r w:rsidR="008A73BC" w:rsidRPr="005A3125">
        <w:rPr>
          <w:rFonts w:asciiTheme="minorBidi" w:eastAsia="Times New Roman" w:hAnsiTheme="minorBidi"/>
          <w:color w:val="000000" w:themeColor="text1"/>
          <w:lang w:val="hr-HR"/>
        </w:rPr>
        <w:t xml:space="preserve"> </w:t>
      </w:r>
      <w:proofErr w:type="spellStart"/>
      <w:r w:rsidR="008A73BC" w:rsidRPr="005A3125">
        <w:rPr>
          <w:rFonts w:asciiTheme="minorBidi" w:eastAsia="Times New Roman" w:hAnsiTheme="minorBidi"/>
          <w:color w:val="000000" w:themeColor="text1"/>
          <w:lang w:val="hr-HR"/>
        </w:rPr>
        <w:t>explicitly</w:t>
      </w:r>
      <w:proofErr w:type="spellEnd"/>
      <w:r w:rsidR="008A73BC" w:rsidRPr="005A3125">
        <w:rPr>
          <w:rFonts w:asciiTheme="minorBidi" w:eastAsia="Times New Roman" w:hAnsiTheme="minorBidi"/>
          <w:color w:val="000000" w:themeColor="text1"/>
          <w:lang w:val="hr-HR"/>
        </w:rPr>
        <w:t xml:space="preserve"> </w:t>
      </w:r>
      <w:proofErr w:type="spellStart"/>
      <w:r w:rsidR="008A73BC" w:rsidRPr="005A3125">
        <w:rPr>
          <w:rFonts w:asciiTheme="minorBidi" w:eastAsia="Times New Roman" w:hAnsiTheme="minorBidi"/>
          <w:color w:val="000000" w:themeColor="text1"/>
          <w:lang w:val="hr-HR"/>
        </w:rPr>
        <w:t>stated</w:t>
      </w:r>
      <w:proofErr w:type="spellEnd"/>
      <w:r w:rsidR="008A73BC" w:rsidRPr="005A3125">
        <w:rPr>
          <w:rFonts w:asciiTheme="minorBidi" w:eastAsia="Times New Roman" w:hAnsiTheme="minorBidi"/>
          <w:color w:val="000000" w:themeColor="text1"/>
          <w:lang w:val="hr-HR"/>
        </w:rPr>
        <w:t xml:space="preserve"> </w:t>
      </w:r>
      <w:proofErr w:type="spellStart"/>
      <w:r w:rsidR="008A73BC" w:rsidRPr="005A3125">
        <w:rPr>
          <w:rFonts w:asciiTheme="minorBidi" w:eastAsia="Times New Roman" w:hAnsiTheme="minorBidi"/>
          <w:color w:val="000000" w:themeColor="text1"/>
          <w:lang w:val="hr-HR"/>
        </w:rPr>
        <w:t>otherwise</w:t>
      </w:r>
      <w:proofErr w:type="spellEnd"/>
      <w:r w:rsidR="008A73BC" w:rsidRPr="005A3125">
        <w:rPr>
          <w:rFonts w:asciiTheme="minorBidi" w:eastAsia="Times New Roman" w:hAnsiTheme="minorBidi"/>
          <w:color w:val="000000" w:themeColor="text1"/>
          <w:lang w:val="hr-HR"/>
        </w:rPr>
        <w:t xml:space="preserve"> </w:t>
      </w:r>
      <w:proofErr w:type="spellStart"/>
      <w:r w:rsidR="008A73BC" w:rsidRPr="005A3125">
        <w:rPr>
          <w:rFonts w:asciiTheme="minorBidi" w:eastAsia="Times New Roman" w:hAnsiTheme="minorBidi"/>
          <w:color w:val="000000" w:themeColor="text1"/>
          <w:lang w:val="hr-HR"/>
        </w:rPr>
        <w:t>in</w:t>
      </w:r>
      <w:proofErr w:type="spellEnd"/>
      <w:r w:rsidR="008A73BC" w:rsidRPr="005A3125">
        <w:rPr>
          <w:rFonts w:asciiTheme="minorBidi" w:eastAsia="Times New Roman" w:hAnsiTheme="minorBidi"/>
          <w:color w:val="000000" w:themeColor="text1"/>
          <w:lang w:val="hr-HR"/>
        </w:rPr>
        <w:t xml:space="preserve"> </w:t>
      </w:r>
      <w:proofErr w:type="spellStart"/>
      <w:r w:rsidR="008A73BC" w:rsidRPr="005A3125">
        <w:rPr>
          <w:rFonts w:asciiTheme="minorBidi" w:eastAsia="Times New Roman" w:hAnsiTheme="minorBidi"/>
          <w:color w:val="000000" w:themeColor="text1"/>
          <w:lang w:val="hr-HR"/>
        </w:rPr>
        <w:t>the</w:t>
      </w:r>
      <w:proofErr w:type="spellEnd"/>
      <w:r w:rsidR="008A73BC" w:rsidRPr="005A3125">
        <w:rPr>
          <w:rFonts w:asciiTheme="minorBidi" w:eastAsia="Times New Roman" w:hAnsiTheme="minorBidi"/>
          <w:color w:val="000000" w:themeColor="text1"/>
          <w:lang w:val="hr-HR"/>
        </w:rPr>
        <w:t xml:space="preserve"> </w:t>
      </w:r>
      <w:proofErr w:type="spellStart"/>
      <w:r w:rsidR="008A73BC" w:rsidRPr="005A3125">
        <w:rPr>
          <w:rFonts w:asciiTheme="minorBidi" w:eastAsia="Times New Roman" w:hAnsiTheme="minorBidi"/>
          <w:color w:val="000000" w:themeColor="text1"/>
          <w:lang w:val="hr-HR"/>
        </w:rPr>
        <w:t>text</w:t>
      </w:r>
      <w:proofErr w:type="spellEnd"/>
      <w:r w:rsidR="008A73BC" w:rsidRPr="005A3125">
        <w:rPr>
          <w:rFonts w:asciiTheme="minorBidi" w:eastAsia="Times New Roman" w:hAnsiTheme="minorBidi"/>
          <w:color w:val="000000" w:themeColor="text1"/>
          <w:lang w:val="hr-HR"/>
        </w:rPr>
        <w:t xml:space="preserve">, </w:t>
      </w:r>
      <w:proofErr w:type="spellStart"/>
      <w:r w:rsidR="008A73BC" w:rsidRPr="005A3125">
        <w:rPr>
          <w:rFonts w:asciiTheme="minorBidi" w:eastAsia="Times New Roman" w:hAnsiTheme="minorBidi"/>
          <w:color w:val="000000" w:themeColor="text1"/>
          <w:lang w:val="hr-HR"/>
        </w:rPr>
        <w:t>and</w:t>
      </w:r>
      <w:proofErr w:type="spellEnd"/>
      <w:r w:rsidR="008A73BC" w:rsidRPr="005A3125">
        <w:rPr>
          <w:rFonts w:asciiTheme="minorBidi" w:eastAsia="Times New Roman" w:hAnsiTheme="minorBidi"/>
          <w:color w:val="000000" w:themeColor="text1"/>
          <w:lang w:val="hr-HR"/>
        </w:rPr>
        <w:t xml:space="preserve"> </w:t>
      </w:r>
      <w:proofErr w:type="spellStart"/>
      <w:r w:rsidR="008A73BC" w:rsidRPr="005A3125">
        <w:rPr>
          <w:rFonts w:asciiTheme="minorBidi" w:eastAsia="Times New Roman" w:hAnsiTheme="minorBidi"/>
          <w:color w:val="000000" w:themeColor="text1"/>
          <w:lang w:val="hr-HR"/>
        </w:rPr>
        <w:t>that</w:t>
      </w:r>
      <w:proofErr w:type="spellEnd"/>
      <w:r w:rsidR="008A73BC" w:rsidRPr="005A3125">
        <w:rPr>
          <w:rFonts w:asciiTheme="minorBidi" w:eastAsia="Times New Roman" w:hAnsiTheme="minorBidi"/>
          <w:color w:val="000000" w:themeColor="text1"/>
          <w:lang w:val="hr-HR"/>
        </w:rPr>
        <w:t xml:space="preserve"> </w:t>
      </w:r>
      <w:proofErr w:type="spellStart"/>
      <w:r w:rsidR="008A73BC" w:rsidRPr="005A3125">
        <w:rPr>
          <w:rFonts w:asciiTheme="minorBidi" w:eastAsia="Times New Roman" w:hAnsiTheme="minorBidi"/>
          <w:color w:val="000000" w:themeColor="text1"/>
          <w:lang w:val="hr-HR"/>
        </w:rPr>
        <w:t>this</w:t>
      </w:r>
      <w:proofErr w:type="spellEnd"/>
      <w:r w:rsidR="008A73BC" w:rsidRPr="005A3125">
        <w:rPr>
          <w:rFonts w:asciiTheme="minorBidi" w:eastAsia="Times New Roman" w:hAnsiTheme="minorBidi"/>
          <w:color w:val="000000" w:themeColor="text1"/>
          <w:lang w:val="hr-HR"/>
        </w:rPr>
        <w:t xml:space="preserve"> </w:t>
      </w:r>
      <w:proofErr w:type="spellStart"/>
      <w:r w:rsidR="008A73BC" w:rsidRPr="005A3125">
        <w:rPr>
          <w:rFonts w:asciiTheme="minorBidi" w:eastAsia="Times New Roman" w:hAnsiTheme="minorBidi"/>
          <w:color w:val="000000" w:themeColor="text1"/>
          <w:lang w:val="hr-HR"/>
        </w:rPr>
        <w:t>work</w:t>
      </w:r>
      <w:proofErr w:type="spellEnd"/>
      <w:r w:rsidR="008A73BC" w:rsidRPr="005A3125">
        <w:rPr>
          <w:rFonts w:asciiTheme="minorBidi" w:eastAsia="Times New Roman" w:hAnsiTheme="minorBidi"/>
          <w:color w:val="000000" w:themeColor="text1"/>
          <w:lang w:val="hr-HR"/>
        </w:rPr>
        <w:t xml:space="preserve"> </w:t>
      </w:r>
      <w:proofErr w:type="spellStart"/>
      <w:r w:rsidR="008A73BC" w:rsidRPr="005A3125">
        <w:rPr>
          <w:rFonts w:asciiTheme="minorBidi" w:eastAsia="Times New Roman" w:hAnsiTheme="minorBidi"/>
          <w:color w:val="000000" w:themeColor="text1"/>
          <w:lang w:val="hr-HR"/>
        </w:rPr>
        <w:t>has</w:t>
      </w:r>
      <w:proofErr w:type="spellEnd"/>
      <w:r w:rsidR="008A73BC" w:rsidRPr="005A3125">
        <w:rPr>
          <w:rFonts w:asciiTheme="minorBidi" w:eastAsia="Times New Roman" w:hAnsiTheme="minorBidi"/>
          <w:color w:val="000000" w:themeColor="text1"/>
          <w:lang w:val="hr-HR"/>
        </w:rPr>
        <w:t xml:space="preserve"> </w:t>
      </w:r>
      <w:proofErr w:type="spellStart"/>
      <w:r w:rsidR="008A73BC" w:rsidRPr="005A3125">
        <w:rPr>
          <w:rFonts w:asciiTheme="minorBidi" w:eastAsia="Times New Roman" w:hAnsiTheme="minorBidi"/>
          <w:color w:val="000000" w:themeColor="text1"/>
          <w:lang w:val="hr-HR"/>
        </w:rPr>
        <w:t>not</w:t>
      </w:r>
      <w:proofErr w:type="spellEnd"/>
      <w:r w:rsidR="008A73BC" w:rsidRPr="005A3125">
        <w:rPr>
          <w:rFonts w:asciiTheme="minorBidi" w:eastAsia="Times New Roman" w:hAnsiTheme="minorBidi"/>
          <w:color w:val="000000" w:themeColor="text1"/>
          <w:lang w:val="hr-HR"/>
        </w:rPr>
        <w:t xml:space="preserve"> </w:t>
      </w:r>
      <w:proofErr w:type="spellStart"/>
      <w:r w:rsidR="008A73BC" w:rsidRPr="005A3125">
        <w:rPr>
          <w:rFonts w:asciiTheme="minorBidi" w:eastAsia="Times New Roman" w:hAnsiTheme="minorBidi"/>
          <w:color w:val="000000" w:themeColor="text1"/>
          <w:lang w:val="hr-HR"/>
        </w:rPr>
        <w:t>been</w:t>
      </w:r>
      <w:proofErr w:type="spellEnd"/>
      <w:r w:rsidR="008A73BC" w:rsidRPr="005A3125">
        <w:rPr>
          <w:rFonts w:asciiTheme="minorBidi" w:eastAsia="Times New Roman" w:hAnsiTheme="minorBidi"/>
          <w:color w:val="000000" w:themeColor="text1"/>
          <w:lang w:val="hr-HR"/>
        </w:rPr>
        <w:t xml:space="preserve"> </w:t>
      </w:r>
      <w:proofErr w:type="spellStart"/>
      <w:r w:rsidR="008A73BC" w:rsidRPr="005A3125">
        <w:rPr>
          <w:rFonts w:asciiTheme="minorBidi" w:eastAsia="Times New Roman" w:hAnsiTheme="minorBidi"/>
          <w:color w:val="000000" w:themeColor="text1"/>
          <w:lang w:val="hr-HR"/>
        </w:rPr>
        <w:t>submitted</w:t>
      </w:r>
      <w:proofErr w:type="spellEnd"/>
      <w:r w:rsidR="008A73BC" w:rsidRPr="005A3125">
        <w:rPr>
          <w:rFonts w:asciiTheme="minorBidi" w:eastAsia="Times New Roman" w:hAnsiTheme="minorBidi"/>
          <w:color w:val="000000" w:themeColor="text1"/>
          <w:lang w:val="hr-HR"/>
        </w:rPr>
        <w:t xml:space="preserve"> for </w:t>
      </w:r>
      <w:proofErr w:type="spellStart"/>
      <w:r w:rsidR="008A73BC" w:rsidRPr="005A3125">
        <w:rPr>
          <w:rFonts w:asciiTheme="minorBidi" w:eastAsia="Times New Roman" w:hAnsiTheme="minorBidi"/>
          <w:color w:val="000000" w:themeColor="text1"/>
          <w:lang w:val="hr-HR"/>
        </w:rPr>
        <w:t>any</w:t>
      </w:r>
      <w:proofErr w:type="spellEnd"/>
      <w:r w:rsidR="008A73BC" w:rsidRPr="005A3125">
        <w:rPr>
          <w:rFonts w:asciiTheme="minorBidi" w:eastAsia="Times New Roman" w:hAnsiTheme="minorBidi"/>
          <w:color w:val="000000" w:themeColor="text1"/>
          <w:lang w:val="hr-HR"/>
        </w:rPr>
        <w:t xml:space="preserve"> </w:t>
      </w:r>
      <w:proofErr w:type="spellStart"/>
      <w:r w:rsidR="008A73BC" w:rsidRPr="005A3125">
        <w:rPr>
          <w:rFonts w:asciiTheme="minorBidi" w:eastAsia="Times New Roman" w:hAnsiTheme="minorBidi"/>
          <w:color w:val="000000" w:themeColor="text1"/>
          <w:lang w:val="hr-HR"/>
        </w:rPr>
        <w:t>other</w:t>
      </w:r>
      <w:proofErr w:type="spellEnd"/>
      <w:r w:rsidR="008A73BC" w:rsidRPr="005A3125">
        <w:rPr>
          <w:rFonts w:asciiTheme="minorBidi" w:eastAsia="Times New Roman" w:hAnsiTheme="minorBidi"/>
          <w:color w:val="000000" w:themeColor="text1"/>
          <w:lang w:val="hr-HR"/>
        </w:rPr>
        <w:t xml:space="preserve"> </w:t>
      </w:r>
      <w:proofErr w:type="spellStart"/>
      <w:r w:rsidR="008A73BC" w:rsidRPr="005A3125">
        <w:rPr>
          <w:rFonts w:asciiTheme="minorBidi" w:eastAsia="Times New Roman" w:hAnsiTheme="minorBidi"/>
          <w:color w:val="000000" w:themeColor="text1"/>
          <w:lang w:val="hr-HR"/>
        </w:rPr>
        <w:t>degree</w:t>
      </w:r>
      <w:proofErr w:type="spellEnd"/>
      <w:r w:rsidR="008A73BC" w:rsidRPr="005A3125">
        <w:rPr>
          <w:rFonts w:asciiTheme="minorBidi" w:eastAsia="Times New Roman" w:hAnsiTheme="minorBidi"/>
          <w:color w:val="000000" w:themeColor="text1"/>
          <w:lang w:val="hr-HR"/>
        </w:rPr>
        <w:t xml:space="preserve"> </w:t>
      </w:r>
      <w:proofErr w:type="spellStart"/>
      <w:r w:rsidR="008A73BC" w:rsidRPr="005A3125">
        <w:rPr>
          <w:rFonts w:asciiTheme="minorBidi" w:eastAsia="Times New Roman" w:hAnsiTheme="minorBidi"/>
          <w:color w:val="000000" w:themeColor="text1"/>
          <w:lang w:val="hr-HR"/>
        </w:rPr>
        <w:t>or</w:t>
      </w:r>
      <w:proofErr w:type="spellEnd"/>
      <w:r w:rsidR="008A73BC" w:rsidRPr="005A3125">
        <w:rPr>
          <w:rFonts w:asciiTheme="minorBidi" w:eastAsia="Times New Roman" w:hAnsiTheme="minorBidi"/>
          <w:color w:val="000000" w:themeColor="text1"/>
          <w:lang w:val="hr-HR"/>
        </w:rPr>
        <w:t xml:space="preserve"> </w:t>
      </w:r>
      <w:proofErr w:type="spellStart"/>
      <w:r w:rsidR="008A73BC" w:rsidRPr="005A3125">
        <w:rPr>
          <w:rFonts w:asciiTheme="minorBidi" w:eastAsia="Times New Roman" w:hAnsiTheme="minorBidi"/>
          <w:color w:val="000000" w:themeColor="text1"/>
          <w:lang w:val="hr-HR"/>
        </w:rPr>
        <w:t>qualification</w:t>
      </w:r>
      <w:proofErr w:type="spellEnd"/>
      <w:r w:rsidR="008A73BC" w:rsidRPr="005A3125">
        <w:rPr>
          <w:rFonts w:asciiTheme="minorBidi" w:eastAsia="Times New Roman" w:hAnsiTheme="minorBidi"/>
          <w:color w:val="000000" w:themeColor="text1"/>
          <w:lang w:val="hr-HR"/>
        </w:rPr>
        <w:t xml:space="preserve">, </w:t>
      </w:r>
      <w:proofErr w:type="spellStart"/>
      <w:r w:rsidR="008A73BC" w:rsidRPr="005A3125">
        <w:rPr>
          <w:rFonts w:asciiTheme="minorBidi" w:eastAsia="Times New Roman" w:hAnsiTheme="minorBidi"/>
          <w:color w:val="000000" w:themeColor="text1"/>
          <w:lang w:val="hr-HR"/>
        </w:rPr>
        <w:t>in</w:t>
      </w:r>
      <w:proofErr w:type="spellEnd"/>
      <w:r w:rsidR="008A73BC" w:rsidRPr="005A3125">
        <w:rPr>
          <w:rFonts w:asciiTheme="minorBidi" w:eastAsia="Times New Roman" w:hAnsiTheme="minorBidi"/>
          <w:color w:val="000000" w:themeColor="text1"/>
          <w:lang w:val="hr-HR"/>
        </w:rPr>
        <w:t xml:space="preserve"> </w:t>
      </w:r>
      <w:proofErr w:type="spellStart"/>
      <w:r w:rsidR="008A73BC" w:rsidRPr="005A3125">
        <w:rPr>
          <w:rFonts w:asciiTheme="minorBidi" w:eastAsia="Times New Roman" w:hAnsiTheme="minorBidi"/>
          <w:color w:val="000000" w:themeColor="text1"/>
          <w:lang w:val="hr-HR"/>
        </w:rPr>
        <w:t>whole</w:t>
      </w:r>
      <w:proofErr w:type="spellEnd"/>
      <w:r w:rsidR="008A73BC" w:rsidRPr="005A3125">
        <w:rPr>
          <w:rFonts w:asciiTheme="minorBidi" w:eastAsia="Times New Roman" w:hAnsiTheme="minorBidi"/>
          <w:color w:val="000000" w:themeColor="text1"/>
          <w:lang w:val="hr-HR"/>
        </w:rPr>
        <w:t xml:space="preserve"> </w:t>
      </w:r>
      <w:proofErr w:type="spellStart"/>
      <w:r w:rsidR="008A73BC" w:rsidRPr="005A3125">
        <w:rPr>
          <w:rFonts w:asciiTheme="minorBidi" w:eastAsia="Times New Roman" w:hAnsiTheme="minorBidi"/>
          <w:color w:val="000000" w:themeColor="text1"/>
          <w:lang w:val="hr-HR"/>
        </w:rPr>
        <w:t>or</w:t>
      </w:r>
      <w:proofErr w:type="spellEnd"/>
      <w:r w:rsidR="008A73BC" w:rsidRPr="005A3125">
        <w:rPr>
          <w:rFonts w:asciiTheme="minorBidi" w:eastAsia="Times New Roman" w:hAnsiTheme="minorBidi"/>
          <w:color w:val="000000" w:themeColor="text1"/>
          <w:lang w:val="hr-HR"/>
        </w:rPr>
        <w:t xml:space="preserve"> </w:t>
      </w:r>
      <w:proofErr w:type="spellStart"/>
      <w:r w:rsidR="008A73BC" w:rsidRPr="005A3125">
        <w:rPr>
          <w:rFonts w:asciiTheme="minorBidi" w:eastAsia="Times New Roman" w:hAnsiTheme="minorBidi"/>
          <w:color w:val="000000" w:themeColor="text1"/>
          <w:lang w:val="hr-HR"/>
        </w:rPr>
        <w:t>in</w:t>
      </w:r>
      <w:proofErr w:type="spellEnd"/>
      <w:r w:rsidR="008A73BC" w:rsidRPr="005A3125">
        <w:rPr>
          <w:rFonts w:asciiTheme="minorBidi" w:eastAsia="Times New Roman" w:hAnsiTheme="minorBidi"/>
          <w:color w:val="000000" w:themeColor="text1"/>
          <w:lang w:val="hr-HR"/>
        </w:rPr>
        <w:t xml:space="preserve"> </w:t>
      </w:r>
      <w:proofErr w:type="spellStart"/>
      <w:r w:rsidR="008A73BC" w:rsidRPr="005A3125">
        <w:rPr>
          <w:rFonts w:asciiTheme="minorBidi" w:eastAsia="Times New Roman" w:hAnsiTheme="minorBidi"/>
          <w:color w:val="000000" w:themeColor="text1"/>
          <w:lang w:val="hr-HR"/>
        </w:rPr>
        <w:t>part</w:t>
      </w:r>
      <w:proofErr w:type="spellEnd"/>
      <w:r w:rsidR="008A73BC" w:rsidRPr="005A3125">
        <w:rPr>
          <w:rFonts w:asciiTheme="minorBidi" w:eastAsia="Times New Roman" w:hAnsiTheme="minorBidi"/>
          <w:color w:val="000000" w:themeColor="text1"/>
          <w:lang w:val="hr-HR"/>
        </w:rPr>
        <w:t xml:space="preserve">, </w:t>
      </w:r>
      <w:proofErr w:type="spellStart"/>
      <w:r w:rsidR="008A73BC" w:rsidRPr="005A3125">
        <w:rPr>
          <w:rFonts w:asciiTheme="minorBidi" w:eastAsia="Times New Roman" w:hAnsiTheme="minorBidi"/>
          <w:color w:val="000000" w:themeColor="text1"/>
          <w:lang w:val="hr-HR"/>
        </w:rPr>
        <w:t>except</w:t>
      </w:r>
      <w:proofErr w:type="spellEnd"/>
      <w:r w:rsidR="008A73BC" w:rsidRPr="005A3125">
        <w:rPr>
          <w:rFonts w:asciiTheme="minorBidi" w:eastAsia="Times New Roman" w:hAnsiTheme="minorBidi"/>
          <w:color w:val="000000" w:themeColor="text1"/>
          <w:lang w:val="hr-HR"/>
        </w:rPr>
        <w:t xml:space="preserve"> as </w:t>
      </w:r>
      <w:proofErr w:type="spellStart"/>
      <w:r w:rsidR="008A73BC" w:rsidRPr="005A3125">
        <w:rPr>
          <w:rFonts w:asciiTheme="minorBidi" w:eastAsia="Times New Roman" w:hAnsiTheme="minorBidi"/>
          <w:color w:val="000000" w:themeColor="text1"/>
          <w:lang w:val="hr-HR"/>
        </w:rPr>
        <w:t>specified</w:t>
      </w:r>
      <w:proofErr w:type="spellEnd"/>
      <w:r w:rsidRPr="005A3125">
        <w:rPr>
          <w:rFonts w:asciiTheme="minorBidi" w:eastAsia="Times New Roman" w:hAnsiTheme="minorBidi"/>
          <w:color w:val="000000" w:themeColor="text1"/>
          <w:lang w:val="hr-HR"/>
        </w:rPr>
        <w:t>.</w:t>
      </w:r>
    </w:p>
    <w:p w14:paraId="4E0CDA9F" w14:textId="77777777" w:rsidR="00113366" w:rsidRPr="005A3125" w:rsidRDefault="00113366" w:rsidP="00113366">
      <w:pPr>
        <w:spacing w:after="200" w:line="276" w:lineRule="auto"/>
        <w:rPr>
          <w:rFonts w:asciiTheme="minorBidi" w:eastAsia="Times New Roman" w:hAnsiTheme="minorBidi"/>
          <w:color w:val="000000" w:themeColor="text1"/>
          <w:lang w:val="hr-HR"/>
        </w:rPr>
      </w:pPr>
    </w:p>
    <w:p w14:paraId="5E2BD27D" w14:textId="77777777" w:rsidR="00113366" w:rsidRPr="005A3125" w:rsidRDefault="00113366" w:rsidP="00113366">
      <w:pPr>
        <w:spacing w:after="200" w:line="276" w:lineRule="auto"/>
        <w:rPr>
          <w:rFonts w:asciiTheme="minorBidi" w:eastAsia="Times New Roman" w:hAnsiTheme="minorBidi"/>
          <w:color w:val="000000" w:themeColor="text1"/>
          <w:lang w:val="hr-HR"/>
        </w:rPr>
      </w:pPr>
    </w:p>
    <w:p w14:paraId="5236DF40" w14:textId="4120A6D8" w:rsidR="00113366" w:rsidRPr="005A3125" w:rsidRDefault="00113366" w:rsidP="00113366">
      <w:pPr>
        <w:spacing w:after="200" w:line="276" w:lineRule="auto"/>
        <w:rPr>
          <w:rFonts w:asciiTheme="minorBidi" w:eastAsia="Times New Roman" w:hAnsiTheme="minorBidi"/>
          <w:color w:val="000000" w:themeColor="text1"/>
          <w:lang w:val="hr-HR"/>
        </w:rPr>
      </w:pPr>
      <w:proofErr w:type="spellStart"/>
      <w:r w:rsidRPr="005A3125">
        <w:rPr>
          <w:rFonts w:asciiTheme="minorBidi" w:eastAsia="Times New Roman" w:hAnsiTheme="minorBidi"/>
          <w:color w:val="000000" w:themeColor="text1"/>
          <w:lang w:val="hr-HR"/>
        </w:rPr>
        <w:t>Signed</w:t>
      </w:r>
      <w:proofErr w:type="spellEnd"/>
      <w:r w:rsidR="008A73BC" w:rsidRPr="005A3125">
        <w:rPr>
          <w:rFonts w:asciiTheme="minorBidi" w:eastAsia="Times New Roman" w:hAnsiTheme="minorBidi"/>
          <w:color w:val="000000" w:themeColor="text1"/>
          <w:lang w:val="hr-HR"/>
        </w:rPr>
        <w:t>:</w:t>
      </w:r>
      <w:r w:rsidRPr="005A3125">
        <w:rPr>
          <w:rFonts w:asciiTheme="minorBidi" w:eastAsia="Times New Roman" w:hAnsiTheme="minorBidi"/>
          <w:color w:val="000000" w:themeColor="text1"/>
          <w:lang w:val="hr-HR"/>
        </w:rPr>
        <w:t>……</w:t>
      </w:r>
      <w:r w:rsidR="00D00772" w:rsidRPr="005A3125">
        <w:rPr>
          <w:rFonts w:asciiTheme="minorBidi" w:eastAsia="Times New Roman" w:hAnsiTheme="minorBidi"/>
          <w:color w:val="000000" w:themeColor="text1"/>
          <w:lang w:val="hr-HR"/>
        </w:rPr>
        <w:t>Iqdad</w:t>
      </w:r>
      <w:r w:rsidRPr="005A3125">
        <w:rPr>
          <w:rFonts w:asciiTheme="minorBidi" w:eastAsia="Times New Roman" w:hAnsiTheme="minorBidi"/>
          <w:color w:val="000000" w:themeColor="text1"/>
          <w:lang w:val="hr-HR"/>
        </w:rPr>
        <w:t>…………………………………………</w:t>
      </w:r>
    </w:p>
    <w:p w14:paraId="1E1F6BED" w14:textId="77777777" w:rsidR="00113366" w:rsidRPr="005A3125" w:rsidRDefault="00113366" w:rsidP="00113366">
      <w:pPr>
        <w:spacing w:after="200" w:line="276" w:lineRule="auto"/>
        <w:rPr>
          <w:rFonts w:asciiTheme="minorBidi" w:eastAsia="Times New Roman" w:hAnsiTheme="minorBidi"/>
          <w:color w:val="000000" w:themeColor="text1"/>
          <w:lang w:val="hr-HR"/>
        </w:rPr>
      </w:pPr>
    </w:p>
    <w:p w14:paraId="367C1620" w14:textId="2801F462" w:rsidR="00113366" w:rsidRPr="005A3125" w:rsidRDefault="00113366" w:rsidP="00113366">
      <w:pPr>
        <w:spacing w:after="200" w:line="276" w:lineRule="auto"/>
        <w:rPr>
          <w:rFonts w:asciiTheme="minorBidi" w:eastAsia="Times New Roman" w:hAnsiTheme="minorBidi"/>
          <w:color w:val="000000" w:themeColor="text1"/>
          <w:lang w:val="hr-HR"/>
        </w:rPr>
      </w:pPr>
      <w:r w:rsidRPr="005A3125">
        <w:rPr>
          <w:rFonts w:asciiTheme="minorBidi" w:eastAsia="Times New Roman" w:hAnsiTheme="minorBidi"/>
          <w:color w:val="000000" w:themeColor="text1"/>
          <w:lang w:val="hr-HR"/>
        </w:rPr>
        <w:t>Date:</w:t>
      </w:r>
      <w:r w:rsidR="008A73BC" w:rsidRPr="005A3125">
        <w:rPr>
          <w:rFonts w:asciiTheme="minorBidi" w:eastAsia="Times New Roman" w:hAnsiTheme="minorBidi"/>
          <w:color w:val="000000" w:themeColor="text1"/>
          <w:lang w:val="hr-HR"/>
        </w:rPr>
        <w:t>...</w:t>
      </w:r>
      <w:r w:rsidR="00D00772" w:rsidRPr="005A3125">
        <w:rPr>
          <w:rFonts w:asciiTheme="minorBidi" w:eastAsia="Times New Roman" w:hAnsiTheme="minorBidi"/>
          <w:color w:val="000000" w:themeColor="text1"/>
          <w:lang w:val="hr-HR"/>
        </w:rPr>
        <w:t>15/6/2026</w:t>
      </w:r>
      <w:r w:rsidR="008A73BC" w:rsidRPr="005A3125">
        <w:rPr>
          <w:rFonts w:asciiTheme="minorBidi" w:eastAsia="Times New Roman" w:hAnsiTheme="minorBidi"/>
          <w:color w:val="000000" w:themeColor="text1"/>
          <w:lang w:val="hr-HR"/>
        </w:rPr>
        <w:t>………………………………………………</w:t>
      </w:r>
    </w:p>
    <w:p w14:paraId="2C702A82" w14:textId="77777777" w:rsidR="009F64C5" w:rsidRPr="005A3125" w:rsidRDefault="009F64C5" w:rsidP="00113366">
      <w:pPr>
        <w:spacing w:after="157"/>
        <w:ind w:right="2357"/>
        <w:rPr>
          <w:rFonts w:asciiTheme="minorBidi" w:hAnsiTheme="minorBidi"/>
          <w:b/>
          <w:bCs/>
        </w:rPr>
      </w:pPr>
    </w:p>
    <w:p w14:paraId="6AA9D53C" w14:textId="77777777" w:rsidR="009F64C5" w:rsidRPr="005A3125" w:rsidRDefault="009F64C5">
      <w:pPr>
        <w:spacing w:after="0"/>
        <w:rPr>
          <w:rFonts w:asciiTheme="minorBidi" w:hAnsiTheme="minorBidi"/>
        </w:rPr>
      </w:pPr>
      <w:r w:rsidRPr="005A3125">
        <w:rPr>
          <w:rFonts w:asciiTheme="minorBidi" w:hAnsiTheme="minorBidi"/>
          <w:color w:val="0070C0"/>
        </w:rPr>
        <w:t xml:space="preserve"> </w:t>
      </w:r>
      <w:r w:rsidRPr="005A3125">
        <w:rPr>
          <w:rFonts w:asciiTheme="minorBidi" w:hAnsiTheme="minorBidi"/>
          <w:color w:val="0070C0"/>
        </w:rPr>
        <w:tab/>
        <w:t xml:space="preserve"> </w:t>
      </w:r>
    </w:p>
    <w:p w14:paraId="02286F32" w14:textId="77777777" w:rsidR="009F64C5" w:rsidRPr="005A3125" w:rsidRDefault="009F64C5">
      <w:pPr>
        <w:rPr>
          <w:rFonts w:asciiTheme="minorBidi" w:eastAsia="Times New Roman" w:hAnsiTheme="minorBidi"/>
          <w:b/>
          <w:color w:val="000000"/>
        </w:rPr>
      </w:pPr>
      <w:r w:rsidRPr="005A3125">
        <w:rPr>
          <w:rFonts w:asciiTheme="minorBidi" w:hAnsiTheme="minorBidi"/>
        </w:rPr>
        <w:br w:type="page"/>
      </w:r>
    </w:p>
    <w:p w14:paraId="106641A1" w14:textId="7C1664DD" w:rsidR="009F64C5" w:rsidRPr="005A3125" w:rsidRDefault="009F64C5">
      <w:pPr>
        <w:pStyle w:val="Heading2"/>
        <w:ind w:left="12" w:right="4"/>
        <w:rPr>
          <w:rFonts w:asciiTheme="minorBidi" w:hAnsiTheme="minorBidi" w:cstheme="minorBidi"/>
          <w:sz w:val="22"/>
        </w:rPr>
      </w:pPr>
      <w:r w:rsidRPr="005A3125">
        <w:rPr>
          <w:rFonts w:asciiTheme="minorBidi" w:hAnsiTheme="minorBidi" w:cstheme="minorBidi"/>
          <w:sz w:val="22"/>
        </w:rPr>
        <w:lastRenderedPageBreak/>
        <w:t xml:space="preserve">Acknowledgements </w:t>
      </w:r>
    </w:p>
    <w:p w14:paraId="3DF0875E" w14:textId="77777777" w:rsidR="009F64C5" w:rsidRPr="005A3125" w:rsidRDefault="009F64C5">
      <w:pPr>
        <w:spacing w:after="158"/>
        <w:rPr>
          <w:rFonts w:asciiTheme="minorBidi" w:hAnsiTheme="minorBidi"/>
        </w:rPr>
      </w:pPr>
      <w:r w:rsidRPr="005A3125">
        <w:rPr>
          <w:rFonts w:asciiTheme="minorBidi" w:hAnsiTheme="minorBidi"/>
        </w:rPr>
        <w:t xml:space="preserve"> </w:t>
      </w:r>
    </w:p>
    <w:p w14:paraId="58B11BDA" w14:textId="77777777" w:rsidR="00FE7C7A" w:rsidRPr="005A3125" w:rsidRDefault="00FE7C7A" w:rsidP="00FE7C7A">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I sincerely thank Dr. Ping Wu, my dissertation supervisor, for her invaluable guidance, support, and constructive feedback throughout this research. I am also grateful to the academic staff for their teaching and assistance, which greatly contributed to the completion of this dissertation.</w:t>
      </w:r>
    </w:p>
    <w:p w14:paraId="1D8655E9" w14:textId="77777777" w:rsidR="00FE7C7A" w:rsidRPr="005A3125" w:rsidRDefault="00FE7C7A" w:rsidP="00FE7C7A">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My heartfelt thanks go to my friends for their encouragement and understanding during the balancing of academic and personal commitments. Lastly, I deeply appreciate my family’s unwavering love, patience, and support, which have been a constant source of motivation.</w:t>
      </w:r>
    </w:p>
    <w:p w14:paraId="6F4F74AD" w14:textId="043ABF34" w:rsidR="009F64C5" w:rsidRPr="005A3125" w:rsidRDefault="00FE7C7A" w:rsidP="00FE7C7A">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I dedicate this dissertation to all who have supported and inspired me along this journey</w:t>
      </w:r>
      <w:r w:rsidR="009F64C5" w:rsidRPr="005A3125">
        <w:rPr>
          <w:rFonts w:asciiTheme="minorBidi" w:hAnsiTheme="minorBidi" w:cstheme="minorBidi"/>
          <w:sz w:val="22"/>
          <w:szCs w:val="22"/>
        </w:rPr>
        <w:br w:type="page"/>
      </w:r>
    </w:p>
    <w:p w14:paraId="563C12D9" w14:textId="42A94F60" w:rsidR="009F64C5" w:rsidRPr="005A3125" w:rsidRDefault="009F64C5" w:rsidP="00036137">
      <w:pPr>
        <w:pStyle w:val="Heading2"/>
        <w:ind w:left="12" w:right="5"/>
        <w:rPr>
          <w:rFonts w:asciiTheme="minorBidi" w:hAnsiTheme="minorBidi" w:cstheme="minorBidi"/>
          <w:sz w:val="22"/>
        </w:rPr>
      </w:pPr>
      <w:r w:rsidRPr="005A3125">
        <w:rPr>
          <w:rFonts w:asciiTheme="minorBidi" w:hAnsiTheme="minorBidi" w:cstheme="minorBidi"/>
          <w:sz w:val="22"/>
        </w:rPr>
        <w:lastRenderedPageBreak/>
        <w:t>Abstract</w:t>
      </w:r>
    </w:p>
    <w:p w14:paraId="33C552D8" w14:textId="4EB77D4F" w:rsidR="00C07EBF" w:rsidRPr="005A3125" w:rsidRDefault="00C07EBF" w:rsidP="00C07EBF">
      <w:pPr>
        <w:spacing w:after="0" w:line="360" w:lineRule="auto"/>
        <w:jc w:val="both"/>
        <w:rPr>
          <w:rFonts w:asciiTheme="minorBidi" w:hAnsiTheme="minorBidi"/>
        </w:rPr>
      </w:pPr>
    </w:p>
    <w:p w14:paraId="30F491A1" w14:textId="77777777" w:rsidR="00943815" w:rsidRPr="005A3125" w:rsidRDefault="00943815" w:rsidP="00943815">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Mental health disorders, especially anxiety and depression, are an increasing public health issue among young people in the United Kingdom. Evidence suggests that social, economic, and structural factors contribute to mental health disparities that disproportionately impact Black African and Mixed African youth. Despite growing awareness of these inequalities, research specifically focusing on these groups remains limited.</w:t>
      </w:r>
    </w:p>
    <w:p w14:paraId="3183896F" w14:textId="77777777" w:rsidR="00943815" w:rsidRPr="005A3125" w:rsidRDefault="00943815" w:rsidP="00943815">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This dissertation utilized a systematic review approach to investigate factors linked to anxiety and depression in Black African and Mixed African young people aged 16–25 in the UK. Adhering to PRISMA 2020 guidelines, a thorough search was carried out across databases including PubMed, PsycINFO, CINAHL, and Google Scholar. Studies meeting inclusion criteria were assessed using the Critical Appraisal Skills Programme (CASP), and their findings were integrated through thematic analysis. Twenty studies were ultimately included in the review.</w:t>
      </w:r>
    </w:p>
    <w:p w14:paraId="1E3C26CA" w14:textId="77777777" w:rsidR="00943815" w:rsidRPr="005A3125" w:rsidRDefault="00943815" w:rsidP="00943815">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Six interconnected themes emerged as key influences on mental health outcomes: racism and discrimination experiences, socioeconomic disadvantage, educational inequities, identity-related issues, and barriers to accessing suitable mental health care. The results demonstrate that wider social determinants—such as poverty, social exclusion, systemic inequalities, and lack of culturally appropriate services—significantly affect experiences of depression and anxiety. Additionally, factors like identity development, mental health stigma, and healthcare disparities influence psychological wellbeing and engagement with support systems.</w:t>
      </w:r>
    </w:p>
    <w:p w14:paraId="04A8E775" w14:textId="77777777" w:rsidR="00943815" w:rsidRPr="005A3125" w:rsidRDefault="00943815" w:rsidP="00943815">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These findings highlight the necessity for focused public health initiatives, culturally sensitive mental health services, anti-racist policies, and approaches that tackle broader social and economic determinants of mental health. Future research should employ intersectional frameworks and place increased attention on the unique experiences of Mixed African youth to deepen the understanding of mental health disparities in diverse communities.</w:t>
      </w:r>
    </w:p>
    <w:p w14:paraId="5EC41F56" w14:textId="77777777" w:rsidR="00943815" w:rsidRPr="005A3125" w:rsidRDefault="00943815" w:rsidP="00943815">
      <w:pPr>
        <w:pStyle w:val="muitypography-root"/>
        <w:spacing w:before="0" w:beforeAutospacing="0" w:after="0" w:afterAutospacing="0" w:line="360" w:lineRule="atLeast"/>
        <w:rPr>
          <w:rFonts w:asciiTheme="minorBidi" w:hAnsiTheme="minorBidi" w:cstheme="minorBidi"/>
          <w:color w:val="161F19"/>
          <w:sz w:val="22"/>
          <w:szCs w:val="22"/>
        </w:rPr>
      </w:pPr>
      <w:r w:rsidRPr="005A3125">
        <w:rPr>
          <w:rStyle w:val="Strong"/>
          <w:rFonts w:asciiTheme="minorBidi" w:hAnsiTheme="minorBidi" w:cstheme="minorBidi"/>
          <w:color w:val="161F19"/>
          <w:sz w:val="22"/>
          <w:szCs w:val="22"/>
        </w:rPr>
        <w:t>Keywords:</w:t>
      </w:r>
      <w:r w:rsidRPr="005A3125">
        <w:rPr>
          <w:rStyle w:val="apple-converted-space"/>
          <w:rFonts w:asciiTheme="minorBidi" w:hAnsiTheme="minorBidi" w:cstheme="minorBidi"/>
          <w:color w:val="161F19"/>
          <w:sz w:val="22"/>
          <w:szCs w:val="22"/>
        </w:rPr>
        <w:t> </w:t>
      </w:r>
      <w:r w:rsidRPr="005A3125">
        <w:rPr>
          <w:rFonts w:asciiTheme="minorBidi" w:hAnsiTheme="minorBidi" w:cstheme="minorBidi"/>
          <w:color w:val="161F19"/>
          <w:sz w:val="22"/>
          <w:szCs w:val="22"/>
        </w:rPr>
        <w:t>Black African youth, Mixed African youth, mental health disparities, structural racism, depression, anxiety, social determinants of health, United Kingdom</w:t>
      </w:r>
    </w:p>
    <w:p w14:paraId="361B4A4C" w14:textId="6BC9DCB9" w:rsidR="000555DE" w:rsidRPr="005A3125" w:rsidRDefault="00C07EBF" w:rsidP="00C07EBF">
      <w:pPr>
        <w:spacing w:after="0" w:line="360" w:lineRule="auto"/>
        <w:jc w:val="both"/>
        <w:rPr>
          <w:rFonts w:asciiTheme="minorBidi" w:hAnsiTheme="minorBidi"/>
        </w:rPr>
      </w:pPr>
      <w:r w:rsidRPr="005A3125">
        <w:rPr>
          <w:rFonts w:asciiTheme="minorBidi" w:hAnsiTheme="minorBidi"/>
        </w:rPr>
        <w:t>.</w:t>
      </w:r>
      <w:r w:rsidR="000555DE" w:rsidRPr="005A3125">
        <w:rPr>
          <w:rFonts w:asciiTheme="minorBidi" w:hAnsiTheme="minorBidi"/>
        </w:rPr>
        <w:br w:type="page"/>
      </w:r>
    </w:p>
    <w:p w14:paraId="7CDD196C" w14:textId="77777777" w:rsidR="009F64C5" w:rsidRPr="005A3125" w:rsidRDefault="009F64C5" w:rsidP="000555DE">
      <w:pPr>
        <w:spacing w:after="14" w:line="249" w:lineRule="auto"/>
        <w:ind w:left="705"/>
        <w:rPr>
          <w:rFonts w:asciiTheme="minorBidi" w:hAnsiTheme="minorBidi"/>
        </w:rPr>
      </w:pPr>
    </w:p>
    <w:sdt>
      <w:sdtPr>
        <w:rPr>
          <w:rFonts w:asciiTheme="minorBidi" w:eastAsiaTheme="minorEastAsia" w:hAnsiTheme="minorBidi" w:cstheme="minorBidi"/>
          <w:b w:val="0"/>
          <w:color w:val="auto"/>
          <w:sz w:val="22"/>
        </w:rPr>
        <w:id w:val="1513028152"/>
        <w:docPartObj>
          <w:docPartGallery w:val="Table of Contents"/>
        </w:docPartObj>
      </w:sdtPr>
      <w:sdtContent>
        <w:p w14:paraId="665B4408" w14:textId="77777777" w:rsidR="009F64C5" w:rsidRPr="005A3125" w:rsidRDefault="009F64C5">
          <w:pPr>
            <w:pStyle w:val="Heading2"/>
            <w:ind w:left="12"/>
            <w:rPr>
              <w:rFonts w:asciiTheme="minorBidi" w:hAnsiTheme="minorBidi" w:cstheme="minorBidi"/>
              <w:sz w:val="22"/>
            </w:rPr>
          </w:pPr>
          <w:r w:rsidRPr="005A3125">
            <w:rPr>
              <w:rFonts w:asciiTheme="minorBidi" w:hAnsiTheme="minorBidi" w:cstheme="minorBidi"/>
              <w:sz w:val="22"/>
            </w:rPr>
            <w:t xml:space="preserve">Table of contents </w:t>
          </w:r>
        </w:p>
        <w:p w14:paraId="564DCCA8" w14:textId="77777777" w:rsidR="009F64C5" w:rsidRPr="005A3125" w:rsidRDefault="009F64C5">
          <w:pPr>
            <w:spacing w:after="158"/>
            <w:ind w:left="59"/>
            <w:jc w:val="center"/>
            <w:rPr>
              <w:rFonts w:asciiTheme="minorBidi" w:hAnsiTheme="minorBidi"/>
            </w:rPr>
          </w:pPr>
          <w:r w:rsidRPr="005A3125">
            <w:rPr>
              <w:rFonts w:asciiTheme="minorBidi" w:eastAsia="Times New Roman" w:hAnsiTheme="minorBidi"/>
              <w:b/>
            </w:rPr>
            <w:t xml:space="preserve"> </w:t>
          </w:r>
        </w:p>
        <w:p w14:paraId="01B13C80" w14:textId="77777777" w:rsidR="009F64C5" w:rsidRPr="005A3125" w:rsidRDefault="009F64C5">
          <w:pPr>
            <w:spacing w:after="167"/>
            <w:rPr>
              <w:rFonts w:asciiTheme="minorBidi" w:hAnsiTheme="minorBidi"/>
            </w:rPr>
          </w:pPr>
          <w:r w:rsidRPr="005A3125">
            <w:rPr>
              <w:rFonts w:asciiTheme="minorBidi" w:hAnsiTheme="minorBidi"/>
            </w:rPr>
            <w:t xml:space="preserve">The table of contents lists every section that comes after it (i.e. </w:t>
          </w:r>
          <w:r w:rsidRPr="005A3125">
            <w:rPr>
              <w:rFonts w:asciiTheme="minorBidi" w:eastAsia="Times New Roman" w:hAnsiTheme="minorBidi"/>
              <w:i/>
            </w:rPr>
            <w:t>not</w:t>
          </w:r>
          <w:r w:rsidRPr="005A3125">
            <w:rPr>
              <w:rFonts w:asciiTheme="minorBidi" w:eastAsia="Times New Roman" w:hAnsiTheme="minorBidi"/>
              <w:b/>
            </w:rPr>
            <w:t xml:space="preserve"> </w:t>
          </w:r>
          <w:r w:rsidRPr="005A3125">
            <w:rPr>
              <w:rFonts w:asciiTheme="minorBidi" w:hAnsiTheme="minorBidi"/>
            </w:rPr>
            <w:t xml:space="preserve">the title page, acknowledgements, or abstract). A table of contents can be auto-generated in Word. </w:t>
          </w:r>
        </w:p>
        <w:p w14:paraId="076AAA75" w14:textId="77777777" w:rsidR="009F64C5" w:rsidRPr="005A3125" w:rsidRDefault="009F64C5">
          <w:pPr>
            <w:spacing w:after="158"/>
            <w:rPr>
              <w:rFonts w:asciiTheme="minorBidi" w:hAnsiTheme="minorBidi"/>
            </w:rPr>
          </w:pPr>
          <w:r w:rsidRPr="005A3125">
            <w:rPr>
              <w:rFonts w:asciiTheme="minorBidi" w:hAnsiTheme="minorBidi"/>
            </w:rPr>
            <w:t xml:space="preserve"> </w:t>
          </w:r>
        </w:p>
        <w:p w14:paraId="05816259" w14:textId="40CA303D" w:rsidR="001A090C" w:rsidRPr="005A3125" w:rsidRDefault="009F64C5">
          <w:pPr>
            <w:pStyle w:val="TOC1"/>
            <w:tabs>
              <w:tab w:val="right" w:leader="dot" w:pos="9016"/>
            </w:tabs>
            <w:rPr>
              <w:rFonts w:asciiTheme="minorBidi" w:eastAsiaTheme="minorEastAsia" w:hAnsiTheme="minorBidi" w:cstheme="minorBidi"/>
              <w:noProof/>
              <w:color w:val="auto"/>
              <w:sz w:val="22"/>
              <w:lang w:eastAsia="en-GB"/>
            </w:rPr>
          </w:pPr>
          <w:r w:rsidRPr="005A3125">
            <w:rPr>
              <w:rFonts w:asciiTheme="minorBidi" w:hAnsiTheme="minorBidi" w:cstheme="minorBidi"/>
              <w:sz w:val="22"/>
            </w:rPr>
            <w:fldChar w:fldCharType="begin"/>
          </w:r>
          <w:r w:rsidRPr="005A3125">
            <w:rPr>
              <w:rFonts w:asciiTheme="minorBidi" w:hAnsiTheme="minorBidi" w:cstheme="minorBidi"/>
              <w:sz w:val="22"/>
            </w:rPr>
            <w:instrText xml:space="preserve"> TOC \o "1-1" \h \z \u </w:instrText>
          </w:r>
          <w:r w:rsidRPr="005A3125">
            <w:rPr>
              <w:rFonts w:asciiTheme="minorBidi" w:hAnsiTheme="minorBidi" w:cstheme="minorBidi"/>
              <w:sz w:val="22"/>
            </w:rPr>
            <w:fldChar w:fldCharType="separate"/>
          </w:r>
          <w:hyperlink w:anchor="_Toc232456023" w:history="1">
            <w:r w:rsidR="001A090C" w:rsidRPr="005A3125">
              <w:rPr>
                <w:rStyle w:val="Hyperlink"/>
                <w:rFonts w:asciiTheme="minorBidi" w:hAnsiTheme="minorBidi" w:cstheme="minorBidi"/>
                <w:noProof/>
                <w:sz w:val="22"/>
              </w:rPr>
              <w:t>List of figures</w:t>
            </w:r>
            <w:r w:rsidR="001A090C" w:rsidRPr="005A3125">
              <w:rPr>
                <w:rFonts w:asciiTheme="minorBidi" w:hAnsiTheme="minorBidi" w:cstheme="minorBidi"/>
                <w:noProof/>
                <w:webHidden/>
                <w:sz w:val="22"/>
              </w:rPr>
              <w:tab/>
            </w:r>
            <w:r w:rsidR="001A090C" w:rsidRPr="005A3125">
              <w:rPr>
                <w:rFonts w:asciiTheme="minorBidi" w:hAnsiTheme="minorBidi" w:cstheme="minorBidi"/>
                <w:noProof/>
                <w:webHidden/>
                <w:sz w:val="22"/>
              </w:rPr>
              <w:fldChar w:fldCharType="begin"/>
            </w:r>
            <w:r w:rsidR="001A090C" w:rsidRPr="005A3125">
              <w:rPr>
                <w:rFonts w:asciiTheme="minorBidi" w:hAnsiTheme="minorBidi" w:cstheme="minorBidi"/>
                <w:noProof/>
                <w:webHidden/>
                <w:sz w:val="22"/>
              </w:rPr>
              <w:instrText xml:space="preserve"> PAGEREF _Toc232456023 \h </w:instrText>
            </w:r>
            <w:r w:rsidR="001A090C" w:rsidRPr="005A3125">
              <w:rPr>
                <w:rFonts w:asciiTheme="minorBidi" w:hAnsiTheme="minorBidi" w:cstheme="minorBidi"/>
                <w:noProof/>
                <w:webHidden/>
                <w:sz w:val="22"/>
              </w:rPr>
            </w:r>
            <w:r w:rsidR="001A090C" w:rsidRPr="005A3125">
              <w:rPr>
                <w:rFonts w:asciiTheme="minorBidi" w:hAnsiTheme="minorBidi" w:cstheme="minorBidi"/>
                <w:noProof/>
                <w:webHidden/>
                <w:sz w:val="22"/>
              </w:rPr>
              <w:fldChar w:fldCharType="separate"/>
            </w:r>
            <w:r w:rsidR="001A090C" w:rsidRPr="005A3125">
              <w:rPr>
                <w:rFonts w:asciiTheme="minorBidi" w:hAnsiTheme="minorBidi" w:cstheme="minorBidi"/>
                <w:noProof/>
                <w:webHidden/>
                <w:sz w:val="22"/>
              </w:rPr>
              <w:t>7</w:t>
            </w:r>
            <w:r w:rsidR="001A090C" w:rsidRPr="005A3125">
              <w:rPr>
                <w:rFonts w:asciiTheme="minorBidi" w:hAnsiTheme="minorBidi" w:cstheme="minorBidi"/>
                <w:noProof/>
                <w:webHidden/>
                <w:sz w:val="22"/>
              </w:rPr>
              <w:fldChar w:fldCharType="end"/>
            </w:r>
          </w:hyperlink>
        </w:p>
        <w:p w14:paraId="4FA69A37" w14:textId="2B7D55B2" w:rsidR="001A090C" w:rsidRPr="005A3125" w:rsidRDefault="001A090C">
          <w:pPr>
            <w:pStyle w:val="TOC1"/>
            <w:tabs>
              <w:tab w:val="right" w:leader="dot" w:pos="9016"/>
            </w:tabs>
            <w:rPr>
              <w:rFonts w:asciiTheme="minorBidi" w:eastAsiaTheme="minorEastAsia" w:hAnsiTheme="minorBidi" w:cstheme="minorBidi"/>
              <w:noProof/>
              <w:color w:val="auto"/>
              <w:sz w:val="22"/>
              <w:lang w:eastAsia="en-GB"/>
            </w:rPr>
          </w:pPr>
          <w:hyperlink w:anchor="_Toc232456024" w:history="1">
            <w:r w:rsidRPr="005A3125">
              <w:rPr>
                <w:rStyle w:val="Hyperlink"/>
                <w:rFonts w:asciiTheme="minorBidi" w:hAnsiTheme="minorBidi" w:cstheme="minorBidi"/>
                <w:noProof/>
                <w:sz w:val="22"/>
              </w:rPr>
              <w:t>List of tables</w:t>
            </w:r>
            <w:r w:rsidRPr="005A3125">
              <w:rPr>
                <w:rFonts w:asciiTheme="minorBidi" w:hAnsiTheme="minorBidi" w:cstheme="minorBidi"/>
                <w:noProof/>
                <w:webHidden/>
                <w:sz w:val="22"/>
              </w:rPr>
              <w:tab/>
            </w:r>
            <w:r w:rsidRPr="005A3125">
              <w:rPr>
                <w:rFonts w:asciiTheme="minorBidi" w:hAnsiTheme="minorBidi" w:cstheme="minorBidi"/>
                <w:noProof/>
                <w:webHidden/>
                <w:sz w:val="22"/>
              </w:rPr>
              <w:fldChar w:fldCharType="begin"/>
            </w:r>
            <w:r w:rsidRPr="005A3125">
              <w:rPr>
                <w:rFonts w:asciiTheme="minorBidi" w:hAnsiTheme="minorBidi" w:cstheme="minorBidi"/>
                <w:noProof/>
                <w:webHidden/>
                <w:sz w:val="22"/>
              </w:rPr>
              <w:instrText xml:space="preserve"> PAGEREF _Toc232456024 \h </w:instrText>
            </w:r>
            <w:r w:rsidRPr="005A3125">
              <w:rPr>
                <w:rFonts w:asciiTheme="minorBidi" w:hAnsiTheme="minorBidi" w:cstheme="minorBidi"/>
                <w:noProof/>
                <w:webHidden/>
                <w:sz w:val="22"/>
              </w:rPr>
            </w:r>
            <w:r w:rsidRPr="005A3125">
              <w:rPr>
                <w:rFonts w:asciiTheme="minorBidi" w:hAnsiTheme="minorBidi" w:cstheme="minorBidi"/>
                <w:noProof/>
                <w:webHidden/>
                <w:sz w:val="22"/>
              </w:rPr>
              <w:fldChar w:fldCharType="separate"/>
            </w:r>
            <w:r w:rsidRPr="005A3125">
              <w:rPr>
                <w:rFonts w:asciiTheme="minorBidi" w:hAnsiTheme="minorBidi" w:cstheme="minorBidi"/>
                <w:noProof/>
                <w:webHidden/>
                <w:sz w:val="22"/>
              </w:rPr>
              <w:t>8</w:t>
            </w:r>
            <w:r w:rsidRPr="005A3125">
              <w:rPr>
                <w:rFonts w:asciiTheme="minorBidi" w:hAnsiTheme="minorBidi" w:cstheme="minorBidi"/>
                <w:noProof/>
                <w:webHidden/>
                <w:sz w:val="22"/>
              </w:rPr>
              <w:fldChar w:fldCharType="end"/>
            </w:r>
          </w:hyperlink>
        </w:p>
        <w:p w14:paraId="45771E6D" w14:textId="6EDBEDC8" w:rsidR="001A090C" w:rsidRPr="005A3125" w:rsidRDefault="001A090C">
          <w:pPr>
            <w:pStyle w:val="TOC1"/>
            <w:tabs>
              <w:tab w:val="right" w:leader="dot" w:pos="9016"/>
            </w:tabs>
            <w:rPr>
              <w:rFonts w:asciiTheme="minorBidi" w:eastAsiaTheme="minorEastAsia" w:hAnsiTheme="minorBidi" w:cstheme="minorBidi"/>
              <w:noProof/>
              <w:color w:val="auto"/>
              <w:sz w:val="22"/>
              <w:lang w:eastAsia="en-GB"/>
            </w:rPr>
          </w:pPr>
          <w:hyperlink w:anchor="_Toc232456025" w:history="1">
            <w:r w:rsidRPr="005A3125">
              <w:rPr>
                <w:rStyle w:val="Hyperlink"/>
                <w:rFonts w:asciiTheme="minorBidi" w:hAnsiTheme="minorBidi" w:cstheme="minorBidi"/>
                <w:noProof/>
                <w:sz w:val="22"/>
              </w:rPr>
              <w:t>List of abbreviations</w:t>
            </w:r>
            <w:r w:rsidRPr="005A3125">
              <w:rPr>
                <w:rFonts w:asciiTheme="minorBidi" w:hAnsiTheme="minorBidi" w:cstheme="minorBidi"/>
                <w:noProof/>
                <w:webHidden/>
                <w:sz w:val="22"/>
              </w:rPr>
              <w:tab/>
            </w:r>
            <w:r w:rsidRPr="005A3125">
              <w:rPr>
                <w:rFonts w:asciiTheme="minorBidi" w:hAnsiTheme="minorBidi" w:cstheme="minorBidi"/>
                <w:noProof/>
                <w:webHidden/>
                <w:sz w:val="22"/>
              </w:rPr>
              <w:fldChar w:fldCharType="begin"/>
            </w:r>
            <w:r w:rsidRPr="005A3125">
              <w:rPr>
                <w:rFonts w:asciiTheme="minorBidi" w:hAnsiTheme="minorBidi" w:cstheme="minorBidi"/>
                <w:noProof/>
                <w:webHidden/>
                <w:sz w:val="22"/>
              </w:rPr>
              <w:instrText xml:space="preserve"> PAGEREF _Toc232456025 \h </w:instrText>
            </w:r>
            <w:r w:rsidRPr="005A3125">
              <w:rPr>
                <w:rFonts w:asciiTheme="minorBidi" w:hAnsiTheme="minorBidi" w:cstheme="minorBidi"/>
                <w:noProof/>
                <w:webHidden/>
                <w:sz w:val="22"/>
              </w:rPr>
            </w:r>
            <w:r w:rsidRPr="005A3125">
              <w:rPr>
                <w:rFonts w:asciiTheme="minorBidi" w:hAnsiTheme="minorBidi" w:cstheme="minorBidi"/>
                <w:noProof/>
                <w:webHidden/>
                <w:sz w:val="22"/>
              </w:rPr>
              <w:fldChar w:fldCharType="separate"/>
            </w:r>
            <w:r w:rsidRPr="005A3125">
              <w:rPr>
                <w:rFonts w:asciiTheme="minorBidi" w:hAnsiTheme="minorBidi" w:cstheme="minorBidi"/>
                <w:noProof/>
                <w:webHidden/>
                <w:sz w:val="22"/>
              </w:rPr>
              <w:t>9</w:t>
            </w:r>
            <w:r w:rsidRPr="005A3125">
              <w:rPr>
                <w:rFonts w:asciiTheme="minorBidi" w:hAnsiTheme="minorBidi" w:cstheme="minorBidi"/>
                <w:noProof/>
                <w:webHidden/>
                <w:sz w:val="22"/>
              </w:rPr>
              <w:fldChar w:fldCharType="end"/>
            </w:r>
          </w:hyperlink>
        </w:p>
        <w:p w14:paraId="05D70B66" w14:textId="158535EE" w:rsidR="001A090C" w:rsidRPr="005A3125" w:rsidRDefault="001A090C">
          <w:pPr>
            <w:pStyle w:val="TOC1"/>
            <w:tabs>
              <w:tab w:val="right" w:leader="dot" w:pos="9016"/>
            </w:tabs>
            <w:rPr>
              <w:rFonts w:asciiTheme="minorBidi" w:eastAsiaTheme="minorEastAsia" w:hAnsiTheme="minorBidi" w:cstheme="minorBidi"/>
              <w:noProof/>
              <w:color w:val="auto"/>
              <w:sz w:val="22"/>
              <w:lang w:eastAsia="en-GB"/>
            </w:rPr>
          </w:pPr>
          <w:hyperlink w:anchor="_Toc232456026" w:history="1">
            <w:r w:rsidRPr="005A3125">
              <w:rPr>
                <w:rStyle w:val="Hyperlink"/>
                <w:rFonts w:asciiTheme="minorBidi" w:hAnsiTheme="minorBidi" w:cstheme="minorBidi"/>
                <w:noProof/>
                <w:sz w:val="22"/>
              </w:rPr>
              <w:t>Chapter 1: Introduction</w:t>
            </w:r>
            <w:r w:rsidRPr="005A3125">
              <w:rPr>
                <w:rFonts w:asciiTheme="minorBidi" w:hAnsiTheme="minorBidi" w:cstheme="minorBidi"/>
                <w:noProof/>
                <w:webHidden/>
                <w:sz w:val="22"/>
              </w:rPr>
              <w:tab/>
            </w:r>
            <w:r w:rsidRPr="005A3125">
              <w:rPr>
                <w:rFonts w:asciiTheme="minorBidi" w:hAnsiTheme="minorBidi" w:cstheme="minorBidi"/>
                <w:noProof/>
                <w:webHidden/>
                <w:sz w:val="22"/>
              </w:rPr>
              <w:fldChar w:fldCharType="begin"/>
            </w:r>
            <w:r w:rsidRPr="005A3125">
              <w:rPr>
                <w:rFonts w:asciiTheme="minorBidi" w:hAnsiTheme="minorBidi" w:cstheme="minorBidi"/>
                <w:noProof/>
                <w:webHidden/>
                <w:sz w:val="22"/>
              </w:rPr>
              <w:instrText xml:space="preserve"> PAGEREF _Toc232456026 \h </w:instrText>
            </w:r>
            <w:r w:rsidRPr="005A3125">
              <w:rPr>
                <w:rFonts w:asciiTheme="minorBidi" w:hAnsiTheme="minorBidi" w:cstheme="minorBidi"/>
                <w:noProof/>
                <w:webHidden/>
                <w:sz w:val="22"/>
              </w:rPr>
            </w:r>
            <w:r w:rsidRPr="005A3125">
              <w:rPr>
                <w:rFonts w:asciiTheme="minorBidi" w:hAnsiTheme="minorBidi" w:cstheme="minorBidi"/>
                <w:noProof/>
                <w:webHidden/>
                <w:sz w:val="22"/>
              </w:rPr>
              <w:fldChar w:fldCharType="separate"/>
            </w:r>
            <w:r w:rsidRPr="005A3125">
              <w:rPr>
                <w:rFonts w:asciiTheme="minorBidi" w:hAnsiTheme="minorBidi" w:cstheme="minorBidi"/>
                <w:noProof/>
                <w:webHidden/>
                <w:sz w:val="22"/>
              </w:rPr>
              <w:t>10</w:t>
            </w:r>
            <w:r w:rsidRPr="005A3125">
              <w:rPr>
                <w:rFonts w:asciiTheme="minorBidi" w:hAnsiTheme="minorBidi" w:cstheme="minorBidi"/>
                <w:noProof/>
                <w:webHidden/>
                <w:sz w:val="22"/>
              </w:rPr>
              <w:fldChar w:fldCharType="end"/>
            </w:r>
          </w:hyperlink>
        </w:p>
        <w:p w14:paraId="25DD0CB1" w14:textId="7575AA42" w:rsidR="001A090C" w:rsidRPr="005A3125" w:rsidRDefault="001A090C">
          <w:pPr>
            <w:pStyle w:val="TOC1"/>
            <w:tabs>
              <w:tab w:val="right" w:leader="dot" w:pos="9016"/>
            </w:tabs>
            <w:rPr>
              <w:rFonts w:asciiTheme="minorBidi" w:eastAsiaTheme="minorEastAsia" w:hAnsiTheme="minorBidi" w:cstheme="minorBidi"/>
              <w:noProof/>
              <w:color w:val="auto"/>
              <w:sz w:val="22"/>
              <w:lang w:eastAsia="en-GB"/>
            </w:rPr>
          </w:pPr>
          <w:hyperlink w:anchor="_Toc232456027" w:history="1">
            <w:r w:rsidRPr="005A3125">
              <w:rPr>
                <w:rStyle w:val="Hyperlink"/>
                <w:rFonts w:asciiTheme="minorBidi" w:hAnsiTheme="minorBidi" w:cstheme="minorBidi"/>
                <w:noProof/>
                <w:sz w:val="22"/>
              </w:rPr>
              <w:t>1.3 Mental Health Inequalities Among Black African and Mixed African Youth</w:t>
            </w:r>
            <w:r w:rsidRPr="005A3125">
              <w:rPr>
                <w:rFonts w:asciiTheme="minorBidi" w:hAnsiTheme="minorBidi" w:cstheme="minorBidi"/>
                <w:noProof/>
                <w:webHidden/>
                <w:sz w:val="22"/>
              </w:rPr>
              <w:tab/>
            </w:r>
            <w:r w:rsidRPr="005A3125">
              <w:rPr>
                <w:rFonts w:asciiTheme="minorBidi" w:hAnsiTheme="minorBidi" w:cstheme="minorBidi"/>
                <w:noProof/>
                <w:webHidden/>
                <w:sz w:val="22"/>
              </w:rPr>
              <w:fldChar w:fldCharType="begin"/>
            </w:r>
            <w:r w:rsidRPr="005A3125">
              <w:rPr>
                <w:rFonts w:asciiTheme="minorBidi" w:hAnsiTheme="minorBidi" w:cstheme="minorBidi"/>
                <w:noProof/>
                <w:webHidden/>
                <w:sz w:val="22"/>
              </w:rPr>
              <w:instrText xml:space="preserve"> PAGEREF _Toc232456027 \h </w:instrText>
            </w:r>
            <w:r w:rsidRPr="005A3125">
              <w:rPr>
                <w:rFonts w:asciiTheme="minorBidi" w:hAnsiTheme="minorBidi" w:cstheme="minorBidi"/>
                <w:noProof/>
                <w:webHidden/>
                <w:sz w:val="22"/>
              </w:rPr>
            </w:r>
            <w:r w:rsidRPr="005A3125">
              <w:rPr>
                <w:rFonts w:asciiTheme="minorBidi" w:hAnsiTheme="minorBidi" w:cstheme="minorBidi"/>
                <w:noProof/>
                <w:webHidden/>
                <w:sz w:val="22"/>
              </w:rPr>
              <w:fldChar w:fldCharType="separate"/>
            </w:r>
            <w:r w:rsidRPr="005A3125">
              <w:rPr>
                <w:rFonts w:asciiTheme="minorBidi" w:hAnsiTheme="minorBidi" w:cstheme="minorBidi"/>
                <w:noProof/>
                <w:webHidden/>
                <w:sz w:val="22"/>
              </w:rPr>
              <w:t>12</w:t>
            </w:r>
            <w:r w:rsidRPr="005A3125">
              <w:rPr>
                <w:rFonts w:asciiTheme="minorBidi" w:hAnsiTheme="minorBidi" w:cstheme="minorBidi"/>
                <w:noProof/>
                <w:webHidden/>
                <w:sz w:val="22"/>
              </w:rPr>
              <w:fldChar w:fldCharType="end"/>
            </w:r>
          </w:hyperlink>
        </w:p>
        <w:p w14:paraId="2C3CA477" w14:textId="43C27FAC" w:rsidR="001A090C" w:rsidRPr="005A3125" w:rsidRDefault="001A090C">
          <w:pPr>
            <w:pStyle w:val="TOC1"/>
            <w:tabs>
              <w:tab w:val="right" w:leader="dot" w:pos="9016"/>
            </w:tabs>
            <w:rPr>
              <w:rFonts w:asciiTheme="minorBidi" w:eastAsiaTheme="minorEastAsia" w:hAnsiTheme="minorBidi" w:cstheme="minorBidi"/>
              <w:noProof/>
              <w:color w:val="auto"/>
              <w:sz w:val="22"/>
              <w:lang w:eastAsia="en-GB"/>
            </w:rPr>
          </w:pPr>
          <w:hyperlink w:anchor="_Toc232456028" w:history="1">
            <w:r w:rsidRPr="005A3125">
              <w:rPr>
                <w:rStyle w:val="Hyperlink"/>
                <w:rFonts w:asciiTheme="minorBidi" w:hAnsiTheme="minorBidi" w:cstheme="minorBidi"/>
                <w:noProof/>
                <w:sz w:val="22"/>
              </w:rPr>
              <w:t>1.6 Rationale for the Study</w:t>
            </w:r>
            <w:r w:rsidRPr="005A3125">
              <w:rPr>
                <w:rFonts w:asciiTheme="minorBidi" w:hAnsiTheme="minorBidi" w:cstheme="minorBidi"/>
                <w:noProof/>
                <w:webHidden/>
                <w:sz w:val="22"/>
              </w:rPr>
              <w:tab/>
            </w:r>
            <w:r w:rsidRPr="005A3125">
              <w:rPr>
                <w:rFonts w:asciiTheme="minorBidi" w:hAnsiTheme="minorBidi" w:cstheme="minorBidi"/>
                <w:noProof/>
                <w:webHidden/>
                <w:sz w:val="22"/>
              </w:rPr>
              <w:fldChar w:fldCharType="begin"/>
            </w:r>
            <w:r w:rsidRPr="005A3125">
              <w:rPr>
                <w:rFonts w:asciiTheme="minorBidi" w:hAnsiTheme="minorBidi" w:cstheme="minorBidi"/>
                <w:noProof/>
                <w:webHidden/>
                <w:sz w:val="22"/>
              </w:rPr>
              <w:instrText xml:space="preserve"> PAGEREF _Toc232456028 \h </w:instrText>
            </w:r>
            <w:r w:rsidRPr="005A3125">
              <w:rPr>
                <w:rFonts w:asciiTheme="minorBidi" w:hAnsiTheme="minorBidi" w:cstheme="minorBidi"/>
                <w:noProof/>
                <w:webHidden/>
                <w:sz w:val="22"/>
              </w:rPr>
            </w:r>
            <w:r w:rsidRPr="005A3125">
              <w:rPr>
                <w:rFonts w:asciiTheme="minorBidi" w:hAnsiTheme="minorBidi" w:cstheme="minorBidi"/>
                <w:noProof/>
                <w:webHidden/>
                <w:sz w:val="22"/>
              </w:rPr>
              <w:fldChar w:fldCharType="separate"/>
            </w:r>
            <w:r w:rsidRPr="005A3125">
              <w:rPr>
                <w:rFonts w:asciiTheme="minorBidi" w:hAnsiTheme="minorBidi" w:cstheme="minorBidi"/>
                <w:noProof/>
                <w:webHidden/>
                <w:sz w:val="22"/>
              </w:rPr>
              <w:t>14</w:t>
            </w:r>
            <w:r w:rsidRPr="005A3125">
              <w:rPr>
                <w:rFonts w:asciiTheme="minorBidi" w:hAnsiTheme="minorBidi" w:cstheme="minorBidi"/>
                <w:noProof/>
                <w:webHidden/>
                <w:sz w:val="22"/>
              </w:rPr>
              <w:fldChar w:fldCharType="end"/>
            </w:r>
          </w:hyperlink>
        </w:p>
        <w:p w14:paraId="2D7E2B9E" w14:textId="3E5D4FB7" w:rsidR="001A090C" w:rsidRPr="005A3125" w:rsidRDefault="001A090C">
          <w:pPr>
            <w:pStyle w:val="TOC1"/>
            <w:tabs>
              <w:tab w:val="right" w:leader="dot" w:pos="9016"/>
            </w:tabs>
            <w:rPr>
              <w:rFonts w:asciiTheme="minorBidi" w:eastAsiaTheme="minorEastAsia" w:hAnsiTheme="minorBidi" w:cstheme="minorBidi"/>
              <w:noProof/>
              <w:color w:val="auto"/>
              <w:sz w:val="22"/>
              <w:lang w:eastAsia="en-GB"/>
            </w:rPr>
          </w:pPr>
          <w:hyperlink w:anchor="_Toc232456029" w:history="1">
            <w:r w:rsidRPr="005A3125">
              <w:rPr>
                <w:rStyle w:val="Hyperlink"/>
                <w:rFonts w:asciiTheme="minorBidi" w:hAnsiTheme="minorBidi" w:cstheme="minorBidi"/>
                <w:noProof/>
                <w:sz w:val="22"/>
              </w:rPr>
              <w:t>1.7 Research Questions</w:t>
            </w:r>
            <w:r w:rsidRPr="005A3125">
              <w:rPr>
                <w:rFonts w:asciiTheme="minorBidi" w:hAnsiTheme="minorBidi" w:cstheme="minorBidi"/>
                <w:noProof/>
                <w:webHidden/>
                <w:sz w:val="22"/>
              </w:rPr>
              <w:tab/>
            </w:r>
            <w:r w:rsidRPr="005A3125">
              <w:rPr>
                <w:rFonts w:asciiTheme="minorBidi" w:hAnsiTheme="minorBidi" w:cstheme="minorBidi"/>
                <w:noProof/>
                <w:webHidden/>
                <w:sz w:val="22"/>
              </w:rPr>
              <w:fldChar w:fldCharType="begin"/>
            </w:r>
            <w:r w:rsidRPr="005A3125">
              <w:rPr>
                <w:rFonts w:asciiTheme="minorBidi" w:hAnsiTheme="minorBidi" w:cstheme="minorBidi"/>
                <w:noProof/>
                <w:webHidden/>
                <w:sz w:val="22"/>
              </w:rPr>
              <w:instrText xml:space="preserve"> PAGEREF _Toc232456029 \h </w:instrText>
            </w:r>
            <w:r w:rsidRPr="005A3125">
              <w:rPr>
                <w:rFonts w:asciiTheme="minorBidi" w:hAnsiTheme="minorBidi" w:cstheme="minorBidi"/>
                <w:noProof/>
                <w:webHidden/>
                <w:sz w:val="22"/>
              </w:rPr>
            </w:r>
            <w:r w:rsidRPr="005A3125">
              <w:rPr>
                <w:rFonts w:asciiTheme="minorBidi" w:hAnsiTheme="minorBidi" w:cstheme="minorBidi"/>
                <w:noProof/>
                <w:webHidden/>
                <w:sz w:val="22"/>
              </w:rPr>
              <w:fldChar w:fldCharType="separate"/>
            </w:r>
            <w:r w:rsidRPr="005A3125">
              <w:rPr>
                <w:rFonts w:asciiTheme="minorBidi" w:hAnsiTheme="minorBidi" w:cstheme="minorBidi"/>
                <w:noProof/>
                <w:webHidden/>
                <w:sz w:val="22"/>
              </w:rPr>
              <w:t>15</w:t>
            </w:r>
            <w:r w:rsidRPr="005A3125">
              <w:rPr>
                <w:rFonts w:asciiTheme="minorBidi" w:hAnsiTheme="minorBidi" w:cstheme="minorBidi"/>
                <w:noProof/>
                <w:webHidden/>
                <w:sz w:val="22"/>
              </w:rPr>
              <w:fldChar w:fldCharType="end"/>
            </w:r>
          </w:hyperlink>
        </w:p>
        <w:p w14:paraId="5C5C23B0" w14:textId="3EB77055" w:rsidR="001A090C" w:rsidRPr="005A3125" w:rsidRDefault="001A090C">
          <w:pPr>
            <w:pStyle w:val="TOC1"/>
            <w:tabs>
              <w:tab w:val="right" w:leader="dot" w:pos="9016"/>
            </w:tabs>
            <w:rPr>
              <w:rFonts w:asciiTheme="minorBidi" w:eastAsiaTheme="minorEastAsia" w:hAnsiTheme="minorBidi" w:cstheme="minorBidi"/>
              <w:noProof/>
              <w:color w:val="auto"/>
              <w:sz w:val="22"/>
              <w:lang w:eastAsia="en-GB"/>
            </w:rPr>
          </w:pPr>
          <w:hyperlink w:anchor="_Toc232456030" w:history="1">
            <w:r w:rsidRPr="005A3125">
              <w:rPr>
                <w:rStyle w:val="Hyperlink"/>
                <w:rFonts w:asciiTheme="minorBidi" w:hAnsiTheme="minorBidi" w:cstheme="minorBidi"/>
                <w:noProof/>
                <w:sz w:val="22"/>
              </w:rPr>
              <w:t>1.8 Aim and Objectives</w:t>
            </w:r>
            <w:r w:rsidRPr="005A3125">
              <w:rPr>
                <w:rFonts w:asciiTheme="minorBidi" w:hAnsiTheme="minorBidi" w:cstheme="minorBidi"/>
                <w:noProof/>
                <w:webHidden/>
                <w:sz w:val="22"/>
              </w:rPr>
              <w:tab/>
            </w:r>
            <w:r w:rsidRPr="005A3125">
              <w:rPr>
                <w:rFonts w:asciiTheme="minorBidi" w:hAnsiTheme="minorBidi" w:cstheme="minorBidi"/>
                <w:noProof/>
                <w:webHidden/>
                <w:sz w:val="22"/>
              </w:rPr>
              <w:fldChar w:fldCharType="begin"/>
            </w:r>
            <w:r w:rsidRPr="005A3125">
              <w:rPr>
                <w:rFonts w:asciiTheme="minorBidi" w:hAnsiTheme="minorBidi" w:cstheme="minorBidi"/>
                <w:noProof/>
                <w:webHidden/>
                <w:sz w:val="22"/>
              </w:rPr>
              <w:instrText xml:space="preserve"> PAGEREF _Toc232456030 \h </w:instrText>
            </w:r>
            <w:r w:rsidRPr="005A3125">
              <w:rPr>
                <w:rFonts w:asciiTheme="minorBidi" w:hAnsiTheme="minorBidi" w:cstheme="minorBidi"/>
                <w:noProof/>
                <w:webHidden/>
                <w:sz w:val="22"/>
              </w:rPr>
            </w:r>
            <w:r w:rsidRPr="005A3125">
              <w:rPr>
                <w:rFonts w:asciiTheme="minorBidi" w:hAnsiTheme="minorBidi" w:cstheme="minorBidi"/>
                <w:noProof/>
                <w:webHidden/>
                <w:sz w:val="22"/>
              </w:rPr>
              <w:fldChar w:fldCharType="separate"/>
            </w:r>
            <w:r w:rsidRPr="005A3125">
              <w:rPr>
                <w:rFonts w:asciiTheme="minorBidi" w:hAnsiTheme="minorBidi" w:cstheme="minorBidi"/>
                <w:noProof/>
                <w:webHidden/>
                <w:sz w:val="22"/>
              </w:rPr>
              <w:t>15</w:t>
            </w:r>
            <w:r w:rsidRPr="005A3125">
              <w:rPr>
                <w:rFonts w:asciiTheme="minorBidi" w:hAnsiTheme="minorBidi" w:cstheme="minorBidi"/>
                <w:noProof/>
                <w:webHidden/>
                <w:sz w:val="22"/>
              </w:rPr>
              <w:fldChar w:fldCharType="end"/>
            </w:r>
          </w:hyperlink>
        </w:p>
        <w:p w14:paraId="55D2083A" w14:textId="7ABF7A67" w:rsidR="001A090C" w:rsidRPr="005A3125" w:rsidRDefault="001A090C">
          <w:pPr>
            <w:pStyle w:val="TOC1"/>
            <w:tabs>
              <w:tab w:val="right" w:leader="dot" w:pos="9016"/>
            </w:tabs>
            <w:rPr>
              <w:rFonts w:asciiTheme="minorBidi" w:eastAsiaTheme="minorEastAsia" w:hAnsiTheme="minorBidi" w:cstheme="minorBidi"/>
              <w:noProof/>
              <w:color w:val="auto"/>
              <w:sz w:val="22"/>
              <w:lang w:eastAsia="en-GB"/>
            </w:rPr>
          </w:pPr>
          <w:hyperlink w:anchor="_Toc232456031" w:history="1">
            <w:r w:rsidRPr="005A3125">
              <w:rPr>
                <w:rStyle w:val="Hyperlink"/>
                <w:rFonts w:asciiTheme="minorBidi" w:hAnsiTheme="minorBidi" w:cstheme="minorBidi"/>
                <w:noProof/>
                <w:sz w:val="22"/>
              </w:rPr>
              <w:t>1.9 Significance of the Study</w:t>
            </w:r>
            <w:r w:rsidRPr="005A3125">
              <w:rPr>
                <w:rFonts w:asciiTheme="minorBidi" w:hAnsiTheme="minorBidi" w:cstheme="minorBidi"/>
                <w:noProof/>
                <w:webHidden/>
                <w:sz w:val="22"/>
              </w:rPr>
              <w:tab/>
            </w:r>
            <w:r w:rsidRPr="005A3125">
              <w:rPr>
                <w:rFonts w:asciiTheme="minorBidi" w:hAnsiTheme="minorBidi" w:cstheme="minorBidi"/>
                <w:noProof/>
                <w:webHidden/>
                <w:sz w:val="22"/>
              </w:rPr>
              <w:fldChar w:fldCharType="begin"/>
            </w:r>
            <w:r w:rsidRPr="005A3125">
              <w:rPr>
                <w:rFonts w:asciiTheme="minorBidi" w:hAnsiTheme="minorBidi" w:cstheme="minorBidi"/>
                <w:noProof/>
                <w:webHidden/>
                <w:sz w:val="22"/>
              </w:rPr>
              <w:instrText xml:space="preserve"> PAGEREF _Toc232456031 \h </w:instrText>
            </w:r>
            <w:r w:rsidRPr="005A3125">
              <w:rPr>
                <w:rFonts w:asciiTheme="minorBidi" w:hAnsiTheme="minorBidi" w:cstheme="minorBidi"/>
                <w:noProof/>
                <w:webHidden/>
                <w:sz w:val="22"/>
              </w:rPr>
            </w:r>
            <w:r w:rsidRPr="005A3125">
              <w:rPr>
                <w:rFonts w:asciiTheme="minorBidi" w:hAnsiTheme="minorBidi" w:cstheme="minorBidi"/>
                <w:noProof/>
                <w:webHidden/>
                <w:sz w:val="22"/>
              </w:rPr>
              <w:fldChar w:fldCharType="separate"/>
            </w:r>
            <w:r w:rsidRPr="005A3125">
              <w:rPr>
                <w:rFonts w:asciiTheme="minorBidi" w:hAnsiTheme="minorBidi" w:cstheme="minorBidi"/>
                <w:noProof/>
                <w:webHidden/>
                <w:sz w:val="22"/>
              </w:rPr>
              <w:t>16</w:t>
            </w:r>
            <w:r w:rsidRPr="005A3125">
              <w:rPr>
                <w:rFonts w:asciiTheme="minorBidi" w:hAnsiTheme="minorBidi" w:cstheme="minorBidi"/>
                <w:noProof/>
                <w:webHidden/>
                <w:sz w:val="22"/>
              </w:rPr>
              <w:fldChar w:fldCharType="end"/>
            </w:r>
          </w:hyperlink>
        </w:p>
        <w:p w14:paraId="75928B7C" w14:textId="6DB840D3" w:rsidR="001A090C" w:rsidRPr="005A3125" w:rsidRDefault="001A090C">
          <w:pPr>
            <w:pStyle w:val="TOC1"/>
            <w:tabs>
              <w:tab w:val="right" w:leader="dot" w:pos="9016"/>
            </w:tabs>
            <w:rPr>
              <w:rFonts w:asciiTheme="minorBidi" w:eastAsiaTheme="minorEastAsia" w:hAnsiTheme="minorBidi" w:cstheme="minorBidi"/>
              <w:noProof/>
              <w:color w:val="auto"/>
              <w:sz w:val="22"/>
              <w:lang w:eastAsia="en-GB"/>
            </w:rPr>
          </w:pPr>
          <w:hyperlink w:anchor="_Toc232456032" w:history="1">
            <w:r w:rsidRPr="005A3125">
              <w:rPr>
                <w:rStyle w:val="Hyperlink"/>
                <w:rFonts w:asciiTheme="minorBidi" w:hAnsiTheme="minorBidi" w:cstheme="minorBidi"/>
                <w:noProof/>
                <w:sz w:val="22"/>
              </w:rPr>
              <w:t>1.10 Chapter Summary</w:t>
            </w:r>
            <w:r w:rsidRPr="005A3125">
              <w:rPr>
                <w:rFonts w:asciiTheme="minorBidi" w:hAnsiTheme="minorBidi" w:cstheme="minorBidi"/>
                <w:noProof/>
                <w:webHidden/>
                <w:sz w:val="22"/>
              </w:rPr>
              <w:tab/>
            </w:r>
            <w:r w:rsidRPr="005A3125">
              <w:rPr>
                <w:rFonts w:asciiTheme="minorBidi" w:hAnsiTheme="minorBidi" w:cstheme="minorBidi"/>
                <w:noProof/>
                <w:webHidden/>
                <w:sz w:val="22"/>
              </w:rPr>
              <w:fldChar w:fldCharType="begin"/>
            </w:r>
            <w:r w:rsidRPr="005A3125">
              <w:rPr>
                <w:rFonts w:asciiTheme="minorBidi" w:hAnsiTheme="minorBidi" w:cstheme="minorBidi"/>
                <w:noProof/>
                <w:webHidden/>
                <w:sz w:val="22"/>
              </w:rPr>
              <w:instrText xml:space="preserve"> PAGEREF _Toc232456032 \h </w:instrText>
            </w:r>
            <w:r w:rsidRPr="005A3125">
              <w:rPr>
                <w:rFonts w:asciiTheme="minorBidi" w:hAnsiTheme="minorBidi" w:cstheme="minorBidi"/>
                <w:noProof/>
                <w:webHidden/>
                <w:sz w:val="22"/>
              </w:rPr>
            </w:r>
            <w:r w:rsidRPr="005A3125">
              <w:rPr>
                <w:rFonts w:asciiTheme="minorBidi" w:hAnsiTheme="minorBidi" w:cstheme="minorBidi"/>
                <w:noProof/>
                <w:webHidden/>
                <w:sz w:val="22"/>
              </w:rPr>
              <w:fldChar w:fldCharType="separate"/>
            </w:r>
            <w:r w:rsidRPr="005A3125">
              <w:rPr>
                <w:rFonts w:asciiTheme="minorBidi" w:hAnsiTheme="minorBidi" w:cstheme="minorBidi"/>
                <w:noProof/>
                <w:webHidden/>
                <w:sz w:val="22"/>
              </w:rPr>
              <w:t>16</w:t>
            </w:r>
            <w:r w:rsidRPr="005A3125">
              <w:rPr>
                <w:rFonts w:asciiTheme="minorBidi" w:hAnsiTheme="minorBidi" w:cstheme="minorBidi"/>
                <w:noProof/>
                <w:webHidden/>
                <w:sz w:val="22"/>
              </w:rPr>
              <w:fldChar w:fldCharType="end"/>
            </w:r>
          </w:hyperlink>
        </w:p>
        <w:p w14:paraId="11FDFBE7" w14:textId="02579C0F" w:rsidR="001A090C" w:rsidRPr="005A3125" w:rsidRDefault="001A090C">
          <w:pPr>
            <w:pStyle w:val="TOC1"/>
            <w:tabs>
              <w:tab w:val="right" w:leader="dot" w:pos="9016"/>
            </w:tabs>
            <w:rPr>
              <w:rFonts w:asciiTheme="minorBidi" w:eastAsiaTheme="minorEastAsia" w:hAnsiTheme="minorBidi" w:cstheme="minorBidi"/>
              <w:noProof/>
              <w:color w:val="auto"/>
              <w:sz w:val="22"/>
              <w:lang w:eastAsia="en-GB"/>
            </w:rPr>
          </w:pPr>
          <w:hyperlink w:anchor="_Toc232456033" w:history="1">
            <w:r w:rsidRPr="005A3125">
              <w:rPr>
                <w:rStyle w:val="Hyperlink"/>
                <w:rFonts w:asciiTheme="minorBidi" w:hAnsiTheme="minorBidi" w:cstheme="minorBidi"/>
                <w:noProof/>
                <w:sz w:val="22"/>
              </w:rPr>
              <w:t>Chapter 2: Literature Review</w:t>
            </w:r>
            <w:r w:rsidRPr="005A3125">
              <w:rPr>
                <w:rFonts w:asciiTheme="minorBidi" w:hAnsiTheme="minorBidi" w:cstheme="minorBidi"/>
                <w:noProof/>
                <w:webHidden/>
                <w:sz w:val="22"/>
              </w:rPr>
              <w:tab/>
            </w:r>
            <w:r w:rsidRPr="005A3125">
              <w:rPr>
                <w:rFonts w:asciiTheme="minorBidi" w:hAnsiTheme="minorBidi" w:cstheme="minorBidi"/>
                <w:noProof/>
                <w:webHidden/>
                <w:sz w:val="22"/>
              </w:rPr>
              <w:fldChar w:fldCharType="begin"/>
            </w:r>
            <w:r w:rsidRPr="005A3125">
              <w:rPr>
                <w:rFonts w:asciiTheme="minorBidi" w:hAnsiTheme="minorBidi" w:cstheme="minorBidi"/>
                <w:noProof/>
                <w:webHidden/>
                <w:sz w:val="22"/>
              </w:rPr>
              <w:instrText xml:space="preserve"> PAGEREF _Toc232456033 \h </w:instrText>
            </w:r>
            <w:r w:rsidRPr="005A3125">
              <w:rPr>
                <w:rFonts w:asciiTheme="minorBidi" w:hAnsiTheme="minorBidi" w:cstheme="minorBidi"/>
                <w:noProof/>
                <w:webHidden/>
                <w:sz w:val="22"/>
              </w:rPr>
            </w:r>
            <w:r w:rsidRPr="005A3125">
              <w:rPr>
                <w:rFonts w:asciiTheme="minorBidi" w:hAnsiTheme="minorBidi" w:cstheme="minorBidi"/>
                <w:noProof/>
                <w:webHidden/>
                <w:sz w:val="22"/>
              </w:rPr>
              <w:fldChar w:fldCharType="separate"/>
            </w:r>
            <w:r w:rsidRPr="005A3125">
              <w:rPr>
                <w:rFonts w:asciiTheme="minorBidi" w:hAnsiTheme="minorBidi" w:cstheme="minorBidi"/>
                <w:noProof/>
                <w:webHidden/>
                <w:sz w:val="22"/>
              </w:rPr>
              <w:t>17</w:t>
            </w:r>
            <w:r w:rsidRPr="005A3125">
              <w:rPr>
                <w:rFonts w:asciiTheme="minorBidi" w:hAnsiTheme="minorBidi" w:cstheme="minorBidi"/>
                <w:noProof/>
                <w:webHidden/>
                <w:sz w:val="22"/>
              </w:rPr>
              <w:fldChar w:fldCharType="end"/>
            </w:r>
          </w:hyperlink>
        </w:p>
        <w:p w14:paraId="57B576F4" w14:textId="11AD8E32" w:rsidR="001A090C" w:rsidRPr="005A3125" w:rsidRDefault="001A090C">
          <w:pPr>
            <w:pStyle w:val="TOC1"/>
            <w:tabs>
              <w:tab w:val="right" w:leader="dot" w:pos="9016"/>
            </w:tabs>
            <w:rPr>
              <w:rFonts w:asciiTheme="minorBidi" w:eastAsiaTheme="minorEastAsia" w:hAnsiTheme="minorBidi" w:cstheme="minorBidi"/>
              <w:noProof/>
              <w:color w:val="auto"/>
              <w:sz w:val="22"/>
              <w:lang w:eastAsia="en-GB"/>
            </w:rPr>
          </w:pPr>
          <w:hyperlink w:anchor="_Toc232456034" w:history="1">
            <w:r w:rsidRPr="005A3125">
              <w:rPr>
                <w:rStyle w:val="Hyperlink"/>
                <w:rFonts w:asciiTheme="minorBidi" w:hAnsiTheme="minorBidi" w:cstheme="minorBidi"/>
                <w:noProof/>
                <w:sz w:val="22"/>
              </w:rPr>
              <w:t>2.4 Mental Health Inequalities and Ethnicity</w:t>
            </w:r>
            <w:r w:rsidRPr="005A3125">
              <w:rPr>
                <w:rFonts w:asciiTheme="minorBidi" w:hAnsiTheme="minorBidi" w:cstheme="minorBidi"/>
                <w:noProof/>
                <w:webHidden/>
                <w:sz w:val="22"/>
              </w:rPr>
              <w:tab/>
            </w:r>
            <w:r w:rsidRPr="005A3125">
              <w:rPr>
                <w:rFonts w:asciiTheme="minorBidi" w:hAnsiTheme="minorBidi" w:cstheme="minorBidi"/>
                <w:noProof/>
                <w:webHidden/>
                <w:sz w:val="22"/>
              </w:rPr>
              <w:fldChar w:fldCharType="begin"/>
            </w:r>
            <w:r w:rsidRPr="005A3125">
              <w:rPr>
                <w:rFonts w:asciiTheme="minorBidi" w:hAnsiTheme="minorBidi" w:cstheme="minorBidi"/>
                <w:noProof/>
                <w:webHidden/>
                <w:sz w:val="22"/>
              </w:rPr>
              <w:instrText xml:space="preserve"> PAGEREF _Toc232456034 \h </w:instrText>
            </w:r>
            <w:r w:rsidRPr="005A3125">
              <w:rPr>
                <w:rFonts w:asciiTheme="minorBidi" w:hAnsiTheme="minorBidi" w:cstheme="minorBidi"/>
                <w:noProof/>
                <w:webHidden/>
                <w:sz w:val="22"/>
              </w:rPr>
            </w:r>
            <w:r w:rsidRPr="005A3125">
              <w:rPr>
                <w:rFonts w:asciiTheme="minorBidi" w:hAnsiTheme="minorBidi" w:cstheme="minorBidi"/>
                <w:noProof/>
                <w:webHidden/>
                <w:sz w:val="22"/>
              </w:rPr>
              <w:fldChar w:fldCharType="separate"/>
            </w:r>
            <w:r w:rsidRPr="005A3125">
              <w:rPr>
                <w:rFonts w:asciiTheme="minorBidi" w:hAnsiTheme="minorBidi" w:cstheme="minorBidi"/>
                <w:noProof/>
                <w:webHidden/>
                <w:sz w:val="22"/>
              </w:rPr>
              <w:t>20</w:t>
            </w:r>
            <w:r w:rsidRPr="005A3125">
              <w:rPr>
                <w:rFonts w:asciiTheme="minorBidi" w:hAnsiTheme="minorBidi" w:cstheme="minorBidi"/>
                <w:noProof/>
                <w:webHidden/>
                <w:sz w:val="22"/>
              </w:rPr>
              <w:fldChar w:fldCharType="end"/>
            </w:r>
          </w:hyperlink>
        </w:p>
        <w:p w14:paraId="67A144A8" w14:textId="67A1DBD0" w:rsidR="001A090C" w:rsidRPr="005A3125" w:rsidRDefault="001A090C">
          <w:pPr>
            <w:pStyle w:val="TOC1"/>
            <w:tabs>
              <w:tab w:val="right" w:leader="dot" w:pos="9016"/>
            </w:tabs>
            <w:rPr>
              <w:rFonts w:asciiTheme="minorBidi" w:eastAsiaTheme="minorEastAsia" w:hAnsiTheme="minorBidi" w:cstheme="minorBidi"/>
              <w:noProof/>
              <w:color w:val="auto"/>
              <w:sz w:val="22"/>
              <w:lang w:eastAsia="en-GB"/>
            </w:rPr>
          </w:pPr>
          <w:hyperlink w:anchor="_Toc232456035" w:history="1">
            <w:r w:rsidRPr="005A3125">
              <w:rPr>
                <w:rStyle w:val="Hyperlink"/>
                <w:rFonts w:asciiTheme="minorBidi" w:hAnsiTheme="minorBidi" w:cstheme="minorBidi"/>
                <w:noProof/>
                <w:sz w:val="22"/>
              </w:rPr>
              <w:t>2.5 Structural Racism and Mental Health</w:t>
            </w:r>
            <w:r w:rsidRPr="005A3125">
              <w:rPr>
                <w:rFonts w:asciiTheme="minorBidi" w:hAnsiTheme="minorBidi" w:cstheme="minorBidi"/>
                <w:noProof/>
                <w:webHidden/>
                <w:sz w:val="22"/>
              </w:rPr>
              <w:tab/>
            </w:r>
            <w:r w:rsidRPr="005A3125">
              <w:rPr>
                <w:rFonts w:asciiTheme="minorBidi" w:hAnsiTheme="minorBidi" w:cstheme="minorBidi"/>
                <w:noProof/>
                <w:webHidden/>
                <w:sz w:val="22"/>
              </w:rPr>
              <w:fldChar w:fldCharType="begin"/>
            </w:r>
            <w:r w:rsidRPr="005A3125">
              <w:rPr>
                <w:rFonts w:asciiTheme="minorBidi" w:hAnsiTheme="minorBidi" w:cstheme="minorBidi"/>
                <w:noProof/>
                <w:webHidden/>
                <w:sz w:val="22"/>
              </w:rPr>
              <w:instrText xml:space="preserve"> PAGEREF _Toc232456035 \h </w:instrText>
            </w:r>
            <w:r w:rsidRPr="005A3125">
              <w:rPr>
                <w:rFonts w:asciiTheme="minorBidi" w:hAnsiTheme="minorBidi" w:cstheme="minorBidi"/>
                <w:noProof/>
                <w:webHidden/>
                <w:sz w:val="22"/>
              </w:rPr>
            </w:r>
            <w:r w:rsidRPr="005A3125">
              <w:rPr>
                <w:rFonts w:asciiTheme="minorBidi" w:hAnsiTheme="minorBidi" w:cstheme="minorBidi"/>
                <w:noProof/>
                <w:webHidden/>
                <w:sz w:val="22"/>
              </w:rPr>
              <w:fldChar w:fldCharType="separate"/>
            </w:r>
            <w:r w:rsidRPr="005A3125">
              <w:rPr>
                <w:rFonts w:asciiTheme="minorBidi" w:hAnsiTheme="minorBidi" w:cstheme="minorBidi"/>
                <w:noProof/>
                <w:webHidden/>
                <w:sz w:val="22"/>
              </w:rPr>
              <w:t>20</w:t>
            </w:r>
            <w:r w:rsidRPr="005A3125">
              <w:rPr>
                <w:rFonts w:asciiTheme="minorBidi" w:hAnsiTheme="minorBidi" w:cstheme="minorBidi"/>
                <w:noProof/>
                <w:webHidden/>
                <w:sz w:val="22"/>
              </w:rPr>
              <w:fldChar w:fldCharType="end"/>
            </w:r>
          </w:hyperlink>
        </w:p>
        <w:p w14:paraId="30D3CEF4" w14:textId="4A72C1D7" w:rsidR="001A090C" w:rsidRPr="005A3125" w:rsidRDefault="001A090C">
          <w:pPr>
            <w:pStyle w:val="TOC1"/>
            <w:tabs>
              <w:tab w:val="right" w:leader="dot" w:pos="9016"/>
            </w:tabs>
            <w:rPr>
              <w:rFonts w:asciiTheme="minorBidi" w:eastAsiaTheme="minorEastAsia" w:hAnsiTheme="minorBidi" w:cstheme="minorBidi"/>
              <w:noProof/>
              <w:color w:val="auto"/>
              <w:sz w:val="22"/>
              <w:lang w:eastAsia="en-GB"/>
            </w:rPr>
          </w:pPr>
          <w:hyperlink w:anchor="_Toc232456036" w:history="1">
            <w:r w:rsidRPr="005A3125">
              <w:rPr>
                <w:rStyle w:val="Hyperlink"/>
                <w:rFonts w:asciiTheme="minorBidi" w:hAnsiTheme="minorBidi" w:cstheme="minorBidi"/>
                <w:noProof/>
                <w:sz w:val="22"/>
              </w:rPr>
              <w:t>2.6 Social Determinants of Mental Health</w:t>
            </w:r>
            <w:r w:rsidRPr="005A3125">
              <w:rPr>
                <w:rFonts w:asciiTheme="minorBidi" w:hAnsiTheme="minorBidi" w:cstheme="minorBidi"/>
                <w:noProof/>
                <w:webHidden/>
                <w:sz w:val="22"/>
              </w:rPr>
              <w:tab/>
            </w:r>
            <w:r w:rsidRPr="005A3125">
              <w:rPr>
                <w:rFonts w:asciiTheme="minorBidi" w:hAnsiTheme="minorBidi" w:cstheme="minorBidi"/>
                <w:noProof/>
                <w:webHidden/>
                <w:sz w:val="22"/>
              </w:rPr>
              <w:fldChar w:fldCharType="begin"/>
            </w:r>
            <w:r w:rsidRPr="005A3125">
              <w:rPr>
                <w:rFonts w:asciiTheme="minorBidi" w:hAnsiTheme="minorBidi" w:cstheme="minorBidi"/>
                <w:noProof/>
                <w:webHidden/>
                <w:sz w:val="22"/>
              </w:rPr>
              <w:instrText xml:space="preserve"> PAGEREF _Toc232456036 \h </w:instrText>
            </w:r>
            <w:r w:rsidRPr="005A3125">
              <w:rPr>
                <w:rFonts w:asciiTheme="minorBidi" w:hAnsiTheme="minorBidi" w:cstheme="minorBidi"/>
                <w:noProof/>
                <w:webHidden/>
                <w:sz w:val="22"/>
              </w:rPr>
            </w:r>
            <w:r w:rsidRPr="005A3125">
              <w:rPr>
                <w:rFonts w:asciiTheme="minorBidi" w:hAnsiTheme="minorBidi" w:cstheme="minorBidi"/>
                <w:noProof/>
                <w:webHidden/>
                <w:sz w:val="22"/>
              </w:rPr>
              <w:fldChar w:fldCharType="separate"/>
            </w:r>
            <w:r w:rsidRPr="005A3125">
              <w:rPr>
                <w:rFonts w:asciiTheme="minorBidi" w:hAnsiTheme="minorBidi" w:cstheme="minorBidi"/>
                <w:noProof/>
                <w:webHidden/>
                <w:sz w:val="22"/>
              </w:rPr>
              <w:t>22</w:t>
            </w:r>
            <w:r w:rsidRPr="005A3125">
              <w:rPr>
                <w:rFonts w:asciiTheme="minorBidi" w:hAnsiTheme="minorBidi" w:cstheme="minorBidi"/>
                <w:noProof/>
                <w:webHidden/>
                <w:sz w:val="22"/>
              </w:rPr>
              <w:fldChar w:fldCharType="end"/>
            </w:r>
          </w:hyperlink>
        </w:p>
        <w:p w14:paraId="48B72C06" w14:textId="576A830D" w:rsidR="001A090C" w:rsidRPr="005A3125" w:rsidRDefault="001A090C">
          <w:pPr>
            <w:pStyle w:val="TOC1"/>
            <w:tabs>
              <w:tab w:val="right" w:leader="dot" w:pos="9016"/>
            </w:tabs>
            <w:rPr>
              <w:rFonts w:asciiTheme="minorBidi" w:eastAsiaTheme="minorEastAsia" w:hAnsiTheme="minorBidi" w:cstheme="minorBidi"/>
              <w:noProof/>
              <w:color w:val="auto"/>
              <w:sz w:val="22"/>
              <w:lang w:eastAsia="en-GB"/>
            </w:rPr>
          </w:pPr>
          <w:hyperlink w:anchor="_Toc232456037" w:history="1">
            <w:r w:rsidRPr="005A3125">
              <w:rPr>
                <w:rStyle w:val="Hyperlink"/>
                <w:rFonts w:asciiTheme="minorBidi" w:hAnsiTheme="minorBidi" w:cstheme="minorBidi"/>
                <w:noProof/>
                <w:sz w:val="22"/>
              </w:rPr>
              <w:t>2.7 Educational Inequalities and School Exclusion</w:t>
            </w:r>
            <w:r w:rsidRPr="005A3125">
              <w:rPr>
                <w:rFonts w:asciiTheme="minorBidi" w:hAnsiTheme="minorBidi" w:cstheme="minorBidi"/>
                <w:noProof/>
                <w:webHidden/>
                <w:sz w:val="22"/>
              </w:rPr>
              <w:tab/>
            </w:r>
            <w:r w:rsidRPr="005A3125">
              <w:rPr>
                <w:rFonts w:asciiTheme="minorBidi" w:hAnsiTheme="minorBidi" w:cstheme="minorBidi"/>
                <w:noProof/>
                <w:webHidden/>
                <w:sz w:val="22"/>
              </w:rPr>
              <w:fldChar w:fldCharType="begin"/>
            </w:r>
            <w:r w:rsidRPr="005A3125">
              <w:rPr>
                <w:rFonts w:asciiTheme="minorBidi" w:hAnsiTheme="minorBidi" w:cstheme="minorBidi"/>
                <w:noProof/>
                <w:webHidden/>
                <w:sz w:val="22"/>
              </w:rPr>
              <w:instrText xml:space="preserve"> PAGEREF _Toc232456037 \h </w:instrText>
            </w:r>
            <w:r w:rsidRPr="005A3125">
              <w:rPr>
                <w:rFonts w:asciiTheme="minorBidi" w:hAnsiTheme="minorBidi" w:cstheme="minorBidi"/>
                <w:noProof/>
                <w:webHidden/>
                <w:sz w:val="22"/>
              </w:rPr>
            </w:r>
            <w:r w:rsidRPr="005A3125">
              <w:rPr>
                <w:rFonts w:asciiTheme="minorBidi" w:hAnsiTheme="minorBidi" w:cstheme="minorBidi"/>
                <w:noProof/>
                <w:webHidden/>
                <w:sz w:val="22"/>
              </w:rPr>
              <w:fldChar w:fldCharType="separate"/>
            </w:r>
            <w:r w:rsidRPr="005A3125">
              <w:rPr>
                <w:rFonts w:asciiTheme="minorBidi" w:hAnsiTheme="minorBidi" w:cstheme="minorBidi"/>
                <w:noProof/>
                <w:webHidden/>
                <w:sz w:val="22"/>
              </w:rPr>
              <w:t>23</w:t>
            </w:r>
            <w:r w:rsidRPr="005A3125">
              <w:rPr>
                <w:rFonts w:asciiTheme="minorBidi" w:hAnsiTheme="minorBidi" w:cstheme="minorBidi"/>
                <w:noProof/>
                <w:webHidden/>
                <w:sz w:val="22"/>
              </w:rPr>
              <w:fldChar w:fldCharType="end"/>
            </w:r>
          </w:hyperlink>
        </w:p>
        <w:p w14:paraId="3620C3AA" w14:textId="238CE3B6" w:rsidR="001A090C" w:rsidRPr="005A3125" w:rsidRDefault="001A090C">
          <w:pPr>
            <w:pStyle w:val="TOC1"/>
            <w:tabs>
              <w:tab w:val="right" w:leader="dot" w:pos="9016"/>
            </w:tabs>
            <w:rPr>
              <w:rFonts w:asciiTheme="minorBidi" w:eastAsiaTheme="minorEastAsia" w:hAnsiTheme="minorBidi" w:cstheme="minorBidi"/>
              <w:noProof/>
              <w:color w:val="auto"/>
              <w:sz w:val="22"/>
              <w:lang w:eastAsia="en-GB"/>
            </w:rPr>
          </w:pPr>
          <w:hyperlink w:anchor="_Toc232456038" w:history="1">
            <w:r w:rsidRPr="005A3125">
              <w:rPr>
                <w:rStyle w:val="Hyperlink"/>
                <w:rFonts w:asciiTheme="minorBidi" w:hAnsiTheme="minorBidi" w:cstheme="minorBidi"/>
                <w:noProof/>
                <w:sz w:val="22"/>
              </w:rPr>
              <w:t>2.8 Identity Conflict and Mixed African Youth Experiences</w:t>
            </w:r>
            <w:r w:rsidRPr="005A3125">
              <w:rPr>
                <w:rFonts w:asciiTheme="minorBidi" w:hAnsiTheme="minorBidi" w:cstheme="minorBidi"/>
                <w:noProof/>
                <w:webHidden/>
                <w:sz w:val="22"/>
              </w:rPr>
              <w:tab/>
            </w:r>
            <w:r w:rsidRPr="005A3125">
              <w:rPr>
                <w:rFonts w:asciiTheme="minorBidi" w:hAnsiTheme="minorBidi" w:cstheme="minorBidi"/>
                <w:noProof/>
                <w:webHidden/>
                <w:sz w:val="22"/>
              </w:rPr>
              <w:fldChar w:fldCharType="begin"/>
            </w:r>
            <w:r w:rsidRPr="005A3125">
              <w:rPr>
                <w:rFonts w:asciiTheme="minorBidi" w:hAnsiTheme="minorBidi" w:cstheme="minorBidi"/>
                <w:noProof/>
                <w:webHidden/>
                <w:sz w:val="22"/>
              </w:rPr>
              <w:instrText xml:space="preserve"> PAGEREF _Toc232456038 \h </w:instrText>
            </w:r>
            <w:r w:rsidRPr="005A3125">
              <w:rPr>
                <w:rFonts w:asciiTheme="minorBidi" w:hAnsiTheme="minorBidi" w:cstheme="minorBidi"/>
                <w:noProof/>
                <w:webHidden/>
                <w:sz w:val="22"/>
              </w:rPr>
            </w:r>
            <w:r w:rsidRPr="005A3125">
              <w:rPr>
                <w:rFonts w:asciiTheme="minorBidi" w:hAnsiTheme="minorBidi" w:cstheme="minorBidi"/>
                <w:noProof/>
                <w:webHidden/>
                <w:sz w:val="22"/>
              </w:rPr>
              <w:fldChar w:fldCharType="separate"/>
            </w:r>
            <w:r w:rsidRPr="005A3125">
              <w:rPr>
                <w:rFonts w:asciiTheme="minorBidi" w:hAnsiTheme="minorBidi" w:cstheme="minorBidi"/>
                <w:noProof/>
                <w:webHidden/>
                <w:sz w:val="22"/>
              </w:rPr>
              <w:t>24</w:t>
            </w:r>
            <w:r w:rsidRPr="005A3125">
              <w:rPr>
                <w:rFonts w:asciiTheme="minorBidi" w:hAnsiTheme="minorBidi" w:cstheme="minorBidi"/>
                <w:noProof/>
                <w:webHidden/>
                <w:sz w:val="22"/>
              </w:rPr>
              <w:fldChar w:fldCharType="end"/>
            </w:r>
          </w:hyperlink>
        </w:p>
        <w:p w14:paraId="21FF104D" w14:textId="352162DF" w:rsidR="001A090C" w:rsidRPr="005A3125" w:rsidRDefault="001A090C">
          <w:pPr>
            <w:pStyle w:val="TOC1"/>
            <w:tabs>
              <w:tab w:val="right" w:leader="dot" w:pos="9016"/>
            </w:tabs>
            <w:rPr>
              <w:rFonts w:asciiTheme="minorBidi" w:eastAsiaTheme="minorEastAsia" w:hAnsiTheme="minorBidi" w:cstheme="minorBidi"/>
              <w:noProof/>
              <w:color w:val="auto"/>
              <w:sz w:val="22"/>
              <w:lang w:eastAsia="en-GB"/>
            </w:rPr>
          </w:pPr>
          <w:hyperlink w:anchor="_Toc232456039" w:history="1">
            <w:r w:rsidRPr="005A3125">
              <w:rPr>
                <w:rStyle w:val="Hyperlink"/>
                <w:rFonts w:asciiTheme="minorBidi" w:hAnsiTheme="minorBidi" w:cstheme="minorBidi"/>
                <w:noProof/>
                <w:sz w:val="22"/>
              </w:rPr>
              <w:t>2.9 Minority Stress Theory</w:t>
            </w:r>
            <w:r w:rsidRPr="005A3125">
              <w:rPr>
                <w:rFonts w:asciiTheme="minorBidi" w:hAnsiTheme="minorBidi" w:cstheme="minorBidi"/>
                <w:noProof/>
                <w:webHidden/>
                <w:sz w:val="22"/>
              </w:rPr>
              <w:tab/>
            </w:r>
            <w:r w:rsidRPr="005A3125">
              <w:rPr>
                <w:rFonts w:asciiTheme="minorBidi" w:hAnsiTheme="minorBidi" w:cstheme="minorBidi"/>
                <w:noProof/>
                <w:webHidden/>
                <w:sz w:val="22"/>
              </w:rPr>
              <w:fldChar w:fldCharType="begin"/>
            </w:r>
            <w:r w:rsidRPr="005A3125">
              <w:rPr>
                <w:rFonts w:asciiTheme="minorBidi" w:hAnsiTheme="minorBidi" w:cstheme="minorBidi"/>
                <w:noProof/>
                <w:webHidden/>
                <w:sz w:val="22"/>
              </w:rPr>
              <w:instrText xml:space="preserve"> PAGEREF _Toc232456039 \h </w:instrText>
            </w:r>
            <w:r w:rsidRPr="005A3125">
              <w:rPr>
                <w:rFonts w:asciiTheme="minorBidi" w:hAnsiTheme="minorBidi" w:cstheme="minorBidi"/>
                <w:noProof/>
                <w:webHidden/>
                <w:sz w:val="22"/>
              </w:rPr>
            </w:r>
            <w:r w:rsidRPr="005A3125">
              <w:rPr>
                <w:rFonts w:asciiTheme="minorBidi" w:hAnsiTheme="minorBidi" w:cstheme="minorBidi"/>
                <w:noProof/>
                <w:webHidden/>
                <w:sz w:val="22"/>
              </w:rPr>
              <w:fldChar w:fldCharType="separate"/>
            </w:r>
            <w:r w:rsidRPr="005A3125">
              <w:rPr>
                <w:rFonts w:asciiTheme="minorBidi" w:hAnsiTheme="minorBidi" w:cstheme="minorBidi"/>
                <w:noProof/>
                <w:webHidden/>
                <w:sz w:val="22"/>
              </w:rPr>
              <w:t>25</w:t>
            </w:r>
            <w:r w:rsidRPr="005A3125">
              <w:rPr>
                <w:rFonts w:asciiTheme="minorBidi" w:hAnsiTheme="minorBidi" w:cstheme="minorBidi"/>
                <w:noProof/>
                <w:webHidden/>
                <w:sz w:val="22"/>
              </w:rPr>
              <w:fldChar w:fldCharType="end"/>
            </w:r>
          </w:hyperlink>
        </w:p>
        <w:p w14:paraId="51210EA6" w14:textId="503A4A2E" w:rsidR="001A090C" w:rsidRPr="005A3125" w:rsidRDefault="001A090C">
          <w:pPr>
            <w:pStyle w:val="TOC1"/>
            <w:tabs>
              <w:tab w:val="right" w:leader="dot" w:pos="9016"/>
            </w:tabs>
            <w:rPr>
              <w:rFonts w:asciiTheme="minorBidi" w:eastAsiaTheme="minorEastAsia" w:hAnsiTheme="minorBidi" w:cstheme="minorBidi"/>
              <w:noProof/>
              <w:color w:val="auto"/>
              <w:sz w:val="22"/>
              <w:lang w:eastAsia="en-GB"/>
            </w:rPr>
          </w:pPr>
          <w:hyperlink w:anchor="_Toc232456040" w:history="1">
            <w:r w:rsidRPr="005A3125">
              <w:rPr>
                <w:rStyle w:val="Hyperlink"/>
                <w:rFonts w:asciiTheme="minorBidi" w:hAnsiTheme="minorBidi" w:cstheme="minorBidi"/>
                <w:noProof/>
                <w:sz w:val="22"/>
              </w:rPr>
              <w:t>2.10 Mental Health Stigma Within African-Heritage Communities</w:t>
            </w:r>
            <w:r w:rsidRPr="005A3125">
              <w:rPr>
                <w:rFonts w:asciiTheme="minorBidi" w:hAnsiTheme="minorBidi" w:cstheme="minorBidi"/>
                <w:noProof/>
                <w:webHidden/>
                <w:sz w:val="22"/>
              </w:rPr>
              <w:tab/>
            </w:r>
            <w:r w:rsidRPr="005A3125">
              <w:rPr>
                <w:rFonts w:asciiTheme="minorBidi" w:hAnsiTheme="minorBidi" w:cstheme="minorBidi"/>
                <w:noProof/>
                <w:webHidden/>
                <w:sz w:val="22"/>
              </w:rPr>
              <w:fldChar w:fldCharType="begin"/>
            </w:r>
            <w:r w:rsidRPr="005A3125">
              <w:rPr>
                <w:rFonts w:asciiTheme="minorBidi" w:hAnsiTheme="minorBidi" w:cstheme="minorBidi"/>
                <w:noProof/>
                <w:webHidden/>
                <w:sz w:val="22"/>
              </w:rPr>
              <w:instrText xml:space="preserve"> PAGEREF _Toc232456040 \h </w:instrText>
            </w:r>
            <w:r w:rsidRPr="005A3125">
              <w:rPr>
                <w:rFonts w:asciiTheme="minorBidi" w:hAnsiTheme="minorBidi" w:cstheme="minorBidi"/>
                <w:noProof/>
                <w:webHidden/>
                <w:sz w:val="22"/>
              </w:rPr>
            </w:r>
            <w:r w:rsidRPr="005A3125">
              <w:rPr>
                <w:rFonts w:asciiTheme="minorBidi" w:hAnsiTheme="minorBidi" w:cstheme="minorBidi"/>
                <w:noProof/>
                <w:webHidden/>
                <w:sz w:val="22"/>
              </w:rPr>
              <w:fldChar w:fldCharType="separate"/>
            </w:r>
            <w:r w:rsidRPr="005A3125">
              <w:rPr>
                <w:rFonts w:asciiTheme="minorBidi" w:hAnsiTheme="minorBidi" w:cstheme="minorBidi"/>
                <w:noProof/>
                <w:webHidden/>
                <w:sz w:val="22"/>
              </w:rPr>
              <w:t>26</w:t>
            </w:r>
            <w:r w:rsidRPr="005A3125">
              <w:rPr>
                <w:rFonts w:asciiTheme="minorBidi" w:hAnsiTheme="minorBidi" w:cstheme="minorBidi"/>
                <w:noProof/>
                <w:webHidden/>
                <w:sz w:val="22"/>
              </w:rPr>
              <w:fldChar w:fldCharType="end"/>
            </w:r>
          </w:hyperlink>
        </w:p>
        <w:p w14:paraId="7C3BC460" w14:textId="1F9CA838" w:rsidR="001A090C" w:rsidRPr="005A3125" w:rsidRDefault="001A090C">
          <w:pPr>
            <w:pStyle w:val="TOC1"/>
            <w:tabs>
              <w:tab w:val="right" w:leader="dot" w:pos="9016"/>
            </w:tabs>
            <w:rPr>
              <w:rFonts w:asciiTheme="minorBidi" w:eastAsiaTheme="minorEastAsia" w:hAnsiTheme="minorBidi" w:cstheme="minorBidi"/>
              <w:noProof/>
              <w:color w:val="auto"/>
              <w:sz w:val="22"/>
              <w:lang w:eastAsia="en-GB"/>
            </w:rPr>
          </w:pPr>
          <w:hyperlink w:anchor="_Toc232456041" w:history="1">
            <w:r w:rsidRPr="005A3125">
              <w:rPr>
                <w:rStyle w:val="Hyperlink"/>
                <w:rFonts w:asciiTheme="minorBidi" w:hAnsiTheme="minorBidi" w:cstheme="minorBidi"/>
                <w:noProof/>
                <w:sz w:val="22"/>
              </w:rPr>
              <w:t>2.11 Barriers Affecting Access to Mental Healthcare Services</w:t>
            </w:r>
            <w:r w:rsidRPr="005A3125">
              <w:rPr>
                <w:rFonts w:asciiTheme="minorBidi" w:hAnsiTheme="minorBidi" w:cstheme="minorBidi"/>
                <w:noProof/>
                <w:webHidden/>
                <w:sz w:val="22"/>
              </w:rPr>
              <w:tab/>
            </w:r>
            <w:r w:rsidRPr="005A3125">
              <w:rPr>
                <w:rFonts w:asciiTheme="minorBidi" w:hAnsiTheme="minorBidi" w:cstheme="minorBidi"/>
                <w:noProof/>
                <w:webHidden/>
                <w:sz w:val="22"/>
              </w:rPr>
              <w:fldChar w:fldCharType="begin"/>
            </w:r>
            <w:r w:rsidRPr="005A3125">
              <w:rPr>
                <w:rFonts w:asciiTheme="minorBidi" w:hAnsiTheme="minorBidi" w:cstheme="minorBidi"/>
                <w:noProof/>
                <w:webHidden/>
                <w:sz w:val="22"/>
              </w:rPr>
              <w:instrText xml:space="preserve"> PAGEREF _Toc232456041 \h </w:instrText>
            </w:r>
            <w:r w:rsidRPr="005A3125">
              <w:rPr>
                <w:rFonts w:asciiTheme="minorBidi" w:hAnsiTheme="minorBidi" w:cstheme="minorBidi"/>
                <w:noProof/>
                <w:webHidden/>
                <w:sz w:val="22"/>
              </w:rPr>
            </w:r>
            <w:r w:rsidRPr="005A3125">
              <w:rPr>
                <w:rFonts w:asciiTheme="minorBidi" w:hAnsiTheme="minorBidi" w:cstheme="minorBidi"/>
                <w:noProof/>
                <w:webHidden/>
                <w:sz w:val="22"/>
              </w:rPr>
              <w:fldChar w:fldCharType="separate"/>
            </w:r>
            <w:r w:rsidRPr="005A3125">
              <w:rPr>
                <w:rFonts w:asciiTheme="minorBidi" w:hAnsiTheme="minorBidi" w:cstheme="minorBidi"/>
                <w:noProof/>
                <w:webHidden/>
                <w:sz w:val="22"/>
              </w:rPr>
              <w:t>26</w:t>
            </w:r>
            <w:r w:rsidRPr="005A3125">
              <w:rPr>
                <w:rFonts w:asciiTheme="minorBidi" w:hAnsiTheme="minorBidi" w:cstheme="minorBidi"/>
                <w:noProof/>
                <w:webHidden/>
                <w:sz w:val="22"/>
              </w:rPr>
              <w:fldChar w:fldCharType="end"/>
            </w:r>
          </w:hyperlink>
        </w:p>
        <w:p w14:paraId="1BE9A16C" w14:textId="6860E944" w:rsidR="001A090C" w:rsidRPr="005A3125" w:rsidRDefault="001A090C">
          <w:pPr>
            <w:pStyle w:val="TOC1"/>
            <w:tabs>
              <w:tab w:val="right" w:leader="dot" w:pos="9016"/>
            </w:tabs>
            <w:rPr>
              <w:rFonts w:asciiTheme="minorBidi" w:eastAsiaTheme="minorEastAsia" w:hAnsiTheme="minorBidi" w:cstheme="minorBidi"/>
              <w:noProof/>
              <w:color w:val="auto"/>
              <w:sz w:val="22"/>
              <w:lang w:eastAsia="en-GB"/>
            </w:rPr>
          </w:pPr>
          <w:hyperlink w:anchor="_Toc232456042" w:history="1">
            <w:r w:rsidRPr="005A3125">
              <w:rPr>
                <w:rStyle w:val="Hyperlink"/>
                <w:rFonts w:asciiTheme="minorBidi" w:hAnsiTheme="minorBidi" w:cstheme="minorBidi"/>
                <w:noProof/>
                <w:sz w:val="22"/>
              </w:rPr>
              <w:t>2.12 Culturally Responsive Mental Healthcare</w:t>
            </w:r>
            <w:r w:rsidRPr="005A3125">
              <w:rPr>
                <w:rFonts w:asciiTheme="minorBidi" w:hAnsiTheme="minorBidi" w:cstheme="minorBidi"/>
                <w:noProof/>
                <w:webHidden/>
                <w:sz w:val="22"/>
              </w:rPr>
              <w:tab/>
            </w:r>
            <w:r w:rsidRPr="005A3125">
              <w:rPr>
                <w:rFonts w:asciiTheme="minorBidi" w:hAnsiTheme="minorBidi" w:cstheme="minorBidi"/>
                <w:noProof/>
                <w:webHidden/>
                <w:sz w:val="22"/>
              </w:rPr>
              <w:fldChar w:fldCharType="begin"/>
            </w:r>
            <w:r w:rsidRPr="005A3125">
              <w:rPr>
                <w:rFonts w:asciiTheme="minorBidi" w:hAnsiTheme="minorBidi" w:cstheme="minorBidi"/>
                <w:noProof/>
                <w:webHidden/>
                <w:sz w:val="22"/>
              </w:rPr>
              <w:instrText xml:space="preserve"> PAGEREF _Toc232456042 \h </w:instrText>
            </w:r>
            <w:r w:rsidRPr="005A3125">
              <w:rPr>
                <w:rFonts w:asciiTheme="minorBidi" w:hAnsiTheme="minorBidi" w:cstheme="minorBidi"/>
                <w:noProof/>
                <w:webHidden/>
                <w:sz w:val="22"/>
              </w:rPr>
            </w:r>
            <w:r w:rsidRPr="005A3125">
              <w:rPr>
                <w:rFonts w:asciiTheme="minorBidi" w:hAnsiTheme="minorBidi" w:cstheme="minorBidi"/>
                <w:noProof/>
                <w:webHidden/>
                <w:sz w:val="22"/>
              </w:rPr>
              <w:fldChar w:fldCharType="separate"/>
            </w:r>
            <w:r w:rsidRPr="005A3125">
              <w:rPr>
                <w:rFonts w:asciiTheme="minorBidi" w:hAnsiTheme="minorBidi" w:cstheme="minorBidi"/>
                <w:noProof/>
                <w:webHidden/>
                <w:sz w:val="22"/>
              </w:rPr>
              <w:t>28</w:t>
            </w:r>
            <w:r w:rsidRPr="005A3125">
              <w:rPr>
                <w:rFonts w:asciiTheme="minorBidi" w:hAnsiTheme="minorBidi" w:cstheme="minorBidi"/>
                <w:noProof/>
                <w:webHidden/>
                <w:sz w:val="22"/>
              </w:rPr>
              <w:fldChar w:fldCharType="end"/>
            </w:r>
          </w:hyperlink>
        </w:p>
        <w:p w14:paraId="6CE25A2A" w14:textId="370C62AB" w:rsidR="001A090C" w:rsidRPr="005A3125" w:rsidRDefault="001A090C">
          <w:pPr>
            <w:pStyle w:val="TOC1"/>
            <w:tabs>
              <w:tab w:val="right" w:leader="dot" w:pos="9016"/>
            </w:tabs>
            <w:rPr>
              <w:rFonts w:asciiTheme="minorBidi" w:eastAsiaTheme="minorEastAsia" w:hAnsiTheme="minorBidi" w:cstheme="minorBidi"/>
              <w:noProof/>
              <w:color w:val="auto"/>
              <w:sz w:val="22"/>
              <w:lang w:eastAsia="en-GB"/>
            </w:rPr>
          </w:pPr>
          <w:hyperlink w:anchor="_Toc232456043" w:history="1">
            <w:r w:rsidRPr="005A3125">
              <w:rPr>
                <w:rStyle w:val="Hyperlink"/>
                <w:rFonts w:asciiTheme="minorBidi" w:hAnsiTheme="minorBidi" w:cstheme="minorBidi"/>
                <w:noProof/>
                <w:sz w:val="22"/>
              </w:rPr>
              <w:t>2.13 Critique of Existing Literature</w:t>
            </w:r>
            <w:r w:rsidRPr="005A3125">
              <w:rPr>
                <w:rFonts w:asciiTheme="minorBidi" w:hAnsiTheme="minorBidi" w:cstheme="minorBidi"/>
                <w:noProof/>
                <w:webHidden/>
                <w:sz w:val="22"/>
              </w:rPr>
              <w:tab/>
            </w:r>
            <w:r w:rsidRPr="005A3125">
              <w:rPr>
                <w:rFonts w:asciiTheme="minorBidi" w:hAnsiTheme="minorBidi" w:cstheme="minorBidi"/>
                <w:noProof/>
                <w:webHidden/>
                <w:sz w:val="22"/>
              </w:rPr>
              <w:fldChar w:fldCharType="begin"/>
            </w:r>
            <w:r w:rsidRPr="005A3125">
              <w:rPr>
                <w:rFonts w:asciiTheme="minorBidi" w:hAnsiTheme="minorBidi" w:cstheme="minorBidi"/>
                <w:noProof/>
                <w:webHidden/>
                <w:sz w:val="22"/>
              </w:rPr>
              <w:instrText xml:space="preserve"> PAGEREF _Toc232456043 \h </w:instrText>
            </w:r>
            <w:r w:rsidRPr="005A3125">
              <w:rPr>
                <w:rFonts w:asciiTheme="minorBidi" w:hAnsiTheme="minorBidi" w:cstheme="minorBidi"/>
                <w:noProof/>
                <w:webHidden/>
                <w:sz w:val="22"/>
              </w:rPr>
            </w:r>
            <w:r w:rsidRPr="005A3125">
              <w:rPr>
                <w:rFonts w:asciiTheme="minorBidi" w:hAnsiTheme="minorBidi" w:cstheme="minorBidi"/>
                <w:noProof/>
                <w:webHidden/>
                <w:sz w:val="22"/>
              </w:rPr>
              <w:fldChar w:fldCharType="separate"/>
            </w:r>
            <w:r w:rsidRPr="005A3125">
              <w:rPr>
                <w:rFonts w:asciiTheme="minorBidi" w:hAnsiTheme="minorBidi" w:cstheme="minorBidi"/>
                <w:noProof/>
                <w:webHidden/>
                <w:sz w:val="22"/>
              </w:rPr>
              <w:t>28</w:t>
            </w:r>
            <w:r w:rsidRPr="005A3125">
              <w:rPr>
                <w:rFonts w:asciiTheme="minorBidi" w:hAnsiTheme="minorBidi" w:cstheme="minorBidi"/>
                <w:noProof/>
                <w:webHidden/>
                <w:sz w:val="22"/>
              </w:rPr>
              <w:fldChar w:fldCharType="end"/>
            </w:r>
          </w:hyperlink>
        </w:p>
        <w:p w14:paraId="42A9E45C" w14:textId="2529C499" w:rsidR="001A090C" w:rsidRPr="005A3125" w:rsidRDefault="001A090C">
          <w:pPr>
            <w:pStyle w:val="TOC1"/>
            <w:tabs>
              <w:tab w:val="right" w:leader="dot" w:pos="9016"/>
            </w:tabs>
            <w:rPr>
              <w:rFonts w:asciiTheme="minorBidi" w:eastAsiaTheme="minorEastAsia" w:hAnsiTheme="minorBidi" w:cstheme="minorBidi"/>
              <w:noProof/>
              <w:color w:val="auto"/>
              <w:sz w:val="22"/>
              <w:lang w:eastAsia="en-GB"/>
            </w:rPr>
          </w:pPr>
          <w:hyperlink w:anchor="_Toc232456044" w:history="1">
            <w:r w:rsidRPr="005A3125">
              <w:rPr>
                <w:rStyle w:val="Hyperlink"/>
                <w:rFonts w:asciiTheme="minorBidi" w:hAnsiTheme="minorBidi" w:cstheme="minorBidi"/>
                <w:noProof/>
                <w:sz w:val="22"/>
              </w:rPr>
              <w:t>2.14 Research Gap</w:t>
            </w:r>
            <w:r w:rsidRPr="005A3125">
              <w:rPr>
                <w:rFonts w:asciiTheme="minorBidi" w:hAnsiTheme="minorBidi" w:cstheme="minorBidi"/>
                <w:noProof/>
                <w:webHidden/>
                <w:sz w:val="22"/>
              </w:rPr>
              <w:tab/>
            </w:r>
            <w:r w:rsidRPr="005A3125">
              <w:rPr>
                <w:rFonts w:asciiTheme="minorBidi" w:hAnsiTheme="minorBidi" w:cstheme="minorBidi"/>
                <w:noProof/>
                <w:webHidden/>
                <w:sz w:val="22"/>
              </w:rPr>
              <w:fldChar w:fldCharType="begin"/>
            </w:r>
            <w:r w:rsidRPr="005A3125">
              <w:rPr>
                <w:rFonts w:asciiTheme="minorBidi" w:hAnsiTheme="minorBidi" w:cstheme="minorBidi"/>
                <w:noProof/>
                <w:webHidden/>
                <w:sz w:val="22"/>
              </w:rPr>
              <w:instrText xml:space="preserve"> PAGEREF _Toc232456044 \h </w:instrText>
            </w:r>
            <w:r w:rsidRPr="005A3125">
              <w:rPr>
                <w:rFonts w:asciiTheme="minorBidi" w:hAnsiTheme="minorBidi" w:cstheme="minorBidi"/>
                <w:noProof/>
                <w:webHidden/>
                <w:sz w:val="22"/>
              </w:rPr>
            </w:r>
            <w:r w:rsidRPr="005A3125">
              <w:rPr>
                <w:rFonts w:asciiTheme="minorBidi" w:hAnsiTheme="minorBidi" w:cstheme="minorBidi"/>
                <w:noProof/>
                <w:webHidden/>
                <w:sz w:val="22"/>
              </w:rPr>
              <w:fldChar w:fldCharType="separate"/>
            </w:r>
            <w:r w:rsidRPr="005A3125">
              <w:rPr>
                <w:rFonts w:asciiTheme="minorBidi" w:hAnsiTheme="minorBidi" w:cstheme="minorBidi"/>
                <w:noProof/>
                <w:webHidden/>
                <w:sz w:val="22"/>
              </w:rPr>
              <w:t>29</w:t>
            </w:r>
            <w:r w:rsidRPr="005A3125">
              <w:rPr>
                <w:rFonts w:asciiTheme="minorBidi" w:hAnsiTheme="minorBidi" w:cstheme="minorBidi"/>
                <w:noProof/>
                <w:webHidden/>
                <w:sz w:val="22"/>
              </w:rPr>
              <w:fldChar w:fldCharType="end"/>
            </w:r>
          </w:hyperlink>
        </w:p>
        <w:p w14:paraId="0AAA74DE" w14:textId="0431066A" w:rsidR="001A090C" w:rsidRPr="005A3125" w:rsidRDefault="001A090C">
          <w:pPr>
            <w:pStyle w:val="TOC1"/>
            <w:tabs>
              <w:tab w:val="right" w:leader="dot" w:pos="9016"/>
            </w:tabs>
            <w:rPr>
              <w:rFonts w:asciiTheme="minorBidi" w:eastAsiaTheme="minorEastAsia" w:hAnsiTheme="minorBidi" w:cstheme="minorBidi"/>
              <w:noProof/>
              <w:color w:val="auto"/>
              <w:sz w:val="22"/>
              <w:lang w:eastAsia="en-GB"/>
            </w:rPr>
          </w:pPr>
          <w:hyperlink w:anchor="_Toc232456045" w:history="1">
            <w:r w:rsidRPr="005A3125">
              <w:rPr>
                <w:rStyle w:val="Hyperlink"/>
                <w:rFonts w:asciiTheme="minorBidi" w:hAnsiTheme="minorBidi" w:cstheme="minorBidi"/>
                <w:noProof/>
                <w:sz w:val="22"/>
              </w:rPr>
              <w:t>2.15 Chapter Summary</w:t>
            </w:r>
            <w:r w:rsidRPr="005A3125">
              <w:rPr>
                <w:rFonts w:asciiTheme="minorBidi" w:hAnsiTheme="minorBidi" w:cstheme="minorBidi"/>
                <w:noProof/>
                <w:webHidden/>
                <w:sz w:val="22"/>
              </w:rPr>
              <w:tab/>
            </w:r>
            <w:r w:rsidRPr="005A3125">
              <w:rPr>
                <w:rFonts w:asciiTheme="minorBidi" w:hAnsiTheme="minorBidi" w:cstheme="minorBidi"/>
                <w:noProof/>
                <w:webHidden/>
                <w:sz w:val="22"/>
              </w:rPr>
              <w:fldChar w:fldCharType="begin"/>
            </w:r>
            <w:r w:rsidRPr="005A3125">
              <w:rPr>
                <w:rFonts w:asciiTheme="minorBidi" w:hAnsiTheme="minorBidi" w:cstheme="minorBidi"/>
                <w:noProof/>
                <w:webHidden/>
                <w:sz w:val="22"/>
              </w:rPr>
              <w:instrText xml:space="preserve"> PAGEREF _Toc232456045 \h </w:instrText>
            </w:r>
            <w:r w:rsidRPr="005A3125">
              <w:rPr>
                <w:rFonts w:asciiTheme="minorBidi" w:hAnsiTheme="minorBidi" w:cstheme="minorBidi"/>
                <w:noProof/>
                <w:webHidden/>
                <w:sz w:val="22"/>
              </w:rPr>
            </w:r>
            <w:r w:rsidRPr="005A3125">
              <w:rPr>
                <w:rFonts w:asciiTheme="minorBidi" w:hAnsiTheme="minorBidi" w:cstheme="minorBidi"/>
                <w:noProof/>
                <w:webHidden/>
                <w:sz w:val="22"/>
              </w:rPr>
              <w:fldChar w:fldCharType="separate"/>
            </w:r>
            <w:r w:rsidRPr="005A3125">
              <w:rPr>
                <w:rFonts w:asciiTheme="minorBidi" w:hAnsiTheme="minorBidi" w:cstheme="minorBidi"/>
                <w:noProof/>
                <w:webHidden/>
                <w:sz w:val="22"/>
              </w:rPr>
              <w:t>29</w:t>
            </w:r>
            <w:r w:rsidRPr="005A3125">
              <w:rPr>
                <w:rFonts w:asciiTheme="minorBidi" w:hAnsiTheme="minorBidi" w:cstheme="minorBidi"/>
                <w:noProof/>
                <w:webHidden/>
                <w:sz w:val="22"/>
              </w:rPr>
              <w:fldChar w:fldCharType="end"/>
            </w:r>
          </w:hyperlink>
        </w:p>
        <w:p w14:paraId="48521B26" w14:textId="26C7016E" w:rsidR="001A090C" w:rsidRPr="005A3125" w:rsidRDefault="001A090C">
          <w:pPr>
            <w:pStyle w:val="TOC1"/>
            <w:tabs>
              <w:tab w:val="right" w:leader="dot" w:pos="9016"/>
            </w:tabs>
            <w:rPr>
              <w:rFonts w:asciiTheme="minorBidi" w:eastAsiaTheme="minorEastAsia" w:hAnsiTheme="minorBidi" w:cstheme="minorBidi"/>
              <w:noProof/>
              <w:color w:val="auto"/>
              <w:sz w:val="22"/>
              <w:lang w:eastAsia="en-GB"/>
            </w:rPr>
          </w:pPr>
          <w:hyperlink w:anchor="_Toc232456046" w:history="1">
            <w:r w:rsidRPr="005A3125">
              <w:rPr>
                <w:rStyle w:val="Hyperlink"/>
                <w:rFonts w:asciiTheme="minorBidi" w:hAnsiTheme="minorBidi" w:cstheme="minorBidi"/>
                <w:noProof/>
                <w:sz w:val="22"/>
              </w:rPr>
              <w:t>Chapter 3: Research Methodology</w:t>
            </w:r>
            <w:r w:rsidRPr="005A3125">
              <w:rPr>
                <w:rFonts w:asciiTheme="minorBidi" w:hAnsiTheme="minorBidi" w:cstheme="minorBidi"/>
                <w:noProof/>
                <w:webHidden/>
                <w:sz w:val="22"/>
              </w:rPr>
              <w:tab/>
            </w:r>
            <w:r w:rsidRPr="005A3125">
              <w:rPr>
                <w:rFonts w:asciiTheme="minorBidi" w:hAnsiTheme="minorBidi" w:cstheme="minorBidi"/>
                <w:noProof/>
                <w:webHidden/>
                <w:sz w:val="22"/>
              </w:rPr>
              <w:fldChar w:fldCharType="begin"/>
            </w:r>
            <w:r w:rsidRPr="005A3125">
              <w:rPr>
                <w:rFonts w:asciiTheme="minorBidi" w:hAnsiTheme="minorBidi" w:cstheme="minorBidi"/>
                <w:noProof/>
                <w:webHidden/>
                <w:sz w:val="22"/>
              </w:rPr>
              <w:instrText xml:space="preserve"> PAGEREF _Toc232456046 \h </w:instrText>
            </w:r>
            <w:r w:rsidRPr="005A3125">
              <w:rPr>
                <w:rFonts w:asciiTheme="minorBidi" w:hAnsiTheme="minorBidi" w:cstheme="minorBidi"/>
                <w:noProof/>
                <w:webHidden/>
                <w:sz w:val="22"/>
              </w:rPr>
            </w:r>
            <w:r w:rsidRPr="005A3125">
              <w:rPr>
                <w:rFonts w:asciiTheme="minorBidi" w:hAnsiTheme="minorBidi" w:cstheme="minorBidi"/>
                <w:noProof/>
                <w:webHidden/>
                <w:sz w:val="22"/>
              </w:rPr>
              <w:fldChar w:fldCharType="separate"/>
            </w:r>
            <w:r w:rsidRPr="005A3125">
              <w:rPr>
                <w:rFonts w:asciiTheme="minorBidi" w:hAnsiTheme="minorBidi" w:cstheme="minorBidi"/>
                <w:noProof/>
                <w:webHidden/>
                <w:sz w:val="22"/>
              </w:rPr>
              <w:t>30</w:t>
            </w:r>
            <w:r w:rsidRPr="005A3125">
              <w:rPr>
                <w:rFonts w:asciiTheme="minorBidi" w:hAnsiTheme="minorBidi" w:cstheme="minorBidi"/>
                <w:noProof/>
                <w:webHidden/>
                <w:sz w:val="22"/>
              </w:rPr>
              <w:fldChar w:fldCharType="end"/>
            </w:r>
          </w:hyperlink>
        </w:p>
        <w:p w14:paraId="10E86AFB" w14:textId="6A298E44" w:rsidR="001A090C" w:rsidRPr="005A3125" w:rsidRDefault="001A090C">
          <w:pPr>
            <w:pStyle w:val="TOC1"/>
            <w:tabs>
              <w:tab w:val="right" w:leader="dot" w:pos="9016"/>
            </w:tabs>
            <w:rPr>
              <w:rFonts w:asciiTheme="minorBidi" w:eastAsiaTheme="minorEastAsia" w:hAnsiTheme="minorBidi" w:cstheme="minorBidi"/>
              <w:noProof/>
              <w:color w:val="auto"/>
              <w:sz w:val="22"/>
              <w:lang w:eastAsia="en-GB"/>
            </w:rPr>
          </w:pPr>
          <w:hyperlink w:anchor="_Toc232456047" w:history="1">
            <w:r w:rsidRPr="005A3125">
              <w:rPr>
                <w:rStyle w:val="Hyperlink"/>
                <w:rFonts w:asciiTheme="minorBidi" w:hAnsiTheme="minorBidi" w:cstheme="minorBidi"/>
                <w:noProof/>
                <w:sz w:val="22"/>
              </w:rPr>
              <w:t>3.1 Introduction</w:t>
            </w:r>
            <w:r w:rsidRPr="005A3125">
              <w:rPr>
                <w:rFonts w:asciiTheme="minorBidi" w:hAnsiTheme="minorBidi" w:cstheme="minorBidi"/>
                <w:noProof/>
                <w:webHidden/>
                <w:sz w:val="22"/>
              </w:rPr>
              <w:tab/>
            </w:r>
            <w:r w:rsidRPr="005A3125">
              <w:rPr>
                <w:rFonts w:asciiTheme="minorBidi" w:hAnsiTheme="minorBidi" w:cstheme="minorBidi"/>
                <w:noProof/>
                <w:webHidden/>
                <w:sz w:val="22"/>
              </w:rPr>
              <w:fldChar w:fldCharType="begin"/>
            </w:r>
            <w:r w:rsidRPr="005A3125">
              <w:rPr>
                <w:rFonts w:asciiTheme="minorBidi" w:hAnsiTheme="minorBidi" w:cstheme="minorBidi"/>
                <w:noProof/>
                <w:webHidden/>
                <w:sz w:val="22"/>
              </w:rPr>
              <w:instrText xml:space="preserve"> PAGEREF _Toc232456047 \h </w:instrText>
            </w:r>
            <w:r w:rsidRPr="005A3125">
              <w:rPr>
                <w:rFonts w:asciiTheme="minorBidi" w:hAnsiTheme="minorBidi" w:cstheme="minorBidi"/>
                <w:noProof/>
                <w:webHidden/>
                <w:sz w:val="22"/>
              </w:rPr>
            </w:r>
            <w:r w:rsidRPr="005A3125">
              <w:rPr>
                <w:rFonts w:asciiTheme="minorBidi" w:hAnsiTheme="minorBidi" w:cstheme="minorBidi"/>
                <w:noProof/>
                <w:webHidden/>
                <w:sz w:val="22"/>
              </w:rPr>
              <w:fldChar w:fldCharType="separate"/>
            </w:r>
            <w:r w:rsidRPr="005A3125">
              <w:rPr>
                <w:rFonts w:asciiTheme="minorBidi" w:hAnsiTheme="minorBidi" w:cstheme="minorBidi"/>
                <w:noProof/>
                <w:webHidden/>
                <w:sz w:val="22"/>
              </w:rPr>
              <w:t>30</w:t>
            </w:r>
            <w:r w:rsidRPr="005A3125">
              <w:rPr>
                <w:rFonts w:asciiTheme="minorBidi" w:hAnsiTheme="minorBidi" w:cstheme="minorBidi"/>
                <w:noProof/>
                <w:webHidden/>
                <w:sz w:val="22"/>
              </w:rPr>
              <w:fldChar w:fldCharType="end"/>
            </w:r>
          </w:hyperlink>
        </w:p>
        <w:p w14:paraId="3F5CE16C" w14:textId="5C6698A5" w:rsidR="001A090C" w:rsidRPr="005A3125" w:rsidRDefault="001A090C">
          <w:pPr>
            <w:pStyle w:val="TOC1"/>
            <w:tabs>
              <w:tab w:val="right" w:leader="dot" w:pos="9016"/>
            </w:tabs>
            <w:rPr>
              <w:rFonts w:asciiTheme="minorBidi" w:eastAsiaTheme="minorEastAsia" w:hAnsiTheme="minorBidi" w:cstheme="minorBidi"/>
              <w:noProof/>
              <w:color w:val="auto"/>
              <w:sz w:val="22"/>
              <w:lang w:eastAsia="en-GB"/>
            </w:rPr>
          </w:pPr>
          <w:hyperlink w:anchor="_Toc232456048" w:history="1">
            <w:r w:rsidRPr="005A3125">
              <w:rPr>
                <w:rStyle w:val="Hyperlink"/>
                <w:rFonts w:asciiTheme="minorBidi" w:hAnsiTheme="minorBidi" w:cstheme="minorBidi"/>
                <w:noProof/>
                <w:sz w:val="22"/>
              </w:rPr>
              <w:t>3.2 Research Aim</w:t>
            </w:r>
            <w:r w:rsidRPr="005A3125">
              <w:rPr>
                <w:rFonts w:asciiTheme="minorBidi" w:hAnsiTheme="minorBidi" w:cstheme="minorBidi"/>
                <w:noProof/>
                <w:webHidden/>
                <w:sz w:val="22"/>
              </w:rPr>
              <w:tab/>
            </w:r>
            <w:r w:rsidRPr="005A3125">
              <w:rPr>
                <w:rFonts w:asciiTheme="minorBidi" w:hAnsiTheme="minorBidi" w:cstheme="minorBidi"/>
                <w:noProof/>
                <w:webHidden/>
                <w:sz w:val="22"/>
              </w:rPr>
              <w:fldChar w:fldCharType="begin"/>
            </w:r>
            <w:r w:rsidRPr="005A3125">
              <w:rPr>
                <w:rFonts w:asciiTheme="minorBidi" w:hAnsiTheme="minorBidi" w:cstheme="minorBidi"/>
                <w:noProof/>
                <w:webHidden/>
                <w:sz w:val="22"/>
              </w:rPr>
              <w:instrText xml:space="preserve"> PAGEREF _Toc232456048 \h </w:instrText>
            </w:r>
            <w:r w:rsidRPr="005A3125">
              <w:rPr>
                <w:rFonts w:asciiTheme="minorBidi" w:hAnsiTheme="minorBidi" w:cstheme="minorBidi"/>
                <w:noProof/>
                <w:webHidden/>
                <w:sz w:val="22"/>
              </w:rPr>
            </w:r>
            <w:r w:rsidRPr="005A3125">
              <w:rPr>
                <w:rFonts w:asciiTheme="minorBidi" w:hAnsiTheme="minorBidi" w:cstheme="minorBidi"/>
                <w:noProof/>
                <w:webHidden/>
                <w:sz w:val="22"/>
              </w:rPr>
              <w:fldChar w:fldCharType="separate"/>
            </w:r>
            <w:r w:rsidRPr="005A3125">
              <w:rPr>
                <w:rFonts w:asciiTheme="minorBidi" w:hAnsiTheme="minorBidi" w:cstheme="minorBidi"/>
                <w:noProof/>
                <w:webHidden/>
                <w:sz w:val="22"/>
              </w:rPr>
              <w:t>30</w:t>
            </w:r>
            <w:r w:rsidRPr="005A3125">
              <w:rPr>
                <w:rFonts w:asciiTheme="minorBidi" w:hAnsiTheme="minorBidi" w:cstheme="minorBidi"/>
                <w:noProof/>
                <w:webHidden/>
                <w:sz w:val="22"/>
              </w:rPr>
              <w:fldChar w:fldCharType="end"/>
            </w:r>
          </w:hyperlink>
        </w:p>
        <w:p w14:paraId="6940B596" w14:textId="3F6B3DB0" w:rsidR="001A090C" w:rsidRPr="005A3125" w:rsidRDefault="001A090C">
          <w:pPr>
            <w:pStyle w:val="TOC1"/>
            <w:tabs>
              <w:tab w:val="right" w:leader="dot" w:pos="9016"/>
            </w:tabs>
            <w:rPr>
              <w:rFonts w:asciiTheme="minorBidi" w:eastAsiaTheme="minorEastAsia" w:hAnsiTheme="minorBidi" w:cstheme="minorBidi"/>
              <w:noProof/>
              <w:color w:val="auto"/>
              <w:sz w:val="22"/>
              <w:lang w:eastAsia="en-GB"/>
            </w:rPr>
          </w:pPr>
          <w:hyperlink w:anchor="_Toc232456049" w:history="1">
            <w:r w:rsidRPr="005A3125">
              <w:rPr>
                <w:rStyle w:val="Hyperlink"/>
                <w:rFonts w:asciiTheme="minorBidi" w:hAnsiTheme="minorBidi" w:cstheme="minorBidi"/>
                <w:noProof/>
                <w:sz w:val="22"/>
              </w:rPr>
              <w:t>3.3 Research Objectives</w:t>
            </w:r>
            <w:r w:rsidRPr="005A3125">
              <w:rPr>
                <w:rFonts w:asciiTheme="minorBidi" w:hAnsiTheme="minorBidi" w:cstheme="minorBidi"/>
                <w:noProof/>
                <w:webHidden/>
                <w:sz w:val="22"/>
              </w:rPr>
              <w:tab/>
            </w:r>
            <w:r w:rsidRPr="005A3125">
              <w:rPr>
                <w:rFonts w:asciiTheme="minorBidi" w:hAnsiTheme="minorBidi" w:cstheme="minorBidi"/>
                <w:noProof/>
                <w:webHidden/>
                <w:sz w:val="22"/>
              </w:rPr>
              <w:fldChar w:fldCharType="begin"/>
            </w:r>
            <w:r w:rsidRPr="005A3125">
              <w:rPr>
                <w:rFonts w:asciiTheme="minorBidi" w:hAnsiTheme="minorBidi" w:cstheme="minorBidi"/>
                <w:noProof/>
                <w:webHidden/>
                <w:sz w:val="22"/>
              </w:rPr>
              <w:instrText xml:space="preserve"> PAGEREF _Toc232456049 \h </w:instrText>
            </w:r>
            <w:r w:rsidRPr="005A3125">
              <w:rPr>
                <w:rFonts w:asciiTheme="minorBidi" w:hAnsiTheme="minorBidi" w:cstheme="minorBidi"/>
                <w:noProof/>
                <w:webHidden/>
                <w:sz w:val="22"/>
              </w:rPr>
            </w:r>
            <w:r w:rsidRPr="005A3125">
              <w:rPr>
                <w:rFonts w:asciiTheme="minorBidi" w:hAnsiTheme="minorBidi" w:cstheme="minorBidi"/>
                <w:noProof/>
                <w:webHidden/>
                <w:sz w:val="22"/>
              </w:rPr>
              <w:fldChar w:fldCharType="separate"/>
            </w:r>
            <w:r w:rsidRPr="005A3125">
              <w:rPr>
                <w:rFonts w:asciiTheme="minorBidi" w:hAnsiTheme="minorBidi" w:cstheme="minorBidi"/>
                <w:noProof/>
                <w:webHidden/>
                <w:sz w:val="22"/>
              </w:rPr>
              <w:t>31</w:t>
            </w:r>
            <w:r w:rsidRPr="005A3125">
              <w:rPr>
                <w:rFonts w:asciiTheme="minorBidi" w:hAnsiTheme="minorBidi" w:cstheme="minorBidi"/>
                <w:noProof/>
                <w:webHidden/>
                <w:sz w:val="22"/>
              </w:rPr>
              <w:fldChar w:fldCharType="end"/>
            </w:r>
          </w:hyperlink>
        </w:p>
        <w:p w14:paraId="72833506" w14:textId="46F3A8C1" w:rsidR="001A090C" w:rsidRPr="005A3125" w:rsidRDefault="001A090C">
          <w:pPr>
            <w:pStyle w:val="TOC1"/>
            <w:tabs>
              <w:tab w:val="right" w:leader="dot" w:pos="9016"/>
            </w:tabs>
            <w:rPr>
              <w:rFonts w:asciiTheme="minorBidi" w:eastAsiaTheme="minorEastAsia" w:hAnsiTheme="minorBidi" w:cstheme="minorBidi"/>
              <w:noProof/>
              <w:color w:val="auto"/>
              <w:sz w:val="22"/>
              <w:lang w:eastAsia="en-GB"/>
            </w:rPr>
          </w:pPr>
          <w:hyperlink w:anchor="_Toc232456050" w:history="1">
            <w:r w:rsidRPr="005A3125">
              <w:rPr>
                <w:rStyle w:val="Hyperlink"/>
                <w:rFonts w:asciiTheme="minorBidi" w:hAnsiTheme="minorBidi" w:cstheme="minorBidi"/>
                <w:noProof/>
                <w:sz w:val="22"/>
              </w:rPr>
              <w:t>3.4 Research Philosophy</w:t>
            </w:r>
            <w:r w:rsidRPr="005A3125">
              <w:rPr>
                <w:rFonts w:asciiTheme="minorBidi" w:hAnsiTheme="minorBidi" w:cstheme="minorBidi"/>
                <w:noProof/>
                <w:webHidden/>
                <w:sz w:val="22"/>
              </w:rPr>
              <w:tab/>
            </w:r>
            <w:r w:rsidRPr="005A3125">
              <w:rPr>
                <w:rFonts w:asciiTheme="minorBidi" w:hAnsiTheme="minorBidi" w:cstheme="minorBidi"/>
                <w:noProof/>
                <w:webHidden/>
                <w:sz w:val="22"/>
              </w:rPr>
              <w:fldChar w:fldCharType="begin"/>
            </w:r>
            <w:r w:rsidRPr="005A3125">
              <w:rPr>
                <w:rFonts w:asciiTheme="minorBidi" w:hAnsiTheme="minorBidi" w:cstheme="minorBidi"/>
                <w:noProof/>
                <w:webHidden/>
                <w:sz w:val="22"/>
              </w:rPr>
              <w:instrText xml:space="preserve"> PAGEREF _Toc232456050 \h </w:instrText>
            </w:r>
            <w:r w:rsidRPr="005A3125">
              <w:rPr>
                <w:rFonts w:asciiTheme="minorBidi" w:hAnsiTheme="minorBidi" w:cstheme="minorBidi"/>
                <w:noProof/>
                <w:webHidden/>
                <w:sz w:val="22"/>
              </w:rPr>
            </w:r>
            <w:r w:rsidRPr="005A3125">
              <w:rPr>
                <w:rFonts w:asciiTheme="minorBidi" w:hAnsiTheme="minorBidi" w:cstheme="minorBidi"/>
                <w:noProof/>
                <w:webHidden/>
                <w:sz w:val="22"/>
              </w:rPr>
              <w:fldChar w:fldCharType="separate"/>
            </w:r>
            <w:r w:rsidRPr="005A3125">
              <w:rPr>
                <w:rFonts w:asciiTheme="minorBidi" w:hAnsiTheme="minorBidi" w:cstheme="minorBidi"/>
                <w:noProof/>
                <w:webHidden/>
                <w:sz w:val="22"/>
              </w:rPr>
              <w:t>31</w:t>
            </w:r>
            <w:r w:rsidRPr="005A3125">
              <w:rPr>
                <w:rFonts w:asciiTheme="minorBidi" w:hAnsiTheme="minorBidi" w:cstheme="minorBidi"/>
                <w:noProof/>
                <w:webHidden/>
                <w:sz w:val="22"/>
              </w:rPr>
              <w:fldChar w:fldCharType="end"/>
            </w:r>
          </w:hyperlink>
        </w:p>
        <w:p w14:paraId="2E9618D9" w14:textId="1F1502BE" w:rsidR="001A090C" w:rsidRPr="005A3125" w:rsidRDefault="001A090C">
          <w:pPr>
            <w:pStyle w:val="TOC1"/>
            <w:tabs>
              <w:tab w:val="right" w:leader="dot" w:pos="9016"/>
            </w:tabs>
            <w:rPr>
              <w:rFonts w:asciiTheme="minorBidi" w:eastAsiaTheme="minorEastAsia" w:hAnsiTheme="minorBidi" w:cstheme="minorBidi"/>
              <w:noProof/>
              <w:color w:val="auto"/>
              <w:sz w:val="22"/>
              <w:lang w:eastAsia="en-GB"/>
            </w:rPr>
          </w:pPr>
          <w:hyperlink w:anchor="_Toc232456051" w:history="1">
            <w:r w:rsidRPr="005A3125">
              <w:rPr>
                <w:rStyle w:val="Hyperlink"/>
                <w:rFonts w:asciiTheme="minorBidi" w:hAnsiTheme="minorBidi" w:cstheme="minorBidi"/>
                <w:noProof/>
                <w:sz w:val="22"/>
              </w:rPr>
              <w:t>3.5 Research Design</w:t>
            </w:r>
            <w:r w:rsidRPr="005A3125">
              <w:rPr>
                <w:rFonts w:asciiTheme="minorBidi" w:hAnsiTheme="minorBidi" w:cstheme="minorBidi"/>
                <w:noProof/>
                <w:webHidden/>
                <w:sz w:val="22"/>
              </w:rPr>
              <w:tab/>
            </w:r>
            <w:r w:rsidRPr="005A3125">
              <w:rPr>
                <w:rFonts w:asciiTheme="minorBidi" w:hAnsiTheme="minorBidi" w:cstheme="minorBidi"/>
                <w:noProof/>
                <w:webHidden/>
                <w:sz w:val="22"/>
              </w:rPr>
              <w:fldChar w:fldCharType="begin"/>
            </w:r>
            <w:r w:rsidRPr="005A3125">
              <w:rPr>
                <w:rFonts w:asciiTheme="minorBidi" w:hAnsiTheme="minorBidi" w:cstheme="minorBidi"/>
                <w:noProof/>
                <w:webHidden/>
                <w:sz w:val="22"/>
              </w:rPr>
              <w:instrText xml:space="preserve"> PAGEREF _Toc232456051 \h </w:instrText>
            </w:r>
            <w:r w:rsidRPr="005A3125">
              <w:rPr>
                <w:rFonts w:asciiTheme="minorBidi" w:hAnsiTheme="minorBidi" w:cstheme="minorBidi"/>
                <w:noProof/>
                <w:webHidden/>
                <w:sz w:val="22"/>
              </w:rPr>
            </w:r>
            <w:r w:rsidRPr="005A3125">
              <w:rPr>
                <w:rFonts w:asciiTheme="minorBidi" w:hAnsiTheme="minorBidi" w:cstheme="minorBidi"/>
                <w:noProof/>
                <w:webHidden/>
                <w:sz w:val="22"/>
              </w:rPr>
              <w:fldChar w:fldCharType="separate"/>
            </w:r>
            <w:r w:rsidRPr="005A3125">
              <w:rPr>
                <w:rFonts w:asciiTheme="minorBidi" w:hAnsiTheme="minorBidi" w:cstheme="minorBidi"/>
                <w:noProof/>
                <w:webHidden/>
                <w:sz w:val="22"/>
              </w:rPr>
              <w:t>31</w:t>
            </w:r>
            <w:r w:rsidRPr="005A3125">
              <w:rPr>
                <w:rFonts w:asciiTheme="minorBidi" w:hAnsiTheme="minorBidi" w:cstheme="minorBidi"/>
                <w:noProof/>
                <w:webHidden/>
                <w:sz w:val="22"/>
              </w:rPr>
              <w:fldChar w:fldCharType="end"/>
            </w:r>
          </w:hyperlink>
        </w:p>
        <w:p w14:paraId="4F440570" w14:textId="00E867E5" w:rsidR="001A090C" w:rsidRPr="005A3125" w:rsidRDefault="001A090C">
          <w:pPr>
            <w:pStyle w:val="TOC1"/>
            <w:tabs>
              <w:tab w:val="right" w:leader="dot" w:pos="9016"/>
            </w:tabs>
            <w:rPr>
              <w:rFonts w:asciiTheme="minorBidi" w:eastAsiaTheme="minorEastAsia" w:hAnsiTheme="minorBidi" w:cstheme="minorBidi"/>
              <w:noProof/>
              <w:color w:val="auto"/>
              <w:sz w:val="22"/>
              <w:lang w:eastAsia="en-GB"/>
            </w:rPr>
          </w:pPr>
          <w:hyperlink w:anchor="_Toc232456052" w:history="1">
            <w:r w:rsidRPr="005A3125">
              <w:rPr>
                <w:rStyle w:val="Hyperlink"/>
                <w:rFonts w:asciiTheme="minorBidi" w:hAnsiTheme="minorBidi" w:cstheme="minorBidi"/>
                <w:noProof/>
                <w:sz w:val="22"/>
              </w:rPr>
              <w:t>3.6 Research Approach</w:t>
            </w:r>
            <w:r w:rsidRPr="005A3125">
              <w:rPr>
                <w:rFonts w:asciiTheme="minorBidi" w:hAnsiTheme="minorBidi" w:cstheme="minorBidi"/>
                <w:noProof/>
                <w:webHidden/>
                <w:sz w:val="22"/>
              </w:rPr>
              <w:tab/>
            </w:r>
            <w:r w:rsidRPr="005A3125">
              <w:rPr>
                <w:rFonts w:asciiTheme="minorBidi" w:hAnsiTheme="minorBidi" w:cstheme="minorBidi"/>
                <w:noProof/>
                <w:webHidden/>
                <w:sz w:val="22"/>
              </w:rPr>
              <w:fldChar w:fldCharType="begin"/>
            </w:r>
            <w:r w:rsidRPr="005A3125">
              <w:rPr>
                <w:rFonts w:asciiTheme="minorBidi" w:hAnsiTheme="minorBidi" w:cstheme="minorBidi"/>
                <w:noProof/>
                <w:webHidden/>
                <w:sz w:val="22"/>
              </w:rPr>
              <w:instrText xml:space="preserve"> PAGEREF _Toc232456052 \h </w:instrText>
            </w:r>
            <w:r w:rsidRPr="005A3125">
              <w:rPr>
                <w:rFonts w:asciiTheme="minorBidi" w:hAnsiTheme="minorBidi" w:cstheme="minorBidi"/>
                <w:noProof/>
                <w:webHidden/>
                <w:sz w:val="22"/>
              </w:rPr>
            </w:r>
            <w:r w:rsidRPr="005A3125">
              <w:rPr>
                <w:rFonts w:asciiTheme="minorBidi" w:hAnsiTheme="minorBidi" w:cstheme="minorBidi"/>
                <w:noProof/>
                <w:webHidden/>
                <w:sz w:val="22"/>
              </w:rPr>
              <w:fldChar w:fldCharType="separate"/>
            </w:r>
            <w:r w:rsidRPr="005A3125">
              <w:rPr>
                <w:rFonts w:asciiTheme="minorBidi" w:hAnsiTheme="minorBidi" w:cstheme="minorBidi"/>
                <w:noProof/>
                <w:webHidden/>
                <w:sz w:val="22"/>
              </w:rPr>
              <w:t>32</w:t>
            </w:r>
            <w:r w:rsidRPr="005A3125">
              <w:rPr>
                <w:rFonts w:asciiTheme="minorBidi" w:hAnsiTheme="minorBidi" w:cstheme="minorBidi"/>
                <w:noProof/>
                <w:webHidden/>
                <w:sz w:val="22"/>
              </w:rPr>
              <w:fldChar w:fldCharType="end"/>
            </w:r>
          </w:hyperlink>
        </w:p>
        <w:p w14:paraId="7F9173E6" w14:textId="1A70781F" w:rsidR="001A090C" w:rsidRPr="005A3125" w:rsidRDefault="001A090C">
          <w:pPr>
            <w:pStyle w:val="TOC1"/>
            <w:tabs>
              <w:tab w:val="right" w:leader="dot" w:pos="9016"/>
            </w:tabs>
            <w:rPr>
              <w:rFonts w:asciiTheme="minorBidi" w:eastAsiaTheme="minorEastAsia" w:hAnsiTheme="minorBidi" w:cstheme="minorBidi"/>
              <w:noProof/>
              <w:color w:val="auto"/>
              <w:sz w:val="22"/>
              <w:lang w:eastAsia="en-GB"/>
            </w:rPr>
          </w:pPr>
          <w:hyperlink w:anchor="_Toc232456053" w:history="1">
            <w:r w:rsidRPr="005A3125">
              <w:rPr>
                <w:rStyle w:val="Hyperlink"/>
                <w:rFonts w:asciiTheme="minorBidi" w:hAnsiTheme="minorBidi" w:cstheme="minorBidi"/>
                <w:noProof/>
                <w:sz w:val="22"/>
              </w:rPr>
              <w:t>3.7 Search Strategy</w:t>
            </w:r>
            <w:r w:rsidRPr="005A3125">
              <w:rPr>
                <w:rFonts w:asciiTheme="minorBidi" w:hAnsiTheme="minorBidi" w:cstheme="minorBidi"/>
                <w:noProof/>
                <w:webHidden/>
                <w:sz w:val="22"/>
              </w:rPr>
              <w:tab/>
            </w:r>
            <w:r w:rsidRPr="005A3125">
              <w:rPr>
                <w:rFonts w:asciiTheme="minorBidi" w:hAnsiTheme="minorBidi" w:cstheme="minorBidi"/>
                <w:noProof/>
                <w:webHidden/>
                <w:sz w:val="22"/>
              </w:rPr>
              <w:fldChar w:fldCharType="begin"/>
            </w:r>
            <w:r w:rsidRPr="005A3125">
              <w:rPr>
                <w:rFonts w:asciiTheme="minorBidi" w:hAnsiTheme="minorBidi" w:cstheme="minorBidi"/>
                <w:noProof/>
                <w:webHidden/>
                <w:sz w:val="22"/>
              </w:rPr>
              <w:instrText xml:space="preserve"> PAGEREF _Toc232456053 \h </w:instrText>
            </w:r>
            <w:r w:rsidRPr="005A3125">
              <w:rPr>
                <w:rFonts w:asciiTheme="minorBidi" w:hAnsiTheme="minorBidi" w:cstheme="minorBidi"/>
                <w:noProof/>
                <w:webHidden/>
                <w:sz w:val="22"/>
              </w:rPr>
            </w:r>
            <w:r w:rsidRPr="005A3125">
              <w:rPr>
                <w:rFonts w:asciiTheme="minorBidi" w:hAnsiTheme="minorBidi" w:cstheme="minorBidi"/>
                <w:noProof/>
                <w:webHidden/>
                <w:sz w:val="22"/>
              </w:rPr>
              <w:fldChar w:fldCharType="separate"/>
            </w:r>
            <w:r w:rsidRPr="005A3125">
              <w:rPr>
                <w:rFonts w:asciiTheme="minorBidi" w:hAnsiTheme="minorBidi" w:cstheme="minorBidi"/>
                <w:noProof/>
                <w:webHidden/>
                <w:sz w:val="22"/>
              </w:rPr>
              <w:t>32</w:t>
            </w:r>
            <w:r w:rsidRPr="005A3125">
              <w:rPr>
                <w:rFonts w:asciiTheme="minorBidi" w:hAnsiTheme="minorBidi" w:cstheme="minorBidi"/>
                <w:noProof/>
                <w:webHidden/>
                <w:sz w:val="22"/>
              </w:rPr>
              <w:fldChar w:fldCharType="end"/>
            </w:r>
          </w:hyperlink>
        </w:p>
        <w:p w14:paraId="0A183312" w14:textId="5ACD61E5" w:rsidR="001A090C" w:rsidRPr="005A3125" w:rsidRDefault="001A090C">
          <w:pPr>
            <w:pStyle w:val="TOC1"/>
            <w:tabs>
              <w:tab w:val="right" w:leader="dot" w:pos="9016"/>
            </w:tabs>
            <w:rPr>
              <w:rFonts w:asciiTheme="minorBidi" w:eastAsiaTheme="minorEastAsia" w:hAnsiTheme="minorBidi" w:cstheme="minorBidi"/>
              <w:noProof/>
              <w:color w:val="auto"/>
              <w:sz w:val="22"/>
              <w:lang w:eastAsia="en-GB"/>
            </w:rPr>
          </w:pPr>
          <w:hyperlink w:anchor="_Toc232456054" w:history="1">
            <w:r w:rsidRPr="005A3125">
              <w:rPr>
                <w:rStyle w:val="Hyperlink"/>
                <w:rFonts w:asciiTheme="minorBidi" w:hAnsiTheme="minorBidi" w:cstheme="minorBidi"/>
                <w:noProof/>
                <w:sz w:val="22"/>
              </w:rPr>
              <w:t>3.8 Inclusion and Exclusion Criteria</w:t>
            </w:r>
            <w:r w:rsidRPr="005A3125">
              <w:rPr>
                <w:rFonts w:asciiTheme="minorBidi" w:hAnsiTheme="minorBidi" w:cstheme="minorBidi"/>
                <w:noProof/>
                <w:webHidden/>
                <w:sz w:val="22"/>
              </w:rPr>
              <w:tab/>
            </w:r>
            <w:r w:rsidRPr="005A3125">
              <w:rPr>
                <w:rFonts w:asciiTheme="minorBidi" w:hAnsiTheme="minorBidi" w:cstheme="minorBidi"/>
                <w:noProof/>
                <w:webHidden/>
                <w:sz w:val="22"/>
              </w:rPr>
              <w:fldChar w:fldCharType="begin"/>
            </w:r>
            <w:r w:rsidRPr="005A3125">
              <w:rPr>
                <w:rFonts w:asciiTheme="minorBidi" w:hAnsiTheme="minorBidi" w:cstheme="minorBidi"/>
                <w:noProof/>
                <w:webHidden/>
                <w:sz w:val="22"/>
              </w:rPr>
              <w:instrText xml:space="preserve"> PAGEREF _Toc232456054 \h </w:instrText>
            </w:r>
            <w:r w:rsidRPr="005A3125">
              <w:rPr>
                <w:rFonts w:asciiTheme="minorBidi" w:hAnsiTheme="minorBidi" w:cstheme="minorBidi"/>
                <w:noProof/>
                <w:webHidden/>
                <w:sz w:val="22"/>
              </w:rPr>
            </w:r>
            <w:r w:rsidRPr="005A3125">
              <w:rPr>
                <w:rFonts w:asciiTheme="minorBidi" w:hAnsiTheme="minorBidi" w:cstheme="minorBidi"/>
                <w:noProof/>
                <w:webHidden/>
                <w:sz w:val="22"/>
              </w:rPr>
              <w:fldChar w:fldCharType="separate"/>
            </w:r>
            <w:r w:rsidRPr="005A3125">
              <w:rPr>
                <w:rFonts w:asciiTheme="minorBidi" w:hAnsiTheme="minorBidi" w:cstheme="minorBidi"/>
                <w:noProof/>
                <w:webHidden/>
                <w:sz w:val="22"/>
              </w:rPr>
              <w:t>33</w:t>
            </w:r>
            <w:r w:rsidRPr="005A3125">
              <w:rPr>
                <w:rFonts w:asciiTheme="minorBidi" w:hAnsiTheme="minorBidi" w:cstheme="minorBidi"/>
                <w:noProof/>
                <w:webHidden/>
                <w:sz w:val="22"/>
              </w:rPr>
              <w:fldChar w:fldCharType="end"/>
            </w:r>
          </w:hyperlink>
        </w:p>
        <w:p w14:paraId="5D6BFE66" w14:textId="46FAC65F" w:rsidR="001A090C" w:rsidRPr="005A3125" w:rsidRDefault="001A090C">
          <w:pPr>
            <w:pStyle w:val="TOC1"/>
            <w:tabs>
              <w:tab w:val="right" w:leader="dot" w:pos="9016"/>
            </w:tabs>
            <w:rPr>
              <w:rFonts w:asciiTheme="minorBidi" w:eastAsiaTheme="minorEastAsia" w:hAnsiTheme="minorBidi" w:cstheme="minorBidi"/>
              <w:noProof/>
              <w:color w:val="auto"/>
              <w:sz w:val="22"/>
              <w:lang w:eastAsia="en-GB"/>
            </w:rPr>
          </w:pPr>
          <w:hyperlink w:anchor="_Toc232456055" w:history="1">
            <w:r w:rsidRPr="005A3125">
              <w:rPr>
                <w:rStyle w:val="Hyperlink"/>
                <w:rFonts w:asciiTheme="minorBidi" w:hAnsiTheme="minorBidi" w:cstheme="minorBidi"/>
                <w:noProof/>
                <w:sz w:val="22"/>
              </w:rPr>
              <w:t>3.9 PRISMA Framework</w:t>
            </w:r>
            <w:r w:rsidRPr="005A3125">
              <w:rPr>
                <w:rFonts w:asciiTheme="minorBidi" w:hAnsiTheme="minorBidi" w:cstheme="minorBidi"/>
                <w:noProof/>
                <w:webHidden/>
                <w:sz w:val="22"/>
              </w:rPr>
              <w:tab/>
            </w:r>
            <w:r w:rsidRPr="005A3125">
              <w:rPr>
                <w:rFonts w:asciiTheme="minorBidi" w:hAnsiTheme="minorBidi" w:cstheme="minorBidi"/>
                <w:noProof/>
                <w:webHidden/>
                <w:sz w:val="22"/>
              </w:rPr>
              <w:fldChar w:fldCharType="begin"/>
            </w:r>
            <w:r w:rsidRPr="005A3125">
              <w:rPr>
                <w:rFonts w:asciiTheme="minorBidi" w:hAnsiTheme="minorBidi" w:cstheme="minorBidi"/>
                <w:noProof/>
                <w:webHidden/>
                <w:sz w:val="22"/>
              </w:rPr>
              <w:instrText xml:space="preserve"> PAGEREF _Toc232456055 \h </w:instrText>
            </w:r>
            <w:r w:rsidRPr="005A3125">
              <w:rPr>
                <w:rFonts w:asciiTheme="minorBidi" w:hAnsiTheme="minorBidi" w:cstheme="minorBidi"/>
                <w:noProof/>
                <w:webHidden/>
                <w:sz w:val="22"/>
              </w:rPr>
            </w:r>
            <w:r w:rsidRPr="005A3125">
              <w:rPr>
                <w:rFonts w:asciiTheme="minorBidi" w:hAnsiTheme="minorBidi" w:cstheme="minorBidi"/>
                <w:noProof/>
                <w:webHidden/>
                <w:sz w:val="22"/>
              </w:rPr>
              <w:fldChar w:fldCharType="separate"/>
            </w:r>
            <w:r w:rsidRPr="005A3125">
              <w:rPr>
                <w:rFonts w:asciiTheme="minorBidi" w:hAnsiTheme="minorBidi" w:cstheme="minorBidi"/>
                <w:noProof/>
                <w:webHidden/>
                <w:sz w:val="22"/>
              </w:rPr>
              <w:t>34</w:t>
            </w:r>
            <w:r w:rsidRPr="005A3125">
              <w:rPr>
                <w:rFonts w:asciiTheme="minorBidi" w:hAnsiTheme="minorBidi" w:cstheme="minorBidi"/>
                <w:noProof/>
                <w:webHidden/>
                <w:sz w:val="22"/>
              </w:rPr>
              <w:fldChar w:fldCharType="end"/>
            </w:r>
          </w:hyperlink>
        </w:p>
        <w:p w14:paraId="130B6620" w14:textId="11518D7E" w:rsidR="001A090C" w:rsidRPr="005A3125" w:rsidRDefault="001A090C">
          <w:pPr>
            <w:pStyle w:val="TOC1"/>
            <w:tabs>
              <w:tab w:val="right" w:leader="dot" w:pos="9016"/>
            </w:tabs>
            <w:rPr>
              <w:rFonts w:asciiTheme="minorBidi" w:eastAsiaTheme="minorEastAsia" w:hAnsiTheme="minorBidi" w:cstheme="minorBidi"/>
              <w:noProof/>
              <w:color w:val="auto"/>
              <w:sz w:val="22"/>
              <w:lang w:eastAsia="en-GB"/>
            </w:rPr>
          </w:pPr>
          <w:hyperlink w:anchor="_Toc232456056" w:history="1">
            <w:r w:rsidRPr="005A3125">
              <w:rPr>
                <w:rStyle w:val="Hyperlink"/>
                <w:rFonts w:asciiTheme="minorBidi" w:hAnsiTheme="minorBidi" w:cstheme="minorBidi"/>
                <w:noProof/>
                <w:sz w:val="22"/>
              </w:rPr>
              <w:t>3.10 Study Selection Process</w:t>
            </w:r>
            <w:r w:rsidRPr="005A3125">
              <w:rPr>
                <w:rFonts w:asciiTheme="minorBidi" w:hAnsiTheme="minorBidi" w:cstheme="minorBidi"/>
                <w:noProof/>
                <w:webHidden/>
                <w:sz w:val="22"/>
              </w:rPr>
              <w:tab/>
            </w:r>
            <w:r w:rsidRPr="005A3125">
              <w:rPr>
                <w:rFonts w:asciiTheme="minorBidi" w:hAnsiTheme="minorBidi" w:cstheme="minorBidi"/>
                <w:noProof/>
                <w:webHidden/>
                <w:sz w:val="22"/>
              </w:rPr>
              <w:fldChar w:fldCharType="begin"/>
            </w:r>
            <w:r w:rsidRPr="005A3125">
              <w:rPr>
                <w:rFonts w:asciiTheme="minorBidi" w:hAnsiTheme="minorBidi" w:cstheme="minorBidi"/>
                <w:noProof/>
                <w:webHidden/>
                <w:sz w:val="22"/>
              </w:rPr>
              <w:instrText xml:space="preserve"> PAGEREF _Toc232456056 \h </w:instrText>
            </w:r>
            <w:r w:rsidRPr="005A3125">
              <w:rPr>
                <w:rFonts w:asciiTheme="minorBidi" w:hAnsiTheme="minorBidi" w:cstheme="minorBidi"/>
                <w:noProof/>
                <w:webHidden/>
                <w:sz w:val="22"/>
              </w:rPr>
            </w:r>
            <w:r w:rsidRPr="005A3125">
              <w:rPr>
                <w:rFonts w:asciiTheme="minorBidi" w:hAnsiTheme="minorBidi" w:cstheme="minorBidi"/>
                <w:noProof/>
                <w:webHidden/>
                <w:sz w:val="22"/>
              </w:rPr>
              <w:fldChar w:fldCharType="separate"/>
            </w:r>
            <w:r w:rsidRPr="005A3125">
              <w:rPr>
                <w:rFonts w:asciiTheme="minorBidi" w:hAnsiTheme="minorBidi" w:cstheme="minorBidi"/>
                <w:noProof/>
                <w:webHidden/>
                <w:sz w:val="22"/>
              </w:rPr>
              <w:t>35</w:t>
            </w:r>
            <w:r w:rsidRPr="005A3125">
              <w:rPr>
                <w:rFonts w:asciiTheme="minorBidi" w:hAnsiTheme="minorBidi" w:cstheme="minorBidi"/>
                <w:noProof/>
                <w:webHidden/>
                <w:sz w:val="22"/>
              </w:rPr>
              <w:fldChar w:fldCharType="end"/>
            </w:r>
          </w:hyperlink>
        </w:p>
        <w:p w14:paraId="37598FA6" w14:textId="281BAFEC" w:rsidR="001A090C" w:rsidRPr="005A3125" w:rsidRDefault="001A090C">
          <w:pPr>
            <w:pStyle w:val="TOC1"/>
            <w:tabs>
              <w:tab w:val="right" w:leader="dot" w:pos="9016"/>
            </w:tabs>
            <w:rPr>
              <w:rFonts w:asciiTheme="minorBidi" w:eastAsiaTheme="minorEastAsia" w:hAnsiTheme="minorBidi" w:cstheme="minorBidi"/>
              <w:noProof/>
              <w:color w:val="auto"/>
              <w:sz w:val="22"/>
              <w:lang w:eastAsia="en-GB"/>
            </w:rPr>
          </w:pPr>
          <w:hyperlink w:anchor="_Toc232456057" w:history="1">
            <w:r w:rsidRPr="005A3125">
              <w:rPr>
                <w:rStyle w:val="Hyperlink"/>
                <w:rFonts w:asciiTheme="minorBidi" w:hAnsiTheme="minorBidi" w:cstheme="minorBidi"/>
                <w:noProof/>
                <w:sz w:val="22"/>
              </w:rPr>
              <w:t>3.11 Quality Appraisal</w:t>
            </w:r>
            <w:r w:rsidRPr="005A3125">
              <w:rPr>
                <w:rFonts w:asciiTheme="minorBidi" w:hAnsiTheme="minorBidi" w:cstheme="minorBidi"/>
                <w:noProof/>
                <w:webHidden/>
                <w:sz w:val="22"/>
              </w:rPr>
              <w:tab/>
            </w:r>
            <w:r w:rsidRPr="005A3125">
              <w:rPr>
                <w:rFonts w:asciiTheme="minorBidi" w:hAnsiTheme="minorBidi" w:cstheme="minorBidi"/>
                <w:noProof/>
                <w:webHidden/>
                <w:sz w:val="22"/>
              </w:rPr>
              <w:fldChar w:fldCharType="begin"/>
            </w:r>
            <w:r w:rsidRPr="005A3125">
              <w:rPr>
                <w:rFonts w:asciiTheme="minorBidi" w:hAnsiTheme="minorBidi" w:cstheme="minorBidi"/>
                <w:noProof/>
                <w:webHidden/>
                <w:sz w:val="22"/>
              </w:rPr>
              <w:instrText xml:space="preserve"> PAGEREF _Toc232456057 \h </w:instrText>
            </w:r>
            <w:r w:rsidRPr="005A3125">
              <w:rPr>
                <w:rFonts w:asciiTheme="minorBidi" w:hAnsiTheme="minorBidi" w:cstheme="minorBidi"/>
                <w:noProof/>
                <w:webHidden/>
                <w:sz w:val="22"/>
              </w:rPr>
            </w:r>
            <w:r w:rsidRPr="005A3125">
              <w:rPr>
                <w:rFonts w:asciiTheme="minorBidi" w:hAnsiTheme="minorBidi" w:cstheme="minorBidi"/>
                <w:noProof/>
                <w:webHidden/>
                <w:sz w:val="22"/>
              </w:rPr>
              <w:fldChar w:fldCharType="separate"/>
            </w:r>
            <w:r w:rsidRPr="005A3125">
              <w:rPr>
                <w:rFonts w:asciiTheme="minorBidi" w:hAnsiTheme="minorBidi" w:cstheme="minorBidi"/>
                <w:noProof/>
                <w:webHidden/>
                <w:sz w:val="22"/>
              </w:rPr>
              <w:t>36</w:t>
            </w:r>
            <w:r w:rsidRPr="005A3125">
              <w:rPr>
                <w:rFonts w:asciiTheme="minorBidi" w:hAnsiTheme="minorBidi" w:cstheme="minorBidi"/>
                <w:noProof/>
                <w:webHidden/>
                <w:sz w:val="22"/>
              </w:rPr>
              <w:fldChar w:fldCharType="end"/>
            </w:r>
          </w:hyperlink>
        </w:p>
        <w:p w14:paraId="01E8ABB9" w14:textId="2008A5E0" w:rsidR="001A090C" w:rsidRPr="005A3125" w:rsidRDefault="001A090C">
          <w:pPr>
            <w:pStyle w:val="TOC1"/>
            <w:tabs>
              <w:tab w:val="right" w:leader="dot" w:pos="9016"/>
            </w:tabs>
            <w:rPr>
              <w:rFonts w:asciiTheme="minorBidi" w:eastAsiaTheme="minorEastAsia" w:hAnsiTheme="minorBidi" w:cstheme="minorBidi"/>
              <w:noProof/>
              <w:color w:val="auto"/>
              <w:sz w:val="22"/>
              <w:lang w:eastAsia="en-GB"/>
            </w:rPr>
          </w:pPr>
          <w:hyperlink w:anchor="_Toc232456058" w:history="1">
            <w:r w:rsidRPr="005A3125">
              <w:rPr>
                <w:rStyle w:val="Hyperlink"/>
                <w:rFonts w:asciiTheme="minorBidi" w:hAnsiTheme="minorBidi" w:cstheme="minorBidi"/>
                <w:noProof/>
                <w:sz w:val="22"/>
              </w:rPr>
              <w:t>3.12 Data Extraction</w:t>
            </w:r>
            <w:r w:rsidRPr="005A3125">
              <w:rPr>
                <w:rFonts w:asciiTheme="minorBidi" w:hAnsiTheme="minorBidi" w:cstheme="minorBidi"/>
                <w:noProof/>
                <w:webHidden/>
                <w:sz w:val="22"/>
              </w:rPr>
              <w:tab/>
            </w:r>
            <w:r w:rsidRPr="005A3125">
              <w:rPr>
                <w:rFonts w:asciiTheme="minorBidi" w:hAnsiTheme="minorBidi" w:cstheme="minorBidi"/>
                <w:noProof/>
                <w:webHidden/>
                <w:sz w:val="22"/>
              </w:rPr>
              <w:fldChar w:fldCharType="begin"/>
            </w:r>
            <w:r w:rsidRPr="005A3125">
              <w:rPr>
                <w:rFonts w:asciiTheme="minorBidi" w:hAnsiTheme="minorBidi" w:cstheme="minorBidi"/>
                <w:noProof/>
                <w:webHidden/>
                <w:sz w:val="22"/>
              </w:rPr>
              <w:instrText xml:space="preserve"> PAGEREF _Toc232456058 \h </w:instrText>
            </w:r>
            <w:r w:rsidRPr="005A3125">
              <w:rPr>
                <w:rFonts w:asciiTheme="minorBidi" w:hAnsiTheme="minorBidi" w:cstheme="minorBidi"/>
                <w:noProof/>
                <w:webHidden/>
                <w:sz w:val="22"/>
              </w:rPr>
            </w:r>
            <w:r w:rsidRPr="005A3125">
              <w:rPr>
                <w:rFonts w:asciiTheme="minorBidi" w:hAnsiTheme="minorBidi" w:cstheme="minorBidi"/>
                <w:noProof/>
                <w:webHidden/>
                <w:sz w:val="22"/>
              </w:rPr>
              <w:fldChar w:fldCharType="separate"/>
            </w:r>
            <w:r w:rsidRPr="005A3125">
              <w:rPr>
                <w:rFonts w:asciiTheme="minorBidi" w:hAnsiTheme="minorBidi" w:cstheme="minorBidi"/>
                <w:noProof/>
                <w:webHidden/>
                <w:sz w:val="22"/>
              </w:rPr>
              <w:t>37</w:t>
            </w:r>
            <w:r w:rsidRPr="005A3125">
              <w:rPr>
                <w:rFonts w:asciiTheme="minorBidi" w:hAnsiTheme="minorBidi" w:cstheme="minorBidi"/>
                <w:noProof/>
                <w:webHidden/>
                <w:sz w:val="22"/>
              </w:rPr>
              <w:fldChar w:fldCharType="end"/>
            </w:r>
          </w:hyperlink>
        </w:p>
        <w:p w14:paraId="56109892" w14:textId="7ECB258D" w:rsidR="001A090C" w:rsidRPr="005A3125" w:rsidRDefault="001A090C">
          <w:pPr>
            <w:pStyle w:val="TOC1"/>
            <w:tabs>
              <w:tab w:val="right" w:leader="dot" w:pos="9016"/>
            </w:tabs>
            <w:rPr>
              <w:rFonts w:asciiTheme="minorBidi" w:eastAsiaTheme="minorEastAsia" w:hAnsiTheme="minorBidi" w:cstheme="minorBidi"/>
              <w:noProof/>
              <w:color w:val="auto"/>
              <w:sz w:val="22"/>
              <w:lang w:eastAsia="en-GB"/>
            </w:rPr>
          </w:pPr>
          <w:hyperlink w:anchor="_Toc232456059" w:history="1">
            <w:r w:rsidRPr="005A3125">
              <w:rPr>
                <w:rStyle w:val="Hyperlink"/>
                <w:rFonts w:asciiTheme="minorBidi" w:hAnsiTheme="minorBidi" w:cstheme="minorBidi"/>
                <w:noProof/>
                <w:sz w:val="22"/>
              </w:rPr>
              <w:t>3.15 Ethical Considerations</w:t>
            </w:r>
            <w:r w:rsidRPr="005A3125">
              <w:rPr>
                <w:rFonts w:asciiTheme="minorBidi" w:hAnsiTheme="minorBidi" w:cstheme="minorBidi"/>
                <w:noProof/>
                <w:webHidden/>
                <w:sz w:val="22"/>
              </w:rPr>
              <w:tab/>
            </w:r>
            <w:r w:rsidRPr="005A3125">
              <w:rPr>
                <w:rFonts w:asciiTheme="minorBidi" w:hAnsiTheme="minorBidi" w:cstheme="minorBidi"/>
                <w:noProof/>
                <w:webHidden/>
                <w:sz w:val="22"/>
              </w:rPr>
              <w:fldChar w:fldCharType="begin"/>
            </w:r>
            <w:r w:rsidRPr="005A3125">
              <w:rPr>
                <w:rFonts w:asciiTheme="minorBidi" w:hAnsiTheme="minorBidi" w:cstheme="minorBidi"/>
                <w:noProof/>
                <w:webHidden/>
                <w:sz w:val="22"/>
              </w:rPr>
              <w:instrText xml:space="preserve"> PAGEREF _Toc232456059 \h </w:instrText>
            </w:r>
            <w:r w:rsidRPr="005A3125">
              <w:rPr>
                <w:rFonts w:asciiTheme="minorBidi" w:hAnsiTheme="minorBidi" w:cstheme="minorBidi"/>
                <w:noProof/>
                <w:webHidden/>
                <w:sz w:val="22"/>
              </w:rPr>
            </w:r>
            <w:r w:rsidRPr="005A3125">
              <w:rPr>
                <w:rFonts w:asciiTheme="minorBidi" w:hAnsiTheme="minorBidi" w:cstheme="minorBidi"/>
                <w:noProof/>
                <w:webHidden/>
                <w:sz w:val="22"/>
              </w:rPr>
              <w:fldChar w:fldCharType="separate"/>
            </w:r>
            <w:r w:rsidRPr="005A3125">
              <w:rPr>
                <w:rFonts w:asciiTheme="minorBidi" w:hAnsiTheme="minorBidi" w:cstheme="minorBidi"/>
                <w:noProof/>
                <w:webHidden/>
                <w:sz w:val="22"/>
              </w:rPr>
              <w:t>40</w:t>
            </w:r>
            <w:r w:rsidRPr="005A3125">
              <w:rPr>
                <w:rFonts w:asciiTheme="minorBidi" w:hAnsiTheme="minorBidi" w:cstheme="minorBidi"/>
                <w:noProof/>
                <w:webHidden/>
                <w:sz w:val="22"/>
              </w:rPr>
              <w:fldChar w:fldCharType="end"/>
            </w:r>
          </w:hyperlink>
        </w:p>
        <w:p w14:paraId="55B9F401" w14:textId="29097F0E" w:rsidR="001A090C" w:rsidRPr="005A3125" w:rsidRDefault="001A090C">
          <w:pPr>
            <w:pStyle w:val="TOC1"/>
            <w:tabs>
              <w:tab w:val="right" w:leader="dot" w:pos="9016"/>
            </w:tabs>
            <w:rPr>
              <w:rFonts w:asciiTheme="minorBidi" w:eastAsiaTheme="minorEastAsia" w:hAnsiTheme="minorBidi" w:cstheme="minorBidi"/>
              <w:noProof/>
              <w:color w:val="auto"/>
              <w:sz w:val="22"/>
              <w:lang w:eastAsia="en-GB"/>
            </w:rPr>
          </w:pPr>
          <w:hyperlink w:anchor="_Toc232456060" w:history="1">
            <w:r w:rsidRPr="005A3125">
              <w:rPr>
                <w:rStyle w:val="Hyperlink"/>
                <w:rFonts w:asciiTheme="minorBidi" w:hAnsiTheme="minorBidi" w:cstheme="minorBidi"/>
                <w:noProof/>
                <w:sz w:val="22"/>
              </w:rPr>
              <w:t>3.16 Reflexivity</w:t>
            </w:r>
            <w:r w:rsidRPr="005A3125">
              <w:rPr>
                <w:rFonts w:asciiTheme="minorBidi" w:hAnsiTheme="minorBidi" w:cstheme="minorBidi"/>
                <w:noProof/>
                <w:webHidden/>
                <w:sz w:val="22"/>
              </w:rPr>
              <w:tab/>
            </w:r>
            <w:r w:rsidRPr="005A3125">
              <w:rPr>
                <w:rFonts w:asciiTheme="minorBidi" w:hAnsiTheme="minorBidi" w:cstheme="minorBidi"/>
                <w:noProof/>
                <w:webHidden/>
                <w:sz w:val="22"/>
              </w:rPr>
              <w:fldChar w:fldCharType="begin"/>
            </w:r>
            <w:r w:rsidRPr="005A3125">
              <w:rPr>
                <w:rFonts w:asciiTheme="minorBidi" w:hAnsiTheme="minorBidi" w:cstheme="minorBidi"/>
                <w:noProof/>
                <w:webHidden/>
                <w:sz w:val="22"/>
              </w:rPr>
              <w:instrText xml:space="preserve"> PAGEREF _Toc232456060 \h </w:instrText>
            </w:r>
            <w:r w:rsidRPr="005A3125">
              <w:rPr>
                <w:rFonts w:asciiTheme="minorBidi" w:hAnsiTheme="minorBidi" w:cstheme="minorBidi"/>
                <w:noProof/>
                <w:webHidden/>
                <w:sz w:val="22"/>
              </w:rPr>
            </w:r>
            <w:r w:rsidRPr="005A3125">
              <w:rPr>
                <w:rFonts w:asciiTheme="minorBidi" w:hAnsiTheme="minorBidi" w:cstheme="minorBidi"/>
                <w:noProof/>
                <w:webHidden/>
                <w:sz w:val="22"/>
              </w:rPr>
              <w:fldChar w:fldCharType="separate"/>
            </w:r>
            <w:r w:rsidRPr="005A3125">
              <w:rPr>
                <w:rFonts w:asciiTheme="minorBidi" w:hAnsiTheme="minorBidi" w:cstheme="minorBidi"/>
                <w:noProof/>
                <w:webHidden/>
                <w:sz w:val="22"/>
              </w:rPr>
              <w:t>40</w:t>
            </w:r>
            <w:r w:rsidRPr="005A3125">
              <w:rPr>
                <w:rFonts w:asciiTheme="minorBidi" w:hAnsiTheme="minorBidi" w:cstheme="minorBidi"/>
                <w:noProof/>
                <w:webHidden/>
                <w:sz w:val="22"/>
              </w:rPr>
              <w:fldChar w:fldCharType="end"/>
            </w:r>
          </w:hyperlink>
        </w:p>
        <w:p w14:paraId="59D2A879" w14:textId="21357421" w:rsidR="001A090C" w:rsidRPr="005A3125" w:rsidRDefault="001A090C">
          <w:pPr>
            <w:pStyle w:val="TOC1"/>
            <w:tabs>
              <w:tab w:val="right" w:leader="dot" w:pos="9016"/>
            </w:tabs>
            <w:rPr>
              <w:rFonts w:asciiTheme="minorBidi" w:eastAsiaTheme="minorEastAsia" w:hAnsiTheme="minorBidi" w:cstheme="minorBidi"/>
              <w:noProof/>
              <w:color w:val="auto"/>
              <w:sz w:val="22"/>
              <w:lang w:eastAsia="en-GB"/>
            </w:rPr>
          </w:pPr>
          <w:hyperlink w:anchor="_Toc232456061" w:history="1">
            <w:r w:rsidRPr="005A3125">
              <w:rPr>
                <w:rStyle w:val="Hyperlink"/>
                <w:rFonts w:asciiTheme="minorBidi" w:hAnsiTheme="minorBidi" w:cstheme="minorBidi"/>
                <w:noProof/>
                <w:sz w:val="22"/>
              </w:rPr>
              <w:t>3.17 Limitations of the Methodology</w:t>
            </w:r>
            <w:r w:rsidRPr="005A3125">
              <w:rPr>
                <w:rFonts w:asciiTheme="minorBidi" w:hAnsiTheme="minorBidi" w:cstheme="minorBidi"/>
                <w:noProof/>
                <w:webHidden/>
                <w:sz w:val="22"/>
              </w:rPr>
              <w:tab/>
            </w:r>
            <w:r w:rsidRPr="005A3125">
              <w:rPr>
                <w:rFonts w:asciiTheme="minorBidi" w:hAnsiTheme="minorBidi" w:cstheme="minorBidi"/>
                <w:noProof/>
                <w:webHidden/>
                <w:sz w:val="22"/>
              </w:rPr>
              <w:fldChar w:fldCharType="begin"/>
            </w:r>
            <w:r w:rsidRPr="005A3125">
              <w:rPr>
                <w:rFonts w:asciiTheme="minorBidi" w:hAnsiTheme="minorBidi" w:cstheme="minorBidi"/>
                <w:noProof/>
                <w:webHidden/>
                <w:sz w:val="22"/>
              </w:rPr>
              <w:instrText xml:space="preserve"> PAGEREF _Toc232456061 \h </w:instrText>
            </w:r>
            <w:r w:rsidRPr="005A3125">
              <w:rPr>
                <w:rFonts w:asciiTheme="minorBidi" w:hAnsiTheme="minorBidi" w:cstheme="minorBidi"/>
                <w:noProof/>
                <w:webHidden/>
                <w:sz w:val="22"/>
              </w:rPr>
            </w:r>
            <w:r w:rsidRPr="005A3125">
              <w:rPr>
                <w:rFonts w:asciiTheme="minorBidi" w:hAnsiTheme="minorBidi" w:cstheme="minorBidi"/>
                <w:noProof/>
                <w:webHidden/>
                <w:sz w:val="22"/>
              </w:rPr>
              <w:fldChar w:fldCharType="separate"/>
            </w:r>
            <w:r w:rsidRPr="005A3125">
              <w:rPr>
                <w:rFonts w:asciiTheme="minorBidi" w:hAnsiTheme="minorBidi" w:cstheme="minorBidi"/>
                <w:noProof/>
                <w:webHidden/>
                <w:sz w:val="22"/>
              </w:rPr>
              <w:t>41</w:t>
            </w:r>
            <w:r w:rsidRPr="005A3125">
              <w:rPr>
                <w:rFonts w:asciiTheme="minorBidi" w:hAnsiTheme="minorBidi" w:cstheme="minorBidi"/>
                <w:noProof/>
                <w:webHidden/>
                <w:sz w:val="22"/>
              </w:rPr>
              <w:fldChar w:fldCharType="end"/>
            </w:r>
          </w:hyperlink>
        </w:p>
        <w:p w14:paraId="01960932" w14:textId="26C99313" w:rsidR="001A090C" w:rsidRPr="005A3125" w:rsidRDefault="001A090C">
          <w:pPr>
            <w:pStyle w:val="TOC1"/>
            <w:tabs>
              <w:tab w:val="right" w:leader="dot" w:pos="9016"/>
            </w:tabs>
            <w:rPr>
              <w:rFonts w:asciiTheme="minorBidi" w:eastAsiaTheme="minorEastAsia" w:hAnsiTheme="minorBidi" w:cstheme="minorBidi"/>
              <w:noProof/>
              <w:color w:val="auto"/>
              <w:sz w:val="22"/>
              <w:lang w:eastAsia="en-GB"/>
            </w:rPr>
          </w:pPr>
          <w:hyperlink w:anchor="_Toc232456062" w:history="1">
            <w:r w:rsidRPr="005A3125">
              <w:rPr>
                <w:rStyle w:val="Hyperlink"/>
                <w:rFonts w:asciiTheme="minorBidi" w:hAnsiTheme="minorBidi" w:cstheme="minorBidi"/>
                <w:noProof/>
                <w:sz w:val="22"/>
              </w:rPr>
              <w:t>3.18 Chapter Summary</w:t>
            </w:r>
            <w:r w:rsidRPr="005A3125">
              <w:rPr>
                <w:rFonts w:asciiTheme="minorBidi" w:hAnsiTheme="minorBidi" w:cstheme="minorBidi"/>
                <w:noProof/>
                <w:webHidden/>
                <w:sz w:val="22"/>
              </w:rPr>
              <w:tab/>
            </w:r>
            <w:r w:rsidRPr="005A3125">
              <w:rPr>
                <w:rFonts w:asciiTheme="minorBidi" w:hAnsiTheme="minorBidi" w:cstheme="minorBidi"/>
                <w:noProof/>
                <w:webHidden/>
                <w:sz w:val="22"/>
              </w:rPr>
              <w:fldChar w:fldCharType="begin"/>
            </w:r>
            <w:r w:rsidRPr="005A3125">
              <w:rPr>
                <w:rFonts w:asciiTheme="minorBidi" w:hAnsiTheme="minorBidi" w:cstheme="minorBidi"/>
                <w:noProof/>
                <w:webHidden/>
                <w:sz w:val="22"/>
              </w:rPr>
              <w:instrText xml:space="preserve"> PAGEREF _Toc232456062 \h </w:instrText>
            </w:r>
            <w:r w:rsidRPr="005A3125">
              <w:rPr>
                <w:rFonts w:asciiTheme="minorBidi" w:hAnsiTheme="minorBidi" w:cstheme="minorBidi"/>
                <w:noProof/>
                <w:webHidden/>
                <w:sz w:val="22"/>
              </w:rPr>
            </w:r>
            <w:r w:rsidRPr="005A3125">
              <w:rPr>
                <w:rFonts w:asciiTheme="minorBidi" w:hAnsiTheme="minorBidi" w:cstheme="minorBidi"/>
                <w:noProof/>
                <w:webHidden/>
                <w:sz w:val="22"/>
              </w:rPr>
              <w:fldChar w:fldCharType="separate"/>
            </w:r>
            <w:r w:rsidRPr="005A3125">
              <w:rPr>
                <w:rFonts w:asciiTheme="minorBidi" w:hAnsiTheme="minorBidi" w:cstheme="minorBidi"/>
                <w:noProof/>
                <w:webHidden/>
                <w:sz w:val="22"/>
              </w:rPr>
              <w:t>41</w:t>
            </w:r>
            <w:r w:rsidRPr="005A3125">
              <w:rPr>
                <w:rFonts w:asciiTheme="minorBidi" w:hAnsiTheme="minorBidi" w:cstheme="minorBidi"/>
                <w:noProof/>
                <w:webHidden/>
                <w:sz w:val="22"/>
              </w:rPr>
              <w:fldChar w:fldCharType="end"/>
            </w:r>
          </w:hyperlink>
        </w:p>
        <w:p w14:paraId="73EB7178" w14:textId="336B49DB" w:rsidR="001A090C" w:rsidRPr="005A3125" w:rsidRDefault="001A090C">
          <w:pPr>
            <w:pStyle w:val="TOC1"/>
            <w:tabs>
              <w:tab w:val="right" w:leader="dot" w:pos="9016"/>
            </w:tabs>
            <w:rPr>
              <w:rFonts w:asciiTheme="minorBidi" w:eastAsiaTheme="minorEastAsia" w:hAnsiTheme="minorBidi" w:cstheme="minorBidi"/>
              <w:noProof/>
              <w:color w:val="auto"/>
              <w:sz w:val="22"/>
              <w:lang w:eastAsia="en-GB"/>
            </w:rPr>
          </w:pPr>
          <w:hyperlink w:anchor="_Toc232456063" w:history="1">
            <w:r w:rsidRPr="005A3125">
              <w:rPr>
                <w:rStyle w:val="Hyperlink"/>
                <w:rFonts w:asciiTheme="minorBidi" w:hAnsiTheme="minorBidi" w:cstheme="minorBidi"/>
                <w:noProof/>
                <w:sz w:val="22"/>
              </w:rPr>
              <w:t>Chapter 4: Results</w:t>
            </w:r>
            <w:r w:rsidRPr="005A3125">
              <w:rPr>
                <w:rFonts w:asciiTheme="minorBidi" w:hAnsiTheme="minorBidi" w:cstheme="minorBidi"/>
                <w:noProof/>
                <w:webHidden/>
                <w:sz w:val="22"/>
              </w:rPr>
              <w:tab/>
            </w:r>
            <w:r w:rsidRPr="005A3125">
              <w:rPr>
                <w:rFonts w:asciiTheme="minorBidi" w:hAnsiTheme="minorBidi" w:cstheme="minorBidi"/>
                <w:noProof/>
                <w:webHidden/>
                <w:sz w:val="22"/>
              </w:rPr>
              <w:fldChar w:fldCharType="begin"/>
            </w:r>
            <w:r w:rsidRPr="005A3125">
              <w:rPr>
                <w:rFonts w:asciiTheme="minorBidi" w:hAnsiTheme="minorBidi" w:cstheme="minorBidi"/>
                <w:noProof/>
                <w:webHidden/>
                <w:sz w:val="22"/>
              </w:rPr>
              <w:instrText xml:space="preserve"> PAGEREF _Toc232456063 \h </w:instrText>
            </w:r>
            <w:r w:rsidRPr="005A3125">
              <w:rPr>
                <w:rFonts w:asciiTheme="minorBidi" w:hAnsiTheme="minorBidi" w:cstheme="minorBidi"/>
                <w:noProof/>
                <w:webHidden/>
                <w:sz w:val="22"/>
              </w:rPr>
            </w:r>
            <w:r w:rsidRPr="005A3125">
              <w:rPr>
                <w:rFonts w:asciiTheme="minorBidi" w:hAnsiTheme="minorBidi" w:cstheme="minorBidi"/>
                <w:noProof/>
                <w:webHidden/>
                <w:sz w:val="22"/>
              </w:rPr>
              <w:fldChar w:fldCharType="separate"/>
            </w:r>
            <w:r w:rsidRPr="005A3125">
              <w:rPr>
                <w:rFonts w:asciiTheme="minorBidi" w:hAnsiTheme="minorBidi" w:cstheme="minorBidi"/>
                <w:noProof/>
                <w:webHidden/>
                <w:sz w:val="22"/>
              </w:rPr>
              <w:t>41</w:t>
            </w:r>
            <w:r w:rsidRPr="005A3125">
              <w:rPr>
                <w:rFonts w:asciiTheme="minorBidi" w:hAnsiTheme="minorBidi" w:cstheme="minorBidi"/>
                <w:noProof/>
                <w:webHidden/>
                <w:sz w:val="22"/>
              </w:rPr>
              <w:fldChar w:fldCharType="end"/>
            </w:r>
          </w:hyperlink>
        </w:p>
        <w:p w14:paraId="2A6CEC2D" w14:textId="4D420A35" w:rsidR="001A090C" w:rsidRPr="005A3125" w:rsidRDefault="001A090C">
          <w:pPr>
            <w:pStyle w:val="TOC1"/>
            <w:tabs>
              <w:tab w:val="right" w:leader="dot" w:pos="9016"/>
            </w:tabs>
            <w:rPr>
              <w:rFonts w:asciiTheme="minorBidi" w:eastAsiaTheme="minorEastAsia" w:hAnsiTheme="minorBidi" w:cstheme="minorBidi"/>
              <w:noProof/>
              <w:color w:val="auto"/>
              <w:sz w:val="22"/>
              <w:lang w:eastAsia="en-GB"/>
            </w:rPr>
          </w:pPr>
          <w:hyperlink w:anchor="_Toc232456064" w:history="1">
            <w:r w:rsidRPr="005A3125">
              <w:rPr>
                <w:rStyle w:val="Hyperlink"/>
                <w:rFonts w:asciiTheme="minorBidi" w:hAnsiTheme="minorBidi" w:cstheme="minorBidi"/>
                <w:noProof/>
                <w:sz w:val="22"/>
              </w:rPr>
              <w:t>4.1 Introduction</w:t>
            </w:r>
            <w:r w:rsidRPr="005A3125">
              <w:rPr>
                <w:rFonts w:asciiTheme="minorBidi" w:hAnsiTheme="minorBidi" w:cstheme="minorBidi"/>
                <w:noProof/>
                <w:webHidden/>
                <w:sz w:val="22"/>
              </w:rPr>
              <w:tab/>
            </w:r>
            <w:r w:rsidRPr="005A3125">
              <w:rPr>
                <w:rFonts w:asciiTheme="minorBidi" w:hAnsiTheme="minorBidi" w:cstheme="minorBidi"/>
                <w:noProof/>
                <w:webHidden/>
                <w:sz w:val="22"/>
              </w:rPr>
              <w:fldChar w:fldCharType="begin"/>
            </w:r>
            <w:r w:rsidRPr="005A3125">
              <w:rPr>
                <w:rFonts w:asciiTheme="minorBidi" w:hAnsiTheme="minorBidi" w:cstheme="minorBidi"/>
                <w:noProof/>
                <w:webHidden/>
                <w:sz w:val="22"/>
              </w:rPr>
              <w:instrText xml:space="preserve"> PAGEREF _Toc232456064 \h </w:instrText>
            </w:r>
            <w:r w:rsidRPr="005A3125">
              <w:rPr>
                <w:rFonts w:asciiTheme="minorBidi" w:hAnsiTheme="minorBidi" w:cstheme="minorBidi"/>
                <w:noProof/>
                <w:webHidden/>
                <w:sz w:val="22"/>
              </w:rPr>
            </w:r>
            <w:r w:rsidRPr="005A3125">
              <w:rPr>
                <w:rFonts w:asciiTheme="minorBidi" w:hAnsiTheme="minorBidi" w:cstheme="minorBidi"/>
                <w:noProof/>
                <w:webHidden/>
                <w:sz w:val="22"/>
              </w:rPr>
              <w:fldChar w:fldCharType="separate"/>
            </w:r>
            <w:r w:rsidRPr="005A3125">
              <w:rPr>
                <w:rFonts w:asciiTheme="minorBidi" w:hAnsiTheme="minorBidi" w:cstheme="minorBidi"/>
                <w:noProof/>
                <w:webHidden/>
                <w:sz w:val="22"/>
              </w:rPr>
              <w:t>41</w:t>
            </w:r>
            <w:r w:rsidRPr="005A3125">
              <w:rPr>
                <w:rFonts w:asciiTheme="minorBidi" w:hAnsiTheme="minorBidi" w:cstheme="minorBidi"/>
                <w:noProof/>
                <w:webHidden/>
                <w:sz w:val="22"/>
              </w:rPr>
              <w:fldChar w:fldCharType="end"/>
            </w:r>
          </w:hyperlink>
        </w:p>
        <w:p w14:paraId="2FAD48A6" w14:textId="6B321E67" w:rsidR="001A090C" w:rsidRPr="005A3125" w:rsidRDefault="001A090C">
          <w:pPr>
            <w:pStyle w:val="TOC1"/>
            <w:tabs>
              <w:tab w:val="right" w:leader="dot" w:pos="9016"/>
            </w:tabs>
            <w:rPr>
              <w:rFonts w:asciiTheme="minorBidi" w:eastAsiaTheme="minorEastAsia" w:hAnsiTheme="minorBidi" w:cstheme="minorBidi"/>
              <w:noProof/>
              <w:color w:val="auto"/>
              <w:sz w:val="22"/>
              <w:lang w:eastAsia="en-GB"/>
            </w:rPr>
          </w:pPr>
          <w:hyperlink w:anchor="_Toc232456065" w:history="1">
            <w:r w:rsidRPr="005A3125">
              <w:rPr>
                <w:rStyle w:val="Hyperlink"/>
                <w:rFonts w:asciiTheme="minorBidi" w:hAnsiTheme="minorBidi" w:cstheme="minorBidi"/>
                <w:noProof/>
                <w:sz w:val="22"/>
              </w:rPr>
              <w:t>4.2 Overview of Included Studies</w:t>
            </w:r>
            <w:r w:rsidRPr="005A3125">
              <w:rPr>
                <w:rFonts w:asciiTheme="minorBidi" w:hAnsiTheme="minorBidi" w:cstheme="minorBidi"/>
                <w:noProof/>
                <w:webHidden/>
                <w:sz w:val="22"/>
              </w:rPr>
              <w:tab/>
            </w:r>
            <w:r w:rsidRPr="005A3125">
              <w:rPr>
                <w:rFonts w:asciiTheme="minorBidi" w:hAnsiTheme="minorBidi" w:cstheme="minorBidi"/>
                <w:noProof/>
                <w:webHidden/>
                <w:sz w:val="22"/>
              </w:rPr>
              <w:fldChar w:fldCharType="begin"/>
            </w:r>
            <w:r w:rsidRPr="005A3125">
              <w:rPr>
                <w:rFonts w:asciiTheme="minorBidi" w:hAnsiTheme="minorBidi" w:cstheme="minorBidi"/>
                <w:noProof/>
                <w:webHidden/>
                <w:sz w:val="22"/>
              </w:rPr>
              <w:instrText xml:space="preserve"> PAGEREF _Toc232456065 \h </w:instrText>
            </w:r>
            <w:r w:rsidRPr="005A3125">
              <w:rPr>
                <w:rFonts w:asciiTheme="minorBidi" w:hAnsiTheme="minorBidi" w:cstheme="minorBidi"/>
                <w:noProof/>
                <w:webHidden/>
                <w:sz w:val="22"/>
              </w:rPr>
            </w:r>
            <w:r w:rsidRPr="005A3125">
              <w:rPr>
                <w:rFonts w:asciiTheme="minorBidi" w:hAnsiTheme="minorBidi" w:cstheme="minorBidi"/>
                <w:noProof/>
                <w:webHidden/>
                <w:sz w:val="22"/>
              </w:rPr>
              <w:fldChar w:fldCharType="separate"/>
            </w:r>
            <w:r w:rsidRPr="005A3125">
              <w:rPr>
                <w:rFonts w:asciiTheme="minorBidi" w:hAnsiTheme="minorBidi" w:cstheme="minorBidi"/>
                <w:noProof/>
                <w:webHidden/>
                <w:sz w:val="22"/>
              </w:rPr>
              <w:t>42</w:t>
            </w:r>
            <w:r w:rsidRPr="005A3125">
              <w:rPr>
                <w:rFonts w:asciiTheme="minorBidi" w:hAnsiTheme="minorBidi" w:cstheme="minorBidi"/>
                <w:noProof/>
                <w:webHidden/>
                <w:sz w:val="22"/>
              </w:rPr>
              <w:fldChar w:fldCharType="end"/>
            </w:r>
          </w:hyperlink>
        </w:p>
        <w:p w14:paraId="25C8DB07" w14:textId="3539B723" w:rsidR="001A090C" w:rsidRPr="005A3125" w:rsidRDefault="001A090C">
          <w:pPr>
            <w:pStyle w:val="TOC1"/>
            <w:tabs>
              <w:tab w:val="right" w:leader="dot" w:pos="9016"/>
            </w:tabs>
            <w:rPr>
              <w:rFonts w:asciiTheme="minorBidi" w:eastAsiaTheme="minorEastAsia" w:hAnsiTheme="minorBidi" w:cstheme="minorBidi"/>
              <w:noProof/>
              <w:color w:val="auto"/>
              <w:sz w:val="22"/>
              <w:lang w:eastAsia="en-GB"/>
            </w:rPr>
          </w:pPr>
          <w:hyperlink w:anchor="_Toc232456066" w:history="1">
            <w:r w:rsidRPr="005A3125">
              <w:rPr>
                <w:rStyle w:val="Hyperlink"/>
                <w:rFonts w:asciiTheme="minorBidi" w:hAnsiTheme="minorBidi" w:cstheme="minorBidi"/>
                <w:noProof/>
                <w:sz w:val="22"/>
              </w:rPr>
              <w:t>4.3 Theme One: Structural Racism and Discrimination</w:t>
            </w:r>
            <w:r w:rsidRPr="005A3125">
              <w:rPr>
                <w:rFonts w:asciiTheme="minorBidi" w:hAnsiTheme="minorBidi" w:cstheme="minorBidi"/>
                <w:noProof/>
                <w:webHidden/>
                <w:sz w:val="22"/>
              </w:rPr>
              <w:tab/>
            </w:r>
            <w:r w:rsidRPr="005A3125">
              <w:rPr>
                <w:rFonts w:asciiTheme="minorBidi" w:hAnsiTheme="minorBidi" w:cstheme="minorBidi"/>
                <w:noProof/>
                <w:webHidden/>
                <w:sz w:val="22"/>
              </w:rPr>
              <w:fldChar w:fldCharType="begin"/>
            </w:r>
            <w:r w:rsidRPr="005A3125">
              <w:rPr>
                <w:rFonts w:asciiTheme="minorBidi" w:hAnsiTheme="minorBidi" w:cstheme="minorBidi"/>
                <w:noProof/>
                <w:webHidden/>
                <w:sz w:val="22"/>
              </w:rPr>
              <w:instrText xml:space="preserve"> PAGEREF _Toc232456066 \h </w:instrText>
            </w:r>
            <w:r w:rsidRPr="005A3125">
              <w:rPr>
                <w:rFonts w:asciiTheme="minorBidi" w:hAnsiTheme="minorBidi" w:cstheme="minorBidi"/>
                <w:noProof/>
                <w:webHidden/>
                <w:sz w:val="22"/>
              </w:rPr>
            </w:r>
            <w:r w:rsidRPr="005A3125">
              <w:rPr>
                <w:rFonts w:asciiTheme="minorBidi" w:hAnsiTheme="minorBidi" w:cstheme="minorBidi"/>
                <w:noProof/>
                <w:webHidden/>
                <w:sz w:val="22"/>
              </w:rPr>
              <w:fldChar w:fldCharType="separate"/>
            </w:r>
            <w:r w:rsidRPr="005A3125">
              <w:rPr>
                <w:rFonts w:asciiTheme="minorBidi" w:hAnsiTheme="minorBidi" w:cstheme="minorBidi"/>
                <w:noProof/>
                <w:webHidden/>
                <w:sz w:val="22"/>
              </w:rPr>
              <w:t>44</w:t>
            </w:r>
            <w:r w:rsidRPr="005A3125">
              <w:rPr>
                <w:rFonts w:asciiTheme="minorBidi" w:hAnsiTheme="minorBidi" w:cstheme="minorBidi"/>
                <w:noProof/>
                <w:webHidden/>
                <w:sz w:val="22"/>
              </w:rPr>
              <w:fldChar w:fldCharType="end"/>
            </w:r>
          </w:hyperlink>
        </w:p>
        <w:p w14:paraId="25876367" w14:textId="0D2C9D3B" w:rsidR="001A090C" w:rsidRPr="005A3125" w:rsidRDefault="001A090C">
          <w:pPr>
            <w:pStyle w:val="TOC1"/>
            <w:tabs>
              <w:tab w:val="right" w:leader="dot" w:pos="9016"/>
            </w:tabs>
            <w:rPr>
              <w:rFonts w:asciiTheme="minorBidi" w:eastAsiaTheme="minorEastAsia" w:hAnsiTheme="minorBidi" w:cstheme="minorBidi"/>
              <w:noProof/>
              <w:color w:val="auto"/>
              <w:sz w:val="22"/>
              <w:lang w:eastAsia="en-GB"/>
            </w:rPr>
          </w:pPr>
          <w:hyperlink w:anchor="_Toc232456067" w:history="1">
            <w:r w:rsidRPr="005A3125">
              <w:rPr>
                <w:rStyle w:val="Hyperlink"/>
                <w:rFonts w:asciiTheme="minorBidi" w:hAnsiTheme="minorBidi" w:cstheme="minorBidi"/>
                <w:noProof/>
                <w:sz w:val="22"/>
              </w:rPr>
              <w:t>4.4 Theme Two: Socioeconomic Deprivation and Neighbourhood Inequality</w:t>
            </w:r>
            <w:r w:rsidRPr="005A3125">
              <w:rPr>
                <w:rFonts w:asciiTheme="minorBidi" w:hAnsiTheme="minorBidi" w:cstheme="minorBidi"/>
                <w:noProof/>
                <w:webHidden/>
                <w:sz w:val="22"/>
              </w:rPr>
              <w:tab/>
            </w:r>
            <w:r w:rsidRPr="005A3125">
              <w:rPr>
                <w:rFonts w:asciiTheme="minorBidi" w:hAnsiTheme="minorBidi" w:cstheme="minorBidi"/>
                <w:noProof/>
                <w:webHidden/>
                <w:sz w:val="22"/>
              </w:rPr>
              <w:fldChar w:fldCharType="begin"/>
            </w:r>
            <w:r w:rsidRPr="005A3125">
              <w:rPr>
                <w:rFonts w:asciiTheme="minorBidi" w:hAnsiTheme="minorBidi" w:cstheme="minorBidi"/>
                <w:noProof/>
                <w:webHidden/>
                <w:sz w:val="22"/>
              </w:rPr>
              <w:instrText xml:space="preserve"> PAGEREF _Toc232456067 \h </w:instrText>
            </w:r>
            <w:r w:rsidRPr="005A3125">
              <w:rPr>
                <w:rFonts w:asciiTheme="minorBidi" w:hAnsiTheme="minorBidi" w:cstheme="minorBidi"/>
                <w:noProof/>
                <w:webHidden/>
                <w:sz w:val="22"/>
              </w:rPr>
            </w:r>
            <w:r w:rsidRPr="005A3125">
              <w:rPr>
                <w:rFonts w:asciiTheme="minorBidi" w:hAnsiTheme="minorBidi" w:cstheme="minorBidi"/>
                <w:noProof/>
                <w:webHidden/>
                <w:sz w:val="22"/>
              </w:rPr>
              <w:fldChar w:fldCharType="separate"/>
            </w:r>
            <w:r w:rsidRPr="005A3125">
              <w:rPr>
                <w:rFonts w:asciiTheme="minorBidi" w:hAnsiTheme="minorBidi" w:cstheme="minorBidi"/>
                <w:noProof/>
                <w:webHidden/>
                <w:sz w:val="22"/>
              </w:rPr>
              <w:t>46</w:t>
            </w:r>
            <w:r w:rsidRPr="005A3125">
              <w:rPr>
                <w:rFonts w:asciiTheme="minorBidi" w:hAnsiTheme="minorBidi" w:cstheme="minorBidi"/>
                <w:noProof/>
                <w:webHidden/>
                <w:sz w:val="22"/>
              </w:rPr>
              <w:fldChar w:fldCharType="end"/>
            </w:r>
          </w:hyperlink>
        </w:p>
        <w:p w14:paraId="55FD2150" w14:textId="0FB9F6F3" w:rsidR="001A090C" w:rsidRPr="005A3125" w:rsidRDefault="001A090C">
          <w:pPr>
            <w:pStyle w:val="TOC1"/>
            <w:tabs>
              <w:tab w:val="right" w:leader="dot" w:pos="9016"/>
            </w:tabs>
            <w:rPr>
              <w:rFonts w:asciiTheme="minorBidi" w:eastAsiaTheme="minorEastAsia" w:hAnsiTheme="minorBidi" w:cstheme="minorBidi"/>
              <w:noProof/>
              <w:color w:val="auto"/>
              <w:sz w:val="22"/>
              <w:lang w:eastAsia="en-GB"/>
            </w:rPr>
          </w:pPr>
          <w:hyperlink w:anchor="_Toc232456068" w:history="1">
            <w:r w:rsidRPr="005A3125">
              <w:rPr>
                <w:rStyle w:val="Hyperlink"/>
                <w:rFonts w:asciiTheme="minorBidi" w:hAnsiTheme="minorBidi" w:cstheme="minorBidi"/>
                <w:noProof/>
                <w:sz w:val="22"/>
              </w:rPr>
              <w:t>4.5 Theme Three: Educational Exclusion and Institutional Inequality</w:t>
            </w:r>
            <w:r w:rsidRPr="005A3125">
              <w:rPr>
                <w:rFonts w:asciiTheme="minorBidi" w:hAnsiTheme="minorBidi" w:cstheme="minorBidi"/>
                <w:noProof/>
                <w:webHidden/>
                <w:sz w:val="22"/>
              </w:rPr>
              <w:tab/>
            </w:r>
            <w:r w:rsidRPr="005A3125">
              <w:rPr>
                <w:rFonts w:asciiTheme="minorBidi" w:hAnsiTheme="minorBidi" w:cstheme="minorBidi"/>
                <w:noProof/>
                <w:webHidden/>
                <w:sz w:val="22"/>
              </w:rPr>
              <w:fldChar w:fldCharType="begin"/>
            </w:r>
            <w:r w:rsidRPr="005A3125">
              <w:rPr>
                <w:rFonts w:asciiTheme="minorBidi" w:hAnsiTheme="minorBidi" w:cstheme="minorBidi"/>
                <w:noProof/>
                <w:webHidden/>
                <w:sz w:val="22"/>
              </w:rPr>
              <w:instrText xml:space="preserve"> PAGEREF _Toc232456068 \h </w:instrText>
            </w:r>
            <w:r w:rsidRPr="005A3125">
              <w:rPr>
                <w:rFonts w:asciiTheme="minorBidi" w:hAnsiTheme="minorBidi" w:cstheme="minorBidi"/>
                <w:noProof/>
                <w:webHidden/>
                <w:sz w:val="22"/>
              </w:rPr>
            </w:r>
            <w:r w:rsidRPr="005A3125">
              <w:rPr>
                <w:rFonts w:asciiTheme="minorBidi" w:hAnsiTheme="minorBidi" w:cstheme="minorBidi"/>
                <w:noProof/>
                <w:webHidden/>
                <w:sz w:val="22"/>
              </w:rPr>
              <w:fldChar w:fldCharType="separate"/>
            </w:r>
            <w:r w:rsidRPr="005A3125">
              <w:rPr>
                <w:rFonts w:asciiTheme="minorBidi" w:hAnsiTheme="minorBidi" w:cstheme="minorBidi"/>
                <w:noProof/>
                <w:webHidden/>
                <w:sz w:val="22"/>
              </w:rPr>
              <w:t>47</w:t>
            </w:r>
            <w:r w:rsidRPr="005A3125">
              <w:rPr>
                <w:rFonts w:asciiTheme="minorBidi" w:hAnsiTheme="minorBidi" w:cstheme="minorBidi"/>
                <w:noProof/>
                <w:webHidden/>
                <w:sz w:val="22"/>
              </w:rPr>
              <w:fldChar w:fldCharType="end"/>
            </w:r>
          </w:hyperlink>
        </w:p>
        <w:p w14:paraId="6AF3CB0F" w14:textId="77297BA0" w:rsidR="001A090C" w:rsidRPr="005A3125" w:rsidRDefault="001A090C">
          <w:pPr>
            <w:pStyle w:val="TOC1"/>
            <w:tabs>
              <w:tab w:val="right" w:leader="dot" w:pos="9016"/>
            </w:tabs>
            <w:rPr>
              <w:rFonts w:asciiTheme="minorBidi" w:eastAsiaTheme="minorEastAsia" w:hAnsiTheme="minorBidi" w:cstheme="minorBidi"/>
              <w:noProof/>
              <w:color w:val="auto"/>
              <w:sz w:val="22"/>
              <w:lang w:eastAsia="en-GB"/>
            </w:rPr>
          </w:pPr>
          <w:hyperlink w:anchor="_Toc232456069" w:history="1">
            <w:r w:rsidRPr="005A3125">
              <w:rPr>
                <w:rStyle w:val="Hyperlink"/>
                <w:rFonts w:asciiTheme="minorBidi" w:hAnsiTheme="minorBidi" w:cstheme="minorBidi"/>
                <w:noProof/>
                <w:sz w:val="22"/>
              </w:rPr>
              <w:t>4.6 Theme Four: Identity Conflict and Mixed African Youth Experiences</w:t>
            </w:r>
            <w:r w:rsidRPr="005A3125">
              <w:rPr>
                <w:rFonts w:asciiTheme="minorBidi" w:hAnsiTheme="minorBidi" w:cstheme="minorBidi"/>
                <w:noProof/>
                <w:webHidden/>
                <w:sz w:val="22"/>
              </w:rPr>
              <w:tab/>
            </w:r>
            <w:r w:rsidRPr="005A3125">
              <w:rPr>
                <w:rFonts w:asciiTheme="minorBidi" w:hAnsiTheme="minorBidi" w:cstheme="minorBidi"/>
                <w:noProof/>
                <w:webHidden/>
                <w:sz w:val="22"/>
              </w:rPr>
              <w:fldChar w:fldCharType="begin"/>
            </w:r>
            <w:r w:rsidRPr="005A3125">
              <w:rPr>
                <w:rFonts w:asciiTheme="minorBidi" w:hAnsiTheme="minorBidi" w:cstheme="minorBidi"/>
                <w:noProof/>
                <w:webHidden/>
                <w:sz w:val="22"/>
              </w:rPr>
              <w:instrText xml:space="preserve"> PAGEREF _Toc232456069 \h </w:instrText>
            </w:r>
            <w:r w:rsidRPr="005A3125">
              <w:rPr>
                <w:rFonts w:asciiTheme="minorBidi" w:hAnsiTheme="minorBidi" w:cstheme="minorBidi"/>
                <w:noProof/>
                <w:webHidden/>
                <w:sz w:val="22"/>
              </w:rPr>
            </w:r>
            <w:r w:rsidRPr="005A3125">
              <w:rPr>
                <w:rFonts w:asciiTheme="minorBidi" w:hAnsiTheme="minorBidi" w:cstheme="minorBidi"/>
                <w:noProof/>
                <w:webHidden/>
                <w:sz w:val="22"/>
              </w:rPr>
              <w:fldChar w:fldCharType="separate"/>
            </w:r>
            <w:r w:rsidRPr="005A3125">
              <w:rPr>
                <w:rFonts w:asciiTheme="minorBidi" w:hAnsiTheme="minorBidi" w:cstheme="minorBidi"/>
                <w:noProof/>
                <w:webHidden/>
                <w:sz w:val="22"/>
              </w:rPr>
              <w:t>48</w:t>
            </w:r>
            <w:r w:rsidRPr="005A3125">
              <w:rPr>
                <w:rFonts w:asciiTheme="minorBidi" w:hAnsiTheme="minorBidi" w:cstheme="minorBidi"/>
                <w:noProof/>
                <w:webHidden/>
                <w:sz w:val="22"/>
              </w:rPr>
              <w:fldChar w:fldCharType="end"/>
            </w:r>
          </w:hyperlink>
        </w:p>
        <w:p w14:paraId="25C1E5DA" w14:textId="69D3C3F3" w:rsidR="001A090C" w:rsidRPr="005A3125" w:rsidRDefault="001A090C">
          <w:pPr>
            <w:pStyle w:val="TOC1"/>
            <w:tabs>
              <w:tab w:val="right" w:leader="dot" w:pos="9016"/>
            </w:tabs>
            <w:rPr>
              <w:rFonts w:asciiTheme="minorBidi" w:eastAsiaTheme="minorEastAsia" w:hAnsiTheme="minorBidi" w:cstheme="minorBidi"/>
              <w:noProof/>
              <w:color w:val="auto"/>
              <w:sz w:val="22"/>
              <w:lang w:eastAsia="en-GB"/>
            </w:rPr>
          </w:pPr>
          <w:hyperlink w:anchor="_Toc232456070" w:history="1">
            <w:r w:rsidRPr="005A3125">
              <w:rPr>
                <w:rStyle w:val="Hyperlink"/>
                <w:rFonts w:asciiTheme="minorBidi" w:hAnsiTheme="minorBidi" w:cstheme="minorBidi"/>
                <w:noProof/>
                <w:sz w:val="22"/>
              </w:rPr>
              <w:t>4.7 Theme Five: Mental Health Stigma and Help-Seeking Barriers</w:t>
            </w:r>
            <w:r w:rsidRPr="005A3125">
              <w:rPr>
                <w:rFonts w:asciiTheme="minorBidi" w:hAnsiTheme="minorBidi" w:cstheme="minorBidi"/>
                <w:noProof/>
                <w:webHidden/>
                <w:sz w:val="22"/>
              </w:rPr>
              <w:tab/>
            </w:r>
            <w:r w:rsidRPr="005A3125">
              <w:rPr>
                <w:rFonts w:asciiTheme="minorBidi" w:hAnsiTheme="minorBidi" w:cstheme="minorBidi"/>
                <w:noProof/>
                <w:webHidden/>
                <w:sz w:val="22"/>
              </w:rPr>
              <w:fldChar w:fldCharType="begin"/>
            </w:r>
            <w:r w:rsidRPr="005A3125">
              <w:rPr>
                <w:rFonts w:asciiTheme="minorBidi" w:hAnsiTheme="minorBidi" w:cstheme="minorBidi"/>
                <w:noProof/>
                <w:webHidden/>
                <w:sz w:val="22"/>
              </w:rPr>
              <w:instrText xml:space="preserve"> PAGEREF _Toc232456070 \h </w:instrText>
            </w:r>
            <w:r w:rsidRPr="005A3125">
              <w:rPr>
                <w:rFonts w:asciiTheme="minorBidi" w:hAnsiTheme="minorBidi" w:cstheme="minorBidi"/>
                <w:noProof/>
                <w:webHidden/>
                <w:sz w:val="22"/>
              </w:rPr>
            </w:r>
            <w:r w:rsidRPr="005A3125">
              <w:rPr>
                <w:rFonts w:asciiTheme="minorBidi" w:hAnsiTheme="minorBidi" w:cstheme="minorBidi"/>
                <w:noProof/>
                <w:webHidden/>
                <w:sz w:val="22"/>
              </w:rPr>
              <w:fldChar w:fldCharType="separate"/>
            </w:r>
            <w:r w:rsidRPr="005A3125">
              <w:rPr>
                <w:rFonts w:asciiTheme="minorBidi" w:hAnsiTheme="minorBidi" w:cstheme="minorBidi"/>
                <w:noProof/>
                <w:webHidden/>
                <w:sz w:val="22"/>
              </w:rPr>
              <w:t>48</w:t>
            </w:r>
            <w:r w:rsidRPr="005A3125">
              <w:rPr>
                <w:rFonts w:asciiTheme="minorBidi" w:hAnsiTheme="minorBidi" w:cstheme="minorBidi"/>
                <w:noProof/>
                <w:webHidden/>
                <w:sz w:val="22"/>
              </w:rPr>
              <w:fldChar w:fldCharType="end"/>
            </w:r>
          </w:hyperlink>
        </w:p>
        <w:p w14:paraId="1A9BA926" w14:textId="39CB22BB" w:rsidR="001A090C" w:rsidRPr="005A3125" w:rsidRDefault="001A090C">
          <w:pPr>
            <w:pStyle w:val="TOC1"/>
            <w:tabs>
              <w:tab w:val="right" w:leader="dot" w:pos="9016"/>
            </w:tabs>
            <w:rPr>
              <w:rFonts w:asciiTheme="minorBidi" w:eastAsiaTheme="minorEastAsia" w:hAnsiTheme="minorBidi" w:cstheme="minorBidi"/>
              <w:noProof/>
              <w:color w:val="auto"/>
              <w:sz w:val="22"/>
              <w:lang w:eastAsia="en-GB"/>
            </w:rPr>
          </w:pPr>
          <w:hyperlink w:anchor="_Toc232456071" w:history="1">
            <w:r w:rsidRPr="005A3125">
              <w:rPr>
                <w:rStyle w:val="Hyperlink"/>
                <w:rFonts w:asciiTheme="minorBidi" w:hAnsiTheme="minorBidi" w:cstheme="minorBidi"/>
                <w:noProof/>
                <w:sz w:val="22"/>
              </w:rPr>
              <w:t>4.8 Theme Six: Inequalities Within NHS Mental Healthcare Systems</w:t>
            </w:r>
            <w:r w:rsidRPr="005A3125">
              <w:rPr>
                <w:rFonts w:asciiTheme="minorBidi" w:hAnsiTheme="minorBidi" w:cstheme="minorBidi"/>
                <w:noProof/>
                <w:webHidden/>
                <w:sz w:val="22"/>
              </w:rPr>
              <w:tab/>
            </w:r>
            <w:r w:rsidRPr="005A3125">
              <w:rPr>
                <w:rFonts w:asciiTheme="minorBidi" w:hAnsiTheme="minorBidi" w:cstheme="minorBidi"/>
                <w:noProof/>
                <w:webHidden/>
                <w:sz w:val="22"/>
              </w:rPr>
              <w:fldChar w:fldCharType="begin"/>
            </w:r>
            <w:r w:rsidRPr="005A3125">
              <w:rPr>
                <w:rFonts w:asciiTheme="minorBidi" w:hAnsiTheme="minorBidi" w:cstheme="minorBidi"/>
                <w:noProof/>
                <w:webHidden/>
                <w:sz w:val="22"/>
              </w:rPr>
              <w:instrText xml:space="preserve"> PAGEREF _Toc232456071 \h </w:instrText>
            </w:r>
            <w:r w:rsidRPr="005A3125">
              <w:rPr>
                <w:rFonts w:asciiTheme="minorBidi" w:hAnsiTheme="minorBidi" w:cstheme="minorBidi"/>
                <w:noProof/>
                <w:webHidden/>
                <w:sz w:val="22"/>
              </w:rPr>
            </w:r>
            <w:r w:rsidRPr="005A3125">
              <w:rPr>
                <w:rFonts w:asciiTheme="minorBidi" w:hAnsiTheme="minorBidi" w:cstheme="minorBidi"/>
                <w:noProof/>
                <w:webHidden/>
                <w:sz w:val="22"/>
              </w:rPr>
              <w:fldChar w:fldCharType="separate"/>
            </w:r>
            <w:r w:rsidRPr="005A3125">
              <w:rPr>
                <w:rFonts w:asciiTheme="minorBidi" w:hAnsiTheme="minorBidi" w:cstheme="minorBidi"/>
                <w:noProof/>
                <w:webHidden/>
                <w:sz w:val="22"/>
              </w:rPr>
              <w:t>49</w:t>
            </w:r>
            <w:r w:rsidRPr="005A3125">
              <w:rPr>
                <w:rFonts w:asciiTheme="minorBidi" w:hAnsiTheme="minorBidi" w:cstheme="minorBidi"/>
                <w:noProof/>
                <w:webHidden/>
                <w:sz w:val="22"/>
              </w:rPr>
              <w:fldChar w:fldCharType="end"/>
            </w:r>
          </w:hyperlink>
        </w:p>
        <w:p w14:paraId="60B4DF2F" w14:textId="40E8F046" w:rsidR="001A090C" w:rsidRPr="005A3125" w:rsidRDefault="001A090C">
          <w:pPr>
            <w:pStyle w:val="TOC1"/>
            <w:tabs>
              <w:tab w:val="right" w:leader="dot" w:pos="9016"/>
            </w:tabs>
            <w:rPr>
              <w:rFonts w:asciiTheme="minorBidi" w:eastAsiaTheme="minorEastAsia" w:hAnsiTheme="minorBidi" w:cstheme="minorBidi"/>
              <w:noProof/>
              <w:color w:val="auto"/>
              <w:sz w:val="22"/>
              <w:lang w:eastAsia="en-GB"/>
            </w:rPr>
          </w:pPr>
          <w:hyperlink w:anchor="_Toc232456072" w:history="1">
            <w:r w:rsidRPr="005A3125">
              <w:rPr>
                <w:rStyle w:val="Hyperlink"/>
                <w:rFonts w:asciiTheme="minorBidi" w:hAnsiTheme="minorBidi" w:cstheme="minorBidi"/>
                <w:noProof/>
                <w:sz w:val="22"/>
              </w:rPr>
              <w:t>4.9 Emerging Protective Factors</w:t>
            </w:r>
            <w:r w:rsidRPr="005A3125">
              <w:rPr>
                <w:rFonts w:asciiTheme="minorBidi" w:hAnsiTheme="minorBidi" w:cstheme="minorBidi"/>
                <w:noProof/>
                <w:webHidden/>
                <w:sz w:val="22"/>
              </w:rPr>
              <w:tab/>
            </w:r>
            <w:r w:rsidRPr="005A3125">
              <w:rPr>
                <w:rFonts w:asciiTheme="minorBidi" w:hAnsiTheme="minorBidi" w:cstheme="minorBidi"/>
                <w:noProof/>
                <w:webHidden/>
                <w:sz w:val="22"/>
              </w:rPr>
              <w:fldChar w:fldCharType="begin"/>
            </w:r>
            <w:r w:rsidRPr="005A3125">
              <w:rPr>
                <w:rFonts w:asciiTheme="minorBidi" w:hAnsiTheme="minorBidi" w:cstheme="minorBidi"/>
                <w:noProof/>
                <w:webHidden/>
                <w:sz w:val="22"/>
              </w:rPr>
              <w:instrText xml:space="preserve"> PAGEREF _Toc232456072 \h </w:instrText>
            </w:r>
            <w:r w:rsidRPr="005A3125">
              <w:rPr>
                <w:rFonts w:asciiTheme="minorBidi" w:hAnsiTheme="minorBidi" w:cstheme="minorBidi"/>
                <w:noProof/>
                <w:webHidden/>
                <w:sz w:val="22"/>
              </w:rPr>
            </w:r>
            <w:r w:rsidRPr="005A3125">
              <w:rPr>
                <w:rFonts w:asciiTheme="minorBidi" w:hAnsiTheme="minorBidi" w:cstheme="minorBidi"/>
                <w:noProof/>
                <w:webHidden/>
                <w:sz w:val="22"/>
              </w:rPr>
              <w:fldChar w:fldCharType="separate"/>
            </w:r>
            <w:r w:rsidRPr="005A3125">
              <w:rPr>
                <w:rFonts w:asciiTheme="minorBidi" w:hAnsiTheme="minorBidi" w:cstheme="minorBidi"/>
                <w:noProof/>
                <w:webHidden/>
                <w:sz w:val="22"/>
              </w:rPr>
              <w:t>50</w:t>
            </w:r>
            <w:r w:rsidRPr="005A3125">
              <w:rPr>
                <w:rFonts w:asciiTheme="minorBidi" w:hAnsiTheme="minorBidi" w:cstheme="minorBidi"/>
                <w:noProof/>
                <w:webHidden/>
                <w:sz w:val="22"/>
              </w:rPr>
              <w:fldChar w:fldCharType="end"/>
            </w:r>
          </w:hyperlink>
        </w:p>
        <w:p w14:paraId="15E2F9C0" w14:textId="69E0B01D" w:rsidR="001A090C" w:rsidRPr="005A3125" w:rsidRDefault="001A090C">
          <w:pPr>
            <w:pStyle w:val="TOC1"/>
            <w:tabs>
              <w:tab w:val="right" w:leader="dot" w:pos="9016"/>
            </w:tabs>
            <w:rPr>
              <w:rFonts w:asciiTheme="minorBidi" w:eastAsiaTheme="minorEastAsia" w:hAnsiTheme="minorBidi" w:cstheme="minorBidi"/>
              <w:noProof/>
              <w:color w:val="auto"/>
              <w:sz w:val="22"/>
              <w:lang w:eastAsia="en-GB"/>
            </w:rPr>
          </w:pPr>
          <w:hyperlink w:anchor="_Toc232456073" w:history="1">
            <w:r w:rsidRPr="005A3125">
              <w:rPr>
                <w:rStyle w:val="Hyperlink"/>
                <w:rFonts w:asciiTheme="minorBidi" w:hAnsiTheme="minorBidi" w:cstheme="minorBidi"/>
                <w:noProof/>
                <w:sz w:val="22"/>
              </w:rPr>
              <w:t>4.10 Summary of Themes</w:t>
            </w:r>
            <w:r w:rsidRPr="005A3125">
              <w:rPr>
                <w:rFonts w:asciiTheme="minorBidi" w:hAnsiTheme="minorBidi" w:cstheme="minorBidi"/>
                <w:noProof/>
                <w:webHidden/>
                <w:sz w:val="22"/>
              </w:rPr>
              <w:tab/>
            </w:r>
            <w:r w:rsidRPr="005A3125">
              <w:rPr>
                <w:rFonts w:asciiTheme="minorBidi" w:hAnsiTheme="minorBidi" w:cstheme="minorBidi"/>
                <w:noProof/>
                <w:webHidden/>
                <w:sz w:val="22"/>
              </w:rPr>
              <w:fldChar w:fldCharType="begin"/>
            </w:r>
            <w:r w:rsidRPr="005A3125">
              <w:rPr>
                <w:rFonts w:asciiTheme="minorBidi" w:hAnsiTheme="minorBidi" w:cstheme="minorBidi"/>
                <w:noProof/>
                <w:webHidden/>
                <w:sz w:val="22"/>
              </w:rPr>
              <w:instrText xml:space="preserve"> PAGEREF _Toc232456073 \h </w:instrText>
            </w:r>
            <w:r w:rsidRPr="005A3125">
              <w:rPr>
                <w:rFonts w:asciiTheme="minorBidi" w:hAnsiTheme="minorBidi" w:cstheme="minorBidi"/>
                <w:noProof/>
                <w:webHidden/>
                <w:sz w:val="22"/>
              </w:rPr>
            </w:r>
            <w:r w:rsidRPr="005A3125">
              <w:rPr>
                <w:rFonts w:asciiTheme="minorBidi" w:hAnsiTheme="minorBidi" w:cstheme="minorBidi"/>
                <w:noProof/>
                <w:webHidden/>
                <w:sz w:val="22"/>
              </w:rPr>
              <w:fldChar w:fldCharType="separate"/>
            </w:r>
            <w:r w:rsidRPr="005A3125">
              <w:rPr>
                <w:rFonts w:asciiTheme="minorBidi" w:hAnsiTheme="minorBidi" w:cstheme="minorBidi"/>
                <w:noProof/>
                <w:webHidden/>
                <w:sz w:val="22"/>
              </w:rPr>
              <w:t>51</w:t>
            </w:r>
            <w:r w:rsidRPr="005A3125">
              <w:rPr>
                <w:rFonts w:asciiTheme="minorBidi" w:hAnsiTheme="minorBidi" w:cstheme="minorBidi"/>
                <w:noProof/>
                <w:webHidden/>
                <w:sz w:val="22"/>
              </w:rPr>
              <w:fldChar w:fldCharType="end"/>
            </w:r>
          </w:hyperlink>
        </w:p>
        <w:p w14:paraId="3F93EEE7" w14:textId="56C38DA0" w:rsidR="001A090C" w:rsidRPr="005A3125" w:rsidRDefault="001A090C">
          <w:pPr>
            <w:pStyle w:val="TOC1"/>
            <w:tabs>
              <w:tab w:val="right" w:leader="dot" w:pos="9016"/>
            </w:tabs>
            <w:rPr>
              <w:rFonts w:asciiTheme="minorBidi" w:eastAsiaTheme="minorEastAsia" w:hAnsiTheme="minorBidi" w:cstheme="minorBidi"/>
              <w:noProof/>
              <w:color w:val="auto"/>
              <w:sz w:val="22"/>
              <w:lang w:eastAsia="en-GB"/>
            </w:rPr>
          </w:pPr>
          <w:hyperlink w:anchor="_Toc232456074" w:history="1">
            <w:r w:rsidRPr="005A3125">
              <w:rPr>
                <w:rStyle w:val="Hyperlink"/>
                <w:rFonts w:asciiTheme="minorBidi" w:hAnsiTheme="minorBidi" w:cstheme="minorBidi"/>
                <w:noProof/>
                <w:sz w:val="22"/>
              </w:rPr>
              <w:t>4.11 Chapter Summary</w:t>
            </w:r>
            <w:r w:rsidRPr="005A3125">
              <w:rPr>
                <w:rFonts w:asciiTheme="minorBidi" w:hAnsiTheme="minorBidi" w:cstheme="minorBidi"/>
                <w:noProof/>
                <w:webHidden/>
                <w:sz w:val="22"/>
              </w:rPr>
              <w:tab/>
            </w:r>
            <w:r w:rsidRPr="005A3125">
              <w:rPr>
                <w:rFonts w:asciiTheme="minorBidi" w:hAnsiTheme="minorBidi" w:cstheme="minorBidi"/>
                <w:noProof/>
                <w:webHidden/>
                <w:sz w:val="22"/>
              </w:rPr>
              <w:fldChar w:fldCharType="begin"/>
            </w:r>
            <w:r w:rsidRPr="005A3125">
              <w:rPr>
                <w:rFonts w:asciiTheme="minorBidi" w:hAnsiTheme="minorBidi" w:cstheme="minorBidi"/>
                <w:noProof/>
                <w:webHidden/>
                <w:sz w:val="22"/>
              </w:rPr>
              <w:instrText xml:space="preserve"> PAGEREF _Toc232456074 \h </w:instrText>
            </w:r>
            <w:r w:rsidRPr="005A3125">
              <w:rPr>
                <w:rFonts w:asciiTheme="minorBidi" w:hAnsiTheme="minorBidi" w:cstheme="minorBidi"/>
                <w:noProof/>
                <w:webHidden/>
                <w:sz w:val="22"/>
              </w:rPr>
            </w:r>
            <w:r w:rsidRPr="005A3125">
              <w:rPr>
                <w:rFonts w:asciiTheme="minorBidi" w:hAnsiTheme="minorBidi" w:cstheme="minorBidi"/>
                <w:noProof/>
                <w:webHidden/>
                <w:sz w:val="22"/>
              </w:rPr>
              <w:fldChar w:fldCharType="separate"/>
            </w:r>
            <w:r w:rsidRPr="005A3125">
              <w:rPr>
                <w:rFonts w:asciiTheme="minorBidi" w:hAnsiTheme="minorBidi" w:cstheme="minorBidi"/>
                <w:noProof/>
                <w:webHidden/>
                <w:sz w:val="22"/>
              </w:rPr>
              <w:t>54</w:t>
            </w:r>
            <w:r w:rsidRPr="005A3125">
              <w:rPr>
                <w:rFonts w:asciiTheme="minorBidi" w:hAnsiTheme="minorBidi" w:cstheme="minorBidi"/>
                <w:noProof/>
                <w:webHidden/>
                <w:sz w:val="22"/>
              </w:rPr>
              <w:fldChar w:fldCharType="end"/>
            </w:r>
          </w:hyperlink>
        </w:p>
        <w:p w14:paraId="2940D794" w14:textId="20E32D44" w:rsidR="001A090C" w:rsidRPr="005A3125" w:rsidRDefault="001A090C">
          <w:pPr>
            <w:pStyle w:val="TOC1"/>
            <w:tabs>
              <w:tab w:val="right" w:leader="dot" w:pos="9016"/>
            </w:tabs>
            <w:rPr>
              <w:rFonts w:asciiTheme="minorBidi" w:eastAsiaTheme="minorEastAsia" w:hAnsiTheme="minorBidi" w:cstheme="minorBidi"/>
              <w:noProof/>
              <w:color w:val="auto"/>
              <w:sz w:val="22"/>
              <w:lang w:eastAsia="en-GB"/>
            </w:rPr>
          </w:pPr>
          <w:hyperlink w:anchor="_Toc232456075" w:history="1">
            <w:r w:rsidRPr="005A3125">
              <w:rPr>
                <w:rStyle w:val="Hyperlink"/>
                <w:rFonts w:asciiTheme="minorBidi" w:hAnsiTheme="minorBidi" w:cstheme="minorBidi"/>
                <w:noProof/>
                <w:sz w:val="22"/>
              </w:rPr>
              <w:t>Chapter 5: Discussion</w:t>
            </w:r>
            <w:r w:rsidRPr="005A3125">
              <w:rPr>
                <w:rFonts w:asciiTheme="minorBidi" w:hAnsiTheme="minorBidi" w:cstheme="minorBidi"/>
                <w:noProof/>
                <w:webHidden/>
                <w:sz w:val="22"/>
              </w:rPr>
              <w:tab/>
            </w:r>
            <w:r w:rsidRPr="005A3125">
              <w:rPr>
                <w:rFonts w:asciiTheme="minorBidi" w:hAnsiTheme="minorBidi" w:cstheme="minorBidi"/>
                <w:noProof/>
                <w:webHidden/>
                <w:sz w:val="22"/>
              </w:rPr>
              <w:fldChar w:fldCharType="begin"/>
            </w:r>
            <w:r w:rsidRPr="005A3125">
              <w:rPr>
                <w:rFonts w:asciiTheme="minorBidi" w:hAnsiTheme="minorBidi" w:cstheme="minorBidi"/>
                <w:noProof/>
                <w:webHidden/>
                <w:sz w:val="22"/>
              </w:rPr>
              <w:instrText xml:space="preserve"> PAGEREF _Toc232456075 \h </w:instrText>
            </w:r>
            <w:r w:rsidRPr="005A3125">
              <w:rPr>
                <w:rFonts w:asciiTheme="minorBidi" w:hAnsiTheme="minorBidi" w:cstheme="minorBidi"/>
                <w:noProof/>
                <w:webHidden/>
                <w:sz w:val="22"/>
              </w:rPr>
            </w:r>
            <w:r w:rsidRPr="005A3125">
              <w:rPr>
                <w:rFonts w:asciiTheme="minorBidi" w:hAnsiTheme="minorBidi" w:cstheme="minorBidi"/>
                <w:noProof/>
                <w:webHidden/>
                <w:sz w:val="22"/>
              </w:rPr>
              <w:fldChar w:fldCharType="separate"/>
            </w:r>
            <w:r w:rsidRPr="005A3125">
              <w:rPr>
                <w:rFonts w:asciiTheme="minorBidi" w:hAnsiTheme="minorBidi" w:cstheme="minorBidi"/>
                <w:noProof/>
                <w:webHidden/>
                <w:sz w:val="22"/>
              </w:rPr>
              <w:t>54</w:t>
            </w:r>
            <w:r w:rsidRPr="005A3125">
              <w:rPr>
                <w:rFonts w:asciiTheme="minorBidi" w:hAnsiTheme="minorBidi" w:cstheme="minorBidi"/>
                <w:noProof/>
                <w:webHidden/>
                <w:sz w:val="22"/>
              </w:rPr>
              <w:fldChar w:fldCharType="end"/>
            </w:r>
          </w:hyperlink>
        </w:p>
        <w:p w14:paraId="379B236E" w14:textId="78FE7AE9" w:rsidR="001A090C" w:rsidRPr="005A3125" w:rsidRDefault="001A090C">
          <w:pPr>
            <w:pStyle w:val="TOC1"/>
            <w:tabs>
              <w:tab w:val="right" w:leader="dot" w:pos="9016"/>
            </w:tabs>
            <w:rPr>
              <w:rFonts w:asciiTheme="minorBidi" w:eastAsiaTheme="minorEastAsia" w:hAnsiTheme="minorBidi" w:cstheme="minorBidi"/>
              <w:noProof/>
              <w:color w:val="auto"/>
              <w:sz w:val="22"/>
              <w:lang w:eastAsia="en-GB"/>
            </w:rPr>
          </w:pPr>
          <w:hyperlink w:anchor="_Toc232456076" w:history="1">
            <w:r w:rsidRPr="005A3125">
              <w:rPr>
                <w:rStyle w:val="Hyperlink"/>
                <w:rFonts w:asciiTheme="minorBidi" w:hAnsiTheme="minorBidi" w:cstheme="minorBidi"/>
                <w:noProof/>
                <w:sz w:val="22"/>
              </w:rPr>
              <w:t>5.12 Chapter Summary</w:t>
            </w:r>
            <w:r w:rsidRPr="005A3125">
              <w:rPr>
                <w:rFonts w:asciiTheme="minorBidi" w:hAnsiTheme="minorBidi" w:cstheme="minorBidi"/>
                <w:noProof/>
                <w:webHidden/>
                <w:sz w:val="22"/>
              </w:rPr>
              <w:tab/>
            </w:r>
            <w:r w:rsidRPr="005A3125">
              <w:rPr>
                <w:rFonts w:asciiTheme="minorBidi" w:hAnsiTheme="minorBidi" w:cstheme="minorBidi"/>
                <w:noProof/>
                <w:webHidden/>
                <w:sz w:val="22"/>
              </w:rPr>
              <w:fldChar w:fldCharType="begin"/>
            </w:r>
            <w:r w:rsidRPr="005A3125">
              <w:rPr>
                <w:rFonts w:asciiTheme="minorBidi" w:hAnsiTheme="minorBidi" w:cstheme="minorBidi"/>
                <w:noProof/>
                <w:webHidden/>
                <w:sz w:val="22"/>
              </w:rPr>
              <w:instrText xml:space="preserve"> PAGEREF _Toc232456076 \h </w:instrText>
            </w:r>
            <w:r w:rsidRPr="005A3125">
              <w:rPr>
                <w:rFonts w:asciiTheme="minorBidi" w:hAnsiTheme="minorBidi" w:cstheme="minorBidi"/>
                <w:noProof/>
                <w:webHidden/>
                <w:sz w:val="22"/>
              </w:rPr>
            </w:r>
            <w:r w:rsidRPr="005A3125">
              <w:rPr>
                <w:rFonts w:asciiTheme="minorBidi" w:hAnsiTheme="minorBidi" w:cstheme="minorBidi"/>
                <w:noProof/>
                <w:webHidden/>
                <w:sz w:val="22"/>
              </w:rPr>
              <w:fldChar w:fldCharType="separate"/>
            </w:r>
            <w:r w:rsidRPr="005A3125">
              <w:rPr>
                <w:rFonts w:asciiTheme="minorBidi" w:hAnsiTheme="minorBidi" w:cstheme="minorBidi"/>
                <w:noProof/>
                <w:webHidden/>
                <w:sz w:val="22"/>
              </w:rPr>
              <w:t>62</w:t>
            </w:r>
            <w:r w:rsidRPr="005A3125">
              <w:rPr>
                <w:rFonts w:asciiTheme="minorBidi" w:hAnsiTheme="minorBidi" w:cstheme="minorBidi"/>
                <w:noProof/>
                <w:webHidden/>
                <w:sz w:val="22"/>
              </w:rPr>
              <w:fldChar w:fldCharType="end"/>
            </w:r>
          </w:hyperlink>
        </w:p>
        <w:p w14:paraId="55AB048F" w14:textId="7C70B6C0" w:rsidR="001A090C" w:rsidRPr="005A3125" w:rsidRDefault="001A090C">
          <w:pPr>
            <w:pStyle w:val="TOC1"/>
            <w:tabs>
              <w:tab w:val="right" w:leader="dot" w:pos="9016"/>
            </w:tabs>
            <w:rPr>
              <w:rFonts w:asciiTheme="minorBidi" w:eastAsiaTheme="minorEastAsia" w:hAnsiTheme="minorBidi" w:cstheme="minorBidi"/>
              <w:noProof/>
              <w:color w:val="auto"/>
              <w:sz w:val="22"/>
              <w:lang w:eastAsia="en-GB"/>
            </w:rPr>
          </w:pPr>
          <w:hyperlink w:anchor="_Toc232456077" w:history="1">
            <w:r w:rsidRPr="005A3125">
              <w:rPr>
                <w:rStyle w:val="Hyperlink"/>
                <w:rFonts w:asciiTheme="minorBidi" w:hAnsiTheme="minorBidi" w:cstheme="minorBidi"/>
                <w:noProof/>
                <w:sz w:val="22"/>
              </w:rPr>
              <w:t>Chapter 6: Conclusion and Recommendations</w:t>
            </w:r>
            <w:r w:rsidRPr="005A3125">
              <w:rPr>
                <w:rFonts w:asciiTheme="minorBidi" w:hAnsiTheme="minorBidi" w:cstheme="minorBidi"/>
                <w:noProof/>
                <w:webHidden/>
                <w:sz w:val="22"/>
              </w:rPr>
              <w:tab/>
            </w:r>
            <w:r w:rsidRPr="005A3125">
              <w:rPr>
                <w:rFonts w:asciiTheme="minorBidi" w:hAnsiTheme="minorBidi" w:cstheme="minorBidi"/>
                <w:noProof/>
                <w:webHidden/>
                <w:sz w:val="22"/>
              </w:rPr>
              <w:fldChar w:fldCharType="begin"/>
            </w:r>
            <w:r w:rsidRPr="005A3125">
              <w:rPr>
                <w:rFonts w:asciiTheme="minorBidi" w:hAnsiTheme="minorBidi" w:cstheme="minorBidi"/>
                <w:noProof/>
                <w:webHidden/>
                <w:sz w:val="22"/>
              </w:rPr>
              <w:instrText xml:space="preserve"> PAGEREF _Toc232456077 \h </w:instrText>
            </w:r>
            <w:r w:rsidRPr="005A3125">
              <w:rPr>
                <w:rFonts w:asciiTheme="minorBidi" w:hAnsiTheme="minorBidi" w:cstheme="minorBidi"/>
                <w:noProof/>
                <w:webHidden/>
                <w:sz w:val="22"/>
              </w:rPr>
            </w:r>
            <w:r w:rsidRPr="005A3125">
              <w:rPr>
                <w:rFonts w:asciiTheme="minorBidi" w:hAnsiTheme="minorBidi" w:cstheme="minorBidi"/>
                <w:noProof/>
                <w:webHidden/>
                <w:sz w:val="22"/>
              </w:rPr>
              <w:fldChar w:fldCharType="separate"/>
            </w:r>
            <w:r w:rsidRPr="005A3125">
              <w:rPr>
                <w:rFonts w:asciiTheme="minorBidi" w:hAnsiTheme="minorBidi" w:cstheme="minorBidi"/>
                <w:noProof/>
                <w:webHidden/>
                <w:sz w:val="22"/>
              </w:rPr>
              <w:t>62</w:t>
            </w:r>
            <w:r w:rsidRPr="005A3125">
              <w:rPr>
                <w:rFonts w:asciiTheme="minorBidi" w:hAnsiTheme="minorBidi" w:cstheme="minorBidi"/>
                <w:noProof/>
                <w:webHidden/>
                <w:sz w:val="22"/>
              </w:rPr>
              <w:fldChar w:fldCharType="end"/>
            </w:r>
          </w:hyperlink>
        </w:p>
        <w:p w14:paraId="1CDAB45F" w14:textId="610E7E19" w:rsidR="001A090C" w:rsidRPr="005A3125" w:rsidRDefault="001A090C">
          <w:pPr>
            <w:pStyle w:val="TOC1"/>
            <w:tabs>
              <w:tab w:val="right" w:leader="dot" w:pos="9016"/>
            </w:tabs>
            <w:rPr>
              <w:rFonts w:asciiTheme="minorBidi" w:eastAsiaTheme="minorEastAsia" w:hAnsiTheme="minorBidi" w:cstheme="minorBidi"/>
              <w:noProof/>
              <w:color w:val="auto"/>
              <w:sz w:val="22"/>
              <w:lang w:eastAsia="en-GB"/>
            </w:rPr>
          </w:pPr>
          <w:hyperlink w:anchor="_Toc232456078" w:history="1">
            <w:r w:rsidRPr="005A3125">
              <w:rPr>
                <w:rStyle w:val="Hyperlink"/>
                <w:rFonts w:asciiTheme="minorBidi" w:hAnsiTheme="minorBidi" w:cstheme="minorBidi"/>
                <w:noProof/>
                <w:sz w:val="22"/>
              </w:rPr>
              <w:t>References</w:t>
            </w:r>
            <w:r w:rsidRPr="005A3125">
              <w:rPr>
                <w:rFonts w:asciiTheme="minorBidi" w:hAnsiTheme="minorBidi" w:cstheme="minorBidi"/>
                <w:noProof/>
                <w:webHidden/>
                <w:sz w:val="22"/>
              </w:rPr>
              <w:tab/>
            </w:r>
            <w:r w:rsidRPr="005A3125">
              <w:rPr>
                <w:rFonts w:asciiTheme="minorBidi" w:hAnsiTheme="minorBidi" w:cstheme="minorBidi"/>
                <w:noProof/>
                <w:webHidden/>
                <w:sz w:val="22"/>
              </w:rPr>
              <w:fldChar w:fldCharType="begin"/>
            </w:r>
            <w:r w:rsidRPr="005A3125">
              <w:rPr>
                <w:rFonts w:asciiTheme="minorBidi" w:hAnsiTheme="minorBidi" w:cstheme="minorBidi"/>
                <w:noProof/>
                <w:webHidden/>
                <w:sz w:val="22"/>
              </w:rPr>
              <w:instrText xml:space="preserve"> PAGEREF _Toc232456078 \h </w:instrText>
            </w:r>
            <w:r w:rsidRPr="005A3125">
              <w:rPr>
                <w:rFonts w:asciiTheme="minorBidi" w:hAnsiTheme="minorBidi" w:cstheme="minorBidi"/>
                <w:noProof/>
                <w:webHidden/>
                <w:sz w:val="22"/>
              </w:rPr>
            </w:r>
            <w:r w:rsidRPr="005A3125">
              <w:rPr>
                <w:rFonts w:asciiTheme="minorBidi" w:hAnsiTheme="minorBidi" w:cstheme="minorBidi"/>
                <w:noProof/>
                <w:webHidden/>
                <w:sz w:val="22"/>
              </w:rPr>
              <w:fldChar w:fldCharType="separate"/>
            </w:r>
            <w:r w:rsidRPr="005A3125">
              <w:rPr>
                <w:rFonts w:asciiTheme="minorBidi" w:hAnsiTheme="minorBidi" w:cstheme="minorBidi"/>
                <w:noProof/>
                <w:webHidden/>
                <w:sz w:val="22"/>
              </w:rPr>
              <w:t>65</w:t>
            </w:r>
            <w:r w:rsidRPr="005A3125">
              <w:rPr>
                <w:rFonts w:asciiTheme="minorBidi" w:hAnsiTheme="minorBidi" w:cstheme="minorBidi"/>
                <w:noProof/>
                <w:webHidden/>
                <w:sz w:val="22"/>
              </w:rPr>
              <w:fldChar w:fldCharType="end"/>
            </w:r>
          </w:hyperlink>
        </w:p>
        <w:p w14:paraId="0D4672DD" w14:textId="4FF7B7DD" w:rsidR="001A090C" w:rsidRPr="005A3125" w:rsidRDefault="001A090C">
          <w:pPr>
            <w:pStyle w:val="TOC1"/>
            <w:tabs>
              <w:tab w:val="right" w:leader="dot" w:pos="9016"/>
            </w:tabs>
            <w:rPr>
              <w:rFonts w:asciiTheme="minorBidi" w:eastAsiaTheme="minorEastAsia" w:hAnsiTheme="minorBidi" w:cstheme="minorBidi"/>
              <w:noProof/>
              <w:color w:val="auto"/>
              <w:sz w:val="22"/>
              <w:lang w:eastAsia="en-GB"/>
            </w:rPr>
          </w:pPr>
          <w:hyperlink w:anchor="_Toc232456079" w:history="1">
            <w:r w:rsidRPr="005A3125">
              <w:rPr>
                <w:rStyle w:val="Hyperlink"/>
                <w:rFonts w:asciiTheme="minorBidi" w:hAnsiTheme="minorBidi" w:cstheme="minorBidi"/>
                <w:noProof/>
                <w:sz w:val="22"/>
                <w:lang w:eastAsia="en-IN"/>
              </w:rPr>
              <w:t>Appendix 1: Data Extraction and Quality Appraisal Table</w:t>
            </w:r>
            <w:r w:rsidRPr="005A3125">
              <w:rPr>
                <w:rFonts w:asciiTheme="minorBidi" w:hAnsiTheme="minorBidi" w:cstheme="minorBidi"/>
                <w:noProof/>
                <w:webHidden/>
                <w:sz w:val="22"/>
              </w:rPr>
              <w:tab/>
            </w:r>
            <w:r w:rsidRPr="005A3125">
              <w:rPr>
                <w:rFonts w:asciiTheme="minorBidi" w:hAnsiTheme="minorBidi" w:cstheme="minorBidi"/>
                <w:noProof/>
                <w:webHidden/>
                <w:sz w:val="22"/>
              </w:rPr>
              <w:fldChar w:fldCharType="begin"/>
            </w:r>
            <w:r w:rsidRPr="005A3125">
              <w:rPr>
                <w:rFonts w:asciiTheme="minorBidi" w:hAnsiTheme="minorBidi" w:cstheme="minorBidi"/>
                <w:noProof/>
                <w:webHidden/>
                <w:sz w:val="22"/>
              </w:rPr>
              <w:instrText xml:space="preserve"> PAGEREF _Toc232456079 \h </w:instrText>
            </w:r>
            <w:r w:rsidRPr="005A3125">
              <w:rPr>
                <w:rFonts w:asciiTheme="minorBidi" w:hAnsiTheme="minorBidi" w:cstheme="minorBidi"/>
                <w:noProof/>
                <w:webHidden/>
                <w:sz w:val="22"/>
              </w:rPr>
            </w:r>
            <w:r w:rsidRPr="005A3125">
              <w:rPr>
                <w:rFonts w:asciiTheme="minorBidi" w:hAnsiTheme="minorBidi" w:cstheme="minorBidi"/>
                <w:noProof/>
                <w:webHidden/>
                <w:sz w:val="22"/>
              </w:rPr>
              <w:fldChar w:fldCharType="separate"/>
            </w:r>
            <w:r w:rsidRPr="005A3125">
              <w:rPr>
                <w:rFonts w:asciiTheme="minorBidi" w:hAnsiTheme="minorBidi" w:cstheme="minorBidi"/>
                <w:noProof/>
                <w:webHidden/>
                <w:sz w:val="22"/>
              </w:rPr>
              <w:t>74</w:t>
            </w:r>
            <w:r w:rsidRPr="005A3125">
              <w:rPr>
                <w:rFonts w:asciiTheme="minorBidi" w:hAnsiTheme="minorBidi" w:cstheme="minorBidi"/>
                <w:noProof/>
                <w:webHidden/>
                <w:sz w:val="22"/>
              </w:rPr>
              <w:fldChar w:fldCharType="end"/>
            </w:r>
          </w:hyperlink>
        </w:p>
        <w:p w14:paraId="39834B8B" w14:textId="62B12D4C" w:rsidR="009F64C5" w:rsidRPr="005A3125" w:rsidRDefault="009F64C5">
          <w:pPr>
            <w:rPr>
              <w:rFonts w:asciiTheme="minorBidi" w:hAnsiTheme="minorBidi"/>
            </w:rPr>
          </w:pPr>
          <w:r w:rsidRPr="005A3125">
            <w:rPr>
              <w:rFonts w:asciiTheme="minorBidi" w:hAnsiTheme="minorBidi"/>
            </w:rPr>
            <w:fldChar w:fldCharType="end"/>
          </w:r>
        </w:p>
      </w:sdtContent>
    </w:sdt>
    <w:p w14:paraId="617F822A" w14:textId="77777777" w:rsidR="000555DE" w:rsidRPr="005A3125" w:rsidRDefault="000555DE">
      <w:pPr>
        <w:rPr>
          <w:rFonts w:asciiTheme="minorBidi" w:eastAsia="Times New Roman" w:hAnsiTheme="minorBidi"/>
          <w:b/>
          <w:color w:val="000000"/>
        </w:rPr>
      </w:pPr>
      <w:r w:rsidRPr="005A3125">
        <w:rPr>
          <w:rFonts w:asciiTheme="minorBidi" w:hAnsiTheme="minorBidi"/>
        </w:rPr>
        <w:br w:type="page"/>
      </w:r>
    </w:p>
    <w:p w14:paraId="7CF5D8CD" w14:textId="22E191F6" w:rsidR="009F64C5" w:rsidRPr="005A3125" w:rsidRDefault="009F64C5" w:rsidP="002B523E">
      <w:pPr>
        <w:pStyle w:val="Heading1"/>
        <w:spacing w:after="158" w:line="342" w:lineRule="auto"/>
        <w:ind w:left="0" w:right="0" w:firstLine="0"/>
        <w:rPr>
          <w:rFonts w:asciiTheme="minorBidi" w:hAnsiTheme="minorBidi" w:cstheme="minorBidi"/>
          <w:sz w:val="22"/>
        </w:rPr>
      </w:pPr>
      <w:bookmarkStart w:id="0" w:name="_Toc232456023"/>
      <w:r w:rsidRPr="005A3125">
        <w:rPr>
          <w:rFonts w:asciiTheme="minorBidi" w:hAnsiTheme="minorBidi" w:cstheme="minorBidi"/>
          <w:sz w:val="22"/>
        </w:rPr>
        <w:lastRenderedPageBreak/>
        <w:t>List of figures</w:t>
      </w:r>
      <w:bookmarkEnd w:id="0"/>
    </w:p>
    <w:p w14:paraId="069A36CD" w14:textId="7E73510F" w:rsidR="009F64C5" w:rsidRPr="005A3125" w:rsidRDefault="00B65C0E" w:rsidP="00235057">
      <w:pPr>
        <w:spacing w:after="214" w:line="360" w:lineRule="auto"/>
        <w:rPr>
          <w:rFonts w:asciiTheme="minorBidi" w:hAnsiTheme="minorBidi"/>
        </w:rPr>
      </w:pPr>
      <w:r w:rsidRPr="005A3125">
        <w:rPr>
          <w:rFonts w:asciiTheme="minorBidi" w:hAnsiTheme="minorBidi"/>
        </w:rPr>
        <w:t xml:space="preserve">Figure 1.1: Prevalence of Probable Mental Disorders Among Young People Aged 17–24 in England ………..…………………………………………………………………………….10 </w:t>
      </w:r>
    </w:p>
    <w:p w14:paraId="3E9AA326" w14:textId="5B75B555" w:rsidR="009F64C5" w:rsidRPr="005A3125" w:rsidRDefault="009F64C5" w:rsidP="00235057">
      <w:pPr>
        <w:spacing w:after="169" w:line="360" w:lineRule="auto"/>
        <w:rPr>
          <w:rFonts w:asciiTheme="minorBidi" w:hAnsiTheme="minorBidi"/>
        </w:rPr>
      </w:pPr>
      <w:r w:rsidRPr="005A3125">
        <w:rPr>
          <w:rFonts w:asciiTheme="minorBidi" w:hAnsiTheme="minorBidi"/>
        </w:rPr>
        <w:t xml:space="preserve">Figure </w:t>
      </w:r>
      <w:r w:rsidR="00FB3DBA" w:rsidRPr="005A3125">
        <w:rPr>
          <w:rFonts w:asciiTheme="minorBidi" w:hAnsiTheme="minorBidi"/>
        </w:rPr>
        <w:t>1.</w:t>
      </w:r>
      <w:r w:rsidRPr="005A3125">
        <w:rPr>
          <w:rFonts w:asciiTheme="minorBidi" w:hAnsiTheme="minorBidi"/>
        </w:rPr>
        <w:t xml:space="preserve">2: </w:t>
      </w:r>
      <w:r w:rsidR="00FB3DBA" w:rsidRPr="005A3125">
        <w:rPr>
          <w:rFonts w:asciiTheme="minorBidi" w:hAnsiTheme="minorBidi"/>
        </w:rPr>
        <w:t>Social Determinants of Mental Health Framework…………</w:t>
      </w:r>
      <w:r w:rsidR="00CA053B" w:rsidRPr="005A3125">
        <w:rPr>
          <w:rFonts w:asciiTheme="minorBidi" w:hAnsiTheme="minorBidi"/>
        </w:rPr>
        <w:t>.….</w:t>
      </w:r>
      <w:r w:rsidR="00B65C0E" w:rsidRPr="005A3125">
        <w:rPr>
          <w:rFonts w:asciiTheme="minorBidi" w:hAnsiTheme="minorBidi"/>
        </w:rPr>
        <w:t>…………………………………………………………………….</w:t>
      </w:r>
      <w:r w:rsidRPr="005A3125">
        <w:rPr>
          <w:rFonts w:asciiTheme="minorBidi" w:hAnsiTheme="minorBidi"/>
        </w:rPr>
        <w:t xml:space="preserve">26 </w:t>
      </w:r>
    </w:p>
    <w:p w14:paraId="5EDAE253" w14:textId="0E85F0C2" w:rsidR="00B65C0E" w:rsidRPr="005A3125" w:rsidRDefault="00B65C0E" w:rsidP="00235057">
      <w:pPr>
        <w:spacing w:after="169" w:line="360" w:lineRule="auto"/>
        <w:rPr>
          <w:rFonts w:asciiTheme="minorBidi" w:hAnsiTheme="minorBidi"/>
        </w:rPr>
      </w:pPr>
      <w:r w:rsidRPr="005A3125">
        <w:rPr>
          <w:rFonts w:asciiTheme="minorBidi" w:hAnsiTheme="minorBidi"/>
        </w:rPr>
        <w:t>Figure 2.1: Prevalence of Common Mental Health Conditions Among Young People Aged 16–24 in England, 1993–2023/24………………………………………………………….12</w:t>
      </w:r>
    </w:p>
    <w:p w14:paraId="0751049C" w14:textId="6AA61B97" w:rsidR="00B65C0E" w:rsidRPr="005A3125" w:rsidRDefault="00B65C0E" w:rsidP="00235057">
      <w:pPr>
        <w:spacing w:after="169" w:line="360" w:lineRule="auto"/>
        <w:rPr>
          <w:rFonts w:asciiTheme="minorBidi" w:hAnsiTheme="minorBidi"/>
        </w:rPr>
      </w:pPr>
      <w:r w:rsidRPr="005A3125">
        <w:rPr>
          <w:rFonts w:asciiTheme="minorBidi" w:hAnsiTheme="minorBidi"/>
        </w:rPr>
        <w:t>Figure 2.2: Social Determinants of Mental Health Framework………………………….12</w:t>
      </w:r>
    </w:p>
    <w:p w14:paraId="258C796D" w14:textId="7B52C37E" w:rsidR="00B65C0E" w:rsidRPr="005A3125" w:rsidRDefault="00B65C0E" w:rsidP="00235057">
      <w:pPr>
        <w:spacing w:after="169" w:line="360" w:lineRule="auto"/>
        <w:rPr>
          <w:rFonts w:asciiTheme="minorBidi" w:hAnsiTheme="minorBidi"/>
        </w:rPr>
      </w:pPr>
      <w:r w:rsidRPr="005A3125">
        <w:rPr>
          <w:rFonts w:asciiTheme="minorBidi" w:hAnsiTheme="minorBidi"/>
        </w:rPr>
        <w:t>Figure 2.3: Mental Healthcare Pathways Among Black Populations in England……...12</w:t>
      </w:r>
    </w:p>
    <w:p w14:paraId="3122B109" w14:textId="4D5A897F" w:rsidR="00B65C0E" w:rsidRPr="005A3125" w:rsidRDefault="00B65C0E" w:rsidP="00235057">
      <w:pPr>
        <w:spacing w:after="169" w:line="360" w:lineRule="auto"/>
        <w:rPr>
          <w:rFonts w:asciiTheme="minorBidi" w:hAnsiTheme="minorBidi"/>
        </w:rPr>
      </w:pPr>
      <w:r w:rsidRPr="005A3125">
        <w:rPr>
          <w:rFonts w:asciiTheme="minorBidi" w:hAnsiTheme="minorBidi"/>
        </w:rPr>
        <w:t>Figure 3.1: PRISMA 2020 Flow Diagram…………………………………………………..12</w:t>
      </w:r>
    </w:p>
    <w:p w14:paraId="2559A69A" w14:textId="751020FC" w:rsidR="00B65C0E" w:rsidRPr="005A3125" w:rsidRDefault="00B65C0E" w:rsidP="00235057">
      <w:pPr>
        <w:spacing w:after="169" w:line="360" w:lineRule="auto"/>
        <w:rPr>
          <w:rFonts w:asciiTheme="minorBidi" w:hAnsiTheme="minorBidi"/>
        </w:rPr>
      </w:pPr>
      <w:r w:rsidRPr="005A3125">
        <w:rPr>
          <w:rFonts w:asciiTheme="minorBidi" w:hAnsiTheme="minorBidi"/>
        </w:rPr>
        <w:t xml:space="preserve">Figure 4.1: </w:t>
      </w:r>
      <w:r w:rsidR="00FB3C67" w:rsidRPr="005A3125">
        <w:rPr>
          <w:rFonts w:asciiTheme="minorBidi" w:hAnsiTheme="minorBidi"/>
        </w:rPr>
        <w:t>Impact</w:t>
      </w:r>
      <w:r w:rsidRPr="005A3125">
        <w:rPr>
          <w:rFonts w:asciiTheme="minorBidi" w:hAnsiTheme="minorBidi"/>
        </w:rPr>
        <w:t xml:space="preserve"> of Structural Racism on Psychological Wellbeing…………………</w:t>
      </w:r>
      <w:r w:rsidR="00FB3C67" w:rsidRPr="005A3125">
        <w:rPr>
          <w:rFonts w:asciiTheme="minorBidi" w:hAnsiTheme="minorBidi"/>
        </w:rPr>
        <w:t>..</w:t>
      </w:r>
      <w:r w:rsidRPr="005A3125">
        <w:rPr>
          <w:rFonts w:asciiTheme="minorBidi" w:hAnsiTheme="minorBidi"/>
        </w:rPr>
        <w:t>13</w:t>
      </w:r>
    </w:p>
    <w:p w14:paraId="410C3588" w14:textId="08E4516E" w:rsidR="00FB3C67" w:rsidRPr="005A3125" w:rsidRDefault="00FB3C67" w:rsidP="00235057">
      <w:pPr>
        <w:spacing w:after="169" w:line="360" w:lineRule="auto"/>
        <w:rPr>
          <w:rFonts w:asciiTheme="minorBidi" w:hAnsiTheme="minorBidi"/>
        </w:rPr>
      </w:pPr>
      <w:r w:rsidRPr="005A3125">
        <w:rPr>
          <w:rFonts w:asciiTheme="minorBidi" w:hAnsiTheme="minorBidi"/>
        </w:rPr>
        <w:t xml:space="preserve">Figure 4.2: </w:t>
      </w:r>
      <w:r w:rsidR="00235057" w:rsidRPr="005A3125">
        <w:rPr>
          <w:rFonts w:asciiTheme="minorBidi" w:hAnsiTheme="minorBidi"/>
        </w:rPr>
        <w:t>School Exclusion by Ethnicity in England…………………………………….14</w:t>
      </w:r>
    </w:p>
    <w:p w14:paraId="3A149312" w14:textId="2F6310F2" w:rsidR="00235057" w:rsidRPr="005A3125" w:rsidRDefault="00235057" w:rsidP="00235057">
      <w:pPr>
        <w:spacing w:after="169" w:line="360" w:lineRule="auto"/>
        <w:rPr>
          <w:rFonts w:asciiTheme="minorBidi" w:hAnsiTheme="minorBidi"/>
        </w:rPr>
      </w:pPr>
      <w:r w:rsidRPr="005A3125">
        <w:rPr>
          <w:rFonts w:asciiTheme="minorBidi" w:hAnsiTheme="minorBidi"/>
        </w:rPr>
        <w:t>Figure 4.3: Detentions Under the Mental Health Act by Ethnicity……………………….15</w:t>
      </w:r>
    </w:p>
    <w:p w14:paraId="4D71BB86" w14:textId="77777777" w:rsidR="009F64C5" w:rsidRPr="005A3125" w:rsidRDefault="009F64C5">
      <w:pPr>
        <w:spacing w:after="158"/>
        <w:rPr>
          <w:rFonts w:asciiTheme="minorBidi" w:hAnsiTheme="minorBidi"/>
        </w:rPr>
      </w:pPr>
      <w:r w:rsidRPr="005A3125">
        <w:rPr>
          <w:rFonts w:asciiTheme="minorBidi" w:hAnsiTheme="minorBidi"/>
        </w:rPr>
        <w:t xml:space="preserve"> </w:t>
      </w:r>
    </w:p>
    <w:p w14:paraId="1F33F1E7" w14:textId="77777777" w:rsidR="009F64C5" w:rsidRPr="005A3125" w:rsidRDefault="009F64C5">
      <w:pPr>
        <w:spacing w:after="156"/>
        <w:ind w:left="59"/>
        <w:jc w:val="center"/>
        <w:rPr>
          <w:rFonts w:asciiTheme="minorBidi" w:hAnsiTheme="minorBidi"/>
        </w:rPr>
      </w:pPr>
      <w:r w:rsidRPr="005A3125">
        <w:rPr>
          <w:rFonts w:asciiTheme="minorBidi" w:eastAsia="Times New Roman" w:hAnsiTheme="minorBidi"/>
          <w:b/>
        </w:rPr>
        <w:t xml:space="preserve"> </w:t>
      </w:r>
    </w:p>
    <w:p w14:paraId="1028A266" w14:textId="77777777" w:rsidR="000555DE" w:rsidRPr="005A3125" w:rsidRDefault="000555DE">
      <w:pPr>
        <w:rPr>
          <w:rFonts w:asciiTheme="minorBidi" w:eastAsia="Times New Roman" w:hAnsiTheme="minorBidi"/>
          <w:b/>
          <w:color w:val="000000"/>
        </w:rPr>
      </w:pPr>
      <w:r w:rsidRPr="005A3125">
        <w:rPr>
          <w:rFonts w:asciiTheme="minorBidi" w:hAnsiTheme="minorBidi"/>
        </w:rPr>
        <w:br w:type="page"/>
      </w:r>
    </w:p>
    <w:p w14:paraId="26D3E5D0" w14:textId="4977B35C" w:rsidR="009F64C5" w:rsidRPr="005A3125" w:rsidRDefault="009F64C5">
      <w:pPr>
        <w:pStyle w:val="Heading1"/>
        <w:ind w:left="12" w:right="4"/>
        <w:rPr>
          <w:rFonts w:asciiTheme="minorBidi" w:hAnsiTheme="minorBidi" w:cstheme="minorBidi"/>
          <w:sz w:val="22"/>
        </w:rPr>
      </w:pPr>
      <w:bookmarkStart w:id="1" w:name="_Toc232456024"/>
      <w:r w:rsidRPr="005A3125">
        <w:rPr>
          <w:rFonts w:asciiTheme="minorBidi" w:hAnsiTheme="minorBidi" w:cstheme="minorBidi"/>
          <w:sz w:val="22"/>
        </w:rPr>
        <w:lastRenderedPageBreak/>
        <w:t>List of tables</w:t>
      </w:r>
      <w:bookmarkEnd w:id="1"/>
      <w:r w:rsidRPr="005A3125">
        <w:rPr>
          <w:rFonts w:asciiTheme="minorBidi" w:hAnsiTheme="minorBidi" w:cstheme="minorBidi"/>
          <w:sz w:val="22"/>
        </w:rPr>
        <w:t xml:space="preserve"> </w:t>
      </w:r>
    </w:p>
    <w:p w14:paraId="2A242D90" w14:textId="77777777" w:rsidR="009F64C5" w:rsidRPr="005A3125" w:rsidRDefault="009F64C5">
      <w:pPr>
        <w:spacing w:after="172"/>
        <w:rPr>
          <w:rFonts w:asciiTheme="minorBidi" w:hAnsiTheme="minorBidi"/>
        </w:rPr>
      </w:pPr>
      <w:r w:rsidRPr="005A3125">
        <w:rPr>
          <w:rFonts w:asciiTheme="minorBidi" w:eastAsia="Calibri" w:hAnsiTheme="minorBidi"/>
        </w:rPr>
        <w:t xml:space="preserve"> </w:t>
      </w:r>
    </w:p>
    <w:p w14:paraId="6DD17FA5" w14:textId="052333FE" w:rsidR="009F64C5" w:rsidRPr="005A3125" w:rsidRDefault="009F64C5">
      <w:pPr>
        <w:spacing w:after="205"/>
        <w:rPr>
          <w:rFonts w:asciiTheme="minorBidi" w:hAnsiTheme="minorBidi"/>
        </w:rPr>
      </w:pPr>
    </w:p>
    <w:p w14:paraId="191ACBB0" w14:textId="6A2D6BF6" w:rsidR="009F64C5" w:rsidRPr="005A3125" w:rsidRDefault="009F64C5" w:rsidP="001D1D37">
      <w:pPr>
        <w:spacing w:after="214" w:line="360" w:lineRule="auto"/>
        <w:rPr>
          <w:rFonts w:asciiTheme="minorBidi" w:hAnsiTheme="minorBidi"/>
        </w:rPr>
      </w:pPr>
      <w:r w:rsidRPr="005A3125">
        <w:rPr>
          <w:rFonts w:asciiTheme="minorBidi" w:hAnsiTheme="minorBidi"/>
        </w:rPr>
        <w:t xml:space="preserve">Table </w:t>
      </w:r>
      <w:r w:rsidR="001B0A00" w:rsidRPr="005A3125">
        <w:rPr>
          <w:rFonts w:asciiTheme="minorBidi" w:hAnsiTheme="minorBidi"/>
        </w:rPr>
        <w:t>1.</w:t>
      </w:r>
      <w:r w:rsidRPr="005A3125">
        <w:rPr>
          <w:rFonts w:asciiTheme="minorBidi" w:hAnsiTheme="minorBidi"/>
        </w:rPr>
        <w:t xml:space="preserve">1: </w:t>
      </w:r>
      <w:r w:rsidR="001B0A00" w:rsidRPr="005A3125">
        <w:rPr>
          <w:rFonts w:asciiTheme="minorBidi" w:hAnsiTheme="minorBidi"/>
        </w:rPr>
        <w:t>Mental Health Inequalities Affecting Black Populations in England………..</w:t>
      </w:r>
      <w:r w:rsidRPr="005A3125">
        <w:rPr>
          <w:rFonts w:asciiTheme="minorBidi" w:hAnsiTheme="minorBidi"/>
        </w:rPr>
        <w:t xml:space="preserve">…………………………………………………………………………….10 </w:t>
      </w:r>
    </w:p>
    <w:p w14:paraId="3404E466" w14:textId="3E420921" w:rsidR="009F64C5" w:rsidRPr="005A3125" w:rsidRDefault="009F64C5" w:rsidP="001D1D37">
      <w:pPr>
        <w:spacing w:after="169" w:line="360" w:lineRule="auto"/>
        <w:rPr>
          <w:rFonts w:asciiTheme="minorBidi" w:hAnsiTheme="minorBidi"/>
        </w:rPr>
      </w:pPr>
      <w:r w:rsidRPr="005A3125">
        <w:rPr>
          <w:rFonts w:asciiTheme="minorBidi" w:hAnsiTheme="minorBidi"/>
        </w:rPr>
        <w:t>Table 2</w:t>
      </w:r>
      <w:r w:rsidR="00B65C0E" w:rsidRPr="005A3125">
        <w:rPr>
          <w:rFonts w:asciiTheme="minorBidi" w:hAnsiTheme="minorBidi"/>
        </w:rPr>
        <w:t>.1</w:t>
      </w:r>
      <w:r w:rsidRPr="005A3125">
        <w:rPr>
          <w:rFonts w:asciiTheme="minorBidi" w:hAnsiTheme="minorBidi"/>
        </w:rPr>
        <w:t xml:space="preserve">: </w:t>
      </w:r>
      <w:r w:rsidR="00B65C0E" w:rsidRPr="005A3125">
        <w:rPr>
          <w:rFonts w:asciiTheme="minorBidi" w:hAnsiTheme="minorBidi"/>
        </w:rPr>
        <w:t>Psychological Effects of Racism Identified Within Literature………</w:t>
      </w:r>
      <w:r w:rsidRPr="005A3125">
        <w:rPr>
          <w:rFonts w:asciiTheme="minorBidi" w:hAnsiTheme="minorBidi"/>
        </w:rPr>
        <w:t xml:space="preserve">…………………………………………………………………………….14 </w:t>
      </w:r>
    </w:p>
    <w:p w14:paraId="06650524" w14:textId="49C8AA06" w:rsidR="00D716D0" w:rsidRPr="005A3125" w:rsidRDefault="00D716D0" w:rsidP="001D1D37">
      <w:pPr>
        <w:spacing w:after="169" w:line="360" w:lineRule="auto"/>
        <w:rPr>
          <w:rFonts w:asciiTheme="minorBidi" w:hAnsiTheme="minorBidi"/>
        </w:rPr>
      </w:pPr>
      <w:r w:rsidRPr="005A3125">
        <w:rPr>
          <w:rFonts w:asciiTheme="minorBidi" w:hAnsiTheme="minorBidi"/>
        </w:rPr>
        <w:t>Table 3.1: Databases Used for Literature Search………………………………………14</w:t>
      </w:r>
    </w:p>
    <w:p w14:paraId="322F8877" w14:textId="4DF8E791" w:rsidR="00D716D0" w:rsidRPr="005A3125" w:rsidRDefault="00D716D0" w:rsidP="001D1D37">
      <w:pPr>
        <w:spacing w:after="169" w:line="360" w:lineRule="auto"/>
        <w:rPr>
          <w:rFonts w:asciiTheme="minorBidi" w:hAnsiTheme="minorBidi"/>
        </w:rPr>
      </w:pPr>
      <w:r w:rsidRPr="005A3125">
        <w:rPr>
          <w:rFonts w:asciiTheme="minorBidi" w:hAnsiTheme="minorBidi"/>
        </w:rPr>
        <w:t>Table 3.2: Inclusion and Exclusion Criteria………………………………………………15</w:t>
      </w:r>
    </w:p>
    <w:p w14:paraId="60D87506" w14:textId="3D9D14E3" w:rsidR="00D716D0" w:rsidRPr="005A3125" w:rsidRDefault="00D716D0" w:rsidP="001D1D37">
      <w:pPr>
        <w:spacing w:after="169" w:line="360" w:lineRule="auto"/>
        <w:rPr>
          <w:rFonts w:asciiTheme="minorBidi" w:hAnsiTheme="minorBidi"/>
        </w:rPr>
      </w:pPr>
      <w:r w:rsidRPr="005A3125">
        <w:rPr>
          <w:rFonts w:asciiTheme="minorBidi" w:hAnsiTheme="minorBidi"/>
        </w:rPr>
        <w:t>Table 3.3: Expanded CASP Quality Appraisal Framework…………………………….16</w:t>
      </w:r>
    </w:p>
    <w:p w14:paraId="6FA4C143" w14:textId="583D137B" w:rsidR="00D716D0" w:rsidRPr="005A3125" w:rsidRDefault="00D716D0" w:rsidP="001D1D37">
      <w:pPr>
        <w:spacing w:after="169" w:line="360" w:lineRule="auto"/>
        <w:rPr>
          <w:rFonts w:asciiTheme="minorBidi" w:hAnsiTheme="minorBidi"/>
        </w:rPr>
      </w:pPr>
      <w:r w:rsidRPr="005A3125">
        <w:rPr>
          <w:rFonts w:asciiTheme="minorBidi" w:hAnsiTheme="minorBidi"/>
        </w:rPr>
        <w:t>Table 3.4: Quality Appraisal of Included Studies………………………………………..16</w:t>
      </w:r>
    </w:p>
    <w:p w14:paraId="0CDA6C0F" w14:textId="5B332F8D" w:rsidR="00D716D0" w:rsidRPr="005A3125" w:rsidRDefault="00D716D0" w:rsidP="001D1D37">
      <w:pPr>
        <w:spacing w:after="169" w:line="360" w:lineRule="auto"/>
        <w:rPr>
          <w:rFonts w:asciiTheme="minorBidi" w:hAnsiTheme="minorBidi"/>
        </w:rPr>
      </w:pPr>
      <w:r w:rsidRPr="005A3125">
        <w:rPr>
          <w:rFonts w:asciiTheme="minorBidi" w:hAnsiTheme="minorBidi"/>
        </w:rPr>
        <w:t xml:space="preserve">Table 4.1: Characteristics of Included Studies…………………………………………..14 </w:t>
      </w:r>
    </w:p>
    <w:p w14:paraId="4242C423" w14:textId="77777777" w:rsidR="00D716D0" w:rsidRPr="005A3125" w:rsidRDefault="00D716D0" w:rsidP="001D1D37">
      <w:pPr>
        <w:spacing w:after="0" w:line="360" w:lineRule="auto"/>
        <w:rPr>
          <w:rFonts w:asciiTheme="minorBidi" w:hAnsiTheme="minorBidi"/>
        </w:rPr>
      </w:pPr>
      <w:r w:rsidRPr="005A3125">
        <w:rPr>
          <w:rFonts w:asciiTheme="minorBidi" w:hAnsiTheme="minorBidi"/>
        </w:rPr>
        <w:t xml:space="preserve">Table 4.2: Socioeconomic Inequalities Affecting Black African and Mixed African </w:t>
      </w:r>
    </w:p>
    <w:p w14:paraId="1E6F6631" w14:textId="580BCF08" w:rsidR="00D716D0" w:rsidRPr="005A3125" w:rsidRDefault="00D716D0" w:rsidP="001D1D37">
      <w:pPr>
        <w:spacing w:after="0" w:line="360" w:lineRule="auto"/>
        <w:rPr>
          <w:rFonts w:asciiTheme="minorBidi" w:hAnsiTheme="minorBidi"/>
        </w:rPr>
      </w:pPr>
      <w:r w:rsidRPr="005A3125">
        <w:rPr>
          <w:rFonts w:asciiTheme="minorBidi" w:hAnsiTheme="minorBidi"/>
        </w:rPr>
        <w:t>Youth in the United Kingdom………………………………………………………………16</w:t>
      </w:r>
    </w:p>
    <w:p w14:paraId="262B30A9" w14:textId="2208B2B6" w:rsidR="00D716D0" w:rsidRPr="005A3125" w:rsidRDefault="00D716D0" w:rsidP="001D1D37">
      <w:pPr>
        <w:spacing w:after="169" w:line="360" w:lineRule="auto"/>
        <w:rPr>
          <w:rFonts w:asciiTheme="minorBidi" w:hAnsiTheme="minorBidi"/>
        </w:rPr>
      </w:pPr>
      <w:r w:rsidRPr="005A3125">
        <w:rPr>
          <w:rFonts w:asciiTheme="minorBidi" w:hAnsiTheme="minorBidi"/>
        </w:rPr>
        <w:t>Table 4.3: Barriers Affecting Mental Healthcare Access………………………………..16</w:t>
      </w:r>
    </w:p>
    <w:p w14:paraId="667FF0D4" w14:textId="1DFF2FDB" w:rsidR="00D716D0" w:rsidRPr="005A3125" w:rsidRDefault="00D716D0" w:rsidP="001D1D37">
      <w:pPr>
        <w:spacing w:after="169" w:line="360" w:lineRule="auto"/>
        <w:rPr>
          <w:rFonts w:asciiTheme="minorBidi" w:hAnsiTheme="minorBidi"/>
        </w:rPr>
      </w:pPr>
      <w:r w:rsidRPr="005A3125">
        <w:rPr>
          <w:rFonts w:asciiTheme="minorBidi" w:hAnsiTheme="minorBidi"/>
        </w:rPr>
        <w:t>Table 4.4: Summary of Findings from Included Studies………………………………..16</w:t>
      </w:r>
    </w:p>
    <w:p w14:paraId="22A18975" w14:textId="6C3CF9E3" w:rsidR="00D716D0" w:rsidRPr="005A3125" w:rsidRDefault="00D716D0" w:rsidP="001D1D37">
      <w:pPr>
        <w:spacing w:after="169" w:line="360" w:lineRule="auto"/>
        <w:rPr>
          <w:rFonts w:asciiTheme="minorBidi" w:hAnsiTheme="minorBidi"/>
        </w:rPr>
      </w:pPr>
      <w:r w:rsidRPr="005A3125">
        <w:rPr>
          <w:rFonts w:asciiTheme="minorBidi" w:hAnsiTheme="minorBidi"/>
        </w:rPr>
        <w:t>Table 4.5: Summary of Major Themes Identified Through Thematic Analysis……….16</w:t>
      </w:r>
    </w:p>
    <w:p w14:paraId="12A2C16D" w14:textId="54F50DBA" w:rsidR="00D716D0" w:rsidRPr="005A3125" w:rsidRDefault="00D716D0">
      <w:pPr>
        <w:spacing w:after="169"/>
        <w:rPr>
          <w:rFonts w:asciiTheme="minorBidi" w:hAnsiTheme="minorBidi"/>
        </w:rPr>
      </w:pPr>
    </w:p>
    <w:p w14:paraId="279143F6" w14:textId="77777777" w:rsidR="000555DE" w:rsidRPr="005A3125" w:rsidRDefault="000555DE">
      <w:pPr>
        <w:rPr>
          <w:rFonts w:asciiTheme="minorBidi" w:eastAsia="Times New Roman" w:hAnsiTheme="minorBidi"/>
          <w:b/>
          <w:color w:val="000000"/>
        </w:rPr>
      </w:pPr>
      <w:r w:rsidRPr="005A3125">
        <w:rPr>
          <w:rFonts w:asciiTheme="minorBidi" w:hAnsiTheme="minorBidi"/>
        </w:rPr>
        <w:br w:type="page"/>
      </w:r>
    </w:p>
    <w:p w14:paraId="3ABADF24" w14:textId="4B15EAE8" w:rsidR="009F64C5" w:rsidRPr="005A3125" w:rsidRDefault="009F64C5" w:rsidP="002B523E">
      <w:pPr>
        <w:pStyle w:val="Heading1"/>
        <w:spacing w:after="169" w:line="249" w:lineRule="auto"/>
        <w:ind w:right="0"/>
        <w:rPr>
          <w:rFonts w:asciiTheme="minorBidi" w:hAnsiTheme="minorBidi" w:cstheme="minorBidi"/>
          <w:sz w:val="22"/>
        </w:rPr>
      </w:pPr>
      <w:bookmarkStart w:id="2" w:name="_Toc232456025"/>
      <w:r w:rsidRPr="005A3125">
        <w:rPr>
          <w:rFonts w:asciiTheme="minorBidi" w:hAnsiTheme="minorBidi" w:cstheme="minorBidi"/>
          <w:sz w:val="22"/>
        </w:rPr>
        <w:lastRenderedPageBreak/>
        <w:t>List of abbreviations</w:t>
      </w:r>
      <w:bookmarkEnd w:id="2"/>
    </w:p>
    <w:p w14:paraId="31F6A5CC" w14:textId="51BE6C52" w:rsidR="009F64C5" w:rsidRPr="005A3125" w:rsidRDefault="009F64C5" w:rsidP="00B65C0E">
      <w:pPr>
        <w:spacing w:after="158"/>
        <w:ind w:left="59"/>
        <w:jc w:val="center"/>
        <w:rPr>
          <w:rFonts w:asciiTheme="minorBidi" w:hAnsiTheme="minorBidi"/>
        </w:rPr>
      </w:pPr>
      <w:r w:rsidRPr="005A3125">
        <w:rPr>
          <w:rFonts w:asciiTheme="minorBidi" w:eastAsia="Times New Roman" w:hAnsiTheme="minorBidi"/>
          <w:b/>
        </w:rPr>
        <w:t xml:space="preserve"> </w:t>
      </w:r>
    </w:p>
    <w:p w14:paraId="382BA251" w14:textId="47B994AD" w:rsidR="001B0A00" w:rsidRPr="005A3125" w:rsidRDefault="001B0A00" w:rsidP="001D1D37">
      <w:pPr>
        <w:spacing w:after="0" w:line="360" w:lineRule="auto"/>
        <w:rPr>
          <w:rFonts w:asciiTheme="minorBidi" w:eastAsia="Times New Roman" w:hAnsiTheme="minorBidi"/>
          <w:b/>
        </w:rPr>
      </w:pPr>
      <w:r w:rsidRPr="005A3125">
        <w:rPr>
          <w:rFonts w:asciiTheme="minorBidi" w:eastAsia="Times New Roman" w:hAnsiTheme="minorBidi"/>
          <w:b/>
        </w:rPr>
        <w:t>Abbreviation</w:t>
      </w:r>
      <w:r w:rsidRPr="005A3125">
        <w:rPr>
          <w:rFonts w:asciiTheme="minorBidi" w:eastAsia="Times New Roman" w:hAnsiTheme="minorBidi"/>
          <w:b/>
        </w:rPr>
        <w:tab/>
      </w:r>
      <w:r w:rsidRPr="005A3125">
        <w:rPr>
          <w:rFonts w:asciiTheme="minorBidi" w:eastAsia="Times New Roman" w:hAnsiTheme="minorBidi"/>
          <w:b/>
        </w:rPr>
        <w:tab/>
        <w:t>Full Meaning</w:t>
      </w:r>
    </w:p>
    <w:p w14:paraId="7E6C5F26" w14:textId="430D9DCB" w:rsidR="001D1D37" w:rsidRPr="005A3125" w:rsidRDefault="001D1D37" w:rsidP="001D1D37">
      <w:pPr>
        <w:spacing w:before="240" w:after="0" w:line="360" w:lineRule="auto"/>
        <w:rPr>
          <w:rFonts w:asciiTheme="minorBidi" w:hAnsiTheme="minorBidi"/>
        </w:rPr>
      </w:pPr>
      <w:r w:rsidRPr="005A3125">
        <w:rPr>
          <w:rFonts w:asciiTheme="minorBidi" w:hAnsiTheme="minorBidi"/>
          <w:i/>
        </w:rPr>
        <w:t>BME</w:t>
      </w:r>
      <w:r w:rsidRPr="005A3125">
        <w:rPr>
          <w:rFonts w:asciiTheme="minorBidi" w:hAnsiTheme="minorBidi"/>
        </w:rPr>
        <w:tab/>
      </w:r>
      <w:r w:rsidRPr="005A3125">
        <w:rPr>
          <w:rFonts w:asciiTheme="minorBidi" w:hAnsiTheme="minorBidi"/>
        </w:rPr>
        <w:tab/>
      </w:r>
      <w:r w:rsidRPr="005A3125">
        <w:rPr>
          <w:rFonts w:asciiTheme="minorBidi" w:hAnsiTheme="minorBidi"/>
        </w:rPr>
        <w:tab/>
        <w:t>Black and Minority Ethnic</w:t>
      </w:r>
    </w:p>
    <w:p w14:paraId="4CCCB843" w14:textId="61F628D4" w:rsidR="001D1D37" w:rsidRPr="005A3125" w:rsidRDefault="001D1D37" w:rsidP="001D1D37">
      <w:pPr>
        <w:spacing w:before="240" w:after="0" w:line="360" w:lineRule="auto"/>
        <w:rPr>
          <w:rFonts w:asciiTheme="minorBidi" w:eastAsia="Times New Roman" w:hAnsiTheme="minorBidi"/>
        </w:rPr>
      </w:pPr>
      <w:r w:rsidRPr="005A3125">
        <w:rPr>
          <w:rFonts w:asciiTheme="minorBidi" w:eastAsia="Times New Roman" w:hAnsiTheme="minorBidi"/>
          <w:i/>
        </w:rPr>
        <w:t>CASP</w:t>
      </w:r>
      <w:r w:rsidRPr="005A3125">
        <w:rPr>
          <w:rFonts w:asciiTheme="minorBidi" w:eastAsia="Times New Roman" w:hAnsiTheme="minorBidi"/>
        </w:rPr>
        <w:tab/>
      </w:r>
      <w:r w:rsidRPr="005A3125">
        <w:rPr>
          <w:rFonts w:asciiTheme="minorBidi" w:eastAsia="Times New Roman" w:hAnsiTheme="minorBidi"/>
        </w:rPr>
        <w:tab/>
      </w:r>
      <w:r w:rsidRPr="005A3125">
        <w:rPr>
          <w:rFonts w:asciiTheme="minorBidi" w:eastAsia="Times New Roman" w:hAnsiTheme="minorBidi"/>
        </w:rPr>
        <w:tab/>
        <w:t>Critical Appraisal Skills Programme</w:t>
      </w:r>
    </w:p>
    <w:p w14:paraId="330048E3" w14:textId="716A8F6A" w:rsidR="001D1D37" w:rsidRPr="005A3125" w:rsidRDefault="001D1D37" w:rsidP="001D1D37">
      <w:pPr>
        <w:spacing w:before="240" w:after="0" w:line="360" w:lineRule="auto"/>
        <w:rPr>
          <w:rFonts w:asciiTheme="minorBidi" w:eastAsia="Times New Roman" w:hAnsiTheme="minorBidi"/>
        </w:rPr>
      </w:pPr>
      <w:r w:rsidRPr="005A3125">
        <w:rPr>
          <w:rFonts w:asciiTheme="minorBidi" w:eastAsia="Times New Roman" w:hAnsiTheme="minorBidi"/>
          <w:i/>
        </w:rPr>
        <w:t>CINAH</w:t>
      </w:r>
      <w:r w:rsidRPr="005A3125">
        <w:rPr>
          <w:rFonts w:asciiTheme="minorBidi" w:eastAsia="Times New Roman" w:hAnsiTheme="minorBidi"/>
        </w:rPr>
        <w:t>L</w:t>
      </w:r>
      <w:r w:rsidRPr="005A3125">
        <w:rPr>
          <w:rFonts w:asciiTheme="minorBidi" w:hAnsiTheme="minorBidi"/>
        </w:rPr>
        <w:t xml:space="preserve"> </w:t>
      </w:r>
      <w:r w:rsidRPr="005A3125">
        <w:rPr>
          <w:rFonts w:asciiTheme="minorBidi" w:hAnsiTheme="minorBidi"/>
        </w:rPr>
        <w:tab/>
      </w:r>
      <w:r w:rsidRPr="005A3125">
        <w:rPr>
          <w:rFonts w:asciiTheme="minorBidi" w:hAnsiTheme="minorBidi"/>
        </w:rPr>
        <w:tab/>
      </w:r>
      <w:r w:rsidRPr="005A3125">
        <w:rPr>
          <w:rFonts w:asciiTheme="minorBidi" w:eastAsia="Times New Roman" w:hAnsiTheme="minorBidi"/>
        </w:rPr>
        <w:t>Cumulative Index to Nursing and Allied Health Literature</w:t>
      </w:r>
    </w:p>
    <w:p w14:paraId="5FB076C4" w14:textId="2CD0A7A8" w:rsidR="00B65C0E" w:rsidRPr="005A3125" w:rsidRDefault="00B65C0E" w:rsidP="001D1D37">
      <w:pPr>
        <w:spacing w:before="240" w:after="0" w:line="360" w:lineRule="auto"/>
        <w:rPr>
          <w:rFonts w:asciiTheme="minorBidi" w:hAnsiTheme="minorBidi"/>
        </w:rPr>
      </w:pPr>
      <w:r w:rsidRPr="005A3125">
        <w:rPr>
          <w:rFonts w:asciiTheme="minorBidi" w:hAnsiTheme="minorBidi"/>
          <w:i/>
        </w:rPr>
        <w:t>CMHCs</w:t>
      </w:r>
      <w:r w:rsidRPr="005A3125">
        <w:rPr>
          <w:rFonts w:asciiTheme="minorBidi" w:hAnsiTheme="minorBidi"/>
          <w:i/>
        </w:rPr>
        <w:tab/>
      </w:r>
      <w:r w:rsidRPr="005A3125">
        <w:rPr>
          <w:rFonts w:asciiTheme="minorBidi" w:hAnsiTheme="minorBidi"/>
        </w:rPr>
        <w:tab/>
        <w:t>Common Mental Health Conditions</w:t>
      </w:r>
    </w:p>
    <w:p w14:paraId="7CFECE7F" w14:textId="55C54720" w:rsidR="001B0A00" w:rsidRPr="005A3125" w:rsidRDefault="001B0A00" w:rsidP="001D1D37">
      <w:pPr>
        <w:spacing w:before="240" w:after="0" w:line="360" w:lineRule="auto"/>
        <w:rPr>
          <w:rFonts w:asciiTheme="minorBidi" w:eastAsia="Times New Roman" w:hAnsiTheme="minorBidi"/>
        </w:rPr>
      </w:pPr>
      <w:r w:rsidRPr="005A3125">
        <w:rPr>
          <w:rFonts w:asciiTheme="minorBidi" w:eastAsia="Times New Roman" w:hAnsiTheme="minorBidi"/>
          <w:i/>
        </w:rPr>
        <w:t>COVID-19</w:t>
      </w:r>
      <w:r w:rsidRPr="005A3125">
        <w:rPr>
          <w:rFonts w:asciiTheme="minorBidi" w:eastAsia="Times New Roman" w:hAnsiTheme="minorBidi"/>
        </w:rPr>
        <w:tab/>
      </w:r>
      <w:r w:rsidRPr="005A3125">
        <w:rPr>
          <w:rFonts w:asciiTheme="minorBidi" w:eastAsia="Times New Roman" w:hAnsiTheme="minorBidi"/>
        </w:rPr>
        <w:tab/>
        <w:t>Coronavirus Disease 2019</w:t>
      </w:r>
    </w:p>
    <w:p w14:paraId="0C4676FC" w14:textId="0114F9FE" w:rsidR="001D1D37" w:rsidRPr="005A3125" w:rsidRDefault="001D1D37" w:rsidP="001D1D37">
      <w:pPr>
        <w:spacing w:before="240" w:after="0" w:line="360" w:lineRule="auto"/>
        <w:rPr>
          <w:rFonts w:asciiTheme="minorBidi" w:hAnsiTheme="minorBidi"/>
        </w:rPr>
      </w:pPr>
      <w:r w:rsidRPr="005A3125">
        <w:rPr>
          <w:rFonts w:asciiTheme="minorBidi" w:hAnsiTheme="minorBidi"/>
          <w:i/>
        </w:rPr>
        <w:t>GOV.UK</w:t>
      </w:r>
      <w:r w:rsidRPr="005A3125">
        <w:rPr>
          <w:rFonts w:asciiTheme="minorBidi" w:hAnsiTheme="minorBidi"/>
        </w:rPr>
        <w:t xml:space="preserve"> </w:t>
      </w:r>
      <w:r w:rsidRPr="005A3125">
        <w:rPr>
          <w:rFonts w:asciiTheme="minorBidi" w:hAnsiTheme="minorBidi"/>
        </w:rPr>
        <w:tab/>
      </w:r>
      <w:r w:rsidRPr="005A3125">
        <w:rPr>
          <w:rFonts w:asciiTheme="minorBidi" w:hAnsiTheme="minorBidi"/>
        </w:rPr>
        <w:tab/>
        <w:t>Government of the United Kingdom</w:t>
      </w:r>
    </w:p>
    <w:p w14:paraId="1CC73E4C" w14:textId="6BC36F46" w:rsidR="001D1D37" w:rsidRPr="005A3125" w:rsidRDefault="001D1D37" w:rsidP="001D1D37">
      <w:pPr>
        <w:spacing w:before="240" w:after="0" w:line="360" w:lineRule="auto"/>
        <w:rPr>
          <w:rFonts w:asciiTheme="minorBidi" w:hAnsiTheme="minorBidi"/>
        </w:rPr>
      </w:pPr>
      <w:r w:rsidRPr="005A3125">
        <w:rPr>
          <w:rFonts w:asciiTheme="minorBidi" w:hAnsiTheme="minorBidi"/>
          <w:i/>
        </w:rPr>
        <w:t>MHCLG</w:t>
      </w:r>
      <w:r w:rsidRPr="005A3125">
        <w:rPr>
          <w:rFonts w:asciiTheme="minorBidi" w:hAnsiTheme="minorBidi"/>
        </w:rPr>
        <w:tab/>
      </w:r>
      <w:r w:rsidRPr="005A3125">
        <w:rPr>
          <w:rFonts w:asciiTheme="minorBidi" w:hAnsiTheme="minorBidi"/>
        </w:rPr>
        <w:tab/>
        <w:t>Ministry of Housing, Communities and Local Government</w:t>
      </w:r>
    </w:p>
    <w:p w14:paraId="5644CC81" w14:textId="68F50A21" w:rsidR="001B0A00" w:rsidRPr="005A3125" w:rsidRDefault="001B0A00" w:rsidP="001D1D37">
      <w:pPr>
        <w:spacing w:before="240" w:after="0" w:line="360" w:lineRule="auto"/>
        <w:rPr>
          <w:rFonts w:asciiTheme="minorBidi" w:eastAsia="Times New Roman" w:hAnsiTheme="minorBidi"/>
        </w:rPr>
      </w:pPr>
      <w:r w:rsidRPr="005A3125">
        <w:rPr>
          <w:rFonts w:asciiTheme="minorBidi" w:eastAsia="Times New Roman" w:hAnsiTheme="minorBidi"/>
          <w:i/>
        </w:rPr>
        <w:t>NHS</w:t>
      </w:r>
      <w:r w:rsidRPr="005A3125">
        <w:rPr>
          <w:rFonts w:asciiTheme="minorBidi" w:eastAsia="Times New Roman" w:hAnsiTheme="minorBidi"/>
        </w:rPr>
        <w:tab/>
      </w:r>
      <w:r w:rsidRPr="005A3125">
        <w:rPr>
          <w:rFonts w:asciiTheme="minorBidi" w:eastAsia="Times New Roman" w:hAnsiTheme="minorBidi"/>
        </w:rPr>
        <w:tab/>
      </w:r>
      <w:r w:rsidRPr="005A3125">
        <w:rPr>
          <w:rFonts w:asciiTheme="minorBidi" w:eastAsia="Times New Roman" w:hAnsiTheme="minorBidi"/>
        </w:rPr>
        <w:tab/>
        <w:t>National Health Service</w:t>
      </w:r>
    </w:p>
    <w:p w14:paraId="28666022" w14:textId="6424266C" w:rsidR="001B0A00" w:rsidRPr="005A3125" w:rsidRDefault="001B0A00" w:rsidP="001D1D37">
      <w:pPr>
        <w:spacing w:before="240" w:after="0" w:line="360" w:lineRule="auto"/>
        <w:rPr>
          <w:rFonts w:asciiTheme="minorBidi" w:eastAsia="Times New Roman" w:hAnsiTheme="minorBidi"/>
        </w:rPr>
      </w:pPr>
      <w:r w:rsidRPr="005A3125">
        <w:rPr>
          <w:rFonts w:asciiTheme="minorBidi" w:eastAsia="Times New Roman" w:hAnsiTheme="minorBidi"/>
          <w:i/>
        </w:rPr>
        <w:t>ONS</w:t>
      </w:r>
      <w:r w:rsidRPr="005A3125">
        <w:rPr>
          <w:rFonts w:asciiTheme="minorBidi" w:eastAsia="Times New Roman" w:hAnsiTheme="minorBidi"/>
        </w:rPr>
        <w:tab/>
      </w:r>
      <w:r w:rsidRPr="005A3125">
        <w:rPr>
          <w:rFonts w:asciiTheme="minorBidi" w:eastAsia="Times New Roman" w:hAnsiTheme="minorBidi"/>
        </w:rPr>
        <w:tab/>
      </w:r>
      <w:r w:rsidRPr="005A3125">
        <w:rPr>
          <w:rFonts w:asciiTheme="minorBidi" w:eastAsia="Times New Roman" w:hAnsiTheme="minorBidi"/>
        </w:rPr>
        <w:tab/>
        <w:t>Office for National Statistics</w:t>
      </w:r>
    </w:p>
    <w:p w14:paraId="59E2F45E" w14:textId="6A7AAC38" w:rsidR="001D1D37" w:rsidRPr="005A3125" w:rsidRDefault="001D1D37" w:rsidP="001D1D37">
      <w:pPr>
        <w:spacing w:before="240" w:after="0" w:line="360" w:lineRule="auto"/>
        <w:rPr>
          <w:rFonts w:asciiTheme="minorBidi" w:eastAsia="Times New Roman" w:hAnsiTheme="minorBidi"/>
        </w:rPr>
      </w:pPr>
      <w:r w:rsidRPr="005A3125">
        <w:rPr>
          <w:rFonts w:asciiTheme="minorBidi" w:eastAsia="Times New Roman" w:hAnsiTheme="minorBidi"/>
          <w:i/>
        </w:rPr>
        <w:t>PRISMA</w:t>
      </w:r>
      <w:r w:rsidRPr="005A3125">
        <w:rPr>
          <w:rFonts w:asciiTheme="minorBidi" w:eastAsia="Times New Roman" w:hAnsiTheme="minorBidi"/>
        </w:rPr>
        <w:tab/>
      </w:r>
      <w:r w:rsidRPr="005A3125">
        <w:rPr>
          <w:rFonts w:asciiTheme="minorBidi" w:eastAsia="Times New Roman" w:hAnsiTheme="minorBidi"/>
        </w:rPr>
        <w:tab/>
        <w:t>Preferred Reporting Items for Systematic Reviews and Meta-Analyses</w:t>
      </w:r>
    </w:p>
    <w:p w14:paraId="7A82C812" w14:textId="09AE3263" w:rsidR="001B0A00" w:rsidRPr="005A3125" w:rsidRDefault="001B0A00" w:rsidP="001D1D37">
      <w:pPr>
        <w:spacing w:before="240" w:after="0" w:line="360" w:lineRule="auto"/>
        <w:rPr>
          <w:rFonts w:asciiTheme="minorBidi" w:eastAsia="Times New Roman" w:hAnsiTheme="minorBidi"/>
        </w:rPr>
      </w:pPr>
      <w:r w:rsidRPr="005A3125">
        <w:rPr>
          <w:rFonts w:asciiTheme="minorBidi" w:eastAsia="Times New Roman" w:hAnsiTheme="minorBidi"/>
          <w:i/>
        </w:rPr>
        <w:t>UK</w:t>
      </w:r>
      <w:r w:rsidRPr="005A3125">
        <w:rPr>
          <w:rFonts w:asciiTheme="minorBidi" w:eastAsia="Times New Roman" w:hAnsiTheme="minorBidi"/>
        </w:rPr>
        <w:tab/>
      </w:r>
      <w:r w:rsidRPr="005A3125">
        <w:rPr>
          <w:rFonts w:asciiTheme="minorBidi" w:eastAsia="Times New Roman" w:hAnsiTheme="minorBidi"/>
        </w:rPr>
        <w:tab/>
      </w:r>
      <w:r w:rsidRPr="005A3125">
        <w:rPr>
          <w:rFonts w:asciiTheme="minorBidi" w:eastAsia="Times New Roman" w:hAnsiTheme="minorBidi"/>
        </w:rPr>
        <w:tab/>
        <w:t>United Kingdom</w:t>
      </w:r>
    </w:p>
    <w:p w14:paraId="0A8DF892" w14:textId="6F936DC8" w:rsidR="009F64C5" w:rsidRPr="005A3125" w:rsidRDefault="001B0A00" w:rsidP="001D1D37">
      <w:pPr>
        <w:spacing w:before="240" w:after="0" w:line="360" w:lineRule="auto"/>
        <w:rPr>
          <w:rFonts w:asciiTheme="minorBidi" w:hAnsiTheme="minorBidi"/>
        </w:rPr>
      </w:pPr>
      <w:r w:rsidRPr="005A3125">
        <w:rPr>
          <w:rFonts w:asciiTheme="minorBidi" w:eastAsia="Times New Roman" w:hAnsiTheme="minorBidi"/>
          <w:i/>
        </w:rPr>
        <w:t>WHO</w:t>
      </w:r>
      <w:r w:rsidRPr="005A3125">
        <w:rPr>
          <w:rFonts w:asciiTheme="minorBidi" w:eastAsia="Times New Roman" w:hAnsiTheme="minorBidi"/>
          <w:i/>
        </w:rPr>
        <w:tab/>
      </w:r>
      <w:r w:rsidRPr="005A3125">
        <w:rPr>
          <w:rFonts w:asciiTheme="minorBidi" w:eastAsia="Times New Roman" w:hAnsiTheme="minorBidi"/>
        </w:rPr>
        <w:tab/>
      </w:r>
      <w:r w:rsidRPr="005A3125">
        <w:rPr>
          <w:rFonts w:asciiTheme="minorBidi" w:eastAsia="Times New Roman" w:hAnsiTheme="minorBidi"/>
        </w:rPr>
        <w:tab/>
        <w:t>World Health Organization</w:t>
      </w:r>
      <w:r w:rsidR="009F64C5" w:rsidRPr="005A3125">
        <w:rPr>
          <w:rFonts w:asciiTheme="minorBidi" w:eastAsia="Times New Roman" w:hAnsiTheme="minorBidi"/>
        </w:rPr>
        <w:t xml:space="preserve"> </w:t>
      </w:r>
      <w:r w:rsidR="009F64C5" w:rsidRPr="005A3125">
        <w:rPr>
          <w:rFonts w:asciiTheme="minorBidi" w:eastAsia="Times New Roman" w:hAnsiTheme="minorBidi"/>
        </w:rPr>
        <w:tab/>
        <w:t xml:space="preserve"> </w:t>
      </w:r>
    </w:p>
    <w:p w14:paraId="27F005A8" w14:textId="01DD734F" w:rsidR="000555DE" w:rsidRPr="005A3125" w:rsidRDefault="000555DE" w:rsidP="00B65C0E">
      <w:pPr>
        <w:spacing w:line="360" w:lineRule="auto"/>
        <w:rPr>
          <w:rFonts w:asciiTheme="minorBidi" w:hAnsiTheme="minorBidi"/>
        </w:rPr>
      </w:pPr>
      <w:r w:rsidRPr="005A3125">
        <w:rPr>
          <w:rFonts w:asciiTheme="minorBidi" w:hAnsiTheme="minorBidi"/>
        </w:rPr>
        <w:br w:type="page"/>
      </w:r>
    </w:p>
    <w:p w14:paraId="53439232" w14:textId="48C694FA" w:rsidR="009F64C5" w:rsidRPr="005A3125" w:rsidRDefault="009F64C5">
      <w:pPr>
        <w:spacing w:after="0"/>
        <w:rPr>
          <w:rFonts w:asciiTheme="minorBidi" w:hAnsiTheme="minorBidi"/>
        </w:rPr>
      </w:pPr>
    </w:p>
    <w:p w14:paraId="7F3DD231" w14:textId="77777777" w:rsidR="000F7CF4" w:rsidRPr="005A3125" w:rsidRDefault="00BC67C0" w:rsidP="002A6F75">
      <w:pPr>
        <w:pStyle w:val="Heading1"/>
        <w:spacing w:after="0" w:line="360" w:lineRule="auto"/>
        <w:ind w:left="12" w:right="3"/>
        <w:rPr>
          <w:rFonts w:asciiTheme="minorBidi" w:hAnsiTheme="minorBidi" w:cstheme="minorBidi"/>
          <w:sz w:val="22"/>
        </w:rPr>
      </w:pPr>
      <w:bookmarkStart w:id="3" w:name="_Toc232456026"/>
      <w:r w:rsidRPr="005A3125">
        <w:rPr>
          <w:rFonts w:asciiTheme="minorBidi" w:hAnsiTheme="minorBidi" w:cstheme="minorBidi"/>
          <w:sz w:val="22"/>
        </w:rPr>
        <w:t xml:space="preserve">Chapter 1: </w:t>
      </w:r>
      <w:r w:rsidR="009F64C5" w:rsidRPr="005A3125">
        <w:rPr>
          <w:rFonts w:asciiTheme="minorBidi" w:hAnsiTheme="minorBidi" w:cstheme="minorBidi"/>
          <w:sz w:val="22"/>
        </w:rPr>
        <w:t>Introduction</w:t>
      </w:r>
      <w:bookmarkEnd w:id="3"/>
      <w:r w:rsidR="009F64C5" w:rsidRPr="005A3125">
        <w:rPr>
          <w:rFonts w:asciiTheme="minorBidi" w:hAnsiTheme="minorBidi" w:cstheme="minorBidi"/>
          <w:sz w:val="22"/>
        </w:rPr>
        <w:t xml:space="preserve"> </w:t>
      </w:r>
    </w:p>
    <w:p w14:paraId="738DCA68" w14:textId="01678F48" w:rsidR="004A30CE" w:rsidRPr="005A3125" w:rsidRDefault="000F7CF4" w:rsidP="004A30CE">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sz w:val="22"/>
          <w:szCs w:val="22"/>
        </w:rPr>
        <w:t>1.1</w:t>
      </w:r>
      <w:r w:rsidR="004A30CE" w:rsidRPr="005A3125">
        <w:rPr>
          <w:rStyle w:val="Heading2Char"/>
          <w:rFonts w:asciiTheme="minorBidi" w:eastAsiaTheme="minorEastAsia" w:hAnsiTheme="minorBidi" w:cstheme="minorBidi"/>
          <w:color w:val="161F19"/>
          <w:sz w:val="22"/>
          <w:szCs w:val="22"/>
        </w:rPr>
        <w:t xml:space="preserve"> </w:t>
      </w:r>
      <w:r w:rsidR="004A30CE" w:rsidRPr="005A3125">
        <w:rPr>
          <w:rStyle w:val="Strong"/>
          <w:rFonts w:asciiTheme="minorBidi" w:hAnsiTheme="minorBidi" w:cstheme="minorBidi"/>
          <w:color w:val="161F19"/>
          <w:sz w:val="22"/>
          <w:szCs w:val="22"/>
        </w:rPr>
        <w:t>Introduction</w:t>
      </w:r>
      <w:r w:rsidR="004A30CE" w:rsidRPr="005A3125">
        <w:rPr>
          <w:rFonts w:asciiTheme="minorBidi" w:hAnsiTheme="minorBidi" w:cstheme="minorBidi"/>
          <w:color w:val="161F19"/>
          <w:sz w:val="22"/>
          <w:szCs w:val="22"/>
        </w:rPr>
        <w:br/>
        <w:t>Mental health disorders among young people pose a significant public health issue in the United Kingdom. Over the last ten years, the rates of depression and anxiety among adolescents and young adults have risen markedly, with evidence indicating that the COVID-19 pandemic and growing socioeconomic disparities have further exacerbated psychological distress in this population (NHS Digital, 2023; Loades et al., 2020; Racine et al., 2021). NHS Digital (2023) reports that about one in four young adults aged 17–24 in England were likely experiencing a mental health disorder in 2023, compared to roughly one in nine in 2017. This sharp increase underscores the expanding mental health burden and the urgent need for effective, equitable interventions.</w:t>
      </w:r>
    </w:p>
    <w:p w14:paraId="219AEF4B" w14:textId="77777777" w:rsidR="004A30CE" w:rsidRPr="005A3125" w:rsidRDefault="004A30CE" w:rsidP="004A30CE">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Depression and anxiety rank among the most prevalent mental health conditions affecting youth globally (</w:t>
      </w:r>
      <w:proofErr w:type="spellStart"/>
      <w:r w:rsidRPr="005A3125">
        <w:rPr>
          <w:rFonts w:asciiTheme="minorBidi" w:hAnsiTheme="minorBidi" w:cstheme="minorBidi"/>
          <w:color w:val="161F19"/>
          <w:sz w:val="22"/>
          <w:szCs w:val="22"/>
        </w:rPr>
        <w:t>Polanczyk</w:t>
      </w:r>
      <w:proofErr w:type="spellEnd"/>
      <w:r w:rsidRPr="005A3125">
        <w:rPr>
          <w:rFonts w:asciiTheme="minorBidi" w:hAnsiTheme="minorBidi" w:cstheme="minorBidi"/>
          <w:color w:val="161F19"/>
          <w:sz w:val="22"/>
          <w:szCs w:val="22"/>
        </w:rPr>
        <w:t xml:space="preserve"> et al., 2015; </w:t>
      </w:r>
      <w:proofErr w:type="spellStart"/>
      <w:r w:rsidRPr="005A3125">
        <w:rPr>
          <w:rFonts w:asciiTheme="minorBidi" w:hAnsiTheme="minorBidi" w:cstheme="minorBidi"/>
          <w:color w:val="161F19"/>
          <w:sz w:val="22"/>
          <w:szCs w:val="22"/>
        </w:rPr>
        <w:t>Solmi</w:t>
      </w:r>
      <w:proofErr w:type="spellEnd"/>
      <w:r w:rsidRPr="005A3125">
        <w:rPr>
          <w:rFonts w:asciiTheme="minorBidi" w:hAnsiTheme="minorBidi" w:cstheme="minorBidi"/>
          <w:color w:val="161F19"/>
          <w:sz w:val="22"/>
          <w:szCs w:val="22"/>
        </w:rPr>
        <w:t xml:space="preserve"> et al., 2022). The World Health Organization (WHO, 2022) defines depression as a mood disorder marked by persistent feelings of sadness, hopelessness, social withdrawal, and reduced interest in daily activities. Anxiety disorders involve excessive fear, worry, and physiological stress responses that impair daily functioning. These conditions can lead to long-term negative impacts on education, employment, social relationships, physical health, and overall wellbeing (WHO, 2022; </w:t>
      </w:r>
      <w:proofErr w:type="spellStart"/>
      <w:r w:rsidRPr="005A3125">
        <w:rPr>
          <w:rFonts w:asciiTheme="minorBidi" w:hAnsiTheme="minorBidi" w:cstheme="minorBidi"/>
          <w:color w:val="161F19"/>
          <w:sz w:val="22"/>
          <w:szCs w:val="22"/>
        </w:rPr>
        <w:t>Solmi</w:t>
      </w:r>
      <w:proofErr w:type="spellEnd"/>
      <w:r w:rsidRPr="005A3125">
        <w:rPr>
          <w:rFonts w:asciiTheme="minorBidi" w:hAnsiTheme="minorBidi" w:cstheme="minorBidi"/>
          <w:color w:val="161F19"/>
          <w:sz w:val="22"/>
          <w:szCs w:val="22"/>
        </w:rPr>
        <w:t xml:space="preserve"> et al., 2022).</w:t>
      </w:r>
    </w:p>
    <w:p w14:paraId="4FDADF4B" w14:textId="77777777" w:rsidR="004A30CE" w:rsidRPr="005A3125" w:rsidRDefault="004A30CE" w:rsidP="004A30CE">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In the UK, mental health disparities disproportionately affect racialized groups, especially Black African and Mixed African youth. Research shows these populations are more likely to face structural racism, socioeconomic hardships, educational disadvantages, identity-related pressures, and obstacles in accessing healthcare (</w:t>
      </w:r>
      <w:proofErr w:type="spellStart"/>
      <w:r w:rsidRPr="005A3125">
        <w:rPr>
          <w:rFonts w:asciiTheme="minorBidi" w:hAnsiTheme="minorBidi" w:cstheme="minorBidi"/>
          <w:color w:val="161F19"/>
          <w:sz w:val="22"/>
          <w:szCs w:val="22"/>
        </w:rPr>
        <w:t>Bécares</w:t>
      </w:r>
      <w:proofErr w:type="spellEnd"/>
      <w:r w:rsidRPr="005A3125">
        <w:rPr>
          <w:rFonts w:asciiTheme="minorBidi" w:hAnsiTheme="minorBidi" w:cstheme="minorBidi"/>
          <w:color w:val="161F19"/>
          <w:sz w:val="22"/>
          <w:szCs w:val="22"/>
        </w:rPr>
        <w:t xml:space="preserve"> et al., 2015; Wallace et al., 2016). Despite growing awareness of racial inequalities in mental healthcare, Black African and Mixed African youth remain underrepresented in UK mental health research (Memon et al., 2016; Kapadia et al., 2022). As a result, culturally specific experiences of these groups are frequently overlooked in research, policy, and healthcare services.</w:t>
      </w:r>
    </w:p>
    <w:p w14:paraId="1AB5324A" w14:textId="77777777" w:rsidR="004A30CE" w:rsidRPr="005A3125" w:rsidRDefault="004A30CE" w:rsidP="004A30CE">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This dissertation offers a critical examination of depression and anxiety among Black African and Mixed African youth aged 16–25 in the UK, adopting a public health lens. Employing systematic review methods, it investigates how structural, social, cultural, and institutional factors drive mental health inequalities and explores barriers to accessing mental health services.</w:t>
      </w:r>
    </w:p>
    <w:p w14:paraId="345705E5" w14:textId="77777777" w:rsidR="004A30CE" w:rsidRPr="005A3125" w:rsidRDefault="004A30CE" w:rsidP="004A30CE">
      <w:pPr>
        <w:pStyle w:val="muitypography-root"/>
        <w:spacing w:before="0" w:beforeAutospacing="0" w:after="0" w:afterAutospacing="0" w:line="360" w:lineRule="atLeast"/>
        <w:rPr>
          <w:rFonts w:asciiTheme="minorBidi" w:hAnsiTheme="minorBidi" w:cstheme="minorBidi"/>
          <w:color w:val="161F19"/>
          <w:sz w:val="22"/>
          <w:szCs w:val="22"/>
        </w:rPr>
      </w:pPr>
      <w:r w:rsidRPr="005A3125">
        <w:rPr>
          <w:rStyle w:val="Strong"/>
          <w:rFonts w:asciiTheme="minorBidi" w:hAnsiTheme="minorBidi" w:cstheme="minorBidi"/>
          <w:color w:val="161F19"/>
          <w:sz w:val="22"/>
          <w:szCs w:val="22"/>
        </w:rPr>
        <w:t>1.2 Background to Mental Health Inequalities in the United Kingdom</w:t>
      </w:r>
      <w:r w:rsidRPr="005A3125">
        <w:rPr>
          <w:rFonts w:asciiTheme="minorBidi" w:hAnsiTheme="minorBidi" w:cstheme="minorBidi"/>
          <w:color w:val="161F19"/>
          <w:sz w:val="22"/>
          <w:szCs w:val="22"/>
        </w:rPr>
        <w:br/>
        <w:t xml:space="preserve">Mental health disorders constitute a major public health concern worldwide and within the UK. The World Health Organization (2021) estimates that approximately one in seven adolescents globally experiences a mental health condition, with anxiety and depression being the most common. In the UK, mental health disorders among young people have risen substantially in recent years, driven by a combination of social, economic, and environmental </w:t>
      </w:r>
      <w:r w:rsidRPr="005A3125">
        <w:rPr>
          <w:rFonts w:asciiTheme="minorBidi" w:hAnsiTheme="minorBidi" w:cstheme="minorBidi"/>
          <w:color w:val="161F19"/>
          <w:sz w:val="22"/>
          <w:szCs w:val="22"/>
        </w:rPr>
        <w:lastRenderedPageBreak/>
        <w:t>stressors such as financial insecurity, academic pressures, housing instability, discrimination, and social isolation (Reiss, 2013; McManus et al., 2016; NHS Digital, 2023).</w:t>
      </w:r>
    </w:p>
    <w:p w14:paraId="0989E0D6" w14:textId="77777777" w:rsidR="004A30CE" w:rsidRPr="005A3125" w:rsidRDefault="004A30CE" w:rsidP="004A30CE">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Data from NHS Digital (2023) reveals that probable mental disorders among 17–24-year-olds in England surged from 10.1% in 2017 to 25.7% in 2023. Young women have been especially affected, with anxiety disorders notably increasing following the COVID-19 pandemic. Additionally, ethnic minority groups suffered disproportionate psychological impacts during the pandemic, due to factors including economic hardship, bereavement, overcrowded living conditions, and unequal healthcare access (Bambra et al., 2020; Marmot et al., 2020)</w:t>
      </w:r>
    </w:p>
    <w:p w14:paraId="379CF805" w14:textId="09831F87" w:rsidR="004A30CE" w:rsidRPr="005A3125" w:rsidRDefault="004A30CE" w:rsidP="004A30CE">
      <w:pPr>
        <w:pStyle w:val="Heading1"/>
        <w:spacing w:line="360" w:lineRule="auto"/>
        <w:ind w:left="12" w:right="3"/>
        <w:jc w:val="left"/>
        <w:rPr>
          <w:rFonts w:asciiTheme="minorBidi" w:hAnsiTheme="minorBidi" w:cstheme="minorBidi"/>
          <w:sz w:val="22"/>
        </w:rPr>
      </w:pPr>
    </w:p>
    <w:p w14:paraId="018C9B60" w14:textId="5113489A" w:rsidR="00A11210" w:rsidRPr="005A3125" w:rsidRDefault="00A11210" w:rsidP="00A11210">
      <w:pPr>
        <w:spacing w:line="360" w:lineRule="auto"/>
        <w:jc w:val="both"/>
        <w:rPr>
          <w:rFonts w:asciiTheme="minorBidi" w:hAnsiTheme="minorBidi"/>
        </w:rPr>
      </w:pPr>
      <w:r w:rsidRPr="005A3125">
        <w:rPr>
          <w:rFonts w:asciiTheme="minorBidi" w:hAnsiTheme="minorBidi"/>
        </w:rPr>
        <w:t>.</w:t>
      </w:r>
    </w:p>
    <w:p w14:paraId="53E8DDC9" w14:textId="1958C862" w:rsidR="000F7CF4" w:rsidRPr="005A3125" w:rsidRDefault="00BA755E" w:rsidP="002A6F75">
      <w:pPr>
        <w:spacing w:line="360" w:lineRule="auto"/>
        <w:jc w:val="both"/>
        <w:rPr>
          <w:rFonts w:asciiTheme="minorBidi" w:hAnsiTheme="minorBidi"/>
          <w:b/>
        </w:rPr>
      </w:pPr>
      <w:r w:rsidRPr="005A3125">
        <w:rPr>
          <w:rFonts w:asciiTheme="minorBidi" w:hAnsiTheme="minorBidi"/>
          <w:b/>
          <w:noProof/>
          <w:lang w:val="en-IN" w:eastAsia="en-IN"/>
        </w:rPr>
        <w:drawing>
          <wp:anchor distT="0" distB="0" distL="114300" distR="114300" simplePos="0" relativeHeight="251658244" behindDoc="1" locked="0" layoutInCell="1" allowOverlap="1" wp14:anchorId="24A5F26D" wp14:editId="64156779">
            <wp:simplePos x="0" y="0"/>
            <wp:positionH relativeFrom="column">
              <wp:posOffset>939</wp:posOffset>
            </wp:positionH>
            <wp:positionV relativeFrom="paragraph">
              <wp:posOffset>478790</wp:posOffset>
            </wp:positionV>
            <wp:extent cx="5731510" cy="2844631"/>
            <wp:effectExtent l="0" t="0" r="2540" b="0"/>
            <wp:wrapTight wrapText="bothSides">
              <wp:wrapPolygon edited="0">
                <wp:start x="0" y="0"/>
                <wp:lineTo x="0" y="21412"/>
                <wp:lineTo x="21538" y="21412"/>
                <wp:lineTo x="21538" y="0"/>
                <wp:lineTo x="0" y="0"/>
              </wp:wrapPolygon>
            </wp:wrapTight>
            <wp:docPr id="1" name="Picture 1" descr="7 key findings from the NHS children's mental health surv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7 key findings from the NHS children's mental health survey"/>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844631"/>
                    </a:xfrm>
                    <a:prstGeom prst="rect">
                      <a:avLst/>
                    </a:prstGeom>
                    <a:noFill/>
                    <a:ln>
                      <a:noFill/>
                    </a:ln>
                  </pic:spPr>
                </pic:pic>
              </a:graphicData>
            </a:graphic>
          </wp:anchor>
        </w:drawing>
      </w:r>
      <w:r w:rsidR="00A11210" w:rsidRPr="005A3125">
        <w:rPr>
          <w:rFonts w:asciiTheme="minorBidi" w:hAnsiTheme="minorBidi"/>
          <w:b/>
        </w:rPr>
        <w:t>Figure 1.1:</w:t>
      </w:r>
      <w:r w:rsidR="000F7CF4" w:rsidRPr="005A3125">
        <w:rPr>
          <w:rFonts w:asciiTheme="minorBidi" w:hAnsiTheme="minorBidi"/>
          <w:b/>
        </w:rPr>
        <w:t xml:space="preserve"> Prevalence of Probable Mental Disorders Among Youn</w:t>
      </w:r>
      <w:r w:rsidR="00213DE7" w:rsidRPr="005A3125">
        <w:rPr>
          <w:rFonts w:asciiTheme="minorBidi" w:hAnsiTheme="minorBidi"/>
          <w:b/>
        </w:rPr>
        <w:t xml:space="preserve">g People Aged 17–24 in England </w:t>
      </w:r>
      <w:r w:rsidR="007801D1" w:rsidRPr="005A3125">
        <w:rPr>
          <w:rFonts w:asciiTheme="minorBidi" w:hAnsiTheme="minorBidi"/>
          <w:b/>
        </w:rPr>
        <w:t>(NH</w:t>
      </w:r>
      <w:r w:rsidR="00111669" w:rsidRPr="005A3125">
        <w:rPr>
          <w:rFonts w:asciiTheme="minorBidi" w:hAnsiTheme="minorBidi"/>
          <w:b/>
        </w:rPr>
        <w:t>S Digital,</w:t>
      </w:r>
      <w:r w:rsidR="00A50F2E" w:rsidRPr="005A3125">
        <w:rPr>
          <w:rFonts w:asciiTheme="minorBidi" w:hAnsiTheme="minorBidi"/>
          <w:b/>
        </w:rPr>
        <w:t>2023)</w:t>
      </w:r>
    </w:p>
    <w:p w14:paraId="6A52CF52" w14:textId="3683B54A" w:rsidR="000F7CF4" w:rsidRPr="005A3125" w:rsidRDefault="000F7CF4" w:rsidP="00BA755E">
      <w:pPr>
        <w:spacing w:line="360" w:lineRule="auto"/>
        <w:jc w:val="center"/>
        <w:rPr>
          <w:rFonts w:asciiTheme="minorBidi" w:hAnsiTheme="minorBidi"/>
          <w:b/>
          <w:i/>
        </w:rPr>
      </w:pPr>
      <w:r w:rsidRPr="005A3125">
        <w:rPr>
          <w:rFonts w:asciiTheme="minorBidi" w:hAnsiTheme="minorBidi"/>
          <w:b/>
          <w:i/>
        </w:rPr>
        <w:t>Source: NHS Digital Mental Health of Children and Young People in England (2023)</w:t>
      </w:r>
    </w:p>
    <w:p w14:paraId="35FBA1A7" w14:textId="73E26F3B" w:rsidR="00A11210" w:rsidRPr="005A3125" w:rsidRDefault="00A11210" w:rsidP="00A11210">
      <w:pPr>
        <w:spacing w:line="360" w:lineRule="auto"/>
        <w:jc w:val="both"/>
        <w:rPr>
          <w:rFonts w:asciiTheme="minorBidi" w:hAnsiTheme="minorBidi"/>
        </w:rPr>
      </w:pPr>
      <w:r w:rsidRPr="005A3125">
        <w:rPr>
          <w:rFonts w:asciiTheme="minorBidi" w:hAnsiTheme="minorBidi"/>
        </w:rPr>
        <w:t>Figure 1.1 illustrates the increasing prevalence of probable mental disorders among young people aged 17–24 years in England between 2017 and 2023. The trend reflects wider social and structural pressures affecting young people, including economic insecurity, academic stress, social isolation, and post-pandemic psychological distress (Loades et al., 2020; Racine et al., 2021; NHS Digital, 2023). These findings highlight the importance of early intervention, equitable access to mental healthcare, and targeted mental health promotion strategies.</w:t>
      </w:r>
      <w:r w:rsidR="00213DE7" w:rsidRPr="005A3125">
        <w:rPr>
          <w:rFonts w:asciiTheme="minorBidi" w:hAnsiTheme="minorBidi"/>
        </w:rPr>
        <w:t xml:space="preserve"> </w:t>
      </w:r>
      <w:r w:rsidRPr="005A3125">
        <w:rPr>
          <w:rFonts w:asciiTheme="minorBidi" w:hAnsiTheme="minorBidi"/>
        </w:rPr>
        <w:t>Despite the availability of national mental health data, ethnicity-specific analyses relating to Black African and Mixed African youth remain limited (Memon et al., 2016; Kapadia et al., 2022). This lack of disaggregated evidence contributes to gaps in understanding the unique mental health experiences and inequalities affecting these populations.</w:t>
      </w:r>
    </w:p>
    <w:p w14:paraId="11795AEE" w14:textId="46C2F65E" w:rsidR="000F7CF4" w:rsidRPr="005A3125" w:rsidRDefault="00CB20E2" w:rsidP="00CB20E2">
      <w:pPr>
        <w:pStyle w:val="Heading1"/>
        <w:spacing w:line="360" w:lineRule="auto"/>
        <w:ind w:left="12" w:right="3"/>
        <w:jc w:val="left"/>
        <w:rPr>
          <w:rFonts w:asciiTheme="minorBidi" w:hAnsiTheme="minorBidi" w:cstheme="minorBidi"/>
          <w:sz w:val="22"/>
        </w:rPr>
      </w:pPr>
      <w:bookmarkStart w:id="4" w:name="_Toc232456027"/>
      <w:r w:rsidRPr="005A3125">
        <w:rPr>
          <w:rFonts w:asciiTheme="minorBidi" w:hAnsiTheme="minorBidi" w:cstheme="minorBidi"/>
          <w:sz w:val="22"/>
        </w:rPr>
        <w:lastRenderedPageBreak/>
        <w:t>1.3 Mental Health Inequalities Among Black African and Mixed African Youth</w:t>
      </w:r>
      <w:bookmarkEnd w:id="4"/>
    </w:p>
    <w:p w14:paraId="02C33C2A" w14:textId="7E6A9B81" w:rsidR="00A11210" w:rsidRPr="005A3125" w:rsidRDefault="00A11210" w:rsidP="00A11210">
      <w:pPr>
        <w:spacing w:line="360" w:lineRule="auto"/>
        <w:jc w:val="both"/>
        <w:rPr>
          <w:rFonts w:asciiTheme="minorBidi" w:hAnsiTheme="minorBidi"/>
        </w:rPr>
      </w:pPr>
      <w:r w:rsidRPr="005A3125">
        <w:rPr>
          <w:rFonts w:asciiTheme="minorBidi" w:hAnsiTheme="minorBidi"/>
        </w:rPr>
        <w:t xml:space="preserve">Evidence suggests that mental health outcomes are strongly influenced by social inequalities, structural disadvantage, and experiences of racism (Paradies et al., 2015; Bailey et al., 2017). Within the United Kingdom, Black African and Mixed African youth are disproportionately exposed to a range of social and environmental factors associated with </w:t>
      </w:r>
      <w:r w:rsidR="00CB3DB0" w:rsidRPr="005A3125">
        <w:rPr>
          <w:rFonts w:asciiTheme="minorBidi" w:hAnsiTheme="minorBidi"/>
        </w:rPr>
        <w:t>adverse mental health outcomes</w:t>
      </w:r>
      <w:r w:rsidRPr="005A3125">
        <w:rPr>
          <w:rFonts w:asciiTheme="minorBidi" w:hAnsiTheme="minorBidi"/>
        </w:rPr>
        <w:t xml:space="preserve"> (</w:t>
      </w:r>
      <w:proofErr w:type="spellStart"/>
      <w:r w:rsidRPr="005A3125">
        <w:rPr>
          <w:rFonts w:asciiTheme="minorBidi" w:hAnsiTheme="minorBidi"/>
        </w:rPr>
        <w:t>Nazroo</w:t>
      </w:r>
      <w:proofErr w:type="spellEnd"/>
      <w:r w:rsidRPr="005A3125">
        <w:rPr>
          <w:rFonts w:asciiTheme="minorBidi" w:hAnsiTheme="minorBidi"/>
        </w:rPr>
        <w:t xml:space="preserve">, 2021; </w:t>
      </w:r>
      <w:proofErr w:type="spellStart"/>
      <w:r w:rsidRPr="005A3125">
        <w:rPr>
          <w:rFonts w:asciiTheme="minorBidi" w:hAnsiTheme="minorBidi"/>
        </w:rPr>
        <w:t>Bhui</w:t>
      </w:r>
      <w:proofErr w:type="spellEnd"/>
      <w:r w:rsidRPr="005A3125">
        <w:rPr>
          <w:rFonts w:asciiTheme="minorBidi" w:hAnsiTheme="minorBidi"/>
        </w:rPr>
        <w:t xml:space="preserve"> et al., 2018; Wallace et al., 2016).</w:t>
      </w:r>
    </w:p>
    <w:p w14:paraId="53CF91B0" w14:textId="2360228F" w:rsidR="00A11210" w:rsidRPr="005A3125" w:rsidRDefault="00A11210" w:rsidP="00A11210">
      <w:pPr>
        <w:spacing w:line="360" w:lineRule="auto"/>
        <w:jc w:val="both"/>
        <w:rPr>
          <w:rFonts w:asciiTheme="minorBidi" w:hAnsiTheme="minorBidi"/>
        </w:rPr>
      </w:pPr>
      <w:r w:rsidRPr="005A3125">
        <w:rPr>
          <w:rFonts w:asciiTheme="minorBidi" w:hAnsiTheme="minorBidi"/>
        </w:rPr>
        <w:t xml:space="preserve">Research indicates that Black African and Mixed African youth experience higher levels of racial discrimination, educational inequalities, school exclusion, housing insecurity, socioeconomic deprivation, and barriers to accessing mental healthcare services (Gillborn, 2008; </w:t>
      </w:r>
      <w:proofErr w:type="spellStart"/>
      <w:r w:rsidRPr="005A3125">
        <w:rPr>
          <w:rFonts w:asciiTheme="minorBidi" w:hAnsiTheme="minorBidi"/>
        </w:rPr>
        <w:t>Bhui</w:t>
      </w:r>
      <w:proofErr w:type="spellEnd"/>
      <w:r w:rsidRPr="005A3125">
        <w:rPr>
          <w:rFonts w:asciiTheme="minorBidi" w:hAnsiTheme="minorBidi"/>
        </w:rPr>
        <w:t xml:space="preserve"> et al., 2018; </w:t>
      </w:r>
      <w:proofErr w:type="spellStart"/>
      <w:r w:rsidRPr="005A3125">
        <w:rPr>
          <w:rFonts w:asciiTheme="minorBidi" w:hAnsiTheme="minorBidi"/>
        </w:rPr>
        <w:t>Nazroo</w:t>
      </w:r>
      <w:proofErr w:type="spellEnd"/>
      <w:r w:rsidRPr="005A3125">
        <w:rPr>
          <w:rFonts w:asciiTheme="minorBidi" w:hAnsiTheme="minorBidi"/>
        </w:rPr>
        <w:t xml:space="preserve">, 2021; ONS, 2022). </w:t>
      </w:r>
      <w:r w:rsidR="00DC3F13" w:rsidRPr="005A3125">
        <w:rPr>
          <w:rFonts w:asciiTheme="minorBidi" w:hAnsiTheme="minorBidi"/>
        </w:rPr>
        <w:t>These intersecting disadvantages may increase vulnerability to depression, anxiety, and wider forms of psychological distress.</w:t>
      </w:r>
    </w:p>
    <w:p w14:paraId="16CE062E" w14:textId="09CB2C13" w:rsidR="00A11210" w:rsidRPr="005A3125" w:rsidRDefault="00A11210" w:rsidP="00A11210">
      <w:pPr>
        <w:spacing w:line="360" w:lineRule="auto"/>
        <w:jc w:val="both"/>
        <w:rPr>
          <w:rFonts w:asciiTheme="minorBidi" w:hAnsiTheme="minorBidi"/>
        </w:rPr>
      </w:pPr>
      <w:r w:rsidRPr="005A3125">
        <w:rPr>
          <w:rFonts w:asciiTheme="minorBidi" w:hAnsiTheme="minorBidi"/>
        </w:rPr>
        <w:t>Williams et al. (2019) argue that racism functions as a chronic stressor capable of generating long-term psychological and physiological consequences. Repeated exposure to discrimination has been associated with anxiety, emotional exhaustion, reduced self-esteem, and depressive symptoms among racially marginalised populations (Williams et al., 2019; Carter et al., 2017). Similarly, Wallace et al. (2016) identified strong associations between racial discrimination and psychological distress among ethnic minority populations in the United Kingdom.</w:t>
      </w:r>
    </w:p>
    <w:p w14:paraId="27AF8A45" w14:textId="41ED389F" w:rsidR="000F7CF4" w:rsidRPr="005A3125" w:rsidRDefault="000F7CF4" w:rsidP="00B1281B">
      <w:pPr>
        <w:spacing w:line="360" w:lineRule="auto"/>
        <w:jc w:val="both"/>
        <w:rPr>
          <w:rFonts w:asciiTheme="minorBidi" w:hAnsiTheme="minorBidi"/>
        </w:rPr>
      </w:pPr>
      <w:r w:rsidRPr="005A3125">
        <w:rPr>
          <w:rFonts w:asciiTheme="minorBidi" w:hAnsiTheme="minorBidi"/>
          <w:b/>
        </w:rPr>
        <w:t>Table 1.1</w:t>
      </w:r>
      <w:r w:rsidR="00DC3F13" w:rsidRPr="005A3125">
        <w:rPr>
          <w:rFonts w:asciiTheme="minorBidi" w:hAnsiTheme="minorBidi"/>
          <w:b/>
        </w:rPr>
        <w:t>:</w:t>
      </w:r>
      <w:r w:rsidRPr="005A3125">
        <w:rPr>
          <w:rFonts w:asciiTheme="minorBidi" w:hAnsiTheme="minorBidi"/>
          <w:b/>
        </w:rPr>
        <w:t xml:space="preserve"> Mental Health Inequalities Affecting Black Populations in England</w:t>
      </w:r>
    </w:p>
    <w:tbl>
      <w:tblPr>
        <w:tblStyle w:val="GridTable3-Accent4"/>
        <w:tblW w:w="9775" w:type="dxa"/>
        <w:tblLook w:val="04A0" w:firstRow="1" w:lastRow="0" w:firstColumn="1" w:lastColumn="0" w:noHBand="0" w:noVBand="1"/>
      </w:tblPr>
      <w:tblGrid>
        <w:gridCol w:w="2317"/>
        <w:gridCol w:w="3159"/>
        <w:gridCol w:w="2191"/>
        <w:gridCol w:w="2108"/>
      </w:tblGrid>
      <w:tr w:rsidR="000F7CF4" w:rsidRPr="005A3125" w14:paraId="7D8AD67E" w14:textId="77777777" w:rsidTr="008E34F0">
        <w:trPr>
          <w:cnfStyle w:val="100000000000" w:firstRow="1" w:lastRow="0" w:firstColumn="0" w:lastColumn="0" w:oddVBand="0" w:evenVBand="0" w:oddHBand="0" w:evenHBand="0" w:firstRowFirstColumn="0" w:firstRowLastColumn="0" w:lastRowFirstColumn="0" w:lastRowLastColumn="0"/>
          <w:trHeight w:val="421"/>
        </w:trPr>
        <w:tc>
          <w:tcPr>
            <w:cnfStyle w:val="001000000100" w:firstRow="0" w:lastRow="0" w:firstColumn="1" w:lastColumn="0" w:oddVBand="0" w:evenVBand="0" w:oddHBand="0" w:evenHBand="0" w:firstRowFirstColumn="1" w:firstRowLastColumn="0" w:lastRowFirstColumn="0" w:lastRowLastColumn="0"/>
            <w:tcW w:w="0" w:type="auto"/>
            <w:hideMark/>
          </w:tcPr>
          <w:p w14:paraId="14583383" w14:textId="77777777" w:rsidR="000F7CF4" w:rsidRPr="005A3125" w:rsidRDefault="000F7CF4" w:rsidP="002A6F75">
            <w:pPr>
              <w:spacing w:line="360" w:lineRule="auto"/>
              <w:jc w:val="center"/>
              <w:rPr>
                <w:rFonts w:asciiTheme="minorBidi" w:eastAsia="Times New Roman" w:hAnsiTheme="minorBidi"/>
                <w:b w:val="0"/>
                <w:bCs w:val="0"/>
                <w:lang w:eastAsia="en-IN"/>
              </w:rPr>
            </w:pPr>
            <w:r w:rsidRPr="005A3125">
              <w:rPr>
                <w:rFonts w:asciiTheme="minorBidi" w:eastAsia="Times New Roman" w:hAnsiTheme="minorBidi"/>
                <w:lang w:eastAsia="en-IN"/>
              </w:rPr>
              <w:t>Indicator</w:t>
            </w:r>
          </w:p>
        </w:tc>
        <w:tc>
          <w:tcPr>
            <w:tcW w:w="0" w:type="auto"/>
            <w:hideMark/>
          </w:tcPr>
          <w:p w14:paraId="16BCF625" w14:textId="77777777" w:rsidR="000F7CF4" w:rsidRPr="005A3125" w:rsidRDefault="000F7CF4" w:rsidP="002A6F75">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b w:val="0"/>
                <w:bCs w:val="0"/>
                <w:lang w:eastAsia="en-IN"/>
              </w:rPr>
            </w:pPr>
            <w:r w:rsidRPr="005A3125">
              <w:rPr>
                <w:rFonts w:asciiTheme="minorBidi" w:eastAsia="Times New Roman" w:hAnsiTheme="minorBidi"/>
                <w:lang w:eastAsia="en-IN"/>
              </w:rPr>
              <w:t>Black Populations</w:t>
            </w:r>
          </w:p>
        </w:tc>
        <w:tc>
          <w:tcPr>
            <w:tcW w:w="0" w:type="auto"/>
            <w:hideMark/>
          </w:tcPr>
          <w:p w14:paraId="6A3B9CD7" w14:textId="77777777" w:rsidR="000F7CF4" w:rsidRPr="005A3125" w:rsidRDefault="000F7CF4" w:rsidP="002A6F75">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b w:val="0"/>
                <w:bCs w:val="0"/>
                <w:lang w:eastAsia="en-IN"/>
              </w:rPr>
            </w:pPr>
            <w:r w:rsidRPr="005A3125">
              <w:rPr>
                <w:rFonts w:asciiTheme="minorBidi" w:eastAsia="Times New Roman" w:hAnsiTheme="minorBidi"/>
                <w:lang w:eastAsia="en-IN"/>
              </w:rPr>
              <w:t>White British Populations</w:t>
            </w:r>
          </w:p>
        </w:tc>
        <w:tc>
          <w:tcPr>
            <w:tcW w:w="0" w:type="auto"/>
            <w:hideMark/>
          </w:tcPr>
          <w:p w14:paraId="0BFCD52D" w14:textId="77777777" w:rsidR="000F7CF4" w:rsidRPr="005A3125" w:rsidRDefault="000F7CF4" w:rsidP="002A6F75">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b w:val="0"/>
                <w:bCs w:val="0"/>
                <w:lang w:eastAsia="en-IN"/>
              </w:rPr>
            </w:pPr>
            <w:r w:rsidRPr="005A3125">
              <w:rPr>
                <w:rFonts w:asciiTheme="minorBidi" w:eastAsia="Times New Roman" w:hAnsiTheme="minorBidi"/>
                <w:lang w:eastAsia="en-IN"/>
              </w:rPr>
              <w:t>Source</w:t>
            </w:r>
          </w:p>
        </w:tc>
      </w:tr>
      <w:tr w:rsidR="000F7CF4" w:rsidRPr="005A3125" w14:paraId="4702F4B4" w14:textId="77777777" w:rsidTr="008E34F0">
        <w:trPr>
          <w:cnfStyle w:val="000000100000" w:firstRow="0" w:lastRow="0" w:firstColumn="0" w:lastColumn="0" w:oddVBand="0" w:evenVBand="0" w:oddHBand="1" w:evenHBand="0" w:firstRowFirstColumn="0" w:firstRowLastColumn="0" w:lastRowFirstColumn="0" w:lastRowLastColumn="0"/>
          <w:trHeight w:val="651"/>
        </w:trPr>
        <w:tc>
          <w:tcPr>
            <w:cnfStyle w:val="001000000000" w:firstRow="0" w:lastRow="0" w:firstColumn="1" w:lastColumn="0" w:oddVBand="0" w:evenVBand="0" w:oddHBand="0" w:evenHBand="0" w:firstRowFirstColumn="0" w:firstRowLastColumn="0" w:lastRowFirstColumn="0" w:lastRowLastColumn="0"/>
            <w:tcW w:w="0" w:type="auto"/>
            <w:hideMark/>
          </w:tcPr>
          <w:p w14:paraId="525393FD" w14:textId="77777777" w:rsidR="000F7CF4" w:rsidRPr="005A3125" w:rsidRDefault="000F7CF4" w:rsidP="002A6F75">
            <w:pPr>
              <w:spacing w:line="360" w:lineRule="auto"/>
              <w:jc w:val="center"/>
              <w:rPr>
                <w:rFonts w:asciiTheme="minorBidi" w:eastAsia="Times New Roman" w:hAnsiTheme="minorBidi"/>
                <w:lang w:eastAsia="en-IN"/>
              </w:rPr>
            </w:pPr>
            <w:r w:rsidRPr="005A3125">
              <w:rPr>
                <w:rFonts w:asciiTheme="minorBidi" w:eastAsia="Times New Roman" w:hAnsiTheme="minorBidi"/>
                <w:lang w:eastAsia="en-IN"/>
              </w:rPr>
              <w:t>Detention under Mental Health Act</w:t>
            </w:r>
          </w:p>
        </w:tc>
        <w:tc>
          <w:tcPr>
            <w:tcW w:w="0" w:type="auto"/>
            <w:hideMark/>
          </w:tcPr>
          <w:p w14:paraId="6B612042" w14:textId="77777777" w:rsidR="000F7CF4" w:rsidRPr="005A3125" w:rsidRDefault="000F7CF4" w:rsidP="002A6F75">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lang w:eastAsia="en-IN"/>
              </w:rPr>
            </w:pPr>
            <w:r w:rsidRPr="005A3125">
              <w:rPr>
                <w:rFonts w:asciiTheme="minorBidi" w:eastAsia="Times New Roman" w:hAnsiTheme="minorBidi"/>
                <w:lang w:eastAsia="en-IN"/>
              </w:rPr>
              <w:t>228 per 100,000</w:t>
            </w:r>
          </w:p>
        </w:tc>
        <w:tc>
          <w:tcPr>
            <w:tcW w:w="0" w:type="auto"/>
            <w:hideMark/>
          </w:tcPr>
          <w:p w14:paraId="081F6B88" w14:textId="77777777" w:rsidR="000F7CF4" w:rsidRPr="005A3125" w:rsidRDefault="000F7CF4" w:rsidP="002A6F75">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lang w:eastAsia="en-IN"/>
              </w:rPr>
            </w:pPr>
            <w:r w:rsidRPr="005A3125">
              <w:rPr>
                <w:rFonts w:asciiTheme="minorBidi" w:eastAsia="Times New Roman" w:hAnsiTheme="minorBidi"/>
                <w:lang w:eastAsia="en-IN"/>
              </w:rPr>
              <w:t>64 per 100,000</w:t>
            </w:r>
          </w:p>
        </w:tc>
        <w:tc>
          <w:tcPr>
            <w:tcW w:w="0" w:type="auto"/>
            <w:hideMark/>
          </w:tcPr>
          <w:p w14:paraId="386CF515" w14:textId="77777777" w:rsidR="000F7CF4" w:rsidRPr="005A3125" w:rsidRDefault="000F7CF4" w:rsidP="002A6F75">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lang w:eastAsia="en-IN"/>
              </w:rPr>
            </w:pPr>
            <w:r w:rsidRPr="005A3125">
              <w:rPr>
                <w:rFonts w:asciiTheme="minorBidi" w:eastAsia="Times New Roman" w:hAnsiTheme="minorBidi"/>
                <w:lang w:eastAsia="en-IN"/>
              </w:rPr>
              <w:t>GOV.UK Ethnicity Facts and Figures (2024)</w:t>
            </w:r>
          </w:p>
        </w:tc>
      </w:tr>
      <w:tr w:rsidR="000F7CF4" w:rsidRPr="005A3125" w14:paraId="32547BCA" w14:textId="77777777" w:rsidTr="008E34F0">
        <w:trPr>
          <w:trHeight w:val="421"/>
        </w:trPr>
        <w:tc>
          <w:tcPr>
            <w:cnfStyle w:val="001000000000" w:firstRow="0" w:lastRow="0" w:firstColumn="1" w:lastColumn="0" w:oddVBand="0" w:evenVBand="0" w:oddHBand="0" w:evenHBand="0" w:firstRowFirstColumn="0" w:firstRowLastColumn="0" w:lastRowFirstColumn="0" w:lastRowLastColumn="0"/>
            <w:tcW w:w="0" w:type="auto"/>
            <w:hideMark/>
          </w:tcPr>
          <w:p w14:paraId="57728192" w14:textId="77777777" w:rsidR="000F7CF4" w:rsidRPr="005A3125" w:rsidRDefault="000F7CF4" w:rsidP="002A6F75">
            <w:pPr>
              <w:spacing w:line="360" w:lineRule="auto"/>
              <w:jc w:val="center"/>
              <w:rPr>
                <w:rFonts w:asciiTheme="minorBidi" w:eastAsia="Times New Roman" w:hAnsiTheme="minorBidi"/>
                <w:lang w:eastAsia="en-IN"/>
              </w:rPr>
            </w:pPr>
            <w:r w:rsidRPr="005A3125">
              <w:rPr>
                <w:rFonts w:asciiTheme="minorBidi" w:eastAsia="Times New Roman" w:hAnsiTheme="minorBidi"/>
                <w:lang w:eastAsia="en-IN"/>
              </w:rPr>
              <w:t>School exclusion likelihood</w:t>
            </w:r>
          </w:p>
        </w:tc>
        <w:tc>
          <w:tcPr>
            <w:tcW w:w="0" w:type="auto"/>
            <w:hideMark/>
          </w:tcPr>
          <w:p w14:paraId="4735C29E" w14:textId="77777777" w:rsidR="00B1281B" w:rsidRPr="005A3125" w:rsidRDefault="00A27D7F" w:rsidP="00A27D7F">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eastAsia="en-IN"/>
              </w:rPr>
            </w:pPr>
            <w:r w:rsidRPr="005A3125">
              <w:rPr>
                <w:rFonts w:asciiTheme="minorBidi" w:eastAsia="Times New Roman" w:hAnsiTheme="minorBidi"/>
                <w:lang w:eastAsia="en-IN"/>
              </w:rPr>
              <w:t xml:space="preserve">0.29% </w:t>
            </w:r>
          </w:p>
          <w:p w14:paraId="5EE19242" w14:textId="69679E6E" w:rsidR="000F7CF4" w:rsidRPr="005A3125" w:rsidRDefault="00A27D7F" w:rsidP="00A27D7F">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eastAsia="en-IN"/>
              </w:rPr>
            </w:pPr>
            <w:r w:rsidRPr="005A3125">
              <w:rPr>
                <w:rFonts w:asciiTheme="minorBidi" w:eastAsia="Times New Roman" w:hAnsiTheme="minorBidi"/>
                <w:lang w:eastAsia="en-IN"/>
              </w:rPr>
              <w:t>(approx. 3–4x higher than White British pupils)</w:t>
            </w:r>
          </w:p>
        </w:tc>
        <w:tc>
          <w:tcPr>
            <w:tcW w:w="0" w:type="auto"/>
            <w:hideMark/>
          </w:tcPr>
          <w:p w14:paraId="0EB4CE1D" w14:textId="7B3FF56C" w:rsidR="000F7CF4" w:rsidRPr="005A3125" w:rsidRDefault="00A27D7F" w:rsidP="002A6F75">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eastAsia="en-IN"/>
              </w:rPr>
            </w:pPr>
            <w:r w:rsidRPr="005A3125">
              <w:rPr>
                <w:rFonts w:asciiTheme="minorBidi" w:eastAsia="Times New Roman" w:hAnsiTheme="minorBidi"/>
                <w:lang w:eastAsia="en-IN"/>
              </w:rPr>
              <w:t>0.08%</w:t>
            </w:r>
          </w:p>
        </w:tc>
        <w:tc>
          <w:tcPr>
            <w:tcW w:w="0" w:type="auto"/>
            <w:hideMark/>
          </w:tcPr>
          <w:p w14:paraId="4953E3BC" w14:textId="77777777" w:rsidR="000F7CF4" w:rsidRPr="005A3125" w:rsidRDefault="000F7CF4" w:rsidP="002A6F75">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eastAsia="en-IN"/>
              </w:rPr>
            </w:pPr>
            <w:r w:rsidRPr="005A3125">
              <w:rPr>
                <w:rFonts w:asciiTheme="minorBidi" w:eastAsia="Times New Roman" w:hAnsiTheme="minorBidi"/>
                <w:lang w:eastAsia="en-IN"/>
              </w:rPr>
              <w:t>Department for Education (2023)</w:t>
            </w:r>
          </w:p>
        </w:tc>
      </w:tr>
      <w:tr w:rsidR="000F7CF4" w:rsidRPr="005A3125" w14:paraId="495937FB" w14:textId="77777777" w:rsidTr="008E34F0">
        <w:trPr>
          <w:cnfStyle w:val="000000100000" w:firstRow="0" w:lastRow="0" w:firstColumn="0" w:lastColumn="0" w:oddVBand="0" w:evenVBand="0" w:oddHBand="1" w:evenHBand="0" w:firstRowFirstColumn="0" w:firstRowLastColumn="0" w:lastRowFirstColumn="0" w:lastRowLastColumn="0"/>
          <w:trHeight w:val="421"/>
        </w:trPr>
        <w:tc>
          <w:tcPr>
            <w:cnfStyle w:val="001000000000" w:firstRow="0" w:lastRow="0" w:firstColumn="1" w:lastColumn="0" w:oddVBand="0" w:evenVBand="0" w:oddHBand="0" w:evenHBand="0" w:firstRowFirstColumn="0" w:firstRowLastColumn="0" w:lastRowFirstColumn="0" w:lastRowLastColumn="0"/>
            <w:tcW w:w="0" w:type="auto"/>
            <w:hideMark/>
          </w:tcPr>
          <w:p w14:paraId="6E1DBBB6" w14:textId="77777777" w:rsidR="000F7CF4" w:rsidRPr="005A3125" w:rsidRDefault="000F7CF4" w:rsidP="002A6F75">
            <w:pPr>
              <w:spacing w:line="360" w:lineRule="auto"/>
              <w:jc w:val="center"/>
              <w:rPr>
                <w:rFonts w:asciiTheme="minorBidi" w:eastAsia="Times New Roman" w:hAnsiTheme="minorBidi"/>
                <w:lang w:eastAsia="en-IN"/>
              </w:rPr>
            </w:pPr>
            <w:r w:rsidRPr="005A3125">
              <w:rPr>
                <w:rFonts w:asciiTheme="minorBidi" w:eastAsia="Times New Roman" w:hAnsiTheme="minorBidi"/>
                <w:lang w:eastAsia="en-IN"/>
              </w:rPr>
              <w:t>Unemployment among young adults</w:t>
            </w:r>
          </w:p>
        </w:tc>
        <w:tc>
          <w:tcPr>
            <w:tcW w:w="0" w:type="auto"/>
            <w:hideMark/>
          </w:tcPr>
          <w:p w14:paraId="1B3476ED" w14:textId="77777777" w:rsidR="00B1281B" w:rsidRPr="005A3125" w:rsidRDefault="00A27D7F" w:rsidP="002A6F75">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lang w:eastAsia="en-IN"/>
              </w:rPr>
            </w:pPr>
            <w:r w:rsidRPr="005A3125">
              <w:rPr>
                <w:rFonts w:asciiTheme="minorBidi" w:eastAsia="Times New Roman" w:hAnsiTheme="minorBidi"/>
                <w:lang w:eastAsia="en-IN"/>
              </w:rPr>
              <w:t xml:space="preserve">~18–22% </w:t>
            </w:r>
          </w:p>
          <w:p w14:paraId="05B73254" w14:textId="2BC40D06" w:rsidR="000F7CF4" w:rsidRPr="005A3125" w:rsidRDefault="00A27D7F" w:rsidP="002A6F75">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lang w:eastAsia="en-IN"/>
              </w:rPr>
            </w:pPr>
            <w:r w:rsidRPr="005A3125">
              <w:rPr>
                <w:rFonts w:asciiTheme="minorBidi" w:eastAsia="Times New Roman" w:hAnsiTheme="minorBidi"/>
                <w:lang w:eastAsia="en-IN"/>
              </w:rPr>
              <w:t>(varies by quarter/ethnic breakdown)</w:t>
            </w:r>
          </w:p>
        </w:tc>
        <w:tc>
          <w:tcPr>
            <w:tcW w:w="0" w:type="auto"/>
            <w:hideMark/>
          </w:tcPr>
          <w:p w14:paraId="601261B5" w14:textId="79B75693" w:rsidR="000F7CF4" w:rsidRPr="005A3125" w:rsidRDefault="00A27D7F" w:rsidP="002A6F75">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lang w:eastAsia="en-IN"/>
              </w:rPr>
            </w:pPr>
            <w:r w:rsidRPr="005A3125">
              <w:rPr>
                <w:rFonts w:asciiTheme="minorBidi" w:eastAsia="Times New Roman" w:hAnsiTheme="minorBidi"/>
                <w:lang w:eastAsia="en-IN"/>
              </w:rPr>
              <w:t>~9–11%</w:t>
            </w:r>
          </w:p>
        </w:tc>
        <w:tc>
          <w:tcPr>
            <w:tcW w:w="0" w:type="auto"/>
            <w:hideMark/>
          </w:tcPr>
          <w:p w14:paraId="3C3B4880" w14:textId="6B84EF68" w:rsidR="000F7CF4" w:rsidRPr="005A3125" w:rsidRDefault="006F7F52" w:rsidP="002A6F75">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lang w:eastAsia="en-IN"/>
              </w:rPr>
            </w:pPr>
            <w:r w:rsidRPr="005A3125">
              <w:rPr>
                <w:rFonts w:asciiTheme="minorBidi" w:eastAsia="Times New Roman" w:hAnsiTheme="minorBidi"/>
                <w:lang w:eastAsia="en-IN"/>
              </w:rPr>
              <w:t>Office for National Statistics</w:t>
            </w:r>
            <w:r w:rsidR="000F7CF4" w:rsidRPr="005A3125">
              <w:rPr>
                <w:rFonts w:asciiTheme="minorBidi" w:eastAsia="Times New Roman" w:hAnsiTheme="minorBidi"/>
                <w:lang w:eastAsia="en-IN"/>
              </w:rPr>
              <w:t xml:space="preserve"> (2023)</w:t>
            </w:r>
          </w:p>
        </w:tc>
      </w:tr>
      <w:tr w:rsidR="000F7CF4" w:rsidRPr="005A3125" w14:paraId="7D978BC3" w14:textId="77777777" w:rsidTr="008E34F0">
        <w:trPr>
          <w:trHeight w:val="434"/>
        </w:trPr>
        <w:tc>
          <w:tcPr>
            <w:cnfStyle w:val="001000000000" w:firstRow="0" w:lastRow="0" w:firstColumn="1" w:lastColumn="0" w:oddVBand="0" w:evenVBand="0" w:oddHBand="0" w:evenHBand="0" w:firstRowFirstColumn="0" w:firstRowLastColumn="0" w:lastRowFirstColumn="0" w:lastRowLastColumn="0"/>
            <w:tcW w:w="0" w:type="auto"/>
            <w:hideMark/>
          </w:tcPr>
          <w:p w14:paraId="7EC57E15" w14:textId="77777777" w:rsidR="000F7CF4" w:rsidRPr="005A3125" w:rsidRDefault="000F7CF4" w:rsidP="002A6F75">
            <w:pPr>
              <w:spacing w:line="360" w:lineRule="auto"/>
              <w:jc w:val="center"/>
              <w:rPr>
                <w:rFonts w:asciiTheme="minorBidi" w:eastAsia="Times New Roman" w:hAnsiTheme="minorBidi"/>
                <w:lang w:eastAsia="en-IN"/>
              </w:rPr>
            </w:pPr>
            <w:r w:rsidRPr="005A3125">
              <w:rPr>
                <w:rFonts w:asciiTheme="minorBidi" w:eastAsia="Times New Roman" w:hAnsiTheme="minorBidi"/>
                <w:lang w:eastAsia="en-IN"/>
              </w:rPr>
              <w:t>Exposure to racial discrimination</w:t>
            </w:r>
          </w:p>
        </w:tc>
        <w:tc>
          <w:tcPr>
            <w:tcW w:w="0" w:type="auto"/>
            <w:hideMark/>
          </w:tcPr>
          <w:p w14:paraId="7982ED07" w14:textId="6A8FE3E6" w:rsidR="000F7CF4" w:rsidRPr="005A3125" w:rsidRDefault="00F52E69" w:rsidP="002A6F75">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eastAsia="en-IN"/>
              </w:rPr>
            </w:pPr>
            <w:r w:rsidRPr="005A3125">
              <w:rPr>
                <w:rFonts w:asciiTheme="minorBidi" w:eastAsia="Times New Roman" w:hAnsiTheme="minorBidi"/>
                <w:lang w:eastAsia="en-IN"/>
              </w:rPr>
              <w:t>20–40% report experiences of racial discrimination</w:t>
            </w:r>
          </w:p>
        </w:tc>
        <w:tc>
          <w:tcPr>
            <w:tcW w:w="0" w:type="auto"/>
            <w:hideMark/>
          </w:tcPr>
          <w:p w14:paraId="2ECC1A0F" w14:textId="371AA21E" w:rsidR="000F7CF4" w:rsidRPr="005A3125" w:rsidRDefault="00F52E69" w:rsidP="002A6F75">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eastAsia="en-IN"/>
              </w:rPr>
            </w:pPr>
            <w:r w:rsidRPr="005A3125">
              <w:rPr>
                <w:rFonts w:asciiTheme="minorBidi" w:eastAsia="Times New Roman" w:hAnsiTheme="minorBidi"/>
                <w:lang w:eastAsia="en-IN"/>
              </w:rPr>
              <w:t>5–15% report discrimination experiences</w:t>
            </w:r>
          </w:p>
        </w:tc>
        <w:tc>
          <w:tcPr>
            <w:tcW w:w="0" w:type="auto"/>
            <w:hideMark/>
          </w:tcPr>
          <w:p w14:paraId="6710764E" w14:textId="7663F919" w:rsidR="000F7CF4" w:rsidRPr="005A3125" w:rsidRDefault="00F52E69" w:rsidP="002A6F75">
            <w:pPr>
              <w:spacing w:line="360"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lang w:eastAsia="en-IN"/>
              </w:rPr>
            </w:pPr>
            <w:proofErr w:type="spellStart"/>
            <w:r w:rsidRPr="005A3125">
              <w:rPr>
                <w:rFonts w:asciiTheme="minorBidi" w:eastAsia="Times New Roman" w:hAnsiTheme="minorBidi"/>
                <w:lang w:eastAsia="en-IN"/>
              </w:rPr>
              <w:t>Bécares</w:t>
            </w:r>
            <w:proofErr w:type="spellEnd"/>
            <w:r w:rsidRPr="005A3125">
              <w:rPr>
                <w:rFonts w:asciiTheme="minorBidi" w:eastAsia="Times New Roman" w:hAnsiTheme="minorBidi"/>
                <w:lang w:eastAsia="en-IN"/>
              </w:rPr>
              <w:t xml:space="preserve"> et al. (2015); Wallace et al. (2016)</w:t>
            </w:r>
          </w:p>
        </w:tc>
      </w:tr>
      <w:tr w:rsidR="000F7CF4" w:rsidRPr="005A3125" w14:paraId="67A8E76D" w14:textId="77777777" w:rsidTr="008E34F0">
        <w:trPr>
          <w:cnfStyle w:val="000000100000" w:firstRow="0" w:lastRow="0" w:firstColumn="0" w:lastColumn="0" w:oddVBand="0" w:evenVBand="0" w:oddHBand="1" w:evenHBand="0" w:firstRowFirstColumn="0" w:firstRowLastColumn="0" w:lastRowFirstColumn="0" w:lastRowLastColumn="0"/>
          <w:trHeight w:val="421"/>
        </w:trPr>
        <w:tc>
          <w:tcPr>
            <w:cnfStyle w:val="001000000000" w:firstRow="0" w:lastRow="0" w:firstColumn="1" w:lastColumn="0" w:oddVBand="0" w:evenVBand="0" w:oddHBand="0" w:evenHBand="0" w:firstRowFirstColumn="0" w:firstRowLastColumn="0" w:lastRowFirstColumn="0" w:lastRowLastColumn="0"/>
            <w:tcW w:w="0" w:type="auto"/>
            <w:hideMark/>
          </w:tcPr>
          <w:p w14:paraId="39D9BA97" w14:textId="77777777" w:rsidR="000F7CF4" w:rsidRPr="005A3125" w:rsidRDefault="000F7CF4" w:rsidP="002A6F75">
            <w:pPr>
              <w:spacing w:line="360" w:lineRule="auto"/>
              <w:jc w:val="center"/>
              <w:rPr>
                <w:rFonts w:asciiTheme="minorBidi" w:eastAsia="Times New Roman" w:hAnsiTheme="minorBidi"/>
                <w:lang w:eastAsia="en-IN"/>
              </w:rPr>
            </w:pPr>
            <w:r w:rsidRPr="005A3125">
              <w:rPr>
                <w:rFonts w:asciiTheme="minorBidi" w:eastAsia="Times New Roman" w:hAnsiTheme="minorBidi"/>
                <w:lang w:eastAsia="en-IN"/>
              </w:rPr>
              <w:lastRenderedPageBreak/>
              <w:t>Access to early mental health intervention</w:t>
            </w:r>
          </w:p>
        </w:tc>
        <w:tc>
          <w:tcPr>
            <w:tcW w:w="0" w:type="auto"/>
            <w:hideMark/>
          </w:tcPr>
          <w:p w14:paraId="70D80B58" w14:textId="484B3956" w:rsidR="000F7CF4" w:rsidRPr="005A3125" w:rsidRDefault="00425FED" w:rsidP="002A6F75">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lang w:eastAsia="en-IN"/>
              </w:rPr>
            </w:pPr>
            <w:r w:rsidRPr="005A3125">
              <w:rPr>
                <w:rFonts w:asciiTheme="minorBidi" w:eastAsia="Times New Roman" w:hAnsiTheme="minorBidi"/>
                <w:lang w:eastAsia="en-IN"/>
              </w:rPr>
              <w:t>Approximately 15–30% lower service engagement than White British populations</w:t>
            </w:r>
          </w:p>
        </w:tc>
        <w:tc>
          <w:tcPr>
            <w:tcW w:w="0" w:type="auto"/>
            <w:hideMark/>
          </w:tcPr>
          <w:p w14:paraId="2B381CAA" w14:textId="2C4AF7B0" w:rsidR="000F7CF4" w:rsidRPr="005A3125" w:rsidRDefault="00425FED" w:rsidP="002A6F75">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lang w:eastAsia="en-IN"/>
              </w:rPr>
            </w:pPr>
            <w:r w:rsidRPr="005A3125">
              <w:rPr>
                <w:rFonts w:asciiTheme="minorBidi" w:eastAsia="Times New Roman" w:hAnsiTheme="minorBidi"/>
                <w:lang w:eastAsia="en-IN"/>
              </w:rPr>
              <w:t>Higher service engagement</w:t>
            </w:r>
          </w:p>
        </w:tc>
        <w:tc>
          <w:tcPr>
            <w:tcW w:w="0" w:type="auto"/>
            <w:hideMark/>
          </w:tcPr>
          <w:p w14:paraId="22B07C9A" w14:textId="089023B7" w:rsidR="000F7CF4" w:rsidRPr="005A3125" w:rsidRDefault="008E34F0" w:rsidP="002A6F75">
            <w:pPr>
              <w:spacing w:line="360"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lang w:eastAsia="en-IN"/>
              </w:rPr>
            </w:pPr>
            <w:r w:rsidRPr="005A3125">
              <w:rPr>
                <w:rFonts w:asciiTheme="minorBidi" w:eastAsia="Times New Roman" w:hAnsiTheme="minorBidi"/>
                <w:lang w:eastAsia="en-IN"/>
              </w:rPr>
              <w:t xml:space="preserve">Memon et al. (2016); </w:t>
            </w:r>
            <w:proofErr w:type="spellStart"/>
            <w:r w:rsidRPr="005A3125">
              <w:rPr>
                <w:rFonts w:asciiTheme="minorBidi" w:eastAsia="Times New Roman" w:hAnsiTheme="minorBidi"/>
                <w:lang w:eastAsia="en-IN"/>
              </w:rPr>
              <w:t>Bhui</w:t>
            </w:r>
            <w:proofErr w:type="spellEnd"/>
            <w:r w:rsidRPr="005A3125">
              <w:rPr>
                <w:rFonts w:asciiTheme="minorBidi" w:eastAsia="Times New Roman" w:hAnsiTheme="minorBidi"/>
                <w:lang w:eastAsia="en-IN"/>
              </w:rPr>
              <w:t xml:space="preserve"> et al. (2018)</w:t>
            </w:r>
          </w:p>
        </w:tc>
      </w:tr>
    </w:tbl>
    <w:p w14:paraId="130F34E2" w14:textId="64B9D840" w:rsidR="0085468D" w:rsidRPr="005A3125" w:rsidRDefault="00213DE7" w:rsidP="0085468D">
      <w:pPr>
        <w:spacing w:line="360" w:lineRule="auto"/>
        <w:jc w:val="both"/>
        <w:rPr>
          <w:rFonts w:asciiTheme="minorBidi" w:hAnsiTheme="minorBidi"/>
        </w:rPr>
      </w:pPr>
      <w:r w:rsidRPr="005A3125">
        <w:rPr>
          <w:rFonts w:asciiTheme="minorBidi" w:hAnsiTheme="minorBidi"/>
        </w:rPr>
        <w:t xml:space="preserve"> </w:t>
      </w:r>
      <w:r w:rsidR="00A11210" w:rsidRPr="005A3125">
        <w:rPr>
          <w:rFonts w:asciiTheme="minorBidi" w:hAnsiTheme="minorBidi"/>
        </w:rPr>
        <w:t xml:space="preserve">The evidence presented in Table 1.1 highlights persistent inequalities affecting Black populations in England. Higher rates of school exclusion, unemployment, racial discrimination, and compulsory detention under the Mental Health Act demonstrate broader structural challenges that may negatively affect mental health outcomes. These inequalities emphasise the importance of addressing both social and institutional determinants of mental health among </w:t>
      </w:r>
      <w:r w:rsidR="00CB3DB0" w:rsidRPr="005A3125">
        <w:rPr>
          <w:rFonts w:asciiTheme="minorBidi" w:hAnsiTheme="minorBidi"/>
        </w:rPr>
        <w:t xml:space="preserve">Black African and Mixed African youth </w:t>
      </w:r>
      <w:r w:rsidR="00A11210" w:rsidRPr="005A3125">
        <w:rPr>
          <w:rFonts w:asciiTheme="minorBidi" w:hAnsiTheme="minorBidi"/>
        </w:rPr>
        <w:t>populations.</w:t>
      </w:r>
    </w:p>
    <w:p w14:paraId="0E69838F" w14:textId="77777777" w:rsidR="00C1330D" w:rsidRPr="005A3125" w:rsidRDefault="0085468D" w:rsidP="00C1330D">
      <w:pPr>
        <w:pStyle w:val="muitypography-root"/>
        <w:spacing w:before="0" w:beforeAutospacing="0" w:after="0" w:afterAutospacing="0" w:line="360" w:lineRule="atLeast"/>
        <w:rPr>
          <w:rFonts w:asciiTheme="minorBidi" w:hAnsiTheme="minorBidi" w:cstheme="minorBidi"/>
          <w:color w:val="161F19"/>
          <w:sz w:val="22"/>
          <w:szCs w:val="22"/>
        </w:rPr>
      </w:pPr>
      <w:r w:rsidRPr="005A3125">
        <w:rPr>
          <w:rStyle w:val="Strong"/>
          <w:rFonts w:asciiTheme="minorBidi" w:hAnsiTheme="minorBidi" w:cstheme="minorBidi"/>
          <w:color w:val="161F19"/>
          <w:sz w:val="22"/>
          <w:szCs w:val="22"/>
        </w:rPr>
        <w:t>1.</w:t>
      </w:r>
      <w:r w:rsidR="00EB4117" w:rsidRPr="005A3125">
        <w:rPr>
          <w:rStyle w:val="Strong"/>
          <w:rFonts w:asciiTheme="minorBidi" w:hAnsiTheme="minorBidi" w:cstheme="minorBidi"/>
          <w:color w:val="161F19"/>
          <w:sz w:val="22"/>
          <w:szCs w:val="22"/>
        </w:rPr>
        <w:t xml:space="preserve">4 </w:t>
      </w:r>
      <w:r w:rsidR="00C1330D" w:rsidRPr="005A3125">
        <w:rPr>
          <w:rFonts w:asciiTheme="minorBidi" w:hAnsiTheme="minorBidi" w:cstheme="minorBidi"/>
          <w:color w:val="161F19"/>
          <w:sz w:val="22"/>
          <w:szCs w:val="22"/>
        </w:rPr>
        <w:t>Structural racism refers to interconnected social, economic, political, and institutional systems that maintain racial inequalities by restricting access to resources and power (Bailey et al., 2017; Williams et al., 2019). Unlike individual racism, it is embedded in societal policies and institutions.</w:t>
      </w:r>
    </w:p>
    <w:p w14:paraId="00E8AC24" w14:textId="77777777" w:rsidR="00C1330D" w:rsidRPr="005A3125" w:rsidRDefault="00C1330D" w:rsidP="00C1330D">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In public health, structural racism is recognized as a major cause of health disparities. The NHS Race and Health Observatory (2022) links racism to poorer physical and mental health among UK ethnic minorities. Research shows chronic racism exposure increases stress, anxiety, depression, sleep problems, and distrust in institutions (Paradies et al., 2015; Ben et al., 2017; Williams et al., 2019).</w:t>
      </w:r>
    </w:p>
    <w:p w14:paraId="7920947A" w14:textId="77777777" w:rsidR="00C1330D" w:rsidRPr="005A3125" w:rsidRDefault="00C1330D" w:rsidP="00C1330D">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Black African and Mixed African youth face discrimination in schools through stereotyping, low teacher expectations, unfair discipline, and exclusion (Gillborn et al., 2017), leading to emotional distress and disengagement. Racial microaggressions and cultural invalidation heighten identity stress, especially for Mixed African youth managing multiple cultural identities (Keating, 2021)</w:t>
      </w:r>
    </w:p>
    <w:p w14:paraId="70ACC329" w14:textId="71ECFD63" w:rsidR="0085468D" w:rsidRPr="005A3125" w:rsidRDefault="0085468D" w:rsidP="00C1330D">
      <w:pPr>
        <w:pStyle w:val="muitypography-root"/>
        <w:spacing w:before="0" w:beforeAutospacing="0" w:after="0" w:afterAutospacing="0" w:line="360" w:lineRule="atLeast"/>
        <w:rPr>
          <w:rFonts w:asciiTheme="minorBidi" w:hAnsiTheme="minorBidi" w:cstheme="minorBidi"/>
          <w:color w:val="161F19"/>
          <w:sz w:val="22"/>
          <w:szCs w:val="22"/>
        </w:rPr>
      </w:pPr>
    </w:p>
    <w:p w14:paraId="2EC8022B" w14:textId="77777777" w:rsidR="0085468D" w:rsidRPr="005A3125" w:rsidRDefault="0085468D" w:rsidP="0085468D">
      <w:pPr>
        <w:pStyle w:val="muitypography-root"/>
        <w:spacing w:before="0" w:beforeAutospacing="0" w:after="0" w:afterAutospacing="0" w:line="360" w:lineRule="atLeast"/>
        <w:rPr>
          <w:rFonts w:asciiTheme="minorBidi" w:hAnsiTheme="minorBidi" w:cstheme="minorBidi"/>
          <w:color w:val="161F19"/>
          <w:sz w:val="22"/>
          <w:szCs w:val="22"/>
        </w:rPr>
      </w:pPr>
      <w:r w:rsidRPr="005A3125">
        <w:rPr>
          <w:rStyle w:val="Strong"/>
          <w:rFonts w:asciiTheme="minorBidi" w:hAnsiTheme="minorBidi" w:cstheme="minorBidi"/>
          <w:color w:val="161F19"/>
          <w:sz w:val="22"/>
          <w:szCs w:val="22"/>
        </w:rPr>
        <w:t>1.5 Social Determinants of Mental Health</w:t>
      </w:r>
      <w:r w:rsidRPr="005A3125">
        <w:rPr>
          <w:rFonts w:asciiTheme="minorBidi" w:hAnsiTheme="minorBidi" w:cstheme="minorBidi"/>
          <w:color w:val="161F19"/>
          <w:sz w:val="22"/>
          <w:szCs w:val="22"/>
        </w:rPr>
        <w:br/>
        <w:t xml:space="preserve">The World Health Organization’s Social Determinants of Health framework highlights that health outcomes are influenced more by broader social, economic, and environmental conditions than by individual </w:t>
      </w:r>
      <w:proofErr w:type="spellStart"/>
      <w:r w:rsidRPr="005A3125">
        <w:rPr>
          <w:rFonts w:asciiTheme="minorBidi" w:hAnsiTheme="minorBidi" w:cstheme="minorBidi"/>
          <w:color w:val="161F19"/>
          <w:sz w:val="22"/>
          <w:szCs w:val="22"/>
        </w:rPr>
        <w:t>behaviors</w:t>
      </w:r>
      <w:proofErr w:type="spellEnd"/>
      <w:r w:rsidRPr="005A3125">
        <w:rPr>
          <w:rFonts w:asciiTheme="minorBidi" w:hAnsiTheme="minorBidi" w:cstheme="minorBidi"/>
          <w:color w:val="161F19"/>
          <w:sz w:val="22"/>
          <w:szCs w:val="22"/>
        </w:rPr>
        <w:t xml:space="preserve"> alone (WHO, 2014; Marmot, 2010). Key factors such as income, housing, education, employment, social support, and experiences of discrimination significantly affect mental health outcomes.</w:t>
      </w:r>
    </w:p>
    <w:p w14:paraId="6E49DEAF" w14:textId="77777777" w:rsidR="0085468D" w:rsidRPr="005A3125" w:rsidRDefault="0085468D" w:rsidP="0085468D">
      <w:pPr>
        <w:spacing w:line="360" w:lineRule="auto"/>
        <w:jc w:val="both"/>
        <w:rPr>
          <w:rFonts w:asciiTheme="minorBidi" w:hAnsiTheme="minorBidi"/>
        </w:rPr>
      </w:pPr>
    </w:p>
    <w:p w14:paraId="7C2F346E" w14:textId="2371AAB1" w:rsidR="008E34F0" w:rsidRPr="005A3125" w:rsidRDefault="00DC3F13" w:rsidP="002A6F75">
      <w:pPr>
        <w:pStyle w:val="NormalWeb"/>
        <w:spacing w:line="360" w:lineRule="auto"/>
        <w:jc w:val="both"/>
        <w:rPr>
          <w:rFonts w:asciiTheme="minorBidi" w:hAnsiTheme="minorBidi" w:cstheme="minorBidi"/>
          <w:sz w:val="22"/>
          <w:szCs w:val="22"/>
        </w:rPr>
      </w:pPr>
      <w:r w:rsidRPr="005A3125">
        <w:rPr>
          <w:rFonts w:asciiTheme="minorBidi" w:hAnsiTheme="minorBidi" w:cstheme="minorBidi"/>
          <w:sz w:val="22"/>
          <w:szCs w:val="22"/>
        </w:rPr>
        <w:t>.</w:t>
      </w:r>
    </w:p>
    <w:p w14:paraId="4309DDAB" w14:textId="2FD07EE8" w:rsidR="003F304D" w:rsidRPr="005A3125" w:rsidRDefault="008E34F0" w:rsidP="008E34F0">
      <w:pPr>
        <w:pStyle w:val="NormalWeb"/>
        <w:spacing w:line="360" w:lineRule="auto"/>
        <w:rPr>
          <w:rFonts w:asciiTheme="minorBidi" w:hAnsiTheme="minorBidi" w:cstheme="minorBidi"/>
          <w:sz w:val="22"/>
          <w:szCs w:val="22"/>
        </w:rPr>
      </w:pPr>
      <w:r w:rsidRPr="005A3125">
        <w:rPr>
          <w:rFonts w:asciiTheme="minorBidi" w:hAnsiTheme="minorBidi" w:cstheme="minorBidi"/>
          <w:b/>
          <w:noProof/>
          <w:sz w:val="22"/>
          <w:szCs w:val="22"/>
        </w:rPr>
        <w:lastRenderedPageBreak/>
        <w:drawing>
          <wp:anchor distT="0" distB="0" distL="114300" distR="114300" simplePos="0" relativeHeight="251658245" behindDoc="1" locked="0" layoutInCell="1" allowOverlap="1" wp14:anchorId="50DAC0DF" wp14:editId="06499593">
            <wp:simplePos x="0" y="0"/>
            <wp:positionH relativeFrom="column">
              <wp:posOffset>323215</wp:posOffset>
            </wp:positionH>
            <wp:positionV relativeFrom="paragraph">
              <wp:posOffset>201930</wp:posOffset>
            </wp:positionV>
            <wp:extent cx="5181600" cy="2837180"/>
            <wp:effectExtent l="0" t="0" r="0" b="1270"/>
            <wp:wrapTight wrapText="bothSides">
              <wp:wrapPolygon edited="0">
                <wp:start x="0" y="0"/>
                <wp:lineTo x="0" y="21465"/>
                <wp:lineTo x="21521" y="21465"/>
                <wp:lineTo x="21521" y="0"/>
                <wp:lineTo x="0" y="0"/>
              </wp:wrapPolygon>
            </wp:wrapTight>
            <wp:docPr id="3" name="Picture 3" descr="Social Determinants of Health - PAHO/WHO | Pan American Health Organiz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ocial Determinants of Health - PAHO/WHO | Pan American Health Organization"/>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181600" cy="28371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C3F13" w:rsidRPr="005A3125">
        <w:rPr>
          <w:rFonts w:asciiTheme="minorBidi" w:hAnsiTheme="minorBidi" w:cstheme="minorBidi"/>
          <w:b/>
          <w:sz w:val="22"/>
          <w:szCs w:val="22"/>
        </w:rPr>
        <w:t xml:space="preserve">Figure 1.2: </w:t>
      </w:r>
      <w:r w:rsidR="003F304D" w:rsidRPr="005A3125">
        <w:rPr>
          <w:rFonts w:asciiTheme="minorBidi" w:hAnsiTheme="minorBidi" w:cstheme="minorBidi"/>
          <w:b/>
          <w:sz w:val="22"/>
          <w:szCs w:val="22"/>
        </w:rPr>
        <w:t>Social Determinants of Mental Health Framework</w:t>
      </w:r>
    </w:p>
    <w:p w14:paraId="6AA2CCCC" w14:textId="6D30A918" w:rsidR="003F304D" w:rsidRPr="005A3125" w:rsidRDefault="003F304D" w:rsidP="00BA755E">
      <w:pPr>
        <w:pStyle w:val="NormalWeb"/>
        <w:spacing w:line="360" w:lineRule="auto"/>
        <w:jc w:val="center"/>
        <w:rPr>
          <w:rFonts w:asciiTheme="minorBidi" w:hAnsiTheme="minorBidi" w:cstheme="minorBidi"/>
          <w:b/>
          <w:i/>
          <w:sz w:val="22"/>
          <w:szCs w:val="22"/>
        </w:rPr>
      </w:pPr>
      <w:r w:rsidRPr="005A3125">
        <w:rPr>
          <w:rFonts w:asciiTheme="minorBidi" w:hAnsiTheme="minorBidi" w:cstheme="minorBidi"/>
          <w:b/>
          <w:i/>
          <w:sz w:val="22"/>
          <w:szCs w:val="22"/>
        </w:rPr>
        <w:t>Source: World Health Organization Mental Health and Social Determinants Report</w:t>
      </w:r>
      <w:r w:rsidR="00213DE7" w:rsidRPr="005A3125">
        <w:rPr>
          <w:rFonts w:asciiTheme="minorBidi" w:hAnsiTheme="minorBidi" w:cstheme="minorBidi"/>
          <w:b/>
          <w:i/>
          <w:sz w:val="22"/>
          <w:szCs w:val="22"/>
        </w:rPr>
        <w:t xml:space="preserve"> (WHO,2014)</w:t>
      </w:r>
    </w:p>
    <w:p w14:paraId="5CEA1043" w14:textId="6A3978CE" w:rsidR="00AB287F" w:rsidRPr="005A3125" w:rsidRDefault="00A11210" w:rsidP="00AB287F">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sz w:val="22"/>
          <w:szCs w:val="22"/>
        </w:rPr>
        <w:t>Figure 1.2</w:t>
      </w:r>
      <w:r w:rsidR="00AB287F" w:rsidRPr="005A3125">
        <w:rPr>
          <w:rFonts w:asciiTheme="minorBidi" w:hAnsiTheme="minorBidi" w:cstheme="minorBidi"/>
          <w:sz w:val="22"/>
          <w:szCs w:val="22"/>
        </w:rPr>
        <w:t>:</w:t>
      </w:r>
      <w:r w:rsidRPr="005A3125">
        <w:rPr>
          <w:rFonts w:asciiTheme="minorBidi" w:hAnsiTheme="minorBidi" w:cstheme="minorBidi"/>
          <w:sz w:val="22"/>
          <w:szCs w:val="22"/>
        </w:rPr>
        <w:t xml:space="preserve"> </w:t>
      </w:r>
      <w:r w:rsidR="00AB287F" w:rsidRPr="005A3125">
        <w:rPr>
          <w:rFonts w:asciiTheme="minorBidi" w:hAnsiTheme="minorBidi" w:cstheme="minorBidi"/>
          <w:color w:val="161F19"/>
          <w:sz w:val="22"/>
          <w:szCs w:val="22"/>
        </w:rPr>
        <w:t>This section highlights how mental health outcomes are shaped by broader structural factors such as housing, employment, education, income, social support, and discrimination. This framework is especially pertinent to Black African and Mixed African youth, who often experience overlapping racial and socioeconomic disadvantages (</w:t>
      </w:r>
      <w:proofErr w:type="spellStart"/>
      <w:r w:rsidR="00AB287F" w:rsidRPr="005A3125">
        <w:rPr>
          <w:rFonts w:asciiTheme="minorBidi" w:hAnsiTheme="minorBidi" w:cstheme="minorBidi"/>
          <w:color w:val="161F19"/>
          <w:sz w:val="22"/>
          <w:szCs w:val="22"/>
        </w:rPr>
        <w:t>Kapilashrami</w:t>
      </w:r>
      <w:proofErr w:type="spellEnd"/>
      <w:r w:rsidR="00AB287F" w:rsidRPr="005A3125">
        <w:rPr>
          <w:rFonts w:asciiTheme="minorBidi" w:hAnsiTheme="minorBidi" w:cstheme="minorBidi"/>
          <w:color w:val="161F19"/>
          <w:sz w:val="22"/>
          <w:szCs w:val="22"/>
        </w:rPr>
        <w:t xml:space="preserve"> and Hankivsky, 2018; Lund et al., 2018). It also critiques the limitations of viewing depression and anxiety purely through a biomedical lens, emphasizing instead the impact of wider structural inequalities on psychological wellbeing (WHO, 2014; Marmot, 2010; Lund et al., 2018). Recent public health research underscores the importance of intersectionality in understanding how race, gender, class, and migration status interact to influence mental health outcomes (</w:t>
      </w:r>
      <w:proofErr w:type="spellStart"/>
      <w:r w:rsidR="00AB287F" w:rsidRPr="005A3125">
        <w:rPr>
          <w:rFonts w:asciiTheme="minorBidi" w:hAnsiTheme="minorBidi" w:cstheme="minorBidi"/>
          <w:color w:val="161F19"/>
          <w:sz w:val="22"/>
          <w:szCs w:val="22"/>
        </w:rPr>
        <w:t>Kapilashrami</w:t>
      </w:r>
      <w:proofErr w:type="spellEnd"/>
      <w:r w:rsidR="00AB287F" w:rsidRPr="005A3125">
        <w:rPr>
          <w:rFonts w:asciiTheme="minorBidi" w:hAnsiTheme="minorBidi" w:cstheme="minorBidi"/>
          <w:color w:val="161F19"/>
          <w:sz w:val="22"/>
          <w:szCs w:val="22"/>
        </w:rPr>
        <w:t xml:space="preserve"> and Hankivsky, 2018).</w:t>
      </w:r>
    </w:p>
    <w:p w14:paraId="1A7EB2D5" w14:textId="77777777" w:rsidR="00AB287F" w:rsidRPr="005A3125" w:rsidRDefault="00AB287F" w:rsidP="00AB287F">
      <w:pPr>
        <w:pStyle w:val="muitypography-root"/>
        <w:spacing w:before="0" w:beforeAutospacing="0" w:after="0" w:afterAutospacing="0" w:line="360" w:lineRule="atLeast"/>
        <w:rPr>
          <w:rFonts w:asciiTheme="minorBidi" w:hAnsiTheme="minorBidi" w:cstheme="minorBidi"/>
          <w:color w:val="161F19"/>
          <w:sz w:val="22"/>
          <w:szCs w:val="22"/>
        </w:rPr>
      </w:pPr>
      <w:r w:rsidRPr="005A3125">
        <w:rPr>
          <w:rStyle w:val="Strong"/>
          <w:rFonts w:asciiTheme="minorBidi" w:hAnsiTheme="minorBidi" w:cstheme="minorBidi"/>
          <w:color w:val="161F19"/>
          <w:sz w:val="22"/>
          <w:szCs w:val="22"/>
        </w:rPr>
        <w:t>Rationale for the Study</w:t>
      </w:r>
      <w:r w:rsidRPr="005A3125">
        <w:rPr>
          <w:rFonts w:asciiTheme="minorBidi" w:hAnsiTheme="minorBidi" w:cstheme="minorBidi"/>
          <w:color w:val="161F19"/>
          <w:sz w:val="22"/>
          <w:szCs w:val="22"/>
        </w:rPr>
        <w:br/>
        <w:t>Despite growing attention to mental health inequalities among ethnic minorities, significant gaps remain regarding Black African and Mixed African youth in the UK (Memon et al., 2016; Kapadia et al., 2022). Existing research often groups these populations within broader ethnic categories, limiting understanding of their unique experiences and challenges. Additionally, much literature focuses on Black Caribbean populations, while Mixed African individuals are comparatively underexplored (Song, 2017; Aspinall, 2020).</w:t>
      </w:r>
    </w:p>
    <w:p w14:paraId="099F5CB7" w14:textId="77777777" w:rsidR="00AB287F" w:rsidRPr="005A3125" w:rsidRDefault="00AB287F" w:rsidP="00AB287F">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 xml:space="preserve">Research on the effects of structural racism, cultural identity, and mental healthcare access for Black African and Mixed African youth is limited in the UK context. There is a pressing need for culturally responsive research that captures the specific mental health inequalities faced by these groups. This dissertation aims to address this gap by examining depression and anxiety in Black African and Mixed African youth aged 16–25, contributing to public </w:t>
      </w:r>
      <w:r w:rsidRPr="005A3125">
        <w:rPr>
          <w:rFonts w:asciiTheme="minorBidi" w:hAnsiTheme="minorBidi" w:cstheme="minorBidi"/>
          <w:color w:val="161F19"/>
          <w:sz w:val="22"/>
          <w:szCs w:val="22"/>
        </w:rPr>
        <w:lastRenderedPageBreak/>
        <w:t>health knowledge on racial mental health disparities and supporting culturally responsive, anti-racist healthcare policies. The study aligns with NHS priorities on mental health equity and reducing racial inequalities in healthcare (NHS Long Term Plan, 2019; NHS Race and Health Observatory, 2022).</w:t>
      </w:r>
    </w:p>
    <w:p w14:paraId="41B488F6" w14:textId="77777777" w:rsidR="00AB287F" w:rsidRPr="005A3125" w:rsidRDefault="00AB287F" w:rsidP="00AB287F">
      <w:pPr>
        <w:pStyle w:val="muitypography-root"/>
        <w:spacing w:before="0" w:beforeAutospacing="0" w:after="0" w:afterAutospacing="0" w:line="360" w:lineRule="atLeast"/>
        <w:rPr>
          <w:rFonts w:asciiTheme="minorBidi" w:hAnsiTheme="minorBidi" w:cstheme="minorBidi"/>
          <w:color w:val="161F19"/>
          <w:sz w:val="22"/>
          <w:szCs w:val="22"/>
        </w:rPr>
      </w:pPr>
      <w:r w:rsidRPr="005A3125">
        <w:rPr>
          <w:rStyle w:val="Strong"/>
          <w:rFonts w:asciiTheme="minorBidi" w:hAnsiTheme="minorBidi" w:cstheme="minorBidi"/>
          <w:color w:val="161F19"/>
          <w:sz w:val="22"/>
          <w:szCs w:val="22"/>
        </w:rPr>
        <w:t>Research Questions</w:t>
      </w:r>
      <w:r w:rsidRPr="005A3125">
        <w:rPr>
          <w:rFonts w:asciiTheme="minorBidi" w:hAnsiTheme="minorBidi" w:cstheme="minorBidi"/>
          <w:color w:val="161F19"/>
          <w:sz w:val="22"/>
          <w:szCs w:val="22"/>
        </w:rPr>
        <w:br/>
        <w:t>This dissertation is guided by four key questions:</w:t>
      </w:r>
    </w:p>
    <w:p w14:paraId="45F70CD9" w14:textId="77777777" w:rsidR="00AB287F" w:rsidRPr="005A3125" w:rsidRDefault="00AB287F" w:rsidP="00AB287F">
      <w:pPr>
        <w:pStyle w:val="css-19idom"/>
        <w:numPr>
          <w:ilvl w:val="0"/>
          <w:numId w:val="38"/>
        </w:numPr>
        <w:spacing w:after="120" w:afterAutospacing="0"/>
        <w:rPr>
          <w:rFonts w:asciiTheme="minorBidi" w:hAnsiTheme="minorBidi" w:cstheme="minorBidi"/>
          <w:color w:val="161F19"/>
          <w:sz w:val="22"/>
          <w:szCs w:val="22"/>
        </w:rPr>
      </w:pPr>
      <w:r w:rsidRPr="005A3125">
        <w:rPr>
          <w:rFonts w:asciiTheme="minorBidi" w:hAnsiTheme="minorBidi" w:cstheme="minorBidi"/>
          <w:color w:val="161F19"/>
          <w:sz w:val="22"/>
          <w:szCs w:val="22"/>
        </w:rPr>
        <w:t>What factors contribute to depression and anxiety among Black African and Mixed African youth in the UK?</w:t>
      </w:r>
    </w:p>
    <w:p w14:paraId="31B4C59D" w14:textId="77777777" w:rsidR="00AB287F" w:rsidRPr="005A3125" w:rsidRDefault="00AB287F" w:rsidP="00AB287F">
      <w:pPr>
        <w:pStyle w:val="css-19idom"/>
        <w:numPr>
          <w:ilvl w:val="0"/>
          <w:numId w:val="38"/>
        </w:numPr>
        <w:spacing w:after="120" w:afterAutospacing="0"/>
        <w:rPr>
          <w:rFonts w:asciiTheme="minorBidi" w:hAnsiTheme="minorBidi" w:cstheme="minorBidi"/>
          <w:color w:val="161F19"/>
          <w:sz w:val="22"/>
          <w:szCs w:val="22"/>
        </w:rPr>
      </w:pPr>
      <w:r w:rsidRPr="005A3125">
        <w:rPr>
          <w:rFonts w:asciiTheme="minorBidi" w:hAnsiTheme="minorBidi" w:cstheme="minorBidi"/>
          <w:color w:val="161F19"/>
          <w:sz w:val="22"/>
          <w:szCs w:val="22"/>
        </w:rPr>
        <w:t>How do racism, socioeconomic inequality, and cultural experiences affect emotional wellbeing?</w:t>
      </w:r>
    </w:p>
    <w:p w14:paraId="7F0DD745" w14:textId="77777777" w:rsidR="00AB287F" w:rsidRPr="005A3125" w:rsidRDefault="00AB287F" w:rsidP="00AB287F">
      <w:pPr>
        <w:pStyle w:val="css-19idom"/>
        <w:numPr>
          <w:ilvl w:val="0"/>
          <w:numId w:val="38"/>
        </w:numPr>
        <w:spacing w:after="120" w:afterAutospacing="0"/>
        <w:rPr>
          <w:rFonts w:asciiTheme="minorBidi" w:hAnsiTheme="minorBidi" w:cstheme="minorBidi"/>
          <w:color w:val="161F19"/>
          <w:sz w:val="22"/>
          <w:szCs w:val="22"/>
        </w:rPr>
      </w:pPr>
      <w:r w:rsidRPr="005A3125">
        <w:rPr>
          <w:rFonts w:asciiTheme="minorBidi" w:hAnsiTheme="minorBidi" w:cstheme="minorBidi"/>
          <w:color w:val="161F19"/>
          <w:sz w:val="22"/>
          <w:szCs w:val="22"/>
        </w:rPr>
        <w:t>What barriers limit access to mental healthcare for these populations?</w:t>
      </w:r>
    </w:p>
    <w:p w14:paraId="51087DF5" w14:textId="77777777" w:rsidR="00AB287F" w:rsidRPr="005A3125" w:rsidRDefault="00AB287F" w:rsidP="00AB287F">
      <w:pPr>
        <w:pStyle w:val="css-19idom"/>
        <w:numPr>
          <w:ilvl w:val="0"/>
          <w:numId w:val="38"/>
        </w:numPr>
        <w:spacing w:after="120" w:afterAutospacing="0"/>
        <w:rPr>
          <w:rFonts w:asciiTheme="minorBidi" w:hAnsiTheme="minorBidi" w:cstheme="minorBidi"/>
          <w:color w:val="161F19"/>
          <w:sz w:val="22"/>
          <w:szCs w:val="22"/>
        </w:rPr>
      </w:pPr>
      <w:r w:rsidRPr="005A3125">
        <w:rPr>
          <w:rFonts w:asciiTheme="minorBidi" w:hAnsiTheme="minorBidi" w:cstheme="minorBidi"/>
          <w:color w:val="161F19"/>
          <w:sz w:val="22"/>
          <w:szCs w:val="22"/>
        </w:rPr>
        <w:t>How effectively do current NHS mental health systems address racial inequalities?</w:t>
      </w:r>
    </w:p>
    <w:p w14:paraId="4DD4FEA3" w14:textId="77777777" w:rsidR="00AB287F" w:rsidRPr="005A3125" w:rsidRDefault="00AB287F" w:rsidP="00AB287F">
      <w:pPr>
        <w:pStyle w:val="muitypography-root"/>
        <w:spacing w:before="0" w:beforeAutospacing="0" w:after="0" w:afterAutospacing="0" w:line="360" w:lineRule="atLeast"/>
        <w:rPr>
          <w:rFonts w:asciiTheme="minorBidi" w:hAnsiTheme="minorBidi" w:cstheme="minorBidi"/>
          <w:color w:val="161F19"/>
          <w:sz w:val="22"/>
          <w:szCs w:val="22"/>
        </w:rPr>
      </w:pPr>
      <w:r w:rsidRPr="005A3125">
        <w:rPr>
          <w:rStyle w:val="Strong"/>
          <w:rFonts w:asciiTheme="minorBidi" w:hAnsiTheme="minorBidi" w:cstheme="minorBidi"/>
          <w:color w:val="161F19"/>
          <w:sz w:val="22"/>
          <w:szCs w:val="22"/>
        </w:rPr>
        <w:t>Aim and Objectives</w:t>
      </w:r>
      <w:r w:rsidRPr="005A3125">
        <w:rPr>
          <w:rFonts w:asciiTheme="minorBidi" w:hAnsiTheme="minorBidi" w:cstheme="minorBidi"/>
          <w:color w:val="161F19"/>
          <w:sz w:val="22"/>
          <w:szCs w:val="22"/>
        </w:rPr>
        <w:br/>
      </w:r>
      <w:r w:rsidRPr="005A3125">
        <w:rPr>
          <w:rStyle w:val="Emphasis"/>
          <w:rFonts w:asciiTheme="minorBidi" w:hAnsiTheme="minorBidi" w:cstheme="minorBidi"/>
          <w:color w:val="161F19"/>
          <w:sz w:val="22"/>
          <w:szCs w:val="22"/>
        </w:rPr>
        <w:t>Aim:</w:t>
      </w:r>
      <w:r w:rsidRPr="005A3125">
        <w:rPr>
          <w:rStyle w:val="apple-converted-space"/>
          <w:rFonts w:asciiTheme="minorBidi" w:hAnsiTheme="minorBidi" w:cstheme="minorBidi"/>
          <w:color w:val="161F19"/>
          <w:sz w:val="22"/>
          <w:szCs w:val="22"/>
        </w:rPr>
        <w:t> </w:t>
      </w:r>
      <w:r w:rsidRPr="005A3125">
        <w:rPr>
          <w:rFonts w:asciiTheme="minorBidi" w:hAnsiTheme="minorBidi" w:cstheme="minorBidi"/>
          <w:color w:val="161F19"/>
          <w:sz w:val="22"/>
          <w:szCs w:val="22"/>
        </w:rPr>
        <w:t>To critically examine depression and anxiety among Black African and Mixed African youth aged 16–25 in the UK from a public health perspective.</w:t>
      </w:r>
    </w:p>
    <w:p w14:paraId="7F399CDC" w14:textId="77777777" w:rsidR="00AB287F" w:rsidRPr="005A3125" w:rsidRDefault="00AB287F" w:rsidP="00AB287F">
      <w:pPr>
        <w:pStyle w:val="muitypography-root"/>
        <w:spacing w:before="0" w:beforeAutospacing="0" w:after="0" w:afterAutospacing="0" w:line="360" w:lineRule="atLeast"/>
        <w:rPr>
          <w:rFonts w:asciiTheme="minorBidi" w:hAnsiTheme="minorBidi" w:cstheme="minorBidi"/>
          <w:color w:val="161F19"/>
          <w:sz w:val="22"/>
          <w:szCs w:val="22"/>
        </w:rPr>
      </w:pPr>
      <w:r w:rsidRPr="005A3125">
        <w:rPr>
          <w:rStyle w:val="Emphasis"/>
          <w:rFonts w:asciiTheme="minorBidi" w:hAnsiTheme="minorBidi" w:cstheme="minorBidi"/>
          <w:color w:val="161F19"/>
          <w:sz w:val="22"/>
          <w:szCs w:val="22"/>
        </w:rPr>
        <w:t>Objectives:</w:t>
      </w:r>
    </w:p>
    <w:p w14:paraId="6043A878" w14:textId="77777777" w:rsidR="00AB287F" w:rsidRPr="005A3125" w:rsidRDefault="00AB287F" w:rsidP="00AB287F">
      <w:pPr>
        <w:pStyle w:val="css-19idom"/>
        <w:numPr>
          <w:ilvl w:val="0"/>
          <w:numId w:val="39"/>
        </w:numPr>
        <w:spacing w:after="120" w:afterAutospacing="0"/>
        <w:rPr>
          <w:rFonts w:asciiTheme="minorBidi" w:hAnsiTheme="minorBidi" w:cstheme="minorBidi"/>
          <w:color w:val="161F19"/>
          <w:sz w:val="22"/>
          <w:szCs w:val="22"/>
        </w:rPr>
      </w:pPr>
      <w:r w:rsidRPr="005A3125">
        <w:rPr>
          <w:rFonts w:asciiTheme="minorBidi" w:hAnsiTheme="minorBidi" w:cstheme="minorBidi"/>
          <w:color w:val="161F19"/>
          <w:sz w:val="22"/>
          <w:szCs w:val="22"/>
        </w:rPr>
        <w:t>Explore social, structural, and cultural determinants affecting depression and anxiety among these youth.</w:t>
      </w:r>
    </w:p>
    <w:p w14:paraId="1EA2E9E0" w14:textId="77777777" w:rsidR="00AB287F" w:rsidRPr="005A3125" w:rsidRDefault="00AB287F" w:rsidP="00AB287F">
      <w:pPr>
        <w:pStyle w:val="css-19idom"/>
        <w:numPr>
          <w:ilvl w:val="0"/>
          <w:numId w:val="39"/>
        </w:numPr>
        <w:spacing w:after="120" w:afterAutospacing="0"/>
        <w:rPr>
          <w:rFonts w:asciiTheme="minorBidi" w:hAnsiTheme="minorBidi" w:cstheme="minorBidi"/>
          <w:color w:val="161F19"/>
          <w:sz w:val="22"/>
          <w:szCs w:val="22"/>
        </w:rPr>
      </w:pPr>
      <w:r w:rsidRPr="005A3125">
        <w:rPr>
          <w:rFonts w:asciiTheme="minorBidi" w:hAnsiTheme="minorBidi" w:cstheme="minorBidi"/>
          <w:color w:val="161F19"/>
          <w:sz w:val="22"/>
          <w:szCs w:val="22"/>
        </w:rPr>
        <w:t>Critically examine barriers to mental healthcare access.</w:t>
      </w:r>
    </w:p>
    <w:p w14:paraId="6AF2E787" w14:textId="77777777" w:rsidR="00AB287F" w:rsidRPr="005A3125" w:rsidRDefault="00AB287F" w:rsidP="00AB287F">
      <w:pPr>
        <w:pStyle w:val="css-19idom"/>
        <w:numPr>
          <w:ilvl w:val="0"/>
          <w:numId w:val="39"/>
        </w:numPr>
        <w:spacing w:after="120" w:afterAutospacing="0"/>
        <w:rPr>
          <w:rFonts w:asciiTheme="minorBidi" w:hAnsiTheme="minorBidi" w:cstheme="minorBidi"/>
          <w:color w:val="161F19"/>
          <w:sz w:val="22"/>
          <w:szCs w:val="22"/>
        </w:rPr>
      </w:pPr>
      <w:proofErr w:type="spellStart"/>
      <w:r w:rsidRPr="005A3125">
        <w:rPr>
          <w:rFonts w:asciiTheme="minorBidi" w:hAnsiTheme="minorBidi" w:cstheme="minorBidi"/>
          <w:color w:val="161F19"/>
          <w:sz w:val="22"/>
          <w:szCs w:val="22"/>
        </w:rPr>
        <w:t>Analyze</w:t>
      </w:r>
      <w:proofErr w:type="spellEnd"/>
      <w:r w:rsidRPr="005A3125">
        <w:rPr>
          <w:rFonts w:asciiTheme="minorBidi" w:hAnsiTheme="minorBidi" w:cstheme="minorBidi"/>
          <w:color w:val="161F19"/>
          <w:sz w:val="22"/>
          <w:szCs w:val="22"/>
        </w:rPr>
        <w:t xml:space="preserve"> the impact of structural racism and socioeconomic inequalities on emotional wellbeing.</w:t>
      </w:r>
    </w:p>
    <w:p w14:paraId="03A905E1" w14:textId="77777777" w:rsidR="00AB287F" w:rsidRPr="005A3125" w:rsidRDefault="00AB287F" w:rsidP="00AB287F">
      <w:pPr>
        <w:pStyle w:val="css-19idom"/>
        <w:numPr>
          <w:ilvl w:val="0"/>
          <w:numId w:val="39"/>
        </w:numPr>
        <w:spacing w:after="120" w:afterAutospacing="0"/>
        <w:rPr>
          <w:rFonts w:asciiTheme="minorBidi" w:hAnsiTheme="minorBidi" w:cstheme="minorBidi"/>
          <w:color w:val="161F19"/>
          <w:sz w:val="22"/>
          <w:szCs w:val="22"/>
        </w:rPr>
      </w:pPr>
      <w:r w:rsidRPr="005A3125">
        <w:rPr>
          <w:rFonts w:asciiTheme="minorBidi" w:hAnsiTheme="minorBidi" w:cstheme="minorBidi"/>
          <w:color w:val="161F19"/>
          <w:sz w:val="22"/>
          <w:szCs w:val="22"/>
        </w:rPr>
        <w:t>Evaluate NHS mental healthcare approaches and culturally responsive interventions in addressing racial disparities.</w:t>
      </w:r>
    </w:p>
    <w:p w14:paraId="06534882" w14:textId="77777777" w:rsidR="00AB287F" w:rsidRPr="005A3125" w:rsidRDefault="00AB287F" w:rsidP="00AB287F">
      <w:pPr>
        <w:pStyle w:val="css-19idom"/>
        <w:numPr>
          <w:ilvl w:val="0"/>
          <w:numId w:val="39"/>
        </w:numPr>
        <w:spacing w:after="120" w:afterAutospacing="0"/>
        <w:rPr>
          <w:rFonts w:asciiTheme="minorBidi" w:hAnsiTheme="minorBidi" w:cstheme="minorBidi"/>
          <w:color w:val="161F19"/>
          <w:sz w:val="22"/>
          <w:szCs w:val="22"/>
        </w:rPr>
      </w:pPr>
      <w:r w:rsidRPr="005A3125">
        <w:rPr>
          <w:rFonts w:asciiTheme="minorBidi" w:hAnsiTheme="minorBidi" w:cstheme="minorBidi"/>
          <w:color w:val="161F19"/>
          <w:sz w:val="22"/>
          <w:szCs w:val="22"/>
        </w:rPr>
        <w:t>Identify gaps in UK mental health research and policy.</w:t>
      </w:r>
    </w:p>
    <w:p w14:paraId="44114671" w14:textId="77777777" w:rsidR="00AB287F" w:rsidRPr="005A3125" w:rsidRDefault="00AB287F" w:rsidP="00AB287F">
      <w:pPr>
        <w:pStyle w:val="muitypography-root"/>
        <w:spacing w:before="0" w:beforeAutospacing="0" w:after="0" w:afterAutospacing="0" w:line="360" w:lineRule="atLeast"/>
        <w:rPr>
          <w:rFonts w:asciiTheme="minorBidi" w:hAnsiTheme="minorBidi" w:cstheme="minorBidi"/>
          <w:color w:val="161F19"/>
          <w:sz w:val="22"/>
          <w:szCs w:val="22"/>
        </w:rPr>
      </w:pPr>
      <w:r w:rsidRPr="005A3125">
        <w:rPr>
          <w:rStyle w:val="Strong"/>
          <w:rFonts w:asciiTheme="minorBidi" w:hAnsiTheme="minorBidi" w:cstheme="minorBidi"/>
          <w:color w:val="161F19"/>
          <w:sz w:val="22"/>
          <w:szCs w:val="22"/>
        </w:rPr>
        <w:t>Significance of the Study</w:t>
      </w:r>
      <w:r w:rsidRPr="005A3125">
        <w:rPr>
          <w:rFonts w:asciiTheme="minorBidi" w:hAnsiTheme="minorBidi" w:cstheme="minorBidi"/>
          <w:color w:val="161F19"/>
          <w:sz w:val="22"/>
          <w:szCs w:val="22"/>
        </w:rPr>
        <w:br/>
        <w:t>This dissertation adds to public health research on racial inequalities in mental health affecting Black African and Mixed African youth in the UK, focusing on populations underrepresented in existing research and policy debates. Evidence shows that Black populations face disproportionate exposure to racism, socioeconomic deprivation, educational inequalities, and barriers to mental healthcare access (</w:t>
      </w:r>
      <w:proofErr w:type="spellStart"/>
      <w:r w:rsidRPr="005A3125">
        <w:rPr>
          <w:rFonts w:asciiTheme="minorBidi" w:hAnsiTheme="minorBidi" w:cstheme="minorBidi"/>
          <w:color w:val="161F19"/>
          <w:sz w:val="22"/>
          <w:szCs w:val="22"/>
        </w:rPr>
        <w:t>Bhui</w:t>
      </w:r>
      <w:proofErr w:type="spellEnd"/>
      <w:r w:rsidRPr="005A3125">
        <w:rPr>
          <w:rFonts w:asciiTheme="minorBidi" w:hAnsiTheme="minorBidi" w:cstheme="minorBidi"/>
          <w:color w:val="161F19"/>
          <w:sz w:val="22"/>
          <w:szCs w:val="22"/>
        </w:rPr>
        <w:t xml:space="preserve"> et al., 2018; </w:t>
      </w:r>
      <w:proofErr w:type="spellStart"/>
      <w:r w:rsidRPr="005A3125">
        <w:rPr>
          <w:rFonts w:asciiTheme="minorBidi" w:hAnsiTheme="minorBidi" w:cstheme="minorBidi"/>
          <w:color w:val="161F19"/>
          <w:sz w:val="22"/>
          <w:szCs w:val="22"/>
        </w:rPr>
        <w:t>Nazroo</w:t>
      </w:r>
      <w:proofErr w:type="spellEnd"/>
      <w:r w:rsidRPr="005A3125">
        <w:rPr>
          <w:rFonts w:asciiTheme="minorBidi" w:hAnsiTheme="minorBidi" w:cstheme="minorBidi"/>
          <w:color w:val="161F19"/>
          <w:sz w:val="22"/>
          <w:szCs w:val="22"/>
        </w:rPr>
        <w:t>, 2021). They are also more likely than White British populations to experience coercive mental healthcare pathways, such as compulsory detention under the Mental Health Act (GOV.UK Ethnicity Facts and Figures, 2024). These disparities underscore the need to better understand the factors influencing mental health in these groups.</w:t>
      </w:r>
    </w:p>
    <w:p w14:paraId="65C84520" w14:textId="77777777" w:rsidR="00AB287F" w:rsidRPr="005A3125" w:rsidRDefault="00AB287F" w:rsidP="00AB287F">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 xml:space="preserve">Although awareness of ethnic inequalities in mental healthcare has increased, culturally responsive and anti-racist service delivery remains limited (Memon et al., 2016; </w:t>
      </w:r>
      <w:proofErr w:type="spellStart"/>
      <w:r w:rsidRPr="005A3125">
        <w:rPr>
          <w:rFonts w:asciiTheme="minorBidi" w:hAnsiTheme="minorBidi" w:cstheme="minorBidi"/>
          <w:color w:val="161F19"/>
          <w:sz w:val="22"/>
          <w:szCs w:val="22"/>
        </w:rPr>
        <w:t>Bhui</w:t>
      </w:r>
      <w:proofErr w:type="spellEnd"/>
      <w:r w:rsidRPr="005A3125">
        <w:rPr>
          <w:rFonts w:asciiTheme="minorBidi" w:hAnsiTheme="minorBidi" w:cstheme="minorBidi"/>
          <w:color w:val="161F19"/>
          <w:sz w:val="22"/>
          <w:szCs w:val="22"/>
        </w:rPr>
        <w:t xml:space="preserve"> et al., 2018; NHS Race and Health Observatory, 2022). Findings from this study may inform NHS policies, promote culturally competent mental health practices, and guide future research </w:t>
      </w:r>
      <w:r w:rsidRPr="005A3125">
        <w:rPr>
          <w:rFonts w:asciiTheme="minorBidi" w:hAnsiTheme="minorBidi" w:cstheme="minorBidi"/>
          <w:color w:val="161F19"/>
          <w:sz w:val="22"/>
          <w:szCs w:val="22"/>
        </w:rPr>
        <w:lastRenderedPageBreak/>
        <w:t>aimed at reducing inequalities. More broadly, the research contributes to ongoing discussions around health equity, intersectionality, and social justice in public health.</w:t>
      </w:r>
    </w:p>
    <w:p w14:paraId="4F10C1ED" w14:textId="77777777" w:rsidR="00AB287F" w:rsidRPr="005A3125" w:rsidRDefault="00AB287F" w:rsidP="00AB287F">
      <w:pPr>
        <w:pStyle w:val="muitypography-root"/>
        <w:spacing w:before="0" w:beforeAutospacing="0" w:after="0" w:afterAutospacing="0" w:line="360" w:lineRule="atLeast"/>
        <w:rPr>
          <w:rFonts w:asciiTheme="minorBidi" w:hAnsiTheme="minorBidi" w:cstheme="minorBidi"/>
          <w:color w:val="161F19"/>
          <w:sz w:val="22"/>
          <w:szCs w:val="22"/>
        </w:rPr>
      </w:pPr>
      <w:r w:rsidRPr="005A3125">
        <w:rPr>
          <w:rStyle w:val="Strong"/>
          <w:rFonts w:asciiTheme="minorBidi" w:hAnsiTheme="minorBidi" w:cstheme="minorBidi"/>
          <w:color w:val="161F19"/>
          <w:sz w:val="22"/>
          <w:szCs w:val="22"/>
        </w:rPr>
        <w:t>Chapter Summary</w:t>
      </w:r>
      <w:r w:rsidRPr="005A3125">
        <w:rPr>
          <w:rFonts w:asciiTheme="minorBidi" w:hAnsiTheme="minorBidi" w:cstheme="minorBidi"/>
          <w:color w:val="161F19"/>
          <w:sz w:val="22"/>
          <w:szCs w:val="22"/>
        </w:rPr>
        <w:br/>
        <w:t>This chapter introduced depression and anxiety among Black African and Mixed African youth as a critical public health issue in the UK, noting the rising mental health concerns among young people. It examined how structural racism, social determinants of health, and socioeconomic inequalities shape mental health outcomes.</w:t>
      </w:r>
    </w:p>
    <w:p w14:paraId="50EC911D" w14:textId="77777777" w:rsidR="00AB287F" w:rsidRPr="005A3125" w:rsidRDefault="00AB287F" w:rsidP="00AB287F">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 xml:space="preserve">Evidence was highlighted showing that mental health is influenced not only by individual factors but also by broader structural and social conditions such as racism, discrimination, poverty, exclusion, and unequal healthcare access (Marmot, 2010; Paradies et al., 2015; </w:t>
      </w:r>
      <w:proofErr w:type="spellStart"/>
      <w:r w:rsidRPr="005A3125">
        <w:rPr>
          <w:rFonts w:asciiTheme="minorBidi" w:hAnsiTheme="minorBidi" w:cstheme="minorBidi"/>
          <w:color w:val="161F19"/>
          <w:sz w:val="22"/>
          <w:szCs w:val="22"/>
        </w:rPr>
        <w:t>Nazroo</w:t>
      </w:r>
      <w:proofErr w:type="spellEnd"/>
      <w:r w:rsidRPr="005A3125">
        <w:rPr>
          <w:rFonts w:asciiTheme="minorBidi" w:hAnsiTheme="minorBidi" w:cstheme="minorBidi"/>
          <w:color w:val="161F19"/>
          <w:sz w:val="22"/>
          <w:szCs w:val="22"/>
        </w:rPr>
        <w:t>, 2021). The chapter also outlined the dissertation’s rationale, aim, objectives, and research questions.</w:t>
      </w:r>
    </w:p>
    <w:p w14:paraId="4B602802" w14:textId="74A4B6EC" w:rsidR="00A11210" w:rsidRPr="005A3125" w:rsidRDefault="00AB287F" w:rsidP="00AB287F">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The next chapter presents a critical literature review on depression, anxiety, structural racism, cultural experiences, social determinants of health, and barriers to mental healthcare access among Black African and Mixed African youth in the UK</w:t>
      </w:r>
    </w:p>
    <w:p w14:paraId="1F678438" w14:textId="77777777" w:rsidR="00AB287F" w:rsidRPr="005A3125" w:rsidRDefault="00AB287F" w:rsidP="00AB287F">
      <w:pPr>
        <w:pStyle w:val="muitypography-root"/>
        <w:spacing w:before="0" w:beforeAutospacing="0" w:after="0" w:afterAutospacing="0" w:line="360" w:lineRule="atLeast"/>
        <w:rPr>
          <w:rFonts w:asciiTheme="minorBidi" w:hAnsiTheme="minorBidi" w:cstheme="minorBidi"/>
          <w:color w:val="161F19"/>
          <w:sz w:val="22"/>
          <w:szCs w:val="22"/>
        </w:rPr>
      </w:pPr>
    </w:p>
    <w:p w14:paraId="6CE805CB" w14:textId="3C0D85ED" w:rsidR="00EF4DE7" w:rsidRPr="005A3125" w:rsidRDefault="00EF4DE7" w:rsidP="00EF4DE7">
      <w:pPr>
        <w:pStyle w:val="Heading1"/>
        <w:spacing w:after="0" w:line="360" w:lineRule="auto"/>
        <w:ind w:left="12" w:right="3"/>
        <w:rPr>
          <w:rFonts w:asciiTheme="minorBidi" w:hAnsiTheme="minorBidi" w:cstheme="minorBidi"/>
          <w:sz w:val="22"/>
        </w:rPr>
      </w:pPr>
      <w:bookmarkStart w:id="5" w:name="_Toc232456033"/>
      <w:r w:rsidRPr="005A3125">
        <w:rPr>
          <w:rFonts w:asciiTheme="minorBidi" w:hAnsiTheme="minorBidi" w:cstheme="minorBidi"/>
          <w:sz w:val="22"/>
        </w:rPr>
        <w:t>Chapter 2: Literature Review</w:t>
      </w:r>
      <w:bookmarkEnd w:id="5"/>
      <w:r w:rsidRPr="005A3125">
        <w:rPr>
          <w:rFonts w:asciiTheme="minorBidi" w:hAnsiTheme="minorBidi" w:cstheme="minorBidi"/>
          <w:sz w:val="22"/>
        </w:rPr>
        <w:t xml:space="preserve"> </w:t>
      </w:r>
    </w:p>
    <w:p w14:paraId="69B2731A" w14:textId="27011C41" w:rsidR="009C24F1" w:rsidRPr="005A3125" w:rsidRDefault="00EA09B6" w:rsidP="009C24F1">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sz w:val="22"/>
          <w:szCs w:val="22"/>
        </w:rPr>
        <w:t>2</w:t>
      </w:r>
      <w:r w:rsidR="00DD3AD1" w:rsidRPr="005A3125">
        <w:rPr>
          <w:rFonts w:asciiTheme="minorBidi" w:hAnsiTheme="minorBidi" w:cstheme="minorBidi"/>
          <w:sz w:val="22"/>
          <w:szCs w:val="22"/>
        </w:rPr>
        <w:t>.</w:t>
      </w:r>
      <w:r w:rsidR="00EF4DE7" w:rsidRPr="005A3125">
        <w:rPr>
          <w:rFonts w:asciiTheme="minorBidi" w:hAnsiTheme="minorBidi" w:cstheme="minorBidi"/>
          <w:sz w:val="22"/>
          <w:szCs w:val="22"/>
        </w:rPr>
        <w:t>1</w:t>
      </w:r>
      <w:r w:rsidR="0041385E" w:rsidRPr="005A3125">
        <w:rPr>
          <w:rFonts w:asciiTheme="minorBidi" w:hAnsiTheme="minorBidi" w:cstheme="minorBidi"/>
          <w:sz w:val="22"/>
          <w:szCs w:val="22"/>
        </w:rPr>
        <w:t xml:space="preserve"> </w:t>
      </w:r>
      <w:r w:rsidR="009C24F1" w:rsidRPr="005A3125">
        <w:rPr>
          <w:rStyle w:val="Strong"/>
          <w:rFonts w:asciiTheme="minorBidi" w:hAnsiTheme="minorBidi" w:cstheme="minorBidi"/>
          <w:color w:val="161F19"/>
          <w:sz w:val="22"/>
          <w:szCs w:val="22"/>
        </w:rPr>
        <w:t>Introduction</w:t>
      </w:r>
      <w:r w:rsidR="009C24F1" w:rsidRPr="005A3125">
        <w:rPr>
          <w:rFonts w:asciiTheme="minorBidi" w:hAnsiTheme="minorBidi" w:cstheme="minorBidi"/>
          <w:color w:val="161F19"/>
          <w:sz w:val="22"/>
          <w:szCs w:val="22"/>
        </w:rPr>
        <w:br/>
        <w:t xml:space="preserve">This chapter offers a critical synthesis of existing research on depression and anxiety among Black African and Mixed African youth aged 16–25 in the United Kingdom. It explores how mental health disparities are shaped by a complex interplay of social, structural, cultural, and institutional factors that collectively affect psychological wellbeing in racially marginalized groups (Marmot, 2010; </w:t>
      </w:r>
      <w:proofErr w:type="spellStart"/>
      <w:r w:rsidR="009C24F1" w:rsidRPr="005A3125">
        <w:rPr>
          <w:rFonts w:asciiTheme="minorBidi" w:hAnsiTheme="minorBidi" w:cstheme="minorBidi"/>
          <w:color w:val="161F19"/>
          <w:sz w:val="22"/>
          <w:szCs w:val="22"/>
        </w:rPr>
        <w:t>Nazroo</w:t>
      </w:r>
      <w:proofErr w:type="spellEnd"/>
      <w:r w:rsidR="009C24F1" w:rsidRPr="005A3125">
        <w:rPr>
          <w:rFonts w:asciiTheme="minorBidi" w:hAnsiTheme="minorBidi" w:cstheme="minorBidi"/>
          <w:color w:val="161F19"/>
          <w:sz w:val="22"/>
          <w:szCs w:val="22"/>
        </w:rPr>
        <w:t>, 2021; Allen et al., 2014).</w:t>
      </w:r>
    </w:p>
    <w:p w14:paraId="7DF6A108" w14:textId="77777777" w:rsidR="009C24F1" w:rsidRPr="005A3125" w:rsidRDefault="009C24F1" w:rsidP="009C24F1">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The review pays particular attention to issues such as racism, socioeconomic disadvantage, identity conflicts, educational inequalities, obstacles to healthcare access, and the availability of culturally sensitive mental health services (</w:t>
      </w:r>
      <w:proofErr w:type="spellStart"/>
      <w:r w:rsidRPr="005A3125">
        <w:rPr>
          <w:rFonts w:asciiTheme="minorBidi" w:hAnsiTheme="minorBidi" w:cstheme="minorBidi"/>
          <w:color w:val="161F19"/>
          <w:sz w:val="22"/>
          <w:szCs w:val="22"/>
        </w:rPr>
        <w:t>Bhui</w:t>
      </w:r>
      <w:proofErr w:type="spellEnd"/>
      <w:r w:rsidRPr="005A3125">
        <w:rPr>
          <w:rFonts w:asciiTheme="minorBidi" w:hAnsiTheme="minorBidi" w:cstheme="minorBidi"/>
          <w:color w:val="161F19"/>
          <w:sz w:val="22"/>
          <w:szCs w:val="22"/>
        </w:rPr>
        <w:t xml:space="preserve"> et al., 2018; Wallace et al., 2016; Memon et al., 2016). These factors are examined as interconnected influences rather than isolated contributors, shaping mental health outcomes throughout the life course.</w:t>
      </w:r>
    </w:p>
    <w:p w14:paraId="798CA205" w14:textId="77777777" w:rsidR="009C24F1" w:rsidRPr="005A3125" w:rsidRDefault="009C24F1" w:rsidP="009C24F1">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An interdisciplinary public health approach guides the chapter, drawing on the Social Determinants of Health framework, Critical Race Theory, Minority Stress Theory, and Intersectionality Theory. These frameworks provide a comprehensive understanding of how structural inequalities manifest as mental health disparities, especially among Black African and Mixed African youth in the UK.</w:t>
      </w:r>
    </w:p>
    <w:p w14:paraId="23308C3C" w14:textId="77777777" w:rsidR="009C24F1" w:rsidRPr="005A3125" w:rsidRDefault="009C24F1" w:rsidP="009C24F1">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The chapter also critically assesses the methodological strengths and weaknesses of the existing literature, noting the predominance of cross-sectional studies, limited ethnic subgroup analyses, and a scarcity of longitudinal and intersectional research. Such limitations hinder a complete understanding of the lived experiences of Black African and Mixed African youth.</w:t>
      </w:r>
    </w:p>
    <w:p w14:paraId="18809B5D" w14:textId="77777777" w:rsidR="009C24F1" w:rsidRPr="005A3125" w:rsidRDefault="009C24F1" w:rsidP="009C24F1">
      <w:pPr>
        <w:pStyle w:val="muitypography-root"/>
        <w:spacing w:before="0" w:beforeAutospacing="0" w:after="0" w:afterAutospacing="0" w:line="360" w:lineRule="atLeast"/>
        <w:rPr>
          <w:rFonts w:asciiTheme="minorBidi" w:hAnsiTheme="minorBidi" w:cstheme="minorBidi"/>
          <w:color w:val="161F19"/>
          <w:sz w:val="22"/>
          <w:szCs w:val="22"/>
        </w:rPr>
      </w:pPr>
      <w:r w:rsidRPr="005A3125">
        <w:rPr>
          <w:rStyle w:val="Strong"/>
          <w:rFonts w:asciiTheme="minorBidi" w:hAnsiTheme="minorBidi" w:cstheme="minorBidi"/>
          <w:color w:val="161F19"/>
          <w:sz w:val="22"/>
          <w:szCs w:val="22"/>
        </w:rPr>
        <w:lastRenderedPageBreak/>
        <w:t>2.2 Conceptualising Depression and Anxiety</w:t>
      </w:r>
      <w:r w:rsidRPr="005A3125">
        <w:rPr>
          <w:rFonts w:asciiTheme="minorBidi" w:hAnsiTheme="minorBidi" w:cstheme="minorBidi"/>
          <w:color w:val="161F19"/>
          <w:sz w:val="22"/>
          <w:szCs w:val="22"/>
        </w:rPr>
        <w:br/>
        <w:t>Depression and anxiety rank among the most common mental health disorders affecting adolescents and young adults globally (</w:t>
      </w:r>
      <w:proofErr w:type="spellStart"/>
      <w:r w:rsidRPr="005A3125">
        <w:rPr>
          <w:rFonts w:asciiTheme="minorBidi" w:hAnsiTheme="minorBidi" w:cstheme="minorBidi"/>
          <w:color w:val="161F19"/>
          <w:sz w:val="22"/>
          <w:szCs w:val="22"/>
        </w:rPr>
        <w:t>Polanczyk</w:t>
      </w:r>
      <w:proofErr w:type="spellEnd"/>
      <w:r w:rsidRPr="005A3125">
        <w:rPr>
          <w:rFonts w:asciiTheme="minorBidi" w:hAnsiTheme="minorBidi" w:cstheme="minorBidi"/>
          <w:color w:val="161F19"/>
          <w:sz w:val="22"/>
          <w:szCs w:val="22"/>
        </w:rPr>
        <w:t xml:space="preserve"> et al., 2015; </w:t>
      </w:r>
      <w:proofErr w:type="spellStart"/>
      <w:r w:rsidRPr="005A3125">
        <w:rPr>
          <w:rFonts w:asciiTheme="minorBidi" w:hAnsiTheme="minorBidi" w:cstheme="minorBidi"/>
          <w:color w:val="161F19"/>
          <w:sz w:val="22"/>
          <w:szCs w:val="22"/>
        </w:rPr>
        <w:t>Solmi</w:t>
      </w:r>
      <w:proofErr w:type="spellEnd"/>
      <w:r w:rsidRPr="005A3125">
        <w:rPr>
          <w:rFonts w:asciiTheme="minorBidi" w:hAnsiTheme="minorBidi" w:cstheme="minorBidi"/>
          <w:color w:val="161F19"/>
          <w:sz w:val="22"/>
          <w:szCs w:val="22"/>
        </w:rPr>
        <w:t xml:space="preserve"> et al., 2022). These conditions are recognized as major contributors to the global disease burden due to their high prevalence, early onset, and enduring impact on functioning and quality of life.</w:t>
      </w:r>
    </w:p>
    <w:p w14:paraId="18D4EFCA" w14:textId="77777777" w:rsidR="009C24F1" w:rsidRPr="005A3125" w:rsidRDefault="009C24F1" w:rsidP="009C24F1">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According to the World Health Organization, depression is characterized by persistent low mood, feelings of hopelessness, emotional withdrawal, impaired concentration, fatigue, and loss of interest in activities once found enjoyable. Anxiety disorders involve excessive fear, chronic worry, physiological arousal, and emotional distress that significantly disrupt daily functioning and social engagement (WHO, 2022).</w:t>
      </w:r>
    </w:p>
    <w:p w14:paraId="3BFFEA48" w14:textId="77777777" w:rsidR="009C24F1" w:rsidRPr="005A3125" w:rsidRDefault="009C24F1" w:rsidP="009C24F1">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The consequences of these disorders extend beyond emotional suffering. Research consistently shows that depression and anxiety during adolescence and early adulthood are linked to lower educational achievement, reduced employment prospects, strained social relationships, increased physical health risks, and elevated incidence of self-harm and suicide (Kessler et al., 2007; WHO, 2022). These findings underscore the critical need for early detection and intervention.</w:t>
      </w:r>
    </w:p>
    <w:p w14:paraId="63CB9416" w14:textId="77777777" w:rsidR="009C24F1" w:rsidRPr="005A3125" w:rsidRDefault="009C24F1" w:rsidP="009C24F1">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Adolescence and early adulthood are particularly sensitive developmental phases, marked by significant biological, psychological, and social changes, including identity development, educational transitions, and heightened exposure to external stressors (Kessler et al., 2005; Jones, 2013). Kessler et al. (2005) further emphasize that about half of all lifetime mental disorders begin by mid-adolescence, highlighting the importance of prevention during this period.</w:t>
      </w:r>
    </w:p>
    <w:p w14:paraId="13FCF838" w14:textId="77777777" w:rsidR="009C24F1" w:rsidRPr="005A3125" w:rsidRDefault="009C24F1" w:rsidP="009C24F1">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Within public health discourse, depression and anxiety are increasingly viewed as socially patterned phenomena rather than solely individual psychological issues (Marmot, 2010; Allen et al., 2014; Lund et al., 2018). This perspective stresses that mental health is profoundly influenced by broader structural factors such as poverty, discrimination, housing insecurity, unemployment, and social exclusion (Allen et al., 2014), which are particularly relevant in understanding mental health disparities among racially marginalized youth.</w:t>
      </w:r>
    </w:p>
    <w:p w14:paraId="6ACB4938" w14:textId="77777777" w:rsidR="009C24F1" w:rsidRPr="005A3125" w:rsidRDefault="009C24F1" w:rsidP="009C24F1">
      <w:pPr>
        <w:pStyle w:val="muitypography-root"/>
        <w:spacing w:before="0" w:beforeAutospacing="0" w:after="0" w:afterAutospacing="0" w:line="360" w:lineRule="atLeast"/>
        <w:rPr>
          <w:rFonts w:asciiTheme="minorBidi" w:hAnsiTheme="minorBidi" w:cstheme="minorBidi"/>
          <w:color w:val="161F19"/>
          <w:sz w:val="22"/>
          <w:szCs w:val="22"/>
        </w:rPr>
      </w:pPr>
      <w:r w:rsidRPr="005A3125">
        <w:rPr>
          <w:rStyle w:val="Strong"/>
          <w:rFonts w:asciiTheme="minorBidi" w:hAnsiTheme="minorBidi" w:cstheme="minorBidi"/>
          <w:color w:val="161F19"/>
          <w:sz w:val="22"/>
          <w:szCs w:val="22"/>
        </w:rPr>
        <w:t>2.3 Epidemiology of Youth Mental Health in the United Kingdom</w:t>
      </w:r>
      <w:r w:rsidRPr="005A3125">
        <w:rPr>
          <w:rFonts w:asciiTheme="minorBidi" w:hAnsiTheme="minorBidi" w:cstheme="minorBidi"/>
          <w:color w:val="161F19"/>
          <w:sz w:val="22"/>
          <w:szCs w:val="22"/>
        </w:rPr>
        <w:br/>
        <w:t>Mental health disorders among young people in the UK have risen markedly over the past decade. National data reveal a persistent increase in psychological distress, especially among adolescents and young adults, with recent NHS Digital statistics showing significant growth in probable mental disorders between 2017 and 2023.</w:t>
      </w:r>
    </w:p>
    <w:p w14:paraId="13C4D11F" w14:textId="77777777" w:rsidR="009C24F1" w:rsidRPr="005A3125" w:rsidRDefault="009C24F1" w:rsidP="009C24F1">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This trend is attributed to a range of interrelated social and structural pressures, including academic stress, increased social media exposure, financial instability, housing challenges, loneliness, pandemic-related stress, and expanding socioeconomic inequalities (Reiss, 2013; Allen et al., 2014; Twenge et al., 2018; Loades et al., 2020). These factors reflect broader societal shifts that have intensified stressors affecting young people's mental health.</w:t>
      </w:r>
    </w:p>
    <w:p w14:paraId="00975BC5" w14:textId="77777777" w:rsidR="009C24F1" w:rsidRPr="005A3125" w:rsidRDefault="009C24F1" w:rsidP="009C24F1">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lastRenderedPageBreak/>
        <w:t xml:space="preserve">McManus et al. (2016) also identified a rising prevalence of common mental disorders among younger populations in England, with anxiety disorders notably increasing among young women. This gender-specific trend highlights the necessity of accounting for demographic variations when </w:t>
      </w:r>
      <w:proofErr w:type="spellStart"/>
      <w:r w:rsidRPr="005A3125">
        <w:rPr>
          <w:rFonts w:asciiTheme="minorBidi" w:hAnsiTheme="minorBidi" w:cstheme="minorBidi"/>
          <w:color w:val="161F19"/>
          <w:sz w:val="22"/>
          <w:szCs w:val="22"/>
        </w:rPr>
        <w:t>analyzing</w:t>
      </w:r>
      <w:proofErr w:type="spellEnd"/>
      <w:r w:rsidRPr="005A3125">
        <w:rPr>
          <w:rFonts w:asciiTheme="minorBidi" w:hAnsiTheme="minorBidi" w:cstheme="minorBidi"/>
          <w:color w:val="161F19"/>
          <w:sz w:val="22"/>
          <w:szCs w:val="22"/>
        </w:rPr>
        <w:t xml:space="preserve"> mental health patterns</w:t>
      </w:r>
    </w:p>
    <w:p w14:paraId="1C333C6D" w14:textId="49A84F4F" w:rsidR="009C24F1" w:rsidRPr="005A3125" w:rsidRDefault="009C24F1" w:rsidP="009C24F1">
      <w:pPr>
        <w:pStyle w:val="Heading1"/>
        <w:spacing w:line="360" w:lineRule="auto"/>
        <w:ind w:left="12" w:right="3"/>
        <w:jc w:val="left"/>
        <w:rPr>
          <w:rFonts w:asciiTheme="minorBidi" w:hAnsiTheme="minorBidi" w:cstheme="minorBidi"/>
          <w:sz w:val="22"/>
        </w:rPr>
      </w:pPr>
    </w:p>
    <w:p w14:paraId="3FA88042" w14:textId="53AF3899" w:rsidR="0038261C" w:rsidRPr="005A3125" w:rsidRDefault="0038261C" w:rsidP="0038261C">
      <w:pPr>
        <w:pStyle w:val="NormalWeb"/>
        <w:spacing w:line="360" w:lineRule="auto"/>
        <w:jc w:val="both"/>
        <w:rPr>
          <w:rFonts w:asciiTheme="minorBidi" w:hAnsiTheme="minorBidi" w:cstheme="minorBidi"/>
          <w:sz w:val="22"/>
          <w:szCs w:val="22"/>
        </w:rPr>
      </w:pPr>
      <w:r w:rsidRPr="005A3125">
        <w:rPr>
          <w:rFonts w:asciiTheme="minorBidi" w:hAnsiTheme="minorBidi" w:cstheme="minorBidi"/>
          <w:sz w:val="22"/>
          <w:szCs w:val="22"/>
        </w:rPr>
        <w:t>.</w:t>
      </w:r>
    </w:p>
    <w:p w14:paraId="001B4776" w14:textId="74B8E02D" w:rsidR="0032776A" w:rsidRPr="005A3125" w:rsidRDefault="00504A14" w:rsidP="002A6F75">
      <w:pPr>
        <w:pStyle w:val="NormalWeb"/>
        <w:spacing w:line="360" w:lineRule="auto"/>
        <w:jc w:val="both"/>
        <w:rPr>
          <w:rFonts w:asciiTheme="minorBidi" w:hAnsiTheme="minorBidi" w:cstheme="minorBidi"/>
          <w:b/>
          <w:sz w:val="22"/>
          <w:szCs w:val="22"/>
        </w:rPr>
      </w:pPr>
      <w:r w:rsidRPr="005A3125">
        <w:rPr>
          <w:rFonts w:asciiTheme="minorBidi" w:hAnsiTheme="minorBidi" w:cstheme="minorBidi"/>
          <w:noProof/>
          <w:sz w:val="22"/>
          <w:szCs w:val="22"/>
        </w:rPr>
        <w:drawing>
          <wp:anchor distT="0" distB="0" distL="114300" distR="114300" simplePos="0" relativeHeight="251658246" behindDoc="1" locked="0" layoutInCell="1" allowOverlap="1" wp14:anchorId="6696D87B" wp14:editId="77998A10">
            <wp:simplePos x="0" y="0"/>
            <wp:positionH relativeFrom="column">
              <wp:posOffset>704850</wp:posOffset>
            </wp:positionH>
            <wp:positionV relativeFrom="paragraph">
              <wp:posOffset>556895</wp:posOffset>
            </wp:positionV>
            <wp:extent cx="4410075" cy="2204720"/>
            <wp:effectExtent l="0" t="0" r="9525" b="5080"/>
            <wp:wrapTight wrapText="bothSides">
              <wp:wrapPolygon edited="0">
                <wp:start x="0" y="0"/>
                <wp:lineTo x="0" y="21463"/>
                <wp:lineTo x="21553" y="21463"/>
                <wp:lineTo x="21553" y="0"/>
                <wp:lineTo x="0" y="0"/>
              </wp:wrapPolygon>
            </wp:wrapTight>
            <wp:docPr id="4" name="Picture 4" descr="Chapter 1: Common mental health conditions - NHS England Digit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hapter 1: Common mental health conditions - NHS England Digital"/>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410075" cy="22047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D5C67" w:rsidRPr="005A3125">
        <w:rPr>
          <w:rFonts w:asciiTheme="minorBidi" w:hAnsiTheme="minorBidi" w:cstheme="minorBidi"/>
          <w:b/>
          <w:sz w:val="22"/>
          <w:szCs w:val="22"/>
        </w:rPr>
        <w:t>Figure 2.1</w:t>
      </w:r>
      <w:r w:rsidR="00F0732B" w:rsidRPr="005A3125">
        <w:rPr>
          <w:rFonts w:asciiTheme="minorBidi" w:hAnsiTheme="minorBidi" w:cstheme="minorBidi"/>
          <w:b/>
          <w:sz w:val="22"/>
          <w:szCs w:val="22"/>
        </w:rPr>
        <w:t>:</w:t>
      </w:r>
      <w:r w:rsidR="004D5C67" w:rsidRPr="005A3125">
        <w:rPr>
          <w:rFonts w:asciiTheme="minorBidi" w:hAnsiTheme="minorBidi" w:cstheme="minorBidi"/>
          <w:b/>
          <w:sz w:val="22"/>
          <w:szCs w:val="22"/>
        </w:rPr>
        <w:t xml:space="preserve"> Prevalence of Common Mental Healt</w:t>
      </w:r>
      <w:r w:rsidR="0038261C" w:rsidRPr="005A3125">
        <w:rPr>
          <w:rFonts w:asciiTheme="minorBidi" w:hAnsiTheme="minorBidi" w:cstheme="minorBidi"/>
          <w:b/>
          <w:sz w:val="22"/>
          <w:szCs w:val="22"/>
        </w:rPr>
        <w:t xml:space="preserve">h Conditions Among Young People Aged 16–24 </w:t>
      </w:r>
      <w:r w:rsidR="004D5C67" w:rsidRPr="005A3125">
        <w:rPr>
          <w:rFonts w:asciiTheme="minorBidi" w:hAnsiTheme="minorBidi" w:cstheme="minorBidi"/>
          <w:b/>
          <w:sz w:val="22"/>
          <w:szCs w:val="22"/>
        </w:rPr>
        <w:t>in England, 1993–2023/24</w:t>
      </w:r>
      <w:r w:rsidR="004A070B" w:rsidRPr="005A3125">
        <w:rPr>
          <w:rFonts w:asciiTheme="minorBidi" w:hAnsiTheme="minorBidi" w:cstheme="minorBidi"/>
          <w:b/>
          <w:sz w:val="22"/>
          <w:szCs w:val="22"/>
        </w:rPr>
        <w:t xml:space="preserve"> (</w:t>
      </w:r>
      <w:r w:rsidR="007C2FF2" w:rsidRPr="005A3125">
        <w:rPr>
          <w:rFonts w:asciiTheme="minorBidi" w:hAnsiTheme="minorBidi" w:cstheme="minorBidi"/>
          <w:b/>
          <w:sz w:val="22"/>
          <w:szCs w:val="22"/>
        </w:rPr>
        <w:t xml:space="preserve"> NHS Digital,2024)</w:t>
      </w:r>
    </w:p>
    <w:p w14:paraId="39D99822" w14:textId="77777777" w:rsidR="00504A14" w:rsidRPr="005A3125" w:rsidRDefault="003F304D" w:rsidP="00504A14">
      <w:pPr>
        <w:pStyle w:val="NormalWeb"/>
        <w:spacing w:line="360" w:lineRule="auto"/>
        <w:jc w:val="center"/>
        <w:rPr>
          <w:rFonts w:asciiTheme="minorBidi" w:hAnsiTheme="minorBidi" w:cstheme="minorBidi"/>
          <w:b/>
          <w:i/>
          <w:sz w:val="22"/>
          <w:szCs w:val="22"/>
        </w:rPr>
      </w:pPr>
      <w:r w:rsidRPr="005A3125">
        <w:rPr>
          <w:rFonts w:asciiTheme="minorBidi" w:hAnsiTheme="minorBidi" w:cstheme="minorBidi"/>
          <w:b/>
          <w:i/>
          <w:sz w:val="22"/>
          <w:szCs w:val="22"/>
        </w:rPr>
        <w:t xml:space="preserve">Source: Adult Psychiatric Morbidity Survey – </w:t>
      </w:r>
      <w:r w:rsidR="00504A14" w:rsidRPr="005A3125">
        <w:rPr>
          <w:rFonts w:asciiTheme="minorBidi" w:hAnsiTheme="minorBidi" w:cstheme="minorBidi"/>
          <w:b/>
          <w:i/>
          <w:sz w:val="22"/>
          <w:szCs w:val="22"/>
        </w:rPr>
        <w:t>NHS Digital (2023/24</w:t>
      </w:r>
    </w:p>
    <w:p w14:paraId="297E34B0" w14:textId="0D09539E" w:rsidR="00F0732B" w:rsidRPr="005A3125" w:rsidRDefault="00F0732B" w:rsidP="00504A14">
      <w:pPr>
        <w:pStyle w:val="NormalWeb"/>
        <w:spacing w:line="360" w:lineRule="auto"/>
        <w:jc w:val="both"/>
        <w:rPr>
          <w:rFonts w:asciiTheme="minorBidi" w:hAnsiTheme="minorBidi" w:cstheme="minorBidi"/>
          <w:sz w:val="22"/>
          <w:szCs w:val="22"/>
        </w:rPr>
      </w:pPr>
      <w:r w:rsidRPr="005A3125">
        <w:rPr>
          <w:rFonts w:asciiTheme="minorBidi" w:hAnsiTheme="minorBidi" w:cstheme="minorBidi"/>
          <w:sz w:val="22"/>
          <w:szCs w:val="22"/>
        </w:rPr>
        <w:t xml:space="preserve">Figure 2.1 illustrates long-term trends in the prevalence of common mental health conditions (CMHCs) among adults in England from 1993 to 2023/24. While increases are observed across several age groups, the rise is most pronounced among young adults aged 16–24 years. In this group, prevalence increased from approximately 16% in 1993 to around 26% in 2023/24, representing the highest rate across all age categories. </w:t>
      </w:r>
      <w:r w:rsidR="0038261C" w:rsidRPr="005A3125">
        <w:rPr>
          <w:rFonts w:asciiTheme="minorBidi" w:hAnsiTheme="minorBidi" w:cstheme="minorBidi"/>
          <w:sz w:val="22"/>
          <w:szCs w:val="22"/>
        </w:rPr>
        <w:t>This figure highlights a sustained increase in common mental health conditions over time, with the highest prevalence consistently observed among individuals aged 16–24 years compared with other age groups.</w:t>
      </w:r>
    </w:p>
    <w:p w14:paraId="64BFC40B" w14:textId="26B283FC" w:rsidR="00F0732B" w:rsidRPr="005A3125" w:rsidRDefault="00F0732B" w:rsidP="00F0732B">
      <w:pPr>
        <w:pStyle w:val="NormalWeb"/>
        <w:spacing w:line="360" w:lineRule="auto"/>
        <w:jc w:val="both"/>
        <w:rPr>
          <w:rFonts w:asciiTheme="minorBidi" w:hAnsiTheme="minorBidi" w:cstheme="minorBidi"/>
          <w:sz w:val="22"/>
          <w:szCs w:val="22"/>
        </w:rPr>
      </w:pPr>
      <w:r w:rsidRPr="005A3125">
        <w:rPr>
          <w:rFonts w:asciiTheme="minorBidi" w:hAnsiTheme="minorBidi" w:cstheme="minorBidi"/>
          <w:sz w:val="22"/>
          <w:szCs w:val="22"/>
        </w:rPr>
        <w:t>In contrast, older adults, particularly those aged 75 years and above, consistently report lower prevalence rates of approximately 10% in 2023/24. This demonstrates a clear age-related disparity in mental health outcomes, with young adults experiencing a disproportionately high burden of psychological distress.</w:t>
      </w:r>
    </w:p>
    <w:p w14:paraId="5662D5EA" w14:textId="6B58C671" w:rsidR="00F0732B" w:rsidRPr="005A3125" w:rsidRDefault="00F0732B" w:rsidP="002A6F75">
      <w:pPr>
        <w:pStyle w:val="NormalWeb"/>
        <w:spacing w:line="360" w:lineRule="auto"/>
        <w:jc w:val="both"/>
        <w:rPr>
          <w:rFonts w:asciiTheme="minorBidi" w:hAnsiTheme="minorBidi" w:cstheme="minorBidi"/>
          <w:sz w:val="22"/>
          <w:szCs w:val="22"/>
        </w:rPr>
      </w:pPr>
      <w:r w:rsidRPr="005A3125">
        <w:rPr>
          <w:rFonts w:asciiTheme="minorBidi" w:hAnsiTheme="minorBidi" w:cstheme="minorBidi"/>
          <w:sz w:val="22"/>
          <w:szCs w:val="22"/>
        </w:rPr>
        <w:t>Despite these trends, national epidemiological datasets continue to lack detailed ethnicity-specific breakdowns, particularly for Black African and Mixed African youth. This limitation restricts understanding of how mental health inequalities are distributed across ethnic groups and reduces the effectiveness of targeted public health responses.</w:t>
      </w:r>
    </w:p>
    <w:p w14:paraId="7F293A2C" w14:textId="6F6B62D9" w:rsidR="003F304D" w:rsidRPr="005A3125" w:rsidRDefault="00EE1A87" w:rsidP="00EE1A87">
      <w:pPr>
        <w:pStyle w:val="Heading1"/>
        <w:spacing w:line="360" w:lineRule="auto"/>
        <w:ind w:left="12" w:right="3"/>
        <w:jc w:val="left"/>
        <w:rPr>
          <w:rFonts w:asciiTheme="minorBidi" w:hAnsiTheme="minorBidi" w:cstheme="minorBidi"/>
          <w:sz w:val="22"/>
        </w:rPr>
      </w:pPr>
      <w:bookmarkStart w:id="6" w:name="_Toc232456034"/>
      <w:r w:rsidRPr="005A3125">
        <w:rPr>
          <w:rFonts w:asciiTheme="minorBidi" w:hAnsiTheme="minorBidi" w:cstheme="minorBidi"/>
          <w:sz w:val="22"/>
        </w:rPr>
        <w:lastRenderedPageBreak/>
        <w:t>2.4 Mental Health Inequalities and Ethnicity</w:t>
      </w:r>
      <w:bookmarkEnd w:id="6"/>
    </w:p>
    <w:p w14:paraId="4CF57644" w14:textId="4B6067A7" w:rsidR="00F0732B" w:rsidRPr="005A3125" w:rsidRDefault="00F0732B" w:rsidP="00F0732B">
      <w:pPr>
        <w:pStyle w:val="NormalWeb"/>
        <w:spacing w:line="360" w:lineRule="auto"/>
        <w:jc w:val="both"/>
        <w:rPr>
          <w:rFonts w:asciiTheme="minorBidi" w:hAnsiTheme="minorBidi" w:cstheme="minorBidi"/>
          <w:sz w:val="22"/>
          <w:szCs w:val="22"/>
        </w:rPr>
      </w:pPr>
      <w:r w:rsidRPr="005A3125">
        <w:rPr>
          <w:rFonts w:asciiTheme="minorBidi" w:hAnsiTheme="minorBidi" w:cstheme="minorBidi"/>
          <w:sz w:val="22"/>
          <w:szCs w:val="22"/>
        </w:rPr>
        <w:t>A substantial body of research demonstrates that mental health outcomes are not evenly distributed across ethnic groups. Ethnic minority populations in the United Kingdom often experience higher levels of psychological distress due to structural disadvantage, discrimination, and unequal access to social and healthcare resources (Das-Munshi et al., 2016).</w:t>
      </w:r>
    </w:p>
    <w:p w14:paraId="0BE838C7" w14:textId="38A68A22" w:rsidR="00F0732B" w:rsidRPr="005A3125" w:rsidRDefault="00F0732B" w:rsidP="00F0732B">
      <w:pPr>
        <w:pStyle w:val="NormalWeb"/>
        <w:spacing w:line="360" w:lineRule="auto"/>
        <w:jc w:val="both"/>
        <w:rPr>
          <w:rFonts w:asciiTheme="minorBidi" w:hAnsiTheme="minorBidi" w:cstheme="minorBidi"/>
          <w:sz w:val="22"/>
          <w:szCs w:val="22"/>
        </w:rPr>
      </w:pPr>
      <w:proofErr w:type="spellStart"/>
      <w:r w:rsidRPr="005A3125">
        <w:rPr>
          <w:rFonts w:asciiTheme="minorBidi" w:hAnsiTheme="minorBidi" w:cstheme="minorBidi"/>
          <w:sz w:val="22"/>
          <w:szCs w:val="22"/>
        </w:rPr>
        <w:t>Nazroo</w:t>
      </w:r>
      <w:proofErr w:type="spellEnd"/>
      <w:r w:rsidRPr="005A3125">
        <w:rPr>
          <w:rFonts w:asciiTheme="minorBidi" w:hAnsiTheme="minorBidi" w:cstheme="minorBidi"/>
          <w:sz w:val="22"/>
          <w:szCs w:val="22"/>
        </w:rPr>
        <w:t xml:space="preserve"> (2003) argues that ethnic inequalities in health cannot be understood without considering structural racism, socioeconomic disadvantage, and processes of social exclusion. These structural factors interact to produce cumulative disadvantage across the life course, shaping both exposures to stressors and access to protective resources.</w:t>
      </w:r>
    </w:p>
    <w:p w14:paraId="5ADBADB0" w14:textId="55B7D0CF" w:rsidR="00F0732B" w:rsidRPr="005A3125" w:rsidRDefault="00F0732B" w:rsidP="00F0732B">
      <w:pPr>
        <w:pStyle w:val="NormalWeb"/>
        <w:spacing w:line="360" w:lineRule="auto"/>
        <w:jc w:val="both"/>
        <w:rPr>
          <w:rFonts w:asciiTheme="minorBidi" w:hAnsiTheme="minorBidi" w:cstheme="minorBidi"/>
          <w:sz w:val="22"/>
          <w:szCs w:val="22"/>
        </w:rPr>
      </w:pPr>
      <w:r w:rsidRPr="005A3125">
        <w:rPr>
          <w:rFonts w:asciiTheme="minorBidi" w:hAnsiTheme="minorBidi" w:cstheme="minorBidi"/>
          <w:sz w:val="22"/>
          <w:szCs w:val="22"/>
        </w:rPr>
        <w:t>Within the United Kingdom, Black populations are disproportionately affected by several structural risk factors, including racial discrimination, poverty, unemployment, housing insecurity, policing inequalities, educational exclusion, and coercive mental healthcare pathways. These factors collectively contribute to increased vulnerability to poor mental health outcomes.</w:t>
      </w:r>
    </w:p>
    <w:p w14:paraId="48BCA429" w14:textId="77777777" w:rsidR="00F0732B" w:rsidRPr="005A3125" w:rsidRDefault="00F0732B" w:rsidP="00F0732B">
      <w:pPr>
        <w:pStyle w:val="NormalWeb"/>
        <w:spacing w:line="360" w:lineRule="auto"/>
        <w:jc w:val="both"/>
        <w:rPr>
          <w:rFonts w:asciiTheme="minorBidi" w:hAnsiTheme="minorBidi" w:cstheme="minorBidi"/>
          <w:sz w:val="22"/>
          <w:szCs w:val="22"/>
        </w:rPr>
      </w:pPr>
      <w:r w:rsidRPr="005A3125">
        <w:rPr>
          <w:rFonts w:asciiTheme="minorBidi" w:hAnsiTheme="minorBidi" w:cstheme="minorBidi"/>
          <w:sz w:val="22"/>
          <w:szCs w:val="22"/>
        </w:rPr>
        <w:t xml:space="preserve">Research by Wallace, </w:t>
      </w:r>
      <w:proofErr w:type="spellStart"/>
      <w:r w:rsidRPr="005A3125">
        <w:rPr>
          <w:rFonts w:asciiTheme="minorBidi" w:hAnsiTheme="minorBidi" w:cstheme="minorBidi"/>
          <w:sz w:val="22"/>
          <w:szCs w:val="22"/>
        </w:rPr>
        <w:t>Nazroo</w:t>
      </w:r>
      <w:proofErr w:type="spellEnd"/>
      <w:r w:rsidRPr="005A3125">
        <w:rPr>
          <w:rFonts w:asciiTheme="minorBidi" w:hAnsiTheme="minorBidi" w:cstheme="minorBidi"/>
          <w:sz w:val="22"/>
          <w:szCs w:val="22"/>
        </w:rPr>
        <w:t xml:space="preserve">, and </w:t>
      </w:r>
      <w:proofErr w:type="spellStart"/>
      <w:r w:rsidRPr="005A3125">
        <w:rPr>
          <w:rFonts w:asciiTheme="minorBidi" w:hAnsiTheme="minorBidi" w:cstheme="minorBidi"/>
          <w:sz w:val="22"/>
          <w:szCs w:val="22"/>
        </w:rPr>
        <w:t>Bécares</w:t>
      </w:r>
      <w:proofErr w:type="spellEnd"/>
      <w:r w:rsidRPr="005A3125">
        <w:rPr>
          <w:rFonts w:asciiTheme="minorBidi" w:hAnsiTheme="minorBidi" w:cstheme="minorBidi"/>
          <w:sz w:val="22"/>
          <w:szCs w:val="22"/>
        </w:rPr>
        <w:t xml:space="preserve"> (2016) identifies strong associations between racial discrimination and psychological distress among ethnic minority groups in the UK. Similarly, Williams, Lawrence, and Davis (2019) argue that racism operates as a chronic stressor that produces sustained psychological and physiological consequences over time. Repeated exposure to discrimination is associated with increased anxiety, depressive symptoms, emotional exhaustion, and reduced self-esteem. </w:t>
      </w:r>
    </w:p>
    <w:p w14:paraId="1C928098" w14:textId="228116F1" w:rsidR="00F0732B" w:rsidRPr="005A3125" w:rsidRDefault="00F0732B" w:rsidP="002A6F75">
      <w:pPr>
        <w:pStyle w:val="NormalWeb"/>
        <w:spacing w:line="360" w:lineRule="auto"/>
        <w:jc w:val="both"/>
        <w:rPr>
          <w:rFonts w:asciiTheme="minorBidi" w:hAnsiTheme="minorBidi" w:cstheme="minorBidi"/>
          <w:sz w:val="22"/>
          <w:szCs w:val="22"/>
        </w:rPr>
      </w:pPr>
      <w:r w:rsidRPr="005A3125">
        <w:rPr>
          <w:rFonts w:asciiTheme="minorBidi" w:hAnsiTheme="minorBidi" w:cstheme="minorBidi"/>
          <w:sz w:val="22"/>
          <w:szCs w:val="22"/>
        </w:rPr>
        <w:t>Importantly, existing literature suggests that Black African and Mixed African youth may experience distinct cultural and social challenges that differ from those of Black Caribbean or broader aggregated “Black” or “BME” populations. However, many studies continue to group diverse ethnic identities together, limiting the ability to generate culturally specific insights (Aspinall, 2020). This represents a significant limitation in the current evidence base and highlights the need for more disaggregated research.</w:t>
      </w:r>
    </w:p>
    <w:p w14:paraId="0FC9C1A6" w14:textId="5073D62F" w:rsidR="003F304D" w:rsidRPr="005A3125" w:rsidRDefault="006626ED" w:rsidP="006626ED">
      <w:pPr>
        <w:pStyle w:val="Heading1"/>
        <w:spacing w:line="360" w:lineRule="auto"/>
        <w:ind w:left="12" w:right="3"/>
        <w:jc w:val="left"/>
        <w:rPr>
          <w:rFonts w:asciiTheme="minorBidi" w:hAnsiTheme="minorBidi" w:cstheme="minorBidi"/>
          <w:sz w:val="22"/>
        </w:rPr>
      </w:pPr>
      <w:bookmarkStart w:id="7" w:name="_Toc232456035"/>
      <w:r w:rsidRPr="005A3125">
        <w:rPr>
          <w:rFonts w:asciiTheme="minorBidi" w:hAnsiTheme="minorBidi" w:cstheme="minorBidi"/>
          <w:sz w:val="22"/>
        </w:rPr>
        <w:t>2.5 Structural Racism and Mental Health</w:t>
      </w:r>
      <w:bookmarkEnd w:id="7"/>
    </w:p>
    <w:p w14:paraId="3BBC1818" w14:textId="5D16A8C7" w:rsidR="00C359F9" w:rsidRPr="005A3125" w:rsidRDefault="00C359F9" w:rsidP="00C359F9">
      <w:pPr>
        <w:pStyle w:val="NormalWeb"/>
        <w:spacing w:line="360" w:lineRule="auto"/>
        <w:jc w:val="both"/>
        <w:rPr>
          <w:rFonts w:asciiTheme="minorBidi" w:hAnsiTheme="minorBidi" w:cstheme="minorBidi"/>
          <w:sz w:val="22"/>
          <w:szCs w:val="22"/>
        </w:rPr>
      </w:pPr>
      <w:r w:rsidRPr="005A3125">
        <w:rPr>
          <w:rFonts w:asciiTheme="minorBidi" w:hAnsiTheme="minorBidi" w:cstheme="minorBidi"/>
          <w:sz w:val="22"/>
          <w:szCs w:val="22"/>
        </w:rPr>
        <w:t xml:space="preserve">Structural racism has increasingly been recognised within public health literature as a fundamental determinant of mental health inequalities (Ford and </w:t>
      </w:r>
      <w:proofErr w:type="spellStart"/>
      <w:r w:rsidRPr="005A3125">
        <w:rPr>
          <w:rFonts w:asciiTheme="minorBidi" w:hAnsiTheme="minorBidi" w:cstheme="minorBidi"/>
          <w:sz w:val="22"/>
          <w:szCs w:val="22"/>
        </w:rPr>
        <w:t>Airhihenbuwa</w:t>
      </w:r>
      <w:proofErr w:type="spellEnd"/>
      <w:r w:rsidRPr="005A3125">
        <w:rPr>
          <w:rFonts w:asciiTheme="minorBidi" w:hAnsiTheme="minorBidi" w:cstheme="minorBidi"/>
          <w:sz w:val="22"/>
          <w:szCs w:val="22"/>
        </w:rPr>
        <w:t xml:space="preserve">, 2010; Bailey et al., 2017). Unlike interpersonal racism, which occurs through individual attitudes or behaviours, structural racism refers to the embedded systems, policies, and institutional </w:t>
      </w:r>
      <w:r w:rsidRPr="005A3125">
        <w:rPr>
          <w:rFonts w:asciiTheme="minorBidi" w:hAnsiTheme="minorBidi" w:cstheme="minorBidi"/>
          <w:sz w:val="22"/>
          <w:szCs w:val="22"/>
        </w:rPr>
        <w:lastRenderedPageBreak/>
        <w:t>practices that systematically produce unequal outcomes across healthcare, education, housing, employment, and criminal justice systems.</w:t>
      </w:r>
    </w:p>
    <w:p w14:paraId="463611DE" w14:textId="77777777" w:rsidR="00213DE7" w:rsidRPr="005A3125" w:rsidRDefault="00C359F9" w:rsidP="00C359F9">
      <w:pPr>
        <w:pStyle w:val="NormalWeb"/>
        <w:spacing w:line="360" w:lineRule="auto"/>
        <w:jc w:val="both"/>
        <w:rPr>
          <w:rFonts w:asciiTheme="minorBidi" w:hAnsiTheme="minorBidi" w:cstheme="minorBidi"/>
          <w:sz w:val="22"/>
          <w:szCs w:val="22"/>
        </w:rPr>
      </w:pPr>
      <w:r w:rsidRPr="005A3125">
        <w:rPr>
          <w:rFonts w:asciiTheme="minorBidi" w:hAnsiTheme="minorBidi" w:cstheme="minorBidi"/>
          <w:sz w:val="22"/>
          <w:szCs w:val="22"/>
        </w:rPr>
        <w:t>From a public health perspective, structural racism is not an isolated social issue but a population-level determinant of health. The NHS Race and Health Observatory identifies racism as a significant contributor to poorer physical and mental health outcomes among ethnic minority populations in the United Kingdom. This reflects how inequality is produced and maintained through multiple interconnected systems rather than through individual experiences alone.</w:t>
      </w:r>
      <w:r w:rsidR="00213DE7" w:rsidRPr="005A3125">
        <w:rPr>
          <w:rFonts w:asciiTheme="minorBidi" w:hAnsiTheme="minorBidi" w:cstheme="minorBidi"/>
          <w:sz w:val="22"/>
          <w:szCs w:val="22"/>
        </w:rPr>
        <w:t xml:space="preserve"> </w:t>
      </w:r>
      <w:r w:rsidRPr="005A3125">
        <w:rPr>
          <w:rFonts w:asciiTheme="minorBidi" w:hAnsiTheme="minorBidi" w:cstheme="minorBidi"/>
          <w:sz w:val="22"/>
          <w:szCs w:val="22"/>
        </w:rPr>
        <w:t>Research evidence demonstrates that repeated exposure to racism contributes to chronic stress activation, which is associated with anxiety, depressive symptoms, emotional exhaustion, and poorer overall mental health outcomes (Ben et al., 2017; Trent et al., 2019). Chronic stress exposure is particularly harmful during adolescence and early adulthood, when identity formation and emotional regulation systems are still developing.</w:t>
      </w:r>
      <w:r w:rsidR="00213DE7" w:rsidRPr="005A3125">
        <w:rPr>
          <w:rFonts w:asciiTheme="minorBidi" w:hAnsiTheme="minorBidi" w:cstheme="minorBidi"/>
          <w:sz w:val="22"/>
          <w:szCs w:val="22"/>
        </w:rPr>
        <w:t xml:space="preserve"> </w:t>
      </w:r>
    </w:p>
    <w:p w14:paraId="064D01EC" w14:textId="763E1199" w:rsidR="00C359F9" w:rsidRPr="005A3125" w:rsidRDefault="00C359F9" w:rsidP="00C359F9">
      <w:pPr>
        <w:pStyle w:val="NormalWeb"/>
        <w:spacing w:line="360" w:lineRule="auto"/>
        <w:jc w:val="both"/>
        <w:rPr>
          <w:rFonts w:asciiTheme="minorBidi" w:hAnsiTheme="minorBidi" w:cstheme="minorBidi"/>
          <w:sz w:val="22"/>
          <w:szCs w:val="22"/>
        </w:rPr>
      </w:pPr>
      <w:r w:rsidRPr="005A3125">
        <w:rPr>
          <w:rFonts w:asciiTheme="minorBidi" w:hAnsiTheme="minorBidi" w:cstheme="minorBidi"/>
          <w:sz w:val="22"/>
          <w:szCs w:val="22"/>
        </w:rPr>
        <w:t>David R. Williams and Selina A. Mohammed (2013) further argue that discrimination negatively affects both psychological and physiological functioning through sustained activation of stress pathways. This includes long-term dysregulation of cortisol responses, increased vulnerability to anxiety disorders, and reduced psychological resilience.</w:t>
      </w:r>
    </w:p>
    <w:p w14:paraId="235611EB" w14:textId="6425C73D" w:rsidR="00F0732B" w:rsidRPr="005A3125" w:rsidRDefault="00C359F9" w:rsidP="00C359F9">
      <w:pPr>
        <w:pStyle w:val="NormalWeb"/>
        <w:spacing w:line="360" w:lineRule="auto"/>
        <w:jc w:val="both"/>
        <w:rPr>
          <w:rFonts w:asciiTheme="minorBidi" w:hAnsiTheme="minorBidi" w:cstheme="minorBidi"/>
          <w:sz w:val="22"/>
          <w:szCs w:val="22"/>
        </w:rPr>
      </w:pPr>
      <w:r w:rsidRPr="005A3125">
        <w:rPr>
          <w:rFonts w:asciiTheme="minorBidi" w:hAnsiTheme="minorBidi" w:cstheme="minorBidi"/>
          <w:sz w:val="22"/>
          <w:szCs w:val="22"/>
        </w:rPr>
        <w:t>In the UK context, several studies also highlight the presence of structural inequalities within educational systems. Black African and Mixed African youth frequently report experiences of stereotyping, lower teacher expectations, and discriminatory disciplinary practices. These experiences contribute to school exclusion and reduced educational engagement, which may indirectly affect mental health outcomes (Gillborn, 2008).</w:t>
      </w:r>
    </w:p>
    <w:p w14:paraId="2D66E345" w14:textId="6F40952A" w:rsidR="00C222D5" w:rsidRPr="005A3125" w:rsidRDefault="003F304D" w:rsidP="00C359F9">
      <w:pPr>
        <w:pStyle w:val="NormalWeb"/>
        <w:spacing w:line="360" w:lineRule="auto"/>
        <w:jc w:val="both"/>
        <w:rPr>
          <w:rFonts w:asciiTheme="minorBidi" w:hAnsiTheme="minorBidi" w:cstheme="minorBidi"/>
          <w:b/>
          <w:sz w:val="22"/>
          <w:szCs w:val="22"/>
        </w:rPr>
      </w:pPr>
      <w:r w:rsidRPr="005A3125">
        <w:rPr>
          <w:rFonts w:asciiTheme="minorBidi" w:hAnsiTheme="minorBidi" w:cstheme="minorBidi"/>
          <w:b/>
          <w:sz w:val="22"/>
          <w:szCs w:val="22"/>
        </w:rPr>
        <w:t>Table 2.1</w:t>
      </w:r>
      <w:r w:rsidR="00C359F9" w:rsidRPr="005A3125">
        <w:rPr>
          <w:rFonts w:asciiTheme="minorBidi" w:hAnsiTheme="minorBidi" w:cstheme="minorBidi"/>
          <w:b/>
          <w:sz w:val="22"/>
          <w:szCs w:val="22"/>
        </w:rPr>
        <w:t>:</w:t>
      </w:r>
      <w:r w:rsidRPr="005A3125">
        <w:rPr>
          <w:rFonts w:asciiTheme="minorBidi" w:hAnsiTheme="minorBidi" w:cstheme="minorBidi"/>
          <w:b/>
          <w:sz w:val="22"/>
          <w:szCs w:val="22"/>
        </w:rPr>
        <w:t xml:space="preserve"> Psychological Effects of Racism Identified Within Literature</w:t>
      </w:r>
    </w:p>
    <w:tbl>
      <w:tblPr>
        <w:tblStyle w:val="TableGrid"/>
        <w:tblW w:w="0" w:type="auto"/>
        <w:tblLayout w:type="fixed"/>
        <w:tblLook w:val="04A0" w:firstRow="1" w:lastRow="0" w:firstColumn="1" w:lastColumn="0" w:noHBand="0" w:noVBand="1"/>
      </w:tblPr>
      <w:tblGrid>
        <w:gridCol w:w="2222"/>
        <w:gridCol w:w="3305"/>
        <w:gridCol w:w="3489"/>
      </w:tblGrid>
      <w:tr w:rsidR="00C222D5" w:rsidRPr="005A3125" w14:paraId="1EF769FC" w14:textId="3ED7615F" w:rsidTr="00C222D5">
        <w:trPr>
          <w:trHeight w:val="420"/>
        </w:trPr>
        <w:tc>
          <w:tcPr>
            <w:tcW w:w="2222" w:type="dxa"/>
            <w:hideMark/>
          </w:tcPr>
          <w:p w14:paraId="436F7400" w14:textId="77777777" w:rsidR="00C222D5" w:rsidRPr="005A3125" w:rsidRDefault="00C222D5" w:rsidP="002A6F75">
            <w:pPr>
              <w:spacing w:line="360" w:lineRule="auto"/>
              <w:jc w:val="center"/>
              <w:rPr>
                <w:rFonts w:asciiTheme="minorBidi" w:eastAsia="Times New Roman" w:hAnsiTheme="minorBidi"/>
                <w:b/>
                <w:bCs/>
                <w:lang w:eastAsia="en-IN"/>
              </w:rPr>
            </w:pPr>
            <w:r w:rsidRPr="005A3125">
              <w:rPr>
                <w:rFonts w:asciiTheme="minorBidi" w:eastAsia="Times New Roman" w:hAnsiTheme="minorBidi"/>
                <w:b/>
                <w:bCs/>
                <w:lang w:eastAsia="en-IN"/>
              </w:rPr>
              <w:t>Psychological Outcome</w:t>
            </w:r>
          </w:p>
        </w:tc>
        <w:tc>
          <w:tcPr>
            <w:tcW w:w="3305" w:type="dxa"/>
            <w:hideMark/>
          </w:tcPr>
          <w:p w14:paraId="25C202F0" w14:textId="77777777" w:rsidR="00C222D5" w:rsidRPr="005A3125" w:rsidRDefault="00C222D5" w:rsidP="002A6F75">
            <w:pPr>
              <w:spacing w:line="360" w:lineRule="auto"/>
              <w:jc w:val="center"/>
              <w:rPr>
                <w:rFonts w:asciiTheme="minorBidi" w:eastAsia="Times New Roman" w:hAnsiTheme="minorBidi"/>
                <w:b/>
                <w:bCs/>
                <w:lang w:eastAsia="en-IN"/>
              </w:rPr>
            </w:pPr>
            <w:r w:rsidRPr="005A3125">
              <w:rPr>
                <w:rFonts w:asciiTheme="minorBidi" w:eastAsia="Times New Roman" w:hAnsiTheme="minorBidi"/>
                <w:b/>
                <w:bCs/>
                <w:lang w:eastAsia="en-IN"/>
              </w:rPr>
              <w:t>Evidence Identified in Literature</w:t>
            </w:r>
          </w:p>
        </w:tc>
        <w:tc>
          <w:tcPr>
            <w:tcW w:w="3489" w:type="dxa"/>
          </w:tcPr>
          <w:p w14:paraId="67BF3E12" w14:textId="0AC8A8CA" w:rsidR="00C222D5" w:rsidRPr="005A3125" w:rsidRDefault="00C222D5" w:rsidP="002A6F75">
            <w:pPr>
              <w:spacing w:line="360" w:lineRule="auto"/>
              <w:jc w:val="center"/>
              <w:rPr>
                <w:rFonts w:asciiTheme="minorBidi" w:eastAsia="Times New Roman" w:hAnsiTheme="minorBidi"/>
                <w:b/>
                <w:bCs/>
                <w:lang w:eastAsia="en-IN"/>
              </w:rPr>
            </w:pPr>
            <w:r w:rsidRPr="005A3125">
              <w:rPr>
                <w:rFonts w:asciiTheme="minorBidi" w:eastAsia="Times New Roman" w:hAnsiTheme="minorBidi"/>
                <w:b/>
                <w:bCs/>
                <w:lang w:eastAsia="en-IN"/>
              </w:rPr>
              <w:t>Source</w:t>
            </w:r>
          </w:p>
        </w:tc>
      </w:tr>
      <w:tr w:rsidR="00C222D5" w:rsidRPr="005A3125" w14:paraId="11EF4152" w14:textId="2EBD1A19" w:rsidTr="00C222D5">
        <w:trPr>
          <w:trHeight w:val="420"/>
        </w:trPr>
        <w:tc>
          <w:tcPr>
            <w:tcW w:w="2222" w:type="dxa"/>
            <w:hideMark/>
          </w:tcPr>
          <w:p w14:paraId="14A9B640" w14:textId="77777777" w:rsidR="00C222D5" w:rsidRPr="005A3125" w:rsidRDefault="00C222D5" w:rsidP="002A6F75">
            <w:pPr>
              <w:spacing w:line="360" w:lineRule="auto"/>
              <w:rPr>
                <w:rFonts w:asciiTheme="minorBidi" w:eastAsia="Times New Roman" w:hAnsiTheme="minorBidi"/>
                <w:lang w:eastAsia="en-IN"/>
              </w:rPr>
            </w:pPr>
            <w:r w:rsidRPr="005A3125">
              <w:rPr>
                <w:rFonts w:asciiTheme="minorBidi" w:eastAsia="Times New Roman" w:hAnsiTheme="minorBidi"/>
                <w:lang w:eastAsia="en-IN"/>
              </w:rPr>
              <w:t>Anxiety</w:t>
            </w:r>
          </w:p>
        </w:tc>
        <w:tc>
          <w:tcPr>
            <w:tcW w:w="3305" w:type="dxa"/>
            <w:hideMark/>
          </w:tcPr>
          <w:p w14:paraId="4DC17696" w14:textId="77777777" w:rsidR="00C222D5" w:rsidRPr="005A3125" w:rsidRDefault="00C222D5" w:rsidP="002A6F75">
            <w:pPr>
              <w:spacing w:line="360" w:lineRule="auto"/>
              <w:rPr>
                <w:rFonts w:asciiTheme="minorBidi" w:eastAsia="Times New Roman" w:hAnsiTheme="minorBidi"/>
                <w:lang w:eastAsia="en-IN"/>
              </w:rPr>
            </w:pPr>
            <w:r w:rsidRPr="005A3125">
              <w:rPr>
                <w:rFonts w:asciiTheme="minorBidi" w:eastAsia="Times New Roman" w:hAnsiTheme="minorBidi"/>
                <w:lang w:eastAsia="en-IN"/>
              </w:rPr>
              <w:t>Linked to chronic stress and hypervigilance</w:t>
            </w:r>
          </w:p>
        </w:tc>
        <w:tc>
          <w:tcPr>
            <w:tcW w:w="3489" w:type="dxa"/>
          </w:tcPr>
          <w:p w14:paraId="279EF797" w14:textId="3DB95C8A" w:rsidR="00C222D5" w:rsidRPr="005A3125" w:rsidRDefault="00C222D5" w:rsidP="002A6F75">
            <w:pPr>
              <w:spacing w:line="360" w:lineRule="auto"/>
              <w:rPr>
                <w:rFonts w:asciiTheme="minorBidi" w:eastAsia="Times New Roman" w:hAnsiTheme="minorBidi"/>
                <w:lang w:eastAsia="en-IN"/>
              </w:rPr>
            </w:pPr>
            <w:r w:rsidRPr="005A3125">
              <w:rPr>
                <w:rFonts w:asciiTheme="minorBidi" w:eastAsia="Times New Roman" w:hAnsiTheme="minorBidi"/>
                <w:lang w:eastAsia="en-IN"/>
              </w:rPr>
              <w:t>Williams, Lawrence and Davis (2019); Paradies et al. (2015)</w:t>
            </w:r>
          </w:p>
        </w:tc>
      </w:tr>
      <w:tr w:rsidR="00C222D5" w:rsidRPr="005A3125" w14:paraId="1AD947D1" w14:textId="188D32C6" w:rsidTr="00C222D5">
        <w:trPr>
          <w:trHeight w:val="420"/>
        </w:trPr>
        <w:tc>
          <w:tcPr>
            <w:tcW w:w="2222" w:type="dxa"/>
            <w:hideMark/>
          </w:tcPr>
          <w:p w14:paraId="22A99EB0" w14:textId="77777777" w:rsidR="00C222D5" w:rsidRPr="005A3125" w:rsidRDefault="00C222D5" w:rsidP="002A6F75">
            <w:pPr>
              <w:spacing w:line="360" w:lineRule="auto"/>
              <w:rPr>
                <w:rFonts w:asciiTheme="minorBidi" w:eastAsia="Times New Roman" w:hAnsiTheme="minorBidi"/>
                <w:lang w:eastAsia="en-IN"/>
              </w:rPr>
            </w:pPr>
            <w:r w:rsidRPr="005A3125">
              <w:rPr>
                <w:rFonts w:asciiTheme="minorBidi" w:eastAsia="Times New Roman" w:hAnsiTheme="minorBidi"/>
                <w:lang w:eastAsia="en-IN"/>
              </w:rPr>
              <w:t>Depression</w:t>
            </w:r>
          </w:p>
        </w:tc>
        <w:tc>
          <w:tcPr>
            <w:tcW w:w="3305" w:type="dxa"/>
            <w:hideMark/>
          </w:tcPr>
          <w:p w14:paraId="60398CBE" w14:textId="77777777" w:rsidR="00C222D5" w:rsidRPr="005A3125" w:rsidRDefault="00C222D5" w:rsidP="002A6F75">
            <w:pPr>
              <w:spacing w:line="360" w:lineRule="auto"/>
              <w:rPr>
                <w:rFonts w:asciiTheme="minorBidi" w:eastAsia="Times New Roman" w:hAnsiTheme="minorBidi"/>
                <w:lang w:eastAsia="en-IN"/>
              </w:rPr>
            </w:pPr>
            <w:r w:rsidRPr="005A3125">
              <w:rPr>
                <w:rFonts w:asciiTheme="minorBidi" w:eastAsia="Times New Roman" w:hAnsiTheme="minorBidi"/>
                <w:lang w:eastAsia="en-IN"/>
              </w:rPr>
              <w:t>Associated with social exclusion and discrimination</w:t>
            </w:r>
          </w:p>
        </w:tc>
        <w:tc>
          <w:tcPr>
            <w:tcW w:w="3489" w:type="dxa"/>
          </w:tcPr>
          <w:p w14:paraId="7BE1A460" w14:textId="2CF687B5" w:rsidR="00C222D5" w:rsidRPr="005A3125" w:rsidRDefault="00C222D5" w:rsidP="002A6F75">
            <w:pPr>
              <w:spacing w:line="360" w:lineRule="auto"/>
              <w:rPr>
                <w:rFonts w:asciiTheme="minorBidi" w:eastAsia="Times New Roman" w:hAnsiTheme="minorBidi"/>
                <w:lang w:eastAsia="en-IN"/>
              </w:rPr>
            </w:pPr>
            <w:r w:rsidRPr="005A3125">
              <w:rPr>
                <w:rFonts w:asciiTheme="minorBidi" w:eastAsia="Times New Roman" w:hAnsiTheme="minorBidi"/>
                <w:lang w:eastAsia="en-IN"/>
              </w:rPr>
              <w:t xml:space="preserve">Wallace, </w:t>
            </w:r>
            <w:proofErr w:type="spellStart"/>
            <w:r w:rsidRPr="005A3125">
              <w:rPr>
                <w:rFonts w:asciiTheme="minorBidi" w:eastAsia="Times New Roman" w:hAnsiTheme="minorBidi"/>
                <w:lang w:eastAsia="en-IN"/>
              </w:rPr>
              <w:t>Nazroo</w:t>
            </w:r>
            <w:proofErr w:type="spellEnd"/>
            <w:r w:rsidRPr="005A3125">
              <w:rPr>
                <w:rFonts w:asciiTheme="minorBidi" w:eastAsia="Times New Roman" w:hAnsiTheme="minorBidi"/>
                <w:lang w:eastAsia="en-IN"/>
              </w:rPr>
              <w:t xml:space="preserve"> and </w:t>
            </w:r>
            <w:proofErr w:type="spellStart"/>
            <w:r w:rsidRPr="005A3125">
              <w:rPr>
                <w:rFonts w:asciiTheme="minorBidi" w:eastAsia="Times New Roman" w:hAnsiTheme="minorBidi"/>
                <w:lang w:eastAsia="en-IN"/>
              </w:rPr>
              <w:t>Bécares</w:t>
            </w:r>
            <w:proofErr w:type="spellEnd"/>
            <w:r w:rsidRPr="005A3125">
              <w:rPr>
                <w:rFonts w:asciiTheme="minorBidi" w:eastAsia="Times New Roman" w:hAnsiTheme="minorBidi"/>
                <w:lang w:eastAsia="en-IN"/>
              </w:rPr>
              <w:t xml:space="preserve"> (2016); Paradies et al. (2015)</w:t>
            </w:r>
          </w:p>
        </w:tc>
      </w:tr>
      <w:tr w:rsidR="00C222D5" w:rsidRPr="005A3125" w14:paraId="4F732170" w14:textId="1A6BFDE6" w:rsidTr="00C222D5">
        <w:trPr>
          <w:trHeight w:val="420"/>
        </w:trPr>
        <w:tc>
          <w:tcPr>
            <w:tcW w:w="2222" w:type="dxa"/>
            <w:hideMark/>
          </w:tcPr>
          <w:p w14:paraId="1CA4DAE5" w14:textId="77777777" w:rsidR="00C222D5" w:rsidRPr="005A3125" w:rsidRDefault="00C222D5" w:rsidP="002A6F75">
            <w:pPr>
              <w:spacing w:line="360" w:lineRule="auto"/>
              <w:rPr>
                <w:rFonts w:asciiTheme="minorBidi" w:eastAsia="Times New Roman" w:hAnsiTheme="minorBidi"/>
                <w:lang w:eastAsia="en-IN"/>
              </w:rPr>
            </w:pPr>
            <w:r w:rsidRPr="005A3125">
              <w:rPr>
                <w:rFonts w:asciiTheme="minorBidi" w:eastAsia="Times New Roman" w:hAnsiTheme="minorBidi"/>
                <w:lang w:eastAsia="en-IN"/>
              </w:rPr>
              <w:t>Low self-esteem</w:t>
            </w:r>
          </w:p>
        </w:tc>
        <w:tc>
          <w:tcPr>
            <w:tcW w:w="3305" w:type="dxa"/>
            <w:hideMark/>
          </w:tcPr>
          <w:p w14:paraId="7B6E3EFB" w14:textId="77777777" w:rsidR="00C222D5" w:rsidRPr="005A3125" w:rsidRDefault="00C222D5" w:rsidP="002A6F75">
            <w:pPr>
              <w:spacing w:line="360" w:lineRule="auto"/>
              <w:rPr>
                <w:rFonts w:asciiTheme="minorBidi" w:eastAsia="Times New Roman" w:hAnsiTheme="minorBidi"/>
                <w:lang w:eastAsia="en-IN"/>
              </w:rPr>
            </w:pPr>
            <w:r w:rsidRPr="005A3125">
              <w:rPr>
                <w:rFonts w:asciiTheme="minorBidi" w:eastAsia="Times New Roman" w:hAnsiTheme="minorBidi"/>
                <w:lang w:eastAsia="en-IN"/>
              </w:rPr>
              <w:t>Related to racial stereotyping</w:t>
            </w:r>
          </w:p>
        </w:tc>
        <w:tc>
          <w:tcPr>
            <w:tcW w:w="3489" w:type="dxa"/>
          </w:tcPr>
          <w:p w14:paraId="3BF82052" w14:textId="496986B0" w:rsidR="00C222D5" w:rsidRPr="005A3125" w:rsidRDefault="00C222D5" w:rsidP="002A6F75">
            <w:pPr>
              <w:spacing w:line="360" w:lineRule="auto"/>
              <w:rPr>
                <w:rFonts w:asciiTheme="minorBidi" w:eastAsia="Times New Roman" w:hAnsiTheme="minorBidi"/>
                <w:lang w:eastAsia="en-IN"/>
              </w:rPr>
            </w:pPr>
            <w:r w:rsidRPr="005A3125">
              <w:rPr>
                <w:rFonts w:asciiTheme="minorBidi" w:eastAsia="Times New Roman" w:hAnsiTheme="minorBidi"/>
                <w:lang w:eastAsia="en-IN"/>
              </w:rPr>
              <w:t>Williams et al. (2019); Arday (2018)</w:t>
            </w:r>
          </w:p>
        </w:tc>
      </w:tr>
      <w:tr w:rsidR="00C222D5" w:rsidRPr="005A3125" w14:paraId="3E318927" w14:textId="38FCB35F" w:rsidTr="00C222D5">
        <w:trPr>
          <w:trHeight w:val="420"/>
        </w:trPr>
        <w:tc>
          <w:tcPr>
            <w:tcW w:w="2222" w:type="dxa"/>
            <w:hideMark/>
          </w:tcPr>
          <w:p w14:paraId="0ED6A214" w14:textId="77777777" w:rsidR="00C222D5" w:rsidRPr="005A3125" w:rsidRDefault="00C222D5" w:rsidP="002A6F75">
            <w:pPr>
              <w:spacing w:line="360" w:lineRule="auto"/>
              <w:rPr>
                <w:rFonts w:asciiTheme="minorBidi" w:eastAsia="Times New Roman" w:hAnsiTheme="minorBidi"/>
                <w:lang w:eastAsia="en-IN"/>
              </w:rPr>
            </w:pPr>
            <w:r w:rsidRPr="005A3125">
              <w:rPr>
                <w:rFonts w:asciiTheme="minorBidi" w:eastAsia="Times New Roman" w:hAnsiTheme="minorBidi"/>
                <w:lang w:eastAsia="en-IN"/>
              </w:rPr>
              <w:t>Social withdrawal</w:t>
            </w:r>
          </w:p>
        </w:tc>
        <w:tc>
          <w:tcPr>
            <w:tcW w:w="3305" w:type="dxa"/>
            <w:hideMark/>
          </w:tcPr>
          <w:p w14:paraId="5B148B51" w14:textId="77777777" w:rsidR="00C222D5" w:rsidRPr="005A3125" w:rsidRDefault="00C222D5" w:rsidP="002A6F75">
            <w:pPr>
              <w:spacing w:line="360" w:lineRule="auto"/>
              <w:rPr>
                <w:rFonts w:asciiTheme="minorBidi" w:eastAsia="Times New Roman" w:hAnsiTheme="minorBidi"/>
                <w:lang w:eastAsia="en-IN"/>
              </w:rPr>
            </w:pPr>
            <w:r w:rsidRPr="005A3125">
              <w:rPr>
                <w:rFonts w:asciiTheme="minorBidi" w:eastAsia="Times New Roman" w:hAnsiTheme="minorBidi"/>
                <w:lang w:eastAsia="en-IN"/>
              </w:rPr>
              <w:t>Associated with fear of discrimination</w:t>
            </w:r>
          </w:p>
        </w:tc>
        <w:tc>
          <w:tcPr>
            <w:tcW w:w="3489" w:type="dxa"/>
          </w:tcPr>
          <w:p w14:paraId="517A0539" w14:textId="70CA021A" w:rsidR="00C222D5" w:rsidRPr="005A3125" w:rsidRDefault="00C222D5" w:rsidP="002A6F75">
            <w:pPr>
              <w:spacing w:line="360" w:lineRule="auto"/>
              <w:rPr>
                <w:rFonts w:asciiTheme="minorBidi" w:eastAsia="Times New Roman" w:hAnsiTheme="minorBidi"/>
                <w:lang w:eastAsia="en-IN"/>
              </w:rPr>
            </w:pPr>
            <w:r w:rsidRPr="005A3125">
              <w:rPr>
                <w:rFonts w:asciiTheme="minorBidi" w:eastAsia="Times New Roman" w:hAnsiTheme="minorBidi"/>
                <w:lang w:eastAsia="en-IN"/>
              </w:rPr>
              <w:t>Song (2017); Wallace et al. (2016)</w:t>
            </w:r>
          </w:p>
        </w:tc>
      </w:tr>
      <w:tr w:rsidR="00C222D5" w:rsidRPr="005A3125" w14:paraId="098BABCF" w14:textId="51274102" w:rsidTr="00C222D5">
        <w:trPr>
          <w:trHeight w:val="420"/>
        </w:trPr>
        <w:tc>
          <w:tcPr>
            <w:tcW w:w="2222" w:type="dxa"/>
            <w:hideMark/>
          </w:tcPr>
          <w:p w14:paraId="0D677822" w14:textId="77777777" w:rsidR="00C222D5" w:rsidRPr="005A3125" w:rsidRDefault="00C222D5" w:rsidP="002A6F75">
            <w:pPr>
              <w:spacing w:line="360" w:lineRule="auto"/>
              <w:rPr>
                <w:rFonts w:asciiTheme="minorBidi" w:eastAsia="Times New Roman" w:hAnsiTheme="minorBidi"/>
                <w:lang w:eastAsia="en-IN"/>
              </w:rPr>
            </w:pPr>
            <w:r w:rsidRPr="005A3125">
              <w:rPr>
                <w:rFonts w:asciiTheme="minorBidi" w:eastAsia="Times New Roman" w:hAnsiTheme="minorBidi"/>
                <w:lang w:eastAsia="en-IN"/>
              </w:rPr>
              <w:lastRenderedPageBreak/>
              <w:t>Emotional exhaustion</w:t>
            </w:r>
          </w:p>
        </w:tc>
        <w:tc>
          <w:tcPr>
            <w:tcW w:w="3305" w:type="dxa"/>
            <w:hideMark/>
          </w:tcPr>
          <w:p w14:paraId="55787775" w14:textId="77777777" w:rsidR="00C222D5" w:rsidRPr="005A3125" w:rsidRDefault="00C222D5" w:rsidP="002A6F75">
            <w:pPr>
              <w:spacing w:line="360" w:lineRule="auto"/>
              <w:rPr>
                <w:rFonts w:asciiTheme="minorBidi" w:eastAsia="Times New Roman" w:hAnsiTheme="minorBidi"/>
                <w:lang w:eastAsia="en-IN"/>
              </w:rPr>
            </w:pPr>
            <w:r w:rsidRPr="005A3125">
              <w:rPr>
                <w:rFonts w:asciiTheme="minorBidi" w:eastAsia="Times New Roman" w:hAnsiTheme="minorBidi"/>
                <w:lang w:eastAsia="en-IN"/>
              </w:rPr>
              <w:t>Linked to repeated exposure to racism</w:t>
            </w:r>
          </w:p>
        </w:tc>
        <w:tc>
          <w:tcPr>
            <w:tcW w:w="3489" w:type="dxa"/>
          </w:tcPr>
          <w:p w14:paraId="69F5D9BE" w14:textId="42EE835D" w:rsidR="00C222D5" w:rsidRPr="005A3125" w:rsidRDefault="00C222D5" w:rsidP="002A6F75">
            <w:pPr>
              <w:spacing w:line="360" w:lineRule="auto"/>
              <w:rPr>
                <w:rFonts w:asciiTheme="minorBidi" w:eastAsia="Times New Roman" w:hAnsiTheme="minorBidi"/>
                <w:lang w:eastAsia="en-IN"/>
              </w:rPr>
            </w:pPr>
            <w:r w:rsidRPr="005A3125">
              <w:rPr>
                <w:rFonts w:asciiTheme="minorBidi" w:eastAsia="Times New Roman" w:hAnsiTheme="minorBidi"/>
                <w:lang w:eastAsia="en-IN"/>
              </w:rPr>
              <w:t>Williams et al. (2019); Bailey et al. (2017)</w:t>
            </w:r>
          </w:p>
        </w:tc>
      </w:tr>
      <w:tr w:rsidR="00C222D5" w:rsidRPr="005A3125" w14:paraId="64E48573" w14:textId="17AF3D12" w:rsidTr="00C222D5">
        <w:trPr>
          <w:trHeight w:val="420"/>
        </w:trPr>
        <w:tc>
          <w:tcPr>
            <w:tcW w:w="2222" w:type="dxa"/>
            <w:hideMark/>
          </w:tcPr>
          <w:p w14:paraId="4E4AD1AE" w14:textId="77777777" w:rsidR="00C222D5" w:rsidRPr="005A3125" w:rsidRDefault="00C222D5" w:rsidP="002A6F75">
            <w:pPr>
              <w:spacing w:line="360" w:lineRule="auto"/>
              <w:rPr>
                <w:rFonts w:asciiTheme="minorBidi" w:eastAsia="Times New Roman" w:hAnsiTheme="minorBidi"/>
                <w:lang w:eastAsia="en-IN"/>
              </w:rPr>
            </w:pPr>
            <w:r w:rsidRPr="005A3125">
              <w:rPr>
                <w:rFonts w:asciiTheme="minorBidi" w:eastAsia="Times New Roman" w:hAnsiTheme="minorBidi"/>
                <w:lang w:eastAsia="en-IN"/>
              </w:rPr>
              <w:t>Mistrust toward institutions</w:t>
            </w:r>
          </w:p>
        </w:tc>
        <w:tc>
          <w:tcPr>
            <w:tcW w:w="3305" w:type="dxa"/>
            <w:hideMark/>
          </w:tcPr>
          <w:p w14:paraId="275AE3DE" w14:textId="77777777" w:rsidR="00C222D5" w:rsidRPr="005A3125" w:rsidRDefault="00C222D5" w:rsidP="002A6F75">
            <w:pPr>
              <w:spacing w:line="360" w:lineRule="auto"/>
              <w:rPr>
                <w:rFonts w:asciiTheme="minorBidi" w:eastAsia="Times New Roman" w:hAnsiTheme="minorBidi"/>
                <w:lang w:eastAsia="en-IN"/>
              </w:rPr>
            </w:pPr>
            <w:r w:rsidRPr="005A3125">
              <w:rPr>
                <w:rFonts w:asciiTheme="minorBidi" w:eastAsia="Times New Roman" w:hAnsiTheme="minorBidi"/>
                <w:lang w:eastAsia="en-IN"/>
              </w:rPr>
              <w:t>Related to discriminatory experiences</w:t>
            </w:r>
          </w:p>
        </w:tc>
        <w:tc>
          <w:tcPr>
            <w:tcW w:w="3489" w:type="dxa"/>
          </w:tcPr>
          <w:p w14:paraId="38C6965C" w14:textId="40802268" w:rsidR="00C222D5" w:rsidRPr="005A3125" w:rsidRDefault="00C222D5" w:rsidP="002A6F75">
            <w:pPr>
              <w:spacing w:line="360" w:lineRule="auto"/>
              <w:rPr>
                <w:rFonts w:asciiTheme="minorBidi" w:eastAsia="Times New Roman" w:hAnsiTheme="minorBidi"/>
                <w:lang w:eastAsia="en-IN"/>
              </w:rPr>
            </w:pPr>
            <w:proofErr w:type="spellStart"/>
            <w:r w:rsidRPr="005A3125">
              <w:rPr>
                <w:rFonts w:asciiTheme="minorBidi" w:eastAsia="Times New Roman" w:hAnsiTheme="minorBidi"/>
                <w:lang w:eastAsia="en-IN"/>
              </w:rPr>
              <w:t>Nazroo</w:t>
            </w:r>
            <w:proofErr w:type="spellEnd"/>
            <w:r w:rsidRPr="005A3125">
              <w:rPr>
                <w:rFonts w:asciiTheme="minorBidi" w:eastAsia="Times New Roman" w:hAnsiTheme="minorBidi"/>
                <w:lang w:eastAsia="en-IN"/>
              </w:rPr>
              <w:t xml:space="preserve"> (2021); </w:t>
            </w:r>
            <w:proofErr w:type="spellStart"/>
            <w:r w:rsidRPr="005A3125">
              <w:rPr>
                <w:rFonts w:asciiTheme="minorBidi" w:eastAsia="Times New Roman" w:hAnsiTheme="minorBidi"/>
                <w:lang w:eastAsia="en-IN"/>
              </w:rPr>
              <w:t>Bhui</w:t>
            </w:r>
            <w:proofErr w:type="spellEnd"/>
            <w:r w:rsidRPr="005A3125">
              <w:rPr>
                <w:rFonts w:asciiTheme="minorBidi" w:eastAsia="Times New Roman" w:hAnsiTheme="minorBidi"/>
                <w:lang w:eastAsia="en-IN"/>
              </w:rPr>
              <w:t xml:space="preserve"> et al. (2018); Williams et al. (2019)</w:t>
            </w:r>
          </w:p>
        </w:tc>
      </w:tr>
    </w:tbl>
    <w:p w14:paraId="39205FD5" w14:textId="16C19931" w:rsidR="00C359F9" w:rsidRPr="005A3125" w:rsidRDefault="00C359F9" w:rsidP="002A6F75">
      <w:pPr>
        <w:pStyle w:val="NormalWeb"/>
        <w:spacing w:line="360" w:lineRule="auto"/>
        <w:jc w:val="both"/>
        <w:rPr>
          <w:rFonts w:asciiTheme="minorBidi" w:hAnsiTheme="minorBidi" w:cstheme="minorBidi"/>
          <w:sz w:val="22"/>
          <w:szCs w:val="22"/>
        </w:rPr>
      </w:pPr>
      <w:r w:rsidRPr="005A3125">
        <w:rPr>
          <w:rFonts w:asciiTheme="minorBidi" w:hAnsiTheme="minorBidi" w:cstheme="minorBidi"/>
          <w:sz w:val="22"/>
          <w:szCs w:val="22"/>
        </w:rPr>
        <w:t>Overall, structural racism operates as a persistent and cumulative stressor that shapes mental health outcomes across multiple life domains. Its effects are not limited to individual experiences but are embedded within institutional systems that shape access to opportunity, care, and wellbeing.</w:t>
      </w:r>
    </w:p>
    <w:p w14:paraId="1EA49113" w14:textId="402D3C0A" w:rsidR="00270769" w:rsidRPr="005A3125" w:rsidRDefault="00270769" w:rsidP="00270769">
      <w:pPr>
        <w:pStyle w:val="Heading1"/>
        <w:spacing w:line="360" w:lineRule="auto"/>
        <w:ind w:left="12" w:right="3"/>
        <w:jc w:val="left"/>
        <w:rPr>
          <w:rFonts w:asciiTheme="minorBidi" w:hAnsiTheme="minorBidi" w:cstheme="minorBidi"/>
          <w:sz w:val="22"/>
        </w:rPr>
      </w:pPr>
      <w:bookmarkStart w:id="8" w:name="_Toc232456036"/>
      <w:r w:rsidRPr="005A3125">
        <w:rPr>
          <w:rFonts w:asciiTheme="minorBidi" w:hAnsiTheme="minorBidi" w:cstheme="minorBidi"/>
          <w:sz w:val="22"/>
        </w:rPr>
        <w:t>2.6 Social Determinants of Mental Health</w:t>
      </w:r>
      <w:bookmarkEnd w:id="8"/>
    </w:p>
    <w:p w14:paraId="7FAA251C" w14:textId="62DD1D3A" w:rsidR="00C359F9" w:rsidRPr="005A3125" w:rsidRDefault="00C359F9" w:rsidP="002A6F75">
      <w:pPr>
        <w:pStyle w:val="NormalWeb"/>
        <w:spacing w:line="360" w:lineRule="auto"/>
        <w:jc w:val="both"/>
        <w:rPr>
          <w:rFonts w:asciiTheme="minorBidi" w:hAnsiTheme="minorBidi" w:cstheme="minorBidi"/>
          <w:sz w:val="22"/>
          <w:szCs w:val="22"/>
        </w:rPr>
      </w:pPr>
      <w:r w:rsidRPr="005A3125">
        <w:rPr>
          <w:rFonts w:asciiTheme="minorBidi" w:hAnsiTheme="minorBidi" w:cstheme="minorBidi"/>
          <w:sz w:val="22"/>
          <w:szCs w:val="22"/>
        </w:rPr>
        <w:t xml:space="preserve">The Social Determinants of Health framework developed by the World Health Organization emphasises that health outcomes are shaped by broader social, economic, and environmental conditions rather than individual behaviours alone (WHO, 2014). This framework is widely used in public health to explain inequalities in mental and physical health </w:t>
      </w:r>
      <w:r w:rsidR="0038261C" w:rsidRPr="005A3125">
        <w:rPr>
          <w:rFonts w:asciiTheme="minorBidi" w:hAnsiTheme="minorBidi" w:cstheme="minorBidi"/>
          <w:sz w:val="22"/>
          <w:szCs w:val="22"/>
        </w:rPr>
        <w:t>outcomes and identifies ke</w:t>
      </w:r>
      <w:r w:rsidRPr="005A3125">
        <w:rPr>
          <w:rFonts w:asciiTheme="minorBidi" w:hAnsiTheme="minorBidi" w:cstheme="minorBidi"/>
          <w:sz w:val="22"/>
          <w:szCs w:val="22"/>
        </w:rPr>
        <w:t>y determinants such as income, housing, employment, education, social support, and exposure to discrimination. These factors collectively shape individuals’ living conditions and influence both risk and protective factors for mental health.</w:t>
      </w:r>
    </w:p>
    <w:p w14:paraId="7ED4FCBF" w14:textId="2511691F" w:rsidR="0032776A" w:rsidRPr="005A3125" w:rsidRDefault="00C359F9" w:rsidP="002A6F75">
      <w:pPr>
        <w:pStyle w:val="NormalWeb"/>
        <w:spacing w:line="360" w:lineRule="auto"/>
        <w:jc w:val="both"/>
        <w:rPr>
          <w:rFonts w:asciiTheme="minorBidi" w:hAnsiTheme="minorBidi" w:cstheme="minorBidi"/>
          <w:sz w:val="22"/>
          <w:szCs w:val="22"/>
        </w:rPr>
      </w:pPr>
      <w:r w:rsidRPr="005A3125">
        <w:rPr>
          <w:rFonts w:asciiTheme="minorBidi" w:hAnsiTheme="minorBidi" w:cstheme="minorBidi"/>
          <w:b/>
          <w:noProof/>
          <w:sz w:val="22"/>
          <w:szCs w:val="22"/>
        </w:rPr>
        <w:drawing>
          <wp:anchor distT="0" distB="0" distL="114300" distR="114300" simplePos="0" relativeHeight="251658247" behindDoc="1" locked="0" layoutInCell="1" allowOverlap="1" wp14:anchorId="1F79F041" wp14:editId="66CC505C">
            <wp:simplePos x="0" y="0"/>
            <wp:positionH relativeFrom="column">
              <wp:posOffset>200025</wp:posOffset>
            </wp:positionH>
            <wp:positionV relativeFrom="paragraph">
              <wp:posOffset>353695</wp:posOffset>
            </wp:positionV>
            <wp:extent cx="5095875" cy="2857500"/>
            <wp:effectExtent l="0" t="0" r="9525" b="0"/>
            <wp:wrapTight wrapText="bothSides">
              <wp:wrapPolygon edited="0">
                <wp:start x="0" y="0"/>
                <wp:lineTo x="0" y="21456"/>
                <wp:lineTo x="21560" y="21456"/>
                <wp:lineTo x="21560" y="0"/>
                <wp:lineTo x="0" y="0"/>
              </wp:wrapPolygon>
            </wp:wrapTight>
            <wp:docPr id="5" name="Picture 5" descr="Social determinants of Health and ICT for Health (eHealth) conceptual framework | ICTconsequen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ocial determinants of Health and ICT for Health (eHealth) conceptual framework | ICTconsequences"/>
                    <pic:cNvPicPr>
                      <a:picLocks noChangeAspect="1" noChangeArrowheads="1"/>
                    </pic:cNvPicPr>
                  </pic:nvPicPr>
                  <pic:blipFill rotWithShape="1">
                    <a:blip r:embed="rId17">
                      <a:extLst>
                        <a:ext uri="{28A0092B-C50C-407E-A947-70E740481C1C}">
                          <a14:useLocalDpi xmlns:a14="http://schemas.microsoft.com/office/drawing/2010/main" val="0"/>
                        </a:ext>
                      </a:extLst>
                    </a:blip>
                    <a:srcRect l="3490" t="9308" r="7591" b="24206"/>
                    <a:stretch/>
                  </pic:blipFill>
                  <pic:spPr bwMode="auto">
                    <a:xfrm>
                      <a:off x="0" y="0"/>
                      <a:ext cx="5095875" cy="28575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F304D" w:rsidRPr="005A3125">
        <w:rPr>
          <w:rFonts w:asciiTheme="minorBidi" w:hAnsiTheme="minorBidi" w:cstheme="minorBidi"/>
          <w:b/>
          <w:sz w:val="22"/>
          <w:szCs w:val="22"/>
        </w:rPr>
        <w:t>Figure 2.2</w:t>
      </w:r>
      <w:r w:rsidR="00213DE7" w:rsidRPr="005A3125">
        <w:rPr>
          <w:rFonts w:asciiTheme="minorBidi" w:hAnsiTheme="minorBidi" w:cstheme="minorBidi"/>
          <w:b/>
          <w:sz w:val="22"/>
          <w:szCs w:val="22"/>
        </w:rPr>
        <w:t>:</w:t>
      </w:r>
      <w:r w:rsidR="003F304D" w:rsidRPr="005A3125">
        <w:rPr>
          <w:rFonts w:asciiTheme="minorBidi" w:hAnsiTheme="minorBidi" w:cstheme="minorBidi"/>
          <w:b/>
          <w:sz w:val="22"/>
          <w:szCs w:val="22"/>
        </w:rPr>
        <w:t xml:space="preserve"> Social Determinants of Mental Health Framework</w:t>
      </w:r>
    </w:p>
    <w:p w14:paraId="38C6028B" w14:textId="6ABFEDF5" w:rsidR="003F304D" w:rsidRPr="005A3125" w:rsidRDefault="003F304D" w:rsidP="0032776A">
      <w:pPr>
        <w:pStyle w:val="NormalWeb"/>
        <w:spacing w:line="360" w:lineRule="auto"/>
        <w:jc w:val="center"/>
        <w:rPr>
          <w:rFonts w:asciiTheme="minorBidi" w:hAnsiTheme="minorBidi" w:cstheme="minorBidi"/>
          <w:b/>
          <w:i/>
          <w:sz w:val="22"/>
          <w:szCs w:val="22"/>
        </w:rPr>
      </w:pPr>
      <w:r w:rsidRPr="005A3125">
        <w:rPr>
          <w:rFonts w:asciiTheme="minorBidi" w:hAnsiTheme="minorBidi" w:cstheme="minorBidi"/>
          <w:b/>
          <w:i/>
          <w:sz w:val="22"/>
          <w:szCs w:val="22"/>
        </w:rPr>
        <w:t>Source: World Health Organization Social Determinants of Mental Health Report</w:t>
      </w:r>
      <w:r w:rsidR="00504A14" w:rsidRPr="005A3125">
        <w:rPr>
          <w:rFonts w:asciiTheme="minorBidi" w:hAnsiTheme="minorBidi" w:cstheme="minorBidi"/>
          <w:b/>
          <w:i/>
          <w:sz w:val="22"/>
          <w:szCs w:val="22"/>
        </w:rPr>
        <w:t xml:space="preserve"> (WHO,2014)</w:t>
      </w:r>
    </w:p>
    <w:p w14:paraId="78DFC59D" w14:textId="77777777" w:rsidR="00C359F9" w:rsidRPr="005A3125" w:rsidRDefault="00C359F9" w:rsidP="00C359F9">
      <w:pPr>
        <w:pStyle w:val="NormalWeb"/>
        <w:spacing w:line="360" w:lineRule="auto"/>
        <w:jc w:val="both"/>
        <w:rPr>
          <w:rFonts w:asciiTheme="minorBidi" w:hAnsiTheme="minorBidi" w:cstheme="minorBidi"/>
          <w:sz w:val="22"/>
          <w:szCs w:val="22"/>
        </w:rPr>
      </w:pPr>
      <w:r w:rsidRPr="005A3125">
        <w:rPr>
          <w:rFonts w:asciiTheme="minorBidi" w:hAnsiTheme="minorBidi" w:cstheme="minorBidi"/>
          <w:sz w:val="22"/>
          <w:szCs w:val="22"/>
        </w:rPr>
        <w:t xml:space="preserve">Figure 2.2 illustrates how mental health outcomes are shaped by wider structural and environmental conditions. It demonstrates that mental health is not solely the result of </w:t>
      </w:r>
      <w:r w:rsidRPr="005A3125">
        <w:rPr>
          <w:rFonts w:asciiTheme="minorBidi" w:hAnsiTheme="minorBidi" w:cstheme="minorBidi"/>
          <w:sz w:val="22"/>
          <w:szCs w:val="22"/>
        </w:rPr>
        <w:lastRenderedPageBreak/>
        <w:t xml:space="preserve">individual psychological processes but is strongly influenced by the social and economic environment in which individuals live. </w:t>
      </w:r>
    </w:p>
    <w:p w14:paraId="3C937E5B" w14:textId="24FF800A" w:rsidR="00C359F9" w:rsidRPr="005A3125" w:rsidRDefault="00C359F9" w:rsidP="00C359F9">
      <w:pPr>
        <w:pStyle w:val="NormalWeb"/>
        <w:spacing w:line="360" w:lineRule="auto"/>
        <w:jc w:val="both"/>
        <w:rPr>
          <w:rFonts w:asciiTheme="minorBidi" w:hAnsiTheme="minorBidi" w:cstheme="minorBidi"/>
          <w:sz w:val="22"/>
          <w:szCs w:val="22"/>
        </w:rPr>
      </w:pPr>
      <w:r w:rsidRPr="005A3125">
        <w:rPr>
          <w:rFonts w:asciiTheme="minorBidi" w:hAnsiTheme="minorBidi" w:cstheme="minorBidi"/>
          <w:sz w:val="22"/>
          <w:szCs w:val="22"/>
        </w:rPr>
        <w:t>This framework is particularly relevant to Black African and Mixed African youth, who are more likely to experience overlapping forms of disadvantage, including racial discrimination and socioeconomic inequality (</w:t>
      </w:r>
      <w:proofErr w:type="spellStart"/>
      <w:r w:rsidRPr="005A3125">
        <w:rPr>
          <w:rFonts w:asciiTheme="minorBidi" w:hAnsiTheme="minorBidi" w:cstheme="minorBidi"/>
          <w:sz w:val="22"/>
          <w:szCs w:val="22"/>
        </w:rPr>
        <w:t>Kapilashrami</w:t>
      </w:r>
      <w:proofErr w:type="spellEnd"/>
      <w:r w:rsidRPr="005A3125">
        <w:rPr>
          <w:rFonts w:asciiTheme="minorBidi" w:hAnsiTheme="minorBidi" w:cstheme="minorBidi"/>
          <w:sz w:val="22"/>
          <w:szCs w:val="22"/>
        </w:rPr>
        <w:t xml:space="preserve"> and Hankivsky, 2018; Lund et al., 2018). These overlapping disadvantages increase cumulative stress exposure and reduce access to protective resources such as stable housing, quality education, and secure employment.</w:t>
      </w:r>
    </w:p>
    <w:p w14:paraId="5788F76E" w14:textId="4F912137" w:rsidR="00C359F9" w:rsidRPr="005A3125" w:rsidRDefault="00C359F9" w:rsidP="00C359F9">
      <w:pPr>
        <w:pStyle w:val="NormalWeb"/>
        <w:spacing w:line="360" w:lineRule="auto"/>
        <w:jc w:val="both"/>
        <w:rPr>
          <w:rFonts w:asciiTheme="minorBidi" w:hAnsiTheme="minorBidi" w:cstheme="minorBidi"/>
          <w:sz w:val="22"/>
          <w:szCs w:val="22"/>
        </w:rPr>
      </w:pPr>
      <w:r w:rsidRPr="005A3125">
        <w:rPr>
          <w:rFonts w:asciiTheme="minorBidi" w:hAnsiTheme="minorBidi" w:cstheme="minorBidi"/>
          <w:sz w:val="22"/>
          <w:szCs w:val="22"/>
        </w:rPr>
        <w:t>Research consistently identifies poverty as one of the strongest predictors of poor mental health outcomes among young people (Lund et al., 2018; Reiss, 2013). Reiss (2013) further demonstrates strong associations between socioeconomic deprivation and emotional disorders among children and adolescents, highlighting the role of material conditions in shaping mental wellbeing.</w:t>
      </w:r>
    </w:p>
    <w:p w14:paraId="75589770" w14:textId="264E608F" w:rsidR="00C359F9" w:rsidRPr="005A3125" w:rsidRDefault="00C359F9" w:rsidP="00C359F9">
      <w:pPr>
        <w:pStyle w:val="NormalWeb"/>
        <w:spacing w:line="360" w:lineRule="auto"/>
        <w:jc w:val="both"/>
        <w:rPr>
          <w:rFonts w:asciiTheme="minorBidi" w:hAnsiTheme="minorBidi" w:cstheme="minorBidi"/>
          <w:sz w:val="22"/>
          <w:szCs w:val="22"/>
        </w:rPr>
      </w:pPr>
      <w:r w:rsidRPr="005A3125">
        <w:rPr>
          <w:rFonts w:asciiTheme="minorBidi" w:hAnsiTheme="minorBidi" w:cstheme="minorBidi"/>
          <w:sz w:val="22"/>
          <w:szCs w:val="22"/>
        </w:rPr>
        <w:t xml:space="preserve">In the UK context, </w:t>
      </w:r>
      <w:r w:rsidR="0038261C" w:rsidRPr="005A3125">
        <w:rPr>
          <w:rFonts w:asciiTheme="minorBidi" w:hAnsiTheme="minorBidi" w:cstheme="minorBidi"/>
          <w:sz w:val="22"/>
          <w:szCs w:val="22"/>
        </w:rPr>
        <w:t xml:space="preserve">Black </w:t>
      </w:r>
      <w:r w:rsidRPr="005A3125">
        <w:rPr>
          <w:rFonts w:asciiTheme="minorBidi" w:hAnsiTheme="minorBidi" w:cstheme="minorBidi"/>
          <w:sz w:val="22"/>
          <w:szCs w:val="22"/>
        </w:rPr>
        <w:t>African</w:t>
      </w:r>
      <w:r w:rsidR="0038261C" w:rsidRPr="005A3125">
        <w:rPr>
          <w:rFonts w:asciiTheme="minorBidi" w:hAnsiTheme="minorBidi" w:cstheme="minorBidi"/>
          <w:sz w:val="22"/>
          <w:szCs w:val="22"/>
        </w:rPr>
        <w:t xml:space="preserve"> and Mixed African </w:t>
      </w:r>
      <w:r w:rsidRPr="005A3125">
        <w:rPr>
          <w:rFonts w:asciiTheme="minorBidi" w:hAnsiTheme="minorBidi" w:cstheme="minorBidi"/>
          <w:sz w:val="22"/>
          <w:szCs w:val="22"/>
        </w:rPr>
        <w:t>communities are disproportionately affected by low household income, overcrowded housing, unemployment, neighbourhood deprivation, and financial insecurity (ONS, 2022; Marmot et al., 2020). These conditions contribute to chronic stress exposure, which in turn increases vulnerability to anxiety and depression.</w:t>
      </w:r>
    </w:p>
    <w:p w14:paraId="63F6FF9D" w14:textId="169F2F43" w:rsidR="00C359F9" w:rsidRPr="005A3125" w:rsidRDefault="00C359F9" w:rsidP="002A6F75">
      <w:pPr>
        <w:pStyle w:val="NormalWeb"/>
        <w:spacing w:line="360" w:lineRule="auto"/>
        <w:jc w:val="both"/>
        <w:rPr>
          <w:rFonts w:asciiTheme="minorBidi" w:hAnsiTheme="minorBidi" w:cstheme="minorBidi"/>
          <w:sz w:val="22"/>
          <w:szCs w:val="22"/>
        </w:rPr>
      </w:pPr>
      <w:r w:rsidRPr="005A3125">
        <w:rPr>
          <w:rFonts w:asciiTheme="minorBidi" w:hAnsiTheme="minorBidi" w:cstheme="minorBidi"/>
          <w:sz w:val="22"/>
          <w:szCs w:val="22"/>
        </w:rPr>
        <w:t>Pickett and Wilkinson (2015) further argue that inequality itself, not only poverty, is a key driver of poor mental health outcomes. Societies with greater income inequality tend to experience higher levels of psychosocial stress, reduced social cohesion, and poorer population mental health outcomes.</w:t>
      </w:r>
    </w:p>
    <w:p w14:paraId="7343FD99" w14:textId="301A813A" w:rsidR="00E245EC" w:rsidRPr="005A3125" w:rsidRDefault="00E245EC" w:rsidP="00E245EC">
      <w:pPr>
        <w:pStyle w:val="Heading1"/>
        <w:spacing w:line="360" w:lineRule="auto"/>
        <w:ind w:left="12" w:right="3"/>
        <w:jc w:val="left"/>
        <w:rPr>
          <w:rFonts w:asciiTheme="minorBidi" w:hAnsiTheme="minorBidi" w:cstheme="minorBidi"/>
          <w:sz w:val="22"/>
        </w:rPr>
      </w:pPr>
      <w:bookmarkStart w:id="9" w:name="_Toc232456037"/>
      <w:r w:rsidRPr="005A3125">
        <w:rPr>
          <w:rFonts w:asciiTheme="minorBidi" w:hAnsiTheme="minorBidi" w:cstheme="minorBidi"/>
          <w:sz w:val="22"/>
        </w:rPr>
        <w:t>2.7 Educational Inequalities and School Exclusion</w:t>
      </w:r>
      <w:bookmarkEnd w:id="9"/>
    </w:p>
    <w:p w14:paraId="4B187AA5" w14:textId="04E46C0D" w:rsidR="00C359F9" w:rsidRPr="005A3125" w:rsidRDefault="00C359F9" w:rsidP="00C359F9">
      <w:pPr>
        <w:pStyle w:val="NormalWeb"/>
        <w:spacing w:line="360" w:lineRule="auto"/>
        <w:jc w:val="both"/>
        <w:rPr>
          <w:rFonts w:asciiTheme="minorBidi" w:hAnsiTheme="minorBidi" w:cstheme="minorBidi"/>
          <w:sz w:val="22"/>
          <w:szCs w:val="22"/>
        </w:rPr>
      </w:pPr>
      <w:r w:rsidRPr="005A3125">
        <w:rPr>
          <w:rFonts w:asciiTheme="minorBidi" w:hAnsiTheme="minorBidi" w:cstheme="minorBidi"/>
          <w:sz w:val="22"/>
          <w:szCs w:val="22"/>
        </w:rPr>
        <w:t>Educational environments play a central role in shaping adolescent mental health, social development, and long-term wellbeing (Bonell et al., 2014). Schools are not only institutions of learning but also key social environments where identity formation, peer relationships, and self-esteem development occur.</w:t>
      </w:r>
    </w:p>
    <w:p w14:paraId="17E1D2DE" w14:textId="0F101A88" w:rsidR="00C359F9" w:rsidRPr="005A3125" w:rsidRDefault="00C359F9" w:rsidP="00C359F9">
      <w:pPr>
        <w:pStyle w:val="NormalWeb"/>
        <w:spacing w:line="360" w:lineRule="auto"/>
        <w:jc w:val="both"/>
        <w:rPr>
          <w:rFonts w:asciiTheme="minorBidi" w:hAnsiTheme="minorBidi" w:cstheme="minorBidi"/>
          <w:sz w:val="22"/>
          <w:szCs w:val="22"/>
        </w:rPr>
      </w:pPr>
      <w:r w:rsidRPr="005A3125">
        <w:rPr>
          <w:rFonts w:asciiTheme="minorBidi" w:hAnsiTheme="minorBidi" w:cstheme="minorBidi"/>
          <w:sz w:val="22"/>
          <w:szCs w:val="22"/>
        </w:rPr>
        <w:t>However, evidence consistently demonstrates that Black youth in the United Kingdom experience significant educational inequalities. Department for Education data shows that Black Caribbean pupils experience disproportionately high exclusion rates compared with White British pupils, while African-heritage students frequently report experiences of discrimination and stereotyping within educational settings (Department for Education, 2023).</w:t>
      </w:r>
    </w:p>
    <w:p w14:paraId="7705F39A" w14:textId="2EAE7F7E" w:rsidR="00C359F9" w:rsidRPr="005A3125" w:rsidRDefault="00C359F9" w:rsidP="00C359F9">
      <w:pPr>
        <w:pStyle w:val="NormalWeb"/>
        <w:spacing w:line="360" w:lineRule="auto"/>
        <w:jc w:val="both"/>
        <w:rPr>
          <w:rFonts w:asciiTheme="minorBidi" w:hAnsiTheme="minorBidi" w:cstheme="minorBidi"/>
          <w:sz w:val="22"/>
          <w:szCs w:val="22"/>
        </w:rPr>
      </w:pPr>
      <w:r w:rsidRPr="005A3125">
        <w:rPr>
          <w:rFonts w:asciiTheme="minorBidi" w:hAnsiTheme="minorBidi" w:cstheme="minorBidi"/>
          <w:sz w:val="22"/>
          <w:szCs w:val="22"/>
        </w:rPr>
        <w:lastRenderedPageBreak/>
        <w:t>School exclusion has been linked to several negative outcomes, including social isolation, reduced educational attainment, emotional distress, low self-esteem, and increased vulnerability to mental health disorders. These outcomes are particularly concerning during adolescence, a critical period for psychological development and identity formation.</w:t>
      </w:r>
    </w:p>
    <w:p w14:paraId="3CD6211B" w14:textId="77777777" w:rsidR="00C359F9" w:rsidRPr="005A3125" w:rsidRDefault="00C359F9" w:rsidP="00C359F9">
      <w:pPr>
        <w:pStyle w:val="NormalWeb"/>
        <w:spacing w:line="360" w:lineRule="auto"/>
        <w:jc w:val="both"/>
        <w:rPr>
          <w:rFonts w:asciiTheme="minorBidi" w:hAnsiTheme="minorBidi" w:cstheme="minorBidi"/>
          <w:sz w:val="22"/>
          <w:szCs w:val="22"/>
        </w:rPr>
      </w:pPr>
      <w:r w:rsidRPr="005A3125">
        <w:rPr>
          <w:rFonts w:asciiTheme="minorBidi" w:hAnsiTheme="minorBidi" w:cstheme="minorBidi"/>
          <w:sz w:val="22"/>
          <w:szCs w:val="22"/>
        </w:rPr>
        <w:t xml:space="preserve">David Gillborn (2008) argues that institutional racism within educational systems contributes significantly to unequal outcomes for Black students. This includes systemic biases in disciplinary practices, curriculum representation, and teacher expectations. </w:t>
      </w:r>
    </w:p>
    <w:p w14:paraId="751638B2" w14:textId="5BD2EE90" w:rsidR="00C359F9" w:rsidRPr="005A3125" w:rsidRDefault="00C359F9" w:rsidP="00C359F9">
      <w:pPr>
        <w:pStyle w:val="NormalWeb"/>
        <w:spacing w:line="360" w:lineRule="auto"/>
        <w:jc w:val="both"/>
        <w:rPr>
          <w:rFonts w:asciiTheme="minorBidi" w:hAnsiTheme="minorBidi" w:cstheme="minorBidi"/>
          <w:sz w:val="22"/>
          <w:szCs w:val="22"/>
        </w:rPr>
      </w:pPr>
      <w:r w:rsidRPr="005A3125">
        <w:rPr>
          <w:rFonts w:asciiTheme="minorBidi" w:hAnsiTheme="minorBidi" w:cstheme="minorBidi"/>
          <w:sz w:val="22"/>
          <w:szCs w:val="22"/>
        </w:rPr>
        <w:t>In addition, research suggests that Black African and Mixed African youth may experience academic pressure to overperform as a means of countering negative stereotypes. While this may function as a coping strategy, it can also contribute to increased anxiety, burnout, and emotional stress (Arday, 2018). This reflects the complex interaction between social expectations and mental health outcomes.</w:t>
      </w:r>
    </w:p>
    <w:p w14:paraId="5D4FD746" w14:textId="6B9D2BED" w:rsidR="00C359F9" w:rsidRPr="005A3125" w:rsidRDefault="00C359F9" w:rsidP="002A6F75">
      <w:pPr>
        <w:pStyle w:val="NormalWeb"/>
        <w:spacing w:line="360" w:lineRule="auto"/>
        <w:jc w:val="both"/>
        <w:rPr>
          <w:rFonts w:asciiTheme="minorBidi" w:hAnsiTheme="minorBidi" w:cstheme="minorBidi"/>
          <w:sz w:val="22"/>
          <w:szCs w:val="22"/>
        </w:rPr>
      </w:pPr>
      <w:r w:rsidRPr="005A3125">
        <w:rPr>
          <w:rFonts w:asciiTheme="minorBidi" w:hAnsiTheme="minorBidi" w:cstheme="minorBidi"/>
          <w:sz w:val="22"/>
          <w:szCs w:val="22"/>
        </w:rPr>
        <w:t>Overall, educational inequality functions as both a structural and psychological determinant of mental health, shaping both opportunities and emotional wellbeing during a critical developmental stage.</w:t>
      </w:r>
    </w:p>
    <w:p w14:paraId="1AAF9318" w14:textId="38E8D39F" w:rsidR="00E245EC" w:rsidRPr="005A3125" w:rsidRDefault="00E245EC" w:rsidP="00E245EC">
      <w:pPr>
        <w:pStyle w:val="Heading1"/>
        <w:spacing w:line="360" w:lineRule="auto"/>
        <w:ind w:left="12" w:right="3"/>
        <w:jc w:val="left"/>
        <w:rPr>
          <w:rFonts w:asciiTheme="minorBidi" w:hAnsiTheme="minorBidi" w:cstheme="minorBidi"/>
          <w:sz w:val="22"/>
        </w:rPr>
      </w:pPr>
      <w:bookmarkStart w:id="10" w:name="_Toc232456038"/>
      <w:r w:rsidRPr="005A3125">
        <w:rPr>
          <w:rFonts w:asciiTheme="minorBidi" w:hAnsiTheme="minorBidi" w:cstheme="minorBidi"/>
          <w:sz w:val="22"/>
        </w:rPr>
        <w:t>2.8 Identity Conflict and Mixed African Youth Experiences</w:t>
      </w:r>
      <w:bookmarkEnd w:id="10"/>
    </w:p>
    <w:p w14:paraId="128BBEE9" w14:textId="424F58E8" w:rsidR="00C359F9" w:rsidRPr="005A3125" w:rsidRDefault="00C359F9" w:rsidP="00C359F9">
      <w:pPr>
        <w:pStyle w:val="NormalWeb"/>
        <w:spacing w:line="360" w:lineRule="auto"/>
        <w:jc w:val="both"/>
        <w:rPr>
          <w:rFonts w:asciiTheme="minorBidi" w:hAnsiTheme="minorBidi" w:cstheme="minorBidi"/>
          <w:sz w:val="22"/>
          <w:szCs w:val="22"/>
        </w:rPr>
      </w:pPr>
      <w:r w:rsidRPr="005A3125">
        <w:rPr>
          <w:rFonts w:asciiTheme="minorBidi" w:hAnsiTheme="minorBidi" w:cstheme="minorBidi"/>
          <w:sz w:val="22"/>
          <w:szCs w:val="22"/>
        </w:rPr>
        <w:t>Identity formation is a central developmental task during adolescence and early adulthood (Schwartz et al., 2013). This process involves the development of a coherent sense of self, including cultural, social, and racial identity. However, for Mixed African youth, this process may be complicated by external perceptions, social categorisation, and experiences of exclusion.</w:t>
      </w:r>
    </w:p>
    <w:p w14:paraId="0DA43ED6" w14:textId="0B044485" w:rsidR="00C359F9" w:rsidRPr="005A3125" w:rsidRDefault="00C359F9" w:rsidP="00C359F9">
      <w:pPr>
        <w:pStyle w:val="NormalWeb"/>
        <w:spacing w:line="360" w:lineRule="auto"/>
        <w:jc w:val="both"/>
        <w:rPr>
          <w:rFonts w:asciiTheme="minorBidi" w:hAnsiTheme="minorBidi" w:cstheme="minorBidi"/>
          <w:sz w:val="22"/>
          <w:szCs w:val="22"/>
        </w:rPr>
      </w:pPr>
      <w:r w:rsidRPr="005A3125">
        <w:rPr>
          <w:rFonts w:asciiTheme="minorBidi" w:hAnsiTheme="minorBidi" w:cstheme="minorBidi"/>
          <w:sz w:val="22"/>
          <w:szCs w:val="22"/>
        </w:rPr>
        <w:t>Research indicates that Mixed African youth often experience identity-related stress associated with navigating multiple cultural identities simultaneously. This may include identity ambiguity, reduced sense of belonging, social exclusion, racial invalidation, and pressure to conform to specific identity categories.</w:t>
      </w:r>
    </w:p>
    <w:p w14:paraId="5B5F7D59" w14:textId="4BC1D28D" w:rsidR="00C359F9" w:rsidRPr="005A3125" w:rsidRDefault="00C359F9" w:rsidP="00C359F9">
      <w:pPr>
        <w:pStyle w:val="NormalWeb"/>
        <w:spacing w:line="360" w:lineRule="auto"/>
        <w:jc w:val="both"/>
        <w:rPr>
          <w:rFonts w:asciiTheme="minorBidi" w:hAnsiTheme="minorBidi" w:cstheme="minorBidi"/>
          <w:sz w:val="22"/>
          <w:szCs w:val="22"/>
        </w:rPr>
      </w:pPr>
      <w:r w:rsidRPr="005A3125">
        <w:rPr>
          <w:rFonts w:asciiTheme="minorBidi" w:hAnsiTheme="minorBidi" w:cstheme="minorBidi"/>
          <w:sz w:val="22"/>
          <w:szCs w:val="22"/>
        </w:rPr>
        <w:t>Common experiences reported in the literature include feeling insufficiently accepted within White British spaces, excluded from Black cultural communities, and misunderstood in relation to racial identity. These experiences can create emotional tension and uncertainty regarding belonging and self-definition.</w:t>
      </w:r>
    </w:p>
    <w:p w14:paraId="58E1A8AB" w14:textId="267ED00A" w:rsidR="00C359F9" w:rsidRPr="005A3125" w:rsidRDefault="00C359F9" w:rsidP="00C359F9">
      <w:pPr>
        <w:pStyle w:val="NormalWeb"/>
        <w:spacing w:line="360" w:lineRule="auto"/>
        <w:jc w:val="both"/>
        <w:rPr>
          <w:rFonts w:asciiTheme="minorBidi" w:hAnsiTheme="minorBidi" w:cstheme="minorBidi"/>
          <w:sz w:val="22"/>
          <w:szCs w:val="22"/>
        </w:rPr>
      </w:pPr>
      <w:r w:rsidRPr="005A3125">
        <w:rPr>
          <w:rFonts w:asciiTheme="minorBidi" w:hAnsiTheme="minorBidi" w:cstheme="minorBidi"/>
          <w:sz w:val="22"/>
          <w:szCs w:val="22"/>
        </w:rPr>
        <w:lastRenderedPageBreak/>
        <w:t>Miri Song (2017) highlights that mixed-race individuals frequently encounter complex identity negotiations within British society, where rigid racial categorisations may not reflect lived experiences. This can lead to feelings of marginalisation and social invisibility.</w:t>
      </w:r>
    </w:p>
    <w:p w14:paraId="6C83DBED" w14:textId="5CA69B92" w:rsidR="00C359F9" w:rsidRPr="005A3125" w:rsidRDefault="00C359F9" w:rsidP="00C359F9">
      <w:pPr>
        <w:pStyle w:val="NormalWeb"/>
        <w:spacing w:line="360" w:lineRule="auto"/>
        <w:jc w:val="both"/>
        <w:rPr>
          <w:rFonts w:asciiTheme="minorBidi" w:hAnsiTheme="minorBidi" w:cstheme="minorBidi"/>
          <w:sz w:val="22"/>
          <w:szCs w:val="22"/>
        </w:rPr>
      </w:pPr>
      <w:r w:rsidRPr="005A3125">
        <w:rPr>
          <w:rFonts w:asciiTheme="minorBidi" w:hAnsiTheme="minorBidi" w:cstheme="minorBidi"/>
          <w:sz w:val="22"/>
          <w:szCs w:val="22"/>
        </w:rPr>
        <w:t>These identity-related challenges may contribute to a range of psychological outcomes, including anxiety, emotional insecurity, low self-esteem, and social withdrawal. Importantly, these experiences are shaped not only by individual identity processes but also by broader societal constructions of race and belonging.</w:t>
      </w:r>
    </w:p>
    <w:p w14:paraId="19C6B8CC" w14:textId="1999145A" w:rsidR="00C359F9" w:rsidRPr="005A3125" w:rsidRDefault="00C359F9" w:rsidP="00C359F9">
      <w:pPr>
        <w:pStyle w:val="NormalWeb"/>
        <w:spacing w:line="360" w:lineRule="auto"/>
        <w:jc w:val="both"/>
        <w:rPr>
          <w:rFonts w:asciiTheme="minorBidi" w:hAnsiTheme="minorBidi" w:cstheme="minorBidi"/>
          <w:sz w:val="22"/>
          <w:szCs w:val="22"/>
        </w:rPr>
      </w:pPr>
      <w:r w:rsidRPr="005A3125">
        <w:rPr>
          <w:rFonts w:asciiTheme="minorBidi" w:hAnsiTheme="minorBidi" w:cstheme="minorBidi"/>
          <w:sz w:val="22"/>
          <w:szCs w:val="22"/>
        </w:rPr>
        <w:t>However, the literature specifically focusing on Mixed African youth remains extremely limited in the UK context. Many studies group mixed-race populations together without distinguishing African heritage experiences, resulting in a significant gap in culturally specific understanding. This limitation reduces the ability to develop targeted interventions and culturally responsive mental health support.</w:t>
      </w:r>
    </w:p>
    <w:p w14:paraId="004D3FA5" w14:textId="073D9992" w:rsidR="003F304D" w:rsidRPr="005A3125" w:rsidRDefault="00E245EC" w:rsidP="00E245EC">
      <w:pPr>
        <w:pStyle w:val="Heading1"/>
        <w:spacing w:line="360" w:lineRule="auto"/>
        <w:ind w:left="12" w:right="3"/>
        <w:jc w:val="left"/>
        <w:rPr>
          <w:rFonts w:asciiTheme="minorBidi" w:hAnsiTheme="minorBidi" w:cstheme="minorBidi"/>
          <w:b w:val="0"/>
          <w:sz w:val="22"/>
        </w:rPr>
      </w:pPr>
      <w:bookmarkStart w:id="11" w:name="_Toc232456039"/>
      <w:r w:rsidRPr="005A3125">
        <w:rPr>
          <w:rFonts w:asciiTheme="minorBidi" w:hAnsiTheme="minorBidi" w:cstheme="minorBidi"/>
          <w:sz w:val="22"/>
        </w:rPr>
        <w:t>2.9 Minority Stress Theory</w:t>
      </w:r>
      <w:bookmarkEnd w:id="11"/>
    </w:p>
    <w:p w14:paraId="5920F541" w14:textId="08E79DD9" w:rsidR="00C359F9" w:rsidRPr="005A3125" w:rsidRDefault="00C359F9" w:rsidP="00C359F9">
      <w:pPr>
        <w:pStyle w:val="NormalWeb"/>
        <w:spacing w:line="360" w:lineRule="auto"/>
        <w:jc w:val="both"/>
        <w:rPr>
          <w:rFonts w:asciiTheme="minorBidi" w:hAnsiTheme="minorBidi" w:cstheme="minorBidi"/>
          <w:sz w:val="22"/>
          <w:szCs w:val="22"/>
        </w:rPr>
      </w:pPr>
      <w:r w:rsidRPr="005A3125">
        <w:rPr>
          <w:rFonts w:asciiTheme="minorBidi" w:hAnsiTheme="minorBidi" w:cstheme="minorBidi"/>
          <w:sz w:val="22"/>
          <w:szCs w:val="22"/>
        </w:rPr>
        <w:t>Minority Stress Theory provides an important framework for understanding how chronic exposure to social disadvantage affects mental health outcomes among marginalised populations. Originally developed in relation to LGBTQ+ populations, the theory has increasingly been applied within racial and ethnic health research to explain mental health inequalities.</w:t>
      </w:r>
    </w:p>
    <w:p w14:paraId="66C67416" w14:textId="100F34BF" w:rsidR="00C359F9" w:rsidRPr="005A3125" w:rsidRDefault="00C359F9" w:rsidP="00C359F9">
      <w:pPr>
        <w:pStyle w:val="NormalWeb"/>
        <w:spacing w:line="360" w:lineRule="auto"/>
        <w:jc w:val="both"/>
        <w:rPr>
          <w:rFonts w:asciiTheme="minorBidi" w:hAnsiTheme="minorBidi" w:cstheme="minorBidi"/>
          <w:sz w:val="22"/>
          <w:szCs w:val="22"/>
        </w:rPr>
      </w:pPr>
      <w:r w:rsidRPr="005A3125">
        <w:rPr>
          <w:rFonts w:asciiTheme="minorBidi" w:hAnsiTheme="minorBidi" w:cstheme="minorBidi"/>
          <w:sz w:val="22"/>
          <w:szCs w:val="22"/>
        </w:rPr>
        <w:t>According to Meyer (2003), minority stress arises from sustained exposure to prejudice, stigma, discrimination, and social exclusion. These stressors are not isolated events but ongoing social conditions that accumulate over time, producing chronic psychological strain.</w:t>
      </w:r>
    </w:p>
    <w:p w14:paraId="1BF3C8E4" w14:textId="3350F1B8" w:rsidR="00C359F9" w:rsidRPr="005A3125" w:rsidRDefault="00C359F9" w:rsidP="00C359F9">
      <w:pPr>
        <w:pStyle w:val="NormalWeb"/>
        <w:spacing w:line="360" w:lineRule="auto"/>
        <w:jc w:val="both"/>
        <w:rPr>
          <w:rFonts w:asciiTheme="minorBidi" w:hAnsiTheme="minorBidi" w:cstheme="minorBidi"/>
          <w:sz w:val="22"/>
          <w:szCs w:val="22"/>
        </w:rPr>
      </w:pPr>
      <w:r w:rsidRPr="005A3125">
        <w:rPr>
          <w:rFonts w:asciiTheme="minorBidi" w:hAnsiTheme="minorBidi" w:cstheme="minorBidi"/>
          <w:sz w:val="22"/>
          <w:szCs w:val="22"/>
        </w:rPr>
        <w:t>Within the context of Black African and Mixed African youth, Minority Stress Theory is particularly relevant because racism functions as a continuous stressor embedded within everyday life experiences. This includes direct discrimination, microaggressions, social exclusion, and institutional inequalities.</w:t>
      </w:r>
    </w:p>
    <w:p w14:paraId="180E8E63" w14:textId="02E5384B" w:rsidR="00C359F9" w:rsidRPr="005A3125" w:rsidRDefault="00C359F9" w:rsidP="00C359F9">
      <w:pPr>
        <w:pStyle w:val="NormalWeb"/>
        <w:spacing w:line="360" w:lineRule="auto"/>
        <w:jc w:val="both"/>
        <w:rPr>
          <w:rFonts w:asciiTheme="minorBidi" w:hAnsiTheme="minorBidi" w:cstheme="minorBidi"/>
          <w:sz w:val="22"/>
          <w:szCs w:val="22"/>
        </w:rPr>
      </w:pPr>
      <w:r w:rsidRPr="005A3125">
        <w:rPr>
          <w:rFonts w:asciiTheme="minorBidi" w:hAnsiTheme="minorBidi" w:cstheme="minorBidi"/>
          <w:sz w:val="22"/>
          <w:szCs w:val="22"/>
        </w:rPr>
        <w:t>The theory suggests that such repeated exposure contributes to heightened vigilance, emotional exhaustion, anxiety, and depressive symptoms. It also helps explain why mental health inequalities persist even when socioeconomic factors are taken into account, as psychological stress is produced not only by material disadvantage but also by social positioning and lived experiences of marginalisation.</w:t>
      </w:r>
    </w:p>
    <w:p w14:paraId="4AF00484" w14:textId="017921D8" w:rsidR="00C359F9" w:rsidRPr="005A3125" w:rsidRDefault="00C359F9" w:rsidP="00C359F9">
      <w:pPr>
        <w:pStyle w:val="NormalWeb"/>
        <w:spacing w:line="360" w:lineRule="auto"/>
        <w:jc w:val="both"/>
        <w:rPr>
          <w:rFonts w:asciiTheme="minorBidi" w:hAnsiTheme="minorBidi" w:cstheme="minorBidi"/>
          <w:sz w:val="22"/>
          <w:szCs w:val="22"/>
        </w:rPr>
      </w:pPr>
      <w:r w:rsidRPr="005A3125">
        <w:rPr>
          <w:rFonts w:asciiTheme="minorBidi" w:hAnsiTheme="minorBidi" w:cstheme="minorBidi"/>
          <w:sz w:val="22"/>
          <w:szCs w:val="22"/>
        </w:rPr>
        <w:lastRenderedPageBreak/>
        <w:t>Overall, Minority Stress Theory provides a useful lens for understanding how structural and interpersonal forms of racism translate into long-term mental health consequences.</w:t>
      </w:r>
    </w:p>
    <w:p w14:paraId="1271B367" w14:textId="293659D2" w:rsidR="00E245EC" w:rsidRPr="005A3125" w:rsidRDefault="00E245EC" w:rsidP="00E245EC">
      <w:pPr>
        <w:pStyle w:val="Heading1"/>
        <w:spacing w:line="360" w:lineRule="auto"/>
        <w:ind w:left="12" w:right="3"/>
        <w:jc w:val="left"/>
        <w:rPr>
          <w:rFonts w:asciiTheme="minorBidi" w:hAnsiTheme="minorBidi" w:cstheme="minorBidi"/>
          <w:b w:val="0"/>
          <w:sz w:val="22"/>
        </w:rPr>
      </w:pPr>
      <w:bookmarkStart w:id="12" w:name="_Toc232456040"/>
      <w:r w:rsidRPr="005A3125">
        <w:rPr>
          <w:rFonts w:asciiTheme="minorBidi" w:hAnsiTheme="minorBidi" w:cstheme="minorBidi"/>
          <w:sz w:val="22"/>
        </w:rPr>
        <w:t>2.10 Mental Health Stigma Within African-Heritage Communities</w:t>
      </w:r>
      <w:bookmarkEnd w:id="12"/>
    </w:p>
    <w:p w14:paraId="78593A2F" w14:textId="0F5E60DB" w:rsidR="00C359F9" w:rsidRPr="005A3125" w:rsidRDefault="00C359F9" w:rsidP="00C359F9">
      <w:pPr>
        <w:pStyle w:val="NormalWeb"/>
        <w:spacing w:line="360" w:lineRule="auto"/>
        <w:jc w:val="both"/>
        <w:rPr>
          <w:rFonts w:asciiTheme="minorBidi" w:hAnsiTheme="minorBidi" w:cstheme="minorBidi"/>
          <w:sz w:val="22"/>
          <w:szCs w:val="22"/>
        </w:rPr>
      </w:pPr>
      <w:r w:rsidRPr="005A3125">
        <w:rPr>
          <w:rFonts w:asciiTheme="minorBidi" w:hAnsiTheme="minorBidi" w:cstheme="minorBidi"/>
          <w:sz w:val="22"/>
          <w:szCs w:val="22"/>
        </w:rPr>
        <w:t>Mental health stigma is consistently identified in the literature as a major barrier affecting help-seeking behaviours among Black African and Mixed African youth. Stigma influences whether individuals recognise mental health difficulties, disclose symptoms, and access formal support services.</w:t>
      </w:r>
    </w:p>
    <w:p w14:paraId="0FE4B2E7" w14:textId="1AE31D7E" w:rsidR="00C359F9" w:rsidRPr="005A3125" w:rsidRDefault="00C359F9" w:rsidP="00C359F9">
      <w:pPr>
        <w:pStyle w:val="NormalWeb"/>
        <w:spacing w:line="360" w:lineRule="auto"/>
        <w:jc w:val="both"/>
        <w:rPr>
          <w:rFonts w:asciiTheme="minorBidi" w:hAnsiTheme="minorBidi" w:cstheme="minorBidi"/>
          <w:sz w:val="22"/>
          <w:szCs w:val="22"/>
        </w:rPr>
      </w:pPr>
      <w:r w:rsidRPr="005A3125">
        <w:rPr>
          <w:rFonts w:asciiTheme="minorBidi" w:hAnsiTheme="minorBidi" w:cstheme="minorBidi"/>
          <w:sz w:val="22"/>
          <w:szCs w:val="22"/>
        </w:rPr>
        <w:t>Research suggests that mental health conditions within some African-heritage communities may be interpreted through alternative explanatory frameworks, including spiritual beliefs, religious interpretations, family honour considerations, or moral perspectives. While these frameworks may provide meaning and coping mechanisms, they can also contribute to reluctance in seeking professional support.</w:t>
      </w:r>
    </w:p>
    <w:p w14:paraId="242EE221" w14:textId="6CFC45D7" w:rsidR="00C359F9" w:rsidRPr="005A3125" w:rsidRDefault="00C359F9" w:rsidP="00C359F9">
      <w:pPr>
        <w:pStyle w:val="NormalWeb"/>
        <w:spacing w:line="360" w:lineRule="auto"/>
        <w:jc w:val="both"/>
        <w:rPr>
          <w:rFonts w:asciiTheme="minorBidi" w:hAnsiTheme="minorBidi" w:cstheme="minorBidi"/>
          <w:sz w:val="22"/>
          <w:szCs w:val="22"/>
        </w:rPr>
      </w:pPr>
      <w:r w:rsidRPr="005A3125">
        <w:rPr>
          <w:rFonts w:asciiTheme="minorBidi" w:hAnsiTheme="minorBidi" w:cstheme="minorBidi"/>
          <w:sz w:val="22"/>
          <w:szCs w:val="22"/>
        </w:rPr>
        <w:t>Fear of judgement, shame, and social exclusion may further discourage individuals from discussing mental health difficulties or engaging with mental healthcare services (Mantovani et al., 2017; Memon et al., 2016). This may delay early intervention and exacerbate symptom severity over time.</w:t>
      </w:r>
    </w:p>
    <w:p w14:paraId="34DF90AF" w14:textId="66023EDB" w:rsidR="00C359F9" w:rsidRPr="005A3125" w:rsidRDefault="00C359F9" w:rsidP="00C359F9">
      <w:pPr>
        <w:pStyle w:val="NormalWeb"/>
        <w:spacing w:line="360" w:lineRule="auto"/>
        <w:jc w:val="both"/>
        <w:rPr>
          <w:rFonts w:asciiTheme="minorBidi" w:hAnsiTheme="minorBidi" w:cstheme="minorBidi"/>
          <w:sz w:val="22"/>
          <w:szCs w:val="22"/>
        </w:rPr>
      </w:pPr>
      <w:r w:rsidRPr="005A3125">
        <w:rPr>
          <w:rFonts w:asciiTheme="minorBidi" w:hAnsiTheme="minorBidi" w:cstheme="minorBidi"/>
          <w:sz w:val="22"/>
          <w:szCs w:val="22"/>
        </w:rPr>
        <w:t>Memon et al. (2016) found that stigma is a significant barrier to accessing mental healthcare services among minority ethnic communities in the United Kingdom. This highlights the importance of culturally sensitive mental health education and awareness strategies.</w:t>
      </w:r>
    </w:p>
    <w:p w14:paraId="46350877" w14:textId="0F4F76FE" w:rsidR="00C359F9" w:rsidRPr="005A3125" w:rsidRDefault="00C359F9" w:rsidP="00C359F9">
      <w:pPr>
        <w:pStyle w:val="NormalWeb"/>
        <w:spacing w:line="360" w:lineRule="auto"/>
        <w:jc w:val="both"/>
        <w:rPr>
          <w:rFonts w:asciiTheme="minorBidi" w:hAnsiTheme="minorBidi" w:cstheme="minorBidi"/>
          <w:sz w:val="22"/>
          <w:szCs w:val="22"/>
        </w:rPr>
      </w:pPr>
      <w:r w:rsidRPr="005A3125">
        <w:rPr>
          <w:rFonts w:asciiTheme="minorBidi" w:hAnsiTheme="minorBidi" w:cstheme="minorBidi"/>
          <w:sz w:val="22"/>
          <w:szCs w:val="22"/>
        </w:rPr>
        <w:t>However, the literature also identifies protective cultural factors, including strong family support systems, religious involvement, spirituality, and community cohesion. These factors may promote resilience and emotional wellbeing in some contexts.</w:t>
      </w:r>
    </w:p>
    <w:p w14:paraId="4791019F" w14:textId="44087C84" w:rsidR="00425FED" w:rsidRPr="005A3125" w:rsidRDefault="00C359F9" w:rsidP="00C359F9">
      <w:pPr>
        <w:pStyle w:val="NormalWeb"/>
        <w:spacing w:line="360" w:lineRule="auto"/>
        <w:jc w:val="both"/>
        <w:rPr>
          <w:rFonts w:asciiTheme="minorBidi" w:hAnsiTheme="minorBidi" w:cstheme="minorBidi"/>
          <w:sz w:val="22"/>
          <w:szCs w:val="22"/>
        </w:rPr>
      </w:pPr>
      <w:r w:rsidRPr="005A3125">
        <w:rPr>
          <w:rFonts w:asciiTheme="minorBidi" w:hAnsiTheme="minorBidi" w:cstheme="minorBidi"/>
          <w:sz w:val="22"/>
          <w:szCs w:val="22"/>
        </w:rPr>
        <w:t>Therefore, culture operates as both a protective and potentially restrictive influence on mental health, depending on how beliefs and community norms shape responses to psychological distress (Mantovani et al., 2017).</w:t>
      </w:r>
    </w:p>
    <w:p w14:paraId="79ADB869" w14:textId="1B7C09B4" w:rsidR="00E245EC" w:rsidRPr="005A3125" w:rsidRDefault="00425FED" w:rsidP="00425FED">
      <w:pPr>
        <w:pStyle w:val="Heading1"/>
        <w:spacing w:line="360" w:lineRule="auto"/>
        <w:ind w:left="12" w:right="3"/>
        <w:jc w:val="left"/>
        <w:rPr>
          <w:rFonts w:asciiTheme="minorBidi" w:hAnsiTheme="minorBidi" w:cstheme="minorBidi"/>
          <w:b w:val="0"/>
          <w:sz w:val="22"/>
        </w:rPr>
      </w:pPr>
      <w:bookmarkStart w:id="13" w:name="_Toc232456041"/>
      <w:r w:rsidRPr="005A3125">
        <w:rPr>
          <w:rFonts w:asciiTheme="minorBidi" w:hAnsiTheme="minorBidi" w:cstheme="minorBidi"/>
          <w:sz w:val="22"/>
        </w:rPr>
        <w:t>2.11 Barriers Affecting Access to Mental Healthcare Services</w:t>
      </w:r>
      <w:bookmarkEnd w:id="13"/>
    </w:p>
    <w:p w14:paraId="3B6F596F" w14:textId="77777777" w:rsidR="00213DE7" w:rsidRPr="005A3125" w:rsidRDefault="00444336" w:rsidP="008153EB">
      <w:pPr>
        <w:pStyle w:val="NormalWeb"/>
        <w:spacing w:line="360" w:lineRule="auto"/>
        <w:rPr>
          <w:rFonts w:asciiTheme="minorBidi" w:hAnsiTheme="minorBidi" w:cstheme="minorBidi"/>
          <w:b/>
          <w:sz w:val="22"/>
          <w:szCs w:val="22"/>
        </w:rPr>
      </w:pPr>
      <w:r w:rsidRPr="005A3125">
        <w:rPr>
          <w:rFonts w:asciiTheme="minorBidi" w:hAnsiTheme="minorBidi" w:cstheme="minorBidi"/>
          <w:sz w:val="22"/>
          <w:szCs w:val="22"/>
        </w:rPr>
        <w:t>A substantial body of literature identifies persistent barriers affecting access to mental healthcare services among Black populations in the United Kingdom. These barriers operate at structural, institutional, and individual levels.</w:t>
      </w:r>
      <w:r w:rsidR="00213DE7" w:rsidRPr="005A3125">
        <w:rPr>
          <w:rFonts w:asciiTheme="minorBidi" w:hAnsiTheme="minorBidi" w:cstheme="minorBidi"/>
          <w:b/>
          <w:sz w:val="22"/>
          <w:szCs w:val="22"/>
        </w:rPr>
        <w:t xml:space="preserve"> </w:t>
      </w:r>
    </w:p>
    <w:p w14:paraId="087B10A5" w14:textId="77777777" w:rsidR="008153EB" w:rsidRPr="005A3125" w:rsidRDefault="003F304D" w:rsidP="008153EB">
      <w:pPr>
        <w:pStyle w:val="NormalWeb"/>
        <w:spacing w:line="360" w:lineRule="auto"/>
        <w:jc w:val="center"/>
        <w:rPr>
          <w:rFonts w:asciiTheme="minorBidi" w:hAnsiTheme="minorBidi" w:cstheme="minorBidi"/>
          <w:b/>
          <w:sz w:val="22"/>
          <w:szCs w:val="22"/>
        </w:rPr>
      </w:pPr>
      <w:r w:rsidRPr="005A3125">
        <w:rPr>
          <w:rFonts w:asciiTheme="minorBidi" w:hAnsiTheme="minorBidi" w:cstheme="minorBidi"/>
          <w:b/>
          <w:sz w:val="22"/>
          <w:szCs w:val="22"/>
        </w:rPr>
        <w:lastRenderedPageBreak/>
        <w:t>Figure 2.3</w:t>
      </w:r>
      <w:r w:rsidR="00425FED" w:rsidRPr="005A3125">
        <w:rPr>
          <w:rFonts w:asciiTheme="minorBidi" w:hAnsiTheme="minorBidi" w:cstheme="minorBidi"/>
          <w:b/>
          <w:sz w:val="22"/>
          <w:szCs w:val="22"/>
        </w:rPr>
        <w:t xml:space="preserve">: </w:t>
      </w:r>
      <w:r w:rsidR="009E75F1" w:rsidRPr="005A3125">
        <w:rPr>
          <w:rFonts w:asciiTheme="minorBidi" w:hAnsiTheme="minorBidi" w:cstheme="minorBidi"/>
          <w:b/>
          <w:sz w:val="22"/>
          <w:szCs w:val="22"/>
        </w:rPr>
        <w:t>Mental Healthcare Pathways Among Black Populations in England</w:t>
      </w:r>
      <w:r w:rsidR="009E75F1" w:rsidRPr="005A3125">
        <w:rPr>
          <w:rFonts w:asciiTheme="minorBidi" w:hAnsiTheme="minorBidi" w:cstheme="minorBidi"/>
          <w:noProof/>
          <w:sz w:val="22"/>
          <w:szCs w:val="22"/>
        </w:rPr>
        <w:drawing>
          <wp:inline distT="0" distB="0" distL="0" distR="0" wp14:anchorId="16AE8DEE" wp14:editId="647C1843">
            <wp:extent cx="5076825" cy="3103829"/>
            <wp:effectExtent l="0" t="0" r="0" b="1905"/>
            <wp:docPr id="11" name="Picture 11" descr="Mental Health 360 | Inequalities | The King's F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Mental Health 360 | Inequalities | The King's Fund"/>
                    <pic:cNvPicPr>
                      <a:picLocks noChangeAspect="1" noChangeArrowheads="1"/>
                    </pic:cNvPicPr>
                  </pic:nvPicPr>
                  <pic:blipFill rotWithShape="1">
                    <a:blip r:embed="rId18">
                      <a:extLst>
                        <a:ext uri="{28A0092B-C50C-407E-A947-70E740481C1C}">
                          <a14:useLocalDpi xmlns:a14="http://schemas.microsoft.com/office/drawing/2010/main" val="0"/>
                        </a:ext>
                      </a:extLst>
                    </a:blip>
                    <a:srcRect b="15289"/>
                    <a:stretch/>
                  </pic:blipFill>
                  <pic:spPr bwMode="auto">
                    <a:xfrm>
                      <a:off x="0" y="0"/>
                      <a:ext cx="5084468" cy="3108502"/>
                    </a:xfrm>
                    <a:prstGeom prst="rect">
                      <a:avLst/>
                    </a:prstGeom>
                    <a:noFill/>
                    <a:ln>
                      <a:noFill/>
                    </a:ln>
                    <a:extLst>
                      <a:ext uri="{53640926-AAD7-44D8-BBD7-CCE9431645EC}">
                        <a14:shadowObscured xmlns:a14="http://schemas.microsoft.com/office/drawing/2010/main"/>
                      </a:ext>
                    </a:extLst>
                  </pic:spPr>
                </pic:pic>
              </a:graphicData>
            </a:graphic>
          </wp:inline>
        </w:drawing>
      </w:r>
    </w:p>
    <w:p w14:paraId="6FA8D3BD" w14:textId="496C026E" w:rsidR="003F304D" w:rsidRPr="005A3125" w:rsidRDefault="003F304D" w:rsidP="00213DE7">
      <w:pPr>
        <w:pStyle w:val="NormalWeb"/>
        <w:spacing w:line="360" w:lineRule="auto"/>
        <w:jc w:val="center"/>
        <w:rPr>
          <w:rFonts w:asciiTheme="minorBidi" w:hAnsiTheme="minorBidi" w:cstheme="minorBidi"/>
          <w:b/>
          <w:sz w:val="22"/>
          <w:szCs w:val="22"/>
        </w:rPr>
      </w:pPr>
      <w:r w:rsidRPr="005A3125">
        <w:rPr>
          <w:rFonts w:asciiTheme="minorBidi" w:hAnsiTheme="minorBidi" w:cstheme="minorBidi"/>
          <w:b/>
          <w:i/>
          <w:sz w:val="22"/>
          <w:szCs w:val="22"/>
        </w:rPr>
        <w:t>Source: GOV.UK Ethnicity Facts and Figures – Mental Health Act Detentions</w:t>
      </w:r>
      <w:r w:rsidR="008153EB" w:rsidRPr="005A3125">
        <w:rPr>
          <w:rFonts w:asciiTheme="minorBidi" w:hAnsiTheme="minorBidi" w:cstheme="minorBidi"/>
          <w:b/>
          <w:i/>
          <w:sz w:val="22"/>
          <w:szCs w:val="22"/>
        </w:rPr>
        <w:t>(GOV.UK,2014)</w:t>
      </w:r>
    </w:p>
    <w:p w14:paraId="04F66B9C" w14:textId="5DC329C3" w:rsidR="00444336" w:rsidRPr="005A3125" w:rsidRDefault="00444336" w:rsidP="00444336">
      <w:pPr>
        <w:pStyle w:val="NormalWeb"/>
        <w:spacing w:line="360" w:lineRule="auto"/>
        <w:jc w:val="both"/>
        <w:rPr>
          <w:rFonts w:asciiTheme="minorBidi" w:hAnsiTheme="minorBidi" w:cstheme="minorBidi"/>
          <w:sz w:val="22"/>
          <w:szCs w:val="22"/>
        </w:rPr>
      </w:pPr>
      <w:r w:rsidRPr="005A3125">
        <w:rPr>
          <w:rFonts w:asciiTheme="minorBidi" w:hAnsiTheme="minorBidi" w:cstheme="minorBidi"/>
          <w:sz w:val="22"/>
          <w:szCs w:val="22"/>
        </w:rPr>
        <w:t>Figure 2.3 highlights significant racial disparities in mental healthcare pathways, showing that Black populations are disproportionately more likely to experience compulsory detention under the Mental Health Act compared with White populations (NHS Digital, 2023; GOV.UK Ethnicity Facts and Figures, 2024). This pattern raises important concerns regarding equity, early intervention, and trust in mental health services.</w:t>
      </w:r>
    </w:p>
    <w:p w14:paraId="7BA9F2F0" w14:textId="1553721E" w:rsidR="00444336" w:rsidRPr="005A3125" w:rsidRDefault="00444336" w:rsidP="00444336">
      <w:pPr>
        <w:pStyle w:val="NormalWeb"/>
        <w:spacing w:line="360" w:lineRule="auto"/>
        <w:jc w:val="both"/>
        <w:rPr>
          <w:rFonts w:asciiTheme="minorBidi" w:hAnsiTheme="minorBidi" w:cstheme="minorBidi"/>
          <w:sz w:val="22"/>
          <w:szCs w:val="22"/>
        </w:rPr>
      </w:pPr>
      <w:r w:rsidRPr="005A3125">
        <w:rPr>
          <w:rFonts w:asciiTheme="minorBidi" w:hAnsiTheme="minorBidi" w:cstheme="minorBidi"/>
          <w:sz w:val="22"/>
          <w:szCs w:val="22"/>
        </w:rPr>
        <w:t>The evidence suggests several systemic barriers, including institutional racism, unequal access to early intervention services, mistrust in healthcare systems, and reliance on coercive pathways into care. These factors contribute to delayed help-seeking and reduced engagement with mental health services.</w:t>
      </w:r>
    </w:p>
    <w:p w14:paraId="5B6CB052" w14:textId="6906FB22" w:rsidR="00444336" w:rsidRPr="005A3125" w:rsidRDefault="00444336" w:rsidP="00444336">
      <w:pPr>
        <w:pStyle w:val="NormalWeb"/>
        <w:spacing w:line="360" w:lineRule="auto"/>
        <w:jc w:val="both"/>
        <w:rPr>
          <w:rFonts w:asciiTheme="minorBidi" w:hAnsiTheme="minorBidi" w:cstheme="minorBidi"/>
          <w:sz w:val="22"/>
          <w:szCs w:val="22"/>
        </w:rPr>
      </w:pPr>
      <w:r w:rsidRPr="005A3125">
        <w:rPr>
          <w:rFonts w:asciiTheme="minorBidi" w:hAnsiTheme="minorBidi" w:cstheme="minorBidi"/>
          <w:sz w:val="22"/>
          <w:szCs w:val="22"/>
        </w:rPr>
        <w:t>Additional barriers identified in the literature include long waiting times within NHS services, lack of culturally competent practitioners, underrepresentation of Black mental health professionals, financial constraints, and fear of discrimination within healthcare settings (</w:t>
      </w:r>
      <w:proofErr w:type="spellStart"/>
      <w:r w:rsidRPr="005A3125">
        <w:rPr>
          <w:rFonts w:asciiTheme="minorBidi" w:hAnsiTheme="minorBidi" w:cstheme="minorBidi"/>
          <w:sz w:val="22"/>
          <w:szCs w:val="22"/>
        </w:rPr>
        <w:t>Bhui</w:t>
      </w:r>
      <w:proofErr w:type="spellEnd"/>
      <w:r w:rsidRPr="005A3125">
        <w:rPr>
          <w:rFonts w:asciiTheme="minorBidi" w:hAnsiTheme="minorBidi" w:cstheme="minorBidi"/>
          <w:sz w:val="22"/>
          <w:szCs w:val="22"/>
        </w:rPr>
        <w:t xml:space="preserve"> et al., 2018).</w:t>
      </w:r>
    </w:p>
    <w:p w14:paraId="5B6FEFAB" w14:textId="4C658DE3" w:rsidR="00444336" w:rsidRPr="005A3125" w:rsidRDefault="00444336" w:rsidP="002A6F75">
      <w:pPr>
        <w:pStyle w:val="NormalWeb"/>
        <w:spacing w:line="360" w:lineRule="auto"/>
        <w:jc w:val="both"/>
        <w:rPr>
          <w:rFonts w:asciiTheme="minorBidi" w:hAnsiTheme="minorBidi" w:cstheme="minorBidi"/>
          <w:sz w:val="22"/>
          <w:szCs w:val="22"/>
        </w:rPr>
      </w:pPr>
      <w:r w:rsidRPr="005A3125">
        <w:rPr>
          <w:rFonts w:asciiTheme="minorBidi" w:hAnsiTheme="minorBidi" w:cstheme="minorBidi"/>
          <w:sz w:val="22"/>
          <w:szCs w:val="22"/>
        </w:rPr>
        <w:t>Collectively, these barriers reduce accessibility and contribute to unequal mental health outcomes amo</w:t>
      </w:r>
      <w:r w:rsidR="00425FED" w:rsidRPr="005A3125">
        <w:rPr>
          <w:rFonts w:asciiTheme="minorBidi" w:hAnsiTheme="minorBidi" w:cstheme="minorBidi"/>
          <w:sz w:val="22"/>
          <w:szCs w:val="22"/>
        </w:rPr>
        <w:t>ng African-heritage populations and m</w:t>
      </w:r>
      <w:r w:rsidRPr="005A3125">
        <w:rPr>
          <w:rFonts w:asciiTheme="minorBidi" w:hAnsiTheme="minorBidi" w:cstheme="minorBidi"/>
          <w:sz w:val="22"/>
          <w:szCs w:val="22"/>
        </w:rPr>
        <w:t>ay</w:t>
      </w:r>
      <w:r w:rsidR="003F304D" w:rsidRPr="005A3125">
        <w:rPr>
          <w:rFonts w:asciiTheme="minorBidi" w:hAnsiTheme="minorBidi" w:cstheme="minorBidi"/>
          <w:sz w:val="22"/>
          <w:szCs w:val="22"/>
        </w:rPr>
        <w:t xml:space="preserve"> discourage engagement with formal mental healthcare services (</w:t>
      </w:r>
      <w:proofErr w:type="spellStart"/>
      <w:r w:rsidR="003F304D" w:rsidRPr="005A3125">
        <w:rPr>
          <w:rFonts w:asciiTheme="minorBidi" w:hAnsiTheme="minorBidi" w:cstheme="minorBidi"/>
          <w:sz w:val="22"/>
          <w:szCs w:val="22"/>
        </w:rPr>
        <w:t>Bhui</w:t>
      </w:r>
      <w:proofErr w:type="spellEnd"/>
      <w:r w:rsidR="003F304D" w:rsidRPr="005A3125">
        <w:rPr>
          <w:rFonts w:asciiTheme="minorBidi" w:hAnsiTheme="minorBidi" w:cstheme="minorBidi"/>
          <w:sz w:val="22"/>
          <w:szCs w:val="22"/>
        </w:rPr>
        <w:t xml:space="preserve"> et al., 2018).</w:t>
      </w:r>
    </w:p>
    <w:p w14:paraId="482F8561" w14:textId="7343BCC3" w:rsidR="00587D4E" w:rsidRPr="005A3125" w:rsidRDefault="00587D4E" w:rsidP="00587D4E">
      <w:pPr>
        <w:pStyle w:val="Heading1"/>
        <w:spacing w:line="360" w:lineRule="auto"/>
        <w:ind w:left="12" w:right="3"/>
        <w:jc w:val="left"/>
        <w:rPr>
          <w:rFonts w:asciiTheme="minorBidi" w:hAnsiTheme="minorBidi" w:cstheme="minorBidi"/>
          <w:b w:val="0"/>
          <w:sz w:val="22"/>
        </w:rPr>
      </w:pPr>
      <w:bookmarkStart w:id="14" w:name="_Toc232456042"/>
      <w:r w:rsidRPr="005A3125">
        <w:rPr>
          <w:rFonts w:asciiTheme="minorBidi" w:hAnsiTheme="minorBidi" w:cstheme="minorBidi"/>
          <w:sz w:val="22"/>
        </w:rPr>
        <w:lastRenderedPageBreak/>
        <w:t>2.12 Culturally Responsive Mental Healthcare</w:t>
      </w:r>
      <w:bookmarkEnd w:id="14"/>
    </w:p>
    <w:p w14:paraId="1D29BF81" w14:textId="6CA5959E" w:rsidR="00444336" w:rsidRPr="005A3125" w:rsidRDefault="00444336" w:rsidP="00444336">
      <w:pPr>
        <w:pStyle w:val="NormalWeb"/>
        <w:spacing w:line="360" w:lineRule="auto"/>
        <w:jc w:val="both"/>
        <w:rPr>
          <w:rFonts w:asciiTheme="minorBidi" w:hAnsiTheme="minorBidi" w:cstheme="minorBidi"/>
          <w:sz w:val="22"/>
          <w:szCs w:val="22"/>
        </w:rPr>
      </w:pPr>
      <w:r w:rsidRPr="005A3125">
        <w:rPr>
          <w:rFonts w:asciiTheme="minorBidi" w:hAnsiTheme="minorBidi" w:cstheme="minorBidi"/>
          <w:sz w:val="22"/>
          <w:szCs w:val="22"/>
        </w:rPr>
        <w:t>Culturally responsive mental healthcare refers to services that recognise, respect, and respond to the cultural identities, lived experiences, and social contexts of service users. This approach is increasingly viewed as essential in addressing mental health inequalities.</w:t>
      </w:r>
    </w:p>
    <w:p w14:paraId="70A82F69" w14:textId="746763E3" w:rsidR="00444336" w:rsidRPr="005A3125" w:rsidRDefault="00444336" w:rsidP="00444336">
      <w:pPr>
        <w:pStyle w:val="NormalWeb"/>
        <w:spacing w:line="360" w:lineRule="auto"/>
        <w:jc w:val="both"/>
        <w:rPr>
          <w:rFonts w:asciiTheme="minorBidi" w:hAnsiTheme="minorBidi" w:cstheme="minorBidi"/>
          <w:sz w:val="22"/>
          <w:szCs w:val="22"/>
        </w:rPr>
      </w:pPr>
      <w:r w:rsidRPr="005A3125">
        <w:rPr>
          <w:rFonts w:asciiTheme="minorBidi" w:hAnsiTheme="minorBidi" w:cstheme="minorBidi"/>
          <w:sz w:val="22"/>
          <w:szCs w:val="22"/>
        </w:rPr>
        <w:t>The literature suggests that culturally adapted interventions can improve trust between service users and providers, enhance communication, increase treatment engagement, and improve overall emotional outcomes. These improvements are particularly important for populations who have historically experienced marginalisation within healthcare systems.</w:t>
      </w:r>
    </w:p>
    <w:p w14:paraId="67FE9D68" w14:textId="4C6C2724" w:rsidR="00444336" w:rsidRPr="005A3125" w:rsidRDefault="00444336" w:rsidP="00444336">
      <w:pPr>
        <w:pStyle w:val="NormalWeb"/>
        <w:spacing w:line="360" w:lineRule="auto"/>
        <w:jc w:val="both"/>
        <w:rPr>
          <w:rFonts w:asciiTheme="minorBidi" w:hAnsiTheme="minorBidi" w:cstheme="minorBidi"/>
          <w:sz w:val="22"/>
          <w:szCs w:val="22"/>
        </w:rPr>
      </w:pPr>
      <w:r w:rsidRPr="005A3125">
        <w:rPr>
          <w:rFonts w:asciiTheme="minorBidi" w:hAnsiTheme="minorBidi" w:cstheme="minorBidi"/>
          <w:sz w:val="22"/>
          <w:szCs w:val="22"/>
        </w:rPr>
        <w:t>Effective approaches identified in the literature include anti-racist therapeutic practices, community-based interventions, faith-sensitive support programmes, peer mentoring initiatives, family-inclusive counselling approaches, and increased workforce diversity within mental health services.</w:t>
      </w:r>
    </w:p>
    <w:p w14:paraId="71607673" w14:textId="32D55BC7" w:rsidR="00444336" w:rsidRPr="005A3125" w:rsidRDefault="00444336" w:rsidP="00444336">
      <w:pPr>
        <w:pStyle w:val="NormalWeb"/>
        <w:spacing w:line="360" w:lineRule="auto"/>
        <w:jc w:val="both"/>
        <w:rPr>
          <w:rFonts w:asciiTheme="minorBidi" w:hAnsiTheme="minorBidi" w:cstheme="minorBidi"/>
          <w:sz w:val="22"/>
          <w:szCs w:val="22"/>
        </w:rPr>
      </w:pPr>
      <w:r w:rsidRPr="005A3125">
        <w:rPr>
          <w:rFonts w:asciiTheme="minorBidi" w:hAnsiTheme="minorBidi" w:cstheme="minorBidi"/>
          <w:sz w:val="22"/>
          <w:szCs w:val="22"/>
        </w:rPr>
        <w:t>Despite these promising approaches, evidence evaluating long-term effectiveness of culturally adapted mental health interventions specifically for Black African and Mixed African youth remains limited in the United Kingdom (Edge and Grey, 2018). Most studies focus on broader ethnic minority groups, limiting the ability to asses</w:t>
      </w:r>
      <w:r w:rsidR="00213DE7" w:rsidRPr="005A3125">
        <w:rPr>
          <w:rFonts w:asciiTheme="minorBidi" w:hAnsiTheme="minorBidi" w:cstheme="minorBidi"/>
          <w:sz w:val="22"/>
          <w:szCs w:val="22"/>
        </w:rPr>
        <w:t>s culturally specific outcomes.</w:t>
      </w:r>
    </w:p>
    <w:p w14:paraId="75459F49" w14:textId="315A2B59" w:rsidR="00444336" w:rsidRPr="005A3125" w:rsidRDefault="00444336" w:rsidP="002A6F75">
      <w:pPr>
        <w:pStyle w:val="NormalWeb"/>
        <w:spacing w:line="360" w:lineRule="auto"/>
        <w:jc w:val="both"/>
        <w:rPr>
          <w:rFonts w:asciiTheme="minorBidi" w:hAnsiTheme="minorBidi" w:cstheme="minorBidi"/>
          <w:sz w:val="22"/>
          <w:szCs w:val="22"/>
        </w:rPr>
      </w:pPr>
      <w:r w:rsidRPr="005A3125">
        <w:rPr>
          <w:rFonts w:asciiTheme="minorBidi" w:hAnsiTheme="minorBidi" w:cstheme="minorBidi"/>
          <w:sz w:val="22"/>
          <w:szCs w:val="22"/>
        </w:rPr>
        <w:t>This highlights a significant gap in the evidence base and reinforces the need for more targeted and methodologically robust research.</w:t>
      </w:r>
    </w:p>
    <w:p w14:paraId="15F6DFA7" w14:textId="4B17AFDB" w:rsidR="003F304D" w:rsidRPr="005A3125" w:rsidRDefault="00DD3AD1" w:rsidP="00587D4E">
      <w:pPr>
        <w:pStyle w:val="Heading1"/>
        <w:spacing w:line="360" w:lineRule="auto"/>
        <w:ind w:left="12" w:right="3"/>
        <w:jc w:val="left"/>
        <w:rPr>
          <w:rFonts w:asciiTheme="minorBidi" w:hAnsiTheme="minorBidi" w:cstheme="minorBidi"/>
          <w:b w:val="0"/>
          <w:sz w:val="22"/>
        </w:rPr>
      </w:pPr>
      <w:bookmarkStart w:id="15" w:name="_Toc232456043"/>
      <w:r w:rsidRPr="005A3125">
        <w:rPr>
          <w:rFonts w:asciiTheme="minorBidi" w:hAnsiTheme="minorBidi" w:cstheme="minorBidi"/>
          <w:sz w:val="22"/>
        </w:rPr>
        <w:t>2.</w:t>
      </w:r>
      <w:r w:rsidR="00587D4E" w:rsidRPr="005A3125">
        <w:rPr>
          <w:rFonts w:asciiTheme="minorBidi" w:hAnsiTheme="minorBidi" w:cstheme="minorBidi"/>
          <w:sz w:val="22"/>
        </w:rPr>
        <w:t>13 Critique of Existing Literature</w:t>
      </w:r>
      <w:bookmarkEnd w:id="15"/>
    </w:p>
    <w:p w14:paraId="2E413457" w14:textId="3AC5902F" w:rsidR="00444336" w:rsidRPr="005A3125" w:rsidRDefault="00444336" w:rsidP="00444336">
      <w:pPr>
        <w:pStyle w:val="NormalWeb"/>
        <w:spacing w:line="360" w:lineRule="auto"/>
        <w:jc w:val="both"/>
        <w:rPr>
          <w:rFonts w:asciiTheme="minorBidi" w:hAnsiTheme="minorBidi" w:cstheme="minorBidi"/>
          <w:sz w:val="22"/>
          <w:szCs w:val="22"/>
        </w:rPr>
      </w:pPr>
      <w:r w:rsidRPr="005A3125">
        <w:rPr>
          <w:rFonts w:asciiTheme="minorBidi" w:hAnsiTheme="minorBidi" w:cstheme="minorBidi"/>
          <w:sz w:val="22"/>
          <w:szCs w:val="22"/>
        </w:rPr>
        <w:t>Although research on racial mental health inequalities has expanded in recent years, several methodological and conceptual limitations remain.</w:t>
      </w:r>
    </w:p>
    <w:p w14:paraId="098E4BF4" w14:textId="238FCDED" w:rsidR="00444336" w:rsidRPr="005A3125" w:rsidRDefault="00444336" w:rsidP="00444336">
      <w:pPr>
        <w:pStyle w:val="NormalWeb"/>
        <w:spacing w:line="360" w:lineRule="auto"/>
        <w:jc w:val="both"/>
        <w:rPr>
          <w:rFonts w:asciiTheme="minorBidi" w:hAnsiTheme="minorBidi" w:cstheme="minorBidi"/>
          <w:sz w:val="22"/>
          <w:szCs w:val="22"/>
        </w:rPr>
      </w:pPr>
      <w:r w:rsidRPr="005A3125">
        <w:rPr>
          <w:rFonts w:asciiTheme="minorBidi" w:hAnsiTheme="minorBidi" w:cstheme="minorBidi"/>
          <w:sz w:val="22"/>
          <w:szCs w:val="22"/>
        </w:rPr>
        <w:t>A key limitation is the continued aggregation of diverse ethnic groups, including Black African, Black Caribbean, and Mixed African populations, into broad categories. This approach reduces analytical precision and limits understanding of culturally specific experiences.</w:t>
      </w:r>
    </w:p>
    <w:p w14:paraId="51DE8846" w14:textId="3C9DC09B" w:rsidR="00444336" w:rsidRPr="005A3125" w:rsidRDefault="00444336" w:rsidP="00444336">
      <w:pPr>
        <w:pStyle w:val="NormalWeb"/>
        <w:spacing w:line="360" w:lineRule="auto"/>
        <w:jc w:val="both"/>
        <w:rPr>
          <w:rFonts w:asciiTheme="minorBidi" w:hAnsiTheme="minorBidi" w:cstheme="minorBidi"/>
          <w:sz w:val="22"/>
          <w:szCs w:val="22"/>
        </w:rPr>
      </w:pPr>
      <w:r w:rsidRPr="005A3125">
        <w:rPr>
          <w:rFonts w:asciiTheme="minorBidi" w:hAnsiTheme="minorBidi" w:cstheme="minorBidi"/>
          <w:sz w:val="22"/>
          <w:szCs w:val="22"/>
        </w:rPr>
        <w:t>In addition, much of the existing literature relies on cross-sectional study designs, self-reported measures, small qualitative samples, and geographically limited populations. These methodological constraints reduce the ability to establish causal relationships and limit generalisability across the UK population.</w:t>
      </w:r>
    </w:p>
    <w:p w14:paraId="73910C41" w14:textId="4A0ADAA1" w:rsidR="00444336" w:rsidRPr="005A3125" w:rsidRDefault="00444336" w:rsidP="00444336">
      <w:pPr>
        <w:pStyle w:val="NormalWeb"/>
        <w:spacing w:line="360" w:lineRule="auto"/>
        <w:jc w:val="both"/>
        <w:rPr>
          <w:rFonts w:asciiTheme="minorBidi" w:hAnsiTheme="minorBidi" w:cstheme="minorBidi"/>
          <w:sz w:val="22"/>
          <w:szCs w:val="22"/>
        </w:rPr>
      </w:pPr>
      <w:r w:rsidRPr="005A3125">
        <w:rPr>
          <w:rFonts w:asciiTheme="minorBidi" w:hAnsiTheme="minorBidi" w:cstheme="minorBidi"/>
          <w:sz w:val="22"/>
          <w:szCs w:val="22"/>
        </w:rPr>
        <w:lastRenderedPageBreak/>
        <w:t>Furthermore, there is a notable lack of research specifically focusing on Mixed African youth, despite evidence suggesting that this group may experience unique identity-related and social challenges.</w:t>
      </w:r>
    </w:p>
    <w:p w14:paraId="15E29F37" w14:textId="32699859" w:rsidR="00444336" w:rsidRPr="005A3125" w:rsidRDefault="00444336" w:rsidP="00444336">
      <w:pPr>
        <w:pStyle w:val="NormalWeb"/>
        <w:spacing w:line="360" w:lineRule="auto"/>
        <w:jc w:val="both"/>
        <w:rPr>
          <w:rFonts w:asciiTheme="minorBidi" w:hAnsiTheme="minorBidi" w:cstheme="minorBidi"/>
          <w:sz w:val="22"/>
          <w:szCs w:val="22"/>
        </w:rPr>
      </w:pPr>
      <w:r w:rsidRPr="005A3125">
        <w:rPr>
          <w:rFonts w:asciiTheme="minorBidi" w:hAnsiTheme="minorBidi" w:cstheme="minorBidi"/>
          <w:sz w:val="22"/>
          <w:szCs w:val="22"/>
        </w:rPr>
        <w:t>Another limitation is that some studies describe racial disparities without sufficiently examining underlying structural mechanisms such as institutional racism and power inequalities. This limits the depth of analysis and reduces the ability to inform structural policy change.</w:t>
      </w:r>
    </w:p>
    <w:p w14:paraId="09501091" w14:textId="77A6378C" w:rsidR="00444336" w:rsidRPr="005A3125" w:rsidRDefault="00444336" w:rsidP="002A6F75">
      <w:pPr>
        <w:pStyle w:val="NormalWeb"/>
        <w:spacing w:line="360" w:lineRule="auto"/>
        <w:jc w:val="both"/>
        <w:rPr>
          <w:rFonts w:asciiTheme="minorBidi" w:hAnsiTheme="minorBidi" w:cstheme="minorBidi"/>
          <w:sz w:val="22"/>
          <w:szCs w:val="22"/>
        </w:rPr>
      </w:pPr>
      <w:r w:rsidRPr="005A3125">
        <w:rPr>
          <w:rFonts w:asciiTheme="minorBidi" w:hAnsiTheme="minorBidi" w:cstheme="minorBidi"/>
          <w:sz w:val="22"/>
          <w:szCs w:val="22"/>
        </w:rPr>
        <w:t>Overall, these limitations highlight the need for more intersectional, longitudinal, and anti-racist research approaches.</w:t>
      </w:r>
    </w:p>
    <w:p w14:paraId="5B297484" w14:textId="7DC8E7C4" w:rsidR="003F304D" w:rsidRPr="005A3125" w:rsidRDefault="00587D4E" w:rsidP="00425FED">
      <w:pPr>
        <w:pStyle w:val="Heading1"/>
        <w:spacing w:line="360" w:lineRule="auto"/>
        <w:ind w:right="3"/>
        <w:jc w:val="left"/>
        <w:rPr>
          <w:rFonts w:asciiTheme="minorBidi" w:hAnsiTheme="minorBidi" w:cstheme="minorBidi"/>
          <w:b w:val="0"/>
          <w:sz w:val="22"/>
        </w:rPr>
      </w:pPr>
      <w:bookmarkStart w:id="16" w:name="_Toc232456044"/>
      <w:r w:rsidRPr="005A3125">
        <w:rPr>
          <w:rFonts w:asciiTheme="minorBidi" w:hAnsiTheme="minorBidi" w:cstheme="minorBidi"/>
          <w:sz w:val="22"/>
        </w:rPr>
        <w:t>2.14 Research Gap</w:t>
      </w:r>
      <w:bookmarkEnd w:id="16"/>
    </w:p>
    <w:p w14:paraId="1BD7BB33" w14:textId="77777777" w:rsidR="00444336" w:rsidRPr="005A3125" w:rsidRDefault="00444336" w:rsidP="00444336">
      <w:pPr>
        <w:pStyle w:val="NormalWeb"/>
        <w:spacing w:line="360" w:lineRule="auto"/>
        <w:jc w:val="both"/>
        <w:rPr>
          <w:rFonts w:asciiTheme="minorBidi" w:hAnsiTheme="minorBidi" w:cstheme="minorBidi"/>
          <w:sz w:val="22"/>
          <w:szCs w:val="22"/>
        </w:rPr>
      </w:pPr>
      <w:r w:rsidRPr="005A3125">
        <w:rPr>
          <w:rFonts w:asciiTheme="minorBidi" w:hAnsiTheme="minorBidi" w:cstheme="minorBidi"/>
          <w:sz w:val="22"/>
          <w:szCs w:val="22"/>
        </w:rPr>
        <w:t xml:space="preserve">The literature review identifies several key gaps in existing research on depression and anxiety among Black African and Mixed African youth in the United Kingdom. </w:t>
      </w:r>
    </w:p>
    <w:p w14:paraId="27DDCA12" w14:textId="43F7D3EE" w:rsidR="00444336" w:rsidRPr="005A3125" w:rsidRDefault="00444336" w:rsidP="00444336">
      <w:pPr>
        <w:pStyle w:val="NormalWeb"/>
        <w:spacing w:line="360" w:lineRule="auto"/>
        <w:jc w:val="both"/>
        <w:rPr>
          <w:rFonts w:asciiTheme="minorBidi" w:hAnsiTheme="minorBidi" w:cstheme="minorBidi"/>
          <w:sz w:val="22"/>
          <w:szCs w:val="22"/>
        </w:rPr>
      </w:pPr>
      <w:r w:rsidRPr="005A3125">
        <w:rPr>
          <w:rFonts w:asciiTheme="minorBidi" w:hAnsiTheme="minorBidi" w:cstheme="minorBidi"/>
          <w:sz w:val="22"/>
          <w:szCs w:val="22"/>
        </w:rPr>
        <w:t>These gaps include limited ethnicity-specific analysis, underrepresentation of Mixed African experiences, insufficient examination of structural racism, limited evaluation of culturally responsive interventions, and a lack of longitudinal research examining mental health outcomes over time. In addition, there is limited integration of intersectional frameworks that consider how race, gender, class, and migration status interact to shape mental health experiences.</w:t>
      </w:r>
    </w:p>
    <w:p w14:paraId="151D7028" w14:textId="5FFEAE9D" w:rsidR="00444336" w:rsidRPr="005A3125" w:rsidRDefault="00444336" w:rsidP="002A6F75">
      <w:pPr>
        <w:pStyle w:val="NormalWeb"/>
        <w:spacing w:line="360" w:lineRule="auto"/>
        <w:jc w:val="both"/>
        <w:rPr>
          <w:rFonts w:asciiTheme="minorBidi" w:hAnsiTheme="minorBidi" w:cstheme="minorBidi"/>
          <w:sz w:val="22"/>
          <w:szCs w:val="22"/>
        </w:rPr>
      </w:pPr>
      <w:r w:rsidRPr="005A3125">
        <w:rPr>
          <w:rFonts w:asciiTheme="minorBidi" w:hAnsiTheme="minorBidi" w:cstheme="minorBidi"/>
          <w:sz w:val="22"/>
          <w:szCs w:val="22"/>
        </w:rPr>
        <w:t>This dissertation addresses these gaps by critically examining mental health inequalities affecting Black African and Mixed African youth from a public health perspective. It aims to contribute to a more nuanced and culturally informed understanding of mental health disparities within the UK context.</w:t>
      </w:r>
    </w:p>
    <w:p w14:paraId="0BB6FEAF" w14:textId="7299421B" w:rsidR="003F304D" w:rsidRPr="005A3125" w:rsidRDefault="00587D4E" w:rsidP="00587D4E">
      <w:pPr>
        <w:pStyle w:val="Heading1"/>
        <w:spacing w:line="360" w:lineRule="auto"/>
        <w:ind w:left="12" w:right="3"/>
        <w:jc w:val="left"/>
        <w:rPr>
          <w:rFonts w:asciiTheme="minorBidi" w:hAnsiTheme="minorBidi" w:cstheme="minorBidi"/>
          <w:b w:val="0"/>
          <w:sz w:val="22"/>
        </w:rPr>
      </w:pPr>
      <w:bookmarkStart w:id="17" w:name="_Toc232456045"/>
      <w:r w:rsidRPr="005A3125">
        <w:rPr>
          <w:rFonts w:asciiTheme="minorBidi" w:hAnsiTheme="minorBidi" w:cstheme="minorBidi"/>
          <w:sz w:val="22"/>
        </w:rPr>
        <w:t>2.15 Chapter Summary</w:t>
      </w:r>
      <w:bookmarkEnd w:id="17"/>
    </w:p>
    <w:p w14:paraId="14718B49" w14:textId="77777777" w:rsidR="00D82583" w:rsidRPr="005A3125" w:rsidRDefault="00D82583" w:rsidP="00D82583">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This chapter critically reviewed literature on depression and anxiety among Black African and Mixed African youth in the UK, examining how structural racism, socioeconomic inequality, identity conflict, educational exclusion, stigma, and healthcare barriers collectively affect mental health.</w:t>
      </w:r>
    </w:p>
    <w:p w14:paraId="62F92E75" w14:textId="77777777" w:rsidR="00D82583" w:rsidRPr="005A3125" w:rsidRDefault="00D82583" w:rsidP="00D82583">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It also discussed key frameworks such as the Social Determinants of Health, Structural Racism, Minority Stress, and Intersectionality theories, which show that mental health disparities arise from interconnected social and structural factors rather than individual causes alone.</w:t>
      </w:r>
    </w:p>
    <w:p w14:paraId="0C782E86" w14:textId="77777777" w:rsidR="00D82583" w:rsidRPr="005A3125" w:rsidRDefault="00D82583" w:rsidP="00D82583">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The review highlighted notable gaps in culturally specific research on Black African and Mixed African youth, emphasizing the need for more targeted, detailed, and rigorous studies.</w:t>
      </w:r>
    </w:p>
    <w:p w14:paraId="799D935B" w14:textId="77777777" w:rsidR="00D82583" w:rsidRPr="005A3125" w:rsidRDefault="00D82583" w:rsidP="00D82583">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lastRenderedPageBreak/>
        <w:t>Overall, evidence indicates that mental health inequalities in these groups stem from structural disadvantages, discrimination, and limited access to culturally appropriate services. The next chapter details the systematic review methodology used to explore these issues further</w:t>
      </w:r>
    </w:p>
    <w:p w14:paraId="5BB64A4B" w14:textId="29150498" w:rsidR="00444336" w:rsidRPr="005A3125" w:rsidRDefault="00444336" w:rsidP="00C222A5">
      <w:pPr>
        <w:pStyle w:val="NormalWeb"/>
        <w:spacing w:line="360" w:lineRule="auto"/>
        <w:jc w:val="both"/>
        <w:rPr>
          <w:rFonts w:asciiTheme="minorBidi" w:hAnsiTheme="minorBidi" w:cstheme="minorBidi"/>
          <w:sz w:val="22"/>
          <w:szCs w:val="22"/>
        </w:rPr>
      </w:pPr>
      <w:r w:rsidRPr="005A3125">
        <w:rPr>
          <w:rFonts w:asciiTheme="minorBidi" w:hAnsiTheme="minorBidi" w:cstheme="minorBidi"/>
          <w:sz w:val="22"/>
          <w:szCs w:val="22"/>
        </w:rPr>
        <w:t>.</w:t>
      </w:r>
    </w:p>
    <w:p w14:paraId="728B5BB2" w14:textId="373BBABA" w:rsidR="00587D4E" w:rsidRPr="005A3125" w:rsidRDefault="00587D4E" w:rsidP="00587D4E">
      <w:pPr>
        <w:pStyle w:val="Heading1"/>
        <w:spacing w:after="0" w:line="360" w:lineRule="auto"/>
        <w:ind w:left="12" w:right="3"/>
        <w:rPr>
          <w:rFonts w:asciiTheme="minorBidi" w:hAnsiTheme="minorBidi" w:cstheme="minorBidi"/>
          <w:sz w:val="22"/>
        </w:rPr>
      </w:pPr>
      <w:bookmarkStart w:id="18" w:name="_Toc232456046"/>
      <w:r w:rsidRPr="005A3125">
        <w:rPr>
          <w:rFonts w:asciiTheme="minorBidi" w:hAnsiTheme="minorBidi" w:cstheme="minorBidi"/>
          <w:sz w:val="22"/>
        </w:rPr>
        <w:t>Chapter 3: Research Methodology</w:t>
      </w:r>
      <w:bookmarkEnd w:id="18"/>
    </w:p>
    <w:p w14:paraId="345C9EB8" w14:textId="5C403478" w:rsidR="00585F9B" w:rsidRPr="005A3125" w:rsidRDefault="00587D4E" w:rsidP="00D94619">
      <w:pPr>
        <w:pStyle w:val="Heading1"/>
        <w:spacing w:line="360" w:lineRule="auto"/>
        <w:ind w:left="12" w:right="3"/>
        <w:jc w:val="left"/>
        <w:rPr>
          <w:rFonts w:asciiTheme="minorBidi" w:hAnsiTheme="minorBidi" w:cstheme="minorBidi"/>
          <w:sz w:val="22"/>
        </w:rPr>
      </w:pPr>
      <w:bookmarkStart w:id="19" w:name="_Toc232456047"/>
      <w:r w:rsidRPr="005A3125">
        <w:rPr>
          <w:rFonts w:asciiTheme="minorBidi" w:hAnsiTheme="minorBidi" w:cstheme="minorBidi"/>
          <w:sz w:val="22"/>
        </w:rPr>
        <w:t>3.1 Introduction</w:t>
      </w:r>
      <w:bookmarkEnd w:id="19"/>
      <w:r w:rsidR="00585F9B" w:rsidRPr="005A3125">
        <w:rPr>
          <w:rFonts w:asciiTheme="minorBidi" w:hAnsiTheme="minorBidi" w:cstheme="minorBidi"/>
          <w:color w:val="161F19"/>
          <w:sz w:val="22"/>
        </w:rPr>
        <w:br/>
      </w:r>
      <w:r w:rsidR="00585F9B" w:rsidRPr="005A3125">
        <w:rPr>
          <w:rFonts w:asciiTheme="minorBidi" w:hAnsiTheme="minorBidi" w:cstheme="minorBidi"/>
          <w:b w:val="0"/>
          <w:bCs/>
          <w:color w:val="161F19"/>
          <w:sz w:val="22"/>
        </w:rPr>
        <w:t>This chapter details the methodological framework used to study depression and anxiety among Black African and Mixed African youth aged 16–25 in the UK from a public health perspective. It covers research philosophy, design, search strategy, inclusion/exclusion criteria, study selection, quality appraisal, data extraction, analysis, ethics, reflexivity, and limitations</w:t>
      </w:r>
      <w:r w:rsidR="00585F9B" w:rsidRPr="005A3125">
        <w:rPr>
          <w:rFonts w:asciiTheme="minorBidi" w:hAnsiTheme="minorBidi" w:cstheme="minorBidi"/>
          <w:color w:val="161F19"/>
          <w:sz w:val="22"/>
        </w:rPr>
        <w:t>.</w:t>
      </w:r>
    </w:p>
    <w:p w14:paraId="6041D5FA" w14:textId="77777777" w:rsidR="00585F9B" w:rsidRPr="005A3125" w:rsidRDefault="00585F9B" w:rsidP="00585F9B">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A systematic review methodology was chosen to critically synthesize evidence on mental health inequalities affecting these populations. This approach supports structured identification, evaluation, and integration of multiple studies while revealing patterns, contradictions, and gaps (Snyder, 2019). The framework follows PRISMA guidelines, employs the CASP appraisal tool, and uses thematic synthesis common in qualitative public health research, ensuring transparency, rigor, and ethical integrity.</w:t>
      </w:r>
    </w:p>
    <w:p w14:paraId="58BACF8E" w14:textId="77777777" w:rsidR="00585F9B" w:rsidRPr="005A3125" w:rsidRDefault="00585F9B" w:rsidP="00585F9B">
      <w:pPr>
        <w:pStyle w:val="muitypography-root"/>
        <w:spacing w:before="0" w:beforeAutospacing="0" w:after="0" w:afterAutospacing="0" w:line="360" w:lineRule="atLeast"/>
        <w:rPr>
          <w:rFonts w:asciiTheme="minorBidi" w:hAnsiTheme="minorBidi" w:cstheme="minorBidi"/>
          <w:color w:val="161F19"/>
          <w:sz w:val="22"/>
          <w:szCs w:val="22"/>
        </w:rPr>
      </w:pPr>
      <w:r w:rsidRPr="005A3125">
        <w:rPr>
          <w:rStyle w:val="Strong"/>
          <w:rFonts w:asciiTheme="minorBidi" w:hAnsiTheme="minorBidi" w:cstheme="minorBidi"/>
          <w:color w:val="161F19"/>
          <w:sz w:val="22"/>
          <w:szCs w:val="22"/>
        </w:rPr>
        <w:t>3.2 Research Aim</w:t>
      </w:r>
      <w:r w:rsidRPr="005A3125">
        <w:rPr>
          <w:rFonts w:asciiTheme="minorBidi" w:hAnsiTheme="minorBidi" w:cstheme="minorBidi"/>
          <w:color w:val="161F19"/>
          <w:sz w:val="22"/>
          <w:szCs w:val="22"/>
        </w:rPr>
        <w:br/>
        <w:t>The dissertation aims to critically explore depression and anxiety among Black African and Mixed African youth aged 16–25 in the UK through a public health lens.</w:t>
      </w:r>
    </w:p>
    <w:p w14:paraId="11B95E78" w14:textId="77777777" w:rsidR="00585F9B" w:rsidRPr="005A3125" w:rsidRDefault="00585F9B" w:rsidP="00585F9B">
      <w:pPr>
        <w:pStyle w:val="muitypography-root"/>
        <w:spacing w:before="0" w:beforeAutospacing="0" w:after="0" w:afterAutospacing="0" w:line="360" w:lineRule="atLeast"/>
        <w:rPr>
          <w:rFonts w:asciiTheme="minorBidi" w:hAnsiTheme="minorBidi" w:cstheme="minorBidi"/>
          <w:color w:val="161F19"/>
          <w:sz w:val="22"/>
          <w:szCs w:val="22"/>
        </w:rPr>
      </w:pPr>
      <w:r w:rsidRPr="005A3125">
        <w:rPr>
          <w:rStyle w:val="Strong"/>
          <w:rFonts w:asciiTheme="minorBidi" w:hAnsiTheme="minorBidi" w:cstheme="minorBidi"/>
          <w:color w:val="161F19"/>
          <w:sz w:val="22"/>
          <w:szCs w:val="22"/>
        </w:rPr>
        <w:t>3.3 Research Objectives</w:t>
      </w:r>
      <w:r w:rsidRPr="005A3125">
        <w:rPr>
          <w:rFonts w:asciiTheme="minorBidi" w:hAnsiTheme="minorBidi" w:cstheme="minorBidi"/>
          <w:color w:val="161F19"/>
          <w:sz w:val="22"/>
          <w:szCs w:val="22"/>
        </w:rPr>
        <w:br/>
        <w:t xml:space="preserve">The study focuses on five objectives: exploring social, structural, and cultural factors contributing to depression and anxiety; examining barriers to mental healthcare access; </w:t>
      </w:r>
      <w:proofErr w:type="spellStart"/>
      <w:r w:rsidRPr="005A3125">
        <w:rPr>
          <w:rFonts w:asciiTheme="minorBidi" w:hAnsiTheme="minorBidi" w:cstheme="minorBidi"/>
          <w:color w:val="161F19"/>
          <w:sz w:val="22"/>
          <w:szCs w:val="22"/>
        </w:rPr>
        <w:t>analyzing</w:t>
      </w:r>
      <w:proofErr w:type="spellEnd"/>
      <w:r w:rsidRPr="005A3125">
        <w:rPr>
          <w:rFonts w:asciiTheme="minorBidi" w:hAnsiTheme="minorBidi" w:cstheme="minorBidi"/>
          <w:color w:val="161F19"/>
          <w:sz w:val="22"/>
          <w:szCs w:val="22"/>
        </w:rPr>
        <w:t xml:space="preserve"> the impact of racism, socioeconomic inequality, and identity stress on wellbeing; evaluating culturally responsive interventions; and identifying gaps in UK research and policy. Together, these ensure a comprehensive understanding of mental health disparities in the target group.</w:t>
      </w:r>
    </w:p>
    <w:p w14:paraId="0F69D9F1" w14:textId="77777777" w:rsidR="00585F9B" w:rsidRPr="005A3125" w:rsidRDefault="00585F9B" w:rsidP="00585F9B">
      <w:pPr>
        <w:pStyle w:val="muitypography-root"/>
        <w:spacing w:before="0" w:beforeAutospacing="0" w:after="0" w:afterAutospacing="0" w:line="360" w:lineRule="atLeast"/>
        <w:rPr>
          <w:rFonts w:asciiTheme="minorBidi" w:hAnsiTheme="minorBidi" w:cstheme="minorBidi"/>
          <w:color w:val="161F19"/>
          <w:sz w:val="22"/>
          <w:szCs w:val="22"/>
        </w:rPr>
      </w:pPr>
      <w:r w:rsidRPr="005A3125">
        <w:rPr>
          <w:rStyle w:val="Strong"/>
          <w:rFonts w:asciiTheme="minorBidi" w:hAnsiTheme="minorBidi" w:cstheme="minorBidi"/>
          <w:color w:val="161F19"/>
          <w:sz w:val="22"/>
          <w:szCs w:val="22"/>
        </w:rPr>
        <w:t>3.4 Research Philosophy</w:t>
      </w:r>
      <w:r w:rsidRPr="005A3125">
        <w:rPr>
          <w:rFonts w:asciiTheme="minorBidi" w:hAnsiTheme="minorBidi" w:cstheme="minorBidi"/>
          <w:color w:val="161F19"/>
          <w:sz w:val="22"/>
          <w:szCs w:val="22"/>
        </w:rPr>
        <w:br/>
        <w:t>Research philosophy concerns assumptions about knowledge and reality (Saunders et al., 2019; Creswell and Creswell, 2018). This dissertation adopts an interpretivist stance, prioritizing understanding lived experiences and social contexts over purely objective measures (Thanh and Thanh, 2015; Ryan, 2018).</w:t>
      </w:r>
    </w:p>
    <w:p w14:paraId="6ADABCCD" w14:textId="77777777" w:rsidR="00585F9B" w:rsidRPr="005A3125" w:rsidRDefault="00585F9B" w:rsidP="00585F9B">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 xml:space="preserve">Interpretivism fits this study since mental health, racism, and identity are socially constructed and subjective, requiring more than quantitative data for full comprehension. The study incorporates critical public health perspectives, recognizing how structural racism and power </w:t>
      </w:r>
      <w:r w:rsidRPr="005A3125">
        <w:rPr>
          <w:rFonts w:asciiTheme="minorBidi" w:hAnsiTheme="minorBidi" w:cstheme="minorBidi"/>
          <w:color w:val="161F19"/>
          <w:sz w:val="22"/>
          <w:szCs w:val="22"/>
        </w:rPr>
        <w:lastRenderedPageBreak/>
        <w:t xml:space="preserve">dynamics shape health outcomes (Ford and </w:t>
      </w:r>
      <w:proofErr w:type="spellStart"/>
      <w:r w:rsidRPr="005A3125">
        <w:rPr>
          <w:rFonts w:asciiTheme="minorBidi" w:hAnsiTheme="minorBidi" w:cstheme="minorBidi"/>
          <w:color w:val="161F19"/>
          <w:sz w:val="22"/>
          <w:szCs w:val="22"/>
        </w:rPr>
        <w:t>Airhihenbuwa</w:t>
      </w:r>
      <w:proofErr w:type="spellEnd"/>
      <w:r w:rsidRPr="005A3125">
        <w:rPr>
          <w:rFonts w:asciiTheme="minorBidi" w:hAnsiTheme="minorBidi" w:cstheme="minorBidi"/>
          <w:color w:val="161F19"/>
          <w:sz w:val="22"/>
          <w:szCs w:val="22"/>
        </w:rPr>
        <w:t xml:space="preserve">, 2010; </w:t>
      </w:r>
      <w:proofErr w:type="spellStart"/>
      <w:r w:rsidRPr="005A3125">
        <w:rPr>
          <w:rFonts w:asciiTheme="minorBidi" w:hAnsiTheme="minorBidi" w:cstheme="minorBidi"/>
          <w:color w:val="161F19"/>
          <w:sz w:val="22"/>
          <w:szCs w:val="22"/>
        </w:rPr>
        <w:t>Kapilashrami</w:t>
      </w:r>
      <w:proofErr w:type="spellEnd"/>
      <w:r w:rsidRPr="005A3125">
        <w:rPr>
          <w:rFonts w:asciiTheme="minorBidi" w:hAnsiTheme="minorBidi" w:cstheme="minorBidi"/>
          <w:color w:val="161F19"/>
          <w:sz w:val="22"/>
          <w:szCs w:val="22"/>
        </w:rPr>
        <w:t xml:space="preserve"> and Hankivsky, 2018). This approach emphasizes social systems and institutional factors over individual pathology.</w:t>
      </w:r>
    </w:p>
    <w:p w14:paraId="648A04E6" w14:textId="77777777" w:rsidR="00585F9B" w:rsidRPr="005A3125" w:rsidRDefault="00585F9B" w:rsidP="00585F9B">
      <w:pPr>
        <w:pStyle w:val="muitypography-root"/>
        <w:spacing w:before="0" w:beforeAutospacing="0" w:after="0" w:afterAutospacing="0" w:line="360" w:lineRule="atLeast"/>
        <w:rPr>
          <w:rFonts w:asciiTheme="minorBidi" w:hAnsiTheme="minorBidi" w:cstheme="minorBidi"/>
          <w:color w:val="161F19"/>
          <w:sz w:val="22"/>
          <w:szCs w:val="22"/>
        </w:rPr>
      </w:pPr>
      <w:r w:rsidRPr="005A3125">
        <w:rPr>
          <w:rStyle w:val="Strong"/>
          <w:rFonts w:asciiTheme="minorBidi" w:hAnsiTheme="minorBidi" w:cstheme="minorBidi"/>
          <w:color w:val="161F19"/>
          <w:sz w:val="22"/>
          <w:szCs w:val="22"/>
        </w:rPr>
        <w:t>3.5 Research Design</w:t>
      </w:r>
      <w:r w:rsidRPr="005A3125">
        <w:rPr>
          <w:rFonts w:asciiTheme="minorBidi" w:hAnsiTheme="minorBidi" w:cstheme="minorBidi"/>
          <w:color w:val="161F19"/>
          <w:sz w:val="22"/>
          <w:szCs w:val="22"/>
        </w:rPr>
        <w:br/>
        <w:t>A qualitative systematic review design was used, which is a structured, transparent method to locate, evaluate, and synthesize existing literature with reproducible procedures (Page et al., 2021; Higgins et al., 2023). This design allows comprehensive evidence synthesis, identification of key themes, assessment of methodological quality, and development of evidence-based public health insights.</w:t>
      </w:r>
    </w:p>
    <w:p w14:paraId="1DEAD222" w14:textId="77777777" w:rsidR="00585F9B" w:rsidRPr="005A3125" w:rsidRDefault="00585F9B" w:rsidP="00585F9B">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Unlike narrative reviews, systematic reviews follow strict protocols for database searching, study selection, appraisal, and synthesis, enhancing transparency and reducing bias. The review included peer-reviewed articles, NHS and WHO reports, policy documents, and relevant grey literature to ensure thorough coverage.</w:t>
      </w:r>
    </w:p>
    <w:p w14:paraId="548C2F60" w14:textId="77777777" w:rsidR="00585F9B" w:rsidRPr="005A3125" w:rsidRDefault="00585F9B" w:rsidP="00585F9B">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Systematic reviews are widely accepted in healthcare research for improving reliability, minimizing bias, and enhancing methodological credibility (</w:t>
      </w:r>
      <w:proofErr w:type="spellStart"/>
      <w:r w:rsidRPr="005A3125">
        <w:rPr>
          <w:rFonts w:asciiTheme="minorBidi" w:hAnsiTheme="minorBidi" w:cstheme="minorBidi"/>
          <w:color w:val="161F19"/>
          <w:sz w:val="22"/>
          <w:szCs w:val="22"/>
        </w:rPr>
        <w:t>Aromataris</w:t>
      </w:r>
      <w:proofErr w:type="spellEnd"/>
      <w:r w:rsidRPr="005A3125">
        <w:rPr>
          <w:rFonts w:asciiTheme="minorBidi" w:hAnsiTheme="minorBidi" w:cstheme="minorBidi"/>
          <w:color w:val="161F19"/>
          <w:sz w:val="22"/>
          <w:szCs w:val="22"/>
        </w:rPr>
        <w:t xml:space="preserve"> and Pearson, 2014; Munn et al., 2018).</w:t>
      </w:r>
    </w:p>
    <w:p w14:paraId="21026B97" w14:textId="77777777" w:rsidR="00585F9B" w:rsidRPr="005A3125" w:rsidRDefault="00585F9B" w:rsidP="00585F9B">
      <w:pPr>
        <w:pStyle w:val="muitypography-root"/>
        <w:spacing w:before="0" w:beforeAutospacing="0" w:after="0" w:afterAutospacing="0" w:line="360" w:lineRule="atLeast"/>
        <w:rPr>
          <w:rFonts w:asciiTheme="minorBidi" w:hAnsiTheme="minorBidi" w:cstheme="minorBidi"/>
          <w:color w:val="161F19"/>
          <w:sz w:val="22"/>
          <w:szCs w:val="22"/>
        </w:rPr>
      </w:pPr>
      <w:r w:rsidRPr="005A3125">
        <w:rPr>
          <w:rStyle w:val="Strong"/>
          <w:rFonts w:asciiTheme="minorBidi" w:hAnsiTheme="minorBidi" w:cstheme="minorBidi"/>
          <w:color w:val="161F19"/>
          <w:sz w:val="22"/>
          <w:szCs w:val="22"/>
        </w:rPr>
        <w:t>3.6 Research Approach</w:t>
      </w:r>
      <w:r w:rsidRPr="005A3125">
        <w:rPr>
          <w:rFonts w:asciiTheme="minorBidi" w:hAnsiTheme="minorBidi" w:cstheme="minorBidi"/>
          <w:color w:val="161F19"/>
          <w:sz w:val="22"/>
          <w:szCs w:val="22"/>
        </w:rPr>
        <w:br/>
        <w:t>An inductive approach was adopted, generating themes from the data instead of testing preconceived hypotheses (Thomas, 2006). This was appropriate given the exploratory nature of the study and limited literature on Mixed African youth.</w:t>
      </w:r>
    </w:p>
    <w:p w14:paraId="74E6410A" w14:textId="77777777" w:rsidR="00585F9B" w:rsidRPr="005A3125" w:rsidRDefault="00585F9B" w:rsidP="00585F9B">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Induction allowed themes such as structural racism, socioeconomic deprivation, identity conflict, stigma, and healthcare inequalities to emerge naturally from the data, capturing the complexity of mental health experiences in the literature.</w:t>
      </w:r>
    </w:p>
    <w:p w14:paraId="405A1DE2" w14:textId="77777777" w:rsidR="00585F9B" w:rsidRPr="005A3125" w:rsidRDefault="00585F9B" w:rsidP="00585F9B">
      <w:pPr>
        <w:pStyle w:val="muitypography-root"/>
        <w:spacing w:before="0" w:beforeAutospacing="0" w:after="0" w:afterAutospacing="0" w:line="360" w:lineRule="atLeast"/>
        <w:rPr>
          <w:rFonts w:asciiTheme="minorBidi" w:hAnsiTheme="minorBidi" w:cstheme="minorBidi"/>
          <w:color w:val="161F19"/>
          <w:sz w:val="22"/>
          <w:szCs w:val="22"/>
        </w:rPr>
      </w:pPr>
      <w:r w:rsidRPr="005A3125">
        <w:rPr>
          <w:rStyle w:val="Strong"/>
          <w:rFonts w:asciiTheme="minorBidi" w:hAnsiTheme="minorBidi" w:cstheme="minorBidi"/>
          <w:color w:val="161F19"/>
          <w:sz w:val="22"/>
          <w:szCs w:val="22"/>
        </w:rPr>
        <w:t>3.7 Search Strategy</w:t>
      </w:r>
      <w:r w:rsidRPr="005A3125">
        <w:rPr>
          <w:rFonts w:asciiTheme="minorBidi" w:hAnsiTheme="minorBidi" w:cstheme="minorBidi"/>
          <w:color w:val="161F19"/>
          <w:sz w:val="22"/>
          <w:szCs w:val="22"/>
        </w:rPr>
        <w:br/>
        <w:t>A comprehensive literature search was conducted from January 2010 to April 2025 across multiple academic and grey literature sources, including PubMed, PsycINFO, CINAHL, Google Scholar, the Cochrane Library, NHS Digital, the Office for National Statistics, and GOV.UK Ethnicity Facts and Figures.</w:t>
      </w:r>
    </w:p>
    <w:p w14:paraId="1BA67779" w14:textId="77777777" w:rsidR="00585F9B" w:rsidRPr="005A3125" w:rsidRDefault="00585F9B" w:rsidP="00585F9B">
      <w:pPr>
        <w:rPr>
          <w:rFonts w:asciiTheme="minorBidi" w:hAnsiTheme="minorBidi"/>
        </w:rPr>
      </w:pPr>
    </w:p>
    <w:p w14:paraId="797292CD" w14:textId="17181E81" w:rsidR="003F304D" w:rsidRPr="005A3125" w:rsidRDefault="003F304D" w:rsidP="002A6F75">
      <w:pPr>
        <w:pStyle w:val="NormalWeb"/>
        <w:spacing w:line="360" w:lineRule="auto"/>
        <w:jc w:val="both"/>
        <w:rPr>
          <w:rFonts w:asciiTheme="minorBidi" w:hAnsiTheme="minorBidi" w:cstheme="minorBidi"/>
          <w:b/>
          <w:sz w:val="22"/>
          <w:szCs w:val="22"/>
        </w:rPr>
      </w:pPr>
      <w:r w:rsidRPr="005A3125">
        <w:rPr>
          <w:rFonts w:asciiTheme="minorBidi" w:hAnsiTheme="minorBidi" w:cstheme="minorBidi"/>
          <w:b/>
          <w:sz w:val="22"/>
          <w:szCs w:val="22"/>
        </w:rPr>
        <w:t>Table 3.1</w:t>
      </w:r>
      <w:r w:rsidR="00213DE7" w:rsidRPr="005A3125">
        <w:rPr>
          <w:rFonts w:asciiTheme="minorBidi" w:hAnsiTheme="minorBidi" w:cstheme="minorBidi"/>
          <w:b/>
          <w:sz w:val="22"/>
          <w:szCs w:val="22"/>
        </w:rPr>
        <w:t>:</w:t>
      </w:r>
      <w:r w:rsidRPr="005A3125">
        <w:rPr>
          <w:rFonts w:asciiTheme="minorBidi" w:hAnsiTheme="minorBidi" w:cstheme="minorBidi"/>
          <w:b/>
          <w:sz w:val="22"/>
          <w:szCs w:val="22"/>
        </w:rPr>
        <w:t xml:space="preserve"> Databases Used for Literature Search</w:t>
      </w:r>
    </w:p>
    <w:tbl>
      <w:tblPr>
        <w:tblStyle w:val="TableGrid"/>
        <w:tblW w:w="9642" w:type="dxa"/>
        <w:tblLayout w:type="fixed"/>
        <w:tblLook w:val="04A0" w:firstRow="1" w:lastRow="0" w:firstColumn="1" w:lastColumn="0" w:noHBand="0" w:noVBand="1"/>
      </w:tblPr>
      <w:tblGrid>
        <w:gridCol w:w="4806"/>
        <w:gridCol w:w="4836"/>
      </w:tblGrid>
      <w:tr w:rsidR="002A6F75" w:rsidRPr="005A3125" w14:paraId="0BF2E935" w14:textId="77777777" w:rsidTr="002A6F75">
        <w:trPr>
          <w:trHeight w:val="386"/>
        </w:trPr>
        <w:tc>
          <w:tcPr>
            <w:tcW w:w="4806" w:type="dxa"/>
            <w:hideMark/>
          </w:tcPr>
          <w:p w14:paraId="0A533760" w14:textId="77777777" w:rsidR="002A6F75" w:rsidRPr="005A3125" w:rsidRDefault="002A6F75" w:rsidP="002A6F75">
            <w:pPr>
              <w:spacing w:line="360" w:lineRule="auto"/>
              <w:jc w:val="center"/>
              <w:rPr>
                <w:rFonts w:asciiTheme="minorBidi" w:eastAsia="Times New Roman" w:hAnsiTheme="minorBidi"/>
                <w:b/>
                <w:bCs/>
                <w:lang w:eastAsia="en-IN"/>
              </w:rPr>
            </w:pPr>
            <w:r w:rsidRPr="005A3125">
              <w:rPr>
                <w:rFonts w:asciiTheme="minorBidi" w:eastAsia="Times New Roman" w:hAnsiTheme="minorBidi"/>
                <w:b/>
                <w:bCs/>
                <w:lang w:eastAsia="en-IN"/>
              </w:rPr>
              <w:t>Database</w:t>
            </w:r>
          </w:p>
        </w:tc>
        <w:tc>
          <w:tcPr>
            <w:tcW w:w="4836" w:type="dxa"/>
            <w:hideMark/>
          </w:tcPr>
          <w:p w14:paraId="35800956" w14:textId="77777777" w:rsidR="002A6F75" w:rsidRPr="005A3125" w:rsidRDefault="002A6F75" w:rsidP="002A6F75">
            <w:pPr>
              <w:spacing w:line="360" w:lineRule="auto"/>
              <w:jc w:val="center"/>
              <w:rPr>
                <w:rFonts w:asciiTheme="minorBidi" w:eastAsia="Times New Roman" w:hAnsiTheme="minorBidi"/>
                <w:b/>
                <w:bCs/>
                <w:lang w:eastAsia="en-IN"/>
              </w:rPr>
            </w:pPr>
            <w:r w:rsidRPr="005A3125">
              <w:rPr>
                <w:rFonts w:asciiTheme="minorBidi" w:eastAsia="Times New Roman" w:hAnsiTheme="minorBidi"/>
                <w:b/>
                <w:bCs/>
                <w:lang w:eastAsia="en-IN"/>
              </w:rPr>
              <w:t>Purpose</w:t>
            </w:r>
          </w:p>
        </w:tc>
      </w:tr>
      <w:tr w:rsidR="002A6F75" w:rsidRPr="005A3125" w14:paraId="57E3AAB1" w14:textId="77777777" w:rsidTr="002A6F75">
        <w:trPr>
          <w:trHeight w:val="386"/>
        </w:trPr>
        <w:tc>
          <w:tcPr>
            <w:tcW w:w="4806" w:type="dxa"/>
            <w:hideMark/>
          </w:tcPr>
          <w:p w14:paraId="00E95C3E" w14:textId="77777777" w:rsidR="002A6F75" w:rsidRPr="005A3125" w:rsidRDefault="002A6F75" w:rsidP="002A6F75">
            <w:pPr>
              <w:spacing w:line="360" w:lineRule="auto"/>
              <w:rPr>
                <w:rFonts w:asciiTheme="minorBidi" w:eastAsia="Times New Roman" w:hAnsiTheme="minorBidi"/>
                <w:lang w:eastAsia="en-IN"/>
              </w:rPr>
            </w:pPr>
            <w:r w:rsidRPr="005A3125">
              <w:rPr>
                <w:rFonts w:asciiTheme="minorBidi" w:eastAsia="Times New Roman" w:hAnsiTheme="minorBidi"/>
                <w:lang w:eastAsia="en-IN"/>
              </w:rPr>
              <w:t>PubMed</w:t>
            </w:r>
          </w:p>
        </w:tc>
        <w:tc>
          <w:tcPr>
            <w:tcW w:w="4836" w:type="dxa"/>
            <w:hideMark/>
          </w:tcPr>
          <w:p w14:paraId="13845CAA" w14:textId="77777777" w:rsidR="002A6F75" w:rsidRPr="005A3125" w:rsidRDefault="002A6F75" w:rsidP="002A6F75">
            <w:pPr>
              <w:spacing w:line="360" w:lineRule="auto"/>
              <w:rPr>
                <w:rFonts w:asciiTheme="minorBidi" w:eastAsia="Times New Roman" w:hAnsiTheme="minorBidi"/>
                <w:lang w:eastAsia="en-IN"/>
              </w:rPr>
            </w:pPr>
            <w:r w:rsidRPr="005A3125">
              <w:rPr>
                <w:rFonts w:asciiTheme="minorBidi" w:eastAsia="Times New Roman" w:hAnsiTheme="minorBidi"/>
                <w:lang w:eastAsia="en-IN"/>
              </w:rPr>
              <w:t>Medical and public health literature</w:t>
            </w:r>
          </w:p>
        </w:tc>
      </w:tr>
      <w:tr w:rsidR="002A6F75" w:rsidRPr="005A3125" w14:paraId="1979072C" w14:textId="77777777" w:rsidTr="002A6F75">
        <w:trPr>
          <w:trHeight w:val="386"/>
        </w:trPr>
        <w:tc>
          <w:tcPr>
            <w:tcW w:w="4806" w:type="dxa"/>
            <w:hideMark/>
          </w:tcPr>
          <w:p w14:paraId="541831D6" w14:textId="77777777" w:rsidR="002A6F75" w:rsidRPr="005A3125" w:rsidRDefault="002A6F75" w:rsidP="002A6F75">
            <w:pPr>
              <w:spacing w:line="360" w:lineRule="auto"/>
              <w:rPr>
                <w:rFonts w:asciiTheme="minorBidi" w:eastAsia="Times New Roman" w:hAnsiTheme="minorBidi"/>
                <w:lang w:eastAsia="en-IN"/>
              </w:rPr>
            </w:pPr>
            <w:r w:rsidRPr="005A3125">
              <w:rPr>
                <w:rFonts w:asciiTheme="minorBidi" w:eastAsia="Times New Roman" w:hAnsiTheme="minorBidi"/>
                <w:lang w:eastAsia="en-IN"/>
              </w:rPr>
              <w:t>PsycINFO</w:t>
            </w:r>
          </w:p>
        </w:tc>
        <w:tc>
          <w:tcPr>
            <w:tcW w:w="4836" w:type="dxa"/>
            <w:hideMark/>
          </w:tcPr>
          <w:p w14:paraId="3F3CC5B2" w14:textId="77777777" w:rsidR="002A6F75" w:rsidRPr="005A3125" w:rsidRDefault="002A6F75" w:rsidP="002A6F75">
            <w:pPr>
              <w:spacing w:line="360" w:lineRule="auto"/>
              <w:rPr>
                <w:rFonts w:asciiTheme="minorBidi" w:eastAsia="Times New Roman" w:hAnsiTheme="minorBidi"/>
                <w:lang w:eastAsia="en-IN"/>
              </w:rPr>
            </w:pPr>
            <w:r w:rsidRPr="005A3125">
              <w:rPr>
                <w:rFonts w:asciiTheme="minorBidi" w:eastAsia="Times New Roman" w:hAnsiTheme="minorBidi"/>
                <w:lang w:eastAsia="en-IN"/>
              </w:rPr>
              <w:t>Psychology and mental health studies</w:t>
            </w:r>
          </w:p>
        </w:tc>
      </w:tr>
      <w:tr w:rsidR="002A6F75" w:rsidRPr="005A3125" w14:paraId="0C3E2CEC" w14:textId="77777777" w:rsidTr="002A6F75">
        <w:trPr>
          <w:trHeight w:val="386"/>
        </w:trPr>
        <w:tc>
          <w:tcPr>
            <w:tcW w:w="4806" w:type="dxa"/>
            <w:hideMark/>
          </w:tcPr>
          <w:p w14:paraId="5314DDBA" w14:textId="77777777" w:rsidR="002A6F75" w:rsidRPr="005A3125" w:rsidRDefault="002A6F75" w:rsidP="002A6F75">
            <w:pPr>
              <w:spacing w:line="360" w:lineRule="auto"/>
              <w:rPr>
                <w:rFonts w:asciiTheme="minorBidi" w:eastAsia="Times New Roman" w:hAnsiTheme="minorBidi"/>
                <w:lang w:eastAsia="en-IN"/>
              </w:rPr>
            </w:pPr>
            <w:r w:rsidRPr="005A3125">
              <w:rPr>
                <w:rFonts w:asciiTheme="minorBidi" w:eastAsia="Times New Roman" w:hAnsiTheme="minorBidi"/>
                <w:lang w:eastAsia="en-IN"/>
              </w:rPr>
              <w:t>CINAHL</w:t>
            </w:r>
          </w:p>
        </w:tc>
        <w:tc>
          <w:tcPr>
            <w:tcW w:w="4836" w:type="dxa"/>
            <w:hideMark/>
          </w:tcPr>
          <w:p w14:paraId="628B11FE" w14:textId="77777777" w:rsidR="002A6F75" w:rsidRPr="005A3125" w:rsidRDefault="002A6F75" w:rsidP="002A6F75">
            <w:pPr>
              <w:spacing w:line="360" w:lineRule="auto"/>
              <w:rPr>
                <w:rFonts w:asciiTheme="minorBidi" w:eastAsia="Times New Roman" w:hAnsiTheme="minorBidi"/>
                <w:lang w:eastAsia="en-IN"/>
              </w:rPr>
            </w:pPr>
            <w:r w:rsidRPr="005A3125">
              <w:rPr>
                <w:rFonts w:asciiTheme="minorBidi" w:eastAsia="Times New Roman" w:hAnsiTheme="minorBidi"/>
                <w:lang w:eastAsia="en-IN"/>
              </w:rPr>
              <w:t>Nursing and healthcare research</w:t>
            </w:r>
          </w:p>
        </w:tc>
      </w:tr>
      <w:tr w:rsidR="00C222D5" w:rsidRPr="005A3125" w14:paraId="3E18822C" w14:textId="77777777" w:rsidTr="002A6F75">
        <w:trPr>
          <w:trHeight w:val="386"/>
        </w:trPr>
        <w:tc>
          <w:tcPr>
            <w:tcW w:w="4806" w:type="dxa"/>
            <w:hideMark/>
          </w:tcPr>
          <w:p w14:paraId="484DFF93" w14:textId="673ADB6C" w:rsidR="00C222D5" w:rsidRPr="005A3125" w:rsidRDefault="00C222D5" w:rsidP="002A6F75">
            <w:pPr>
              <w:spacing w:line="360" w:lineRule="auto"/>
              <w:rPr>
                <w:rFonts w:asciiTheme="minorBidi" w:eastAsia="Times New Roman" w:hAnsiTheme="minorBidi"/>
                <w:lang w:eastAsia="en-IN"/>
              </w:rPr>
            </w:pPr>
            <w:r w:rsidRPr="005A3125">
              <w:rPr>
                <w:rFonts w:asciiTheme="minorBidi" w:eastAsia="Times New Roman" w:hAnsiTheme="minorBidi"/>
                <w:lang w:eastAsia="en-IN"/>
              </w:rPr>
              <w:t>Google Scholar</w:t>
            </w:r>
          </w:p>
        </w:tc>
        <w:tc>
          <w:tcPr>
            <w:tcW w:w="4836" w:type="dxa"/>
            <w:hideMark/>
          </w:tcPr>
          <w:p w14:paraId="735279D3" w14:textId="2E8E2C42" w:rsidR="00C222D5" w:rsidRPr="005A3125" w:rsidRDefault="00C222D5" w:rsidP="002A6F75">
            <w:pPr>
              <w:spacing w:line="360" w:lineRule="auto"/>
              <w:rPr>
                <w:rFonts w:asciiTheme="minorBidi" w:eastAsia="Times New Roman" w:hAnsiTheme="minorBidi"/>
                <w:lang w:eastAsia="en-IN"/>
              </w:rPr>
            </w:pPr>
            <w:r w:rsidRPr="005A3125">
              <w:rPr>
                <w:rFonts w:asciiTheme="minorBidi" w:eastAsia="Times New Roman" w:hAnsiTheme="minorBidi"/>
                <w:lang w:eastAsia="en-IN"/>
              </w:rPr>
              <w:t>Broad academic retrieval</w:t>
            </w:r>
          </w:p>
        </w:tc>
      </w:tr>
      <w:tr w:rsidR="00C222D5" w:rsidRPr="005A3125" w14:paraId="4598B0EA" w14:textId="77777777" w:rsidTr="002A6F75">
        <w:trPr>
          <w:trHeight w:val="386"/>
        </w:trPr>
        <w:tc>
          <w:tcPr>
            <w:tcW w:w="4806" w:type="dxa"/>
            <w:hideMark/>
          </w:tcPr>
          <w:p w14:paraId="4D46A8D3" w14:textId="29DBA123" w:rsidR="00C222D5" w:rsidRPr="005A3125" w:rsidRDefault="00C222D5" w:rsidP="002A6F75">
            <w:pPr>
              <w:spacing w:line="360" w:lineRule="auto"/>
              <w:rPr>
                <w:rFonts w:asciiTheme="minorBidi" w:eastAsia="Times New Roman" w:hAnsiTheme="minorBidi"/>
                <w:lang w:eastAsia="en-IN"/>
              </w:rPr>
            </w:pPr>
            <w:r w:rsidRPr="005A3125">
              <w:rPr>
                <w:rFonts w:asciiTheme="minorBidi" w:eastAsia="Times New Roman" w:hAnsiTheme="minorBidi"/>
                <w:lang w:eastAsia="en-IN"/>
              </w:rPr>
              <w:t>Cochrane Library</w:t>
            </w:r>
          </w:p>
        </w:tc>
        <w:tc>
          <w:tcPr>
            <w:tcW w:w="4836" w:type="dxa"/>
            <w:hideMark/>
          </w:tcPr>
          <w:p w14:paraId="2AC79480" w14:textId="3D46774D" w:rsidR="00C222D5" w:rsidRPr="005A3125" w:rsidRDefault="00C222D5" w:rsidP="002A6F75">
            <w:pPr>
              <w:spacing w:line="360" w:lineRule="auto"/>
              <w:rPr>
                <w:rFonts w:asciiTheme="minorBidi" w:eastAsia="Times New Roman" w:hAnsiTheme="minorBidi"/>
                <w:lang w:eastAsia="en-IN"/>
              </w:rPr>
            </w:pPr>
            <w:r w:rsidRPr="005A3125">
              <w:rPr>
                <w:rFonts w:asciiTheme="minorBidi" w:eastAsia="Times New Roman" w:hAnsiTheme="minorBidi"/>
                <w:lang w:eastAsia="en-IN"/>
              </w:rPr>
              <w:t>Evidence-based healthcare reviews</w:t>
            </w:r>
          </w:p>
        </w:tc>
      </w:tr>
      <w:tr w:rsidR="00C222D5" w:rsidRPr="005A3125" w14:paraId="5A678716" w14:textId="77777777" w:rsidTr="002A6F75">
        <w:trPr>
          <w:trHeight w:val="386"/>
        </w:trPr>
        <w:tc>
          <w:tcPr>
            <w:tcW w:w="4806" w:type="dxa"/>
            <w:hideMark/>
          </w:tcPr>
          <w:p w14:paraId="0DC7E69D" w14:textId="7B2237AA" w:rsidR="00C222D5" w:rsidRPr="005A3125" w:rsidRDefault="00C222D5" w:rsidP="002A6F75">
            <w:pPr>
              <w:spacing w:line="360" w:lineRule="auto"/>
              <w:rPr>
                <w:rFonts w:asciiTheme="minorBidi" w:eastAsia="Times New Roman" w:hAnsiTheme="minorBidi"/>
                <w:lang w:eastAsia="en-IN"/>
              </w:rPr>
            </w:pPr>
            <w:r w:rsidRPr="005A3125">
              <w:rPr>
                <w:rFonts w:asciiTheme="minorBidi" w:eastAsia="Times New Roman" w:hAnsiTheme="minorBidi"/>
                <w:lang w:eastAsia="en-IN"/>
              </w:rPr>
              <w:t>NHS Digital</w:t>
            </w:r>
          </w:p>
        </w:tc>
        <w:tc>
          <w:tcPr>
            <w:tcW w:w="4836" w:type="dxa"/>
            <w:hideMark/>
          </w:tcPr>
          <w:p w14:paraId="48E6D433" w14:textId="276055B4" w:rsidR="00C222D5" w:rsidRPr="005A3125" w:rsidRDefault="00C222D5" w:rsidP="002A6F75">
            <w:pPr>
              <w:spacing w:line="360" w:lineRule="auto"/>
              <w:rPr>
                <w:rFonts w:asciiTheme="minorBidi" w:eastAsia="Times New Roman" w:hAnsiTheme="minorBidi"/>
                <w:lang w:eastAsia="en-IN"/>
              </w:rPr>
            </w:pPr>
            <w:r w:rsidRPr="005A3125">
              <w:rPr>
                <w:rFonts w:asciiTheme="minorBidi" w:eastAsia="Times New Roman" w:hAnsiTheme="minorBidi"/>
                <w:lang w:eastAsia="en-IN"/>
              </w:rPr>
              <w:t>UK mental health statistics</w:t>
            </w:r>
          </w:p>
        </w:tc>
      </w:tr>
      <w:tr w:rsidR="00C222D5" w:rsidRPr="005A3125" w14:paraId="234DF436" w14:textId="77777777" w:rsidTr="002A6F75">
        <w:trPr>
          <w:trHeight w:val="407"/>
        </w:trPr>
        <w:tc>
          <w:tcPr>
            <w:tcW w:w="4806" w:type="dxa"/>
            <w:hideMark/>
          </w:tcPr>
          <w:p w14:paraId="50B639AC" w14:textId="5257DA3D" w:rsidR="00C222D5" w:rsidRPr="005A3125" w:rsidRDefault="00C222D5" w:rsidP="002A6F75">
            <w:pPr>
              <w:spacing w:line="360" w:lineRule="auto"/>
              <w:rPr>
                <w:rFonts w:asciiTheme="minorBidi" w:eastAsia="Times New Roman" w:hAnsiTheme="minorBidi"/>
                <w:lang w:eastAsia="en-IN"/>
              </w:rPr>
            </w:pPr>
            <w:r w:rsidRPr="005A3125">
              <w:rPr>
                <w:rFonts w:asciiTheme="minorBidi" w:eastAsia="Times New Roman" w:hAnsiTheme="minorBidi"/>
                <w:lang w:eastAsia="en-IN"/>
              </w:rPr>
              <w:lastRenderedPageBreak/>
              <w:t>ONS</w:t>
            </w:r>
          </w:p>
        </w:tc>
        <w:tc>
          <w:tcPr>
            <w:tcW w:w="4836" w:type="dxa"/>
            <w:hideMark/>
          </w:tcPr>
          <w:p w14:paraId="79CF5DC9" w14:textId="616A81FC" w:rsidR="00C222D5" w:rsidRPr="005A3125" w:rsidRDefault="00C222D5" w:rsidP="002A6F75">
            <w:pPr>
              <w:spacing w:line="360" w:lineRule="auto"/>
              <w:rPr>
                <w:rFonts w:asciiTheme="minorBidi" w:eastAsia="Times New Roman" w:hAnsiTheme="minorBidi"/>
                <w:lang w:eastAsia="en-IN"/>
              </w:rPr>
            </w:pPr>
            <w:r w:rsidRPr="005A3125">
              <w:rPr>
                <w:rFonts w:asciiTheme="minorBidi" w:eastAsia="Times New Roman" w:hAnsiTheme="minorBidi"/>
                <w:lang w:eastAsia="en-IN"/>
              </w:rPr>
              <w:t>UK demographic and inequality data</w:t>
            </w:r>
          </w:p>
        </w:tc>
      </w:tr>
      <w:tr w:rsidR="00C222D5" w:rsidRPr="005A3125" w14:paraId="7512D70C" w14:textId="77777777" w:rsidTr="002A6F75">
        <w:trPr>
          <w:trHeight w:val="386"/>
        </w:trPr>
        <w:tc>
          <w:tcPr>
            <w:tcW w:w="4806" w:type="dxa"/>
            <w:hideMark/>
          </w:tcPr>
          <w:p w14:paraId="009E8FC4" w14:textId="6082ED47" w:rsidR="00C222D5" w:rsidRPr="005A3125" w:rsidRDefault="00C222D5" w:rsidP="002A6F75">
            <w:pPr>
              <w:spacing w:line="360" w:lineRule="auto"/>
              <w:rPr>
                <w:rFonts w:asciiTheme="minorBidi" w:eastAsia="Times New Roman" w:hAnsiTheme="minorBidi"/>
                <w:lang w:eastAsia="en-IN"/>
              </w:rPr>
            </w:pPr>
            <w:r w:rsidRPr="005A3125">
              <w:rPr>
                <w:rFonts w:asciiTheme="minorBidi" w:eastAsia="Times New Roman" w:hAnsiTheme="minorBidi"/>
                <w:lang w:eastAsia="en-IN"/>
              </w:rPr>
              <w:t>GOV.UK Ethnicity Facts and Figures</w:t>
            </w:r>
          </w:p>
        </w:tc>
        <w:tc>
          <w:tcPr>
            <w:tcW w:w="4836" w:type="dxa"/>
            <w:hideMark/>
          </w:tcPr>
          <w:p w14:paraId="5DFE0501" w14:textId="32D26D15" w:rsidR="00C222D5" w:rsidRPr="005A3125" w:rsidRDefault="00C222D5" w:rsidP="002A6F75">
            <w:pPr>
              <w:spacing w:line="360" w:lineRule="auto"/>
              <w:rPr>
                <w:rFonts w:asciiTheme="minorBidi" w:eastAsia="Times New Roman" w:hAnsiTheme="minorBidi"/>
                <w:lang w:eastAsia="en-IN"/>
              </w:rPr>
            </w:pPr>
            <w:r w:rsidRPr="005A3125">
              <w:rPr>
                <w:rFonts w:asciiTheme="minorBidi" w:eastAsia="Times New Roman" w:hAnsiTheme="minorBidi"/>
                <w:lang w:eastAsia="en-IN"/>
              </w:rPr>
              <w:t>Ethnicity inequality statistics</w:t>
            </w:r>
          </w:p>
        </w:tc>
      </w:tr>
    </w:tbl>
    <w:p w14:paraId="59076FB1" w14:textId="16088558" w:rsidR="00036AD6" w:rsidRPr="005A3125" w:rsidRDefault="002A6F75" w:rsidP="00036AD6">
      <w:pPr>
        <w:pStyle w:val="NormalWeb"/>
        <w:spacing w:line="360" w:lineRule="auto"/>
        <w:jc w:val="both"/>
        <w:rPr>
          <w:rFonts w:asciiTheme="minorBidi" w:hAnsiTheme="minorBidi" w:cstheme="minorBidi"/>
          <w:sz w:val="22"/>
          <w:szCs w:val="22"/>
        </w:rPr>
      </w:pPr>
      <w:r w:rsidRPr="005A3125">
        <w:rPr>
          <w:rFonts w:asciiTheme="minorBidi" w:hAnsiTheme="minorBidi" w:cstheme="minorBidi"/>
          <w:sz w:val="22"/>
          <w:szCs w:val="22"/>
        </w:rPr>
        <w:t>Table 3.1 outlines the databases used during the literature search process. Multiple databases were selected to ensure comprehensive retrieval of peer-reviewed and grey literature relevant to youth mental health inequalitie</w:t>
      </w:r>
      <w:r w:rsidR="00736B56" w:rsidRPr="005A3125">
        <w:rPr>
          <w:rFonts w:asciiTheme="minorBidi" w:hAnsiTheme="minorBidi" w:cstheme="minorBidi"/>
          <w:sz w:val="22"/>
          <w:szCs w:val="22"/>
        </w:rPr>
        <w:t xml:space="preserve">s, racism, and public </w:t>
      </w:r>
      <w:proofErr w:type="spellStart"/>
      <w:r w:rsidR="00736B56" w:rsidRPr="005A3125">
        <w:rPr>
          <w:rFonts w:asciiTheme="minorBidi" w:hAnsiTheme="minorBidi" w:cstheme="minorBidi"/>
          <w:sz w:val="22"/>
          <w:szCs w:val="22"/>
        </w:rPr>
        <w:t>health</w:t>
      </w:r>
      <w:r w:rsidR="00F47C2B" w:rsidRPr="005A3125">
        <w:rPr>
          <w:rFonts w:asciiTheme="minorBidi" w:hAnsiTheme="minorBidi" w:cstheme="minorBidi"/>
          <w:sz w:val="22"/>
          <w:szCs w:val="22"/>
        </w:rPr>
        <w:t>.</w:t>
      </w:r>
      <w:r w:rsidR="00036AD6" w:rsidRPr="005A3125">
        <w:rPr>
          <w:rFonts w:asciiTheme="minorBidi" w:hAnsiTheme="minorBidi" w:cstheme="minorBidi"/>
          <w:sz w:val="22"/>
          <w:szCs w:val="22"/>
        </w:rPr>
        <w:t>The</w:t>
      </w:r>
      <w:proofErr w:type="spellEnd"/>
      <w:r w:rsidR="00036AD6" w:rsidRPr="005A3125">
        <w:rPr>
          <w:rFonts w:asciiTheme="minorBidi" w:hAnsiTheme="minorBidi" w:cstheme="minorBidi"/>
          <w:sz w:val="22"/>
          <w:szCs w:val="22"/>
        </w:rPr>
        <w:t xml:space="preserve"> use of multiple databases ensured comprehensive coverage of both peer-reviewed research and policy-based evidence (Bramer et al., 2018; Haddaway et al., 2015). Inclusion of official UK datasets strengthened the contextual relevance of the findings.</w:t>
      </w:r>
    </w:p>
    <w:p w14:paraId="7545286A" w14:textId="1A63A8DD" w:rsidR="00036AD6" w:rsidRPr="005A3125" w:rsidRDefault="00036AD6" w:rsidP="00036AD6">
      <w:pPr>
        <w:pStyle w:val="NormalWeb"/>
        <w:spacing w:line="360" w:lineRule="auto"/>
        <w:jc w:val="both"/>
        <w:rPr>
          <w:rFonts w:asciiTheme="minorBidi" w:hAnsiTheme="minorBidi" w:cstheme="minorBidi"/>
          <w:sz w:val="22"/>
          <w:szCs w:val="22"/>
        </w:rPr>
      </w:pPr>
      <w:r w:rsidRPr="005A3125">
        <w:rPr>
          <w:rFonts w:asciiTheme="minorBidi" w:hAnsiTheme="minorBidi" w:cstheme="minorBidi"/>
          <w:sz w:val="22"/>
          <w:szCs w:val="22"/>
        </w:rPr>
        <w:t>The search strategy included keywords such as depression, anxiety, Black African youth, Mixed African youth, mental health inequalities, structural racism, and mental healthcare access in the United Kingdom. Boolean operators (AND/OR) were applied to improve precision and sensitivity (Booth et al., 2016).</w:t>
      </w:r>
    </w:p>
    <w:p w14:paraId="792C6D8E" w14:textId="77777777" w:rsidR="00036AD6" w:rsidRPr="005A3125" w:rsidRDefault="00036AD6" w:rsidP="00036AD6">
      <w:pPr>
        <w:pStyle w:val="NormalWeb"/>
        <w:spacing w:line="360" w:lineRule="auto"/>
        <w:jc w:val="both"/>
        <w:rPr>
          <w:rFonts w:asciiTheme="minorBidi" w:hAnsiTheme="minorBidi" w:cstheme="minorBidi"/>
          <w:sz w:val="22"/>
          <w:szCs w:val="22"/>
        </w:rPr>
      </w:pPr>
      <w:r w:rsidRPr="005A3125">
        <w:rPr>
          <w:rFonts w:asciiTheme="minorBidi" w:hAnsiTheme="minorBidi" w:cstheme="minorBidi"/>
          <w:sz w:val="22"/>
          <w:szCs w:val="22"/>
        </w:rPr>
        <w:t>An example search string included combinations of:</w:t>
      </w:r>
    </w:p>
    <w:p w14:paraId="6D3BC2B5" w14:textId="3873D4F3" w:rsidR="00036AD6" w:rsidRPr="005A3125" w:rsidRDefault="00036AD6" w:rsidP="00036AD6">
      <w:pPr>
        <w:pStyle w:val="NormalWeb"/>
        <w:spacing w:line="360" w:lineRule="auto"/>
        <w:jc w:val="both"/>
        <w:rPr>
          <w:rFonts w:asciiTheme="minorBidi" w:hAnsiTheme="minorBidi" w:cstheme="minorBidi"/>
          <w:sz w:val="22"/>
          <w:szCs w:val="22"/>
        </w:rPr>
      </w:pPr>
      <w:r w:rsidRPr="005A3125">
        <w:rPr>
          <w:rFonts w:asciiTheme="minorBidi" w:hAnsiTheme="minorBidi" w:cstheme="minorBidi"/>
          <w:sz w:val="22"/>
          <w:szCs w:val="22"/>
        </w:rPr>
        <w:t>“Depression” OR “Anxiety” AND “Black African” OR “Mixed African” AND “Mental health inequalities” AND “United Kingdom”.</w:t>
      </w:r>
    </w:p>
    <w:p w14:paraId="1427D159" w14:textId="04BF1605" w:rsidR="002A6F75" w:rsidRPr="005A3125" w:rsidRDefault="00D35528" w:rsidP="00D35528">
      <w:pPr>
        <w:pStyle w:val="Heading1"/>
        <w:spacing w:line="360" w:lineRule="auto"/>
        <w:ind w:left="12" w:right="3"/>
        <w:jc w:val="left"/>
        <w:rPr>
          <w:rFonts w:asciiTheme="minorBidi" w:hAnsiTheme="minorBidi" w:cstheme="minorBidi"/>
          <w:sz w:val="22"/>
        </w:rPr>
      </w:pPr>
      <w:bookmarkStart w:id="20" w:name="_Toc232456054"/>
      <w:r w:rsidRPr="005A3125">
        <w:rPr>
          <w:rFonts w:asciiTheme="minorBidi" w:hAnsiTheme="minorBidi" w:cstheme="minorBidi"/>
          <w:sz w:val="22"/>
        </w:rPr>
        <w:t>3.8 Inclusion and Exclusion Criteria</w:t>
      </w:r>
      <w:bookmarkEnd w:id="20"/>
    </w:p>
    <w:p w14:paraId="3C503EB7" w14:textId="03725E7C" w:rsidR="002A6F75" w:rsidRPr="005A3125" w:rsidRDefault="002A6F75" w:rsidP="002A6F75">
      <w:pPr>
        <w:pStyle w:val="NormalWeb"/>
        <w:spacing w:line="360" w:lineRule="auto"/>
        <w:jc w:val="both"/>
        <w:rPr>
          <w:rFonts w:asciiTheme="minorBidi" w:hAnsiTheme="minorBidi" w:cstheme="minorBidi"/>
          <w:sz w:val="22"/>
          <w:szCs w:val="22"/>
        </w:rPr>
      </w:pPr>
      <w:r w:rsidRPr="005A3125">
        <w:rPr>
          <w:rFonts w:asciiTheme="minorBidi" w:hAnsiTheme="minorBidi" w:cstheme="minorBidi"/>
          <w:sz w:val="22"/>
          <w:szCs w:val="22"/>
        </w:rPr>
        <w:t>Inclusion and exclusion criteria were developed to ensure relevance and consistency during study selection.</w:t>
      </w:r>
    </w:p>
    <w:p w14:paraId="559F78DD" w14:textId="34B5AB08" w:rsidR="002A6F75" w:rsidRPr="005A3125" w:rsidRDefault="002A6F75" w:rsidP="002A6F75">
      <w:pPr>
        <w:pStyle w:val="NormalWeb"/>
        <w:spacing w:line="360" w:lineRule="auto"/>
        <w:jc w:val="both"/>
        <w:rPr>
          <w:rFonts w:asciiTheme="minorBidi" w:hAnsiTheme="minorBidi" w:cstheme="minorBidi"/>
          <w:b/>
          <w:sz w:val="22"/>
          <w:szCs w:val="22"/>
        </w:rPr>
      </w:pPr>
      <w:r w:rsidRPr="005A3125">
        <w:rPr>
          <w:rFonts w:asciiTheme="minorBidi" w:hAnsiTheme="minorBidi" w:cstheme="minorBidi"/>
          <w:b/>
          <w:sz w:val="22"/>
          <w:szCs w:val="22"/>
        </w:rPr>
        <w:t>Table 3.2</w:t>
      </w:r>
      <w:r w:rsidR="00213DE7" w:rsidRPr="005A3125">
        <w:rPr>
          <w:rFonts w:asciiTheme="minorBidi" w:hAnsiTheme="minorBidi" w:cstheme="minorBidi"/>
          <w:b/>
          <w:sz w:val="22"/>
          <w:szCs w:val="22"/>
        </w:rPr>
        <w:t>:</w:t>
      </w:r>
      <w:r w:rsidRPr="005A3125">
        <w:rPr>
          <w:rFonts w:asciiTheme="minorBidi" w:hAnsiTheme="minorBidi" w:cstheme="minorBidi"/>
          <w:b/>
          <w:sz w:val="22"/>
          <w:szCs w:val="22"/>
        </w:rPr>
        <w:t xml:space="preserve"> Inclusion and Exclusion Criteria</w:t>
      </w:r>
    </w:p>
    <w:tbl>
      <w:tblPr>
        <w:tblStyle w:val="TableGrid"/>
        <w:tblW w:w="9646" w:type="dxa"/>
        <w:tblLayout w:type="fixed"/>
        <w:tblLook w:val="04A0" w:firstRow="1" w:lastRow="0" w:firstColumn="1" w:lastColumn="0" w:noHBand="0" w:noVBand="1"/>
      </w:tblPr>
      <w:tblGrid>
        <w:gridCol w:w="4534"/>
        <w:gridCol w:w="5112"/>
      </w:tblGrid>
      <w:tr w:rsidR="002A6F75" w:rsidRPr="005A3125" w14:paraId="5AF7B28A" w14:textId="77777777" w:rsidTr="002A6F75">
        <w:trPr>
          <w:trHeight w:val="544"/>
        </w:trPr>
        <w:tc>
          <w:tcPr>
            <w:tcW w:w="4534" w:type="dxa"/>
            <w:hideMark/>
          </w:tcPr>
          <w:p w14:paraId="4FC36070" w14:textId="77777777" w:rsidR="002A6F75" w:rsidRPr="005A3125" w:rsidRDefault="002A6F75" w:rsidP="002A6F75">
            <w:pPr>
              <w:spacing w:line="360" w:lineRule="auto"/>
              <w:jc w:val="center"/>
              <w:rPr>
                <w:rFonts w:asciiTheme="minorBidi" w:hAnsiTheme="minorBidi"/>
                <w:b/>
                <w:bCs/>
              </w:rPr>
            </w:pPr>
            <w:r w:rsidRPr="005A3125">
              <w:rPr>
                <w:rFonts w:asciiTheme="minorBidi" w:hAnsiTheme="minorBidi"/>
                <w:b/>
                <w:bCs/>
              </w:rPr>
              <w:t>Inclusion Criteria</w:t>
            </w:r>
          </w:p>
        </w:tc>
        <w:tc>
          <w:tcPr>
            <w:tcW w:w="5112" w:type="dxa"/>
            <w:hideMark/>
          </w:tcPr>
          <w:p w14:paraId="15578E38" w14:textId="77777777" w:rsidR="002A6F75" w:rsidRPr="005A3125" w:rsidRDefault="002A6F75" w:rsidP="002A6F75">
            <w:pPr>
              <w:spacing w:line="360" w:lineRule="auto"/>
              <w:jc w:val="center"/>
              <w:rPr>
                <w:rFonts w:asciiTheme="minorBidi" w:hAnsiTheme="minorBidi"/>
                <w:b/>
                <w:bCs/>
              </w:rPr>
            </w:pPr>
            <w:r w:rsidRPr="005A3125">
              <w:rPr>
                <w:rFonts w:asciiTheme="minorBidi" w:hAnsiTheme="minorBidi"/>
                <w:b/>
                <w:bCs/>
              </w:rPr>
              <w:t>Exclusion Criteria</w:t>
            </w:r>
          </w:p>
        </w:tc>
      </w:tr>
      <w:tr w:rsidR="002A6F75" w:rsidRPr="005A3125" w14:paraId="08AD6D7B" w14:textId="77777777" w:rsidTr="002A6F75">
        <w:trPr>
          <w:trHeight w:val="513"/>
        </w:trPr>
        <w:tc>
          <w:tcPr>
            <w:tcW w:w="4534" w:type="dxa"/>
            <w:hideMark/>
          </w:tcPr>
          <w:p w14:paraId="6B893AD0" w14:textId="77777777" w:rsidR="002A6F75" w:rsidRPr="005A3125" w:rsidRDefault="002A6F75" w:rsidP="002A6F75">
            <w:pPr>
              <w:spacing w:line="360" w:lineRule="auto"/>
              <w:rPr>
                <w:rFonts w:asciiTheme="minorBidi" w:hAnsiTheme="minorBidi"/>
              </w:rPr>
            </w:pPr>
            <w:r w:rsidRPr="005A3125">
              <w:rPr>
                <w:rFonts w:asciiTheme="minorBidi" w:hAnsiTheme="minorBidi"/>
              </w:rPr>
              <w:t>Published between 2010–2025</w:t>
            </w:r>
          </w:p>
        </w:tc>
        <w:tc>
          <w:tcPr>
            <w:tcW w:w="5112" w:type="dxa"/>
            <w:hideMark/>
          </w:tcPr>
          <w:p w14:paraId="0AA21FDF" w14:textId="77777777" w:rsidR="002A6F75" w:rsidRPr="005A3125" w:rsidRDefault="002A6F75" w:rsidP="002A6F75">
            <w:pPr>
              <w:spacing w:line="360" w:lineRule="auto"/>
              <w:rPr>
                <w:rFonts w:asciiTheme="minorBidi" w:hAnsiTheme="minorBidi"/>
              </w:rPr>
            </w:pPr>
            <w:r w:rsidRPr="005A3125">
              <w:rPr>
                <w:rFonts w:asciiTheme="minorBidi" w:hAnsiTheme="minorBidi"/>
              </w:rPr>
              <w:t>Published before 2010</w:t>
            </w:r>
          </w:p>
        </w:tc>
      </w:tr>
      <w:tr w:rsidR="002A6F75" w:rsidRPr="005A3125" w14:paraId="3B72EB7C" w14:textId="77777777" w:rsidTr="002A6F75">
        <w:trPr>
          <w:trHeight w:val="544"/>
        </w:trPr>
        <w:tc>
          <w:tcPr>
            <w:tcW w:w="4534" w:type="dxa"/>
            <w:hideMark/>
          </w:tcPr>
          <w:p w14:paraId="004DB565" w14:textId="77777777" w:rsidR="002A6F75" w:rsidRPr="005A3125" w:rsidRDefault="002A6F75" w:rsidP="002A6F75">
            <w:pPr>
              <w:spacing w:line="360" w:lineRule="auto"/>
              <w:rPr>
                <w:rFonts w:asciiTheme="minorBidi" w:hAnsiTheme="minorBidi"/>
              </w:rPr>
            </w:pPr>
            <w:r w:rsidRPr="005A3125">
              <w:rPr>
                <w:rFonts w:asciiTheme="minorBidi" w:hAnsiTheme="minorBidi"/>
              </w:rPr>
              <w:t>English-language studies</w:t>
            </w:r>
          </w:p>
        </w:tc>
        <w:tc>
          <w:tcPr>
            <w:tcW w:w="5112" w:type="dxa"/>
            <w:hideMark/>
          </w:tcPr>
          <w:p w14:paraId="40348F86" w14:textId="77777777" w:rsidR="002A6F75" w:rsidRPr="005A3125" w:rsidRDefault="002A6F75" w:rsidP="002A6F75">
            <w:pPr>
              <w:spacing w:line="360" w:lineRule="auto"/>
              <w:rPr>
                <w:rFonts w:asciiTheme="minorBidi" w:hAnsiTheme="minorBidi"/>
              </w:rPr>
            </w:pPr>
            <w:r w:rsidRPr="005A3125">
              <w:rPr>
                <w:rFonts w:asciiTheme="minorBidi" w:hAnsiTheme="minorBidi"/>
              </w:rPr>
              <w:t>Non-English studies</w:t>
            </w:r>
          </w:p>
        </w:tc>
      </w:tr>
      <w:tr w:rsidR="002A6F75" w:rsidRPr="005A3125" w14:paraId="47AFA12C" w14:textId="77777777" w:rsidTr="002A6F75">
        <w:trPr>
          <w:trHeight w:val="513"/>
        </w:trPr>
        <w:tc>
          <w:tcPr>
            <w:tcW w:w="4534" w:type="dxa"/>
            <w:hideMark/>
          </w:tcPr>
          <w:p w14:paraId="42C0DA2D" w14:textId="77777777" w:rsidR="002A6F75" w:rsidRPr="005A3125" w:rsidRDefault="002A6F75" w:rsidP="002A6F75">
            <w:pPr>
              <w:spacing w:line="360" w:lineRule="auto"/>
              <w:rPr>
                <w:rFonts w:asciiTheme="minorBidi" w:hAnsiTheme="minorBidi"/>
              </w:rPr>
            </w:pPr>
            <w:r w:rsidRPr="005A3125">
              <w:rPr>
                <w:rFonts w:asciiTheme="minorBidi" w:hAnsiTheme="minorBidi"/>
              </w:rPr>
              <w:t>UK-based research</w:t>
            </w:r>
          </w:p>
        </w:tc>
        <w:tc>
          <w:tcPr>
            <w:tcW w:w="5112" w:type="dxa"/>
            <w:hideMark/>
          </w:tcPr>
          <w:p w14:paraId="7B7EB9ED" w14:textId="77777777" w:rsidR="002A6F75" w:rsidRPr="005A3125" w:rsidRDefault="002A6F75" w:rsidP="002A6F75">
            <w:pPr>
              <w:spacing w:line="360" w:lineRule="auto"/>
              <w:rPr>
                <w:rFonts w:asciiTheme="minorBidi" w:hAnsiTheme="minorBidi"/>
              </w:rPr>
            </w:pPr>
            <w:r w:rsidRPr="005A3125">
              <w:rPr>
                <w:rFonts w:asciiTheme="minorBidi" w:hAnsiTheme="minorBidi"/>
              </w:rPr>
              <w:t>Non-UK populations</w:t>
            </w:r>
          </w:p>
        </w:tc>
      </w:tr>
      <w:tr w:rsidR="002A6F75" w:rsidRPr="005A3125" w14:paraId="24208AB5" w14:textId="77777777" w:rsidTr="002A6F75">
        <w:trPr>
          <w:trHeight w:val="544"/>
        </w:trPr>
        <w:tc>
          <w:tcPr>
            <w:tcW w:w="4534" w:type="dxa"/>
            <w:hideMark/>
          </w:tcPr>
          <w:p w14:paraId="37C6FA5D" w14:textId="77777777" w:rsidR="002A6F75" w:rsidRPr="005A3125" w:rsidRDefault="002A6F75" w:rsidP="002A6F75">
            <w:pPr>
              <w:spacing w:line="360" w:lineRule="auto"/>
              <w:rPr>
                <w:rFonts w:asciiTheme="minorBidi" w:hAnsiTheme="minorBidi"/>
              </w:rPr>
            </w:pPr>
            <w:r w:rsidRPr="005A3125">
              <w:rPr>
                <w:rFonts w:asciiTheme="minorBidi" w:hAnsiTheme="minorBidi"/>
              </w:rPr>
              <w:t>Studies focusing on youth aged 16–25</w:t>
            </w:r>
          </w:p>
        </w:tc>
        <w:tc>
          <w:tcPr>
            <w:tcW w:w="5112" w:type="dxa"/>
            <w:hideMark/>
          </w:tcPr>
          <w:p w14:paraId="677F9268" w14:textId="45523CB1" w:rsidR="002A6F75" w:rsidRPr="005A3125" w:rsidRDefault="00640698" w:rsidP="002A6F75">
            <w:pPr>
              <w:spacing w:line="360" w:lineRule="auto"/>
              <w:rPr>
                <w:rFonts w:asciiTheme="minorBidi" w:hAnsiTheme="minorBidi"/>
              </w:rPr>
            </w:pPr>
            <w:r w:rsidRPr="005A3125">
              <w:rPr>
                <w:rFonts w:asciiTheme="minorBidi" w:hAnsiTheme="minorBidi"/>
              </w:rPr>
              <w:t>Studies focusing exclusively on children under 16 years or adults over 25 years</w:t>
            </w:r>
          </w:p>
        </w:tc>
      </w:tr>
      <w:tr w:rsidR="002A6F75" w:rsidRPr="005A3125" w14:paraId="0BD841F1" w14:textId="77777777" w:rsidTr="002A6F75">
        <w:trPr>
          <w:trHeight w:val="513"/>
        </w:trPr>
        <w:tc>
          <w:tcPr>
            <w:tcW w:w="4534" w:type="dxa"/>
            <w:hideMark/>
          </w:tcPr>
          <w:p w14:paraId="0F75FCF3" w14:textId="77777777" w:rsidR="002A6F75" w:rsidRPr="005A3125" w:rsidRDefault="002A6F75" w:rsidP="002A6F75">
            <w:pPr>
              <w:spacing w:line="360" w:lineRule="auto"/>
              <w:rPr>
                <w:rFonts w:asciiTheme="minorBidi" w:hAnsiTheme="minorBidi"/>
              </w:rPr>
            </w:pPr>
            <w:r w:rsidRPr="005A3125">
              <w:rPr>
                <w:rFonts w:asciiTheme="minorBidi" w:hAnsiTheme="minorBidi"/>
              </w:rPr>
              <w:t>Studies examining depression/anxiety</w:t>
            </w:r>
          </w:p>
        </w:tc>
        <w:tc>
          <w:tcPr>
            <w:tcW w:w="5112" w:type="dxa"/>
            <w:hideMark/>
          </w:tcPr>
          <w:p w14:paraId="3C75BCC9" w14:textId="77777777" w:rsidR="002A6F75" w:rsidRPr="005A3125" w:rsidRDefault="002A6F75" w:rsidP="002A6F75">
            <w:pPr>
              <w:spacing w:line="360" w:lineRule="auto"/>
              <w:rPr>
                <w:rFonts w:asciiTheme="minorBidi" w:hAnsiTheme="minorBidi"/>
              </w:rPr>
            </w:pPr>
            <w:r w:rsidRPr="005A3125">
              <w:rPr>
                <w:rFonts w:asciiTheme="minorBidi" w:hAnsiTheme="minorBidi"/>
              </w:rPr>
              <w:t>Studies unrelated to mental health</w:t>
            </w:r>
          </w:p>
        </w:tc>
      </w:tr>
      <w:tr w:rsidR="002A6F75" w:rsidRPr="005A3125" w14:paraId="17E63BFF" w14:textId="77777777" w:rsidTr="002A6F75">
        <w:trPr>
          <w:trHeight w:val="544"/>
        </w:trPr>
        <w:tc>
          <w:tcPr>
            <w:tcW w:w="4534" w:type="dxa"/>
            <w:hideMark/>
          </w:tcPr>
          <w:p w14:paraId="026662A4" w14:textId="77777777" w:rsidR="002A6F75" w:rsidRPr="005A3125" w:rsidRDefault="002A6F75" w:rsidP="002A6F75">
            <w:pPr>
              <w:spacing w:line="360" w:lineRule="auto"/>
              <w:rPr>
                <w:rFonts w:asciiTheme="minorBidi" w:hAnsiTheme="minorBidi"/>
              </w:rPr>
            </w:pPr>
            <w:r w:rsidRPr="005A3125">
              <w:rPr>
                <w:rFonts w:asciiTheme="minorBidi" w:hAnsiTheme="minorBidi"/>
              </w:rPr>
              <w:t>Peer-reviewed or official reports</w:t>
            </w:r>
          </w:p>
        </w:tc>
        <w:tc>
          <w:tcPr>
            <w:tcW w:w="5112" w:type="dxa"/>
            <w:hideMark/>
          </w:tcPr>
          <w:p w14:paraId="2CE2E7E0" w14:textId="77777777" w:rsidR="002A6F75" w:rsidRPr="005A3125" w:rsidRDefault="002A6F75" w:rsidP="002A6F75">
            <w:pPr>
              <w:spacing w:line="360" w:lineRule="auto"/>
              <w:rPr>
                <w:rFonts w:asciiTheme="minorBidi" w:hAnsiTheme="minorBidi"/>
              </w:rPr>
            </w:pPr>
            <w:r w:rsidRPr="005A3125">
              <w:rPr>
                <w:rFonts w:asciiTheme="minorBidi" w:hAnsiTheme="minorBidi"/>
              </w:rPr>
              <w:t>Non-academic opinion articles</w:t>
            </w:r>
          </w:p>
        </w:tc>
      </w:tr>
    </w:tbl>
    <w:p w14:paraId="7FE62B6F" w14:textId="77777777" w:rsidR="007B0EB3" w:rsidRPr="005A3125" w:rsidRDefault="007B0EB3" w:rsidP="002A6F75">
      <w:pPr>
        <w:spacing w:line="360" w:lineRule="auto"/>
        <w:jc w:val="both"/>
        <w:rPr>
          <w:rFonts w:asciiTheme="minorBidi" w:hAnsiTheme="minorBidi"/>
        </w:rPr>
      </w:pPr>
    </w:p>
    <w:p w14:paraId="70946292" w14:textId="6F5CFB66" w:rsidR="002A6F75" w:rsidRPr="005A3125" w:rsidRDefault="002A6F75" w:rsidP="002A6F75">
      <w:pPr>
        <w:spacing w:line="360" w:lineRule="auto"/>
        <w:jc w:val="both"/>
        <w:rPr>
          <w:rFonts w:asciiTheme="minorBidi" w:hAnsiTheme="minorBidi"/>
        </w:rPr>
      </w:pPr>
      <w:r w:rsidRPr="005A3125">
        <w:rPr>
          <w:rFonts w:asciiTheme="minorBidi" w:hAnsiTheme="minorBidi"/>
        </w:rPr>
        <w:lastRenderedPageBreak/>
        <w:t>Table 3.2 summarises the criteria used to determine study eligibility. Restricting studies to the period 2010–2025 ensured inclusion of contemporary evidence reflecting recent mental health tre</w:t>
      </w:r>
      <w:r w:rsidR="008E2D28" w:rsidRPr="005A3125">
        <w:rPr>
          <w:rFonts w:asciiTheme="minorBidi" w:hAnsiTheme="minorBidi"/>
        </w:rPr>
        <w:t>nds and NHS policy developments (Peters et al., 2020)</w:t>
      </w:r>
    </w:p>
    <w:p w14:paraId="079664D7" w14:textId="77777777" w:rsidR="002A6F75" w:rsidRPr="005A3125" w:rsidRDefault="002A6F75" w:rsidP="002A6F75">
      <w:pPr>
        <w:spacing w:line="360" w:lineRule="auto"/>
        <w:jc w:val="both"/>
        <w:rPr>
          <w:rFonts w:asciiTheme="minorBidi" w:hAnsiTheme="minorBidi"/>
        </w:rPr>
      </w:pPr>
      <w:r w:rsidRPr="005A3125">
        <w:rPr>
          <w:rFonts w:asciiTheme="minorBidi" w:hAnsiTheme="minorBidi"/>
        </w:rPr>
        <w:t>The focus on UK-based studies increased contextual relevance because experiences of racism, healthcare access, and public health systems vary internationally.</w:t>
      </w:r>
    </w:p>
    <w:p w14:paraId="76BBDA7E" w14:textId="25C81400" w:rsidR="008E4DBD" w:rsidRPr="005A3125" w:rsidRDefault="002A6F75" w:rsidP="002A6F75">
      <w:pPr>
        <w:spacing w:line="360" w:lineRule="auto"/>
        <w:jc w:val="both"/>
        <w:rPr>
          <w:rFonts w:asciiTheme="minorBidi" w:hAnsiTheme="minorBidi"/>
        </w:rPr>
      </w:pPr>
      <w:r w:rsidRPr="005A3125">
        <w:rPr>
          <w:rFonts w:asciiTheme="minorBidi" w:hAnsiTheme="minorBidi"/>
        </w:rPr>
        <w:t>English-language restrictions were applied due to resource and translation limitations. Peer-reviewed studies and official institutional reports were prioritised to improve credibility and evidence quality.</w:t>
      </w:r>
    </w:p>
    <w:p w14:paraId="36F9A4CF" w14:textId="34CD2B53" w:rsidR="008E4DBD" w:rsidRPr="005A3125" w:rsidRDefault="008E4DBD" w:rsidP="008E4DBD">
      <w:pPr>
        <w:pStyle w:val="Heading1"/>
        <w:spacing w:line="360" w:lineRule="auto"/>
        <w:ind w:left="12" w:right="3"/>
        <w:jc w:val="left"/>
        <w:rPr>
          <w:rFonts w:asciiTheme="minorBidi" w:hAnsiTheme="minorBidi" w:cstheme="minorBidi"/>
          <w:sz w:val="22"/>
        </w:rPr>
      </w:pPr>
      <w:bookmarkStart w:id="21" w:name="_Toc232456055"/>
      <w:r w:rsidRPr="005A3125">
        <w:rPr>
          <w:rFonts w:asciiTheme="minorBidi" w:hAnsiTheme="minorBidi" w:cstheme="minorBidi"/>
          <w:sz w:val="22"/>
        </w:rPr>
        <w:t>3.9 PRISMA Framework</w:t>
      </w:r>
      <w:bookmarkEnd w:id="21"/>
    </w:p>
    <w:p w14:paraId="122BE612" w14:textId="0C7C3B1A" w:rsidR="00BA1011" w:rsidRPr="005A3125" w:rsidRDefault="002A6F75" w:rsidP="002A6F75">
      <w:pPr>
        <w:spacing w:line="360" w:lineRule="auto"/>
        <w:jc w:val="both"/>
        <w:rPr>
          <w:rFonts w:asciiTheme="minorBidi" w:hAnsiTheme="minorBidi"/>
        </w:rPr>
      </w:pPr>
      <w:r w:rsidRPr="005A3125">
        <w:rPr>
          <w:rFonts w:asciiTheme="minorBidi" w:hAnsiTheme="minorBidi"/>
        </w:rPr>
        <w:t>The systematic review process followed PRISMA guidelines to ensure transparency and methodological rigour.</w:t>
      </w:r>
    </w:p>
    <w:p w14:paraId="62553730" w14:textId="0709F0F5" w:rsidR="009E75F1" w:rsidRPr="005A3125" w:rsidRDefault="00213DE7" w:rsidP="00036AD6">
      <w:pPr>
        <w:spacing w:line="360" w:lineRule="auto"/>
        <w:jc w:val="both"/>
        <w:rPr>
          <w:rFonts w:asciiTheme="minorBidi" w:hAnsiTheme="minorBidi"/>
        </w:rPr>
      </w:pPr>
      <w:r w:rsidRPr="005A3125">
        <w:rPr>
          <w:rFonts w:asciiTheme="minorBidi" w:hAnsiTheme="minorBidi"/>
          <w:b/>
          <w:noProof/>
          <w:lang w:val="en-IN" w:eastAsia="en-IN"/>
        </w:rPr>
        <w:drawing>
          <wp:anchor distT="0" distB="0" distL="114300" distR="114300" simplePos="0" relativeHeight="251658251" behindDoc="1" locked="0" layoutInCell="1" allowOverlap="1" wp14:anchorId="6DBABD01" wp14:editId="524E1583">
            <wp:simplePos x="0" y="0"/>
            <wp:positionH relativeFrom="column">
              <wp:posOffset>1162050</wp:posOffset>
            </wp:positionH>
            <wp:positionV relativeFrom="paragraph">
              <wp:posOffset>222250</wp:posOffset>
            </wp:positionV>
            <wp:extent cx="3095625" cy="4468495"/>
            <wp:effectExtent l="0" t="0" r="9525" b="8255"/>
            <wp:wrapTight wrapText="bothSides">
              <wp:wrapPolygon edited="0">
                <wp:start x="0" y="0"/>
                <wp:lineTo x="0" y="21548"/>
                <wp:lineTo x="21534" y="21548"/>
                <wp:lineTo x="21534"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hatGPT Image Jun 8, 2026, 05_52_07 PM.png"/>
                    <pic:cNvPicPr/>
                  </pic:nvPicPr>
                  <pic:blipFill rotWithShape="1">
                    <a:blip r:embed="rId19" cstate="print">
                      <a:extLst>
                        <a:ext uri="{28A0092B-C50C-407E-A947-70E740481C1C}">
                          <a14:useLocalDpi xmlns:a14="http://schemas.microsoft.com/office/drawing/2010/main" val="0"/>
                        </a:ext>
                      </a:extLst>
                    </a:blip>
                    <a:srcRect t="3711"/>
                    <a:stretch/>
                  </pic:blipFill>
                  <pic:spPr bwMode="auto">
                    <a:xfrm>
                      <a:off x="0" y="0"/>
                      <a:ext cx="3095625" cy="44684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A3125">
        <w:rPr>
          <w:rFonts w:asciiTheme="minorBidi" w:hAnsiTheme="minorBidi"/>
          <w:b/>
        </w:rPr>
        <w:t xml:space="preserve">Figure 3.1: </w:t>
      </w:r>
      <w:r w:rsidR="002A6F75" w:rsidRPr="005A3125">
        <w:rPr>
          <w:rFonts w:asciiTheme="minorBidi" w:hAnsiTheme="minorBidi"/>
          <w:b/>
        </w:rPr>
        <w:t>PRISMA 2020 Flow Diagram</w:t>
      </w:r>
    </w:p>
    <w:p w14:paraId="4912A33A" w14:textId="096872D4" w:rsidR="00036AD6" w:rsidRPr="005A3125" w:rsidRDefault="00036AD6" w:rsidP="00BA1011">
      <w:pPr>
        <w:spacing w:line="360" w:lineRule="auto"/>
        <w:jc w:val="center"/>
        <w:rPr>
          <w:rFonts w:asciiTheme="minorBidi" w:hAnsiTheme="minorBidi"/>
          <w:b/>
        </w:rPr>
      </w:pPr>
    </w:p>
    <w:p w14:paraId="3B9EF3AD" w14:textId="77777777" w:rsidR="00036AD6" w:rsidRPr="005A3125" w:rsidRDefault="00036AD6" w:rsidP="00BA1011">
      <w:pPr>
        <w:spacing w:line="360" w:lineRule="auto"/>
        <w:jc w:val="center"/>
        <w:rPr>
          <w:rFonts w:asciiTheme="minorBidi" w:hAnsiTheme="minorBidi"/>
          <w:b/>
        </w:rPr>
      </w:pPr>
    </w:p>
    <w:p w14:paraId="4453A61B" w14:textId="77777777" w:rsidR="00036AD6" w:rsidRPr="005A3125" w:rsidRDefault="00036AD6" w:rsidP="00BA1011">
      <w:pPr>
        <w:spacing w:line="360" w:lineRule="auto"/>
        <w:jc w:val="center"/>
        <w:rPr>
          <w:rFonts w:asciiTheme="minorBidi" w:hAnsiTheme="minorBidi"/>
          <w:b/>
        </w:rPr>
      </w:pPr>
    </w:p>
    <w:p w14:paraId="15BBFC0D" w14:textId="77777777" w:rsidR="00036AD6" w:rsidRPr="005A3125" w:rsidRDefault="00036AD6" w:rsidP="00BA1011">
      <w:pPr>
        <w:spacing w:line="360" w:lineRule="auto"/>
        <w:jc w:val="center"/>
        <w:rPr>
          <w:rFonts w:asciiTheme="minorBidi" w:hAnsiTheme="minorBidi"/>
          <w:b/>
        </w:rPr>
      </w:pPr>
    </w:p>
    <w:p w14:paraId="1E5CF681" w14:textId="77777777" w:rsidR="00036AD6" w:rsidRPr="005A3125" w:rsidRDefault="00036AD6" w:rsidP="00BA1011">
      <w:pPr>
        <w:spacing w:line="360" w:lineRule="auto"/>
        <w:jc w:val="center"/>
        <w:rPr>
          <w:rFonts w:asciiTheme="minorBidi" w:hAnsiTheme="minorBidi"/>
          <w:b/>
        </w:rPr>
      </w:pPr>
    </w:p>
    <w:p w14:paraId="0DBF66BA" w14:textId="77777777" w:rsidR="00036AD6" w:rsidRPr="005A3125" w:rsidRDefault="00036AD6" w:rsidP="00BA1011">
      <w:pPr>
        <w:spacing w:line="360" w:lineRule="auto"/>
        <w:jc w:val="center"/>
        <w:rPr>
          <w:rFonts w:asciiTheme="minorBidi" w:hAnsiTheme="minorBidi"/>
          <w:b/>
        </w:rPr>
      </w:pPr>
    </w:p>
    <w:p w14:paraId="0142DC77" w14:textId="77777777" w:rsidR="00036AD6" w:rsidRPr="005A3125" w:rsidRDefault="00036AD6" w:rsidP="00BA1011">
      <w:pPr>
        <w:spacing w:line="360" w:lineRule="auto"/>
        <w:jc w:val="center"/>
        <w:rPr>
          <w:rFonts w:asciiTheme="minorBidi" w:hAnsiTheme="minorBidi"/>
          <w:b/>
        </w:rPr>
      </w:pPr>
    </w:p>
    <w:p w14:paraId="20B567EA" w14:textId="77777777" w:rsidR="00036AD6" w:rsidRPr="005A3125" w:rsidRDefault="00036AD6" w:rsidP="00BA1011">
      <w:pPr>
        <w:spacing w:line="360" w:lineRule="auto"/>
        <w:jc w:val="center"/>
        <w:rPr>
          <w:rFonts w:asciiTheme="minorBidi" w:hAnsiTheme="minorBidi"/>
          <w:b/>
        </w:rPr>
      </w:pPr>
    </w:p>
    <w:p w14:paraId="36AE1CCA" w14:textId="77777777" w:rsidR="00036AD6" w:rsidRPr="005A3125" w:rsidRDefault="00036AD6" w:rsidP="00BA1011">
      <w:pPr>
        <w:spacing w:line="360" w:lineRule="auto"/>
        <w:jc w:val="center"/>
        <w:rPr>
          <w:rFonts w:asciiTheme="minorBidi" w:hAnsiTheme="minorBidi"/>
          <w:b/>
        </w:rPr>
      </w:pPr>
    </w:p>
    <w:p w14:paraId="2314B86B" w14:textId="2BFD522E" w:rsidR="00036AD6" w:rsidRPr="005A3125" w:rsidRDefault="00036AD6" w:rsidP="00BA1011">
      <w:pPr>
        <w:spacing w:line="360" w:lineRule="auto"/>
        <w:jc w:val="center"/>
        <w:rPr>
          <w:rFonts w:asciiTheme="minorBidi" w:hAnsiTheme="minorBidi"/>
          <w:b/>
        </w:rPr>
      </w:pPr>
    </w:p>
    <w:p w14:paraId="692F4BE5" w14:textId="77777777" w:rsidR="00036AD6" w:rsidRPr="005A3125" w:rsidRDefault="00036AD6" w:rsidP="00BA1011">
      <w:pPr>
        <w:spacing w:line="360" w:lineRule="auto"/>
        <w:jc w:val="center"/>
        <w:rPr>
          <w:rFonts w:asciiTheme="minorBidi" w:hAnsiTheme="minorBidi"/>
          <w:b/>
        </w:rPr>
      </w:pPr>
    </w:p>
    <w:p w14:paraId="79EB37A9" w14:textId="77777777" w:rsidR="00036AD6" w:rsidRPr="005A3125" w:rsidRDefault="00036AD6" w:rsidP="00BA1011">
      <w:pPr>
        <w:spacing w:line="360" w:lineRule="auto"/>
        <w:jc w:val="center"/>
        <w:rPr>
          <w:rFonts w:asciiTheme="minorBidi" w:hAnsiTheme="minorBidi"/>
          <w:b/>
        </w:rPr>
      </w:pPr>
    </w:p>
    <w:p w14:paraId="32627E7F" w14:textId="6189E606" w:rsidR="00036AD6" w:rsidRPr="005A3125" w:rsidRDefault="00036AD6" w:rsidP="00213DE7">
      <w:pPr>
        <w:spacing w:line="360" w:lineRule="auto"/>
        <w:rPr>
          <w:rFonts w:asciiTheme="minorBidi" w:hAnsiTheme="minorBidi"/>
          <w:b/>
        </w:rPr>
      </w:pPr>
    </w:p>
    <w:p w14:paraId="6490B9C9" w14:textId="77777777" w:rsidR="00213DE7" w:rsidRPr="005A3125" w:rsidRDefault="009E75F1" w:rsidP="00213DE7">
      <w:pPr>
        <w:spacing w:line="360" w:lineRule="auto"/>
        <w:jc w:val="center"/>
        <w:rPr>
          <w:rFonts w:asciiTheme="minorBidi" w:hAnsiTheme="minorBidi"/>
          <w:b/>
          <w:i/>
        </w:rPr>
      </w:pPr>
      <w:r w:rsidRPr="005A3125">
        <w:rPr>
          <w:rFonts w:asciiTheme="minorBidi" w:hAnsiTheme="minorBidi"/>
          <w:b/>
          <w:i/>
        </w:rPr>
        <w:t>S</w:t>
      </w:r>
      <w:r w:rsidR="002A6F75" w:rsidRPr="005A3125">
        <w:rPr>
          <w:rFonts w:asciiTheme="minorBidi" w:hAnsiTheme="minorBidi"/>
          <w:b/>
          <w:i/>
        </w:rPr>
        <w:t>ource:</w:t>
      </w:r>
      <w:r w:rsidR="00F47C2B" w:rsidRPr="005A3125">
        <w:rPr>
          <w:rFonts w:asciiTheme="minorBidi" w:hAnsiTheme="minorBidi"/>
        </w:rPr>
        <w:t xml:space="preserve"> </w:t>
      </w:r>
      <w:r w:rsidR="00F47C2B" w:rsidRPr="005A3125">
        <w:rPr>
          <w:rFonts w:asciiTheme="minorBidi" w:hAnsiTheme="minorBidi"/>
          <w:b/>
          <w:i/>
        </w:rPr>
        <w:t>PRISMA 2020 Statement (Page et al., 2021)</w:t>
      </w:r>
    </w:p>
    <w:p w14:paraId="5425F04D" w14:textId="1A11CFB9" w:rsidR="00036AD6" w:rsidRPr="005A3125" w:rsidRDefault="00036AD6" w:rsidP="00213DE7">
      <w:pPr>
        <w:spacing w:line="360" w:lineRule="auto"/>
        <w:jc w:val="both"/>
        <w:rPr>
          <w:rFonts w:asciiTheme="minorBidi" w:hAnsiTheme="minorBidi"/>
          <w:b/>
          <w:i/>
        </w:rPr>
      </w:pPr>
      <w:r w:rsidRPr="005A3125">
        <w:rPr>
          <w:rFonts w:asciiTheme="minorBidi" w:hAnsiTheme="minorBidi"/>
        </w:rPr>
        <w:t>Figure 3.1</w:t>
      </w:r>
      <w:r w:rsidR="001514CD" w:rsidRPr="005A3125">
        <w:rPr>
          <w:rFonts w:asciiTheme="minorBidi" w:hAnsiTheme="minorBidi"/>
        </w:rPr>
        <w:t>:</w:t>
      </w:r>
      <w:r w:rsidRPr="005A3125">
        <w:rPr>
          <w:rFonts w:asciiTheme="minorBidi" w:hAnsiTheme="minorBidi"/>
        </w:rPr>
        <w:t xml:space="preserve"> </w:t>
      </w:r>
      <w:r w:rsidR="001514CD" w:rsidRPr="005A3125">
        <w:rPr>
          <w:rFonts w:asciiTheme="minorBidi" w:hAnsiTheme="minorBidi"/>
          <w:color w:val="161F19"/>
          <w:shd w:val="clear" w:color="auto" w:fill="FFFFFF"/>
        </w:rPr>
        <w:t xml:space="preserve">The PRISMA 2020 framework outlines the systematic review process for identifying, screening, assessing eligibility, and selecting studies. It ensures a clear, transparent, and reproducible approach by documenting each stage—from database searching and duplicate </w:t>
      </w:r>
      <w:r w:rsidR="001514CD" w:rsidRPr="005A3125">
        <w:rPr>
          <w:rFonts w:asciiTheme="minorBidi" w:hAnsiTheme="minorBidi"/>
          <w:color w:val="161F19"/>
          <w:shd w:val="clear" w:color="auto" w:fill="FFFFFF"/>
        </w:rPr>
        <w:lastRenderedPageBreak/>
        <w:t>removal to screening and final inclusion. This enhances methodological transparency, reduces selection bias, and improves reporting quality by making study selection decisions traceable and justified (Page et al., 2021; Haddaway et al., 2022; Moher et al., 2009).</w:t>
      </w:r>
    </w:p>
    <w:p w14:paraId="71EF30A7" w14:textId="2E2B674B" w:rsidR="002A6F75" w:rsidRPr="005A3125" w:rsidRDefault="00E50BE3" w:rsidP="00E50BE3">
      <w:pPr>
        <w:pStyle w:val="Heading1"/>
        <w:spacing w:line="360" w:lineRule="auto"/>
        <w:ind w:left="12" w:right="3"/>
        <w:jc w:val="left"/>
        <w:rPr>
          <w:rFonts w:asciiTheme="minorBidi" w:hAnsiTheme="minorBidi" w:cstheme="minorBidi"/>
          <w:sz w:val="22"/>
        </w:rPr>
      </w:pPr>
      <w:bookmarkStart w:id="22" w:name="_Toc232456056"/>
      <w:r w:rsidRPr="005A3125">
        <w:rPr>
          <w:rFonts w:asciiTheme="minorBidi" w:hAnsiTheme="minorBidi" w:cstheme="minorBidi"/>
          <w:sz w:val="22"/>
        </w:rPr>
        <w:t>3.10 Study Selection Process</w:t>
      </w:r>
      <w:bookmarkEnd w:id="22"/>
    </w:p>
    <w:p w14:paraId="45014973" w14:textId="77777777" w:rsidR="00CD51D0" w:rsidRPr="005A3125" w:rsidRDefault="00CD51D0" w:rsidP="00CD51D0">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The study selection followed the PRISMA 2020 framework through four stages: identification, screening, eligibility, and final inclusion (Page et al., 2021). A comprehensive search across PubMed, PsycINFO, CINAHL, and Google Scholar found 842 records, reduced to 714 after duplicates were removed. Screening titles and abstracts against criteria narrowed this to 72 full-text articles. Eligibility assessment excluded studies outside the UK, outside the 16–25 age range, lacking relevance to depression or anxiety, focusing on severe psychiatric disorders, or lacking specific evidence on Black African and Mixed African youth. Ultimately, 20 studies met all criteria for inclusion, forming the basis of the thematic synthesis in Chapter 4. The PRISMA framework ensured transparency, reduced selection bias, and enhanced reproducibility (McKenzie et al., 2021). Exclusions were due to population mismatch, irrelevance, geography, age, non-peer-reviewed sources, or poor methodological quality.</w:t>
      </w:r>
    </w:p>
    <w:p w14:paraId="5D6BA70E" w14:textId="77777777" w:rsidR="00CD51D0" w:rsidRPr="005A3125" w:rsidRDefault="00CD51D0" w:rsidP="00CD51D0">
      <w:pPr>
        <w:pStyle w:val="muitypography-root"/>
        <w:spacing w:before="0" w:beforeAutospacing="0" w:after="0" w:afterAutospacing="0" w:line="360" w:lineRule="atLeast"/>
        <w:rPr>
          <w:rFonts w:asciiTheme="minorBidi" w:hAnsiTheme="minorBidi" w:cstheme="minorBidi"/>
          <w:color w:val="161F19"/>
          <w:sz w:val="22"/>
          <w:szCs w:val="22"/>
        </w:rPr>
      </w:pPr>
      <w:r w:rsidRPr="005A3125">
        <w:rPr>
          <w:rStyle w:val="Strong"/>
          <w:rFonts w:asciiTheme="minorBidi" w:hAnsiTheme="minorBidi" w:cstheme="minorBidi"/>
          <w:color w:val="161F19"/>
          <w:sz w:val="22"/>
          <w:szCs w:val="22"/>
        </w:rPr>
        <w:t>Quality Appraisal</w:t>
      </w:r>
      <w:r w:rsidRPr="005A3125">
        <w:rPr>
          <w:rFonts w:asciiTheme="minorBidi" w:hAnsiTheme="minorBidi" w:cstheme="minorBidi"/>
          <w:color w:val="161F19"/>
          <w:sz w:val="22"/>
          <w:szCs w:val="22"/>
        </w:rPr>
        <w:br/>
        <w:t>Quality appraisal used the CASP framework (Nadelson and Nadelson, 2014; Long et al., 2020), assessing studies on research aims, methodology, recruitment, data collection, ethics, analysis, and overall contribution. Studies with serious methodological flaws or poor reporting were excluded. Most included studies were moderate-to-high quality; quantitative studies had larger samples and better generalizability, while qualitative studies offered rich insights into lived experiences of racism, stigma, and mental health inequalities. Many studies were cross-sectional, limiting causal inferences. This appraisal strengthened the review’s reliability by ensuring findings were based on credible, robust evidence and supported critical synthesis</w:t>
      </w:r>
    </w:p>
    <w:p w14:paraId="0239F0B2" w14:textId="084F9257" w:rsidR="00A3659D" w:rsidRPr="005A3125" w:rsidRDefault="00A3659D" w:rsidP="00A3659D">
      <w:pPr>
        <w:spacing w:line="360" w:lineRule="auto"/>
        <w:jc w:val="both"/>
        <w:rPr>
          <w:rFonts w:asciiTheme="minorBidi" w:hAnsiTheme="minorBidi"/>
        </w:rPr>
      </w:pPr>
      <w:r w:rsidRPr="005A3125">
        <w:rPr>
          <w:rFonts w:asciiTheme="minorBidi" w:hAnsiTheme="minorBidi"/>
        </w:rPr>
        <w:t>.</w:t>
      </w:r>
    </w:p>
    <w:p w14:paraId="58E6F221" w14:textId="62A53CF8" w:rsidR="005956EF" w:rsidRPr="005A3125" w:rsidRDefault="00213DE7" w:rsidP="00A3659D">
      <w:pPr>
        <w:spacing w:line="360" w:lineRule="auto"/>
        <w:jc w:val="both"/>
        <w:rPr>
          <w:rFonts w:asciiTheme="minorBidi" w:hAnsiTheme="minorBidi"/>
          <w:lang w:val="en-IN"/>
        </w:rPr>
      </w:pPr>
      <w:r w:rsidRPr="005A3125">
        <w:rPr>
          <w:rFonts w:asciiTheme="minorBidi" w:hAnsiTheme="minorBidi"/>
          <w:b/>
          <w:bCs/>
          <w:lang w:val="en-IN"/>
        </w:rPr>
        <w:t xml:space="preserve">Table 3.3: </w:t>
      </w:r>
      <w:r w:rsidR="005956EF" w:rsidRPr="005A3125">
        <w:rPr>
          <w:rFonts w:asciiTheme="minorBidi" w:hAnsiTheme="minorBidi"/>
          <w:b/>
          <w:bCs/>
          <w:lang w:val="en-IN"/>
        </w:rPr>
        <w:t>Expanded CASP Quality Appraisal Framework</w:t>
      </w:r>
    </w:p>
    <w:tbl>
      <w:tblPr>
        <w:tblStyle w:val="TableGrid"/>
        <w:tblW w:w="0" w:type="auto"/>
        <w:tblLook w:val="04A0" w:firstRow="1" w:lastRow="0" w:firstColumn="1" w:lastColumn="0" w:noHBand="0" w:noVBand="1"/>
      </w:tblPr>
      <w:tblGrid>
        <w:gridCol w:w="2711"/>
        <w:gridCol w:w="3368"/>
        <w:gridCol w:w="2937"/>
      </w:tblGrid>
      <w:tr w:rsidR="005956EF" w:rsidRPr="005A3125" w14:paraId="00CF38FC" w14:textId="77777777" w:rsidTr="005956EF">
        <w:tc>
          <w:tcPr>
            <w:tcW w:w="0" w:type="auto"/>
            <w:hideMark/>
          </w:tcPr>
          <w:p w14:paraId="2EE3C1BE" w14:textId="77777777" w:rsidR="005956EF" w:rsidRPr="005A3125" w:rsidRDefault="005956EF" w:rsidP="005956EF">
            <w:pPr>
              <w:spacing w:after="160" w:line="360" w:lineRule="auto"/>
              <w:jc w:val="both"/>
              <w:rPr>
                <w:rFonts w:asciiTheme="minorBidi" w:hAnsiTheme="minorBidi"/>
                <w:b/>
                <w:bCs/>
                <w:lang w:val="en-IN"/>
              </w:rPr>
            </w:pPr>
            <w:r w:rsidRPr="005A3125">
              <w:rPr>
                <w:rFonts w:asciiTheme="minorBidi" w:hAnsiTheme="minorBidi"/>
                <w:b/>
                <w:bCs/>
                <w:lang w:val="en-IN"/>
              </w:rPr>
              <w:t>CASP Criterion</w:t>
            </w:r>
          </w:p>
        </w:tc>
        <w:tc>
          <w:tcPr>
            <w:tcW w:w="0" w:type="auto"/>
            <w:hideMark/>
          </w:tcPr>
          <w:p w14:paraId="728C631F" w14:textId="77777777" w:rsidR="005956EF" w:rsidRPr="005A3125" w:rsidRDefault="005956EF" w:rsidP="005956EF">
            <w:pPr>
              <w:spacing w:after="160" w:line="360" w:lineRule="auto"/>
              <w:jc w:val="both"/>
              <w:rPr>
                <w:rFonts w:asciiTheme="minorBidi" w:hAnsiTheme="minorBidi"/>
                <w:b/>
                <w:bCs/>
                <w:lang w:val="en-IN"/>
              </w:rPr>
            </w:pPr>
            <w:r w:rsidRPr="005A3125">
              <w:rPr>
                <w:rFonts w:asciiTheme="minorBidi" w:hAnsiTheme="minorBidi"/>
                <w:b/>
                <w:bCs/>
                <w:lang w:val="en-IN"/>
              </w:rPr>
              <w:t>Assessment Question</w:t>
            </w:r>
          </w:p>
        </w:tc>
        <w:tc>
          <w:tcPr>
            <w:tcW w:w="0" w:type="auto"/>
            <w:hideMark/>
          </w:tcPr>
          <w:p w14:paraId="0EC398F2" w14:textId="77777777" w:rsidR="005956EF" w:rsidRPr="005A3125" w:rsidRDefault="005956EF" w:rsidP="005956EF">
            <w:pPr>
              <w:spacing w:after="160" w:line="360" w:lineRule="auto"/>
              <w:jc w:val="both"/>
              <w:rPr>
                <w:rFonts w:asciiTheme="minorBidi" w:hAnsiTheme="minorBidi"/>
                <w:b/>
                <w:bCs/>
                <w:lang w:val="en-IN"/>
              </w:rPr>
            </w:pPr>
            <w:r w:rsidRPr="005A3125">
              <w:rPr>
                <w:rFonts w:asciiTheme="minorBidi" w:hAnsiTheme="minorBidi"/>
                <w:b/>
                <w:bCs/>
                <w:lang w:val="en-IN"/>
              </w:rPr>
              <w:t>Purpose</w:t>
            </w:r>
          </w:p>
        </w:tc>
      </w:tr>
      <w:tr w:rsidR="005956EF" w:rsidRPr="005A3125" w14:paraId="763026AE" w14:textId="77777777" w:rsidTr="005956EF">
        <w:tc>
          <w:tcPr>
            <w:tcW w:w="0" w:type="auto"/>
            <w:hideMark/>
          </w:tcPr>
          <w:p w14:paraId="28C9D073"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Research aims</w:t>
            </w:r>
          </w:p>
        </w:tc>
        <w:tc>
          <w:tcPr>
            <w:tcW w:w="0" w:type="auto"/>
            <w:hideMark/>
          </w:tcPr>
          <w:p w14:paraId="614E8865"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Are the aims clearly stated?</w:t>
            </w:r>
          </w:p>
        </w:tc>
        <w:tc>
          <w:tcPr>
            <w:tcW w:w="0" w:type="auto"/>
            <w:hideMark/>
          </w:tcPr>
          <w:p w14:paraId="1CD36E03"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Determines relevance and clarity</w:t>
            </w:r>
          </w:p>
        </w:tc>
      </w:tr>
      <w:tr w:rsidR="005956EF" w:rsidRPr="005A3125" w14:paraId="58D1F4C8" w14:textId="77777777" w:rsidTr="005956EF">
        <w:tc>
          <w:tcPr>
            <w:tcW w:w="0" w:type="auto"/>
            <w:hideMark/>
          </w:tcPr>
          <w:p w14:paraId="3048C6E4"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Methodology</w:t>
            </w:r>
          </w:p>
        </w:tc>
        <w:tc>
          <w:tcPr>
            <w:tcW w:w="0" w:type="auto"/>
            <w:hideMark/>
          </w:tcPr>
          <w:p w14:paraId="7302DF08"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Is the methodology appropriate?</w:t>
            </w:r>
          </w:p>
        </w:tc>
        <w:tc>
          <w:tcPr>
            <w:tcW w:w="0" w:type="auto"/>
            <w:hideMark/>
          </w:tcPr>
          <w:p w14:paraId="50333DAD"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Assesses suitability of research design</w:t>
            </w:r>
          </w:p>
        </w:tc>
      </w:tr>
      <w:tr w:rsidR="005956EF" w:rsidRPr="005A3125" w14:paraId="2BE2027B" w14:textId="77777777" w:rsidTr="005956EF">
        <w:tc>
          <w:tcPr>
            <w:tcW w:w="0" w:type="auto"/>
            <w:hideMark/>
          </w:tcPr>
          <w:p w14:paraId="09A87BD2"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lastRenderedPageBreak/>
              <w:t>Research design</w:t>
            </w:r>
          </w:p>
        </w:tc>
        <w:tc>
          <w:tcPr>
            <w:tcW w:w="0" w:type="auto"/>
            <w:hideMark/>
          </w:tcPr>
          <w:p w14:paraId="1FA2CEA1"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Does the design address the research question?</w:t>
            </w:r>
          </w:p>
        </w:tc>
        <w:tc>
          <w:tcPr>
            <w:tcW w:w="0" w:type="auto"/>
            <w:hideMark/>
          </w:tcPr>
          <w:p w14:paraId="43DDB7D3"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Evaluates methodological rigour</w:t>
            </w:r>
          </w:p>
        </w:tc>
      </w:tr>
      <w:tr w:rsidR="005956EF" w:rsidRPr="005A3125" w14:paraId="092C0C5E" w14:textId="77777777" w:rsidTr="005956EF">
        <w:tc>
          <w:tcPr>
            <w:tcW w:w="0" w:type="auto"/>
            <w:hideMark/>
          </w:tcPr>
          <w:p w14:paraId="1885E095"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Recruitment strategy</w:t>
            </w:r>
          </w:p>
        </w:tc>
        <w:tc>
          <w:tcPr>
            <w:tcW w:w="0" w:type="auto"/>
            <w:hideMark/>
          </w:tcPr>
          <w:p w14:paraId="63057AEF"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Was participant selection appropriate?</w:t>
            </w:r>
          </w:p>
        </w:tc>
        <w:tc>
          <w:tcPr>
            <w:tcW w:w="0" w:type="auto"/>
            <w:hideMark/>
          </w:tcPr>
          <w:p w14:paraId="644A159D"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Assesses sampling quality</w:t>
            </w:r>
          </w:p>
        </w:tc>
      </w:tr>
      <w:tr w:rsidR="005956EF" w:rsidRPr="005A3125" w14:paraId="1DFB9E1B" w14:textId="77777777" w:rsidTr="005956EF">
        <w:tc>
          <w:tcPr>
            <w:tcW w:w="0" w:type="auto"/>
            <w:hideMark/>
          </w:tcPr>
          <w:p w14:paraId="79E32DF0"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Data collection</w:t>
            </w:r>
          </w:p>
        </w:tc>
        <w:tc>
          <w:tcPr>
            <w:tcW w:w="0" w:type="auto"/>
            <w:hideMark/>
          </w:tcPr>
          <w:p w14:paraId="1B664E72"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Were data collected rigorously?</w:t>
            </w:r>
          </w:p>
        </w:tc>
        <w:tc>
          <w:tcPr>
            <w:tcW w:w="0" w:type="auto"/>
            <w:hideMark/>
          </w:tcPr>
          <w:p w14:paraId="3EDC2170"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Evaluates reliability and transparency</w:t>
            </w:r>
          </w:p>
        </w:tc>
      </w:tr>
      <w:tr w:rsidR="005956EF" w:rsidRPr="005A3125" w14:paraId="3660E0E7" w14:textId="77777777" w:rsidTr="005956EF">
        <w:tc>
          <w:tcPr>
            <w:tcW w:w="0" w:type="auto"/>
            <w:hideMark/>
          </w:tcPr>
          <w:p w14:paraId="58ED322C"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Researcher-participant relationship</w:t>
            </w:r>
          </w:p>
        </w:tc>
        <w:tc>
          <w:tcPr>
            <w:tcW w:w="0" w:type="auto"/>
            <w:hideMark/>
          </w:tcPr>
          <w:p w14:paraId="1EAA9CF3"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Has reflexivity been considered?</w:t>
            </w:r>
          </w:p>
        </w:tc>
        <w:tc>
          <w:tcPr>
            <w:tcW w:w="0" w:type="auto"/>
            <w:hideMark/>
          </w:tcPr>
          <w:p w14:paraId="1253DD63"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Reduces researcher bias</w:t>
            </w:r>
          </w:p>
        </w:tc>
      </w:tr>
      <w:tr w:rsidR="005956EF" w:rsidRPr="005A3125" w14:paraId="17EDF22C" w14:textId="77777777" w:rsidTr="005956EF">
        <w:tc>
          <w:tcPr>
            <w:tcW w:w="0" w:type="auto"/>
            <w:hideMark/>
          </w:tcPr>
          <w:p w14:paraId="3DA0D1C3"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Ethical considerations</w:t>
            </w:r>
          </w:p>
        </w:tc>
        <w:tc>
          <w:tcPr>
            <w:tcW w:w="0" w:type="auto"/>
            <w:hideMark/>
          </w:tcPr>
          <w:p w14:paraId="5D9C097E"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Were ethical issues addressed?</w:t>
            </w:r>
          </w:p>
        </w:tc>
        <w:tc>
          <w:tcPr>
            <w:tcW w:w="0" w:type="auto"/>
            <w:hideMark/>
          </w:tcPr>
          <w:p w14:paraId="462516F1"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Ensures participant protection</w:t>
            </w:r>
          </w:p>
        </w:tc>
      </w:tr>
      <w:tr w:rsidR="005956EF" w:rsidRPr="005A3125" w14:paraId="08D0B47A" w14:textId="77777777" w:rsidTr="005956EF">
        <w:tc>
          <w:tcPr>
            <w:tcW w:w="0" w:type="auto"/>
            <w:hideMark/>
          </w:tcPr>
          <w:p w14:paraId="1E703490"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Data analysis</w:t>
            </w:r>
          </w:p>
        </w:tc>
        <w:tc>
          <w:tcPr>
            <w:tcW w:w="0" w:type="auto"/>
            <w:hideMark/>
          </w:tcPr>
          <w:p w14:paraId="519D4317"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Was analysis sufficiently rigorous?</w:t>
            </w:r>
          </w:p>
        </w:tc>
        <w:tc>
          <w:tcPr>
            <w:tcW w:w="0" w:type="auto"/>
            <w:hideMark/>
          </w:tcPr>
          <w:p w14:paraId="1923ADD6"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Evaluates credibility of findings</w:t>
            </w:r>
          </w:p>
        </w:tc>
      </w:tr>
      <w:tr w:rsidR="005956EF" w:rsidRPr="005A3125" w14:paraId="15E7DF03" w14:textId="77777777" w:rsidTr="005956EF">
        <w:tc>
          <w:tcPr>
            <w:tcW w:w="0" w:type="auto"/>
            <w:hideMark/>
          </w:tcPr>
          <w:p w14:paraId="49A8559B"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Findings</w:t>
            </w:r>
          </w:p>
        </w:tc>
        <w:tc>
          <w:tcPr>
            <w:tcW w:w="0" w:type="auto"/>
            <w:hideMark/>
          </w:tcPr>
          <w:p w14:paraId="59E8F85E"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Are findings clearly presented?</w:t>
            </w:r>
          </w:p>
        </w:tc>
        <w:tc>
          <w:tcPr>
            <w:tcW w:w="0" w:type="auto"/>
            <w:hideMark/>
          </w:tcPr>
          <w:p w14:paraId="598D1EEA"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Assesses validity and interpretation</w:t>
            </w:r>
          </w:p>
        </w:tc>
      </w:tr>
      <w:tr w:rsidR="005956EF" w:rsidRPr="005A3125" w14:paraId="0C01DF58" w14:textId="77777777" w:rsidTr="005956EF">
        <w:tc>
          <w:tcPr>
            <w:tcW w:w="0" w:type="auto"/>
            <w:hideMark/>
          </w:tcPr>
          <w:p w14:paraId="7B632E0F"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Research value</w:t>
            </w:r>
          </w:p>
        </w:tc>
        <w:tc>
          <w:tcPr>
            <w:tcW w:w="0" w:type="auto"/>
            <w:hideMark/>
          </w:tcPr>
          <w:p w14:paraId="26EAE997"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Does the study contribute useful knowledge?</w:t>
            </w:r>
          </w:p>
        </w:tc>
        <w:tc>
          <w:tcPr>
            <w:tcW w:w="0" w:type="auto"/>
            <w:hideMark/>
          </w:tcPr>
          <w:p w14:paraId="1D100E50"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Assesses overall contribution</w:t>
            </w:r>
          </w:p>
        </w:tc>
      </w:tr>
    </w:tbl>
    <w:p w14:paraId="22E51F98" w14:textId="77777777" w:rsidR="005956EF" w:rsidRPr="005A3125" w:rsidRDefault="005956EF" w:rsidP="002A6F75">
      <w:pPr>
        <w:spacing w:line="360" w:lineRule="auto"/>
        <w:jc w:val="both"/>
        <w:rPr>
          <w:rFonts w:asciiTheme="minorBidi" w:hAnsiTheme="minorBidi"/>
          <w:b/>
          <w:bCs/>
          <w:lang w:val="en-IN"/>
        </w:rPr>
      </w:pPr>
    </w:p>
    <w:p w14:paraId="2A28CFDF" w14:textId="0024E801" w:rsidR="002A6F75" w:rsidRPr="005A3125" w:rsidRDefault="005956EF" w:rsidP="002A6F75">
      <w:pPr>
        <w:spacing w:line="360" w:lineRule="auto"/>
        <w:jc w:val="both"/>
        <w:rPr>
          <w:rFonts w:asciiTheme="minorBidi" w:hAnsiTheme="minorBidi"/>
          <w:b/>
          <w:lang w:val="en-IN"/>
        </w:rPr>
      </w:pPr>
      <w:r w:rsidRPr="005A3125">
        <w:rPr>
          <w:rFonts w:asciiTheme="minorBidi" w:hAnsiTheme="minorBidi"/>
          <w:b/>
          <w:bCs/>
          <w:lang w:val="en-IN"/>
        </w:rPr>
        <w:t>Source:</w:t>
      </w:r>
      <w:r w:rsidRPr="005A3125">
        <w:rPr>
          <w:rFonts w:asciiTheme="minorBidi" w:hAnsiTheme="minorBidi"/>
          <w:b/>
          <w:lang w:val="en-IN"/>
        </w:rPr>
        <w:t xml:space="preserve"> Adapted from Critical Appraisal Skills Programme (CASP, 2024).</w:t>
      </w:r>
    </w:p>
    <w:p w14:paraId="58B9F59E" w14:textId="77777777" w:rsidR="002A6F75" w:rsidRPr="005A3125" w:rsidRDefault="002A6F75" w:rsidP="002A6F75">
      <w:pPr>
        <w:spacing w:line="360" w:lineRule="auto"/>
        <w:jc w:val="both"/>
        <w:rPr>
          <w:rFonts w:asciiTheme="minorBidi" w:hAnsiTheme="minorBidi"/>
        </w:rPr>
      </w:pPr>
      <w:r w:rsidRPr="005A3125">
        <w:rPr>
          <w:rFonts w:asciiTheme="minorBidi" w:hAnsiTheme="minorBidi"/>
        </w:rPr>
        <w:t>Table 3.3 outlines the major domains assessed during quality appraisal. The CASP tool strengthened methodological rigour by enabling systematic evaluation of included studies.</w:t>
      </w:r>
    </w:p>
    <w:p w14:paraId="71108217" w14:textId="77777777" w:rsidR="002A6F75" w:rsidRPr="005A3125" w:rsidRDefault="002A6F75" w:rsidP="002A6F75">
      <w:pPr>
        <w:spacing w:line="360" w:lineRule="auto"/>
        <w:jc w:val="both"/>
        <w:rPr>
          <w:rFonts w:asciiTheme="minorBidi" w:hAnsiTheme="minorBidi"/>
        </w:rPr>
      </w:pPr>
      <w:r w:rsidRPr="005A3125">
        <w:rPr>
          <w:rFonts w:asciiTheme="minorBidi" w:hAnsiTheme="minorBidi"/>
        </w:rPr>
        <w:t>Studies demonstrating weak methodological transparency, unclear analytical procedures, or insufficient relevance were excluded from the final synthesis.</w:t>
      </w:r>
    </w:p>
    <w:p w14:paraId="215BA870" w14:textId="77777777" w:rsidR="002A6F75" w:rsidRPr="005A3125" w:rsidRDefault="002A6F75" w:rsidP="002A6F75">
      <w:pPr>
        <w:spacing w:line="360" w:lineRule="auto"/>
        <w:jc w:val="both"/>
        <w:rPr>
          <w:rFonts w:asciiTheme="minorBidi" w:hAnsiTheme="minorBidi"/>
        </w:rPr>
      </w:pPr>
      <w:r w:rsidRPr="005A3125">
        <w:rPr>
          <w:rFonts w:asciiTheme="minorBidi" w:hAnsiTheme="minorBidi"/>
        </w:rPr>
        <w:t>Quality appraisal is particularly important within qualitative systematic reviews because it supports analytical trustworthiness and minimises inclusion of methodologically weak evidence (Long and Godfrey, 2004).</w:t>
      </w:r>
    </w:p>
    <w:p w14:paraId="5459A2BC" w14:textId="46FF52B6" w:rsidR="002A6F75" w:rsidRPr="005A3125" w:rsidRDefault="00E50BE3" w:rsidP="00991E97">
      <w:pPr>
        <w:pStyle w:val="Heading1"/>
        <w:spacing w:line="360" w:lineRule="auto"/>
        <w:ind w:left="12" w:right="3"/>
        <w:jc w:val="left"/>
        <w:rPr>
          <w:rFonts w:asciiTheme="minorBidi" w:hAnsiTheme="minorBidi" w:cstheme="minorBidi"/>
          <w:b w:val="0"/>
          <w:sz w:val="22"/>
        </w:rPr>
      </w:pPr>
      <w:bookmarkStart w:id="23" w:name="_Toc232456058"/>
      <w:r w:rsidRPr="005A3125">
        <w:rPr>
          <w:rFonts w:asciiTheme="minorBidi" w:hAnsiTheme="minorBidi" w:cstheme="minorBidi"/>
          <w:sz w:val="22"/>
        </w:rPr>
        <w:t>3.12 Data Extraction</w:t>
      </w:r>
      <w:bookmarkEnd w:id="23"/>
    </w:p>
    <w:p w14:paraId="3535F9E1" w14:textId="377A3E18" w:rsidR="00002865" w:rsidRPr="005A3125" w:rsidRDefault="00002865" w:rsidP="00002865">
      <w:pPr>
        <w:spacing w:line="360" w:lineRule="auto"/>
        <w:jc w:val="both"/>
        <w:rPr>
          <w:rFonts w:asciiTheme="minorBidi" w:hAnsiTheme="minorBidi"/>
        </w:rPr>
      </w:pPr>
      <w:r w:rsidRPr="005A3125">
        <w:rPr>
          <w:rFonts w:asciiTheme="minorBidi" w:hAnsiTheme="minorBidi"/>
        </w:rPr>
        <w:t xml:space="preserve">Relevant information from all included studies (n = 20) was systematically extracted and organised into structured evidence tables to support analysis and synthesis. The extraction process ensured consistency and transparency across all studies and included key variables such as author, year of publication, country of study, sample characteristics, research design, principal findings, and reported limitations. This structured approach enabled systematic </w:t>
      </w:r>
      <w:r w:rsidRPr="005A3125">
        <w:rPr>
          <w:rFonts w:asciiTheme="minorBidi" w:hAnsiTheme="minorBidi"/>
        </w:rPr>
        <w:lastRenderedPageBreak/>
        <w:t>comparison across heterogeneous study designs and facilitated the identification of recurring patterns relevant to the research aims.</w:t>
      </w:r>
    </w:p>
    <w:p w14:paraId="5125204F" w14:textId="5F74D3DD" w:rsidR="005956EF" w:rsidRPr="005A3125" w:rsidRDefault="005956EF" w:rsidP="005956EF">
      <w:pPr>
        <w:spacing w:line="360" w:lineRule="auto"/>
        <w:jc w:val="both"/>
        <w:rPr>
          <w:rFonts w:asciiTheme="minorBidi" w:hAnsiTheme="minorBidi"/>
          <w:lang w:val="en-IN"/>
        </w:rPr>
      </w:pPr>
      <w:r w:rsidRPr="005A3125">
        <w:rPr>
          <w:rFonts w:asciiTheme="minorBidi" w:hAnsiTheme="minorBidi"/>
          <w:b/>
          <w:bCs/>
          <w:lang w:val="en-IN"/>
        </w:rPr>
        <w:t>Table 3.4</w:t>
      </w:r>
      <w:r w:rsidR="00213DE7" w:rsidRPr="005A3125">
        <w:rPr>
          <w:rFonts w:asciiTheme="minorBidi" w:hAnsiTheme="minorBidi"/>
          <w:b/>
          <w:bCs/>
          <w:lang w:val="en-IN"/>
        </w:rPr>
        <w:t>:</w:t>
      </w:r>
      <w:r w:rsidRPr="005A3125">
        <w:rPr>
          <w:rFonts w:asciiTheme="minorBidi" w:hAnsiTheme="minorBidi"/>
          <w:b/>
          <w:bCs/>
          <w:lang w:val="en-IN"/>
        </w:rPr>
        <w:t xml:space="preserve"> Quality Appraisal of Included Studies</w:t>
      </w:r>
    </w:p>
    <w:tbl>
      <w:tblPr>
        <w:tblStyle w:val="TableGrid"/>
        <w:tblW w:w="0" w:type="auto"/>
        <w:tblLook w:val="04A0" w:firstRow="1" w:lastRow="0" w:firstColumn="1" w:lastColumn="0" w:noHBand="0" w:noVBand="1"/>
      </w:tblPr>
      <w:tblGrid>
        <w:gridCol w:w="1181"/>
        <w:gridCol w:w="1437"/>
        <w:gridCol w:w="1431"/>
        <w:gridCol w:w="1864"/>
        <w:gridCol w:w="1800"/>
        <w:gridCol w:w="1303"/>
      </w:tblGrid>
      <w:tr w:rsidR="005956EF" w:rsidRPr="005A3125" w14:paraId="4F663898" w14:textId="77777777" w:rsidTr="005956EF">
        <w:tc>
          <w:tcPr>
            <w:tcW w:w="0" w:type="auto"/>
            <w:hideMark/>
          </w:tcPr>
          <w:p w14:paraId="18554A2C" w14:textId="77777777" w:rsidR="005956EF" w:rsidRPr="005A3125" w:rsidRDefault="005956EF" w:rsidP="005956EF">
            <w:pPr>
              <w:spacing w:after="160" w:line="360" w:lineRule="auto"/>
              <w:jc w:val="both"/>
              <w:rPr>
                <w:rFonts w:asciiTheme="minorBidi" w:hAnsiTheme="minorBidi"/>
                <w:b/>
                <w:bCs/>
                <w:lang w:val="en-IN"/>
              </w:rPr>
            </w:pPr>
            <w:r w:rsidRPr="005A3125">
              <w:rPr>
                <w:rFonts w:asciiTheme="minorBidi" w:hAnsiTheme="minorBidi"/>
                <w:b/>
                <w:bCs/>
                <w:lang w:val="en-IN"/>
              </w:rPr>
              <w:t>Author (Year)</w:t>
            </w:r>
          </w:p>
        </w:tc>
        <w:tc>
          <w:tcPr>
            <w:tcW w:w="0" w:type="auto"/>
            <w:hideMark/>
          </w:tcPr>
          <w:p w14:paraId="1B0B3ACD" w14:textId="77777777" w:rsidR="005956EF" w:rsidRPr="005A3125" w:rsidRDefault="005956EF" w:rsidP="005956EF">
            <w:pPr>
              <w:spacing w:after="160" w:line="360" w:lineRule="auto"/>
              <w:jc w:val="both"/>
              <w:rPr>
                <w:rFonts w:asciiTheme="minorBidi" w:hAnsiTheme="minorBidi"/>
                <w:b/>
                <w:bCs/>
                <w:lang w:val="en-IN"/>
              </w:rPr>
            </w:pPr>
            <w:r w:rsidRPr="005A3125">
              <w:rPr>
                <w:rFonts w:asciiTheme="minorBidi" w:hAnsiTheme="minorBidi"/>
                <w:b/>
                <w:bCs/>
                <w:lang w:val="en-IN"/>
              </w:rPr>
              <w:t>Design</w:t>
            </w:r>
          </w:p>
        </w:tc>
        <w:tc>
          <w:tcPr>
            <w:tcW w:w="0" w:type="auto"/>
            <w:hideMark/>
          </w:tcPr>
          <w:p w14:paraId="18DB8286" w14:textId="77777777" w:rsidR="005956EF" w:rsidRPr="005A3125" w:rsidRDefault="005956EF" w:rsidP="005956EF">
            <w:pPr>
              <w:spacing w:after="160" w:line="360" w:lineRule="auto"/>
              <w:jc w:val="both"/>
              <w:rPr>
                <w:rFonts w:asciiTheme="minorBidi" w:hAnsiTheme="minorBidi"/>
                <w:b/>
                <w:bCs/>
                <w:lang w:val="en-IN"/>
              </w:rPr>
            </w:pPr>
            <w:r w:rsidRPr="005A3125">
              <w:rPr>
                <w:rFonts w:asciiTheme="minorBidi" w:hAnsiTheme="minorBidi"/>
                <w:b/>
                <w:bCs/>
                <w:lang w:val="en-IN"/>
              </w:rPr>
              <w:t>Sample</w:t>
            </w:r>
          </w:p>
        </w:tc>
        <w:tc>
          <w:tcPr>
            <w:tcW w:w="0" w:type="auto"/>
            <w:hideMark/>
          </w:tcPr>
          <w:p w14:paraId="382AFD10" w14:textId="77777777" w:rsidR="005956EF" w:rsidRPr="005A3125" w:rsidRDefault="005956EF" w:rsidP="005956EF">
            <w:pPr>
              <w:spacing w:after="160" w:line="360" w:lineRule="auto"/>
              <w:jc w:val="both"/>
              <w:rPr>
                <w:rFonts w:asciiTheme="minorBidi" w:hAnsiTheme="minorBidi"/>
                <w:b/>
                <w:bCs/>
                <w:lang w:val="en-IN"/>
              </w:rPr>
            </w:pPr>
            <w:r w:rsidRPr="005A3125">
              <w:rPr>
                <w:rFonts w:asciiTheme="minorBidi" w:hAnsiTheme="minorBidi"/>
                <w:b/>
                <w:bCs/>
                <w:lang w:val="en-IN"/>
              </w:rPr>
              <w:t>Strengths</w:t>
            </w:r>
          </w:p>
        </w:tc>
        <w:tc>
          <w:tcPr>
            <w:tcW w:w="0" w:type="auto"/>
            <w:hideMark/>
          </w:tcPr>
          <w:p w14:paraId="643B12FF" w14:textId="77777777" w:rsidR="005956EF" w:rsidRPr="005A3125" w:rsidRDefault="005956EF" w:rsidP="005956EF">
            <w:pPr>
              <w:spacing w:after="160" w:line="360" w:lineRule="auto"/>
              <w:jc w:val="both"/>
              <w:rPr>
                <w:rFonts w:asciiTheme="minorBidi" w:hAnsiTheme="minorBidi"/>
                <w:b/>
                <w:bCs/>
                <w:lang w:val="en-IN"/>
              </w:rPr>
            </w:pPr>
            <w:r w:rsidRPr="005A3125">
              <w:rPr>
                <w:rFonts w:asciiTheme="minorBidi" w:hAnsiTheme="minorBidi"/>
                <w:b/>
                <w:bCs/>
                <w:lang w:val="en-IN"/>
              </w:rPr>
              <w:t>Limitations</w:t>
            </w:r>
          </w:p>
        </w:tc>
        <w:tc>
          <w:tcPr>
            <w:tcW w:w="0" w:type="auto"/>
            <w:hideMark/>
          </w:tcPr>
          <w:p w14:paraId="4954A5B7" w14:textId="77777777" w:rsidR="005956EF" w:rsidRPr="005A3125" w:rsidRDefault="005956EF" w:rsidP="005956EF">
            <w:pPr>
              <w:spacing w:after="160" w:line="360" w:lineRule="auto"/>
              <w:jc w:val="both"/>
              <w:rPr>
                <w:rFonts w:asciiTheme="minorBidi" w:hAnsiTheme="minorBidi"/>
                <w:b/>
                <w:bCs/>
                <w:lang w:val="en-IN"/>
              </w:rPr>
            </w:pPr>
            <w:r w:rsidRPr="005A3125">
              <w:rPr>
                <w:rFonts w:asciiTheme="minorBidi" w:hAnsiTheme="minorBidi"/>
                <w:b/>
                <w:bCs/>
                <w:lang w:val="en-IN"/>
              </w:rPr>
              <w:t>Quality Rating</w:t>
            </w:r>
          </w:p>
        </w:tc>
      </w:tr>
      <w:tr w:rsidR="005956EF" w:rsidRPr="005A3125" w14:paraId="2F6F80D4" w14:textId="77777777" w:rsidTr="005956EF">
        <w:tc>
          <w:tcPr>
            <w:tcW w:w="0" w:type="auto"/>
            <w:hideMark/>
          </w:tcPr>
          <w:p w14:paraId="1F95F444"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Wallace et al. (2016)</w:t>
            </w:r>
          </w:p>
        </w:tc>
        <w:tc>
          <w:tcPr>
            <w:tcW w:w="0" w:type="auto"/>
            <w:hideMark/>
          </w:tcPr>
          <w:p w14:paraId="56C88E66"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Quantitative</w:t>
            </w:r>
          </w:p>
        </w:tc>
        <w:tc>
          <w:tcPr>
            <w:tcW w:w="0" w:type="auto"/>
            <w:hideMark/>
          </w:tcPr>
          <w:p w14:paraId="670BB3A6"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4,297</w:t>
            </w:r>
          </w:p>
        </w:tc>
        <w:tc>
          <w:tcPr>
            <w:tcW w:w="0" w:type="auto"/>
            <w:hideMark/>
          </w:tcPr>
          <w:p w14:paraId="46F7C3EA"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Large sample size</w:t>
            </w:r>
          </w:p>
        </w:tc>
        <w:tc>
          <w:tcPr>
            <w:tcW w:w="0" w:type="auto"/>
            <w:hideMark/>
          </w:tcPr>
          <w:p w14:paraId="2A23D554"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Cross-sectional design</w:t>
            </w:r>
          </w:p>
        </w:tc>
        <w:tc>
          <w:tcPr>
            <w:tcW w:w="0" w:type="auto"/>
            <w:hideMark/>
          </w:tcPr>
          <w:p w14:paraId="3BBBD1E1"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High</w:t>
            </w:r>
          </w:p>
        </w:tc>
      </w:tr>
      <w:tr w:rsidR="005956EF" w:rsidRPr="005A3125" w14:paraId="6FFB7F3D" w14:textId="77777777" w:rsidTr="005956EF">
        <w:tc>
          <w:tcPr>
            <w:tcW w:w="0" w:type="auto"/>
            <w:hideMark/>
          </w:tcPr>
          <w:p w14:paraId="63AE018E" w14:textId="77777777" w:rsidR="005956EF" w:rsidRPr="005A3125" w:rsidRDefault="005956EF" w:rsidP="005956EF">
            <w:pPr>
              <w:spacing w:after="160" w:line="360" w:lineRule="auto"/>
              <w:jc w:val="both"/>
              <w:rPr>
                <w:rFonts w:asciiTheme="minorBidi" w:hAnsiTheme="minorBidi"/>
                <w:lang w:val="en-IN"/>
              </w:rPr>
            </w:pPr>
            <w:proofErr w:type="spellStart"/>
            <w:r w:rsidRPr="005A3125">
              <w:rPr>
                <w:rFonts w:asciiTheme="minorBidi" w:hAnsiTheme="minorBidi"/>
                <w:lang w:val="en-IN"/>
              </w:rPr>
              <w:t>Bécares</w:t>
            </w:r>
            <w:proofErr w:type="spellEnd"/>
            <w:r w:rsidRPr="005A3125">
              <w:rPr>
                <w:rFonts w:asciiTheme="minorBidi" w:hAnsiTheme="minorBidi"/>
                <w:lang w:val="en-IN"/>
              </w:rPr>
              <w:t xml:space="preserve"> et al. (2015)</w:t>
            </w:r>
          </w:p>
        </w:tc>
        <w:tc>
          <w:tcPr>
            <w:tcW w:w="0" w:type="auto"/>
            <w:hideMark/>
          </w:tcPr>
          <w:p w14:paraId="257E9BCC"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Cross-sectional</w:t>
            </w:r>
          </w:p>
        </w:tc>
        <w:tc>
          <w:tcPr>
            <w:tcW w:w="0" w:type="auto"/>
            <w:hideMark/>
          </w:tcPr>
          <w:p w14:paraId="052BBA94"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4,788</w:t>
            </w:r>
          </w:p>
        </w:tc>
        <w:tc>
          <w:tcPr>
            <w:tcW w:w="0" w:type="auto"/>
            <w:hideMark/>
          </w:tcPr>
          <w:p w14:paraId="79A16E98"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National dataset</w:t>
            </w:r>
          </w:p>
        </w:tc>
        <w:tc>
          <w:tcPr>
            <w:tcW w:w="0" w:type="auto"/>
            <w:hideMark/>
          </w:tcPr>
          <w:p w14:paraId="411CAB37"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Causality cannot be established</w:t>
            </w:r>
          </w:p>
        </w:tc>
        <w:tc>
          <w:tcPr>
            <w:tcW w:w="0" w:type="auto"/>
            <w:hideMark/>
          </w:tcPr>
          <w:p w14:paraId="03E12956"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High</w:t>
            </w:r>
          </w:p>
        </w:tc>
      </w:tr>
      <w:tr w:rsidR="005956EF" w:rsidRPr="005A3125" w14:paraId="090BDD89" w14:textId="77777777" w:rsidTr="005956EF">
        <w:tc>
          <w:tcPr>
            <w:tcW w:w="0" w:type="auto"/>
            <w:hideMark/>
          </w:tcPr>
          <w:p w14:paraId="1E4D2D71"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Memon et al. (2016)</w:t>
            </w:r>
          </w:p>
        </w:tc>
        <w:tc>
          <w:tcPr>
            <w:tcW w:w="0" w:type="auto"/>
            <w:hideMark/>
          </w:tcPr>
          <w:p w14:paraId="11D4F948"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Systematic review</w:t>
            </w:r>
          </w:p>
        </w:tc>
        <w:tc>
          <w:tcPr>
            <w:tcW w:w="0" w:type="auto"/>
            <w:hideMark/>
          </w:tcPr>
          <w:p w14:paraId="326BFF99"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25 studies</w:t>
            </w:r>
          </w:p>
        </w:tc>
        <w:tc>
          <w:tcPr>
            <w:tcW w:w="0" w:type="auto"/>
            <w:hideMark/>
          </w:tcPr>
          <w:p w14:paraId="74394C26"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Comprehensive review</w:t>
            </w:r>
          </w:p>
        </w:tc>
        <w:tc>
          <w:tcPr>
            <w:tcW w:w="0" w:type="auto"/>
            <w:hideMark/>
          </w:tcPr>
          <w:p w14:paraId="552B3727"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Heterogeneity of studies</w:t>
            </w:r>
          </w:p>
        </w:tc>
        <w:tc>
          <w:tcPr>
            <w:tcW w:w="0" w:type="auto"/>
            <w:hideMark/>
          </w:tcPr>
          <w:p w14:paraId="75EFBBFD"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High</w:t>
            </w:r>
          </w:p>
        </w:tc>
      </w:tr>
      <w:tr w:rsidR="005956EF" w:rsidRPr="005A3125" w14:paraId="362F4A8F" w14:textId="77777777" w:rsidTr="005956EF">
        <w:tc>
          <w:tcPr>
            <w:tcW w:w="0" w:type="auto"/>
            <w:hideMark/>
          </w:tcPr>
          <w:p w14:paraId="273E97BA"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Reiss (2013)</w:t>
            </w:r>
          </w:p>
        </w:tc>
        <w:tc>
          <w:tcPr>
            <w:tcW w:w="0" w:type="auto"/>
            <w:hideMark/>
          </w:tcPr>
          <w:p w14:paraId="274F94F0"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Systematic review</w:t>
            </w:r>
          </w:p>
        </w:tc>
        <w:tc>
          <w:tcPr>
            <w:tcW w:w="0" w:type="auto"/>
            <w:hideMark/>
          </w:tcPr>
          <w:p w14:paraId="331170EA"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55 studies</w:t>
            </w:r>
          </w:p>
        </w:tc>
        <w:tc>
          <w:tcPr>
            <w:tcW w:w="0" w:type="auto"/>
            <w:hideMark/>
          </w:tcPr>
          <w:p w14:paraId="3F257D8D"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Strong evidence base</w:t>
            </w:r>
          </w:p>
        </w:tc>
        <w:tc>
          <w:tcPr>
            <w:tcW w:w="0" w:type="auto"/>
            <w:hideMark/>
          </w:tcPr>
          <w:p w14:paraId="1C4E5B13"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International focus</w:t>
            </w:r>
          </w:p>
        </w:tc>
        <w:tc>
          <w:tcPr>
            <w:tcW w:w="0" w:type="auto"/>
            <w:hideMark/>
          </w:tcPr>
          <w:p w14:paraId="05089B02"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High</w:t>
            </w:r>
          </w:p>
        </w:tc>
      </w:tr>
      <w:tr w:rsidR="005956EF" w:rsidRPr="005A3125" w14:paraId="2576D771" w14:textId="77777777" w:rsidTr="005956EF">
        <w:tc>
          <w:tcPr>
            <w:tcW w:w="0" w:type="auto"/>
            <w:hideMark/>
          </w:tcPr>
          <w:p w14:paraId="4F4C1794"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Arday (2018)</w:t>
            </w:r>
          </w:p>
        </w:tc>
        <w:tc>
          <w:tcPr>
            <w:tcW w:w="0" w:type="auto"/>
            <w:hideMark/>
          </w:tcPr>
          <w:p w14:paraId="35317B7B"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Qualitative</w:t>
            </w:r>
          </w:p>
        </w:tc>
        <w:tc>
          <w:tcPr>
            <w:tcW w:w="0" w:type="auto"/>
            <w:hideMark/>
          </w:tcPr>
          <w:p w14:paraId="465AFB0B"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University students</w:t>
            </w:r>
          </w:p>
        </w:tc>
        <w:tc>
          <w:tcPr>
            <w:tcW w:w="0" w:type="auto"/>
            <w:hideMark/>
          </w:tcPr>
          <w:p w14:paraId="2B5DBB46"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Rich lived experiences</w:t>
            </w:r>
          </w:p>
        </w:tc>
        <w:tc>
          <w:tcPr>
            <w:tcW w:w="0" w:type="auto"/>
            <w:hideMark/>
          </w:tcPr>
          <w:p w14:paraId="45E643F2"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Small sample</w:t>
            </w:r>
          </w:p>
        </w:tc>
        <w:tc>
          <w:tcPr>
            <w:tcW w:w="0" w:type="auto"/>
            <w:hideMark/>
          </w:tcPr>
          <w:p w14:paraId="2DC97AC0"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Moderate</w:t>
            </w:r>
          </w:p>
        </w:tc>
      </w:tr>
      <w:tr w:rsidR="005956EF" w:rsidRPr="005A3125" w14:paraId="4AAD29D5" w14:textId="77777777" w:rsidTr="005956EF">
        <w:tc>
          <w:tcPr>
            <w:tcW w:w="0" w:type="auto"/>
            <w:hideMark/>
          </w:tcPr>
          <w:p w14:paraId="5B33CCA9"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Song (2017)</w:t>
            </w:r>
          </w:p>
        </w:tc>
        <w:tc>
          <w:tcPr>
            <w:tcW w:w="0" w:type="auto"/>
            <w:hideMark/>
          </w:tcPr>
          <w:p w14:paraId="6D3F5B97"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Qualitative</w:t>
            </w:r>
          </w:p>
        </w:tc>
        <w:tc>
          <w:tcPr>
            <w:tcW w:w="0" w:type="auto"/>
            <w:hideMark/>
          </w:tcPr>
          <w:p w14:paraId="32A994C9"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Mixed-race participants</w:t>
            </w:r>
          </w:p>
        </w:tc>
        <w:tc>
          <w:tcPr>
            <w:tcW w:w="0" w:type="auto"/>
            <w:hideMark/>
          </w:tcPr>
          <w:p w14:paraId="2EBDB046"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Detailed identity analysis</w:t>
            </w:r>
          </w:p>
        </w:tc>
        <w:tc>
          <w:tcPr>
            <w:tcW w:w="0" w:type="auto"/>
            <w:hideMark/>
          </w:tcPr>
          <w:p w14:paraId="3E202B52"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Limited generalisability</w:t>
            </w:r>
          </w:p>
        </w:tc>
        <w:tc>
          <w:tcPr>
            <w:tcW w:w="0" w:type="auto"/>
            <w:hideMark/>
          </w:tcPr>
          <w:p w14:paraId="732AC3F9"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Moderate</w:t>
            </w:r>
          </w:p>
        </w:tc>
      </w:tr>
      <w:tr w:rsidR="005956EF" w:rsidRPr="005A3125" w14:paraId="5CE9DAC7" w14:textId="77777777" w:rsidTr="005956EF">
        <w:tc>
          <w:tcPr>
            <w:tcW w:w="0" w:type="auto"/>
            <w:hideMark/>
          </w:tcPr>
          <w:p w14:paraId="702AAC50"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Barnett et al. (2019)</w:t>
            </w:r>
          </w:p>
        </w:tc>
        <w:tc>
          <w:tcPr>
            <w:tcW w:w="0" w:type="auto"/>
            <w:hideMark/>
          </w:tcPr>
          <w:p w14:paraId="30217465"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Quantitative</w:t>
            </w:r>
          </w:p>
        </w:tc>
        <w:tc>
          <w:tcPr>
            <w:tcW w:w="0" w:type="auto"/>
            <w:hideMark/>
          </w:tcPr>
          <w:p w14:paraId="0E7B1FEF"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National dataset</w:t>
            </w:r>
          </w:p>
        </w:tc>
        <w:tc>
          <w:tcPr>
            <w:tcW w:w="0" w:type="auto"/>
            <w:hideMark/>
          </w:tcPr>
          <w:p w14:paraId="2484D41D"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Robust statistical analysis</w:t>
            </w:r>
          </w:p>
        </w:tc>
        <w:tc>
          <w:tcPr>
            <w:tcW w:w="0" w:type="auto"/>
            <w:hideMark/>
          </w:tcPr>
          <w:p w14:paraId="16CA3088"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Limited qualitative context</w:t>
            </w:r>
          </w:p>
        </w:tc>
        <w:tc>
          <w:tcPr>
            <w:tcW w:w="0" w:type="auto"/>
            <w:hideMark/>
          </w:tcPr>
          <w:p w14:paraId="65B49CA2"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High</w:t>
            </w:r>
          </w:p>
        </w:tc>
      </w:tr>
      <w:tr w:rsidR="005956EF" w:rsidRPr="005A3125" w14:paraId="70515435" w14:textId="77777777" w:rsidTr="005956EF">
        <w:tc>
          <w:tcPr>
            <w:tcW w:w="0" w:type="auto"/>
            <w:hideMark/>
          </w:tcPr>
          <w:p w14:paraId="127ADBAA" w14:textId="77777777" w:rsidR="005956EF" w:rsidRPr="005A3125" w:rsidRDefault="005956EF" w:rsidP="005956EF">
            <w:pPr>
              <w:spacing w:after="160" w:line="360" w:lineRule="auto"/>
              <w:jc w:val="both"/>
              <w:rPr>
                <w:rFonts w:asciiTheme="minorBidi" w:hAnsiTheme="minorBidi"/>
                <w:lang w:val="en-IN"/>
              </w:rPr>
            </w:pPr>
            <w:proofErr w:type="spellStart"/>
            <w:r w:rsidRPr="005A3125">
              <w:rPr>
                <w:rFonts w:asciiTheme="minorBidi" w:hAnsiTheme="minorBidi"/>
                <w:lang w:val="en-IN"/>
              </w:rPr>
              <w:t>Bhui</w:t>
            </w:r>
            <w:proofErr w:type="spellEnd"/>
            <w:r w:rsidRPr="005A3125">
              <w:rPr>
                <w:rFonts w:asciiTheme="minorBidi" w:hAnsiTheme="minorBidi"/>
                <w:lang w:val="en-IN"/>
              </w:rPr>
              <w:t xml:space="preserve"> et al. (2018)</w:t>
            </w:r>
          </w:p>
        </w:tc>
        <w:tc>
          <w:tcPr>
            <w:tcW w:w="0" w:type="auto"/>
            <w:hideMark/>
          </w:tcPr>
          <w:p w14:paraId="0E49B44B"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Mixed methods</w:t>
            </w:r>
          </w:p>
        </w:tc>
        <w:tc>
          <w:tcPr>
            <w:tcW w:w="0" w:type="auto"/>
            <w:hideMark/>
          </w:tcPr>
          <w:p w14:paraId="3C96692E"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Service users</w:t>
            </w:r>
          </w:p>
        </w:tc>
        <w:tc>
          <w:tcPr>
            <w:tcW w:w="0" w:type="auto"/>
            <w:hideMark/>
          </w:tcPr>
          <w:p w14:paraId="714DCB92"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Multiple perspectives</w:t>
            </w:r>
          </w:p>
        </w:tc>
        <w:tc>
          <w:tcPr>
            <w:tcW w:w="0" w:type="auto"/>
            <w:hideMark/>
          </w:tcPr>
          <w:p w14:paraId="50879347"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Limited youth focus</w:t>
            </w:r>
          </w:p>
        </w:tc>
        <w:tc>
          <w:tcPr>
            <w:tcW w:w="0" w:type="auto"/>
            <w:hideMark/>
          </w:tcPr>
          <w:p w14:paraId="7C29F2B7"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Moderate–High</w:t>
            </w:r>
          </w:p>
        </w:tc>
      </w:tr>
      <w:tr w:rsidR="005956EF" w:rsidRPr="005A3125" w14:paraId="2453EB17" w14:textId="77777777" w:rsidTr="005956EF">
        <w:tc>
          <w:tcPr>
            <w:tcW w:w="0" w:type="auto"/>
            <w:hideMark/>
          </w:tcPr>
          <w:p w14:paraId="7B186DA9" w14:textId="77777777" w:rsidR="005956EF" w:rsidRPr="005A3125" w:rsidRDefault="005956EF" w:rsidP="005956EF">
            <w:pPr>
              <w:spacing w:after="160" w:line="360" w:lineRule="auto"/>
              <w:jc w:val="both"/>
              <w:rPr>
                <w:rFonts w:asciiTheme="minorBidi" w:hAnsiTheme="minorBidi"/>
                <w:lang w:val="en-IN"/>
              </w:rPr>
            </w:pPr>
            <w:proofErr w:type="spellStart"/>
            <w:r w:rsidRPr="005A3125">
              <w:rPr>
                <w:rFonts w:asciiTheme="minorBidi" w:hAnsiTheme="minorBidi"/>
                <w:lang w:val="en-IN"/>
              </w:rPr>
              <w:t>Nazroo</w:t>
            </w:r>
            <w:proofErr w:type="spellEnd"/>
            <w:r w:rsidRPr="005A3125">
              <w:rPr>
                <w:rFonts w:asciiTheme="minorBidi" w:hAnsiTheme="minorBidi"/>
                <w:lang w:val="en-IN"/>
              </w:rPr>
              <w:t xml:space="preserve"> (2021)</w:t>
            </w:r>
          </w:p>
        </w:tc>
        <w:tc>
          <w:tcPr>
            <w:tcW w:w="0" w:type="auto"/>
            <w:hideMark/>
          </w:tcPr>
          <w:p w14:paraId="7333E8B3"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Review</w:t>
            </w:r>
          </w:p>
        </w:tc>
        <w:tc>
          <w:tcPr>
            <w:tcW w:w="0" w:type="auto"/>
            <w:hideMark/>
          </w:tcPr>
          <w:p w14:paraId="2973020E"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National evidence</w:t>
            </w:r>
          </w:p>
        </w:tc>
        <w:tc>
          <w:tcPr>
            <w:tcW w:w="0" w:type="auto"/>
            <w:hideMark/>
          </w:tcPr>
          <w:p w14:paraId="3C22A3A2"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Strong theoretical contribution</w:t>
            </w:r>
          </w:p>
        </w:tc>
        <w:tc>
          <w:tcPr>
            <w:tcW w:w="0" w:type="auto"/>
            <w:hideMark/>
          </w:tcPr>
          <w:p w14:paraId="17EC61CF"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Secondary evidence</w:t>
            </w:r>
          </w:p>
        </w:tc>
        <w:tc>
          <w:tcPr>
            <w:tcW w:w="0" w:type="auto"/>
            <w:hideMark/>
          </w:tcPr>
          <w:p w14:paraId="62710183"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High</w:t>
            </w:r>
          </w:p>
        </w:tc>
      </w:tr>
      <w:tr w:rsidR="005956EF" w:rsidRPr="005A3125" w14:paraId="0BDA1249" w14:textId="77777777" w:rsidTr="005956EF">
        <w:tc>
          <w:tcPr>
            <w:tcW w:w="0" w:type="auto"/>
            <w:hideMark/>
          </w:tcPr>
          <w:p w14:paraId="426E856E"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Paradies et al. (2015)</w:t>
            </w:r>
          </w:p>
        </w:tc>
        <w:tc>
          <w:tcPr>
            <w:tcW w:w="0" w:type="auto"/>
            <w:hideMark/>
          </w:tcPr>
          <w:p w14:paraId="2501B005"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Meta-analysis</w:t>
            </w:r>
          </w:p>
        </w:tc>
        <w:tc>
          <w:tcPr>
            <w:tcW w:w="0" w:type="auto"/>
            <w:hideMark/>
          </w:tcPr>
          <w:p w14:paraId="4CCA683D"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293 studies</w:t>
            </w:r>
          </w:p>
        </w:tc>
        <w:tc>
          <w:tcPr>
            <w:tcW w:w="0" w:type="auto"/>
            <w:hideMark/>
          </w:tcPr>
          <w:p w14:paraId="0C0DBD63"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Extensive evidence base</w:t>
            </w:r>
          </w:p>
        </w:tc>
        <w:tc>
          <w:tcPr>
            <w:tcW w:w="0" w:type="auto"/>
            <w:hideMark/>
          </w:tcPr>
          <w:p w14:paraId="06272E8C"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International variation</w:t>
            </w:r>
          </w:p>
        </w:tc>
        <w:tc>
          <w:tcPr>
            <w:tcW w:w="0" w:type="auto"/>
            <w:hideMark/>
          </w:tcPr>
          <w:p w14:paraId="28317173" w14:textId="77777777" w:rsidR="005956EF" w:rsidRPr="005A3125" w:rsidRDefault="005956EF" w:rsidP="005956EF">
            <w:pPr>
              <w:spacing w:after="160" w:line="360" w:lineRule="auto"/>
              <w:jc w:val="both"/>
              <w:rPr>
                <w:rFonts w:asciiTheme="minorBidi" w:hAnsiTheme="minorBidi"/>
                <w:lang w:val="en-IN"/>
              </w:rPr>
            </w:pPr>
            <w:r w:rsidRPr="005A3125">
              <w:rPr>
                <w:rFonts w:asciiTheme="minorBidi" w:hAnsiTheme="minorBidi"/>
                <w:lang w:val="en-IN"/>
              </w:rPr>
              <w:t>High</w:t>
            </w:r>
          </w:p>
        </w:tc>
      </w:tr>
    </w:tbl>
    <w:p w14:paraId="61B59176" w14:textId="77777777" w:rsidR="005956EF" w:rsidRPr="005A3125" w:rsidRDefault="005956EF" w:rsidP="002A6F75">
      <w:pPr>
        <w:spacing w:line="360" w:lineRule="auto"/>
        <w:jc w:val="both"/>
        <w:rPr>
          <w:rFonts w:asciiTheme="minorBidi" w:hAnsiTheme="minorBidi"/>
          <w:b/>
          <w:bCs/>
          <w:lang w:val="en-IN"/>
        </w:rPr>
      </w:pPr>
    </w:p>
    <w:p w14:paraId="7645EB27" w14:textId="611E47CE" w:rsidR="002A6F75" w:rsidRPr="005A3125" w:rsidRDefault="005956EF" w:rsidP="002A6F75">
      <w:pPr>
        <w:spacing w:line="360" w:lineRule="auto"/>
        <w:jc w:val="both"/>
        <w:rPr>
          <w:rFonts w:asciiTheme="minorBidi" w:hAnsiTheme="minorBidi"/>
          <w:b/>
          <w:lang w:val="en-IN"/>
        </w:rPr>
      </w:pPr>
      <w:r w:rsidRPr="005A3125">
        <w:rPr>
          <w:rFonts w:asciiTheme="minorBidi" w:hAnsiTheme="minorBidi"/>
          <w:b/>
          <w:bCs/>
          <w:lang w:val="en-IN"/>
        </w:rPr>
        <w:lastRenderedPageBreak/>
        <w:t>Source:</w:t>
      </w:r>
      <w:r w:rsidRPr="005A3125">
        <w:rPr>
          <w:rFonts w:asciiTheme="minorBidi" w:hAnsiTheme="minorBidi"/>
          <w:b/>
          <w:lang w:val="en-IN"/>
        </w:rPr>
        <w:t xml:space="preserve"> Developed by the author using CASP criteria.</w:t>
      </w:r>
    </w:p>
    <w:p w14:paraId="1E141BFC" w14:textId="5EF41846" w:rsidR="00450FE9" w:rsidRPr="005A3125" w:rsidRDefault="002A6F75" w:rsidP="00450FE9">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sz w:val="22"/>
          <w:szCs w:val="22"/>
        </w:rPr>
        <w:t>Table 3.4</w:t>
      </w:r>
      <w:r w:rsidR="00450FE9" w:rsidRPr="005A3125">
        <w:rPr>
          <w:rFonts w:asciiTheme="minorBidi" w:hAnsiTheme="minorBidi" w:cstheme="minorBidi"/>
          <w:sz w:val="22"/>
          <w:szCs w:val="22"/>
        </w:rPr>
        <w:t xml:space="preserve">: </w:t>
      </w:r>
      <w:r w:rsidR="00450FE9" w:rsidRPr="005A3125">
        <w:rPr>
          <w:rFonts w:asciiTheme="minorBidi" w:hAnsiTheme="minorBidi" w:cstheme="minorBidi"/>
          <w:color w:val="161F19"/>
          <w:sz w:val="22"/>
          <w:szCs w:val="22"/>
        </w:rPr>
        <w:t>The author developed the evidence extraction process using CASP criteria, as shown in Table 3.4. This table illustrates how findings were organised across the included studies. Using evidence matrices facilitated better analytical structure and supported the thematic synthesis process (</w:t>
      </w:r>
      <w:proofErr w:type="spellStart"/>
      <w:r w:rsidR="00450FE9" w:rsidRPr="005A3125">
        <w:rPr>
          <w:rFonts w:asciiTheme="minorBidi" w:hAnsiTheme="minorBidi" w:cstheme="minorBidi"/>
          <w:color w:val="161F19"/>
          <w:sz w:val="22"/>
          <w:szCs w:val="22"/>
        </w:rPr>
        <w:t>Aromataris</w:t>
      </w:r>
      <w:proofErr w:type="spellEnd"/>
      <w:r w:rsidR="00450FE9" w:rsidRPr="005A3125">
        <w:rPr>
          <w:rFonts w:asciiTheme="minorBidi" w:hAnsiTheme="minorBidi" w:cstheme="minorBidi"/>
          <w:color w:val="161F19"/>
          <w:sz w:val="22"/>
          <w:szCs w:val="22"/>
        </w:rPr>
        <w:t xml:space="preserve"> and Pearson, 2014; Peters et al., 2020). A summarized version of the data extraction and quality appraisal table is included in this chapter to give a general overview of the methodological features of the studies reviewed. The complete evidence extraction table for all 20 studies is available in Appendix A to maintain transparency and clarity in the main text.</w:t>
      </w:r>
    </w:p>
    <w:p w14:paraId="04824C2C" w14:textId="77777777" w:rsidR="00450FE9" w:rsidRPr="005A3125" w:rsidRDefault="00450FE9" w:rsidP="00450FE9">
      <w:pPr>
        <w:pStyle w:val="muitypography-root"/>
        <w:spacing w:before="0" w:beforeAutospacing="0" w:after="0" w:afterAutospacing="0" w:line="360" w:lineRule="atLeast"/>
        <w:rPr>
          <w:rFonts w:asciiTheme="minorBidi" w:hAnsiTheme="minorBidi" w:cstheme="minorBidi"/>
          <w:color w:val="161F19"/>
          <w:sz w:val="22"/>
          <w:szCs w:val="22"/>
        </w:rPr>
      </w:pPr>
      <w:r w:rsidRPr="005A3125">
        <w:rPr>
          <w:rStyle w:val="Strong"/>
          <w:rFonts w:asciiTheme="minorBidi" w:hAnsiTheme="minorBidi" w:cstheme="minorBidi"/>
          <w:color w:val="161F19"/>
          <w:sz w:val="22"/>
          <w:szCs w:val="22"/>
        </w:rPr>
        <w:t>3.13 Data Analysis</w:t>
      </w:r>
      <w:r w:rsidRPr="005A3125">
        <w:rPr>
          <w:rFonts w:asciiTheme="minorBidi" w:hAnsiTheme="minorBidi" w:cstheme="minorBidi"/>
          <w:color w:val="161F19"/>
          <w:sz w:val="22"/>
          <w:szCs w:val="22"/>
        </w:rPr>
        <w:br/>
        <w:t>The dissertation applied thematic analysis to integrate findings from the included studies. Thematic analysis is a qualitative method that identifies, examines, and interprets recurring patterns or themes within data (Braun and Clarke, 2006; Braun and Clarke, 2021). It is well-suited for exploring complex social issues like mental health inequalities, which involve evidence from various methodological backgrounds.</w:t>
      </w:r>
    </w:p>
    <w:p w14:paraId="15B0DB40" w14:textId="77777777" w:rsidR="00450FE9" w:rsidRPr="005A3125" w:rsidRDefault="00450FE9" w:rsidP="00450FE9">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The analysis followed Braun and Clarke’s (2006) six-phase process, starting with familiarization with the literature, then initial coding, identifying themes, reviewing themes, defining themes, and concluding with synthesis. This structured yet adaptable method allowed for systematic data engagement while enabling themes to emerge organically from the literature.</w:t>
      </w:r>
    </w:p>
    <w:p w14:paraId="3CD7E09F" w14:textId="77777777" w:rsidR="00450FE9" w:rsidRPr="005A3125" w:rsidRDefault="00450FE9" w:rsidP="00450FE9">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Six key themes were identified through this process: structural racism, socioeconomic deprivation, educational exclusion, identity conflict, mental health stigma, and barriers to healthcare access. These themes capture the layered and interconnected factors influencing depression and anxiety among Black African and Mixed African youth in the UK.</w:t>
      </w:r>
    </w:p>
    <w:p w14:paraId="40D0FA58" w14:textId="77777777" w:rsidR="00450FE9" w:rsidRPr="005A3125" w:rsidRDefault="00450FE9" w:rsidP="00450FE9">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Thematic analysis was chosen for its effectiveness in synthesizing findings from diverse sources, including qualitative, quantitative, and policy-related studies. Its flexibility allows for interpretative depth while preserving methodological consistency and is widely recognized in public health research for handling complex evidence. This approach supported a detailed and nuanced understanding of mental health inequalities across the studies.</w:t>
      </w:r>
    </w:p>
    <w:p w14:paraId="2C20DFDB" w14:textId="77777777" w:rsidR="00450FE9" w:rsidRPr="005A3125" w:rsidRDefault="00450FE9" w:rsidP="00450FE9">
      <w:pPr>
        <w:pStyle w:val="muitypography-root"/>
        <w:spacing w:before="0" w:beforeAutospacing="0" w:after="0" w:afterAutospacing="0" w:line="360" w:lineRule="atLeast"/>
        <w:rPr>
          <w:rFonts w:asciiTheme="minorBidi" w:hAnsiTheme="minorBidi" w:cstheme="minorBidi"/>
          <w:color w:val="161F19"/>
          <w:sz w:val="22"/>
          <w:szCs w:val="22"/>
        </w:rPr>
      </w:pPr>
      <w:r w:rsidRPr="005A3125">
        <w:rPr>
          <w:rStyle w:val="Strong"/>
          <w:rFonts w:asciiTheme="minorBidi" w:hAnsiTheme="minorBidi" w:cstheme="minorBidi"/>
          <w:color w:val="161F19"/>
          <w:sz w:val="22"/>
          <w:szCs w:val="22"/>
        </w:rPr>
        <w:t>3.14 Reliability and Validity</w:t>
      </w:r>
      <w:r w:rsidRPr="005A3125">
        <w:rPr>
          <w:rFonts w:asciiTheme="minorBidi" w:hAnsiTheme="minorBidi" w:cstheme="minorBidi"/>
          <w:color w:val="161F19"/>
          <w:sz w:val="22"/>
          <w:szCs w:val="22"/>
        </w:rPr>
        <w:br/>
        <w:t>Ensuring reliability and validity is crucial for maintaining trustworthiness in qualitative research (Lincoln and Guba, 1985; Nowell et al., 2017). This systematic review implemented several measures to enhance methodological rigor and analytical credibility. These included a systematic search strategy across databases, well-defined inclusion and exclusion criteria, adherence to PRISMA standards, use of the Critical Appraisal Skills Programme (CASP), and a structured thematic analysis framework.</w:t>
      </w:r>
    </w:p>
    <w:p w14:paraId="04389EE4" w14:textId="77777777" w:rsidR="00450FE9" w:rsidRPr="005A3125" w:rsidRDefault="00450FE9" w:rsidP="00450FE9">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 xml:space="preserve">Moreover, triangulating evidence from multiple study designs—qualitative, quantitative, mixed methods, and policy literature—enhanced the robustness and trustworthiness of the </w:t>
      </w:r>
      <w:r w:rsidRPr="005A3125">
        <w:rPr>
          <w:rFonts w:asciiTheme="minorBidi" w:hAnsiTheme="minorBidi" w:cstheme="minorBidi"/>
          <w:color w:val="161F19"/>
          <w:sz w:val="22"/>
          <w:szCs w:val="22"/>
        </w:rPr>
        <w:lastRenderedPageBreak/>
        <w:t>synthesis (Moon et al., 2019). This triangulation enabled comparison across different types of evidence, boosting confidence in the recurring patterns and themes identified.</w:t>
      </w:r>
    </w:p>
    <w:p w14:paraId="0B344B80" w14:textId="77777777" w:rsidR="00450FE9" w:rsidRPr="005A3125" w:rsidRDefault="00450FE9" w:rsidP="00450FE9">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Despite these measures, it is acknowledged that researcher subjectivity can influence interpretation, an inherent aspect of qualitative synthesis. To mitigate this, transparency and dependability were strengthened by maintaining a systematic and detailed record of all methodological decisions throughout the review, ensuring the analysis was traceable, consistent, and methodologically sound.</w:t>
      </w:r>
    </w:p>
    <w:p w14:paraId="489B54DB" w14:textId="70412997" w:rsidR="00036AD6" w:rsidRPr="005A3125" w:rsidRDefault="00036AD6" w:rsidP="00450FE9">
      <w:pPr>
        <w:spacing w:line="360" w:lineRule="auto"/>
        <w:jc w:val="both"/>
        <w:rPr>
          <w:rFonts w:asciiTheme="minorBidi" w:hAnsiTheme="minorBidi"/>
        </w:rPr>
      </w:pPr>
    </w:p>
    <w:p w14:paraId="01C45D6B" w14:textId="3A8E0F8A" w:rsidR="002A6F75" w:rsidRPr="005A3125" w:rsidRDefault="00A848C4" w:rsidP="00A848C4">
      <w:pPr>
        <w:pStyle w:val="Heading1"/>
        <w:spacing w:line="360" w:lineRule="auto"/>
        <w:ind w:left="12" w:right="3"/>
        <w:jc w:val="left"/>
        <w:rPr>
          <w:rFonts w:asciiTheme="minorBidi" w:hAnsiTheme="minorBidi" w:cstheme="minorBidi"/>
          <w:b w:val="0"/>
          <w:sz w:val="22"/>
        </w:rPr>
      </w:pPr>
      <w:bookmarkStart w:id="24" w:name="_Toc232456059"/>
      <w:r w:rsidRPr="005A3125">
        <w:rPr>
          <w:rFonts w:asciiTheme="minorBidi" w:hAnsiTheme="minorBidi" w:cstheme="minorBidi"/>
          <w:sz w:val="22"/>
        </w:rPr>
        <w:t>3.15 Ethical Considerations</w:t>
      </w:r>
      <w:bookmarkEnd w:id="24"/>
    </w:p>
    <w:p w14:paraId="7E73E5A3" w14:textId="2802D652" w:rsidR="00036AD6" w:rsidRPr="005A3125" w:rsidRDefault="00036AD6" w:rsidP="002A6F75">
      <w:pPr>
        <w:spacing w:line="360" w:lineRule="auto"/>
        <w:jc w:val="both"/>
        <w:rPr>
          <w:rFonts w:asciiTheme="minorBidi" w:hAnsiTheme="minorBidi"/>
        </w:rPr>
      </w:pPr>
      <w:r w:rsidRPr="005A3125">
        <w:rPr>
          <w:rFonts w:asciiTheme="minorBidi" w:hAnsiTheme="minorBidi"/>
        </w:rPr>
        <w:t>As this study relied exclusively on secondary data and published literature, formal NHS ethical approval was not required. However, adherence to established ethical principles remained essential throughout the dissertation process in line with the British Educational Research Association (2024) guidelines. Ethical considerations were embedded in the research design and analysis to ensure accurate representation of findings, avoidance of plagiarism, appropriate academic referencing, and respectful engagement with racially marginalised populations. Particular attention was given to avoiding deficit-based narratives of African-heritage communities by balancing discussions of inequality with recognition of resilience, cultural strengths, and protective factors alongside structural disadvantages. Ethical sensitivity was especially important given that research on race, discrimination, and mental health carries the risk of reinforcing harmful stereotypes if interpreted or presented without critical context (Milner and Jumbe, 2020).</w:t>
      </w:r>
    </w:p>
    <w:p w14:paraId="04972528" w14:textId="6C413E45" w:rsidR="002A6F75" w:rsidRPr="005A3125" w:rsidRDefault="00A848C4" w:rsidP="00A848C4">
      <w:pPr>
        <w:pStyle w:val="Heading1"/>
        <w:spacing w:line="360" w:lineRule="auto"/>
        <w:ind w:left="12" w:right="3"/>
        <w:jc w:val="left"/>
        <w:rPr>
          <w:rFonts w:asciiTheme="minorBidi" w:hAnsiTheme="minorBidi" w:cstheme="minorBidi"/>
          <w:b w:val="0"/>
          <w:sz w:val="22"/>
        </w:rPr>
      </w:pPr>
      <w:bookmarkStart w:id="25" w:name="_Toc232456060"/>
      <w:r w:rsidRPr="005A3125">
        <w:rPr>
          <w:rFonts w:asciiTheme="minorBidi" w:hAnsiTheme="minorBidi" w:cstheme="minorBidi"/>
          <w:sz w:val="22"/>
        </w:rPr>
        <w:t>3.16 Reflexivity</w:t>
      </w:r>
      <w:bookmarkEnd w:id="25"/>
    </w:p>
    <w:p w14:paraId="390DE6DD" w14:textId="5D5073DA" w:rsidR="00036AD6" w:rsidRPr="005A3125" w:rsidRDefault="00036AD6" w:rsidP="002A6F75">
      <w:pPr>
        <w:spacing w:line="360" w:lineRule="auto"/>
        <w:jc w:val="both"/>
        <w:rPr>
          <w:rFonts w:asciiTheme="minorBidi" w:hAnsiTheme="minorBidi"/>
        </w:rPr>
      </w:pPr>
      <w:r w:rsidRPr="005A3125">
        <w:rPr>
          <w:rFonts w:asciiTheme="minorBidi" w:hAnsiTheme="minorBidi"/>
        </w:rPr>
        <w:t>Reflexivity refers to the process by which researchers critically examine how their own perspectives, experiences, assumptions, and values may influence the research process and interpretation of findings. Within this dissertation, reflexivity was particularly important because experiences of mental health are socially and culturally constructed, discussions surrounding race and inequality may be influenced by researcher assumptions, and the interpretation of qualitative literature inevitably involves a degree of subjectivity. To minimise potential bias, the study sought to maintain analytical balance through critical engagement with diverse evidence sources, theoretical perspectives, and research findings. Reflexive awareness also enabled consideration of how cultural assumptions, academic positioning, and interpretive frameworks might shape the analysis and presentation of evidence. By acknowledging these influences, the study aimed to enhance the credibility, transparency, and trustworthiness of the research process while ensuring a balanced interpretation of mental health inequalities affecting Black African and Mixed African youth within the United Kingdom (Berger, 2015; Dodgson, 2019).</w:t>
      </w:r>
    </w:p>
    <w:p w14:paraId="0229D3E9" w14:textId="2FC36D03" w:rsidR="002A6F75" w:rsidRPr="005A3125" w:rsidRDefault="0035427D" w:rsidP="0035427D">
      <w:pPr>
        <w:pStyle w:val="Heading1"/>
        <w:spacing w:line="360" w:lineRule="auto"/>
        <w:ind w:left="12" w:right="3"/>
        <w:jc w:val="left"/>
        <w:rPr>
          <w:rFonts w:asciiTheme="minorBidi" w:hAnsiTheme="minorBidi" w:cstheme="minorBidi"/>
          <w:b w:val="0"/>
          <w:sz w:val="22"/>
        </w:rPr>
      </w:pPr>
      <w:bookmarkStart w:id="26" w:name="_Toc232456061"/>
      <w:r w:rsidRPr="005A3125">
        <w:rPr>
          <w:rFonts w:asciiTheme="minorBidi" w:hAnsiTheme="minorBidi" w:cstheme="minorBidi"/>
          <w:sz w:val="22"/>
        </w:rPr>
        <w:lastRenderedPageBreak/>
        <w:t>3.17 Limitations of the Methodology</w:t>
      </w:r>
      <w:bookmarkEnd w:id="26"/>
    </w:p>
    <w:p w14:paraId="19B33C5B" w14:textId="77777777" w:rsidR="002A6F75" w:rsidRPr="005A3125" w:rsidRDefault="002A6F75" w:rsidP="002A6F75">
      <w:pPr>
        <w:spacing w:line="360" w:lineRule="auto"/>
        <w:jc w:val="both"/>
        <w:rPr>
          <w:rFonts w:asciiTheme="minorBidi" w:hAnsiTheme="minorBidi"/>
        </w:rPr>
      </w:pPr>
      <w:r w:rsidRPr="005A3125">
        <w:rPr>
          <w:rFonts w:asciiTheme="minorBidi" w:hAnsiTheme="minorBidi"/>
        </w:rPr>
        <w:t>Several limitations should be acknowledged.</w:t>
      </w:r>
    </w:p>
    <w:p w14:paraId="0C1F3712" w14:textId="77777777" w:rsidR="002A6F75" w:rsidRPr="005A3125" w:rsidRDefault="002A6F75" w:rsidP="002A6F75">
      <w:pPr>
        <w:spacing w:line="360" w:lineRule="auto"/>
        <w:jc w:val="both"/>
        <w:rPr>
          <w:rFonts w:asciiTheme="minorBidi" w:hAnsiTheme="minorBidi"/>
        </w:rPr>
      </w:pPr>
      <w:r w:rsidRPr="005A3125">
        <w:rPr>
          <w:rFonts w:asciiTheme="minorBidi" w:hAnsiTheme="minorBidi"/>
        </w:rPr>
        <w:t>First, the review relied primarily on secondary data and published literature rather than primary research.</w:t>
      </w:r>
    </w:p>
    <w:p w14:paraId="24906703" w14:textId="77777777" w:rsidR="002A6F75" w:rsidRPr="005A3125" w:rsidRDefault="002A6F75" w:rsidP="002A6F75">
      <w:pPr>
        <w:spacing w:line="360" w:lineRule="auto"/>
        <w:jc w:val="both"/>
        <w:rPr>
          <w:rFonts w:asciiTheme="minorBidi" w:hAnsiTheme="minorBidi"/>
        </w:rPr>
      </w:pPr>
      <w:r w:rsidRPr="005A3125">
        <w:rPr>
          <w:rFonts w:asciiTheme="minorBidi" w:hAnsiTheme="minorBidi"/>
        </w:rPr>
        <w:t>Second, existing UK literature specifically focusing on Mixed African youth remains limited.</w:t>
      </w:r>
    </w:p>
    <w:p w14:paraId="52CC9DC7" w14:textId="77777777" w:rsidR="002A6F75" w:rsidRPr="005A3125" w:rsidRDefault="002A6F75" w:rsidP="002A6F75">
      <w:pPr>
        <w:spacing w:line="360" w:lineRule="auto"/>
        <w:jc w:val="both"/>
        <w:rPr>
          <w:rFonts w:asciiTheme="minorBidi" w:hAnsiTheme="minorBidi"/>
        </w:rPr>
      </w:pPr>
      <w:r w:rsidRPr="005A3125">
        <w:rPr>
          <w:rFonts w:asciiTheme="minorBidi" w:hAnsiTheme="minorBidi"/>
        </w:rPr>
        <w:t>Third, many included studies used cross-sectional methodologies, limiting causal interpretation.</w:t>
      </w:r>
    </w:p>
    <w:p w14:paraId="0ECDC445" w14:textId="539B0169" w:rsidR="002A6F75" w:rsidRPr="005A3125" w:rsidRDefault="002A6F75" w:rsidP="002A6F75">
      <w:pPr>
        <w:spacing w:line="360" w:lineRule="auto"/>
        <w:jc w:val="both"/>
        <w:rPr>
          <w:rFonts w:asciiTheme="minorBidi" w:hAnsiTheme="minorBidi"/>
        </w:rPr>
      </w:pPr>
      <w:r w:rsidRPr="005A3125">
        <w:rPr>
          <w:rFonts w:asciiTheme="minorBidi" w:hAnsiTheme="minorBidi"/>
        </w:rPr>
        <w:t>Fourth, several studies aggregated ethnic groups into broader “Black” categories, reducing cultural specificity.</w:t>
      </w:r>
      <w:r w:rsidR="006F09D9" w:rsidRPr="005A3125">
        <w:rPr>
          <w:rFonts w:asciiTheme="minorBidi" w:hAnsiTheme="minorBidi"/>
        </w:rPr>
        <w:t xml:space="preserve"> (Ioannidis, 2016; Page et al., 2021)</w:t>
      </w:r>
      <w:r w:rsidR="00DD1315" w:rsidRPr="005A3125">
        <w:rPr>
          <w:rFonts w:asciiTheme="minorBidi" w:hAnsiTheme="minorBidi"/>
        </w:rPr>
        <w:t>.</w:t>
      </w:r>
    </w:p>
    <w:p w14:paraId="06EF50E7" w14:textId="4BDD3465" w:rsidR="002A6F75" w:rsidRPr="005A3125" w:rsidRDefault="002A6F75" w:rsidP="002A6F75">
      <w:pPr>
        <w:spacing w:line="360" w:lineRule="auto"/>
        <w:jc w:val="both"/>
        <w:rPr>
          <w:rFonts w:asciiTheme="minorBidi" w:hAnsiTheme="minorBidi"/>
        </w:rPr>
      </w:pPr>
      <w:r w:rsidRPr="005A3125">
        <w:rPr>
          <w:rFonts w:asciiTheme="minorBidi" w:hAnsiTheme="minorBidi"/>
        </w:rPr>
        <w:t>Finally, publication bias may have affected the a</w:t>
      </w:r>
      <w:r w:rsidR="00F13368" w:rsidRPr="005A3125">
        <w:rPr>
          <w:rFonts w:asciiTheme="minorBidi" w:hAnsiTheme="minorBidi"/>
        </w:rPr>
        <w:t>vailability of relevant studies.</w:t>
      </w:r>
    </w:p>
    <w:p w14:paraId="3709634D" w14:textId="78620A73" w:rsidR="0035427D" w:rsidRPr="005A3125" w:rsidRDefault="002A6F75" w:rsidP="002A6F75">
      <w:pPr>
        <w:spacing w:line="360" w:lineRule="auto"/>
        <w:jc w:val="both"/>
        <w:rPr>
          <w:rFonts w:asciiTheme="minorBidi" w:hAnsiTheme="minorBidi"/>
        </w:rPr>
      </w:pPr>
      <w:r w:rsidRPr="005A3125">
        <w:rPr>
          <w:rFonts w:asciiTheme="minorBidi" w:hAnsiTheme="minorBidi"/>
        </w:rPr>
        <w:t xml:space="preserve">Despite these limitations, the systematic review provides important insight into mental health inequalities affecting </w:t>
      </w:r>
      <w:r w:rsidR="00CB3DB0" w:rsidRPr="005A3125">
        <w:rPr>
          <w:rFonts w:asciiTheme="minorBidi" w:hAnsiTheme="minorBidi"/>
        </w:rPr>
        <w:t>Black African and Mixed African youth</w:t>
      </w:r>
      <w:r w:rsidRPr="005A3125">
        <w:rPr>
          <w:rFonts w:asciiTheme="minorBidi" w:hAnsiTheme="minorBidi"/>
        </w:rPr>
        <w:t xml:space="preserve"> populat</w:t>
      </w:r>
      <w:r w:rsidR="0035427D" w:rsidRPr="005A3125">
        <w:rPr>
          <w:rFonts w:asciiTheme="minorBidi" w:hAnsiTheme="minorBidi"/>
        </w:rPr>
        <w:t>ions within the United Kingdom.</w:t>
      </w:r>
    </w:p>
    <w:p w14:paraId="52F19E39" w14:textId="2AF90400" w:rsidR="002A6F75" w:rsidRPr="005A3125" w:rsidRDefault="0035427D" w:rsidP="0035427D">
      <w:pPr>
        <w:pStyle w:val="Heading1"/>
        <w:spacing w:line="360" w:lineRule="auto"/>
        <w:ind w:left="12" w:right="3"/>
        <w:jc w:val="left"/>
        <w:rPr>
          <w:rFonts w:asciiTheme="minorBidi" w:hAnsiTheme="minorBidi" w:cstheme="minorBidi"/>
          <w:b w:val="0"/>
          <w:sz w:val="22"/>
        </w:rPr>
      </w:pPr>
      <w:bookmarkStart w:id="27" w:name="_Toc232456062"/>
      <w:r w:rsidRPr="005A3125">
        <w:rPr>
          <w:rFonts w:asciiTheme="minorBidi" w:hAnsiTheme="minorBidi" w:cstheme="minorBidi"/>
          <w:sz w:val="22"/>
        </w:rPr>
        <w:t>3.18 Chapter Summary</w:t>
      </w:r>
      <w:bookmarkEnd w:id="27"/>
    </w:p>
    <w:p w14:paraId="45D38709" w14:textId="3ACBB8AC" w:rsidR="00DD3AD1" w:rsidRPr="005A3125" w:rsidRDefault="00036AD6" w:rsidP="00036AD6">
      <w:pPr>
        <w:spacing w:line="360" w:lineRule="auto"/>
        <w:jc w:val="both"/>
        <w:rPr>
          <w:rFonts w:asciiTheme="minorBidi" w:hAnsiTheme="minorBidi"/>
        </w:rPr>
      </w:pPr>
      <w:r w:rsidRPr="005A3125">
        <w:rPr>
          <w:rFonts w:asciiTheme="minorBidi" w:hAnsiTheme="minorBidi"/>
        </w:rPr>
        <w:t>This chapter outlined the methodological framework used in this dissertation. An interpretivist qualitative systematic review design was employed, guided by PRISMA and CASP frameworks. The chapter detailed the research philosophy, search strategy, inclusion criteria, study selection, quality appraisal, data analysis, ethical considerations, reflexivity, and limitations. The methodology ensured a transparent, systematic, and rigorous synthesis of evidence relating to depression and anxiety among Black African and Mixed African youth in the United Kingdom. The following chapter presents the results of the thematic synthesis.</w:t>
      </w:r>
    </w:p>
    <w:p w14:paraId="6AC6201C" w14:textId="0204CB76" w:rsidR="0073683B" w:rsidRPr="005A3125" w:rsidRDefault="0073683B" w:rsidP="0073683B">
      <w:pPr>
        <w:pStyle w:val="Heading1"/>
        <w:spacing w:after="0" w:line="360" w:lineRule="auto"/>
        <w:ind w:left="12" w:right="3"/>
        <w:rPr>
          <w:rFonts w:asciiTheme="minorBidi" w:hAnsiTheme="minorBidi" w:cstheme="minorBidi"/>
          <w:sz w:val="22"/>
        </w:rPr>
      </w:pPr>
      <w:bookmarkStart w:id="28" w:name="_Toc232456063"/>
      <w:r w:rsidRPr="005A3125">
        <w:rPr>
          <w:rFonts w:asciiTheme="minorBidi" w:hAnsiTheme="minorBidi" w:cstheme="minorBidi"/>
          <w:sz w:val="22"/>
        </w:rPr>
        <w:t>Chapter 4: Result</w:t>
      </w:r>
      <w:r w:rsidR="00F13368" w:rsidRPr="005A3125">
        <w:rPr>
          <w:rFonts w:asciiTheme="minorBidi" w:hAnsiTheme="minorBidi" w:cstheme="minorBidi"/>
          <w:sz w:val="22"/>
        </w:rPr>
        <w:t>s</w:t>
      </w:r>
      <w:bookmarkEnd w:id="28"/>
    </w:p>
    <w:p w14:paraId="4DCAC975" w14:textId="5857E9EE" w:rsidR="0073683B" w:rsidRPr="005A3125" w:rsidRDefault="0073683B" w:rsidP="0073683B">
      <w:pPr>
        <w:pStyle w:val="Heading1"/>
        <w:spacing w:line="360" w:lineRule="auto"/>
        <w:ind w:left="12" w:right="3"/>
        <w:jc w:val="left"/>
        <w:rPr>
          <w:rFonts w:asciiTheme="minorBidi" w:hAnsiTheme="minorBidi" w:cstheme="minorBidi"/>
          <w:sz w:val="22"/>
        </w:rPr>
      </w:pPr>
      <w:bookmarkStart w:id="29" w:name="_Toc232456064"/>
      <w:r w:rsidRPr="005A3125">
        <w:rPr>
          <w:rFonts w:asciiTheme="minorBidi" w:hAnsiTheme="minorBidi" w:cstheme="minorBidi"/>
          <w:sz w:val="22"/>
        </w:rPr>
        <w:t>4.1 Introduction</w:t>
      </w:r>
      <w:bookmarkEnd w:id="29"/>
    </w:p>
    <w:p w14:paraId="0E3F6417" w14:textId="14F9B93C" w:rsidR="00B63F6E" w:rsidRPr="005A3125" w:rsidRDefault="00B63F6E" w:rsidP="00B63F6E">
      <w:pPr>
        <w:spacing w:line="360" w:lineRule="auto"/>
        <w:jc w:val="both"/>
        <w:rPr>
          <w:rFonts w:asciiTheme="minorBidi" w:hAnsiTheme="minorBidi"/>
        </w:rPr>
      </w:pPr>
      <w:r w:rsidRPr="005A3125">
        <w:rPr>
          <w:rFonts w:asciiTheme="minorBidi" w:hAnsiTheme="minorBidi"/>
        </w:rPr>
        <w:t>This chapter presents the results identified through a thematic synthesis of the literature reviewed in relation to depression and anxiety among Black African and Mixed African youth aged 16–25 years within the United Kingdom. The findings emerged from a systematic analysis of peer-reviewed studies, NHS reports, public health data, and policy literature included within the review process.</w:t>
      </w:r>
    </w:p>
    <w:p w14:paraId="6C1F2933" w14:textId="365D9753" w:rsidR="00B63F6E" w:rsidRPr="005A3125" w:rsidRDefault="00B63F6E" w:rsidP="00B63F6E">
      <w:pPr>
        <w:spacing w:line="360" w:lineRule="auto"/>
        <w:jc w:val="both"/>
        <w:rPr>
          <w:rFonts w:asciiTheme="minorBidi" w:hAnsiTheme="minorBidi"/>
        </w:rPr>
      </w:pPr>
      <w:r w:rsidRPr="005A3125">
        <w:rPr>
          <w:rFonts w:asciiTheme="minorBidi" w:hAnsiTheme="minorBidi"/>
        </w:rPr>
        <w:t xml:space="preserve">The thematic analysis of the 20 included studies identified six major themes, namely structural racism and discrimination, socioeconomic deprivation and neighbourhood inequality, educational exclusion and institutional disadvantage, identity conflict and psychological stress </w:t>
      </w:r>
      <w:r w:rsidRPr="005A3125">
        <w:rPr>
          <w:rFonts w:asciiTheme="minorBidi" w:hAnsiTheme="minorBidi"/>
        </w:rPr>
        <w:lastRenderedPageBreak/>
        <w:t>among Mixed African youth, mental health stigma and barriers to help-seeking, and inequalities affecting access to NHS mental healthcare services.</w:t>
      </w:r>
    </w:p>
    <w:p w14:paraId="0F5B1A7E" w14:textId="6624B1DA" w:rsidR="00B63F6E" w:rsidRPr="005A3125" w:rsidRDefault="00B63F6E" w:rsidP="002A6F75">
      <w:pPr>
        <w:spacing w:line="360" w:lineRule="auto"/>
        <w:jc w:val="both"/>
        <w:rPr>
          <w:rFonts w:asciiTheme="minorBidi" w:hAnsiTheme="minorBidi"/>
        </w:rPr>
      </w:pPr>
      <w:r w:rsidRPr="005A3125">
        <w:rPr>
          <w:rFonts w:asciiTheme="minorBidi" w:hAnsiTheme="minorBidi"/>
        </w:rPr>
        <w:t xml:space="preserve">The results demonstrate that depression and anxiety among Black African and Mixed African youth cannot be understood solely through individual psychological explanations (Allen et al., 2014; </w:t>
      </w:r>
      <w:proofErr w:type="spellStart"/>
      <w:r w:rsidRPr="005A3125">
        <w:rPr>
          <w:rFonts w:asciiTheme="minorBidi" w:hAnsiTheme="minorBidi"/>
        </w:rPr>
        <w:t>Kapilashrami</w:t>
      </w:r>
      <w:proofErr w:type="spellEnd"/>
      <w:r w:rsidRPr="005A3125">
        <w:rPr>
          <w:rFonts w:asciiTheme="minorBidi" w:hAnsiTheme="minorBidi"/>
        </w:rPr>
        <w:t xml:space="preserve"> and Hankivsky, 2018). Instead, emotional wellbeing is strongly influenced by wider structural, social, and institutional inequalities. In addition, the findings align with public health frameworks that emphasise the central role of racism, social exclusion, and socioeconomic disadvantage in shaping mental health outcomes (</w:t>
      </w:r>
      <w:proofErr w:type="spellStart"/>
      <w:r w:rsidRPr="005A3125">
        <w:rPr>
          <w:rFonts w:asciiTheme="minorBidi" w:hAnsiTheme="minorBidi"/>
        </w:rPr>
        <w:t>Kapilashrami</w:t>
      </w:r>
      <w:proofErr w:type="spellEnd"/>
      <w:r w:rsidRPr="005A3125">
        <w:rPr>
          <w:rFonts w:asciiTheme="minorBidi" w:hAnsiTheme="minorBidi"/>
        </w:rPr>
        <w:t xml:space="preserve"> and Hankivsky, 2018).</w:t>
      </w:r>
    </w:p>
    <w:p w14:paraId="310517F0" w14:textId="1C631144" w:rsidR="002A6F75" w:rsidRPr="005A3125" w:rsidRDefault="0073683B" w:rsidP="0073683B">
      <w:pPr>
        <w:pStyle w:val="Heading1"/>
        <w:spacing w:line="360" w:lineRule="auto"/>
        <w:ind w:left="12" w:right="3"/>
        <w:jc w:val="left"/>
        <w:rPr>
          <w:rFonts w:asciiTheme="minorBidi" w:hAnsiTheme="minorBidi" w:cstheme="minorBidi"/>
          <w:b w:val="0"/>
          <w:sz w:val="22"/>
        </w:rPr>
      </w:pPr>
      <w:bookmarkStart w:id="30" w:name="_Toc232456065"/>
      <w:r w:rsidRPr="005A3125">
        <w:rPr>
          <w:rFonts w:asciiTheme="minorBidi" w:hAnsiTheme="minorBidi" w:cstheme="minorBidi"/>
          <w:sz w:val="22"/>
        </w:rPr>
        <w:t>4.2 Overview of Included Studies</w:t>
      </w:r>
      <w:bookmarkEnd w:id="30"/>
    </w:p>
    <w:p w14:paraId="4363BC57" w14:textId="77777777" w:rsidR="00B63F6E" w:rsidRPr="005A3125" w:rsidRDefault="00B63F6E" w:rsidP="00CB3912">
      <w:pPr>
        <w:spacing w:line="360" w:lineRule="auto"/>
        <w:jc w:val="both"/>
        <w:rPr>
          <w:rFonts w:asciiTheme="minorBidi" w:hAnsiTheme="minorBidi"/>
        </w:rPr>
      </w:pPr>
      <w:r w:rsidRPr="005A3125">
        <w:rPr>
          <w:rFonts w:asciiTheme="minorBidi" w:hAnsiTheme="minorBidi"/>
        </w:rPr>
        <w:t xml:space="preserve">A total of 20 studies were included in the final systematic review. The included literature comprised qualitative interviews, cross-sectional surveys, mixed-methods research, systematic reviews, NHS reports, and public health policy documents. Overall, most studies focused broadly on ethnic minority mental health experiences within the United Kingdom, with relatively few studies specifically examining Black African or Mixed African youth populations as distinct groups. </w:t>
      </w:r>
    </w:p>
    <w:p w14:paraId="2440FE6A" w14:textId="19AE920A" w:rsidR="00CB3912" w:rsidRPr="005A3125" w:rsidRDefault="00CB3912" w:rsidP="00CB3912">
      <w:pPr>
        <w:spacing w:line="360" w:lineRule="auto"/>
        <w:jc w:val="both"/>
        <w:rPr>
          <w:rFonts w:asciiTheme="minorBidi" w:hAnsiTheme="minorBidi"/>
          <w:lang w:val="en-IN"/>
        </w:rPr>
      </w:pPr>
      <w:r w:rsidRPr="005A3125">
        <w:rPr>
          <w:rFonts w:asciiTheme="minorBidi" w:hAnsiTheme="minorBidi"/>
          <w:b/>
          <w:bCs/>
          <w:lang w:val="en-IN"/>
        </w:rPr>
        <w:t>Table 4.1</w:t>
      </w:r>
      <w:r w:rsidR="00B63F6E" w:rsidRPr="005A3125">
        <w:rPr>
          <w:rFonts w:asciiTheme="minorBidi" w:hAnsiTheme="minorBidi"/>
          <w:b/>
          <w:bCs/>
          <w:lang w:val="en-IN"/>
        </w:rPr>
        <w:t>:</w:t>
      </w:r>
      <w:r w:rsidRPr="005A3125">
        <w:rPr>
          <w:rFonts w:asciiTheme="minorBidi" w:hAnsiTheme="minorBidi"/>
          <w:b/>
          <w:bCs/>
          <w:lang w:val="en-IN"/>
        </w:rPr>
        <w:t xml:space="preserve"> Characteristics of Included Studies</w:t>
      </w:r>
    </w:p>
    <w:tbl>
      <w:tblPr>
        <w:tblStyle w:val="TableGrid"/>
        <w:tblW w:w="0" w:type="auto"/>
        <w:tblLook w:val="04A0" w:firstRow="1" w:lastRow="0" w:firstColumn="1" w:lastColumn="0" w:noHBand="0" w:noVBand="1"/>
      </w:tblPr>
      <w:tblGrid>
        <w:gridCol w:w="1512"/>
        <w:gridCol w:w="1427"/>
        <w:gridCol w:w="1412"/>
        <w:gridCol w:w="1399"/>
        <w:gridCol w:w="1489"/>
        <w:gridCol w:w="1777"/>
      </w:tblGrid>
      <w:tr w:rsidR="00CB3912" w:rsidRPr="005A3125" w14:paraId="47360C73" w14:textId="77777777" w:rsidTr="00CB3912">
        <w:tc>
          <w:tcPr>
            <w:tcW w:w="0" w:type="auto"/>
            <w:hideMark/>
          </w:tcPr>
          <w:p w14:paraId="6C6CFF33" w14:textId="77777777" w:rsidR="00CB3912" w:rsidRPr="005A3125" w:rsidRDefault="00CB3912" w:rsidP="00CB3912">
            <w:pPr>
              <w:spacing w:after="160" w:line="360" w:lineRule="auto"/>
              <w:jc w:val="both"/>
              <w:rPr>
                <w:rFonts w:asciiTheme="minorBidi" w:hAnsiTheme="minorBidi"/>
                <w:b/>
                <w:bCs/>
                <w:lang w:val="en-IN"/>
              </w:rPr>
            </w:pPr>
            <w:r w:rsidRPr="005A3125">
              <w:rPr>
                <w:rFonts w:asciiTheme="minorBidi" w:hAnsiTheme="minorBidi"/>
                <w:b/>
                <w:bCs/>
                <w:lang w:val="en-IN"/>
              </w:rPr>
              <w:t>Author (Year)</w:t>
            </w:r>
          </w:p>
        </w:tc>
        <w:tc>
          <w:tcPr>
            <w:tcW w:w="0" w:type="auto"/>
            <w:hideMark/>
          </w:tcPr>
          <w:p w14:paraId="2C872770" w14:textId="77777777" w:rsidR="00CB3912" w:rsidRPr="005A3125" w:rsidRDefault="00CB3912" w:rsidP="00CB3912">
            <w:pPr>
              <w:spacing w:after="160" w:line="360" w:lineRule="auto"/>
              <w:jc w:val="both"/>
              <w:rPr>
                <w:rFonts w:asciiTheme="minorBidi" w:hAnsiTheme="minorBidi"/>
                <w:b/>
                <w:bCs/>
                <w:lang w:val="en-IN"/>
              </w:rPr>
            </w:pPr>
            <w:r w:rsidRPr="005A3125">
              <w:rPr>
                <w:rFonts w:asciiTheme="minorBidi" w:hAnsiTheme="minorBidi"/>
                <w:b/>
                <w:bCs/>
                <w:lang w:val="en-IN"/>
              </w:rPr>
              <w:t>Country</w:t>
            </w:r>
          </w:p>
        </w:tc>
        <w:tc>
          <w:tcPr>
            <w:tcW w:w="0" w:type="auto"/>
            <w:hideMark/>
          </w:tcPr>
          <w:p w14:paraId="5800BA58" w14:textId="77777777" w:rsidR="00CB3912" w:rsidRPr="005A3125" w:rsidRDefault="00CB3912" w:rsidP="00CB3912">
            <w:pPr>
              <w:spacing w:after="160" w:line="360" w:lineRule="auto"/>
              <w:jc w:val="both"/>
              <w:rPr>
                <w:rFonts w:asciiTheme="minorBidi" w:hAnsiTheme="minorBidi"/>
                <w:b/>
                <w:bCs/>
                <w:lang w:val="en-IN"/>
              </w:rPr>
            </w:pPr>
            <w:r w:rsidRPr="005A3125">
              <w:rPr>
                <w:rFonts w:asciiTheme="minorBidi" w:hAnsiTheme="minorBidi"/>
                <w:b/>
                <w:bCs/>
                <w:lang w:val="en-IN"/>
              </w:rPr>
              <w:t>Sample Size</w:t>
            </w:r>
          </w:p>
        </w:tc>
        <w:tc>
          <w:tcPr>
            <w:tcW w:w="0" w:type="auto"/>
            <w:hideMark/>
          </w:tcPr>
          <w:p w14:paraId="2EF9A6D3" w14:textId="77777777" w:rsidR="00CB3912" w:rsidRPr="005A3125" w:rsidRDefault="00CB3912" w:rsidP="00CB3912">
            <w:pPr>
              <w:spacing w:after="160" w:line="360" w:lineRule="auto"/>
              <w:jc w:val="both"/>
              <w:rPr>
                <w:rFonts w:asciiTheme="minorBidi" w:hAnsiTheme="minorBidi"/>
                <w:b/>
                <w:bCs/>
                <w:lang w:val="en-IN"/>
              </w:rPr>
            </w:pPr>
            <w:r w:rsidRPr="005A3125">
              <w:rPr>
                <w:rFonts w:asciiTheme="minorBidi" w:hAnsiTheme="minorBidi"/>
                <w:b/>
                <w:bCs/>
                <w:lang w:val="en-IN"/>
              </w:rPr>
              <w:t>Study Design</w:t>
            </w:r>
          </w:p>
        </w:tc>
        <w:tc>
          <w:tcPr>
            <w:tcW w:w="0" w:type="auto"/>
            <w:hideMark/>
          </w:tcPr>
          <w:p w14:paraId="3A81B2DC" w14:textId="77777777" w:rsidR="00CB3912" w:rsidRPr="005A3125" w:rsidRDefault="00CB3912" w:rsidP="00CB3912">
            <w:pPr>
              <w:spacing w:after="160" w:line="360" w:lineRule="auto"/>
              <w:jc w:val="both"/>
              <w:rPr>
                <w:rFonts w:asciiTheme="minorBidi" w:hAnsiTheme="minorBidi"/>
                <w:b/>
                <w:bCs/>
                <w:lang w:val="en-IN"/>
              </w:rPr>
            </w:pPr>
            <w:r w:rsidRPr="005A3125">
              <w:rPr>
                <w:rFonts w:asciiTheme="minorBidi" w:hAnsiTheme="minorBidi"/>
                <w:b/>
                <w:bCs/>
                <w:lang w:val="en-IN"/>
              </w:rPr>
              <w:t>Population</w:t>
            </w:r>
          </w:p>
        </w:tc>
        <w:tc>
          <w:tcPr>
            <w:tcW w:w="0" w:type="auto"/>
            <w:hideMark/>
          </w:tcPr>
          <w:p w14:paraId="1CB78355" w14:textId="77777777" w:rsidR="00CB3912" w:rsidRPr="005A3125" w:rsidRDefault="00CB3912" w:rsidP="00CB3912">
            <w:pPr>
              <w:spacing w:after="160" w:line="360" w:lineRule="auto"/>
              <w:jc w:val="both"/>
              <w:rPr>
                <w:rFonts w:asciiTheme="minorBidi" w:hAnsiTheme="minorBidi"/>
                <w:b/>
                <w:bCs/>
                <w:lang w:val="en-IN"/>
              </w:rPr>
            </w:pPr>
            <w:r w:rsidRPr="005A3125">
              <w:rPr>
                <w:rFonts w:asciiTheme="minorBidi" w:hAnsiTheme="minorBidi"/>
                <w:b/>
                <w:bCs/>
                <w:lang w:val="en-IN"/>
              </w:rPr>
              <w:t>Focus of Study</w:t>
            </w:r>
          </w:p>
        </w:tc>
      </w:tr>
      <w:tr w:rsidR="00CB3912" w:rsidRPr="005A3125" w14:paraId="14EEA303" w14:textId="77777777" w:rsidTr="00CB3912">
        <w:tc>
          <w:tcPr>
            <w:tcW w:w="0" w:type="auto"/>
            <w:hideMark/>
          </w:tcPr>
          <w:p w14:paraId="7F8876EF"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Wallace et al. (2016)</w:t>
            </w:r>
          </w:p>
        </w:tc>
        <w:tc>
          <w:tcPr>
            <w:tcW w:w="0" w:type="auto"/>
            <w:hideMark/>
          </w:tcPr>
          <w:p w14:paraId="3147A2E4"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UK</w:t>
            </w:r>
          </w:p>
        </w:tc>
        <w:tc>
          <w:tcPr>
            <w:tcW w:w="0" w:type="auto"/>
            <w:hideMark/>
          </w:tcPr>
          <w:p w14:paraId="2440C63E" w14:textId="5031274F" w:rsidR="00CB3912" w:rsidRPr="005A3125" w:rsidRDefault="00F4153A" w:rsidP="00F4153A">
            <w:pPr>
              <w:spacing w:after="160" w:line="360" w:lineRule="auto"/>
              <w:rPr>
                <w:rFonts w:asciiTheme="minorBidi" w:hAnsiTheme="minorBidi"/>
                <w:lang w:val="en-IN"/>
              </w:rPr>
            </w:pPr>
            <w:r w:rsidRPr="005A3125">
              <w:rPr>
                <w:rFonts w:asciiTheme="minorBidi" w:hAnsiTheme="minorBidi"/>
                <w:lang w:val="en-IN"/>
              </w:rPr>
              <w:t>n = 4,297 ethnic minority adults</w:t>
            </w:r>
          </w:p>
        </w:tc>
        <w:tc>
          <w:tcPr>
            <w:tcW w:w="0" w:type="auto"/>
            <w:hideMark/>
          </w:tcPr>
          <w:p w14:paraId="640201F4"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Quantitative survey</w:t>
            </w:r>
          </w:p>
        </w:tc>
        <w:tc>
          <w:tcPr>
            <w:tcW w:w="0" w:type="auto"/>
            <w:hideMark/>
          </w:tcPr>
          <w:p w14:paraId="3C11C7C8"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Ethnic minority adults</w:t>
            </w:r>
          </w:p>
        </w:tc>
        <w:tc>
          <w:tcPr>
            <w:tcW w:w="0" w:type="auto"/>
            <w:hideMark/>
          </w:tcPr>
          <w:p w14:paraId="112A0AD7"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Racism and psychological distress</w:t>
            </w:r>
          </w:p>
        </w:tc>
      </w:tr>
      <w:tr w:rsidR="00CB3912" w:rsidRPr="005A3125" w14:paraId="207C5F87" w14:textId="77777777" w:rsidTr="00CB3912">
        <w:tc>
          <w:tcPr>
            <w:tcW w:w="0" w:type="auto"/>
            <w:hideMark/>
          </w:tcPr>
          <w:p w14:paraId="21F079D1" w14:textId="77777777" w:rsidR="00CB3912" w:rsidRPr="005A3125" w:rsidRDefault="00CB3912" w:rsidP="00CB3912">
            <w:pPr>
              <w:spacing w:after="160" w:line="360" w:lineRule="auto"/>
              <w:jc w:val="both"/>
              <w:rPr>
                <w:rFonts w:asciiTheme="minorBidi" w:hAnsiTheme="minorBidi"/>
                <w:lang w:val="en-IN"/>
              </w:rPr>
            </w:pPr>
            <w:proofErr w:type="spellStart"/>
            <w:r w:rsidRPr="005A3125">
              <w:rPr>
                <w:rFonts w:asciiTheme="minorBidi" w:hAnsiTheme="minorBidi"/>
                <w:lang w:val="en-IN"/>
              </w:rPr>
              <w:t>Bécares</w:t>
            </w:r>
            <w:proofErr w:type="spellEnd"/>
            <w:r w:rsidRPr="005A3125">
              <w:rPr>
                <w:rFonts w:asciiTheme="minorBidi" w:hAnsiTheme="minorBidi"/>
                <w:lang w:val="en-IN"/>
              </w:rPr>
              <w:t xml:space="preserve"> et al. (2015)</w:t>
            </w:r>
          </w:p>
        </w:tc>
        <w:tc>
          <w:tcPr>
            <w:tcW w:w="0" w:type="auto"/>
            <w:hideMark/>
          </w:tcPr>
          <w:p w14:paraId="217E0498"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UK</w:t>
            </w:r>
          </w:p>
        </w:tc>
        <w:tc>
          <w:tcPr>
            <w:tcW w:w="0" w:type="auto"/>
            <w:hideMark/>
          </w:tcPr>
          <w:p w14:paraId="7A830180" w14:textId="6EAA8DF1" w:rsidR="00CB3912" w:rsidRPr="005A3125" w:rsidRDefault="00F4153A" w:rsidP="00F4153A">
            <w:pPr>
              <w:spacing w:after="160" w:line="360" w:lineRule="auto"/>
              <w:rPr>
                <w:rFonts w:asciiTheme="minorBidi" w:hAnsiTheme="minorBidi"/>
                <w:lang w:val="en-IN"/>
              </w:rPr>
            </w:pPr>
            <w:r w:rsidRPr="005A3125">
              <w:rPr>
                <w:rFonts w:asciiTheme="minorBidi" w:hAnsiTheme="minorBidi"/>
                <w:lang w:val="en-IN"/>
              </w:rPr>
              <w:t>n = 4,788 adolescents</w:t>
            </w:r>
          </w:p>
        </w:tc>
        <w:tc>
          <w:tcPr>
            <w:tcW w:w="0" w:type="auto"/>
            <w:hideMark/>
          </w:tcPr>
          <w:p w14:paraId="0EDD73E1"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Cross-sectional</w:t>
            </w:r>
          </w:p>
        </w:tc>
        <w:tc>
          <w:tcPr>
            <w:tcW w:w="0" w:type="auto"/>
            <w:hideMark/>
          </w:tcPr>
          <w:p w14:paraId="60B33343"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Adolescents</w:t>
            </w:r>
          </w:p>
        </w:tc>
        <w:tc>
          <w:tcPr>
            <w:tcW w:w="0" w:type="auto"/>
            <w:hideMark/>
          </w:tcPr>
          <w:p w14:paraId="55C277D7"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Racism and mental health outcomes</w:t>
            </w:r>
          </w:p>
        </w:tc>
      </w:tr>
      <w:tr w:rsidR="00CB3912" w:rsidRPr="005A3125" w14:paraId="5210B030" w14:textId="77777777" w:rsidTr="00CB3912">
        <w:tc>
          <w:tcPr>
            <w:tcW w:w="0" w:type="auto"/>
            <w:hideMark/>
          </w:tcPr>
          <w:p w14:paraId="5E699183"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Williams et al. (2019)</w:t>
            </w:r>
          </w:p>
        </w:tc>
        <w:tc>
          <w:tcPr>
            <w:tcW w:w="0" w:type="auto"/>
            <w:hideMark/>
          </w:tcPr>
          <w:p w14:paraId="130035C5"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International</w:t>
            </w:r>
          </w:p>
        </w:tc>
        <w:tc>
          <w:tcPr>
            <w:tcW w:w="0" w:type="auto"/>
            <w:hideMark/>
          </w:tcPr>
          <w:p w14:paraId="0A1B7E9E"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Multiple studies</w:t>
            </w:r>
          </w:p>
        </w:tc>
        <w:tc>
          <w:tcPr>
            <w:tcW w:w="0" w:type="auto"/>
            <w:hideMark/>
          </w:tcPr>
          <w:p w14:paraId="5BD521C7"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Literature review</w:t>
            </w:r>
          </w:p>
        </w:tc>
        <w:tc>
          <w:tcPr>
            <w:tcW w:w="0" w:type="auto"/>
            <w:hideMark/>
          </w:tcPr>
          <w:p w14:paraId="1A7DB9D8"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Ethnic minority populations</w:t>
            </w:r>
          </w:p>
        </w:tc>
        <w:tc>
          <w:tcPr>
            <w:tcW w:w="0" w:type="auto"/>
            <w:hideMark/>
          </w:tcPr>
          <w:p w14:paraId="644F522F"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Discrimination and mental health</w:t>
            </w:r>
          </w:p>
        </w:tc>
      </w:tr>
      <w:tr w:rsidR="00CB3912" w:rsidRPr="005A3125" w14:paraId="299F8880" w14:textId="77777777" w:rsidTr="00CB3912">
        <w:tc>
          <w:tcPr>
            <w:tcW w:w="0" w:type="auto"/>
            <w:hideMark/>
          </w:tcPr>
          <w:p w14:paraId="6543F67B"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Paradies et al. (2015)</w:t>
            </w:r>
          </w:p>
        </w:tc>
        <w:tc>
          <w:tcPr>
            <w:tcW w:w="0" w:type="auto"/>
            <w:hideMark/>
          </w:tcPr>
          <w:p w14:paraId="7B53ACBD"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International</w:t>
            </w:r>
          </w:p>
        </w:tc>
        <w:tc>
          <w:tcPr>
            <w:tcW w:w="0" w:type="auto"/>
            <w:hideMark/>
          </w:tcPr>
          <w:p w14:paraId="5416C99E"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293 studies</w:t>
            </w:r>
          </w:p>
        </w:tc>
        <w:tc>
          <w:tcPr>
            <w:tcW w:w="0" w:type="auto"/>
            <w:hideMark/>
          </w:tcPr>
          <w:p w14:paraId="09418F17"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Meta-analysis</w:t>
            </w:r>
          </w:p>
        </w:tc>
        <w:tc>
          <w:tcPr>
            <w:tcW w:w="0" w:type="auto"/>
            <w:hideMark/>
          </w:tcPr>
          <w:p w14:paraId="331B0CEB"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Diverse ethnic groups</w:t>
            </w:r>
          </w:p>
        </w:tc>
        <w:tc>
          <w:tcPr>
            <w:tcW w:w="0" w:type="auto"/>
            <w:hideMark/>
          </w:tcPr>
          <w:p w14:paraId="2FCB699D"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Racism and health outcomes</w:t>
            </w:r>
          </w:p>
        </w:tc>
      </w:tr>
      <w:tr w:rsidR="00CB3912" w:rsidRPr="005A3125" w14:paraId="117AED18" w14:textId="77777777" w:rsidTr="00CB3912">
        <w:tc>
          <w:tcPr>
            <w:tcW w:w="0" w:type="auto"/>
            <w:hideMark/>
          </w:tcPr>
          <w:p w14:paraId="68444F85"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lastRenderedPageBreak/>
              <w:t>Memon et al. (2016)</w:t>
            </w:r>
          </w:p>
        </w:tc>
        <w:tc>
          <w:tcPr>
            <w:tcW w:w="0" w:type="auto"/>
            <w:hideMark/>
          </w:tcPr>
          <w:p w14:paraId="1FAB83ED"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UK</w:t>
            </w:r>
          </w:p>
        </w:tc>
        <w:tc>
          <w:tcPr>
            <w:tcW w:w="0" w:type="auto"/>
            <w:hideMark/>
          </w:tcPr>
          <w:p w14:paraId="11F0D013"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25 studies</w:t>
            </w:r>
          </w:p>
        </w:tc>
        <w:tc>
          <w:tcPr>
            <w:tcW w:w="0" w:type="auto"/>
            <w:hideMark/>
          </w:tcPr>
          <w:p w14:paraId="5E6B2C7C"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Systematic review</w:t>
            </w:r>
          </w:p>
        </w:tc>
        <w:tc>
          <w:tcPr>
            <w:tcW w:w="0" w:type="auto"/>
            <w:hideMark/>
          </w:tcPr>
          <w:p w14:paraId="50968B1B"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Minority ethnic populations</w:t>
            </w:r>
          </w:p>
        </w:tc>
        <w:tc>
          <w:tcPr>
            <w:tcW w:w="0" w:type="auto"/>
            <w:hideMark/>
          </w:tcPr>
          <w:p w14:paraId="3A636087"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Barriers to mental healthcare</w:t>
            </w:r>
          </w:p>
        </w:tc>
      </w:tr>
      <w:tr w:rsidR="00CB3912" w:rsidRPr="005A3125" w14:paraId="5F39C1F1" w14:textId="77777777" w:rsidTr="00CB3912">
        <w:tc>
          <w:tcPr>
            <w:tcW w:w="0" w:type="auto"/>
            <w:hideMark/>
          </w:tcPr>
          <w:p w14:paraId="33E66139"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Mantovani et al. (2017)</w:t>
            </w:r>
          </w:p>
        </w:tc>
        <w:tc>
          <w:tcPr>
            <w:tcW w:w="0" w:type="auto"/>
            <w:hideMark/>
          </w:tcPr>
          <w:p w14:paraId="282CA7B1"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UK</w:t>
            </w:r>
          </w:p>
        </w:tc>
        <w:tc>
          <w:tcPr>
            <w:tcW w:w="0" w:type="auto"/>
            <w:hideMark/>
          </w:tcPr>
          <w:p w14:paraId="5429FEED" w14:textId="323D28BA" w:rsidR="00CB3912" w:rsidRPr="005A3125" w:rsidRDefault="00F4153A" w:rsidP="00F4153A">
            <w:pPr>
              <w:spacing w:after="160" w:line="360" w:lineRule="auto"/>
              <w:rPr>
                <w:rFonts w:asciiTheme="minorBidi" w:hAnsiTheme="minorBidi"/>
                <w:lang w:val="en-IN"/>
              </w:rPr>
            </w:pPr>
            <w:r w:rsidRPr="005A3125">
              <w:rPr>
                <w:rFonts w:asciiTheme="minorBidi" w:hAnsiTheme="minorBidi"/>
                <w:lang w:val="en-IN"/>
              </w:rPr>
              <w:t xml:space="preserve">n= </w:t>
            </w:r>
            <w:r w:rsidR="00CB3912" w:rsidRPr="005A3125">
              <w:rPr>
                <w:rFonts w:asciiTheme="minorBidi" w:hAnsiTheme="minorBidi"/>
                <w:lang w:val="en-IN"/>
              </w:rPr>
              <w:t>30 participants</w:t>
            </w:r>
          </w:p>
        </w:tc>
        <w:tc>
          <w:tcPr>
            <w:tcW w:w="0" w:type="auto"/>
            <w:hideMark/>
          </w:tcPr>
          <w:p w14:paraId="6A25AAD4"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Qualitative</w:t>
            </w:r>
          </w:p>
        </w:tc>
        <w:tc>
          <w:tcPr>
            <w:tcW w:w="0" w:type="auto"/>
            <w:hideMark/>
          </w:tcPr>
          <w:p w14:paraId="421773F6"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African and Caribbean communities</w:t>
            </w:r>
          </w:p>
        </w:tc>
        <w:tc>
          <w:tcPr>
            <w:tcW w:w="0" w:type="auto"/>
            <w:hideMark/>
          </w:tcPr>
          <w:p w14:paraId="18C88241"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Mental health stigma</w:t>
            </w:r>
          </w:p>
        </w:tc>
      </w:tr>
      <w:tr w:rsidR="00CB3912" w:rsidRPr="005A3125" w14:paraId="1DA454D7" w14:textId="77777777" w:rsidTr="00CB3912">
        <w:tc>
          <w:tcPr>
            <w:tcW w:w="0" w:type="auto"/>
            <w:hideMark/>
          </w:tcPr>
          <w:p w14:paraId="45D21B95"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Reiss (2013)</w:t>
            </w:r>
          </w:p>
        </w:tc>
        <w:tc>
          <w:tcPr>
            <w:tcW w:w="0" w:type="auto"/>
            <w:hideMark/>
          </w:tcPr>
          <w:p w14:paraId="28790596"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International</w:t>
            </w:r>
          </w:p>
        </w:tc>
        <w:tc>
          <w:tcPr>
            <w:tcW w:w="0" w:type="auto"/>
            <w:hideMark/>
          </w:tcPr>
          <w:p w14:paraId="45D818E5"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55 studies</w:t>
            </w:r>
          </w:p>
        </w:tc>
        <w:tc>
          <w:tcPr>
            <w:tcW w:w="0" w:type="auto"/>
            <w:hideMark/>
          </w:tcPr>
          <w:p w14:paraId="0E3FD506"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Systematic review</w:t>
            </w:r>
          </w:p>
        </w:tc>
        <w:tc>
          <w:tcPr>
            <w:tcW w:w="0" w:type="auto"/>
            <w:hideMark/>
          </w:tcPr>
          <w:p w14:paraId="41DBF3C3"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Children and adolescents</w:t>
            </w:r>
          </w:p>
        </w:tc>
        <w:tc>
          <w:tcPr>
            <w:tcW w:w="0" w:type="auto"/>
            <w:hideMark/>
          </w:tcPr>
          <w:p w14:paraId="2E235C9A"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Socioeconomic deprivation and mental health</w:t>
            </w:r>
          </w:p>
        </w:tc>
      </w:tr>
      <w:tr w:rsidR="00CB3912" w:rsidRPr="005A3125" w14:paraId="422E9D60" w14:textId="77777777" w:rsidTr="00CB3912">
        <w:tc>
          <w:tcPr>
            <w:tcW w:w="0" w:type="auto"/>
            <w:hideMark/>
          </w:tcPr>
          <w:p w14:paraId="44578E3A"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Allen et al. (2014)</w:t>
            </w:r>
          </w:p>
        </w:tc>
        <w:tc>
          <w:tcPr>
            <w:tcW w:w="0" w:type="auto"/>
            <w:hideMark/>
          </w:tcPr>
          <w:p w14:paraId="6DF823E7"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UK</w:t>
            </w:r>
          </w:p>
        </w:tc>
        <w:tc>
          <w:tcPr>
            <w:tcW w:w="0" w:type="auto"/>
            <w:hideMark/>
          </w:tcPr>
          <w:p w14:paraId="63865724"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National evidence</w:t>
            </w:r>
          </w:p>
        </w:tc>
        <w:tc>
          <w:tcPr>
            <w:tcW w:w="0" w:type="auto"/>
            <w:hideMark/>
          </w:tcPr>
          <w:p w14:paraId="33C9F498"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Review</w:t>
            </w:r>
          </w:p>
        </w:tc>
        <w:tc>
          <w:tcPr>
            <w:tcW w:w="0" w:type="auto"/>
            <w:hideMark/>
          </w:tcPr>
          <w:p w14:paraId="65B93000"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General population</w:t>
            </w:r>
          </w:p>
        </w:tc>
        <w:tc>
          <w:tcPr>
            <w:tcW w:w="0" w:type="auto"/>
            <w:hideMark/>
          </w:tcPr>
          <w:p w14:paraId="0C736677"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Social determinants of mental health</w:t>
            </w:r>
          </w:p>
        </w:tc>
      </w:tr>
      <w:tr w:rsidR="00CB3912" w:rsidRPr="005A3125" w14:paraId="56A87FD8" w14:textId="77777777" w:rsidTr="00CB3912">
        <w:tc>
          <w:tcPr>
            <w:tcW w:w="0" w:type="auto"/>
            <w:hideMark/>
          </w:tcPr>
          <w:p w14:paraId="115843EB"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Marmot et al. (2020)</w:t>
            </w:r>
          </w:p>
        </w:tc>
        <w:tc>
          <w:tcPr>
            <w:tcW w:w="0" w:type="auto"/>
            <w:hideMark/>
          </w:tcPr>
          <w:p w14:paraId="02325243"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UK</w:t>
            </w:r>
          </w:p>
        </w:tc>
        <w:tc>
          <w:tcPr>
            <w:tcW w:w="0" w:type="auto"/>
            <w:hideMark/>
          </w:tcPr>
          <w:p w14:paraId="5F8A772E"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National data</w:t>
            </w:r>
          </w:p>
        </w:tc>
        <w:tc>
          <w:tcPr>
            <w:tcW w:w="0" w:type="auto"/>
            <w:hideMark/>
          </w:tcPr>
          <w:p w14:paraId="5E0B0B4F"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Policy review</w:t>
            </w:r>
          </w:p>
        </w:tc>
        <w:tc>
          <w:tcPr>
            <w:tcW w:w="0" w:type="auto"/>
            <w:hideMark/>
          </w:tcPr>
          <w:p w14:paraId="68BDC03F"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UK population</w:t>
            </w:r>
          </w:p>
        </w:tc>
        <w:tc>
          <w:tcPr>
            <w:tcW w:w="0" w:type="auto"/>
            <w:hideMark/>
          </w:tcPr>
          <w:p w14:paraId="528515F7"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Health inequalities</w:t>
            </w:r>
          </w:p>
        </w:tc>
      </w:tr>
      <w:tr w:rsidR="00CB3912" w:rsidRPr="005A3125" w14:paraId="1BDC1914" w14:textId="77777777" w:rsidTr="00CB3912">
        <w:tc>
          <w:tcPr>
            <w:tcW w:w="0" w:type="auto"/>
            <w:hideMark/>
          </w:tcPr>
          <w:p w14:paraId="193D5684"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Gillborn (2008)</w:t>
            </w:r>
          </w:p>
        </w:tc>
        <w:tc>
          <w:tcPr>
            <w:tcW w:w="0" w:type="auto"/>
            <w:hideMark/>
          </w:tcPr>
          <w:p w14:paraId="612CBFA5"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UK</w:t>
            </w:r>
          </w:p>
        </w:tc>
        <w:tc>
          <w:tcPr>
            <w:tcW w:w="0" w:type="auto"/>
            <w:hideMark/>
          </w:tcPr>
          <w:p w14:paraId="0CC117E7"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Educational datasets</w:t>
            </w:r>
          </w:p>
        </w:tc>
        <w:tc>
          <w:tcPr>
            <w:tcW w:w="0" w:type="auto"/>
            <w:hideMark/>
          </w:tcPr>
          <w:p w14:paraId="66BEAF2A"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Qualitative analysis</w:t>
            </w:r>
          </w:p>
        </w:tc>
        <w:tc>
          <w:tcPr>
            <w:tcW w:w="0" w:type="auto"/>
            <w:hideMark/>
          </w:tcPr>
          <w:p w14:paraId="3C52CB94"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Black students</w:t>
            </w:r>
          </w:p>
        </w:tc>
        <w:tc>
          <w:tcPr>
            <w:tcW w:w="0" w:type="auto"/>
            <w:hideMark/>
          </w:tcPr>
          <w:p w14:paraId="4F58C721"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Institutional racism in education</w:t>
            </w:r>
          </w:p>
        </w:tc>
      </w:tr>
      <w:tr w:rsidR="00CB3912" w:rsidRPr="005A3125" w14:paraId="26262662" w14:textId="77777777" w:rsidTr="00CB3912">
        <w:tc>
          <w:tcPr>
            <w:tcW w:w="0" w:type="auto"/>
            <w:hideMark/>
          </w:tcPr>
          <w:p w14:paraId="65BAD0CE"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Arday (2018)</w:t>
            </w:r>
          </w:p>
        </w:tc>
        <w:tc>
          <w:tcPr>
            <w:tcW w:w="0" w:type="auto"/>
            <w:hideMark/>
          </w:tcPr>
          <w:p w14:paraId="4AE9660C"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UK</w:t>
            </w:r>
          </w:p>
        </w:tc>
        <w:tc>
          <w:tcPr>
            <w:tcW w:w="0" w:type="auto"/>
            <w:hideMark/>
          </w:tcPr>
          <w:p w14:paraId="76FCB3D2"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University students</w:t>
            </w:r>
          </w:p>
        </w:tc>
        <w:tc>
          <w:tcPr>
            <w:tcW w:w="0" w:type="auto"/>
            <w:hideMark/>
          </w:tcPr>
          <w:p w14:paraId="578B7AD8"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Qualitative</w:t>
            </w:r>
          </w:p>
        </w:tc>
        <w:tc>
          <w:tcPr>
            <w:tcW w:w="0" w:type="auto"/>
            <w:hideMark/>
          </w:tcPr>
          <w:p w14:paraId="1CF49E8A"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Black students</w:t>
            </w:r>
          </w:p>
        </w:tc>
        <w:tc>
          <w:tcPr>
            <w:tcW w:w="0" w:type="auto"/>
            <w:hideMark/>
          </w:tcPr>
          <w:p w14:paraId="6F72E773"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Educational inequality and wellbeing</w:t>
            </w:r>
          </w:p>
        </w:tc>
      </w:tr>
      <w:tr w:rsidR="00CB3912" w:rsidRPr="005A3125" w14:paraId="177C7DF9" w14:textId="77777777" w:rsidTr="00CB3912">
        <w:tc>
          <w:tcPr>
            <w:tcW w:w="0" w:type="auto"/>
            <w:hideMark/>
          </w:tcPr>
          <w:p w14:paraId="209B3DF8"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Song (2017)</w:t>
            </w:r>
          </w:p>
        </w:tc>
        <w:tc>
          <w:tcPr>
            <w:tcW w:w="0" w:type="auto"/>
            <w:hideMark/>
          </w:tcPr>
          <w:p w14:paraId="7EA507B1"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UK</w:t>
            </w:r>
          </w:p>
        </w:tc>
        <w:tc>
          <w:tcPr>
            <w:tcW w:w="0" w:type="auto"/>
            <w:hideMark/>
          </w:tcPr>
          <w:p w14:paraId="1C24FEC6"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Mixed-race participants</w:t>
            </w:r>
          </w:p>
        </w:tc>
        <w:tc>
          <w:tcPr>
            <w:tcW w:w="0" w:type="auto"/>
            <w:hideMark/>
          </w:tcPr>
          <w:p w14:paraId="524EB3F1"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Qualitative</w:t>
            </w:r>
          </w:p>
        </w:tc>
        <w:tc>
          <w:tcPr>
            <w:tcW w:w="0" w:type="auto"/>
            <w:hideMark/>
          </w:tcPr>
          <w:p w14:paraId="3059FF5D"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Mixed-race individuals</w:t>
            </w:r>
          </w:p>
        </w:tc>
        <w:tc>
          <w:tcPr>
            <w:tcW w:w="0" w:type="auto"/>
            <w:hideMark/>
          </w:tcPr>
          <w:p w14:paraId="07A67253"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Identity formation</w:t>
            </w:r>
          </w:p>
        </w:tc>
      </w:tr>
      <w:tr w:rsidR="00CB3912" w:rsidRPr="005A3125" w14:paraId="08904DB0" w14:textId="77777777" w:rsidTr="00CB3912">
        <w:tc>
          <w:tcPr>
            <w:tcW w:w="0" w:type="auto"/>
            <w:hideMark/>
          </w:tcPr>
          <w:p w14:paraId="1DF96631"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Khanna (2011)</w:t>
            </w:r>
          </w:p>
        </w:tc>
        <w:tc>
          <w:tcPr>
            <w:tcW w:w="0" w:type="auto"/>
            <w:hideMark/>
          </w:tcPr>
          <w:p w14:paraId="03D22A24"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USA</w:t>
            </w:r>
          </w:p>
        </w:tc>
        <w:tc>
          <w:tcPr>
            <w:tcW w:w="0" w:type="auto"/>
            <w:hideMark/>
          </w:tcPr>
          <w:p w14:paraId="30A74D5E"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Mixed-race participants</w:t>
            </w:r>
          </w:p>
        </w:tc>
        <w:tc>
          <w:tcPr>
            <w:tcW w:w="0" w:type="auto"/>
            <w:hideMark/>
          </w:tcPr>
          <w:p w14:paraId="1D4FE206"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Qualitative</w:t>
            </w:r>
          </w:p>
        </w:tc>
        <w:tc>
          <w:tcPr>
            <w:tcW w:w="0" w:type="auto"/>
            <w:hideMark/>
          </w:tcPr>
          <w:p w14:paraId="1C9EAF9D"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Mixed-race adults</w:t>
            </w:r>
          </w:p>
        </w:tc>
        <w:tc>
          <w:tcPr>
            <w:tcW w:w="0" w:type="auto"/>
            <w:hideMark/>
          </w:tcPr>
          <w:p w14:paraId="0EC3CCB1"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Identity negotiation</w:t>
            </w:r>
          </w:p>
        </w:tc>
      </w:tr>
      <w:tr w:rsidR="00CB3912" w:rsidRPr="005A3125" w14:paraId="3022AC09" w14:textId="77777777" w:rsidTr="00CB3912">
        <w:tc>
          <w:tcPr>
            <w:tcW w:w="0" w:type="auto"/>
            <w:hideMark/>
          </w:tcPr>
          <w:p w14:paraId="230112EF"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Sims and Njaka (2020)</w:t>
            </w:r>
          </w:p>
        </w:tc>
        <w:tc>
          <w:tcPr>
            <w:tcW w:w="0" w:type="auto"/>
            <w:hideMark/>
          </w:tcPr>
          <w:p w14:paraId="7B4024ED"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UK</w:t>
            </w:r>
          </w:p>
        </w:tc>
        <w:tc>
          <w:tcPr>
            <w:tcW w:w="0" w:type="auto"/>
            <w:hideMark/>
          </w:tcPr>
          <w:p w14:paraId="66D58A96"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Young adults</w:t>
            </w:r>
          </w:p>
        </w:tc>
        <w:tc>
          <w:tcPr>
            <w:tcW w:w="0" w:type="auto"/>
            <w:hideMark/>
          </w:tcPr>
          <w:p w14:paraId="29328B50"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Qualitative</w:t>
            </w:r>
          </w:p>
        </w:tc>
        <w:tc>
          <w:tcPr>
            <w:tcW w:w="0" w:type="auto"/>
            <w:hideMark/>
          </w:tcPr>
          <w:p w14:paraId="13174858"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Mixed African youth</w:t>
            </w:r>
          </w:p>
        </w:tc>
        <w:tc>
          <w:tcPr>
            <w:tcW w:w="0" w:type="auto"/>
            <w:hideMark/>
          </w:tcPr>
          <w:p w14:paraId="7F3F07FF"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Identity and belonging</w:t>
            </w:r>
          </w:p>
        </w:tc>
      </w:tr>
      <w:tr w:rsidR="00CB3912" w:rsidRPr="005A3125" w14:paraId="0E49DC93" w14:textId="77777777" w:rsidTr="00CB3912">
        <w:tc>
          <w:tcPr>
            <w:tcW w:w="0" w:type="auto"/>
            <w:hideMark/>
          </w:tcPr>
          <w:p w14:paraId="3D2EAC69" w14:textId="77777777" w:rsidR="00CB3912" w:rsidRPr="005A3125" w:rsidRDefault="00CB3912" w:rsidP="00CB3912">
            <w:pPr>
              <w:spacing w:after="160" w:line="360" w:lineRule="auto"/>
              <w:jc w:val="both"/>
              <w:rPr>
                <w:rFonts w:asciiTheme="minorBidi" w:hAnsiTheme="minorBidi"/>
                <w:lang w:val="en-IN"/>
              </w:rPr>
            </w:pPr>
            <w:proofErr w:type="spellStart"/>
            <w:r w:rsidRPr="005A3125">
              <w:rPr>
                <w:rFonts w:asciiTheme="minorBidi" w:hAnsiTheme="minorBidi"/>
                <w:lang w:val="en-IN"/>
              </w:rPr>
              <w:t>Bhui</w:t>
            </w:r>
            <w:proofErr w:type="spellEnd"/>
            <w:r w:rsidRPr="005A3125">
              <w:rPr>
                <w:rFonts w:asciiTheme="minorBidi" w:hAnsiTheme="minorBidi"/>
                <w:lang w:val="en-IN"/>
              </w:rPr>
              <w:t xml:space="preserve"> et al. (2018)</w:t>
            </w:r>
          </w:p>
        </w:tc>
        <w:tc>
          <w:tcPr>
            <w:tcW w:w="0" w:type="auto"/>
            <w:hideMark/>
          </w:tcPr>
          <w:p w14:paraId="42991B80"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UK</w:t>
            </w:r>
          </w:p>
        </w:tc>
        <w:tc>
          <w:tcPr>
            <w:tcW w:w="0" w:type="auto"/>
            <w:hideMark/>
          </w:tcPr>
          <w:p w14:paraId="06C0D1CC" w14:textId="43E4D700" w:rsidR="00CB3912" w:rsidRPr="005A3125" w:rsidRDefault="00F4153A" w:rsidP="00CB3912">
            <w:pPr>
              <w:spacing w:after="160" w:line="360" w:lineRule="auto"/>
              <w:jc w:val="both"/>
              <w:rPr>
                <w:rFonts w:asciiTheme="minorBidi" w:hAnsiTheme="minorBidi"/>
                <w:lang w:val="en-IN"/>
              </w:rPr>
            </w:pPr>
            <w:r w:rsidRPr="005A3125">
              <w:rPr>
                <w:rFonts w:asciiTheme="minorBidi" w:hAnsiTheme="minorBidi"/>
                <w:lang w:val="en-IN"/>
              </w:rPr>
              <w:t xml:space="preserve">Mental </w:t>
            </w:r>
            <w:r w:rsidR="00CB3912" w:rsidRPr="005A3125">
              <w:rPr>
                <w:rFonts w:asciiTheme="minorBidi" w:hAnsiTheme="minorBidi"/>
                <w:lang w:val="en-IN"/>
              </w:rPr>
              <w:t>Service users</w:t>
            </w:r>
          </w:p>
        </w:tc>
        <w:tc>
          <w:tcPr>
            <w:tcW w:w="0" w:type="auto"/>
            <w:hideMark/>
          </w:tcPr>
          <w:p w14:paraId="2E3D3FD9"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Mixed methods</w:t>
            </w:r>
          </w:p>
        </w:tc>
        <w:tc>
          <w:tcPr>
            <w:tcW w:w="0" w:type="auto"/>
            <w:hideMark/>
          </w:tcPr>
          <w:p w14:paraId="7EC73F45"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Minority ethnic groups</w:t>
            </w:r>
          </w:p>
        </w:tc>
        <w:tc>
          <w:tcPr>
            <w:tcW w:w="0" w:type="auto"/>
            <w:hideMark/>
          </w:tcPr>
          <w:p w14:paraId="3CD3394C"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Cultural competence in mental healthcare</w:t>
            </w:r>
          </w:p>
        </w:tc>
      </w:tr>
      <w:tr w:rsidR="00CB3912" w:rsidRPr="005A3125" w14:paraId="1340BB4E" w14:textId="77777777" w:rsidTr="00CB3912">
        <w:tc>
          <w:tcPr>
            <w:tcW w:w="0" w:type="auto"/>
            <w:hideMark/>
          </w:tcPr>
          <w:p w14:paraId="429F9D36"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lastRenderedPageBreak/>
              <w:t>Barnett et al. (2019)</w:t>
            </w:r>
          </w:p>
        </w:tc>
        <w:tc>
          <w:tcPr>
            <w:tcW w:w="0" w:type="auto"/>
            <w:hideMark/>
          </w:tcPr>
          <w:p w14:paraId="005F0819"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England</w:t>
            </w:r>
          </w:p>
        </w:tc>
        <w:tc>
          <w:tcPr>
            <w:tcW w:w="0" w:type="auto"/>
            <w:hideMark/>
          </w:tcPr>
          <w:p w14:paraId="58C654A3"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National dataset</w:t>
            </w:r>
          </w:p>
        </w:tc>
        <w:tc>
          <w:tcPr>
            <w:tcW w:w="0" w:type="auto"/>
            <w:hideMark/>
          </w:tcPr>
          <w:p w14:paraId="4BA9DBD7"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Quantitative</w:t>
            </w:r>
          </w:p>
        </w:tc>
        <w:tc>
          <w:tcPr>
            <w:tcW w:w="0" w:type="auto"/>
            <w:hideMark/>
          </w:tcPr>
          <w:p w14:paraId="4E639B2D"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Mental health service users</w:t>
            </w:r>
          </w:p>
        </w:tc>
        <w:tc>
          <w:tcPr>
            <w:tcW w:w="0" w:type="auto"/>
            <w:hideMark/>
          </w:tcPr>
          <w:p w14:paraId="5E44DF8B"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Detention under Mental Health Act</w:t>
            </w:r>
          </w:p>
        </w:tc>
      </w:tr>
      <w:tr w:rsidR="00CB3912" w:rsidRPr="005A3125" w14:paraId="58696A6F" w14:textId="77777777" w:rsidTr="00CB3912">
        <w:tc>
          <w:tcPr>
            <w:tcW w:w="0" w:type="auto"/>
            <w:hideMark/>
          </w:tcPr>
          <w:p w14:paraId="355E50B7"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Morgan et al. (2020)</w:t>
            </w:r>
          </w:p>
        </w:tc>
        <w:tc>
          <w:tcPr>
            <w:tcW w:w="0" w:type="auto"/>
            <w:hideMark/>
          </w:tcPr>
          <w:p w14:paraId="7E4B4ADA"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UK</w:t>
            </w:r>
          </w:p>
        </w:tc>
        <w:tc>
          <w:tcPr>
            <w:tcW w:w="0" w:type="auto"/>
            <w:hideMark/>
          </w:tcPr>
          <w:p w14:paraId="29838D40" w14:textId="6081F49D"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National evidence</w:t>
            </w:r>
            <w:r w:rsidR="00F4153A" w:rsidRPr="005A3125">
              <w:rPr>
                <w:rFonts w:asciiTheme="minorBidi" w:hAnsiTheme="minorBidi"/>
                <w:lang w:val="en-IN"/>
              </w:rPr>
              <w:t xml:space="preserve"> base</w:t>
            </w:r>
          </w:p>
        </w:tc>
        <w:tc>
          <w:tcPr>
            <w:tcW w:w="0" w:type="auto"/>
            <w:hideMark/>
          </w:tcPr>
          <w:p w14:paraId="36CE9410"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Review</w:t>
            </w:r>
          </w:p>
        </w:tc>
        <w:tc>
          <w:tcPr>
            <w:tcW w:w="0" w:type="auto"/>
            <w:hideMark/>
          </w:tcPr>
          <w:p w14:paraId="2E12EC0D"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Black populations</w:t>
            </w:r>
          </w:p>
        </w:tc>
        <w:tc>
          <w:tcPr>
            <w:tcW w:w="0" w:type="auto"/>
            <w:hideMark/>
          </w:tcPr>
          <w:p w14:paraId="26F67814"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Mental healthcare pathways</w:t>
            </w:r>
          </w:p>
        </w:tc>
      </w:tr>
      <w:tr w:rsidR="00CB3912" w:rsidRPr="005A3125" w14:paraId="6C8AAB76" w14:textId="77777777" w:rsidTr="00CB3912">
        <w:tc>
          <w:tcPr>
            <w:tcW w:w="0" w:type="auto"/>
            <w:hideMark/>
          </w:tcPr>
          <w:p w14:paraId="5F2515FD" w14:textId="77777777" w:rsidR="00CB3912" w:rsidRPr="005A3125" w:rsidRDefault="00CB3912" w:rsidP="00CB3912">
            <w:pPr>
              <w:spacing w:after="160" w:line="360" w:lineRule="auto"/>
              <w:jc w:val="both"/>
              <w:rPr>
                <w:rFonts w:asciiTheme="minorBidi" w:hAnsiTheme="minorBidi"/>
                <w:lang w:val="en-IN"/>
              </w:rPr>
            </w:pPr>
            <w:proofErr w:type="spellStart"/>
            <w:r w:rsidRPr="005A3125">
              <w:rPr>
                <w:rFonts w:asciiTheme="minorBidi" w:hAnsiTheme="minorBidi"/>
                <w:lang w:val="en-IN"/>
              </w:rPr>
              <w:t>Nazroo</w:t>
            </w:r>
            <w:proofErr w:type="spellEnd"/>
            <w:r w:rsidRPr="005A3125">
              <w:rPr>
                <w:rFonts w:asciiTheme="minorBidi" w:hAnsiTheme="minorBidi"/>
                <w:lang w:val="en-IN"/>
              </w:rPr>
              <w:t xml:space="preserve"> (2021)</w:t>
            </w:r>
          </w:p>
        </w:tc>
        <w:tc>
          <w:tcPr>
            <w:tcW w:w="0" w:type="auto"/>
            <w:hideMark/>
          </w:tcPr>
          <w:p w14:paraId="2CC979CE"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UK</w:t>
            </w:r>
          </w:p>
        </w:tc>
        <w:tc>
          <w:tcPr>
            <w:tcW w:w="0" w:type="auto"/>
            <w:hideMark/>
          </w:tcPr>
          <w:p w14:paraId="4852A715"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National evidence</w:t>
            </w:r>
          </w:p>
        </w:tc>
        <w:tc>
          <w:tcPr>
            <w:tcW w:w="0" w:type="auto"/>
            <w:hideMark/>
          </w:tcPr>
          <w:p w14:paraId="25E0A2E7"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Review</w:t>
            </w:r>
          </w:p>
        </w:tc>
        <w:tc>
          <w:tcPr>
            <w:tcW w:w="0" w:type="auto"/>
            <w:hideMark/>
          </w:tcPr>
          <w:p w14:paraId="35D63C54"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Ethnic minority populations</w:t>
            </w:r>
          </w:p>
        </w:tc>
        <w:tc>
          <w:tcPr>
            <w:tcW w:w="0" w:type="auto"/>
            <w:hideMark/>
          </w:tcPr>
          <w:p w14:paraId="76D53622"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Structural racism and health</w:t>
            </w:r>
          </w:p>
        </w:tc>
      </w:tr>
      <w:tr w:rsidR="00CB3912" w:rsidRPr="005A3125" w14:paraId="61586D63" w14:textId="77777777" w:rsidTr="00CB3912">
        <w:tc>
          <w:tcPr>
            <w:tcW w:w="0" w:type="auto"/>
            <w:hideMark/>
          </w:tcPr>
          <w:p w14:paraId="1EE0CA7A"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Edge and Grey (2018)</w:t>
            </w:r>
          </w:p>
        </w:tc>
        <w:tc>
          <w:tcPr>
            <w:tcW w:w="0" w:type="auto"/>
            <w:hideMark/>
          </w:tcPr>
          <w:p w14:paraId="30C4607F"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UK</w:t>
            </w:r>
          </w:p>
        </w:tc>
        <w:tc>
          <w:tcPr>
            <w:tcW w:w="0" w:type="auto"/>
            <w:hideMark/>
          </w:tcPr>
          <w:p w14:paraId="78B6A81F"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Community participants</w:t>
            </w:r>
          </w:p>
        </w:tc>
        <w:tc>
          <w:tcPr>
            <w:tcW w:w="0" w:type="auto"/>
            <w:hideMark/>
          </w:tcPr>
          <w:p w14:paraId="125CB21D"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Qualitative</w:t>
            </w:r>
          </w:p>
        </w:tc>
        <w:tc>
          <w:tcPr>
            <w:tcW w:w="0" w:type="auto"/>
            <w:hideMark/>
          </w:tcPr>
          <w:p w14:paraId="0929B7F6"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Black communities</w:t>
            </w:r>
          </w:p>
        </w:tc>
        <w:tc>
          <w:tcPr>
            <w:tcW w:w="0" w:type="auto"/>
            <w:hideMark/>
          </w:tcPr>
          <w:p w14:paraId="20831F67"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Community mental health support</w:t>
            </w:r>
          </w:p>
        </w:tc>
      </w:tr>
      <w:tr w:rsidR="00CB3912" w:rsidRPr="005A3125" w14:paraId="0F41C081" w14:textId="77777777" w:rsidTr="00CB3912">
        <w:tc>
          <w:tcPr>
            <w:tcW w:w="0" w:type="auto"/>
            <w:hideMark/>
          </w:tcPr>
          <w:p w14:paraId="186946EF" w14:textId="77777777" w:rsidR="00CB3912" w:rsidRPr="005A3125" w:rsidRDefault="00CB3912" w:rsidP="00CB3912">
            <w:pPr>
              <w:spacing w:after="160" w:line="360" w:lineRule="auto"/>
              <w:jc w:val="both"/>
              <w:rPr>
                <w:rFonts w:asciiTheme="minorBidi" w:hAnsiTheme="minorBidi"/>
                <w:lang w:val="en-IN"/>
              </w:rPr>
            </w:pPr>
            <w:proofErr w:type="spellStart"/>
            <w:r w:rsidRPr="005A3125">
              <w:rPr>
                <w:rFonts w:asciiTheme="minorBidi" w:hAnsiTheme="minorBidi"/>
                <w:lang w:val="en-IN"/>
              </w:rPr>
              <w:t>Kapilashrami</w:t>
            </w:r>
            <w:proofErr w:type="spellEnd"/>
            <w:r w:rsidRPr="005A3125">
              <w:rPr>
                <w:rFonts w:asciiTheme="minorBidi" w:hAnsiTheme="minorBidi"/>
                <w:lang w:val="en-IN"/>
              </w:rPr>
              <w:t xml:space="preserve"> and </w:t>
            </w:r>
            <w:proofErr w:type="spellStart"/>
            <w:r w:rsidRPr="005A3125">
              <w:rPr>
                <w:rFonts w:asciiTheme="minorBidi" w:hAnsiTheme="minorBidi"/>
                <w:lang w:val="en-IN"/>
              </w:rPr>
              <w:t>Hankivsky</w:t>
            </w:r>
            <w:proofErr w:type="spellEnd"/>
            <w:r w:rsidRPr="005A3125">
              <w:rPr>
                <w:rFonts w:asciiTheme="minorBidi" w:hAnsiTheme="minorBidi"/>
                <w:lang w:val="en-IN"/>
              </w:rPr>
              <w:t xml:space="preserve"> (2018)</w:t>
            </w:r>
          </w:p>
        </w:tc>
        <w:tc>
          <w:tcPr>
            <w:tcW w:w="0" w:type="auto"/>
            <w:hideMark/>
          </w:tcPr>
          <w:p w14:paraId="19D2FBBE"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International</w:t>
            </w:r>
          </w:p>
        </w:tc>
        <w:tc>
          <w:tcPr>
            <w:tcW w:w="0" w:type="auto"/>
            <w:hideMark/>
          </w:tcPr>
          <w:p w14:paraId="4E107559"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Multiple studies</w:t>
            </w:r>
          </w:p>
        </w:tc>
        <w:tc>
          <w:tcPr>
            <w:tcW w:w="0" w:type="auto"/>
            <w:hideMark/>
          </w:tcPr>
          <w:p w14:paraId="6872C28D"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Theoretical review</w:t>
            </w:r>
          </w:p>
        </w:tc>
        <w:tc>
          <w:tcPr>
            <w:tcW w:w="0" w:type="auto"/>
            <w:hideMark/>
          </w:tcPr>
          <w:p w14:paraId="159E98A8"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Marginalised populations</w:t>
            </w:r>
          </w:p>
        </w:tc>
        <w:tc>
          <w:tcPr>
            <w:tcW w:w="0" w:type="auto"/>
            <w:hideMark/>
          </w:tcPr>
          <w:p w14:paraId="00531B0F" w14:textId="77777777" w:rsidR="00CB3912" w:rsidRPr="005A3125" w:rsidRDefault="00CB3912" w:rsidP="00CB3912">
            <w:pPr>
              <w:spacing w:after="160" w:line="360" w:lineRule="auto"/>
              <w:jc w:val="both"/>
              <w:rPr>
                <w:rFonts w:asciiTheme="minorBidi" w:hAnsiTheme="minorBidi"/>
                <w:lang w:val="en-IN"/>
              </w:rPr>
            </w:pPr>
            <w:r w:rsidRPr="005A3125">
              <w:rPr>
                <w:rFonts w:asciiTheme="minorBidi" w:hAnsiTheme="minorBidi"/>
                <w:lang w:val="en-IN"/>
              </w:rPr>
              <w:t>Intersectionality and health inequalities</w:t>
            </w:r>
          </w:p>
        </w:tc>
      </w:tr>
    </w:tbl>
    <w:p w14:paraId="74795BC4" w14:textId="22707313" w:rsidR="002A6F75" w:rsidRPr="005A3125" w:rsidRDefault="00CB3912" w:rsidP="002A6F75">
      <w:pPr>
        <w:spacing w:line="360" w:lineRule="auto"/>
        <w:jc w:val="both"/>
        <w:rPr>
          <w:rFonts w:asciiTheme="minorBidi" w:hAnsiTheme="minorBidi"/>
          <w:lang w:val="en-IN"/>
        </w:rPr>
      </w:pPr>
      <w:r w:rsidRPr="005A3125">
        <w:rPr>
          <w:rFonts w:asciiTheme="minorBidi" w:hAnsiTheme="minorBidi"/>
          <w:b/>
          <w:bCs/>
          <w:lang w:val="en-IN"/>
        </w:rPr>
        <w:t>Source:</w:t>
      </w:r>
      <w:r w:rsidRPr="005A3125">
        <w:rPr>
          <w:rFonts w:asciiTheme="minorBidi" w:hAnsiTheme="minorBidi"/>
          <w:lang w:val="en-IN"/>
        </w:rPr>
        <w:t xml:space="preserve"> Developed by the author from included studies.</w:t>
      </w:r>
    </w:p>
    <w:p w14:paraId="38D93F17" w14:textId="05D1463C" w:rsidR="001C7499" w:rsidRPr="005A3125" w:rsidRDefault="002A6F75" w:rsidP="001C7499">
      <w:pPr>
        <w:spacing w:line="360" w:lineRule="auto"/>
        <w:jc w:val="both"/>
        <w:rPr>
          <w:rFonts w:asciiTheme="minorBidi" w:hAnsiTheme="minorBidi"/>
        </w:rPr>
      </w:pPr>
      <w:r w:rsidRPr="005A3125">
        <w:rPr>
          <w:rFonts w:asciiTheme="minorBidi" w:hAnsiTheme="minorBidi"/>
        </w:rPr>
        <w:t>Table 4.1 summarises selected studies included within the systematic review. The studies varied substantially in methodology, sample size, and population focus. Most research concentrated on broader ethnic minority experiences rather than Black African and Mixed African youth sp</w:t>
      </w:r>
      <w:r w:rsidR="001C7499" w:rsidRPr="005A3125">
        <w:rPr>
          <w:rFonts w:asciiTheme="minorBidi" w:hAnsiTheme="minorBidi"/>
        </w:rPr>
        <w:t>ecifically.</w:t>
      </w:r>
      <w:r w:rsidR="00E522DD" w:rsidRPr="005A3125">
        <w:rPr>
          <w:rFonts w:asciiTheme="minorBidi" w:hAnsiTheme="minorBidi"/>
        </w:rPr>
        <w:t xml:space="preserve"> </w:t>
      </w:r>
      <w:r w:rsidR="001C7499" w:rsidRPr="005A3125">
        <w:rPr>
          <w:rFonts w:asciiTheme="minorBidi" w:hAnsiTheme="minorBidi"/>
        </w:rPr>
        <w:t>Only a small proportion of the 20 included studies specifically focused on Black African or Mixed African youth populations.</w:t>
      </w:r>
    </w:p>
    <w:p w14:paraId="5E34ACA8" w14:textId="7FAA06F1" w:rsidR="002A6F75" w:rsidRPr="005A3125" w:rsidRDefault="0073683B" w:rsidP="0073683B">
      <w:pPr>
        <w:pStyle w:val="Heading1"/>
        <w:spacing w:line="360" w:lineRule="auto"/>
        <w:ind w:left="12" w:right="3"/>
        <w:jc w:val="left"/>
        <w:rPr>
          <w:rFonts w:asciiTheme="minorBidi" w:hAnsiTheme="minorBidi" w:cstheme="minorBidi"/>
          <w:b w:val="0"/>
          <w:sz w:val="22"/>
        </w:rPr>
      </w:pPr>
      <w:bookmarkStart w:id="31" w:name="_Toc232456066"/>
      <w:r w:rsidRPr="005A3125">
        <w:rPr>
          <w:rFonts w:asciiTheme="minorBidi" w:hAnsiTheme="minorBidi" w:cstheme="minorBidi"/>
          <w:sz w:val="22"/>
        </w:rPr>
        <w:t>4.3 Theme One: Structural Racism and Discrimination</w:t>
      </w:r>
      <w:bookmarkEnd w:id="31"/>
    </w:p>
    <w:p w14:paraId="6C10208E" w14:textId="6C6B4B77" w:rsidR="00B63F6E" w:rsidRPr="005A3125" w:rsidRDefault="00B63F6E" w:rsidP="00B63F6E">
      <w:pPr>
        <w:spacing w:line="360" w:lineRule="auto"/>
        <w:jc w:val="both"/>
        <w:rPr>
          <w:rFonts w:asciiTheme="minorBidi" w:hAnsiTheme="minorBidi"/>
        </w:rPr>
      </w:pPr>
      <w:r w:rsidRPr="005A3125">
        <w:rPr>
          <w:rFonts w:asciiTheme="minorBidi" w:hAnsiTheme="minorBidi"/>
        </w:rPr>
        <w:t>Structural racism emerged as one of the most consistently reported determinants of mental health, identified across 5 of the 20 studies (25%). Across the literature, racism was not limited to interpersonal discrimination but was conceptualised as a systemic and institutional process embedded within education, healthcare, housing, and employment systems.</w:t>
      </w:r>
    </w:p>
    <w:p w14:paraId="2C808CFF" w14:textId="66AE68A2" w:rsidR="00B63F6E" w:rsidRPr="005A3125" w:rsidRDefault="00B63F6E" w:rsidP="00B63F6E">
      <w:pPr>
        <w:spacing w:line="360" w:lineRule="auto"/>
        <w:jc w:val="both"/>
        <w:rPr>
          <w:rFonts w:asciiTheme="minorBidi" w:hAnsiTheme="minorBidi"/>
        </w:rPr>
      </w:pPr>
      <w:r w:rsidRPr="005A3125">
        <w:rPr>
          <w:rFonts w:asciiTheme="minorBidi" w:hAnsiTheme="minorBidi"/>
        </w:rPr>
        <w:t xml:space="preserve">Wallace et al. (2016) demonstrated a significant association between racial discrimination and psychological distress, with repeated exposure linked to higher levels of anxiety and depressive symptoms. Similarly, </w:t>
      </w:r>
      <w:proofErr w:type="spellStart"/>
      <w:r w:rsidRPr="005A3125">
        <w:rPr>
          <w:rFonts w:asciiTheme="minorBidi" w:hAnsiTheme="minorBidi"/>
        </w:rPr>
        <w:t>Bécares</w:t>
      </w:r>
      <w:proofErr w:type="spellEnd"/>
      <w:r w:rsidRPr="005A3125">
        <w:rPr>
          <w:rFonts w:asciiTheme="minorBidi" w:hAnsiTheme="minorBidi"/>
        </w:rPr>
        <w:t xml:space="preserve"> et al. (2015) found that adolescents exposed to racism reported increased emotional and behavioural difficulties, suggesting early-life exposure has sustained psychological effects.</w:t>
      </w:r>
    </w:p>
    <w:p w14:paraId="5AADCD87" w14:textId="77777777" w:rsidR="00B63F6E" w:rsidRPr="005A3125" w:rsidRDefault="00B63F6E" w:rsidP="00B63F6E">
      <w:pPr>
        <w:spacing w:line="360" w:lineRule="auto"/>
        <w:jc w:val="both"/>
        <w:rPr>
          <w:rFonts w:asciiTheme="minorBidi" w:hAnsiTheme="minorBidi"/>
        </w:rPr>
      </w:pPr>
      <w:r w:rsidRPr="005A3125">
        <w:rPr>
          <w:rFonts w:asciiTheme="minorBidi" w:hAnsiTheme="minorBidi"/>
        </w:rPr>
        <w:lastRenderedPageBreak/>
        <w:t>Paradies et al. (2015), through a large-scale meta-analysis, reinforced these findings by demonstrating a consistent global association between racism and poor mental health outcomes. Although effect sizes varied across contexts, the direction of association remained stable, strengthening the robustness of evidence linking discrimination to psychological distress.</w:t>
      </w:r>
    </w:p>
    <w:p w14:paraId="596675D1" w14:textId="23C7614F" w:rsidR="00B63F6E" w:rsidRPr="005A3125" w:rsidRDefault="00B63F6E" w:rsidP="00B63F6E">
      <w:pPr>
        <w:spacing w:line="360" w:lineRule="auto"/>
        <w:jc w:val="both"/>
        <w:rPr>
          <w:rFonts w:asciiTheme="minorBidi" w:hAnsiTheme="minorBidi"/>
        </w:rPr>
      </w:pPr>
      <w:r w:rsidRPr="005A3125">
        <w:rPr>
          <w:rFonts w:asciiTheme="minorBidi" w:hAnsiTheme="minorBidi"/>
        </w:rPr>
        <w:t>Williams et al. (2019) and Williams and Mohammed (2013) further conceptualise racism as a chronic stressor that produces cumulative psychological strain through hypervigilance, emotional exhaustion, and reduced self-worth. This supports the interpretation that racism operates as a long-term stress process rather than isolated incidents.</w:t>
      </w:r>
    </w:p>
    <w:p w14:paraId="06DCD05C" w14:textId="2E3B5B63" w:rsidR="00213DE7" w:rsidRPr="005A3125" w:rsidRDefault="00B63F6E" w:rsidP="00B63F6E">
      <w:pPr>
        <w:spacing w:line="360" w:lineRule="auto"/>
        <w:jc w:val="both"/>
        <w:rPr>
          <w:rFonts w:asciiTheme="minorBidi" w:hAnsiTheme="minorBidi"/>
        </w:rPr>
      </w:pPr>
      <w:r w:rsidRPr="005A3125">
        <w:rPr>
          <w:rFonts w:asciiTheme="minorBidi" w:hAnsiTheme="minorBidi"/>
        </w:rPr>
        <w:t>From a theoretical perspective, Critical Race Theory (Delgado and Stefancic, 2017) provides a useful explanation by positioning racism as structurally embedded within institutions rather than individually produced. However, a key limitation across studies is the inconsistent measurement of racism and the reliance on self-reported exposure, which may underestimate structural effects.</w:t>
      </w:r>
    </w:p>
    <w:p w14:paraId="0B75FD6B" w14:textId="3B453541" w:rsidR="00A30E0F" w:rsidRPr="005A3125" w:rsidRDefault="002A6F75" w:rsidP="00B63F6E">
      <w:pPr>
        <w:spacing w:line="360" w:lineRule="auto"/>
        <w:jc w:val="both"/>
        <w:rPr>
          <w:rFonts w:asciiTheme="minorBidi" w:hAnsiTheme="minorBidi"/>
          <w:b/>
        </w:rPr>
      </w:pPr>
      <w:r w:rsidRPr="005A3125">
        <w:rPr>
          <w:rFonts w:asciiTheme="minorBidi" w:hAnsiTheme="minorBidi"/>
          <w:b/>
        </w:rPr>
        <w:t>Figure 4.1</w:t>
      </w:r>
      <w:r w:rsidR="00B63F6E" w:rsidRPr="005A3125">
        <w:rPr>
          <w:rFonts w:asciiTheme="minorBidi" w:hAnsiTheme="minorBidi"/>
          <w:b/>
        </w:rPr>
        <w:t>:</w:t>
      </w:r>
      <w:r w:rsidR="00946E9D" w:rsidRPr="005A3125">
        <w:rPr>
          <w:rFonts w:asciiTheme="minorBidi" w:hAnsiTheme="minorBidi"/>
          <w:b/>
        </w:rPr>
        <w:t xml:space="preserve"> </w:t>
      </w:r>
      <w:r w:rsidR="00B2059B" w:rsidRPr="005A3125">
        <w:rPr>
          <w:rFonts w:asciiTheme="minorBidi" w:hAnsiTheme="minorBidi"/>
          <w:b/>
        </w:rPr>
        <w:t>T</w:t>
      </w:r>
      <w:r w:rsidR="00946E9D" w:rsidRPr="005A3125">
        <w:rPr>
          <w:rFonts w:asciiTheme="minorBidi" w:hAnsiTheme="minorBidi"/>
          <w:b/>
        </w:rPr>
        <w:t xml:space="preserve">he </w:t>
      </w:r>
      <w:r w:rsidR="00B2059B" w:rsidRPr="005A3125">
        <w:rPr>
          <w:rFonts w:asciiTheme="minorBidi" w:hAnsiTheme="minorBidi"/>
          <w:b/>
        </w:rPr>
        <w:t>P</w:t>
      </w:r>
      <w:r w:rsidR="00946E9D" w:rsidRPr="005A3125">
        <w:rPr>
          <w:rFonts w:asciiTheme="minorBidi" w:hAnsiTheme="minorBidi"/>
          <w:b/>
        </w:rPr>
        <w:t xml:space="preserve">atient and </w:t>
      </w:r>
      <w:r w:rsidR="00B2059B" w:rsidRPr="005A3125">
        <w:rPr>
          <w:rFonts w:asciiTheme="minorBidi" w:hAnsiTheme="minorBidi"/>
          <w:b/>
        </w:rPr>
        <w:t>C</w:t>
      </w:r>
      <w:r w:rsidR="00946E9D" w:rsidRPr="005A3125">
        <w:rPr>
          <w:rFonts w:asciiTheme="minorBidi" w:hAnsiTheme="minorBidi"/>
          <w:b/>
        </w:rPr>
        <w:t>arer R</w:t>
      </w:r>
      <w:r w:rsidR="00B2059B" w:rsidRPr="005A3125">
        <w:rPr>
          <w:rFonts w:asciiTheme="minorBidi" w:hAnsiTheme="minorBidi"/>
          <w:b/>
        </w:rPr>
        <w:t>a</w:t>
      </w:r>
      <w:r w:rsidR="00946E9D" w:rsidRPr="005A3125">
        <w:rPr>
          <w:rFonts w:asciiTheme="minorBidi" w:hAnsiTheme="minorBidi"/>
          <w:b/>
        </w:rPr>
        <w:t xml:space="preserve">ce Equality </w:t>
      </w:r>
      <w:r w:rsidR="000C567F" w:rsidRPr="005A3125">
        <w:rPr>
          <w:rFonts w:asciiTheme="minorBidi" w:hAnsiTheme="minorBidi"/>
          <w:b/>
        </w:rPr>
        <w:t>Framework</w:t>
      </w:r>
      <w:r w:rsidR="00B2059B" w:rsidRPr="005A3125">
        <w:rPr>
          <w:rFonts w:asciiTheme="minorBidi" w:hAnsiTheme="minorBidi"/>
          <w:b/>
        </w:rPr>
        <w:t xml:space="preserve"> </w:t>
      </w:r>
      <w:r w:rsidR="000C567F" w:rsidRPr="005A3125">
        <w:rPr>
          <w:rFonts w:asciiTheme="minorBidi" w:hAnsiTheme="minorBidi"/>
          <w:b/>
        </w:rPr>
        <w:t>(PCREF)</w:t>
      </w:r>
      <w:r w:rsidR="00815371" w:rsidRPr="005A3125">
        <w:rPr>
          <w:rFonts w:asciiTheme="minorBidi" w:hAnsiTheme="minorBidi"/>
          <w:b/>
        </w:rPr>
        <w:t xml:space="preserve"> Embedding Anti _</w:t>
      </w:r>
      <w:r w:rsidR="00DD115F" w:rsidRPr="005A3125">
        <w:rPr>
          <w:rFonts w:asciiTheme="minorBidi" w:hAnsiTheme="minorBidi"/>
          <w:b/>
        </w:rPr>
        <w:t xml:space="preserve">Racism in </w:t>
      </w:r>
      <w:r w:rsidR="00B2059B" w:rsidRPr="005A3125">
        <w:rPr>
          <w:rFonts w:asciiTheme="minorBidi" w:hAnsiTheme="minorBidi"/>
          <w:b/>
        </w:rPr>
        <w:t>M</w:t>
      </w:r>
      <w:r w:rsidR="00DD115F" w:rsidRPr="005A3125">
        <w:rPr>
          <w:rFonts w:asciiTheme="minorBidi" w:hAnsiTheme="minorBidi"/>
          <w:b/>
        </w:rPr>
        <w:t>ental Hea</w:t>
      </w:r>
      <w:r w:rsidR="00B2059B" w:rsidRPr="005A3125">
        <w:rPr>
          <w:rFonts w:asciiTheme="minorBidi" w:hAnsiTheme="minorBidi"/>
          <w:b/>
        </w:rPr>
        <w:t xml:space="preserve">lth Services </w:t>
      </w:r>
    </w:p>
    <w:p w14:paraId="7D751EA1" w14:textId="7A5B33D8" w:rsidR="00421F7E" w:rsidRPr="005A3125" w:rsidRDefault="00B63F6E" w:rsidP="002A6F75">
      <w:pPr>
        <w:spacing w:line="360" w:lineRule="auto"/>
        <w:jc w:val="both"/>
        <w:rPr>
          <w:rFonts w:asciiTheme="minorBidi" w:hAnsiTheme="minorBidi"/>
        </w:rPr>
      </w:pPr>
      <w:r w:rsidRPr="005A3125">
        <w:rPr>
          <w:rFonts w:asciiTheme="minorBidi" w:hAnsiTheme="minorBidi"/>
          <w:b/>
          <w:noProof/>
          <w:lang w:val="en-IN" w:eastAsia="en-IN"/>
        </w:rPr>
        <w:drawing>
          <wp:anchor distT="0" distB="0" distL="114300" distR="114300" simplePos="0" relativeHeight="251658250" behindDoc="1" locked="0" layoutInCell="1" allowOverlap="1" wp14:anchorId="253869C3" wp14:editId="2F2DACC4">
            <wp:simplePos x="0" y="0"/>
            <wp:positionH relativeFrom="column">
              <wp:posOffset>800100</wp:posOffset>
            </wp:positionH>
            <wp:positionV relativeFrom="paragraph">
              <wp:posOffset>63500</wp:posOffset>
            </wp:positionV>
            <wp:extent cx="4238625" cy="2472690"/>
            <wp:effectExtent l="0" t="0" r="9525" b="3810"/>
            <wp:wrapTight wrapText="bothSides">
              <wp:wrapPolygon edited="0">
                <wp:start x="0" y="0"/>
                <wp:lineTo x="0" y="21467"/>
                <wp:lineTo x="21551" y="21467"/>
                <wp:lineTo x="21551" y="0"/>
                <wp:lineTo x="0" y="0"/>
              </wp:wrapPolygon>
            </wp:wrapTight>
            <wp:docPr id="8" name="Picture 8" descr="Patient and Carer Race Equality Framework - Leicestershire Partnership NHS Tru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atient and Carer Race Equality Framework - Leicestershire Partnership NHS Trust"/>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238625" cy="24726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3C1D68E" w14:textId="51DB0DA7" w:rsidR="00421F7E" w:rsidRPr="005A3125" w:rsidRDefault="00421F7E" w:rsidP="002A6F75">
      <w:pPr>
        <w:spacing w:line="360" w:lineRule="auto"/>
        <w:jc w:val="both"/>
        <w:rPr>
          <w:rFonts w:asciiTheme="minorBidi" w:hAnsiTheme="minorBidi"/>
        </w:rPr>
      </w:pPr>
    </w:p>
    <w:p w14:paraId="2BDFDFA6" w14:textId="77777777" w:rsidR="00421F7E" w:rsidRPr="005A3125" w:rsidRDefault="00421F7E" w:rsidP="00A30E0F">
      <w:pPr>
        <w:spacing w:line="360" w:lineRule="auto"/>
        <w:jc w:val="center"/>
        <w:rPr>
          <w:rFonts w:asciiTheme="minorBidi" w:hAnsiTheme="minorBidi"/>
          <w:b/>
        </w:rPr>
      </w:pPr>
    </w:p>
    <w:p w14:paraId="40D9FCE9" w14:textId="77777777" w:rsidR="00421F7E" w:rsidRPr="005A3125" w:rsidRDefault="00421F7E" w:rsidP="00A30E0F">
      <w:pPr>
        <w:spacing w:line="360" w:lineRule="auto"/>
        <w:jc w:val="center"/>
        <w:rPr>
          <w:rFonts w:asciiTheme="minorBidi" w:hAnsiTheme="minorBidi"/>
          <w:b/>
        </w:rPr>
      </w:pPr>
    </w:p>
    <w:p w14:paraId="1C23F3F5" w14:textId="77777777" w:rsidR="00421F7E" w:rsidRPr="005A3125" w:rsidRDefault="00421F7E" w:rsidP="00A30E0F">
      <w:pPr>
        <w:spacing w:line="360" w:lineRule="auto"/>
        <w:jc w:val="center"/>
        <w:rPr>
          <w:rFonts w:asciiTheme="minorBidi" w:hAnsiTheme="minorBidi"/>
          <w:b/>
        </w:rPr>
      </w:pPr>
    </w:p>
    <w:p w14:paraId="31AD41DA" w14:textId="77777777" w:rsidR="00421F7E" w:rsidRPr="005A3125" w:rsidRDefault="00421F7E" w:rsidP="00A30E0F">
      <w:pPr>
        <w:spacing w:line="360" w:lineRule="auto"/>
        <w:jc w:val="center"/>
        <w:rPr>
          <w:rFonts w:asciiTheme="minorBidi" w:hAnsiTheme="minorBidi"/>
          <w:b/>
        </w:rPr>
      </w:pPr>
    </w:p>
    <w:p w14:paraId="3AE75777" w14:textId="77777777" w:rsidR="0073683B" w:rsidRPr="005A3125" w:rsidRDefault="0073683B" w:rsidP="00A30E0F">
      <w:pPr>
        <w:spacing w:line="360" w:lineRule="auto"/>
        <w:jc w:val="center"/>
        <w:rPr>
          <w:rFonts w:asciiTheme="minorBidi" w:hAnsiTheme="minorBidi"/>
          <w:b/>
        </w:rPr>
      </w:pPr>
    </w:p>
    <w:p w14:paraId="6B558053" w14:textId="77777777" w:rsidR="00B63F6E" w:rsidRPr="005A3125" w:rsidRDefault="00B63F6E" w:rsidP="00A30E0F">
      <w:pPr>
        <w:spacing w:line="360" w:lineRule="auto"/>
        <w:jc w:val="center"/>
        <w:rPr>
          <w:rFonts w:asciiTheme="minorBidi" w:hAnsiTheme="minorBidi"/>
          <w:b/>
        </w:rPr>
      </w:pPr>
    </w:p>
    <w:p w14:paraId="3D0EDEB8" w14:textId="2F1CF286" w:rsidR="002A6F75" w:rsidRPr="005A3125" w:rsidRDefault="002A6F75" w:rsidP="00A30E0F">
      <w:pPr>
        <w:spacing w:line="360" w:lineRule="auto"/>
        <w:jc w:val="center"/>
        <w:rPr>
          <w:rFonts w:asciiTheme="minorBidi" w:hAnsiTheme="minorBidi"/>
          <w:b/>
          <w:i/>
        </w:rPr>
      </w:pPr>
      <w:r w:rsidRPr="005A3125">
        <w:rPr>
          <w:rFonts w:asciiTheme="minorBidi" w:hAnsiTheme="minorBidi"/>
          <w:b/>
          <w:i/>
        </w:rPr>
        <w:t xml:space="preserve">Source: </w:t>
      </w:r>
      <w:r w:rsidR="00484B4F" w:rsidRPr="005A3125">
        <w:rPr>
          <w:rFonts w:asciiTheme="minorBidi" w:hAnsiTheme="minorBidi"/>
          <w:b/>
          <w:i/>
        </w:rPr>
        <w:t>(</w:t>
      </w:r>
      <w:r w:rsidRPr="005A3125">
        <w:rPr>
          <w:rFonts w:asciiTheme="minorBidi" w:hAnsiTheme="minorBidi"/>
          <w:b/>
          <w:i/>
        </w:rPr>
        <w:t>NHS Race and Health Observatory</w:t>
      </w:r>
      <w:r w:rsidR="00DE2845" w:rsidRPr="005A3125">
        <w:rPr>
          <w:rFonts w:asciiTheme="minorBidi" w:hAnsiTheme="minorBidi"/>
          <w:b/>
          <w:i/>
        </w:rPr>
        <w:t xml:space="preserve">, </w:t>
      </w:r>
      <w:r w:rsidR="008C3311" w:rsidRPr="005A3125">
        <w:rPr>
          <w:rFonts w:asciiTheme="minorBidi" w:hAnsiTheme="minorBidi"/>
          <w:b/>
          <w:i/>
        </w:rPr>
        <w:t>2022</w:t>
      </w:r>
      <w:r w:rsidR="00484B4F" w:rsidRPr="005A3125">
        <w:rPr>
          <w:rFonts w:asciiTheme="minorBidi" w:hAnsiTheme="minorBidi"/>
          <w:b/>
          <w:i/>
        </w:rPr>
        <w:t>)</w:t>
      </w:r>
      <w:r w:rsidR="008C3311" w:rsidRPr="005A3125">
        <w:rPr>
          <w:rFonts w:asciiTheme="minorBidi" w:hAnsiTheme="minorBidi"/>
          <w:b/>
          <w:i/>
        </w:rPr>
        <w:t>)</w:t>
      </w:r>
      <w:r w:rsidR="00A87D19" w:rsidRPr="005A3125">
        <w:rPr>
          <w:rFonts w:asciiTheme="minorBidi" w:hAnsiTheme="minorBidi"/>
          <w:b/>
          <w:i/>
        </w:rPr>
        <w:t>.</w:t>
      </w:r>
    </w:p>
    <w:p w14:paraId="6754D178" w14:textId="245ED5FC" w:rsidR="00B63F6E" w:rsidRPr="005A3125" w:rsidRDefault="00B63F6E" w:rsidP="0073683B">
      <w:pPr>
        <w:spacing w:line="360" w:lineRule="auto"/>
        <w:jc w:val="both"/>
        <w:rPr>
          <w:rFonts w:asciiTheme="minorBidi" w:hAnsiTheme="minorBidi"/>
        </w:rPr>
      </w:pPr>
      <w:r w:rsidRPr="005A3125">
        <w:rPr>
          <w:rFonts w:asciiTheme="minorBidi" w:hAnsiTheme="minorBidi"/>
        </w:rPr>
        <w:t>The figure illustrates that structural racism operates through interconnected pathways, including socioeconomic exclusion, educational disadvantage, and barriers to healthcare access. Collectively, the evidence indicates that racism functions as a foundational determinant that interacts with other inequalities to produce adverse mental health outcomes.</w:t>
      </w:r>
    </w:p>
    <w:p w14:paraId="516CD424" w14:textId="4ACDE972" w:rsidR="0073683B" w:rsidRPr="005A3125" w:rsidRDefault="0073683B" w:rsidP="0073683B">
      <w:pPr>
        <w:pStyle w:val="Heading1"/>
        <w:spacing w:line="360" w:lineRule="auto"/>
        <w:ind w:left="12" w:right="3"/>
        <w:jc w:val="left"/>
        <w:rPr>
          <w:rFonts w:asciiTheme="minorBidi" w:hAnsiTheme="minorBidi" w:cstheme="minorBidi"/>
          <w:b w:val="0"/>
          <w:sz w:val="22"/>
        </w:rPr>
      </w:pPr>
      <w:bookmarkStart w:id="32" w:name="_Toc232456067"/>
      <w:r w:rsidRPr="005A3125">
        <w:rPr>
          <w:rFonts w:asciiTheme="minorBidi" w:hAnsiTheme="minorBidi" w:cstheme="minorBidi"/>
          <w:sz w:val="22"/>
        </w:rPr>
        <w:lastRenderedPageBreak/>
        <w:t>4.4 Theme Two: Socioeconomic Deprivation and Neighbourhood Inequality</w:t>
      </w:r>
      <w:bookmarkEnd w:id="32"/>
    </w:p>
    <w:p w14:paraId="1DCB7D80" w14:textId="4D173F50" w:rsidR="00B63F6E" w:rsidRPr="005A3125" w:rsidRDefault="00B63F6E" w:rsidP="00B63F6E">
      <w:pPr>
        <w:spacing w:line="360" w:lineRule="auto"/>
        <w:jc w:val="both"/>
        <w:rPr>
          <w:rFonts w:asciiTheme="minorBidi" w:hAnsiTheme="minorBidi"/>
        </w:rPr>
      </w:pPr>
      <w:r w:rsidRPr="005A3125">
        <w:rPr>
          <w:rFonts w:asciiTheme="minorBidi" w:hAnsiTheme="minorBidi"/>
        </w:rPr>
        <w:t>Socioeconomic deprivation was identified across 4 of the 20 studies (20%) and consistently associated with increased risk of depression and anxiety. The evidence highlights poverty, unemployment, housing insecurity, and neighbourhood deprivation as key determinants of psychological distress.</w:t>
      </w:r>
    </w:p>
    <w:p w14:paraId="0D1A09CE" w14:textId="2F0AFF59" w:rsidR="00B63F6E" w:rsidRPr="005A3125" w:rsidRDefault="00B63F6E" w:rsidP="00B63F6E">
      <w:pPr>
        <w:spacing w:line="360" w:lineRule="auto"/>
        <w:jc w:val="both"/>
        <w:rPr>
          <w:rFonts w:asciiTheme="minorBidi" w:hAnsiTheme="minorBidi"/>
        </w:rPr>
      </w:pPr>
      <w:r w:rsidRPr="005A3125">
        <w:rPr>
          <w:rFonts w:asciiTheme="minorBidi" w:hAnsiTheme="minorBidi"/>
        </w:rPr>
        <w:t>Reiss (2013) found strong associations between socioeconomic disadvantage and emotional disorders among children and adolescents, demonstrating that early exposure to deprivation increases vulnerability to mental health difficulties. Allen et al. (2014) similarly emphasised that mental health outcomes are shaped by structural living conditions rather than individual-level factors alone. Marmot et al. (2020) further argued that health inequalities in the UK are primarily driven by unequal distribution of resources, opportunities, and living conditions. These findings align with the Social Determinants of Health framework, which positions socioeconomic conditions as primary drivers of health outcomes.</w:t>
      </w:r>
    </w:p>
    <w:p w14:paraId="69F43B6B" w14:textId="141DDA7A" w:rsidR="00B63F6E" w:rsidRPr="005A3125" w:rsidRDefault="00B63F6E" w:rsidP="00B63F6E">
      <w:pPr>
        <w:spacing w:line="360" w:lineRule="auto"/>
        <w:jc w:val="both"/>
        <w:rPr>
          <w:rFonts w:asciiTheme="minorBidi" w:hAnsiTheme="minorBidi"/>
        </w:rPr>
      </w:pPr>
      <w:r w:rsidRPr="005A3125">
        <w:rPr>
          <w:rFonts w:asciiTheme="minorBidi" w:hAnsiTheme="minorBidi"/>
        </w:rPr>
        <w:t>ONS (2022; 2023) data strengthen these findings: 39% of Black African households live in low-income conditions compared with 18% of White British households Overcrowding affects 18–24% of Black African households compared with 2–3% of White British households Unemployment rates are approximately 8–10% compared with 3–4%</w:t>
      </w:r>
    </w:p>
    <w:p w14:paraId="6D5E5C2C" w14:textId="77777777" w:rsidR="00B63F6E" w:rsidRPr="005A3125" w:rsidRDefault="00B63F6E" w:rsidP="00B63F6E">
      <w:pPr>
        <w:spacing w:line="360" w:lineRule="auto"/>
        <w:jc w:val="both"/>
        <w:rPr>
          <w:rFonts w:asciiTheme="minorBidi" w:hAnsiTheme="minorBidi"/>
        </w:rPr>
      </w:pPr>
      <w:r w:rsidRPr="005A3125">
        <w:rPr>
          <w:rFonts w:asciiTheme="minorBidi" w:hAnsiTheme="minorBidi"/>
        </w:rPr>
        <w:t>These inequalities are not merely statistical but reflect lived experiences of chronic stress, insecurity, and reduced access to opportunities.</w:t>
      </w:r>
    </w:p>
    <w:p w14:paraId="18D01482" w14:textId="2FAE7875" w:rsidR="00E87F3B" w:rsidRPr="005A3125" w:rsidRDefault="00E87F3B" w:rsidP="00B63F6E">
      <w:pPr>
        <w:spacing w:line="360" w:lineRule="auto"/>
        <w:jc w:val="both"/>
        <w:rPr>
          <w:rFonts w:asciiTheme="minorBidi" w:hAnsiTheme="minorBidi"/>
          <w:b/>
        </w:rPr>
      </w:pPr>
      <w:r w:rsidRPr="005A3125">
        <w:rPr>
          <w:rFonts w:asciiTheme="minorBidi" w:hAnsiTheme="minorBidi"/>
          <w:b/>
        </w:rPr>
        <w:t>Table 4.2</w:t>
      </w:r>
      <w:r w:rsidR="00B63F6E" w:rsidRPr="005A3125">
        <w:rPr>
          <w:rFonts w:asciiTheme="minorBidi" w:hAnsiTheme="minorBidi"/>
          <w:b/>
        </w:rPr>
        <w:t>:</w:t>
      </w:r>
      <w:r w:rsidRPr="005A3125">
        <w:rPr>
          <w:rFonts w:asciiTheme="minorBidi" w:hAnsiTheme="minorBidi"/>
          <w:b/>
        </w:rPr>
        <w:t xml:space="preserve"> Socioeconom</w:t>
      </w:r>
      <w:r w:rsidR="00F13368" w:rsidRPr="005A3125">
        <w:rPr>
          <w:rFonts w:asciiTheme="minorBidi" w:hAnsiTheme="minorBidi"/>
          <w:b/>
        </w:rPr>
        <w:t xml:space="preserve">ic Inequalities Affecting </w:t>
      </w:r>
      <w:r w:rsidR="00CB3DB0" w:rsidRPr="005A3125">
        <w:rPr>
          <w:rFonts w:asciiTheme="minorBidi" w:hAnsiTheme="minorBidi"/>
          <w:b/>
        </w:rPr>
        <w:t xml:space="preserve">Black African </w:t>
      </w:r>
      <w:r w:rsidR="001D1D37" w:rsidRPr="005A3125">
        <w:rPr>
          <w:rFonts w:asciiTheme="minorBidi" w:hAnsiTheme="minorBidi"/>
          <w:b/>
        </w:rPr>
        <w:t xml:space="preserve">and </w:t>
      </w:r>
      <w:r w:rsidR="00CB3DB0" w:rsidRPr="005A3125">
        <w:rPr>
          <w:rFonts w:asciiTheme="minorBidi" w:hAnsiTheme="minorBidi"/>
          <w:b/>
        </w:rPr>
        <w:t xml:space="preserve">Mixed African </w:t>
      </w:r>
      <w:r w:rsidR="001D1D37" w:rsidRPr="005A3125">
        <w:rPr>
          <w:rFonts w:asciiTheme="minorBidi" w:hAnsiTheme="minorBidi"/>
          <w:b/>
        </w:rPr>
        <w:t xml:space="preserve">Youth In The </w:t>
      </w:r>
      <w:r w:rsidRPr="005A3125">
        <w:rPr>
          <w:rFonts w:asciiTheme="minorBidi" w:hAnsiTheme="minorBidi"/>
          <w:b/>
        </w:rPr>
        <w:t>United Kingdom</w:t>
      </w:r>
    </w:p>
    <w:tbl>
      <w:tblPr>
        <w:tblStyle w:val="TableGrid"/>
        <w:tblW w:w="0" w:type="auto"/>
        <w:tblLook w:val="04A0" w:firstRow="1" w:lastRow="0" w:firstColumn="1" w:lastColumn="0" w:noHBand="0" w:noVBand="1"/>
      </w:tblPr>
      <w:tblGrid>
        <w:gridCol w:w="2194"/>
        <w:gridCol w:w="2194"/>
        <w:gridCol w:w="2194"/>
        <w:gridCol w:w="2194"/>
      </w:tblGrid>
      <w:tr w:rsidR="00E87F3B" w:rsidRPr="005A3125" w14:paraId="4D430987" w14:textId="77777777" w:rsidTr="00B63F6E">
        <w:trPr>
          <w:trHeight w:val="811"/>
        </w:trPr>
        <w:tc>
          <w:tcPr>
            <w:tcW w:w="2194" w:type="dxa"/>
          </w:tcPr>
          <w:p w14:paraId="127B996C" w14:textId="7F4DC434" w:rsidR="00E87F3B" w:rsidRPr="005A3125" w:rsidRDefault="00E87F3B" w:rsidP="00E87F3B">
            <w:pPr>
              <w:spacing w:line="360" w:lineRule="auto"/>
              <w:jc w:val="both"/>
              <w:rPr>
                <w:rFonts w:asciiTheme="minorBidi" w:hAnsiTheme="minorBidi"/>
              </w:rPr>
            </w:pPr>
            <w:r w:rsidRPr="005A3125">
              <w:rPr>
                <w:rFonts w:asciiTheme="minorBidi" w:hAnsiTheme="minorBidi"/>
              </w:rPr>
              <w:t>Indicator</w:t>
            </w:r>
          </w:p>
        </w:tc>
        <w:tc>
          <w:tcPr>
            <w:tcW w:w="2194" w:type="dxa"/>
          </w:tcPr>
          <w:p w14:paraId="2AB99216" w14:textId="46AC1835" w:rsidR="00E87F3B" w:rsidRPr="005A3125" w:rsidRDefault="00E87F3B" w:rsidP="00E87F3B">
            <w:pPr>
              <w:spacing w:line="360" w:lineRule="auto"/>
              <w:jc w:val="both"/>
              <w:rPr>
                <w:rFonts w:asciiTheme="minorBidi" w:hAnsiTheme="minorBidi"/>
              </w:rPr>
            </w:pPr>
            <w:r w:rsidRPr="005A3125">
              <w:rPr>
                <w:rFonts w:asciiTheme="minorBidi" w:hAnsiTheme="minorBidi"/>
              </w:rPr>
              <w:t>Black African Population</w:t>
            </w:r>
          </w:p>
        </w:tc>
        <w:tc>
          <w:tcPr>
            <w:tcW w:w="2194" w:type="dxa"/>
          </w:tcPr>
          <w:p w14:paraId="2C262545" w14:textId="30CD062D" w:rsidR="00E87F3B" w:rsidRPr="005A3125" w:rsidRDefault="00E87F3B" w:rsidP="00E87F3B">
            <w:pPr>
              <w:spacing w:line="360" w:lineRule="auto"/>
              <w:jc w:val="both"/>
              <w:rPr>
                <w:rFonts w:asciiTheme="minorBidi" w:hAnsiTheme="minorBidi"/>
              </w:rPr>
            </w:pPr>
            <w:r w:rsidRPr="005A3125">
              <w:rPr>
                <w:rFonts w:asciiTheme="minorBidi" w:hAnsiTheme="minorBidi"/>
              </w:rPr>
              <w:t>White British Population</w:t>
            </w:r>
          </w:p>
        </w:tc>
        <w:tc>
          <w:tcPr>
            <w:tcW w:w="2194" w:type="dxa"/>
          </w:tcPr>
          <w:p w14:paraId="4E708249" w14:textId="5E23D056" w:rsidR="00E87F3B" w:rsidRPr="005A3125" w:rsidRDefault="00E87F3B" w:rsidP="00E87F3B">
            <w:pPr>
              <w:spacing w:line="360" w:lineRule="auto"/>
              <w:jc w:val="both"/>
              <w:rPr>
                <w:rFonts w:asciiTheme="minorBidi" w:hAnsiTheme="minorBidi"/>
              </w:rPr>
            </w:pPr>
            <w:r w:rsidRPr="005A3125">
              <w:rPr>
                <w:rFonts w:asciiTheme="minorBidi" w:hAnsiTheme="minorBidi"/>
              </w:rPr>
              <w:t>Source</w:t>
            </w:r>
          </w:p>
        </w:tc>
      </w:tr>
      <w:tr w:rsidR="00E87F3B" w:rsidRPr="005A3125" w14:paraId="2603E2E8" w14:textId="77777777" w:rsidTr="00B63F6E">
        <w:trPr>
          <w:trHeight w:val="827"/>
        </w:trPr>
        <w:tc>
          <w:tcPr>
            <w:tcW w:w="2194" w:type="dxa"/>
          </w:tcPr>
          <w:p w14:paraId="043D86AA" w14:textId="3A84E7ED" w:rsidR="00E87F3B" w:rsidRPr="005A3125" w:rsidRDefault="00E87F3B" w:rsidP="00E87F3B">
            <w:pPr>
              <w:spacing w:line="360" w:lineRule="auto"/>
              <w:jc w:val="both"/>
              <w:rPr>
                <w:rFonts w:asciiTheme="minorBidi" w:hAnsiTheme="minorBidi"/>
              </w:rPr>
            </w:pPr>
            <w:r w:rsidRPr="005A3125">
              <w:rPr>
                <w:rFonts w:asciiTheme="minorBidi" w:hAnsiTheme="minorBidi"/>
              </w:rPr>
              <w:t>Relative low income (after housing costs)</w:t>
            </w:r>
          </w:p>
        </w:tc>
        <w:tc>
          <w:tcPr>
            <w:tcW w:w="2194" w:type="dxa"/>
          </w:tcPr>
          <w:p w14:paraId="4763C92D" w14:textId="5B2CE041" w:rsidR="00E87F3B" w:rsidRPr="005A3125" w:rsidRDefault="00E87F3B" w:rsidP="00E87F3B">
            <w:pPr>
              <w:spacing w:line="360" w:lineRule="auto"/>
              <w:jc w:val="both"/>
              <w:rPr>
                <w:rFonts w:asciiTheme="minorBidi" w:hAnsiTheme="minorBidi"/>
              </w:rPr>
            </w:pPr>
            <w:r w:rsidRPr="005A3125">
              <w:rPr>
                <w:rFonts w:asciiTheme="minorBidi" w:hAnsiTheme="minorBidi"/>
              </w:rPr>
              <w:t>~39%</w:t>
            </w:r>
          </w:p>
        </w:tc>
        <w:tc>
          <w:tcPr>
            <w:tcW w:w="2194" w:type="dxa"/>
          </w:tcPr>
          <w:p w14:paraId="5A299DA3" w14:textId="0DE1D9E8" w:rsidR="00E87F3B" w:rsidRPr="005A3125" w:rsidRDefault="00E87F3B" w:rsidP="00E87F3B">
            <w:pPr>
              <w:spacing w:line="360" w:lineRule="auto"/>
              <w:jc w:val="both"/>
              <w:rPr>
                <w:rFonts w:asciiTheme="minorBidi" w:hAnsiTheme="minorBidi"/>
              </w:rPr>
            </w:pPr>
            <w:r w:rsidRPr="005A3125">
              <w:rPr>
                <w:rFonts w:asciiTheme="minorBidi" w:hAnsiTheme="minorBidi"/>
              </w:rPr>
              <w:t>~18%</w:t>
            </w:r>
          </w:p>
        </w:tc>
        <w:tc>
          <w:tcPr>
            <w:tcW w:w="2194" w:type="dxa"/>
          </w:tcPr>
          <w:p w14:paraId="09914B56" w14:textId="0337372E" w:rsidR="00E87F3B" w:rsidRPr="005A3125" w:rsidRDefault="00E87F3B" w:rsidP="00E87F3B">
            <w:pPr>
              <w:spacing w:line="360" w:lineRule="auto"/>
              <w:jc w:val="both"/>
              <w:rPr>
                <w:rFonts w:asciiTheme="minorBidi" w:hAnsiTheme="minorBidi"/>
              </w:rPr>
            </w:pPr>
            <w:r w:rsidRPr="005A3125">
              <w:rPr>
                <w:rFonts w:asciiTheme="minorBidi" w:hAnsiTheme="minorBidi"/>
              </w:rPr>
              <w:t>ONS (2022)</w:t>
            </w:r>
          </w:p>
        </w:tc>
      </w:tr>
      <w:tr w:rsidR="00E87F3B" w:rsidRPr="005A3125" w14:paraId="011F800F" w14:textId="77777777" w:rsidTr="00B63F6E">
        <w:trPr>
          <w:trHeight w:val="811"/>
        </w:trPr>
        <w:tc>
          <w:tcPr>
            <w:tcW w:w="2194" w:type="dxa"/>
          </w:tcPr>
          <w:p w14:paraId="0D4177F9" w14:textId="4EA9525F" w:rsidR="00E87F3B" w:rsidRPr="005A3125" w:rsidRDefault="00E87F3B" w:rsidP="00E87F3B">
            <w:pPr>
              <w:spacing w:line="360" w:lineRule="auto"/>
              <w:jc w:val="both"/>
              <w:rPr>
                <w:rFonts w:asciiTheme="minorBidi" w:hAnsiTheme="minorBidi"/>
              </w:rPr>
            </w:pPr>
            <w:r w:rsidRPr="005A3125">
              <w:rPr>
                <w:rFonts w:asciiTheme="minorBidi" w:hAnsiTheme="minorBidi"/>
              </w:rPr>
              <w:t>Overcrowded households</w:t>
            </w:r>
          </w:p>
        </w:tc>
        <w:tc>
          <w:tcPr>
            <w:tcW w:w="2194" w:type="dxa"/>
          </w:tcPr>
          <w:p w14:paraId="01049D15" w14:textId="77777777" w:rsidR="00E87F3B" w:rsidRPr="005A3125" w:rsidRDefault="00E87F3B" w:rsidP="00E87F3B">
            <w:pPr>
              <w:spacing w:line="360" w:lineRule="auto"/>
              <w:jc w:val="both"/>
              <w:rPr>
                <w:rFonts w:asciiTheme="minorBidi" w:hAnsiTheme="minorBidi"/>
              </w:rPr>
            </w:pPr>
            <w:r w:rsidRPr="005A3125">
              <w:rPr>
                <w:rFonts w:asciiTheme="minorBidi" w:hAnsiTheme="minorBidi"/>
              </w:rPr>
              <w:t>~18–24%</w:t>
            </w:r>
          </w:p>
          <w:p w14:paraId="23A433C5" w14:textId="77777777" w:rsidR="00E87F3B" w:rsidRPr="005A3125" w:rsidRDefault="00E87F3B" w:rsidP="00E87F3B">
            <w:pPr>
              <w:spacing w:line="360" w:lineRule="auto"/>
              <w:jc w:val="both"/>
              <w:rPr>
                <w:rFonts w:asciiTheme="minorBidi" w:hAnsiTheme="minorBidi"/>
              </w:rPr>
            </w:pPr>
          </w:p>
        </w:tc>
        <w:tc>
          <w:tcPr>
            <w:tcW w:w="2194" w:type="dxa"/>
          </w:tcPr>
          <w:p w14:paraId="5007F342" w14:textId="77777777" w:rsidR="00E87F3B" w:rsidRPr="005A3125" w:rsidRDefault="00E87F3B" w:rsidP="00E87F3B">
            <w:pPr>
              <w:spacing w:line="360" w:lineRule="auto"/>
              <w:jc w:val="both"/>
              <w:rPr>
                <w:rFonts w:asciiTheme="minorBidi" w:hAnsiTheme="minorBidi"/>
              </w:rPr>
            </w:pPr>
            <w:r w:rsidRPr="005A3125">
              <w:rPr>
                <w:rFonts w:asciiTheme="minorBidi" w:hAnsiTheme="minorBidi"/>
              </w:rPr>
              <w:t>~2–3%</w:t>
            </w:r>
          </w:p>
          <w:p w14:paraId="6D62DBC3" w14:textId="77777777" w:rsidR="00E87F3B" w:rsidRPr="005A3125" w:rsidRDefault="00E87F3B" w:rsidP="00E87F3B">
            <w:pPr>
              <w:spacing w:line="360" w:lineRule="auto"/>
              <w:jc w:val="both"/>
              <w:rPr>
                <w:rFonts w:asciiTheme="minorBidi" w:hAnsiTheme="minorBidi"/>
              </w:rPr>
            </w:pPr>
          </w:p>
        </w:tc>
        <w:tc>
          <w:tcPr>
            <w:tcW w:w="2194" w:type="dxa"/>
          </w:tcPr>
          <w:p w14:paraId="0495C7D2" w14:textId="78F3FA3B" w:rsidR="00E87F3B" w:rsidRPr="005A3125" w:rsidRDefault="00E87F3B" w:rsidP="00E87F3B">
            <w:pPr>
              <w:spacing w:line="360" w:lineRule="auto"/>
              <w:jc w:val="both"/>
              <w:rPr>
                <w:rFonts w:asciiTheme="minorBidi" w:hAnsiTheme="minorBidi"/>
              </w:rPr>
            </w:pPr>
            <w:r w:rsidRPr="005A3125">
              <w:rPr>
                <w:rFonts w:asciiTheme="minorBidi" w:hAnsiTheme="minorBidi"/>
              </w:rPr>
              <w:t>MHCLG (2020)</w:t>
            </w:r>
          </w:p>
        </w:tc>
      </w:tr>
      <w:tr w:rsidR="00E87F3B" w:rsidRPr="005A3125" w14:paraId="0EB0FE66" w14:textId="77777777" w:rsidTr="00B63F6E">
        <w:trPr>
          <w:trHeight w:val="633"/>
        </w:trPr>
        <w:tc>
          <w:tcPr>
            <w:tcW w:w="2194" w:type="dxa"/>
          </w:tcPr>
          <w:p w14:paraId="3CB3E1E8" w14:textId="36F31F2B" w:rsidR="00E87F3B" w:rsidRPr="005A3125" w:rsidRDefault="00E87F3B" w:rsidP="00E87F3B">
            <w:pPr>
              <w:spacing w:line="360" w:lineRule="auto"/>
              <w:jc w:val="both"/>
              <w:rPr>
                <w:rFonts w:asciiTheme="minorBidi" w:hAnsiTheme="minorBidi"/>
              </w:rPr>
            </w:pPr>
            <w:r w:rsidRPr="005A3125">
              <w:rPr>
                <w:rFonts w:asciiTheme="minorBidi" w:hAnsiTheme="minorBidi"/>
              </w:rPr>
              <w:t>Unemployment rate</w:t>
            </w:r>
          </w:p>
        </w:tc>
        <w:tc>
          <w:tcPr>
            <w:tcW w:w="2194" w:type="dxa"/>
          </w:tcPr>
          <w:p w14:paraId="5BEE4A8F" w14:textId="55777AF4" w:rsidR="00E87F3B" w:rsidRPr="005A3125" w:rsidRDefault="00E87F3B" w:rsidP="00E87F3B">
            <w:pPr>
              <w:spacing w:line="360" w:lineRule="auto"/>
              <w:jc w:val="both"/>
              <w:rPr>
                <w:rFonts w:asciiTheme="minorBidi" w:hAnsiTheme="minorBidi"/>
              </w:rPr>
            </w:pPr>
            <w:r w:rsidRPr="005A3125">
              <w:rPr>
                <w:rFonts w:asciiTheme="minorBidi" w:hAnsiTheme="minorBidi"/>
              </w:rPr>
              <w:t>~8–10%</w:t>
            </w:r>
          </w:p>
        </w:tc>
        <w:tc>
          <w:tcPr>
            <w:tcW w:w="2194" w:type="dxa"/>
          </w:tcPr>
          <w:p w14:paraId="5FAF4283" w14:textId="66D8BD17" w:rsidR="00E87F3B" w:rsidRPr="005A3125" w:rsidRDefault="00E87F3B" w:rsidP="00E87F3B">
            <w:pPr>
              <w:spacing w:line="360" w:lineRule="auto"/>
              <w:jc w:val="both"/>
              <w:rPr>
                <w:rFonts w:asciiTheme="minorBidi" w:hAnsiTheme="minorBidi"/>
              </w:rPr>
            </w:pPr>
            <w:r w:rsidRPr="005A3125">
              <w:rPr>
                <w:rFonts w:asciiTheme="minorBidi" w:hAnsiTheme="minorBidi"/>
              </w:rPr>
              <w:t>~3–4%</w:t>
            </w:r>
          </w:p>
        </w:tc>
        <w:tc>
          <w:tcPr>
            <w:tcW w:w="2194" w:type="dxa"/>
          </w:tcPr>
          <w:p w14:paraId="61979160" w14:textId="2819010D" w:rsidR="00E87F3B" w:rsidRPr="005A3125" w:rsidRDefault="00E87F3B" w:rsidP="00E87F3B">
            <w:pPr>
              <w:spacing w:line="360" w:lineRule="auto"/>
              <w:jc w:val="both"/>
              <w:rPr>
                <w:rFonts w:asciiTheme="minorBidi" w:hAnsiTheme="minorBidi"/>
              </w:rPr>
            </w:pPr>
            <w:r w:rsidRPr="005A3125">
              <w:rPr>
                <w:rFonts w:asciiTheme="minorBidi" w:hAnsiTheme="minorBidi"/>
              </w:rPr>
              <w:t>ONS (2023)</w:t>
            </w:r>
          </w:p>
        </w:tc>
      </w:tr>
      <w:tr w:rsidR="00E87F3B" w:rsidRPr="005A3125" w14:paraId="6BC1BFA1" w14:textId="77777777" w:rsidTr="00B63F6E">
        <w:trPr>
          <w:trHeight w:val="1217"/>
        </w:trPr>
        <w:tc>
          <w:tcPr>
            <w:tcW w:w="2194" w:type="dxa"/>
          </w:tcPr>
          <w:p w14:paraId="5501D24E" w14:textId="795A5DBF" w:rsidR="00E87F3B" w:rsidRPr="005A3125" w:rsidRDefault="00E87F3B" w:rsidP="00E87F3B">
            <w:pPr>
              <w:spacing w:line="360" w:lineRule="auto"/>
              <w:jc w:val="both"/>
              <w:rPr>
                <w:rFonts w:asciiTheme="minorBidi" w:hAnsiTheme="minorBidi"/>
              </w:rPr>
            </w:pPr>
            <w:r w:rsidRPr="005A3125">
              <w:rPr>
                <w:rFonts w:asciiTheme="minorBidi" w:hAnsiTheme="minorBidi"/>
              </w:rPr>
              <w:t>Risk of common mental disorder in deprived areas</w:t>
            </w:r>
          </w:p>
        </w:tc>
        <w:tc>
          <w:tcPr>
            <w:tcW w:w="2194" w:type="dxa"/>
          </w:tcPr>
          <w:p w14:paraId="797006DA" w14:textId="77777777" w:rsidR="00E87F3B" w:rsidRPr="005A3125" w:rsidRDefault="00E87F3B" w:rsidP="00E87F3B">
            <w:pPr>
              <w:spacing w:line="360" w:lineRule="auto"/>
              <w:jc w:val="both"/>
              <w:rPr>
                <w:rFonts w:asciiTheme="minorBidi" w:hAnsiTheme="minorBidi"/>
              </w:rPr>
            </w:pPr>
            <w:r w:rsidRPr="005A3125">
              <w:rPr>
                <w:rFonts w:asciiTheme="minorBidi" w:hAnsiTheme="minorBidi"/>
              </w:rPr>
              <w:t>2–3 times higher</w:t>
            </w:r>
          </w:p>
          <w:p w14:paraId="41EDE88E" w14:textId="77777777" w:rsidR="00E87F3B" w:rsidRPr="005A3125" w:rsidRDefault="00E87F3B" w:rsidP="00E87F3B">
            <w:pPr>
              <w:spacing w:line="360" w:lineRule="auto"/>
              <w:jc w:val="both"/>
              <w:rPr>
                <w:rFonts w:asciiTheme="minorBidi" w:hAnsiTheme="minorBidi"/>
              </w:rPr>
            </w:pPr>
          </w:p>
        </w:tc>
        <w:tc>
          <w:tcPr>
            <w:tcW w:w="2194" w:type="dxa"/>
          </w:tcPr>
          <w:p w14:paraId="2836415A" w14:textId="77777777" w:rsidR="00E87F3B" w:rsidRPr="005A3125" w:rsidRDefault="00E87F3B" w:rsidP="00E87F3B">
            <w:pPr>
              <w:spacing w:line="360" w:lineRule="auto"/>
              <w:jc w:val="both"/>
              <w:rPr>
                <w:rFonts w:asciiTheme="minorBidi" w:hAnsiTheme="minorBidi"/>
              </w:rPr>
            </w:pPr>
            <w:r w:rsidRPr="005A3125">
              <w:rPr>
                <w:rFonts w:asciiTheme="minorBidi" w:hAnsiTheme="minorBidi"/>
              </w:rPr>
              <w:t>Baseline</w:t>
            </w:r>
          </w:p>
          <w:p w14:paraId="5EFF70D7" w14:textId="77777777" w:rsidR="00E87F3B" w:rsidRPr="005A3125" w:rsidRDefault="00E87F3B" w:rsidP="00E87F3B">
            <w:pPr>
              <w:spacing w:line="360" w:lineRule="auto"/>
              <w:jc w:val="both"/>
              <w:rPr>
                <w:rFonts w:asciiTheme="minorBidi" w:hAnsiTheme="minorBidi"/>
              </w:rPr>
            </w:pPr>
          </w:p>
        </w:tc>
        <w:tc>
          <w:tcPr>
            <w:tcW w:w="2194" w:type="dxa"/>
          </w:tcPr>
          <w:p w14:paraId="0898DF78" w14:textId="1F2C92B3" w:rsidR="00E87F3B" w:rsidRPr="005A3125" w:rsidRDefault="00E87F3B" w:rsidP="00E87F3B">
            <w:pPr>
              <w:spacing w:line="360" w:lineRule="auto"/>
              <w:jc w:val="both"/>
              <w:rPr>
                <w:rFonts w:asciiTheme="minorBidi" w:hAnsiTheme="minorBidi"/>
                <w:b/>
              </w:rPr>
            </w:pPr>
            <w:r w:rsidRPr="005A3125">
              <w:rPr>
                <w:rFonts w:asciiTheme="minorBidi" w:hAnsiTheme="minorBidi"/>
              </w:rPr>
              <w:t>NHS Digital (2023)</w:t>
            </w:r>
          </w:p>
        </w:tc>
      </w:tr>
    </w:tbl>
    <w:p w14:paraId="24E9801D" w14:textId="77777777" w:rsidR="00B63F6E" w:rsidRPr="005A3125" w:rsidRDefault="00B63F6E" w:rsidP="00E87F3B">
      <w:pPr>
        <w:spacing w:line="360" w:lineRule="auto"/>
        <w:jc w:val="both"/>
        <w:rPr>
          <w:rFonts w:asciiTheme="minorBidi" w:hAnsiTheme="minorBidi"/>
        </w:rPr>
      </w:pPr>
    </w:p>
    <w:p w14:paraId="055EC51D" w14:textId="7EC9C8FD" w:rsidR="00E87F3B" w:rsidRPr="005A3125" w:rsidRDefault="00E87F3B" w:rsidP="00B63F6E">
      <w:pPr>
        <w:spacing w:line="360" w:lineRule="auto"/>
        <w:jc w:val="center"/>
        <w:rPr>
          <w:rFonts w:asciiTheme="minorBidi" w:hAnsiTheme="minorBidi"/>
          <w:b/>
          <w:i/>
        </w:rPr>
      </w:pPr>
      <w:r w:rsidRPr="005A3125">
        <w:rPr>
          <w:rFonts w:asciiTheme="minorBidi" w:hAnsiTheme="minorBidi"/>
          <w:b/>
          <w:i/>
        </w:rPr>
        <w:t xml:space="preserve">Source: Adapted from </w:t>
      </w:r>
      <w:r w:rsidR="00AF3035" w:rsidRPr="005A3125">
        <w:rPr>
          <w:rFonts w:asciiTheme="minorBidi" w:hAnsiTheme="minorBidi"/>
          <w:b/>
          <w:i/>
        </w:rPr>
        <w:t>(</w:t>
      </w:r>
      <w:r w:rsidRPr="005A3125">
        <w:rPr>
          <w:rFonts w:asciiTheme="minorBidi" w:hAnsiTheme="minorBidi"/>
          <w:b/>
          <w:i/>
        </w:rPr>
        <w:t xml:space="preserve">ONS (2022), </w:t>
      </w:r>
      <w:r w:rsidR="00AF3035" w:rsidRPr="005A3125">
        <w:rPr>
          <w:rFonts w:asciiTheme="minorBidi" w:hAnsiTheme="minorBidi"/>
          <w:b/>
          <w:i/>
        </w:rPr>
        <w:t>(</w:t>
      </w:r>
      <w:r w:rsidRPr="005A3125">
        <w:rPr>
          <w:rFonts w:asciiTheme="minorBidi" w:hAnsiTheme="minorBidi"/>
          <w:b/>
          <w:i/>
        </w:rPr>
        <w:t xml:space="preserve">MHCLG (2020), and </w:t>
      </w:r>
      <w:r w:rsidR="00AF3035" w:rsidRPr="005A3125">
        <w:rPr>
          <w:rFonts w:asciiTheme="minorBidi" w:hAnsiTheme="minorBidi"/>
          <w:b/>
          <w:i/>
        </w:rPr>
        <w:t>(</w:t>
      </w:r>
      <w:r w:rsidRPr="005A3125">
        <w:rPr>
          <w:rFonts w:asciiTheme="minorBidi" w:hAnsiTheme="minorBidi"/>
          <w:b/>
          <w:i/>
        </w:rPr>
        <w:t>NHS Digital (2023)</w:t>
      </w:r>
      <w:r w:rsidR="00AF3035" w:rsidRPr="005A3125">
        <w:rPr>
          <w:rFonts w:asciiTheme="minorBidi" w:hAnsiTheme="minorBidi"/>
          <w:b/>
          <w:i/>
        </w:rPr>
        <w:t>)</w:t>
      </w:r>
      <w:r w:rsidRPr="005A3125">
        <w:rPr>
          <w:rFonts w:asciiTheme="minorBidi" w:hAnsiTheme="minorBidi"/>
          <w:b/>
          <w:i/>
        </w:rPr>
        <w:t>.</w:t>
      </w:r>
    </w:p>
    <w:p w14:paraId="40B2CF1B" w14:textId="087999BF" w:rsidR="00B63F6E" w:rsidRPr="005A3125" w:rsidRDefault="00B63F6E" w:rsidP="00E87F3B">
      <w:pPr>
        <w:spacing w:line="360" w:lineRule="auto"/>
        <w:jc w:val="both"/>
        <w:rPr>
          <w:rFonts w:asciiTheme="minorBidi" w:hAnsiTheme="minorBidi"/>
        </w:rPr>
      </w:pPr>
      <w:r w:rsidRPr="005A3125">
        <w:rPr>
          <w:rFonts w:asciiTheme="minorBidi" w:hAnsiTheme="minorBidi"/>
        </w:rPr>
        <w:lastRenderedPageBreak/>
        <w:t>The data demonstrate persistent structural disadvantage, which directly contributes to psychological strain. Importantly, socioeconomic deprivation interacts with racism, making it difficult to isolate independent effects. This interaction reflects intersectional disadvantage rather than single-factor causation.</w:t>
      </w:r>
    </w:p>
    <w:p w14:paraId="3AFF4F55" w14:textId="07AC29CD" w:rsidR="0073683B" w:rsidRPr="005A3125" w:rsidRDefault="0073683B" w:rsidP="0073683B">
      <w:pPr>
        <w:pStyle w:val="Heading1"/>
        <w:spacing w:line="360" w:lineRule="auto"/>
        <w:ind w:left="12" w:right="3"/>
        <w:jc w:val="left"/>
        <w:rPr>
          <w:rFonts w:asciiTheme="minorBidi" w:hAnsiTheme="minorBidi" w:cstheme="minorBidi"/>
          <w:b w:val="0"/>
          <w:sz w:val="22"/>
        </w:rPr>
      </w:pPr>
      <w:bookmarkStart w:id="33" w:name="_Toc232456068"/>
      <w:r w:rsidRPr="005A3125">
        <w:rPr>
          <w:rFonts w:asciiTheme="minorBidi" w:hAnsiTheme="minorBidi" w:cstheme="minorBidi"/>
          <w:sz w:val="22"/>
        </w:rPr>
        <w:t>4.5 Theme Three: Educational Exclusion and Institutional Inequality</w:t>
      </w:r>
      <w:bookmarkEnd w:id="33"/>
    </w:p>
    <w:p w14:paraId="6D51FAD2" w14:textId="12E5A54C" w:rsidR="00B63F6E" w:rsidRPr="005A3125" w:rsidRDefault="00B63F6E" w:rsidP="00B63F6E">
      <w:pPr>
        <w:spacing w:line="360" w:lineRule="auto"/>
        <w:jc w:val="both"/>
        <w:rPr>
          <w:rFonts w:asciiTheme="minorBidi" w:hAnsiTheme="minorBidi"/>
        </w:rPr>
      </w:pPr>
      <w:r w:rsidRPr="005A3125">
        <w:rPr>
          <w:rFonts w:asciiTheme="minorBidi" w:hAnsiTheme="minorBidi"/>
        </w:rPr>
        <w:t>Educational inequality was identified across 3 of the 20 studies (15%). The literature consistently highlights that Black African and Mixed African youth experience institutional disadvantage, including exclusion, stereotyping, and reduced academic expectations.</w:t>
      </w:r>
    </w:p>
    <w:p w14:paraId="72773301" w14:textId="480821DA" w:rsidR="00B63F6E" w:rsidRPr="005A3125" w:rsidRDefault="00B63F6E" w:rsidP="00B63F6E">
      <w:pPr>
        <w:spacing w:line="360" w:lineRule="auto"/>
        <w:jc w:val="both"/>
        <w:rPr>
          <w:rFonts w:asciiTheme="minorBidi" w:hAnsiTheme="minorBidi"/>
        </w:rPr>
      </w:pPr>
      <w:r w:rsidRPr="005A3125">
        <w:rPr>
          <w:rFonts w:asciiTheme="minorBidi" w:hAnsiTheme="minorBidi"/>
        </w:rPr>
        <w:t>Gillborn (2008) argues that institutional racism shapes educational structures, producing unequal outcomes across ethnic groups. Arday (2018) further highlights stereotype threat as a psychological mechanism contributing to anxiety, reduced confidence, and academ</w:t>
      </w:r>
      <w:r w:rsidR="00360190" w:rsidRPr="005A3125">
        <w:rPr>
          <w:rFonts w:asciiTheme="minorBidi" w:hAnsiTheme="minorBidi"/>
        </w:rPr>
        <w:t>ic stress among Black students.</w:t>
      </w:r>
    </w:p>
    <w:p w14:paraId="5A885474" w14:textId="25D39407" w:rsidR="002A6F75" w:rsidRPr="005A3125" w:rsidRDefault="00B63F6E" w:rsidP="00B63F6E">
      <w:pPr>
        <w:spacing w:line="360" w:lineRule="auto"/>
        <w:jc w:val="both"/>
        <w:rPr>
          <w:rFonts w:asciiTheme="minorBidi" w:hAnsiTheme="minorBidi"/>
        </w:rPr>
      </w:pPr>
      <w:r w:rsidRPr="005A3125">
        <w:rPr>
          <w:rFonts w:asciiTheme="minorBidi" w:hAnsiTheme="minorBidi"/>
        </w:rPr>
        <w:t>Qualitative findings indicate that students frequently experience emotional isolation, reduced belonging, and anxiety linked to discriminatory school environments. Department for Education data confirm that exclusion rates are significantly higher for Black students compared with White British students.</w:t>
      </w:r>
    </w:p>
    <w:p w14:paraId="3B1CC53A" w14:textId="64E9C27E" w:rsidR="002A6F75" w:rsidRPr="005A3125" w:rsidRDefault="002A6F75" w:rsidP="002A6F75">
      <w:pPr>
        <w:spacing w:line="360" w:lineRule="auto"/>
        <w:jc w:val="both"/>
        <w:rPr>
          <w:rFonts w:asciiTheme="minorBidi" w:hAnsiTheme="minorBidi"/>
          <w:b/>
        </w:rPr>
      </w:pPr>
      <w:r w:rsidRPr="005A3125">
        <w:rPr>
          <w:rFonts w:asciiTheme="minorBidi" w:hAnsiTheme="minorBidi"/>
          <w:b/>
        </w:rPr>
        <w:t>Figure 4.2</w:t>
      </w:r>
      <w:r w:rsidR="00B63F6E" w:rsidRPr="005A3125">
        <w:rPr>
          <w:rFonts w:asciiTheme="minorBidi" w:hAnsiTheme="minorBidi"/>
          <w:b/>
        </w:rPr>
        <w:t>:</w:t>
      </w:r>
      <w:r w:rsidRPr="005A3125">
        <w:rPr>
          <w:rFonts w:asciiTheme="minorBidi" w:hAnsiTheme="minorBidi"/>
          <w:b/>
        </w:rPr>
        <w:t xml:space="preserve"> School Exclusion by Ethnicity in </w:t>
      </w:r>
      <w:r w:rsidR="00082048" w:rsidRPr="005A3125">
        <w:rPr>
          <w:rFonts w:asciiTheme="minorBidi" w:hAnsiTheme="minorBidi"/>
          <w:b/>
        </w:rPr>
        <w:t>England (</w:t>
      </w:r>
      <w:r w:rsidR="004B3AD2" w:rsidRPr="005A3125">
        <w:rPr>
          <w:rFonts w:asciiTheme="minorBidi" w:hAnsiTheme="minorBidi"/>
          <w:b/>
          <w:i/>
        </w:rPr>
        <w:t>Department</w:t>
      </w:r>
      <w:r w:rsidR="004B3AD2" w:rsidRPr="005A3125">
        <w:rPr>
          <w:rFonts w:asciiTheme="minorBidi" w:hAnsiTheme="minorBidi"/>
          <w:b/>
        </w:rPr>
        <w:t xml:space="preserve"> for Education Statistics(2023))</w:t>
      </w:r>
    </w:p>
    <w:p w14:paraId="55BB43EC" w14:textId="2122C31E" w:rsidR="0095073F" w:rsidRPr="005A3125" w:rsidRDefault="00B63F6E" w:rsidP="002A6F75">
      <w:pPr>
        <w:spacing w:line="360" w:lineRule="auto"/>
        <w:jc w:val="both"/>
        <w:rPr>
          <w:rFonts w:asciiTheme="minorBidi" w:hAnsiTheme="minorBidi"/>
        </w:rPr>
      </w:pPr>
      <w:r w:rsidRPr="005A3125">
        <w:rPr>
          <w:rFonts w:asciiTheme="minorBidi" w:hAnsiTheme="minorBidi"/>
          <w:b/>
          <w:noProof/>
          <w:lang w:val="en-IN" w:eastAsia="en-IN"/>
        </w:rPr>
        <w:drawing>
          <wp:anchor distT="0" distB="0" distL="114300" distR="114300" simplePos="0" relativeHeight="251658248" behindDoc="1" locked="0" layoutInCell="1" allowOverlap="1" wp14:anchorId="0F295580" wp14:editId="2D3495CA">
            <wp:simplePos x="0" y="0"/>
            <wp:positionH relativeFrom="column">
              <wp:posOffset>979170</wp:posOffset>
            </wp:positionH>
            <wp:positionV relativeFrom="paragraph">
              <wp:posOffset>64135</wp:posOffset>
            </wp:positionV>
            <wp:extent cx="3444875" cy="2219960"/>
            <wp:effectExtent l="0" t="0" r="3175" b="8890"/>
            <wp:wrapTight wrapText="bothSides">
              <wp:wrapPolygon edited="0">
                <wp:start x="0" y="0"/>
                <wp:lineTo x="0" y="21501"/>
                <wp:lineTo x="21500" y="21501"/>
                <wp:lineTo x="21500" y="0"/>
                <wp:lineTo x="0" y="0"/>
              </wp:wrapPolygon>
            </wp:wrapTight>
            <wp:docPr id="7" name="Picture 7" descr="Quantifying the ethnic penalty | Centre for Crime and Justice Stud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Quantifying the ethnic penalty | Centre for Crime and Justice Studies"/>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444875" cy="22199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BAF5188" w14:textId="12E6867A" w:rsidR="0095073F" w:rsidRPr="005A3125" w:rsidRDefault="0095073F" w:rsidP="002A6F75">
      <w:pPr>
        <w:spacing w:line="360" w:lineRule="auto"/>
        <w:jc w:val="both"/>
        <w:rPr>
          <w:rFonts w:asciiTheme="minorBidi" w:hAnsiTheme="minorBidi"/>
        </w:rPr>
      </w:pPr>
    </w:p>
    <w:p w14:paraId="30C1BE67" w14:textId="06DBCCB9" w:rsidR="0095073F" w:rsidRPr="005A3125" w:rsidRDefault="0095073F" w:rsidP="002A6F75">
      <w:pPr>
        <w:spacing w:line="360" w:lineRule="auto"/>
        <w:jc w:val="both"/>
        <w:rPr>
          <w:rFonts w:asciiTheme="minorBidi" w:hAnsiTheme="minorBidi"/>
        </w:rPr>
      </w:pPr>
    </w:p>
    <w:p w14:paraId="39498BE8" w14:textId="2D6B928F" w:rsidR="0095073F" w:rsidRPr="005A3125" w:rsidRDefault="0095073F" w:rsidP="002A6F75">
      <w:pPr>
        <w:spacing w:line="360" w:lineRule="auto"/>
        <w:jc w:val="both"/>
        <w:rPr>
          <w:rFonts w:asciiTheme="minorBidi" w:hAnsiTheme="minorBidi"/>
        </w:rPr>
      </w:pPr>
    </w:p>
    <w:p w14:paraId="12E24A26" w14:textId="147F52D3" w:rsidR="0095073F" w:rsidRPr="005A3125" w:rsidRDefault="0095073F" w:rsidP="002A6F75">
      <w:pPr>
        <w:spacing w:line="360" w:lineRule="auto"/>
        <w:jc w:val="both"/>
        <w:rPr>
          <w:rFonts w:asciiTheme="minorBidi" w:hAnsiTheme="minorBidi"/>
        </w:rPr>
      </w:pPr>
    </w:p>
    <w:p w14:paraId="73991515" w14:textId="77777777" w:rsidR="0095073F" w:rsidRPr="005A3125" w:rsidRDefault="0095073F" w:rsidP="002A6F75">
      <w:pPr>
        <w:spacing w:line="360" w:lineRule="auto"/>
        <w:jc w:val="both"/>
        <w:rPr>
          <w:rFonts w:asciiTheme="minorBidi" w:hAnsiTheme="minorBidi"/>
        </w:rPr>
      </w:pPr>
    </w:p>
    <w:p w14:paraId="568CC6B9" w14:textId="77777777" w:rsidR="00B63F6E" w:rsidRPr="005A3125" w:rsidRDefault="00B63F6E" w:rsidP="00A30E0F">
      <w:pPr>
        <w:spacing w:line="360" w:lineRule="auto"/>
        <w:jc w:val="center"/>
        <w:rPr>
          <w:rFonts w:asciiTheme="minorBidi" w:hAnsiTheme="minorBidi"/>
          <w:b/>
        </w:rPr>
      </w:pPr>
    </w:p>
    <w:p w14:paraId="37864FD4" w14:textId="079F2EE6" w:rsidR="002A6F75" w:rsidRPr="005A3125" w:rsidRDefault="002A6F75" w:rsidP="00A30E0F">
      <w:pPr>
        <w:spacing w:line="360" w:lineRule="auto"/>
        <w:jc w:val="center"/>
        <w:rPr>
          <w:rFonts w:asciiTheme="minorBidi" w:hAnsiTheme="minorBidi"/>
          <w:b/>
        </w:rPr>
      </w:pPr>
      <w:r w:rsidRPr="005A3125">
        <w:rPr>
          <w:rFonts w:asciiTheme="minorBidi" w:hAnsiTheme="minorBidi"/>
          <w:b/>
        </w:rPr>
        <w:t xml:space="preserve">Source: </w:t>
      </w:r>
      <w:r w:rsidRPr="005A3125">
        <w:rPr>
          <w:rFonts w:asciiTheme="minorBidi" w:hAnsiTheme="minorBidi"/>
          <w:b/>
          <w:i/>
        </w:rPr>
        <w:t>Department</w:t>
      </w:r>
      <w:r w:rsidRPr="005A3125">
        <w:rPr>
          <w:rFonts w:asciiTheme="minorBidi" w:hAnsiTheme="minorBidi"/>
          <w:b/>
        </w:rPr>
        <w:t xml:space="preserve"> for Education Statistics</w:t>
      </w:r>
      <w:r w:rsidR="00A87D19" w:rsidRPr="005A3125">
        <w:rPr>
          <w:rFonts w:asciiTheme="minorBidi" w:hAnsiTheme="minorBidi"/>
          <w:b/>
        </w:rPr>
        <w:t>(2023)</w:t>
      </w:r>
    </w:p>
    <w:p w14:paraId="117139A0" w14:textId="6D8C97F7" w:rsidR="008D0B0C" w:rsidRPr="005A3125" w:rsidRDefault="008D0B0C" w:rsidP="008D0B0C">
      <w:pPr>
        <w:spacing w:line="360" w:lineRule="auto"/>
        <w:jc w:val="both"/>
        <w:rPr>
          <w:rFonts w:asciiTheme="minorBidi" w:hAnsiTheme="minorBidi"/>
        </w:rPr>
      </w:pPr>
      <w:r w:rsidRPr="005A3125">
        <w:rPr>
          <w:rFonts w:asciiTheme="minorBidi" w:hAnsiTheme="minorBidi"/>
        </w:rPr>
        <w:t>The evidence suggests that educational exclusion contributes not only to academic disadvantage but also to long-term mental health risks. However, a key limitation is the lack of longitudinal studies examining how school-based discrimination translates into adult mental health outcomes.</w:t>
      </w:r>
    </w:p>
    <w:p w14:paraId="00BBE867" w14:textId="29981D1F" w:rsidR="002A6F75" w:rsidRPr="005A3125" w:rsidRDefault="0073683B" w:rsidP="00D5271A">
      <w:pPr>
        <w:pStyle w:val="Heading1"/>
        <w:spacing w:line="360" w:lineRule="auto"/>
        <w:ind w:left="0" w:right="3" w:firstLine="0"/>
        <w:jc w:val="left"/>
        <w:rPr>
          <w:rFonts w:asciiTheme="minorBidi" w:hAnsiTheme="minorBidi" w:cstheme="minorBidi"/>
          <w:b w:val="0"/>
          <w:sz w:val="22"/>
        </w:rPr>
      </w:pPr>
      <w:bookmarkStart w:id="34" w:name="_Toc232456069"/>
      <w:r w:rsidRPr="005A3125">
        <w:rPr>
          <w:rFonts w:asciiTheme="minorBidi" w:hAnsiTheme="minorBidi" w:cstheme="minorBidi"/>
          <w:sz w:val="22"/>
        </w:rPr>
        <w:lastRenderedPageBreak/>
        <w:t>4.6 Theme Four: Identity Conflict and Mixed African Youth Experiences</w:t>
      </w:r>
      <w:bookmarkEnd w:id="34"/>
    </w:p>
    <w:p w14:paraId="5D881746" w14:textId="77777777" w:rsidR="008D0B0C" w:rsidRPr="005A3125" w:rsidRDefault="008D0B0C" w:rsidP="008D0B0C">
      <w:pPr>
        <w:spacing w:line="360" w:lineRule="auto"/>
        <w:jc w:val="both"/>
        <w:rPr>
          <w:rFonts w:asciiTheme="minorBidi" w:hAnsiTheme="minorBidi"/>
        </w:rPr>
      </w:pPr>
      <w:r w:rsidRPr="005A3125">
        <w:rPr>
          <w:rFonts w:asciiTheme="minorBidi" w:hAnsiTheme="minorBidi"/>
        </w:rPr>
        <w:t xml:space="preserve">Identity conflict was identified across 3 of the 20 studies (15%), making it a distinct but under-researched theme. Mixed African youth frequently reported identity ambiguity, exclusion, and difficulty navigating multiple cultural identities. </w:t>
      </w:r>
    </w:p>
    <w:p w14:paraId="69F981EC" w14:textId="065C15A5" w:rsidR="008D0B0C" w:rsidRPr="005A3125" w:rsidRDefault="008D0B0C" w:rsidP="008D0B0C">
      <w:pPr>
        <w:spacing w:line="360" w:lineRule="auto"/>
        <w:jc w:val="both"/>
        <w:rPr>
          <w:rFonts w:asciiTheme="minorBidi" w:hAnsiTheme="minorBidi"/>
        </w:rPr>
      </w:pPr>
      <w:r w:rsidRPr="005A3125">
        <w:rPr>
          <w:rFonts w:asciiTheme="minorBidi" w:hAnsiTheme="minorBidi"/>
        </w:rPr>
        <w:t>Participants described experiences of being perceived as “not Black enough” or “not White enough,” contributing to emotional distress, low self-esteem, and anxiety. Song (2017) argues that mixed-race identity formation involves continuous negotiation of social categorisation, while Sims and Njaka (2020) highlight belonging uncertainty as a significant stressor. A key finding is the limited UK-specific research focusing exclusively on Mixed African youth. Most studies aggregate mixed-race populations, masking cultural and contextual differences.</w:t>
      </w:r>
    </w:p>
    <w:p w14:paraId="548BF8CD" w14:textId="23FA2E33" w:rsidR="008D0B0C" w:rsidRPr="005A3125" w:rsidRDefault="008D0B0C" w:rsidP="008D0B0C">
      <w:pPr>
        <w:spacing w:line="360" w:lineRule="auto"/>
        <w:jc w:val="both"/>
        <w:rPr>
          <w:rFonts w:asciiTheme="minorBidi" w:hAnsiTheme="minorBidi"/>
        </w:rPr>
      </w:pPr>
      <w:r w:rsidRPr="005A3125">
        <w:rPr>
          <w:rFonts w:asciiTheme="minorBidi" w:hAnsiTheme="minorBidi"/>
        </w:rPr>
        <w:t>This lack of specificity represents a significant evidence gap and limits the development of targeted mental health interventions.</w:t>
      </w:r>
    </w:p>
    <w:p w14:paraId="04B6B4C8" w14:textId="334ED6A6" w:rsidR="0073683B" w:rsidRPr="005A3125" w:rsidRDefault="0073683B" w:rsidP="0073683B">
      <w:pPr>
        <w:pStyle w:val="Heading1"/>
        <w:spacing w:line="360" w:lineRule="auto"/>
        <w:ind w:left="12" w:right="3"/>
        <w:jc w:val="left"/>
        <w:rPr>
          <w:rFonts w:asciiTheme="minorBidi" w:hAnsiTheme="minorBidi" w:cstheme="minorBidi"/>
          <w:b w:val="0"/>
          <w:sz w:val="22"/>
        </w:rPr>
      </w:pPr>
      <w:bookmarkStart w:id="35" w:name="_Toc232456070"/>
      <w:r w:rsidRPr="005A3125">
        <w:rPr>
          <w:rFonts w:asciiTheme="minorBidi" w:hAnsiTheme="minorBidi" w:cstheme="minorBidi"/>
          <w:sz w:val="22"/>
        </w:rPr>
        <w:t>4.7 Theme Five: Mental Health Stigma and Help-Seeking Barriers</w:t>
      </w:r>
      <w:bookmarkEnd w:id="35"/>
    </w:p>
    <w:p w14:paraId="1AC13E8F" w14:textId="0507EB71" w:rsidR="008A4F70" w:rsidRPr="005A3125" w:rsidRDefault="008A4F70" w:rsidP="008A4F70">
      <w:pPr>
        <w:spacing w:line="360" w:lineRule="auto"/>
        <w:jc w:val="both"/>
        <w:rPr>
          <w:rFonts w:asciiTheme="minorBidi" w:hAnsiTheme="minorBidi"/>
        </w:rPr>
      </w:pPr>
      <w:r w:rsidRPr="005A3125">
        <w:rPr>
          <w:rFonts w:asciiTheme="minorBidi" w:hAnsiTheme="minorBidi"/>
        </w:rPr>
        <w:t>Mental health stigma was identified in 4 of the 20 studies (20%). Across the literature, stigma was associated with shame, fear of judgement, spiritual interpretations of mental illness, and concerns about family reputation.</w:t>
      </w:r>
    </w:p>
    <w:p w14:paraId="792D4CA2" w14:textId="1ADA639B" w:rsidR="008A4F70" w:rsidRPr="005A3125" w:rsidRDefault="008A4F70" w:rsidP="008A4F70">
      <w:pPr>
        <w:spacing w:line="360" w:lineRule="auto"/>
        <w:jc w:val="both"/>
        <w:rPr>
          <w:rFonts w:asciiTheme="minorBidi" w:hAnsiTheme="minorBidi"/>
        </w:rPr>
      </w:pPr>
      <w:r w:rsidRPr="005A3125">
        <w:rPr>
          <w:rFonts w:asciiTheme="minorBidi" w:hAnsiTheme="minorBidi"/>
        </w:rPr>
        <w:t>Memon et al. (2016) identified stigma as a primary barrier to accessing mental healthcare among minority ethnic populations. Mantovani et al. (2017) further highlighted cultural misunderstandings and fear of social exclusion as key barriers.</w:t>
      </w:r>
    </w:p>
    <w:p w14:paraId="4840EAD0" w14:textId="13B03701" w:rsidR="008A4F70" w:rsidRPr="005A3125" w:rsidRDefault="008A4F70" w:rsidP="008A4F70">
      <w:pPr>
        <w:spacing w:line="360" w:lineRule="auto"/>
        <w:jc w:val="both"/>
        <w:rPr>
          <w:rFonts w:asciiTheme="minorBidi" w:hAnsiTheme="minorBidi"/>
        </w:rPr>
      </w:pPr>
      <w:r w:rsidRPr="005A3125">
        <w:rPr>
          <w:rFonts w:asciiTheme="minorBidi" w:hAnsiTheme="minorBidi"/>
        </w:rPr>
        <w:t>Commonly reported barriers included reluctance to disclose distress, mistrust of services, and concerns about confidentiality. However, protective factors such as spirituality, religion, family support, and community cohesion were also consistently identified.</w:t>
      </w:r>
    </w:p>
    <w:p w14:paraId="4620D0A7" w14:textId="7D7D023A" w:rsidR="008A4F70" w:rsidRPr="005A3125" w:rsidRDefault="008A4F70" w:rsidP="008A4F70">
      <w:pPr>
        <w:spacing w:line="360" w:lineRule="auto"/>
        <w:jc w:val="both"/>
        <w:rPr>
          <w:rFonts w:asciiTheme="minorBidi" w:hAnsiTheme="minorBidi"/>
        </w:rPr>
      </w:pPr>
      <w:r w:rsidRPr="005A3125">
        <w:rPr>
          <w:rFonts w:asciiTheme="minorBidi" w:hAnsiTheme="minorBidi"/>
        </w:rPr>
        <w:t>These findings suggest that cultural frameworks operate as both barriers and protective mechanisms depending on context.</w:t>
      </w:r>
    </w:p>
    <w:p w14:paraId="2B9B4C2C" w14:textId="5690C259" w:rsidR="002A6F75" w:rsidRPr="005A3125" w:rsidRDefault="002A6F75" w:rsidP="002A6F75">
      <w:pPr>
        <w:spacing w:line="360" w:lineRule="auto"/>
        <w:jc w:val="both"/>
        <w:rPr>
          <w:rFonts w:asciiTheme="minorBidi" w:hAnsiTheme="minorBidi"/>
          <w:b/>
        </w:rPr>
      </w:pPr>
      <w:r w:rsidRPr="005A3125">
        <w:rPr>
          <w:rFonts w:asciiTheme="minorBidi" w:hAnsiTheme="minorBidi"/>
          <w:b/>
        </w:rPr>
        <w:t>Table 4.3</w:t>
      </w:r>
      <w:r w:rsidR="00213DE7" w:rsidRPr="005A3125">
        <w:rPr>
          <w:rFonts w:asciiTheme="minorBidi" w:hAnsiTheme="minorBidi"/>
          <w:b/>
        </w:rPr>
        <w:t>:</w:t>
      </w:r>
      <w:r w:rsidRPr="005A3125">
        <w:rPr>
          <w:rFonts w:asciiTheme="minorBidi" w:hAnsiTheme="minorBidi"/>
          <w:b/>
        </w:rPr>
        <w:t xml:space="preserve"> Barriers Affecting Mental Healthcare Access</w:t>
      </w:r>
    </w:p>
    <w:tbl>
      <w:tblPr>
        <w:tblStyle w:val="TableGrid"/>
        <w:tblW w:w="9750" w:type="dxa"/>
        <w:tblLayout w:type="fixed"/>
        <w:tblLook w:val="04A0" w:firstRow="1" w:lastRow="0" w:firstColumn="1" w:lastColumn="0" w:noHBand="0" w:noVBand="1"/>
      </w:tblPr>
      <w:tblGrid>
        <w:gridCol w:w="4176"/>
        <w:gridCol w:w="2787"/>
        <w:gridCol w:w="2787"/>
      </w:tblGrid>
      <w:tr w:rsidR="00F13368" w:rsidRPr="005A3125" w14:paraId="595831BF" w14:textId="692FBBDA" w:rsidTr="00F13368">
        <w:trPr>
          <w:trHeight w:val="646"/>
        </w:trPr>
        <w:tc>
          <w:tcPr>
            <w:tcW w:w="4176" w:type="dxa"/>
            <w:hideMark/>
          </w:tcPr>
          <w:p w14:paraId="6B068B13" w14:textId="77777777" w:rsidR="00F13368" w:rsidRPr="005A3125" w:rsidRDefault="00F13368" w:rsidP="002A6F75">
            <w:pPr>
              <w:spacing w:line="360" w:lineRule="auto"/>
              <w:jc w:val="center"/>
              <w:rPr>
                <w:rFonts w:asciiTheme="minorBidi" w:hAnsiTheme="minorBidi"/>
                <w:b/>
                <w:bCs/>
              </w:rPr>
            </w:pPr>
            <w:r w:rsidRPr="005A3125">
              <w:rPr>
                <w:rFonts w:asciiTheme="minorBidi" w:hAnsiTheme="minorBidi"/>
                <w:b/>
                <w:bCs/>
              </w:rPr>
              <w:t>Barrier</w:t>
            </w:r>
          </w:p>
        </w:tc>
        <w:tc>
          <w:tcPr>
            <w:tcW w:w="2787" w:type="dxa"/>
            <w:hideMark/>
          </w:tcPr>
          <w:p w14:paraId="751247C4" w14:textId="77777777" w:rsidR="00F13368" w:rsidRPr="005A3125" w:rsidRDefault="00F13368" w:rsidP="002A6F75">
            <w:pPr>
              <w:spacing w:line="360" w:lineRule="auto"/>
              <w:jc w:val="center"/>
              <w:rPr>
                <w:rFonts w:asciiTheme="minorBidi" w:hAnsiTheme="minorBidi"/>
                <w:b/>
                <w:bCs/>
              </w:rPr>
            </w:pPr>
            <w:r w:rsidRPr="005A3125">
              <w:rPr>
                <w:rFonts w:asciiTheme="minorBidi" w:hAnsiTheme="minorBidi"/>
                <w:b/>
                <w:bCs/>
              </w:rPr>
              <w:t>Impact on Help-Seeking</w:t>
            </w:r>
          </w:p>
        </w:tc>
        <w:tc>
          <w:tcPr>
            <w:tcW w:w="2787" w:type="dxa"/>
          </w:tcPr>
          <w:p w14:paraId="67468783" w14:textId="123B3456" w:rsidR="00F13368" w:rsidRPr="005A3125" w:rsidRDefault="00F13368" w:rsidP="002A6F75">
            <w:pPr>
              <w:spacing w:line="360" w:lineRule="auto"/>
              <w:jc w:val="center"/>
              <w:rPr>
                <w:rFonts w:asciiTheme="minorBidi" w:hAnsiTheme="minorBidi"/>
                <w:b/>
                <w:bCs/>
              </w:rPr>
            </w:pPr>
            <w:r w:rsidRPr="005A3125">
              <w:rPr>
                <w:rFonts w:asciiTheme="minorBidi" w:hAnsiTheme="minorBidi"/>
                <w:b/>
                <w:bCs/>
              </w:rPr>
              <w:t xml:space="preserve">References </w:t>
            </w:r>
          </w:p>
        </w:tc>
      </w:tr>
      <w:tr w:rsidR="00F13368" w:rsidRPr="005A3125" w14:paraId="7B3C6D64" w14:textId="17C9AD52" w:rsidTr="00F13368">
        <w:trPr>
          <w:trHeight w:val="610"/>
        </w:trPr>
        <w:tc>
          <w:tcPr>
            <w:tcW w:w="4176" w:type="dxa"/>
            <w:hideMark/>
          </w:tcPr>
          <w:p w14:paraId="27795CDB" w14:textId="77777777" w:rsidR="00F13368" w:rsidRPr="005A3125" w:rsidRDefault="00F13368" w:rsidP="002A6F75">
            <w:pPr>
              <w:spacing w:line="360" w:lineRule="auto"/>
              <w:rPr>
                <w:rFonts w:asciiTheme="minorBidi" w:hAnsiTheme="minorBidi"/>
              </w:rPr>
            </w:pPr>
            <w:r w:rsidRPr="005A3125">
              <w:rPr>
                <w:rFonts w:asciiTheme="minorBidi" w:hAnsiTheme="minorBidi"/>
              </w:rPr>
              <w:t>Mental health stigma</w:t>
            </w:r>
          </w:p>
        </w:tc>
        <w:tc>
          <w:tcPr>
            <w:tcW w:w="2787" w:type="dxa"/>
            <w:hideMark/>
          </w:tcPr>
          <w:p w14:paraId="75EC09AF" w14:textId="77777777" w:rsidR="00F13368" w:rsidRPr="005A3125" w:rsidRDefault="00F13368" w:rsidP="002A6F75">
            <w:pPr>
              <w:spacing w:line="360" w:lineRule="auto"/>
              <w:rPr>
                <w:rFonts w:asciiTheme="minorBidi" w:hAnsiTheme="minorBidi"/>
              </w:rPr>
            </w:pPr>
            <w:r w:rsidRPr="005A3125">
              <w:rPr>
                <w:rFonts w:asciiTheme="minorBidi" w:hAnsiTheme="minorBidi"/>
              </w:rPr>
              <w:t>Reduced emotional disclosure</w:t>
            </w:r>
          </w:p>
        </w:tc>
        <w:tc>
          <w:tcPr>
            <w:tcW w:w="2787" w:type="dxa"/>
          </w:tcPr>
          <w:p w14:paraId="2F0AD884" w14:textId="260BA0D1" w:rsidR="00F13368" w:rsidRPr="005A3125" w:rsidRDefault="00F13368" w:rsidP="002A6F75">
            <w:pPr>
              <w:spacing w:line="360" w:lineRule="auto"/>
              <w:rPr>
                <w:rFonts w:asciiTheme="minorBidi" w:hAnsiTheme="minorBidi"/>
              </w:rPr>
            </w:pPr>
            <w:r w:rsidRPr="005A3125">
              <w:rPr>
                <w:rFonts w:asciiTheme="minorBidi" w:hAnsiTheme="minorBidi"/>
              </w:rPr>
              <w:t>Memon et al. (2016); Mantovani et al. (2017)</w:t>
            </w:r>
          </w:p>
        </w:tc>
      </w:tr>
      <w:tr w:rsidR="00F13368" w:rsidRPr="005A3125" w14:paraId="448CC835" w14:textId="4E20FC7F" w:rsidTr="00F13368">
        <w:trPr>
          <w:trHeight w:val="646"/>
        </w:trPr>
        <w:tc>
          <w:tcPr>
            <w:tcW w:w="4176" w:type="dxa"/>
            <w:hideMark/>
          </w:tcPr>
          <w:p w14:paraId="583D880B" w14:textId="77777777" w:rsidR="00F13368" w:rsidRPr="005A3125" w:rsidRDefault="00F13368" w:rsidP="002A6F75">
            <w:pPr>
              <w:spacing w:line="360" w:lineRule="auto"/>
              <w:rPr>
                <w:rFonts w:asciiTheme="minorBidi" w:hAnsiTheme="minorBidi"/>
              </w:rPr>
            </w:pPr>
            <w:r w:rsidRPr="005A3125">
              <w:rPr>
                <w:rFonts w:asciiTheme="minorBidi" w:hAnsiTheme="minorBidi"/>
              </w:rPr>
              <w:t>Fear of discrimination</w:t>
            </w:r>
          </w:p>
        </w:tc>
        <w:tc>
          <w:tcPr>
            <w:tcW w:w="2787" w:type="dxa"/>
            <w:hideMark/>
          </w:tcPr>
          <w:p w14:paraId="4B98EB6E" w14:textId="77777777" w:rsidR="00F13368" w:rsidRPr="005A3125" w:rsidRDefault="00F13368" w:rsidP="002A6F75">
            <w:pPr>
              <w:spacing w:line="360" w:lineRule="auto"/>
              <w:rPr>
                <w:rFonts w:asciiTheme="minorBidi" w:hAnsiTheme="minorBidi"/>
              </w:rPr>
            </w:pPr>
            <w:r w:rsidRPr="005A3125">
              <w:rPr>
                <w:rFonts w:asciiTheme="minorBidi" w:hAnsiTheme="minorBidi"/>
              </w:rPr>
              <w:t>Avoidance of services</w:t>
            </w:r>
          </w:p>
        </w:tc>
        <w:tc>
          <w:tcPr>
            <w:tcW w:w="2787" w:type="dxa"/>
          </w:tcPr>
          <w:p w14:paraId="628364FC" w14:textId="31DE10CB" w:rsidR="00F13368" w:rsidRPr="005A3125" w:rsidRDefault="00F13368" w:rsidP="002A6F75">
            <w:pPr>
              <w:spacing w:line="360" w:lineRule="auto"/>
              <w:rPr>
                <w:rFonts w:asciiTheme="minorBidi" w:hAnsiTheme="minorBidi"/>
              </w:rPr>
            </w:pPr>
            <w:proofErr w:type="spellStart"/>
            <w:r w:rsidRPr="005A3125">
              <w:rPr>
                <w:rFonts w:asciiTheme="minorBidi" w:hAnsiTheme="minorBidi"/>
              </w:rPr>
              <w:t>Bhui</w:t>
            </w:r>
            <w:proofErr w:type="spellEnd"/>
            <w:r w:rsidRPr="005A3125">
              <w:rPr>
                <w:rFonts w:asciiTheme="minorBidi" w:hAnsiTheme="minorBidi"/>
              </w:rPr>
              <w:t xml:space="preserve"> et al. (2018); </w:t>
            </w:r>
            <w:proofErr w:type="spellStart"/>
            <w:r w:rsidRPr="005A3125">
              <w:rPr>
                <w:rFonts w:asciiTheme="minorBidi" w:hAnsiTheme="minorBidi"/>
              </w:rPr>
              <w:t>Nazroo</w:t>
            </w:r>
            <w:proofErr w:type="spellEnd"/>
            <w:r w:rsidRPr="005A3125">
              <w:rPr>
                <w:rFonts w:asciiTheme="minorBidi" w:hAnsiTheme="minorBidi"/>
              </w:rPr>
              <w:t xml:space="preserve"> (2021)</w:t>
            </w:r>
          </w:p>
        </w:tc>
      </w:tr>
      <w:tr w:rsidR="00F13368" w:rsidRPr="005A3125" w14:paraId="11591020" w14:textId="65C5F102" w:rsidTr="00F13368">
        <w:trPr>
          <w:trHeight w:val="610"/>
        </w:trPr>
        <w:tc>
          <w:tcPr>
            <w:tcW w:w="4176" w:type="dxa"/>
            <w:hideMark/>
          </w:tcPr>
          <w:p w14:paraId="67E96CA6" w14:textId="77777777" w:rsidR="00F13368" w:rsidRPr="005A3125" w:rsidRDefault="00F13368" w:rsidP="002A6F75">
            <w:pPr>
              <w:spacing w:line="360" w:lineRule="auto"/>
              <w:rPr>
                <w:rFonts w:asciiTheme="minorBidi" w:hAnsiTheme="minorBidi"/>
              </w:rPr>
            </w:pPr>
            <w:r w:rsidRPr="005A3125">
              <w:rPr>
                <w:rFonts w:asciiTheme="minorBidi" w:hAnsiTheme="minorBidi"/>
              </w:rPr>
              <w:t>Lack of cultural understanding</w:t>
            </w:r>
          </w:p>
        </w:tc>
        <w:tc>
          <w:tcPr>
            <w:tcW w:w="2787" w:type="dxa"/>
            <w:hideMark/>
          </w:tcPr>
          <w:p w14:paraId="00F9FC84" w14:textId="77777777" w:rsidR="00F13368" w:rsidRPr="005A3125" w:rsidRDefault="00F13368" w:rsidP="002A6F75">
            <w:pPr>
              <w:spacing w:line="360" w:lineRule="auto"/>
              <w:rPr>
                <w:rFonts w:asciiTheme="minorBidi" w:hAnsiTheme="minorBidi"/>
              </w:rPr>
            </w:pPr>
            <w:r w:rsidRPr="005A3125">
              <w:rPr>
                <w:rFonts w:asciiTheme="minorBidi" w:hAnsiTheme="minorBidi"/>
              </w:rPr>
              <w:t>Reduced trust toward practitioners</w:t>
            </w:r>
          </w:p>
        </w:tc>
        <w:tc>
          <w:tcPr>
            <w:tcW w:w="2787" w:type="dxa"/>
          </w:tcPr>
          <w:p w14:paraId="75BBD548" w14:textId="56BC0E80" w:rsidR="00F13368" w:rsidRPr="005A3125" w:rsidRDefault="00F13368" w:rsidP="002A6F75">
            <w:pPr>
              <w:spacing w:line="360" w:lineRule="auto"/>
              <w:rPr>
                <w:rFonts w:asciiTheme="minorBidi" w:hAnsiTheme="minorBidi"/>
              </w:rPr>
            </w:pPr>
            <w:proofErr w:type="spellStart"/>
            <w:r w:rsidRPr="005A3125">
              <w:rPr>
                <w:rFonts w:asciiTheme="minorBidi" w:hAnsiTheme="minorBidi"/>
              </w:rPr>
              <w:t>Bhui</w:t>
            </w:r>
            <w:proofErr w:type="spellEnd"/>
            <w:r w:rsidRPr="005A3125">
              <w:rPr>
                <w:rFonts w:asciiTheme="minorBidi" w:hAnsiTheme="minorBidi"/>
              </w:rPr>
              <w:t xml:space="preserve"> et al. (2018); Memon et al. (2016)</w:t>
            </w:r>
          </w:p>
        </w:tc>
      </w:tr>
      <w:tr w:rsidR="00F13368" w:rsidRPr="005A3125" w14:paraId="02AFE46C" w14:textId="41F21927" w:rsidTr="00F13368">
        <w:trPr>
          <w:trHeight w:val="646"/>
        </w:trPr>
        <w:tc>
          <w:tcPr>
            <w:tcW w:w="4176" w:type="dxa"/>
            <w:hideMark/>
          </w:tcPr>
          <w:p w14:paraId="20CC49A2" w14:textId="77777777" w:rsidR="00F13368" w:rsidRPr="005A3125" w:rsidRDefault="00F13368" w:rsidP="002A6F75">
            <w:pPr>
              <w:spacing w:line="360" w:lineRule="auto"/>
              <w:rPr>
                <w:rFonts w:asciiTheme="minorBidi" w:hAnsiTheme="minorBidi"/>
              </w:rPr>
            </w:pPr>
            <w:r w:rsidRPr="005A3125">
              <w:rPr>
                <w:rFonts w:asciiTheme="minorBidi" w:hAnsiTheme="minorBidi"/>
              </w:rPr>
              <w:lastRenderedPageBreak/>
              <w:t>Long NHS waiting times</w:t>
            </w:r>
          </w:p>
        </w:tc>
        <w:tc>
          <w:tcPr>
            <w:tcW w:w="2787" w:type="dxa"/>
            <w:hideMark/>
          </w:tcPr>
          <w:p w14:paraId="58319F0F" w14:textId="77777777" w:rsidR="00F13368" w:rsidRPr="005A3125" w:rsidRDefault="00F13368" w:rsidP="002A6F75">
            <w:pPr>
              <w:spacing w:line="360" w:lineRule="auto"/>
              <w:rPr>
                <w:rFonts w:asciiTheme="minorBidi" w:hAnsiTheme="minorBidi"/>
              </w:rPr>
            </w:pPr>
            <w:r w:rsidRPr="005A3125">
              <w:rPr>
                <w:rFonts w:asciiTheme="minorBidi" w:hAnsiTheme="minorBidi"/>
              </w:rPr>
              <w:t>Delayed intervention</w:t>
            </w:r>
          </w:p>
        </w:tc>
        <w:tc>
          <w:tcPr>
            <w:tcW w:w="2787" w:type="dxa"/>
          </w:tcPr>
          <w:p w14:paraId="7FBBB984" w14:textId="05B2831B" w:rsidR="00F13368" w:rsidRPr="005A3125" w:rsidRDefault="00F13368" w:rsidP="002A6F75">
            <w:pPr>
              <w:spacing w:line="360" w:lineRule="auto"/>
              <w:rPr>
                <w:rFonts w:asciiTheme="minorBidi" w:hAnsiTheme="minorBidi"/>
              </w:rPr>
            </w:pPr>
            <w:proofErr w:type="spellStart"/>
            <w:r w:rsidRPr="005A3125">
              <w:rPr>
                <w:rFonts w:asciiTheme="minorBidi" w:hAnsiTheme="minorBidi"/>
              </w:rPr>
              <w:t>Bhui</w:t>
            </w:r>
            <w:proofErr w:type="spellEnd"/>
            <w:r w:rsidRPr="005A3125">
              <w:rPr>
                <w:rFonts w:asciiTheme="minorBidi" w:hAnsiTheme="minorBidi"/>
              </w:rPr>
              <w:t xml:space="preserve"> et al. (2018); Morgan et al. (2020)</w:t>
            </w:r>
          </w:p>
        </w:tc>
      </w:tr>
      <w:tr w:rsidR="00F13368" w:rsidRPr="005A3125" w14:paraId="3F69391B" w14:textId="5FC900AD" w:rsidTr="00F13368">
        <w:trPr>
          <w:trHeight w:val="610"/>
        </w:trPr>
        <w:tc>
          <w:tcPr>
            <w:tcW w:w="4176" w:type="dxa"/>
            <w:hideMark/>
          </w:tcPr>
          <w:p w14:paraId="30DAB67D" w14:textId="77777777" w:rsidR="00F13368" w:rsidRPr="005A3125" w:rsidRDefault="00F13368" w:rsidP="002A6F75">
            <w:pPr>
              <w:spacing w:line="360" w:lineRule="auto"/>
              <w:rPr>
                <w:rFonts w:asciiTheme="minorBidi" w:hAnsiTheme="minorBidi"/>
              </w:rPr>
            </w:pPr>
            <w:r w:rsidRPr="005A3125">
              <w:rPr>
                <w:rFonts w:asciiTheme="minorBidi" w:hAnsiTheme="minorBidi"/>
              </w:rPr>
              <w:t>Limited representation</w:t>
            </w:r>
          </w:p>
        </w:tc>
        <w:tc>
          <w:tcPr>
            <w:tcW w:w="2787" w:type="dxa"/>
            <w:hideMark/>
          </w:tcPr>
          <w:p w14:paraId="5197962E" w14:textId="77777777" w:rsidR="00F13368" w:rsidRPr="005A3125" w:rsidRDefault="00F13368" w:rsidP="002A6F75">
            <w:pPr>
              <w:spacing w:line="360" w:lineRule="auto"/>
              <w:rPr>
                <w:rFonts w:asciiTheme="minorBidi" w:hAnsiTheme="minorBidi"/>
              </w:rPr>
            </w:pPr>
            <w:r w:rsidRPr="005A3125">
              <w:rPr>
                <w:rFonts w:asciiTheme="minorBidi" w:hAnsiTheme="minorBidi"/>
              </w:rPr>
              <w:t>Feelings of exclusion</w:t>
            </w:r>
          </w:p>
        </w:tc>
        <w:tc>
          <w:tcPr>
            <w:tcW w:w="2787" w:type="dxa"/>
          </w:tcPr>
          <w:p w14:paraId="3D2BD346" w14:textId="1FD8101F" w:rsidR="00F13368" w:rsidRPr="005A3125" w:rsidRDefault="00F13368" w:rsidP="002A6F75">
            <w:pPr>
              <w:spacing w:line="360" w:lineRule="auto"/>
              <w:rPr>
                <w:rFonts w:asciiTheme="minorBidi" w:hAnsiTheme="minorBidi"/>
              </w:rPr>
            </w:pPr>
            <w:proofErr w:type="spellStart"/>
            <w:r w:rsidRPr="005A3125">
              <w:rPr>
                <w:rFonts w:asciiTheme="minorBidi" w:hAnsiTheme="minorBidi"/>
              </w:rPr>
              <w:t>Bhui</w:t>
            </w:r>
            <w:proofErr w:type="spellEnd"/>
            <w:r w:rsidRPr="005A3125">
              <w:rPr>
                <w:rFonts w:asciiTheme="minorBidi" w:hAnsiTheme="minorBidi"/>
              </w:rPr>
              <w:t xml:space="preserve"> et al. (2018); </w:t>
            </w:r>
            <w:proofErr w:type="spellStart"/>
            <w:r w:rsidRPr="005A3125">
              <w:rPr>
                <w:rFonts w:asciiTheme="minorBidi" w:hAnsiTheme="minorBidi"/>
              </w:rPr>
              <w:t>Nazroo</w:t>
            </w:r>
            <w:proofErr w:type="spellEnd"/>
            <w:r w:rsidRPr="005A3125">
              <w:rPr>
                <w:rFonts w:asciiTheme="minorBidi" w:hAnsiTheme="minorBidi"/>
              </w:rPr>
              <w:t xml:space="preserve"> (2021)</w:t>
            </w:r>
          </w:p>
        </w:tc>
      </w:tr>
    </w:tbl>
    <w:p w14:paraId="1E3EF697" w14:textId="77777777" w:rsidR="0073683B" w:rsidRPr="005A3125" w:rsidRDefault="0073683B" w:rsidP="002A6F75">
      <w:pPr>
        <w:spacing w:line="360" w:lineRule="auto"/>
        <w:jc w:val="both"/>
        <w:rPr>
          <w:rFonts w:asciiTheme="minorBidi" w:hAnsiTheme="minorBidi"/>
        </w:rPr>
      </w:pPr>
    </w:p>
    <w:p w14:paraId="6896C2C2" w14:textId="6C631DEB" w:rsidR="00F13368" w:rsidRPr="005A3125" w:rsidRDefault="00F13368" w:rsidP="002A6F75">
      <w:pPr>
        <w:spacing w:line="360" w:lineRule="auto"/>
        <w:jc w:val="both"/>
        <w:rPr>
          <w:rFonts w:asciiTheme="minorBidi" w:hAnsiTheme="minorBidi"/>
        </w:rPr>
      </w:pPr>
      <w:r w:rsidRPr="005A3125">
        <w:rPr>
          <w:rFonts w:asciiTheme="minorBidi" w:hAnsiTheme="minorBidi"/>
        </w:rPr>
        <w:t xml:space="preserve">Table 4.3 summarises the principal barriers affecting access to mental healthcare services identified across the reviewed literature. Mental health stigma, fear of discrimination, lack of culturally responsive care, prolonged NHS waiting times, and limited representation within mental health services were consistently reported as factors reducing engagement with formal support services (Memon et al., 2016; Mantovani et al., 2017; </w:t>
      </w:r>
      <w:proofErr w:type="spellStart"/>
      <w:r w:rsidRPr="005A3125">
        <w:rPr>
          <w:rFonts w:asciiTheme="minorBidi" w:hAnsiTheme="minorBidi"/>
        </w:rPr>
        <w:t>Bhui</w:t>
      </w:r>
      <w:proofErr w:type="spellEnd"/>
      <w:r w:rsidRPr="005A3125">
        <w:rPr>
          <w:rFonts w:asciiTheme="minorBidi" w:hAnsiTheme="minorBidi"/>
        </w:rPr>
        <w:t xml:space="preserve"> et al., 2018; Morgan et al., 2020; </w:t>
      </w:r>
      <w:proofErr w:type="spellStart"/>
      <w:r w:rsidRPr="005A3125">
        <w:rPr>
          <w:rFonts w:asciiTheme="minorBidi" w:hAnsiTheme="minorBidi"/>
        </w:rPr>
        <w:t>Nazroo</w:t>
      </w:r>
      <w:proofErr w:type="spellEnd"/>
      <w:r w:rsidRPr="005A3125">
        <w:rPr>
          <w:rFonts w:asciiTheme="minorBidi" w:hAnsiTheme="minorBidi"/>
        </w:rPr>
        <w:t>, 2021).</w:t>
      </w:r>
    </w:p>
    <w:p w14:paraId="4374367C" w14:textId="5F32A230" w:rsidR="002A6F75" w:rsidRPr="005A3125" w:rsidRDefault="0073683B" w:rsidP="0073683B">
      <w:pPr>
        <w:pStyle w:val="Heading1"/>
        <w:spacing w:line="360" w:lineRule="auto"/>
        <w:ind w:left="12" w:right="3"/>
        <w:jc w:val="left"/>
        <w:rPr>
          <w:rFonts w:asciiTheme="minorBidi" w:hAnsiTheme="minorBidi" w:cstheme="minorBidi"/>
          <w:b w:val="0"/>
          <w:sz w:val="22"/>
        </w:rPr>
      </w:pPr>
      <w:bookmarkStart w:id="36" w:name="_Toc232456071"/>
      <w:r w:rsidRPr="005A3125">
        <w:rPr>
          <w:rFonts w:asciiTheme="minorBidi" w:hAnsiTheme="minorBidi" w:cstheme="minorBidi"/>
          <w:sz w:val="22"/>
        </w:rPr>
        <w:t>4.8 Theme Six: Inequalities Within NHS Mental Healthcare Systems</w:t>
      </w:r>
      <w:bookmarkEnd w:id="36"/>
    </w:p>
    <w:p w14:paraId="738D4CEF" w14:textId="46259386" w:rsidR="008A4F70" w:rsidRPr="005A3125" w:rsidRDefault="008A4F70" w:rsidP="008A4F70">
      <w:pPr>
        <w:spacing w:line="360" w:lineRule="auto"/>
        <w:jc w:val="both"/>
        <w:rPr>
          <w:rFonts w:asciiTheme="minorBidi" w:hAnsiTheme="minorBidi"/>
        </w:rPr>
      </w:pPr>
      <w:r w:rsidRPr="005A3125">
        <w:rPr>
          <w:rFonts w:asciiTheme="minorBidi" w:hAnsiTheme="minorBidi"/>
        </w:rPr>
        <w:t>Five of the 20 studies (25%) identified inequalities within NHS mental healthcare pathways. Black African and Mixed African youth were more likely to experience crisis-driven care pathways, compulsory detention, and police involvement during mental health emergencies.</w:t>
      </w:r>
    </w:p>
    <w:p w14:paraId="7A15F4B3" w14:textId="617C951D" w:rsidR="008A4F70" w:rsidRPr="005A3125" w:rsidRDefault="008A4F70" w:rsidP="008A4F70">
      <w:pPr>
        <w:spacing w:line="360" w:lineRule="auto"/>
        <w:jc w:val="both"/>
        <w:rPr>
          <w:rFonts w:asciiTheme="minorBidi" w:hAnsiTheme="minorBidi"/>
        </w:rPr>
      </w:pPr>
      <w:r w:rsidRPr="005A3125">
        <w:rPr>
          <w:rFonts w:asciiTheme="minorBidi" w:hAnsiTheme="minorBidi"/>
        </w:rPr>
        <w:t>Barnett et al. (2019) reported significant disparities in detention rates under the Mental Health Act. Morgan et al. (2020) similarly found that Black populations were more likely to enter care through crisis routes rather than preventative services.</w:t>
      </w:r>
    </w:p>
    <w:p w14:paraId="3517F1B2" w14:textId="1BB81FFB" w:rsidR="008A4F70" w:rsidRPr="005A3125" w:rsidRDefault="008A4F70" w:rsidP="002A6F75">
      <w:pPr>
        <w:spacing w:line="360" w:lineRule="auto"/>
        <w:jc w:val="both"/>
        <w:rPr>
          <w:rFonts w:asciiTheme="minorBidi" w:hAnsiTheme="minorBidi"/>
        </w:rPr>
      </w:pPr>
      <w:proofErr w:type="spellStart"/>
      <w:r w:rsidRPr="005A3125">
        <w:rPr>
          <w:rFonts w:asciiTheme="minorBidi" w:hAnsiTheme="minorBidi"/>
        </w:rPr>
        <w:t>Nazroo</w:t>
      </w:r>
      <w:proofErr w:type="spellEnd"/>
      <w:r w:rsidRPr="005A3125">
        <w:rPr>
          <w:rFonts w:asciiTheme="minorBidi" w:hAnsiTheme="minorBidi"/>
        </w:rPr>
        <w:t xml:space="preserve"> (2021) and </w:t>
      </w:r>
      <w:proofErr w:type="spellStart"/>
      <w:r w:rsidRPr="005A3125">
        <w:rPr>
          <w:rFonts w:asciiTheme="minorBidi" w:hAnsiTheme="minorBidi"/>
        </w:rPr>
        <w:t>Bhui</w:t>
      </w:r>
      <w:proofErr w:type="spellEnd"/>
      <w:r w:rsidRPr="005A3125">
        <w:rPr>
          <w:rFonts w:asciiTheme="minorBidi" w:hAnsiTheme="minorBidi"/>
        </w:rPr>
        <w:t xml:space="preserve"> et al. (2018) highlight structural racism and cultural insensitivity as key contributors to mistrust and reduced engagement with services.</w:t>
      </w:r>
    </w:p>
    <w:p w14:paraId="5918C640" w14:textId="667B7BC0" w:rsidR="0095073F" w:rsidRPr="005A3125" w:rsidRDefault="009E75F1" w:rsidP="00896E88">
      <w:pPr>
        <w:spacing w:line="360" w:lineRule="auto"/>
        <w:jc w:val="both"/>
        <w:rPr>
          <w:rFonts w:asciiTheme="minorBidi" w:hAnsiTheme="minorBidi"/>
          <w:b/>
        </w:rPr>
      </w:pPr>
      <w:r w:rsidRPr="005A3125">
        <w:rPr>
          <w:rFonts w:asciiTheme="minorBidi" w:hAnsiTheme="minorBidi"/>
          <w:b/>
          <w:noProof/>
          <w:lang w:val="en-IN" w:eastAsia="en-IN"/>
        </w:rPr>
        <w:drawing>
          <wp:anchor distT="0" distB="0" distL="114300" distR="114300" simplePos="0" relativeHeight="251658249" behindDoc="1" locked="0" layoutInCell="1" allowOverlap="1" wp14:anchorId="365C81B2" wp14:editId="3FEEF6FD">
            <wp:simplePos x="0" y="0"/>
            <wp:positionH relativeFrom="column">
              <wp:posOffset>541020</wp:posOffset>
            </wp:positionH>
            <wp:positionV relativeFrom="paragraph">
              <wp:posOffset>322809</wp:posOffset>
            </wp:positionV>
            <wp:extent cx="4784090" cy="2877185"/>
            <wp:effectExtent l="0" t="0" r="0" b="0"/>
            <wp:wrapTight wrapText="bothSides">
              <wp:wrapPolygon edited="0">
                <wp:start x="0" y="0"/>
                <wp:lineTo x="0" y="21452"/>
                <wp:lineTo x="21503" y="21452"/>
                <wp:lineTo x="21503" y="0"/>
                <wp:lineTo x="0" y="0"/>
              </wp:wrapPolygon>
            </wp:wrapTight>
            <wp:docPr id="12" name="Picture 12" descr="Challenges for today’s Mental Health Services - C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hallenges for today’s Mental Health Services - CF"/>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784090" cy="28771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A6F75" w:rsidRPr="005A3125">
        <w:rPr>
          <w:rFonts w:asciiTheme="minorBidi" w:hAnsiTheme="minorBidi"/>
          <w:b/>
        </w:rPr>
        <w:t>Figure 4.3</w:t>
      </w:r>
      <w:r w:rsidR="00213DE7" w:rsidRPr="005A3125">
        <w:rPr>
          <w:rFonts w:asciiTheme="minorBidi" w:hAnsiTheme="minorBidi"/>
          <w:b/>
        </w:rPr>
        <w:t>:</w:t>
      </w:r>
      <w:r w:rsidR="002A6F75" w:rsidRPr="005A3125">
        <w:rPr>
          <w:rFonts w:asciiTheme="minorBidi" w:hAnsiTheme="minorBidi"/>
          <w:b/>
        </w:rPr>
        <w:t xml:space="preserve"> Detentions Under the Mental Health Act by Ethnicity</w:t>
      </w:r>
      <w:r w:rsidR="00634650" w:rsidRPr="005A3125">
        <w:rPr>
          <w:rFonts w:asciiTheme="minorBidi" w:hAnsiTheme="minorBidi"/>
          <w:b/>
        </w:rPr>
        <w:t>(</w:t>
      </w:r>
      <w:r w:rsidR="00634650" w:rsidRPr="005A3125">
        <w:rPr>
          <w:rFonts w:asciiTheme="minorBidi" w:hAnsiTheme="minorBidi"/>
          <w:b/>
          <w:i/>
        </w:rPr>
        <w:t xml:space="preserve">GOV.UK Ethnicity Facts  </w:t>
      </w:r>
      <w:r w:rsidR="00614B81" w:rsidRPr="005A3125">
        <w:rPr>
          <w:rFonts w:asciiTheme="minorBidi" w:hAnsiTheme="minorBidi"/>
          <w:b/>
          <w:i/>
        </w:rPr>
        <w:t>,</w:t>
      </w:r>
      <w:r w:rsidR="00634650" w:rsidRPr="005A3125">
        <w:rPr>
          <w:rFonts w:asciiTheme="minorBidi" w:hAnsiTheme="minorBidi"/>
          <w:b/>
          <w:i/>
        </w:rPr>
        <w:t>2023/2024)</w:t>
      </w:r>
    </w:p>
    <w:p w14:paraId="4171552B" w14:textId="00417854" w:rsidR="009E75F1" w:rsidRPr="005A3125" w:rsidRDefault="002A6F75" w:rsidP="00573DB6">
      <w:pPr>
        <w:spacing w:line="360" w:lineRule="auto"/>
        <w:rPr>
          <w:rFonts w:asciiTheme="minorBidi" w:hAnsiTheme="minorBidi"/>
          <w:b/>
          <w:i/>
        </w:rPr>
      </w:pPr>
      <w:r w:rsidRPr="005A3125">
        <w:rPr>
          <w:rFonts w:asciiTheme="minorBidi" w:hAnsiTheme="minorBidi"/>
          <w:b/>
          <w:i/>
        </w:rPr>
        <w:lastRenderedPageBreak/>
        <w:t>Source: GOV.UK Ethnicity Facts and Figures</w:t>
      </w:r>
      <w:r w:rsidR="00F44DB0" w:rsidRPr="005A3125">
        <w:rPr>
          <w:rFonts w:asciiTheme="minorBidi" w:hAnsiTheme="minorBidi"/>
          <w:b/>
          <w:i/>
        </w:rPr>
        <w:t>(2023/2024)</w:t>
      </w:r>
    </w:p>
    <w:p w14:paraId="34C4CE9B" w14:textId="5F9E2E2C" w:rsidR="008A4F70" w:rsidRPr="005A3125" w:rsidRDefault="008A4F70" w:rsidP="002A6F75">
      <w:pPr>
        <w:spacing w:line="360" w:lineRule="auto"/>
        <w:jc w:val="both"/>
        <w:rPr>
          <w:rFonts w:asciiTheme="minorBidi" w:hAnsiTheme="minorBidi"/>
        </w:rPr>
      </w:pPr>
      <w:r w:rsidRPr="005A3125">
        <w:rPr>
          <w:rFonts w:asciiTheme="minorBidi" w:hAnsiTheme="minorBidi"/>
        </w:rPr>
        <w:t>Figure 4.3 demonstrates significant racial inequalities in Mental Health Act detentions within England, with Black individuals substantially more likely to experience compulsory detention compared with White British populations. These disparities raise important concerns regarding institutional racism, unequal access to preventative mental healthcare, delayed intervention, and reduced trust in NHS mental health services. In addition, several studies identified a lack of workforce diversity and culturally insensitive care as key barriers that further limit engagement with mental health services among Black African and Mixed African youth populations.</w:t>
      </w:r>
    </w:p>
    <w:p w14:paraId="0A16CAB5" w14:textId="282FC10A" w:rsidR="002A6F75" w:rsidRPr="005A3125" w:rsidRDefault="0073683B" w:rsidP="0073683B">
      <w:pPr>
        <w:pStyle w:val="Heading1"/>
        <w:spacing w:line="360" w:lineRule="auto"/>
        <w:ind w:left="12" w:right="3"/>
        <w:jc w:val="left"/>
        <w:rPr>
          <w:rFonts w:asciiTheme="minorBidi" w:hAnsiTheme="minorBidi" w:cstheme="minorBidi"/>
          <w:b w:val="0"/>
          <w:sz w:val="22"/>
        </w:rPr>
      </w:pPr>
      <w:bookmarkStart w:id="37" w:name="_Toc232456072"/>
      <w:r w:rsidRPr="005A3125">
        <w:rPr>
          <w:rFonts w:asciiTheme="minorBidi" w:hAnsiTheme="minorBidi" w:cstheme="minorBidi"/>
          <w:sz w:val="22"/>
        </w:rPr>
        <w:t>4.9 Emerging Protective Factors</w:t>
      </w:r>
      <w:bookmarkEnd w:id="37"/>
    </w:p>
    <w:p w14:paraId="1D995F22" w14:textId="3B27163C" w:rsidR="00EA26B7" w:rsidRPr="005A3125" w:rsidRDefault="00EA26B7" w:rsidP="00EA26B7">
      <w:pPr>
        <w:spacing w:line="360" w:lineRule="auto"/>
        <w:jc w:val="both"/>
        <w:rPr>
          <w:rFonts w:asciiTheme="minorBidi" w:hAnsiTheme="minorBidi"/>
        </w:rPr>
      </w:pPr>
      <w:r w:rsidRPr="005A3125">
        <w:rPr>
          <w:rFonts w:asciiTheme="minorBidi" w:hAnsiTheme="minorBidi"/>
        </w:rPr>
        <w:t xml:space="preserve">Despite widespread discussion of inequalities and psychological distress, several studies identified protective factors that support resilience among </w:t>
      </w:r>
      <w:r w:rsidR="00CB3DB0" w:rsidRPr="005A3125">
        <w:rPr>
          <w:rFonts w:asciiTheme="minorBidi" w:hAnsiTheme="minorBidi"/>
        </w:rPr>
        <w:t>Black African and Mixed African youth</w:t>
      </w:r>
      <w:r w:rsidRPr="005A3125">
        <w:rPr>
          <w:rFonts w:asciiTheme="minorBidi" w:hAnsiTheme="minorBidi"/>
        </w:rPr>
        <w:t>. Protective factors included supportive family relationships, strong cultural identity, spirituality and religious involvement, peer support, mentorship, and a sense of community belonging (Ungar, 2015; Masten, 2014; Mantovani et al., 2017). Research suggests that these factors can buffer the negative psychological effects of discrimination, socioeconomic disadvantage, and social exclusion (Ungar, 2015; Allen et al., 2014).</w:t>
      </w:r>
    </w:p>
    <w:p w14:paraId="23CB6F4C" w14:textId="56774FE5" w:rsidR="002A6F75" w:rsidRPr="005A3125" w:rsidRDefault="00EA26B7" w:rsidP="00EA26B7">
      <w:pPr>
        <w:spacing w:line="360" w:lineRule="auto"/>
        <w:jc w:val="both"/>
        <w:rPr>
          <w:rFonts w:asciiTheme="minorBidi" w:hAnsiTheme="minorBidi"/>
        </w:rPr>
      </w:pPr>
      <w:r w:rsidRPr="005A3125">
        <w:rPr>
          <w:rFonts w:asciiTheme="minorBidi" w:hAnsiTheme="minorBidi"/>
        </w:rPr>
        <w:t xml:space="preserve">Some community-based interventions have also demonstrated positive outcomes through culturally adapted counselling, faith-sensitive mental health programmes, youth mentoring initiatives, and anti-racist therapeutic approaches (Whitley, 2018; </w:t>
      </w:r>
      <w:proofErr w:type="spellStart"/>
      <w:r w:rsidRPr="005A3125">
        <w:rPr>
          <w:rFonts w:asciiTheme="minorBidi" w:hAnsiTheme="minorBidi"/>
        </w:rPr>
        <w:t>Bhui</w:t>
      </w:r>
      <w:proofErr w:type="spellEnd"/>
      <w:r w:rsidRPr="005A3125">
        <w:rPr>
          <w:rFonts w:asciiTheme="minorBidi" w:hAnsiTheme="minorBidi"/>
        </w:rPr>
        <w:t xml:space="preserve"> et al., 2018; Edge and Grey, 2018). Such interventions have been associated with improved service engagement, greater trust in mental healthcare providers, and enhanced psychological wellbeing among minority ethnic populations (</w:t>
      </w:r>
      <w:proofErr w:type="spellStart"/>
      <w:r w:rsidRPr="005A3125">
        <w:rPr>
          <w:rFonts w:asciiTheme="minorBidi" w:hAnsiTheme="minorBidi"/>
        </w:rPr>
        <w:t>Bhui</w:t>
      </w:r>
      <w:proofErr w:type="spellEnd"/>
      <w:r w:rsidRPr="005A3125">
        <w:rPr>
          <w:rFonts w:asciiTheme="minorBidi" w:hAnsiTheme="minorBidi"/>
        </w:rPr>
        <w:t xml:space="preserve"> et al., 2018; Edge and Grey, 2018). Edge</w:t>
      </w:r>
      <w:r w:rsidR="002A6F75" w:rsidRPr="005A3125">
        <w:rPr>
          <w:rFonts w:asciiTheme="minorBidi" w:hAnsiTheme="minorBidi"/>
        </w:rPr>
        <w:t xml:space="preserve"> and Grey (2018) argued that culturally responsive mental healthcare approaches may improve trust, communication, and emotional outcomes among minority ethnic service users.</w:t>
      </w:r>
    </w:p>
    <w:p w14:paraId="2906BDF3" w14:textId="4F2FCBD4" w:rsidR="002A6F75" w:rsidRPr="005A3125" w:rsidRDefault="002A6F75" w:rsidP="002A6F75">
      <w:pPr>
        <w:spacing w:line="360" w:lineRule="auto"/>
        <w:jc w:val="both"/>
        <w:rPr>
          <w:rFonts w:asciiTheme="minorBidi" w:hAnsiTheme="minorBidi"/>
        </w:rPr>
      </w:pPr>
      <w:r w:rsidRPr="005A3125">
        <w:rPr>
          <w:rFonts w:asciiTheme="minorBidi" w:hAnsiTheme="minorBidi"/>
        </w:rPr>
        <w:t>However, evidence evaluating long-term effectiveness of culturally responsive interventions remains limited.</w:t>
      </w:r>
    </w:p>
    <w:p w14:paraId="62251B07" w14:textId="4BBAAD76" w:rsidR="002A6F75" w:rsidRPr="005A3125" w:rsidRDefault="0073683B" w:rsidP="0073683B">
      <w:pPr>
        <w:pStyle w:val="Heading1"/>
        <w:spacing w:line="360" w:lineRule="auto"/>
        <w:ind w:left="12" w:right="3"/>
        <w:jc w:val="left"/>
        <w:rPr>
          <w:rFonts w:asciiTheme="minorBidi" w:hAnsiTheme="minorBidi" w:cstheme="minorBidi"/>
          <w:b w:val="0"/>
          <w:sz w:val="22"/>
        </w:rPr>
      </w:pPr>
      <w:bookmarkStart w:id="38" w:name="_Toc232456073"/>
      <w:r w:rsidRPr="005A3125">
        <w:rPr>
          <w:rFonts w:asciiTheme="minorBidi" w:hAnsiTheme="minorBidi" w:cstheme="minorBidi"/>
          <w:sz w:val="22"/>
        </w:rPr>
        <w:t>4.10 Summary of Themes</w:t>
      </w:r>
      <w:bookmarkEnd w:id="38"/>
    </w:p>
    <w:p w14:paraId="08C7138D" w14:textId="6FBE1A3C" w:rsidR="00124366" w:rsidRPr="005A3125" w:rsidRDefault="009C5ED4" w:rsidP="00124366">
      <w:pPr>
        <w:spacing w:line="360" w:lineRule="auto"/>
        <w:jc w:val="both"/>
        <w:rPr>
          <w:rFonts w:asciiTheme="minorBidi" w:hAnsiTheme="minorBidi"/>
          <w:b/>
        </w:rPr>
      </w:pPr>
      <w:r w:rsidRPr="005A3125">
        <w:rPr>
          <w:rFonts w:asciiTheme="minorBidi" w:hAnsiTheme="minorBidi"/>
          <w:b/>
        </w:rPr>
        <w:t>Table 4.4</w:t>
      </w:r>
      <w:r w:rsidR="00213DE7" w:rsidRPr="005A3125">
        <w:rPr>
          <w:rFonts w:asciiTheme="minorBidi" w:hAnsiTheme="minorBidi"/>
          <w:b/>
        </w:rPr>
        <w:t>:</w:t>
      </w:r>
      <w:r w:rsidRPr="005A3125">
        <w:rPr>
          <w:rFonts w:asciiTheme="minorBidi" w:hAnsiTheme="minorBidi"/>
          <w:b/>
        </w:rPr>
        <w:t xml:space="preserve"> Summary of Findings from Included Studies</w:t>
      </w:r>
    </w:p>
    <w:tbl>
      <w:tblPr>
        <w:tblStyle w:val="TableGrid"/>
        <w:tblW w:w="0" w:type="auto"/>
        <w:tblLook w:val="04A0" w:firstRow="1" w:lastRow="0" w:firstColumn="1" w:lastColumn="0" w:noHBand="0" w:noVBand="1"/>
      </w:tblPr>
      <w:tblGrid>
        <w:gridCol w:w="2133"/>
        <w:gridCol w:w="1708"/>
        <w:gridCol w:w="3105"/>
        <w:gridCol w:w="2070"/>
      </w:tblGrid>
      <w:tr w:rsidR="00124366" w:rsidRPr="005A3125" w14:paraId="54B5F60B" w14:textId="77777777" w:rsidTr="00124366">
        <w:tc>
          <w:tcPr>
            <w:tcW w:w="0" w:type="auto"/>
            <w:hideMark/>
          </w:tcPr>
          <w:p w14:paraId="5845B46E" w14:textId="77777777" w:rsidR="00124366" w:rsidRPr="005A3125" w:rsidRDefault="00124366" w:rsidP="00124366">
            <w:pPr>
              <w:spacing w:after="160" w:line="360" w:lineRule="auto"/>
              <w:jc w:val="both"/>
              <w:rPr>
                <w:rFonts w:asciiTheme="minorBidi" w:hAnsiTheme="minorBidi"/>
                <w:b/>
                <w:bCs/>
                <w:lang w:val="en-IN"/>
              </w:rPr>
            </w:pPr>
            <w:r w:rsidRPr="005A3125">
              <w:rPr>
                <w:rFonts w:asciiTheme="minorBidi" w:hAnsiTheme="minorBidi"/>
                <w:b/>
                <w:bCs/>
                <w:lang w:val="en-IN"/>
              </w:rPr>
              <w:t>Author (Year)</w:t>
            </w:r>
          </w:p>
        </w:tc>
        <w:tc>
          <w:tcPr>
            <w:tcW w:w="0" w:type="auto"/>
            <w:hideMark/>
          </w:tcPr>
          <w:p w14:paraId="0527C03F" w14:textId="77777777" w:rsidR="00124366" w:rsidRPr="005A3125" w:rsidRDefault="00124366" w:rsidP="00124366">
            <w:pPr>
              <w:spacing w:after="160" w:line="360" w:lineRule="auto"/>
              <w:jc w:val="both"/>
              <w:rPr>
                <w:rFonts w:asciiTheme="minorBidi" w:hAnsiTheme="minorBidi"/>
                <w:b/>
                <w:bCs/>
                <w:lang w:val="en-IN"/>
              </w:rPr>
            </w:pPr>
            <w:r w:rsidRPr="005A3125">
              <w:rPr>
                <w:rFonts w:asciiTheme="minorBidi" w:hAnsiTheme="minorBidi"/>
                <w:b/>
                <w:bCs/>
                <w:lang w:val="en-IN"/>
              </w:rPr>
              <w:t>Methodology</w:t>
            </w:r>
          </w:p>
        </w:tc>
        <w:tc>
          <w:tcPr>
            <w:tcW w:w="0" w:type="auto"/>
            <w:hideMark/>
          </w:tcPr>
          <w:p w14:paraId="6106F405" w14:textId="77777777" w:rsidR="00124366" w:rsidRPr="005A3125" w:rsidRDefault="00124366" w:rsidP="00124366">
            <w:pPr>
              <w:spacing w:after="160" w:line="360" w:lineRule="auto"/>
              <w:jc w:val="both"/>
              <w:rPr>
                <w:rFonts w:asciiTheme="minorBidi" w:hAnsiTheme="minorBidi"/>
                <w:b/>
                <w:bCs/>
                <w:lang w:val="en-IN"/>
              </w:rPr>
            </w:pPr>
            <w:r w:rsidRPr="005A3125">
              <w:rPr>
                <w:rFonts w:asciiTheme="minorBidi" w:hAnsiTheme="minorBidi"/>
                <w:b/>
                <w:bCs/>
                <w:lang w:val="en-IN"/>
              </w:rPr>
              <w:t>Key Findings</w:t>
            </w:r>
          </w:p>
        </w:tc>
        <w:tc>
          <w:tcPr>
            <w:tcW w:w="0" w:type="auto"/>
            <w:hideMark/>
          </w:tcPr>
          <w:p w14:paraId="62CC5A6D" w14:textId="77777777" w:rsidR="00124366" w:rsidRPr="005A3125" w:rsidRDefault="00124366" w:rsidP="00124366">
            <w:pPr>
              <w:spacing w:after="160" w:line="360" w:lineRule="auto"/>
              <w:jc w:val="both"/>
              <w:rPr>
                <w:rFonts w:asciiTheme="minorBidi" w:hAnsiTheme="minorBidi"/>
                <w:b/>
                <w:bCs/>
                <w:lang w:val="en-IN"/>
              </w:rPr>
            </w:pPr>
            <w:r w:rsidRPr="005A3125">
              <w:rPr>
                <w:rFonts w:asciiTheme="minorBidi" w:hAnsiTheme="minorBidi"/>
                <w:b/>
                <w:bCs/>
                <w:lang w:val="en-IN"/>
              </w:rPr>
              <w:t>Theme</w:t>
            </w:r>
          </w:p>
        </w:tc>
      </w:tr>
      <w:tr w:rsidR="00124366" w:rsidRPr="005A3125" w14:paraId="4B48A8D5" w14:textId="77777777" w:rsidTr="00124366">
        <w:tc>
          <w:tcPr>
            <w:tcW w:w="0" w:type="auto"/>
            <w:hideMark/>
          </w:tcPr>
          <w:p w14:paraId="63ACD3CB"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lastRenderedPageBreak/>
              <w:t>Wallace et al. (2016)</w:t>
            </w:r>
          </w:p>
        </w:tc>
        <w:tc>
          <w:tcPr>
            <w:tcW w:w="0" w:type="auto"/>
            <w:hideMark/>
          </w:tcPr>
          <w:p w14:paraId="7845FDBE"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Quantitative</w:t>
            </w:r>
          </w:p>
        </w:tc>
        <w:tc>
          <w:tcPr>
            <w:tcW w:w="0" w:type="auto"/>
            <w:hideMark/>
          </w:tcPr>
          <w:p w14:paraId="30244A8D"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Racial discrimination associated with psychological distress</w:t>
            </w:r>
          </w:p>
        </w:tc>
        <w:tc>
          <w:tcPr>
            <w:tcW w:w="0" w:type="auto"/>
            <w:hideMark/>
          </w:tcPr>
          <w:p w14:paraId="7B4CC5AE"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Structural racism</w:t>
            </w:r>
          </w:p>
        </w:tc>
      </w:tr>
      <w:tr w:rsidR="00124366" w:rsidRPr="005A3125" w14:paraId="4F391D5B" w14:textId="77777777" w:rsidTr="00124366">
        <w:tc>
          <w:tcPr>
            <w:tcW w:w="0" w:type="auto"/>
            <w:hideMark/>
          </w:tcPr>
          <w:p w14:paraId="3D81E0B3" w14:textId="77777777" w:rsidR="00124366" w:rsidRPr="005A3125" w:rsidRDefault="00124366" w:rsidP="00124366">
            <w:pPr>
              <w:spacing w:after="160" w:line="360" w:lineRule="auto"/>
              <w:jc w:val="both"/>
              <w:rPr>
                <w:rFonts w:asciiTheme="minorBidi" w:hAnsiTheme="minorBidi"/>
                <w:lang w:val="en-IN"/>
              </w:rPr>
            </w:pPr>
            <w:proofErr w:type="spellStart"/>
            <w:r w:rsidRPr="005A3125">
              <w:rPr>
                <w:rFonts w:asciiTheme="minorBidi" w:hAnsiTheme="minorBidi"/>
                <w:lang w:val="en-IN"/>
              </w:rPr>
              <w:t>Bécares</w:t>
            </w:r>
            <w:proofErr w:type="spellEnd"/>
            <w:r w:rsidRPr="005A3125">
              <w:rPr>
                <w:rFonts w:asciiTheme="minorBidi" w:hAnsiTheme="minorBidi"/>
                <w:lang w:val="en-IN"/>
              </w:rPr>
              <w:t xml:space="preserve"> et al. (2015)</w:t>
            </w:r>
          </w:p>
        </w:tc>
        <w:tc>
          <w:tcPr>
            <w:tcW w:w="0" w:type="auto"/>
            <w:hideMark/>
          </w:tcPr>
          <w:p w14:paraId="3A960D64"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Cross-sectional</w:t>
            </w:r>
          </w:p>
        </w:tc>
        <w:tc>
          <w:tcPr>
            <w:tcW w:w="0" w:type="auto"/>
            <w:hideMark/>
          </w:tcPr>
          <w:p w14:paraId="298C916B"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Racism linked to emotional and behavioural difficulties</w:t>
            </w:r>
          </w:p>
        </w:tc>
        <w:tc>
          <w:tcPr>
            <w:tcW w:w="0" w:type="auto"/>
            <w:hideMark/>
          </w:tcPr>
          <w:p w14:paraId="10B3726B"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Structural racism</w:t>
            </w:r>
          </w:p>
        </w:tc>
      </w:tr>
      <w:tr w:rsidR="00124366" w:rsidRPr="005A3125" w14:paraId="66FC74A0" w14:textId="77777777" w:rsidTr="00124366">
        <w:tc>
          <w:tcPr>
            <w:tcW w:w="0" w:type="auto"/>
            <w:hideMark/>
          </w:tcPr>
          <w:p w14:paraId="5D280586"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Williams et al. (2019)</w:t>
            </w:r>
          </w:p>
        </w:tc>
        <w:tc>
          <w:tcPr>
            <w:tcW w:w="0" w:type="auto"/>
            <w:hideMark/>
          </w:tcPr>
          <w:p w14:paraId="6368BADF"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Literature review</w:t>
            </w:r>
          </w:p>
        </w:tc>
        <w:tc>
          <w:tcPr>
            <w:tcW w:w="0" w:type="auto"/>
            <w:hideMark/>
          </w:tcPr>
          <w:p w14:paraId="43D5EB02"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Discrimination negatively affects mental health</w:t>
            </w:r>
          </w:p>
        </w:tc>
        <w:tc>
          <w:tcPr>
            <w:tcW w:w="0" w:type="auto"/>
            <w:hideMark/>
          </w:tcPr>
          <w:p w14:paraId="00A57815"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Structural racism</w:t>
            </w:r>
          </w:p>
        </w:tc>
      </w:tr>
      <w:tr w:rsidR="00124366" w:rsidRPr="005A3125" w14:paraId="05232085" w14:textId="77777777" w:rsidTr="00124366">
        <w:tc>
          <w:tcPr>
            <w:tcW w:w="0" w:type="auto"/>
            <w:hideMark/>
          </w:tcPr>
          <w:p w14:paraId="7E130466"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Paradies et al. (2015)</w:t>
            </w:r>
          </w:p>
        </w:tc>
        <w:tc>
          <w:tcPr>
            <w:tcW w:w="0" w:type="auto"/>
            <w:hideMark/>
          </w:tcPr>
          <w:p w14:paraId="3A9CC666"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Meta-analysis</w:t>
            </w:r>
          </w:p>
        </w:tc>
        <w:tc>
          <w:tcPr>
            <w:tcW w:w="0" w:type="auto"/>
            <w:hideMark/>
          </w:tcPr>
          <w:p w14:paraId="2B740EF2"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Consistent relationship between racism and poor mental health</w:t>
            </w:r>
          </w:p>
        </w:tc>
        <w:tc>
          <w:tcPr>
            <w:tcW w:w="0" w:type="auto"/>
            <w:hideMark/>
          </w:tcPr>
          <w:p w14:paraId="1E6E363A"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Structural racism</w:t>
            </w:r>
          </w:p>
        </w:tc>
      </w:tr>
      <w:tr w:rsidR="00124366" w:rsidRPr="005A3125" w14:paraId="3B94AB31" w14:textId="77777777" w:rsidTr="00124366">
        <w:tc>
          <w:tcPr>
            <w:tcW w:w="0" w:type="auto"/>
            <w:hideMark/>
          </w:tcPr>
          <w:p w14:paraId="2FA352CD"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Reiss (2013)</w:t>
            </w:r>
          </w:p>
        </w:tc>
        <w:tc>
          <w:tcPr>
            <w:tcW w:w="0" w:type="auto"/>
            <w:hideMark/>
          </w:tcPr>
          <w:p w14:paraId="27AC5D10"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Systematic review</w:t>
            </w:r>
          </w:p>
        </w:tc>
        <w:tc>
          <w:tcPr>
            <w:tcW w:w="0" w:type="auto"/>
            <w:hideMark/>
          </w:tcPr>
          <w:p w14:paraId="1A7AF972"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Poverty associated with depression and anxiety</w:t>
            </w:r>
          </w:p>
        </w:tc>
        <w:tc>
          <w:tcPr>
            <w:tcW w:w="0" w:type="auto"/>
            <w:hideMark/>
          </w:tcPr>
          <w:p w14:paraId="7AC03A97"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Socioeconomic deprivation</w:t>
            </w:r>
          </w:p>
        </w:tc>
      </w:tr>
      <w:tr w:rsidR="00124366" w:rsidRPr="005A3125" w14:paraId="1806FB75" w14:textId="77777777" w:rsidTr="00124366">
        <w:tc>
          <w:tcPr>
            <w:tcW w:w="0" w:type="auto"/>
            <w:hideMark/>
          </w:tcPr>
          <w:p w14:paraId="517845D9"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Allen et al. (2014)</w:t>
            </w:r>
          </w:p>
        </w:tc>
        <w:tc>
          <w:tcPr>
            <w:tcW w:w="0" w:type="auto"/>
            <w:hideMark/>
          </w:tcPr>
          <w:p w14:paraId="0E1C87E0"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Review</w:t>
            </w:r>
          </w:p>
        </w:tc>
        <w:tc>
          <w:tcPr>
            <w:tcW w:w="0" w:type="auto"/>
            <w:hideMark/>
          </w:tcPr>
          <w:p w14:paraId="77956162"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Social determinants strongly influence mental wellbeing</w:t>
            </w:r>
          </w:p>
        </w:tc>
        <w:tc>
          <w:tcPr>
            <w:tcW w:w="0" w:type="auto"/>
            <w:hideMark/>
          </w:tcPr>
          <w:p w14:paraId="38C5D19B"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Socioeconomic deprivation</w:t>
            </w:r>
          </w:p>
        </w:tc>
      </w:tr>
      <w:tr w:rsidR="00124366" w:rsidRPr="005A3125" w14:paraId="3028104C" w14:textId="77777777" w:rsidTr="00124366">
        <w:tc>
          <w:tcPr>
            <w:tcW w:w="0" w:type="auto"/>
            <w:hideMark/>
          </w:tcPr>
          <w:p w14:paraId="5EE96A4E"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Marmot et al. (2020)</w:t>
            </w:r>
          </w:p>
        </w:tc>
        <w:tc>
          <w:tcPr>
            <w:tcW w:w="0" w:type="auto"/>
            <w:hideMark/>
          </w:tcPr>
          <w:p w14:paraId="3BA01205"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Policy review</w:t>
            </w:r>
          </w:p>
        </w:tc>
        <w:tc>
          <w:tcPr>
            <w:tcW w:w="0" w:type="auto"/>
            <w:hideMark/>
          </w:tcPr>
          <w:p w14:paraId="06E021F0"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Health inequalities linked to socioeconomic disadvantage</w:t>
            </w:r>
          </w:p>
        </w:tc>
        <w:tc>
          <w:tcPr>
            <w:tcW w:w="0" w:type="auto"/>
            <w:hideMark/>
          </w:tcPr>
          <w:p w14:paraId="5F8298AD"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Socioeconomic deprivation</w:t>
            </w:r>
          </w:p>
        </w:tc>
      </w:tr>
      <w:tr w:rsidR="00124366" w:rsidRPr="005A3125" w14:paraId="12EB68F5" w14:textId="77777777" w:rsidTr="00124366">
        <w:tc>
          <w:tcPr>
            <w:tcW w:w="0" w:type="auto"/>
            <w:hideMark/>
          </w:tcPr>
          <w:p w14:paraId="0C05F939"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Gillborn (2008)</w:t>
            </w:r>
          </w:p>
        </w:tc>
        <w:tc>
          <w:tcPr>
            <w:tcW w:w="0" w:type="auto"/>
            <w:hideMark/>
          </w:tcPr>
          <w:p w14:paraId="5C36A95E"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Qualitative</w:t>
            </w:r>
          </w:p>
        </w:tc>
        <w:tc>
          <w:tcPr>
            <w:tcW w:w="0" w:type="auto"/>
            <w:hideMark/>
          </w:tcPr>
          <w:p w14:paraId="380C54B0"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Institutional racism affects educational experiences</w:t>
            </w:r>
          </w:p>
        </w:tc>
        <w:tc>
          <w:tcPr>
            <w:tcW w:w="0" w:type="auto"/>
            <w:hideMark/>
          </w:tcPr>
          <w:p w14:paraId="4C19C019"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Educational inequality</w:t>
            </w:r>
          </w:p>
        </w:tc>
      </w:tr>
      <w:tr w:rsidR="00124366" w:rsidRPr="005A3125" w14:paraId="06B4EF5D" w14:textId="77777777" w:rsidTr="00124366">
        <w:tc>
          <w:tcPr>
            <w:tcW w:w="0" w:type="auto"/>
            <w:hideMark/>
          </w:tcPr>
          <w:p w14:paraId="6C264BBA"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Arday (2018)</w:t>
            </w:r>
          </w:p>
        </w:tc>
        <w:tc>
          <w:tcPr>
            <w:tcW w:w="0" w:type="auto"/>
            <w:hideMark/>
          </w:tcPr>
          <w:p w14:paraId="14341EC7"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Qualitative</w:t>
            </w:r>
          </w:p>
        </w:tc>
        <w:tc>
          <w:tcPr>
            <w:tcW w:w="0" w:type="auto"/>
            <w:hideMark/>
          </w:tcPr>
          <w:p w14:paraId="2E8D63AE"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Stereotype threat contributes to anxiety and stress</w:t>
            </w:r>
          </w:p>
        </w:tc>
        <w:tc>
          <w:tcPr>
            <w:tcW w:w="0" w:type="auto"/>
            <w:hideMark/>
          </w:tcPr>
          <w:p w14:paraId="0135C436"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Educational inequality</w:t>
            </w:r>
          </w:p>
        </w:tc>
      </w:tr>
      <w:tr w:rsidR="00124366" w:rsidRPr="005A3125" w14:paraId="061427F2" w14:textId="77777777" w:rsidTr="00124366">
        <w:tc>
          <w:tcPr>
            <w:tcW w:w="0" w:type="auto"/>
            <w:hideMark/>
          </w:tcPr>
          <w:p w14:paraId="664F688C"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Song (2017)</w:t>
            </w:r>
          </w:p>
        </w:tc>
        <w:tc>
          <w:tcPr>
            <w:tcW w:w="0" w:type="auto"/>
            <w:hideMark/>
          </w:tcPr>
          <w:p w14:paraId="0F6ABD2F"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Qualitative</w:t>
            </w:r>
          </w:p>
        </w:tc>
        <w:tc>
          <w:tcPr>
            <w:tcW w:w="0" w:type="auto"/>
            <w:hideMark/>
          </w:tcPr>
          <w:p w14:paraId="0CE868AD"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Identity uncertainty affects psychological wellbeing</w:t>
            </w:r>
          </w:p>
        </w:tc>
        <w:tc>
          <w:tcPr>
            <w:tcW w:w="0" w:type="auto"/>
            <w:hideMark/>
          </w:tcPr>
          <w:p w14:paraId="4B047BF4"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Identity conflict</w:t>
            </w:r>
          </w:p>
        </w:tc>
      </w:tr>
      <w:tr w:rsidR="00124366" w:rsidRPr="005A3125" w14:paraId="626330B0" w14:textId="77777777" w:rsidTr="00124366">
        <w:tc>
          <w:tcPr>
            <w:tcW w:w="0" w:type="auto"/>
            <w:hideMark/>
          </w:tcPr>
          <w:p w14:paraId="4E4D1C65"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Khanna (2011)</w:t>
            </w:r>
          </w:p>
        </w:tc>
        <w:tc>
          <w:tcPr>
            <w:tcW w:w="0" w:type="auto"/>
            <w:hideMark/>
          </w:tcPr>
          <w:p w14:paraId="7F473258"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Qualitative</w:t>
            </w:r>
          </w:p>
        </w:tc>
        <w:tc>
          <w:tcPr>
            <w:tcW w:w="0" w:type="auto"/>
            <w:hideMark/>
          </w:tcPr>
          <w:p w14:paraId="69634A22"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Mixed-race individuals experience identity challenges</w:t>
            </w:r>
          </w:p>
        </w:tc>
        <w:tc>
          <w:tcPr>
            <w:tcW w:w="0" w:type="auto"/>
            <w:hideMark/>
          </w:tcPr>
          <w:p w14:paraId="211FF769"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Identity conflict</w:t>
            </w:r>
          </w:p>
        </w:tc>
      </w:tr>
      <w:tr w:rsidR="00124366" w:rsidRPr="005A3125" w14:paraId="05E459A1" w14:textId="77777777" w:rsidTr="00124366">
        <w:tc>
          <w:tcPr>
            <w:tcW w:w="0" w:type="auto"/>
            <w:hideMark/>
          </w:tcPr>
          <w:p w14:paraId="124FBCF6"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Sims and Njaka (2020)</w:t>
            </w:r>
          </w:p>
        </w:tc>
        <w:tc>
          <w:tcPr>
            <w:tcW w:w="0" w:type="auto"/>
            <w:hideMark/>
          </w:tcPr>
          <w:p w14:paraId="1810E7DC"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Qualitative</w:t>
            </w:r>
          </w:p>
        </w:tc>
        <w:tc>
          <w:tcPr>
            <w:tcW w:w="0" w:type="auto"/>
            <w:hideMark/>
          </w:tcPr>
          <w:p w14:paraId="5B9BA921"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Belonging uncertainty contributes to emotional distress</w:t>
            </w:r>
          </w:p>
        </w:tc>
        <w:tc>
          <w:tcPr>
            <w:tcW w:w="0" w:type="auto"/>
            <w:hideMark/>
          </w:tcPr>
          <w:p w14:paraId="7DB43864"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Identity conflict</w:t>
            </w:r>
          </w:p>
        </w:tc>
      </w:tr>
      <w:tr w:rsidR="00124366" w:rsidRPr="005A3125" w14:paraId="3E0CB3EB" w14:textId="77777777" w:rsidTr="00124366">
        <w:tc>
          <w:tcPr>
            <w:tcW w:w="0" w:type="auto"/>
            <w:hideMark/>
          </w:tcPr>
          <w:p w14:paraId="244F2E5C"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Memon et al. (2016)</w:t>
            </w:r>
          </w:p>
        </w:tc>
        <w:tc>
          <w:tcPr>
            <w:tcW w:w="0" w:type="auto"/>
            <w:hideMark/>
          </w:tcPr>
          <w:p w14:paraId="0CB25418"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Systematic review</w:t>
            </w:r>
          </w:p>
        </w:tc>
        <w:tc>
          <w:tcPr>
            <w:tcW w:w="0" w:type="auto"/>
            <w:hideMark/>
          </w:tcPr>
          <w:p w14:paraId="3050D9F0"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Stigma reduces engagement with mental health services</w:t>
            </w:r>
          </w:p>
        </w:tc>
        <w:tc>
          <w:tcPr>
            <w:tcW w:w="0" w:type="auto"/>
            <w:hideMark/>
          </w:tcPr>
          <w:p w14:paraId="28C58F06"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Help-seeking barriers</w:t>
            </w:r>
          </w:p>
        </w:tc>
      </w:tr>
      <w:tr w:rsidR="00124366" w:rsidRPr="005A3125" w14:paraId="79C67F82" w14:textId="77777777" w:rsidTr="00124366">
        <w:tc>
          <w:tcPr>
            <w:tcW w:w="0" w:type="auto"/>
            <w:hideMark/>
          </w:tcPr>
          <w:p w14:paraId="085F16F1"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lastRenderedPageBreak/>
              <w:t>Mantovani et al. (2017)</w:t>
            </w:r>
          </w:p>
        </w:tc>
        <w:tc>
          <w:tcPr>
            <w:tcW w:w="0" w:type="auto"/>
            <w:hideMark/>
          </w:tcPr>
          <w:p w14:paraId="42FFC37D"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Qualitative</w:t>
            </w:r>
          </w:p>
        </w:tc>
        <w:tc>
          <w:tcPr>
            <w:tcW w:w="0" w:type="auto"/>
            <w:hideMark/>
          </w:tcPr>
          <w:p w14:paraId="68FB6521"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Community attitudes influence help-seeking behaviour</w:t>
            </w:r>
          </w:p>
        </w:tc>
        <w:tc>
          <w:tcPr>
            <w:tcW w:w="0" w:type="auto"/>
            <w:hideMark/>
          </w:tcPr>
          <w:p w14:paraId="0F639136"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Help-seeking barriers</w:t>
            </w:r>
          </w:p>
        </w:tc>
      </w:tr>
      <w:tr w:rsidR="00124366" w:rsidRPr="005A3125" w14:paraId="1572F32B" w14:textId="77777777" w:rsidTr="00124366">
        <w:tc>
          <w:tcPr>
            <w:tcW w:w="0" w:type="auto"/>
            <w:hideMark/>
          </w:tcPr>
          <w:p w14:paraId="4F169596" w14:textId="77777777" w:rsidR="00124366" w:rsidRPr="005A3125" w:rsidRDefault="00124366" w:rsidP="00124366">
            <w:pPr>
              <w:spacing w:after="160" w:line="360" w:lineRule="auto"/>
              <w:jc w:val="both"/>
              <w:rPr>
                <w:rFonts w:asciiTheme="minorBidi" w:hAnsiTheme="minorBidi"/>
                <w:lang w:val="en-IN"/>
              </w:rPr>
            </w:pPr>
            <w:proofErr w:type="spellStart"/>
            <w:r w:rsidRPr="005A3125">
              <w:rPr>
                <w:rFonts w:asciiTheme="minorBidi" w:hAnsiTheme="minorBidi"/>
                <w:lang w:val="en-IN"/>
              </w:rPr>
              <w:t>Bhui</w:t>
            </w:r>
            <w:proofErr w:type="spellEnd"/>
            <w:r w:rsidRPr="005A3125">
              <w:rPr>
                <w:rFonts w:asciiTheme="minorBidi" w:hAnsiTheme="minorBidi"/>
                <w:lang w:val="en-IN"/>
              </w:rPr>
              <w:t xml:space="preserve"> et al. (2018)</w:t>
            </w:r>
          </w:p>
        </w:tc>
        <w:tc>
          <w:tcPr>
            <w:tcW w:w="0" w:type="auto"/>
            <w:hideMark/>
          </w:tcPr>
          <w:p w14:paraId="307582F8"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Mixed methods</w:t>
            </w:r>
          </w:p>
        </w:tc>
        <w:tc>
          <w:tcPr>
            <w:tcW w:w="0" w:type="auto"/>
            <w:hideMark/>
          </w:tcPr>
          <w:p w14:paraId="272E3804"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Cultural competence improves service engagement</w:t>
            </w:r>
          </w:p>
        </w:tc>
        <w:tc>
          <w:tcPr>
            <w:tcW w:w="0" w:type="auto"/>
            <w:hideMark/>
          </w:tcPr>
          <w:p w14:paraId="3327B5B7"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Healthcare inequalities</w:t>
            </w:r>
          </w:p>
        </w:tc>
      </w:tr>
      <w:tr w:rsidR="00124366" w:rsidRPr="005A3125" w14:paraId="6A81A615" w14:textId="77777777" w:rsidTr="00124366">
        <w:tc>
          <w:tcPr>
            <w:tcW w:w="0" w:type="auto"/>
            <w:hideMark/>
          </w:tcPr>
          <w:p w14:paraId="75E7693F"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Barnett et al. (2019)</w:t>
            </w:r>
          </w:p>
        </w:tc>
        <w:tc>
          <w:tcPr>
            <w:tcW w:w="0" w:type="auto"/>
            <w:hideMark/>
          </w:tcPr>
          <w:p w14:paraId="49BD91AB"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Quantitative</w:t>
            </w:r>
          </w:p>
        </w:tc>
        <w:tc>
          <w:tcPr>
            <w:tcW w:w="0" w:type="auto"/>
            <w:hideMark/>
          </w:tcPr>
          <w:p w14:paraId="088A29A9"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Higher detention rates among Black populations</w:t>
            </w:r>
          </w:p>
        </w:tc>
        <w:tc>
          <w:tcPr>
            <w:tcW w:w="0" w:type="auto"/>
            <w:hideMark/>
          </w:tcPr>
          <w:p w14:paraId="376CF862"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Healthcare inequalities</w:t>
            </w:r>
          </w:p>
        </w:tc>
      </w:tr>
      <w:tr w:rsidR="00124366" w:rsidRPr="005A3125" w14:paraId="1E7F9AD2" w14:textId="77777777" w:rsidTr="00124366">
        <w:tc>
          <w:tcPr>
            <w:tcW w:w="0" w:type="auto"/>
            <w:hideMark/>
          </w:tcPr>
          <w:p w14:paraId="0ACD75B5"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Morgan et al. (2020)</w:t>
            </w:r>
          </w:p>
        </w:tc>
        <w:tc>
          <w:tcPr>
            <w:tcW w:w="0" w:type="auto"/>
            <w:hideMark/>
          </w:tcPr>
          <w:p w14:paraId="072960D2"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Review</w:t>
            </w:r>
          </w:p>
        </w:tc>
        <w:tc>
          <w:tcPr>
            <w:tcW w:w="0" w:type="auto"/>
            <w:hideMark/>
          </w:tcPr>
          <w:p w14:paraId="59741761"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Delayed access to care contributes to poor outcomes</w:t>
            </w:r>
          </w:p>
        </w:tc>
        <w:tc>
          <w:tcPr>
            <w:tcW w:w="0" w:type="auto"/>
            <w:hideMark/>
          </w:tcPr>
          <w:p w14:paraId="55B1BBD4"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Healthcare inequalities</w:t>
            </w:r>
          </w:p>
        </w:tc>
      </w:tr>
      <w:tr w:rsidR="00124366" w:rsidRPr="005A3125" w14:paraId="38945391" w14:textId="77777777" w:rsidTr="00124366">
        <w:tc>
          <w:tcPr>
            <w:tcW w:w="0" w:type="auto"/>
            <w:hideMark/>
          </w:tcPr>
          <w:p w14:paraId="206325DC" w14:textId="77777777" w:rsidR="00124366" w:rsidRPr="005A3125" w:rsidRDefault="00124366" w:rsidP="00124366">
            <w:pPr>
              <w:spacing w:after="160" w:line="360" w:lineRule="auto"/>
              <w:jc w:val="both"/>
              <w:rPr>
                <w:rFonts w:asciiTheme="minorBidi" w:hAnsiTheme="minorBidi"/>
                <w:lang w:val="en-IN"/>
              </w:rPr>
            </w:pPr>
            <w:proofErr w:type="spellStart"/>
            <w:r w:rsidRPr="005A3125">
              <w:rPr>
                <w:rFonts w:asciiTheme="minorBidi" w:hAnsiTheme="minorBidi"/>
                <w:lang w:val="en-IN"/>
              </w:rPr>
              <w:t>Nazroo</w:t>
            </w:r>
            <w:proofErr w:type="spellEnd"/>
            <w:r w:rsidRPr="005A3125">
              <w:rPr>
                <w:rFonts w:asciiTheme="minorBidi" w:hAnsiTheme="minorBidi"/>
                <w:lang w:val="en-IN"/>
              </w:rPr>
              <w:t xml:space="preserve"> (2021)</w:t>
            </w:r>
          </w:p>
        </w:tc>
        <w:tc>
          <w:tcPr>
            <w:tcW w:w="0" w:type="auto"/>
            <w:hideMark/>
          </w:tcPr>
          <w:p w14:paraId="16B02BE9"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Review</w:t>
            </w:r>
          </w:p>
        </w:tc>
        <w:tc>
          <w:tcPr>
            <w:tcW w:w="0" w:type="auto"/>
            <w:hideMark/>
          </w:tcPr>
          <w:p w14:paraId="7F914BF4"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Structural racism affects healthcare experiences</w:t>
            </w:r>
          </w:p>
        </w:tc>
        <w:tc>
          <w:tcPr>
            <w:tcW w:w="0" w:type="auto"/>
            <w:hideMark/>
          </w:tcPr>
          <w:p w14:paraId="041BC655"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Healthcare inequalities</w:t>
            </w:r>
          </w:p>
        </w:tc>
      </w:tr>
      <w:tr w:rsidR="00124366" w:rsidRPr="005A3125" w14:paraId="375680B9" w14:textId="77777777" w:rsidTr="00124366">
        <w:tc>
          <w:tcPr>
            <w:tcW w:w="0" w:type="auto"/>
            <w:hideMark/>
          </w:tcPr>
          <w:p w14:paraId="2D56AD5B"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Edge and Grey (2018)</w:t>
            </w:r>
          </w:p>
        </w:tc>
        <w:tc>
          <w:tcPr>
            <w:tcW w:w="0" w:type="auto"/>
            <w:hideMark/>
          </w:tcPr>
          <w:p w14:paraId="71454111"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Qualitative</w:t>
            </w:r>
          </w:p>
        </w:tc>
        <w:tc>
          <w:tcPr>
            <w:tcW w:w="0" w:type="auto"/>
            <w:hideMark/>
          </w:tcPr>
          <w:p w14:paraId="08DE0E2F"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Community support promotes resilience</w:t>
            </w:r>
          </w:p>
        </w:tc>
        <w:tc>
          <w:tcPr>
            <w:tcW w:w="0" w:type="auto"/>
            <w:hideMark/>
          </w:tcPr>
          <w:p w14:paraId="49D2CEDB"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Protective factors</w:t>
            </w:r>
          </w:p>
        </w:tc>
      </w:tr>
      <w:tr w:rsidR="00124366" w:rsidRPr="005A3125" w14:paraId="6D344E46" w14:textId="77777777" w:rsidTr="00124366">
        <w:tc>
          <w:tcPr>
            <w:tcW w:w="0" w:type="auto"/>
            <w:hideMark/>
          </w:tcPr>
          <w:p w14:paraId="0C9518E5" w14:textId="77777777" w:rsidR="00124366" w:rsidRPr="005A3125" w:rsidRDefault="00124366" w:rsidP="00124366">
            <w:pPr>
              <w:spacing w:after="160" w:line="360" w:lineRule="auto"/>
              <w:jc w:val="both"/>
              <w:rPr>
                <w:rFonts w:asciiTheme="minorBidi" w:hAnsiTheme="minorBidi"/>
                <w:lang w:val="en-IN"/>
              </w:rPr>
            </w:pPr>
            <w:proofErr w:type="spellStart"/>
            <w:r w:rsidRPr="005A3125">
              <w:rPr>
                <w:rFonts w:asciiTheme="minorBidi" w:hAnsiTheme="minorBidi"/>
                <w:lang w:val="en-IN"/>
              </w:rPr>
              <w:t>Kapilashrami</w:t>
            </w:r>
            <w:proofErr w:type="spellEnd"/>
            <w:r w:rsidRPr="005A3125">
              <w:rPr>
                <w:rFonts w:asciiTheme="minorBidi" w:hAnsiTheme="minorBidi"/>
                <w:lang w:val="en-IN"/>
              </w:rPr>
              <w:t xml:space="preserve"> and </w:t>
            </w:r>
            <w:proofErr w:type="spellStart"/>
            <w:r w:rsidRPr="005A3125">
              <w:rPr>
                <w:rFonts w:asciiTheme="minorBidi" w:hAnsiTheme="minorBidi"/>
                <w:lang w:val="en-IN"/>
              </w:rPr>
              <w:t>Hankivsky</w:t>
            </w:r>
            <w:proofErr w:type="spellEnd"/>
            <w:r w:rsidRPr="005A3125">
              <w:rPr>
                <w:rFonts w:asciiTheme="minorBidi" w:hAnsiTheme="minorBidi"/>
                <w:lang w:val="en-IN"/>
              </w:rPr>
              <w:t xml:space="preserve"> (2018)</w:t>
            </w:r>
          </w:p>
        </w:tc>
        <w:tc>
          <w:tcPr>
            <w:tcW w:w="0" w:type="auto"/>
            <w:hideMark/>
          </w:tcPr>
          <w:p w14:paraId="4EE8BAF1"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Theoretical review</w:t>
            </w:r>
          </w:p>
        </w:tc>
        <w:tc>
          <w:tcPr>
            <w:tcW w:w="0" w:type="auto"/>
            <w:hideMark/>
          </w:tcPr>
          <w:p w14:paraId="5158A0C4"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Intersectionality explains health inequalities</w:t>
            </w:r>
          </w:p>
        </w:tc>
        <w:tc>
          <w:tcPr>
            <w:tcW w:w="0" w:type="auto"/>
            <w:hideMark/>
          </w:tcPr>
          <w:p w14:paraId="501C6AA6" w14:textId="77777777" w:rsidR="00124366" w:rsidRPr="005A3125" w:rsidRDefault="00124366" w:rsidP="00124366">
            <w:pPr>
              <w:spacing w:after="160" w:line="360" w:lineRule="auto"/>
              <w:jc w:val="both"/>
              <w:rPr>
                <w:rFonts w:asciiTheme="minorBidi" w:hAnsiTheme="minorBidi"/>
                <w:lang w:val="en-IN"/>
              </w:rPr>
            </w:pPr>
            <w:r w:rsidRPr="005A3125">
              <w:rPr>
                <w:rFonts w:asciiTheme="minorBidi" w:hAnsiTheme="minorBidi"/>
                <w:lang w:val="en-IN"/>
              </w:rPr>
              <w:t>Intersectionality</w:t>
            </w:r>
          </w:p>
        </w:tc>
      </w:tr>
    </w:tbl>
    <w:p w14:paraId="08B9808F" w14:textId="38770B94" w:rsidR="00CB7410" w:rsidRPr="005A3125" w:rsidRDefault="00124366" w:rsidP="002A6F75">
      <w:pPr>
        <w:spacing w:line="360" w:lineRule="auto"/>
        <w:jc w:val="both"/>
        <w:rPr>
          <w:rFonts w:asciiTheme="minorBidi" w:hAnsiTheme="minorBidi"/>
          <w:b/>
          <w:lang w:val="en-IN"/>
        </w:rPr>
      </w:pPr>
      <w:r w:rsidRPr="005A3125">
        <w:rPr>
          <w:rFonts w:asciiTheme="minorBidi" w:hAnsiTheme="minorBidi"/>
          <w:b/>
          <w:bCs/>
          <w:lang w:val="en-IN"/>
        </w:rPr>
        <w:t>Source:</w:t>
      </w:r>
      <w:r w:rsidRPr="005A3125">
        <w:rPr>
          <w:rFonts w:asciiTheme="minorBidi" w:hAnsiTheme="minorBidi"/>
          <w:b/>
          <w:lang w:val="en-IN"/>
        </w:rPr>
        <w:t xml:space="preserve"> Developed by th</w:t>
      </w:r>
      <w:r w:rsidR="00622C7D" w:rsidRPr="005A3125">
        <w:rPr>
          <w:rFonts w:asciiTheme="minorBidi" w:hAnsiTheme="minorBidi"/>
          <w:b/>
          <w:lang w:val="en-IN"/>
        </w:rPr>
        <w:t>e author from included studies.</w:t>
      </w:r>
    </w:p>
    <w:p w14:paraId="01AB892A" w14:textId="7B5F0E6E" w:rsidR="00CB7410" w:rsidRPr="005A3125" w:rsidRDefault="00CB7410" w:rsidP="002A6F75">
      <w:pPr>
        <w:spacing w:line="360" w:lineRule="auto"/>
        <w:jc w:val="both"/>
        <w:rPr>
          <w:rFonts w:asciiTheme="minorBidi" w:hAnsiTheme="minorBidi"/>
        </w:rPr>
      </w:pPr>
      <w:r w:rsidRPr="005A3125">
        <w:rPr>
          <w:rFonts w:asciiTheme="minorBidi" w:hAnsiTheme="minorBidi"/>
        </w:rPr>
        <w:t>Table 4.4 summarises the major themes identified through thematic analysis of the included studies. The findings indicate that structural racism, socioeconomic deprivation, educational inequality, identity conflict, mental health stigma, and NHS mental health inequalities were the key factors associated with depression and anxiety among Black African and Mixed African youth in the United Kingdom.</w:t>
      </w:r>
    </w:p>
    <w:p w14:paraId="79ECF77D" w14:textId="596B9DAB" w:rsidR="00CB7410" w:rsidRPr="005A3125" w:rsidRDefault="00CB7410" w:rsidP="002A6F75">
      <w:pPr>
        <w:spacing w:line="360" w:lineRule="auto"/>
        <w:jc w:val="both"/>
        <w:rPr>
          <w:rFonts w:asciiTheme="minorBidi" w:hAnsiTheme="minorBidi"/>
          <w:b/>
        </w:rPr>
      </w:pPr>
      <w:r w:rsidRPr="005A3125">
        <w:rPr>
          <w:rFonts w:asciiTheme="minorBidi" w:hAnsiTheme="minorBidi"/>
          <w:b/>
        </w:rPr>
        <w:t>Table 4.5</w:t>
      </w:r>
      <w:r w:rsidR="00213DE7" w:rsidRPr="005A3125">
        <w:rPr>
          <w:rFonts w:asciiTheme="minorBidi" w:hAnsiTheme="minorBidi"/>
          <w:b/>
        </w:rPr>
        <w:t>:</w:t>
      </w:r>
      <w:r w:rsidRPr="005A3125">
        <w:rPr>
          <w:rFonts w:asciiTheme="minorBidi" w:hAnsiTheme="minorBidi"/>
          <w:b/>
        </w:rPr>
        <w:t xml:space="preserve"> Summary of Major Themes Identified Through Thematic Analysis</w:t>
      </w:r>
    </w:p>
    <w:tbl>
      <w:tblPr>
        <w:tblStyle w:val="TableGrid"/>
        <w:tblW w:w="0" w:type="auto"/>
        <w:tblLayout w:type="fixed"/>
        <w:tblLook w:val="04A0" w:firstRow="1" w:lastRow="0" w:firstColumn="1" w:lastColumn="0" w:noHBand="0" w:noVBand="1"/>
      </w:tblPr>
      <w:tblGrid>
        <w:gridCol w:w="1838"/>
        <w:gridCol w:w="1276"/>
        <w:gridCol w:w="3118"/>
        <w:gridCol w:w="2784"/>
      </w:tblGrid>
      <w:tr w:rsidR="00CB7410" w:rsidRPr="005A3125" w14:paraId="0F8E7017" w14:textId="77777777" w:rsidTr="00CB7410">
        <w:tc>
          <w:tcPr>
            <w:tcW w:w="1838" w:type="dxa"/>
            <w:hideMark/>
          </w:tcPr>
          <w:p w14:paraId="05B66679" w14:textId="77777777" w:rsidR="00CB7410" w:rsidRPr="005A3125" w:rsidRDefault="00CB7410" w:rsidP="00CB7410">
            <w:pPr>
              <w:spacing w:after="160" w:line="360" w:lineRule="auto"/>
              <w:jc w:val="both"/>
              <w:rPr>
                <w:rFonts w:asciiTheme="minorBidi" w:hAnsiTheme="minorBidi"/>
                <w:b/>
                <w:bCs/>
                <w:lang w:val="en-IN"/>
              </w:rPr>
            </w:pPr>
            <w:r w:rsidRPr="005A3125">
              <w:rPr>
                <w:rFonts w:asciiTheme="minorBidi" w:hAnsiTheme="minorBidi"/>
                <w:b/>
                <w:bCs/>
                <w:lang w:val="en-IN"/>
              </w:rPr>
              <w:t>Theme</w:t>
            </w:r>
          </w:p>
        </w:tc>
        <w:tc>
          <w:tcPr>
            <w:tcW w:w="1276" w:type="dxa"/>
            <w:hideMark/>
          </w:tcPr>
          <w:p w14:paraId="4185DBCA" w14:textId="77777777" w:rsidR="00CB7410" w:rsidRPr="005A3125" w:rsidRDefault="00CB7410" w:rsidP="00CB7410">
            <w:pPr>
              <w:spacing w:after="160" w:line="360" w:lineRule="auto"/>
              <w:jc w:val="both"/>
              <w:rPr>
                <w:rFonts w:asciiTheme="minorBidi" w:hAnsiTheme="minorBidi"/>
                <w:b/>
                <w:bCs/>
                <w:lang w:val="en-IN"/>
              </w:rPr>
            </w:pPr>
            <w:r w:rsidRPr="005A3125">
              <w:rPr>
                <w:rFonts w:asciiTheme="minorBidi" w:hAnsiTheme="minorBidi"/>
                <w:b/>
                <w:bCs/>
                <w:lang w:val="en-IN"/>
              </w:rPr>
              <w:t>Number of Supporting Studies</w:t>
            </w:r>
          </w:p>
        </w:tc>
        <w:tc>
          <w:tcPr>
            <w:tcW w:w="3118" w:type="dxa"/>
            <w:hideMark/>
          </w:tcPr>
          <w:p w14:paraId="474DB830" w14:textId="77777777" w:rsidR="00CB7410" w:rsidRPr="005A3125" w:rsidRDefault="00CB7410" w:rsidP="00CB7410">
            <w:pPr>
              <w:spacing w:after="160" w:line="360" w:lineRule="auto"/>
              <w:jc w:val="both"/>
              <w:rPr>
                <w:rFonts w:asciiTheme="minorBidi" w:hAnsiTheme="minorBidi"/>
                <w:b/>
                <w:bCs/>
                <w:lang w:val="en-IN"/>
              </w:rPr>
            </w:pPr>
            <w:r w:rsidRPr="005A3125">
              <w:rPr>
                <w:rFonts w:asciiTheme="minorBidi" w:hAnsiTheme="minorBidi"/>
                <w:b/>
                <w:bCs/>
                <w:lang w:val="en-IN"/>
              </w:rPr>
              <w:t>Key Evidence</w:t>
            </w:r>
          </w:p>
        </w:tc>
        <w:tc>
          <w:tcPr>
            <w:tcW w:w="2784" w:type="dxa"/>
            <w:hideMark/>
          </w:tcPr>
          <w:p w14:paraId="0B9FE12F" w14:textId="77777777" w:rsidR="00CB7410" w:rsidRPr="005A3125" w:rsidRDefault="00CB7410" w:rsidP="00CB7410">
            <w:pPr>
              <w:spacing w:after="160" w:line="360" w:lineRule="auto"/>
              <w:jc w:val="both"/>
              <w:rPr>
                <w:rFonts w:asciiTheme="minorBidi" w:hAnsiTheme="minorBidi"/>
                <w:b/>
                <w:bCs/>
                <w:lang w:val="en-IN"/>
              </w:rPr>
            </w:pPr>
            <w:r w:rsidRPr="005A3125">
              <w:rPr>
                <w:rFonts w:asciiTheme="minorBidi" w:hAnsiTheme="minorBidi"/>
                <w:b/>
                <w:bCs/>
                <w:lang w:val="en-IN"/>
              </w:rPr>
              <w:t>Overall Conclusion</w:t>
            </w:r>
          </w:p>
        </w:tc>
      </w:tr>
      <w:tr w:rsidR="00CB7410" w:rsidRPr="005A3125" w14:paraId="68B7E601" w14:textId="77777777" w:rsidTr="00CB7410">
        <w:trPr>
          <w:trHeight w:val="1870"/>
        </w:trPr>
        <w:tc>
          <w:tcPr>
            <w:tcW w:w="1838" w:type="dxa"/>
            <w:hideMark/>
          </w:tcPr>
          <w:p w14:paraId="666ED5AE" w14:textId="77777777" w:rsidR="00CB7410" w:rsidRPr="005A3125" w:rsidRDefault="00CB7410" w:rsidP="00CB7410">
            <w:pPr>
              <w:spacing w:after="160" w:line="360" w:lineRule="auto"/>
              <w:jc w:val="both"/>
              <w:rPr>
                <w:rFonts w:asciiTheme="minorBidi" w:hAnsiTheme="minorBidi"/>
                <w:lang w:val="en-IN"/>
              </w:rPr>
            </w:pPr>
            <w:r w:rsidRPr="005A3125">
              <w:rPr>
                <w:rFonts w:asciiTheme="minorBidi" w:hAnsiTheme="minorBidi"/>
                <w:lang w:val="en-IN"/>
              </w:rPr>
              <w:t>Structural racism</w:t>
            </w:r>
          </w:p>
        </w:tc>
        <w:tc>
          <w:tcPr>
            <w:tcW w:w="1276" w:type="dxa"/>
            <w:hideMark/>
          </w:tcPr>
          <w:p w14:paraId="45085E4F" w14:textId="77777777" w:rsidR="00CB7410" w:rsidRPr="005A3125" w:rsidRDefault="00CB7410" w:rsidP="00CB7410">
            <w:pPr>
              <w:spacing w:after="160" w:line="360" w:lineRule="auto"/>
              <w:jc w:val="both"/>
              <w:rPr>
                <w:rFonts w:asciiTheme="minorBidi" w:hAnsiTheme="minorBidi"/>
                <w:lang w:val="en-IN"/>
              </w:rPr>
            </w:pPr>
            <w:r w:rsidRPr="005A3125">
              <w:rPr>
                <w:rFonts w:asciiTheme="minorBidi" w:hAnsiTheme="minorBidi"/>
                <w:lang w:val="en-IN"/>
              </w:rPr>
              <w:t>5</w:t>
            </w:r>
          </w:p>
        </w:tc>
        <w:tc>
          <w:tcPr>
            <w:tcW w:w="3118" w:type="dxa"/>
            <w:hideMark/>
          </w:tcPr>
          <w:p w14:paraId="6D16DE54" w14:textId="77777777" w:rsidR="00CB7410" w:rsidRPr="005A3125" w:rsidRDefault="00CB7410" w:rsidP="00CB7410">
            <w:pPr>
              <w:spacing w:after="160" w:line="360" w:lineRule="auto"/>
              <w:jc w:val="both"/>
              <w:rPr>
                <w:rFonts w:asciiTheme="minorBidi" w:hAnsiTheme="minorBidi"/>
                <w:lang w:val="en-IN"/>
              </w:rPr>
            </w:pPr>
            <w:r w:rsidRPr="005A3125">
              <w:rPr>
                <w:rFonts w:asciiTheme="minorBidi" w:hAnsiTheme="minorBidi"/>
                <w:lang w:val="en-IN"/>
              </w:rPr>
              <w:t xml:space="preserve">Racism, discrimination, stereotyping, and institutional bias were consistently </w:t>
            </w:r>
            <w:r w:rsidRPr="005A3125">
              <w:rPr>
                <w:rFonts w:asciiTheme="minorBidi" w:hAnsiTheme="minorBidi"/>
                <w:lang w:val="en-IN"/>
              </w:rPr>
              <w:lastRenderedPageBreak/>
              <w:t>associated with anxiety and depression.</w:t>
            </w:r>
          </w:p>
        </w:tc>
        <w:tc>
          <w:tcPr>
            <w:tcW w:w="2784" w:type="dxa"/>
            <w:hideMark/>
          </w:tcPr>
          <w:p w14:paraId="215C305B" w14:textId="77777777" w:rsidR="00CB7410" w:rsidRPr="005A3125" w:rsidRDefault="00CB7410" w:rsidP="00CB7410">
            <w:pPr>
              <w:spacing w:after="160" w:line="360" w:lineRule="auto"/>
              <w:jc w:val="both"/>
              <w:rPr>
                <w:rFonts w:asciiTheme="minorBidi" w:hAnsiTheme="minorBidi"/>
                <w:lang w:val="en-IN"/>
              </w:rPr>
            </w:pPr>
            <w:r w:rsidRPr="005A3125">
              <w:rPr>
                <w:rFonts w:asciiTheme="minorBidi" w:hAnsiTheme="minorBidi"/>
                <w:lang w:val="en-IN"/>
              </w:rPr>
              <w:lastRenderedPageBreak/>
              <w:t>Strong evidence that racism is a major determinant of mental health inequalities.</w:t>
            </w:r>
          </w:p>
        </w:tc>
      </w:tr>
      <w:tr w:rsidR="00CB7410" w:rsidRPr="005A3125" w14:paraId="35786C61" w14:textId="77777777" w:rsidTr="00CB7410">
        <w:tc>
          <w:tcPr>
            <w:tcW w:w="1838" w:type="dxa"/>
            <w:hideMark/>
          </w:tcPr>
          <w:p w14:paraId="71FF911F" w14:textId="77777777" w:rsidR="00CB7410" w:rsidRPr="005A3125" w:rsidRDefault="00CB7410" w:rsidP="00CB7410">
            <w:pPr>
              <w:spacing w:after="160" w:line="360" w:lineRule="auto"/>
              <w:jc w:val="both"/>
              <w:rPr>
                <w:rFonts w:asciiTheme="minorBidi" w:hAnsiTheme="minorBidi"/>
                <w:lang w:val="en-IN"/>
              </w:rPr>
            </w:pPr>
            <w:r w:rsidRPr="005A3125">
              <w:rPr>
                <w:rFonts w:asciiTheme="minorBidi" w:hAnsiTheme="minorBidi"/>
                <w:lang w:val="en-IN"/>
              </w:rPr>
              <w:t>Socioeconomic deprivation</w:t>
            </w:r>
          </w:p>
        </w:tc>
        <w:tc>
          <w:tcPr>
            <w:tcW w:w="1276" w:type="dxa"/>
            <w:hideMark/>
          </w:tcPr>
          <w:p w14:paraId="746F4D84" w14:textId="77777777" w:rsidR="00CB7410" w:rsidRPr="005A3125" w:rsidRDefault="00CB7410" w:rsidP="00CB7410">
            <w:pPr>
              <w:spacing w:after="160" w:line="360" w:lineRule="auto"/>
              <w:jc w:val="both"/>
              <w:rPr>
                <w:rFonts w:asciiTheme="minorBidi" w:hAnsiTheme="minorBidi"/>
                <w:lang w:val="en-IN"/>
              </w:rPr>
            </w:pPr>
            <w:r w:rsidRPr="005A3125">
              <w:rPr>
                <w:rFonts w:asciiTheme="minorBidi" w:hAnsiTheme="minorBidi"/>
                <w:lang w:val="en-IN"/>
              </w:rPr>
              <w:t>4</w:t>
            </w:r>
          </w:p>
        </w:tc>
        <w:tc>
          <w:tcPr>
            <w:tcW w:w="3118" w:type="dxa"/>
            <w:hideMark/>
          </w:tcPr>
          <w:p w14:paraId="6CFDB983" w14:textId="77777777" w:rsidR="00CB7410" w:rsidRPr="005A3125" w:rsidRDefault="00CB7410" w:rsidP="00CB7410">
            <w:pPr>
              <w:spacing w:after="160" w:line="360" w:lineRule="auto"/>
              <w:jc w:val="both"/>
              <w:rPr>
                <w:rFonts w:asciiTheme="minorBidi" w:hAnsiTheme="minorBidi"/>
                <w:lang w:val="en-IN"/>
              </w:rPr>
            </w:pPr>
            <w:r w:rsidRPr="005A3125">
              <w:rPr>
                <w:rFonts w:asciiTheme="minorBidi" w:hAnsiTheme="minorBidi"/>
                <w:lang w:val="en-IN"/>
              </w:rPr>
              <w:t>Poverty, unemployment, and housing insecurity increased psychological distress.</w:t>
            </w:r>
          </w:p>
        </w:tc>
        <w:tc>
          <w:tcPr>
            <w:tcW w:w="2784" w:type="dxa"/>
            <w:hideMark/>
          </w:tcPr>
          <w:p w14:paraId="5CC2BA78" w14:textId="77777777" w:rsidR="00CB7410" w:rsidRPr="005A3125" w:rsidRDefault="00CB7410" w:rsidP="00CB7410">
            <w:pPr>
              <w:spacing w:after="160" w:line="360" w:lineRule="auto"/>
              <w:jc w:val="both"/>
              <w:rPr>
                <w:rFonts w:asciiTheme="minorBidi" w:hAnsiTheme="minorBidi"/>
                <w:lang w:val="en-IN"/>
              </w:rPr>
            </w:pPr>
            <w:r w:rsidRPr="005A3125">
              <w:rPr>
                <w:rFonts w:asciiTheme="minorBidi" w:hAnsiTheme="minorBidi"/>
                <w:lang w:val="en-IN"/>
              </w:rPr>
              <w:t>Economic disadvantage contributes significantly to poor mental health outcomes.</w:t>
            </w:r>
          </w:p>
        </w:tc>
      </w:tr>
      <w:tr w:rsidR="00CB7410" w:rsidRPr="005A3125" w14:paraId="709E3A55" w14:textId="77777777" w:rsidTr="00CB7410">
        <w:tc>
          <w:tcPr>
            <w:tcW w:w="1838" w:type="dxa"/>
            <w:hideMark/>
          </w:tcPr>
          <w:p w14:paraId="67E29675" w14:textId="77777777" w:rsidR="00CB7410" w:rsidRPr="005A3125" w:rsidRDefault="00CB7410" w:rsidP="00CB7410">
            <w:pPr>
              <w:spacing w:after="160" w:line="360" w:lineRule="auto"/>
              <w:jc w:val="both"/>
              <w:rPr>
                <w:rFonts w:asciiTheme="minorBidi" w:hAnsiTheme="minorBidi"/>
                <w:lang w:val="en-IN"/>
              </w:rPr>
            </w:pPr>
            <w:r w:rsidRPr="005A3125">
              <w:rPr>
                <w:rFonts w:asciiTheme="minorBidi" w:hAnsiTheme="minorBidi"/>
                <w:lang w:val="en-IN"/>
              </w:rPr>
              <w:t>Educational inequality</w:t>
            </w:r>
          </w:p>
        </w:tc>
        <w:tc>
          <w:tcPr>
            <w:tcW w:w="1276" w:type="dxa"/>
            <w:hideMark/>
          </w:tcPr>
          <w:p w14:paraId="7AB302CF" w14:textId="77777777" w:rsidR="00CB7410" w:rsidRPr="005A3125" w:rsidRDefault="00CB7410" w:rsidP="00CB7410">
            <w:pPr>
              <w:spacing w:after="160" w:line="360" w:lineRule="auto"/>
              <w:jc w:val="both"/>
              <w:rPr>
                <w:rFonts w:asciiTheme="minorBidi" w:hAnsiTheme="minorBidi"/>
                <w:lang w:val="en-IN"/>
              </w:rPr>
            </w:pPr>
            <w:r w:rsidRPr="005A3125">
              <w:rPr>
                <w:rFonts w:asciiTheme="minorBidi" w:hAnsiTheme="minorBidi"/>
                <w:lang w:val="en-IN"/>
              </w:rPr>
              <w:t>3</w:t>
            </w:r>
          </w:p>
        </w:tc>
        <w:tc>
          <w:tcPr>
            <w:tcW w:w="3118" w:type="dxa"/>
            <w:hideMark/>
          </w:tcPr>
          <w:p w14:paraId="407FA627" w14:textId="77777777" w:rsidR="00CB7410" w:rsidRPr="005A3125" w:rsidRDefault="00CB7410" w:rsidP="00CB7410">
            <w:pPr>
              <w:spacing w:after="160" w:line="360" w:lineRule="auto"/>
              <w:jc w:val="both"/>
              <w:rPr>
                <w:rFonts w:asciiTheme="minorBidi" w:hAnsiTheme="minorBidi"/>
                <w:lang w:val="en-IN"/>
              </w:rPr>
            </w:pPr>
            <w:r w:rsidRPr="005A3125">
              <w:rPr>
                <w:rFonts w:asciiTheme="minorBidi" w:hAnsiTheme="minorBidi"/>
                <w:lang w:val="en-IN"/>
              </w:rPr>
              <w:t>School exclusion, stereotyping, and academic pressures negatively affected wellbeing.</w:t>
            </w:r>
          </w:p>
        </w:tc>
        <w:tc>
          <w:tcPr>
            <w:tcW w:w="2784" w:type="dxa"/>
            <w:hideMark/>
          </w:tcPr>
          <w:p w14:paraId="7C15EFD2" w14:textId="77777777" w:rsidR="00CB7410" w:rsidRPr="005A3125" w:rsidRDefault="00CB7410" w:rsidP="00CB7410">
            <w:pPr>
              <w:spacing w:after="160" w:line="360" w:lineRule="auto"/>
              <w:jc w:val="both"/>
              <w:rPr>
                <w:rFonts w:asciiTheme="minorBidi" w:hAnsiTheme="minorBidi"/>
                <w:lang w:val="en-IN"/>
              </w:rPr>
            </w:pPr>
            <w:r w:rsidRPr="005A3125">
              <w:rPr>
                <w:rFonts w:asciiTheme="minorBidi" w:hAnsiTheme="minorBidi"/>
                <w:lang w:val="en-IN"/>
              </w:rPr>
              <w:t>Educational inequalities contribute to emotional distress and reduced opportunities.</w:t>
            </w:r>
          </w:p>
        </w:tc>
      </w:tr>
      <w:tr w:rsidR="00CB7410" w:rsidRPr="005A3125" w14:paraId="7BC8523B" w14:textId="77777777" w:rsidTr="00CB7410">
        <w:tc>
          <w:tcPr>
            <w:tcW w:w="1838" w:type="dxa"/>
            <w:hideMark/>
          </w:tcPr>
          <w:p w14:paraId="0130B037" w14:textId="77777777" w:rsidR="00CB7410" w:rsidRPr="005A3125" w:rsidRDefault="00CB7410" w:rsidP="00CB7410">
            <w:pPr>
              <w:spacing w:after="160" w:line="360" w:lineRule="auto"/>
              <w:jc w:val="both"/>
              <w:rPr>
                <w:rFonts w:asciiTheme="minorBidi" w:hAnsiTheme="minorBidi"/>
                <w:lang w:val="en-IN"/>
              </w:rPr>
            </w:pPr>
            <w:r w:rsidRPr="005A3125">
              <w:rPr>
                <w:rFonts w:asciiTheme="minorBidi" w:hAnsiTheme="minorBidi"/>
                <w:lang w:val="en-IN"/>
              </w:rPr>
              <w:t>Identity conflict</w:t>
            </w:r>
          </w:p>
        </w:tc>
        <w:tc>
          <w:tcPr>
            <w:tcW w:w="1276" w:type="dxa"/>
            <w:hideMark/>
          </w:tcPr>
          <w:p w14:paraId="43E4DFA8" w14:textId="77777777" w:rsidR="00CB7410" w:rsidRPr="005A3125" w:rsidRDefault="00CB7410" w:rsidP="00CB7410">
            <w:pPr>
              <w:spacing w:after="160" w:line="360" w:lineRule="auto"/>
              <w:jc w:val="both"/>
              <w:rPr>
                <w:rFonts w:asciiTheme="minorBidi" w:hAnsiTheme="minorBidi"/>
                <w:lang w:val="en-IN"/>
              </w:rPr>
            </w:pPr>
            <w:r w:rsidRPr="005A3125">
              <w:rPr>
                <w:rFonts w:asciiTheme="minorBidi" w:hAnsiTheme="minorBidi"/>
                <w:lang w:val="en-IN"/>
              </w:rPr>
              <w:t>3</w:t>
            </w:r>
          </w:p>
        </w:tc>
        <w:tc>
          <w:tcPr>
            <w:tcW w:w="3118" w:type="dxa"/>
            <w:hideMark/>
          </w:tcPr>
          <w:p w14:paraId="3E651A48" w14:textId="77777777" w:rsidR="00CB7410" w:rsidRPr="005A3125" w:rsidRDefault="00CB7410" w:rsidP="00CB7410">
            <w:pPr>
              <w:spacing w:after="160" w:line="360" w:lineRule="auto"/>
              <w:jc w:val="both"/>
              <w:rPr>
                <w:rFonts w:asciiTheme="minorBidi" w:hAnsiTheme="minorBidi"/>
                <w:lang w:val="en-IN"/>
              </w:rPr>
            </w:pPr>
            <w:r w:rsidRPr="005A3125">
              <w:rPr>
                <w:rFonts w:asciiTheme="minorBidi" w:hAnsiTheme="minorBidi"/>
                <w:lang w:val="en-IN"/>
              </w:rPr>
              <w:t>Mixed African youth reported belonging uncertainty and identity ambiguity.</w:t>
            </w:r>
          </w:p>
        </w:tc>
        <w:tc>
          <w:tcPr>
            <w:tcW w:w="2784" w:type="dxa"/>
            <w:hideMark/>
          </w:tcPr>
          <w:p w14:paraId="47AE10D3" w14:textId="77777777" w:rsidR="00CB7410" w:rsidRPr="005A3125" w:rsidRDefault="00CB7410" w:rsidP="00CB7410">
            <w:pPr>
              <w:spacing w:after="160" w:line="360" w:lineRule="auto"/>
              <w:jc w:val="both"/>
              <w:rPr>
                <w:rFonts w:asciiTheme="minorBidi" w:hAnsiTheme="minorBidi"/>
                <w:lang w:val="en-IN"/>
              </w:rPr>
            </w:pPr>
            <w:r w:rsidRPr="005A3125">
              <w:rPr>
                <w:rFonts w:asciiTheme="minorBidi" w:hAnsiTheme="minorBidi"/>
                <w:lang w:val="en-IN"/>
              </w:rPr>
              <w:t>Identity conflict emerged as a distinct risk factor among Mixed African youth.</w:t>
            </w:r>
          </w:p>
        </w:tc>
      </w:tr>
      <w:tr w:rsidR="00CB7410" w:rsidRPr="005A3125" w14:paraId="129B533C" w14:textId="77777777" w:rsidTr="00CB7410">
        <w:tc>
          <w:tcPr>
            <w:tcW w:w="1838" w:type="dxa"/>
            <w:hideMark/>
          </w:tcPr>
          <w:p w14:paraId="4F078AA2" w14:textId="77777777" w:rsidR="00CB7410" w:rsidRPr="005A3125" w:rsidRDefault="00CB7410" w:rsidP="00CB7410">
            <w:pPr>
              <w:spacing w:after="160" w:line="360" w:lineRule="auto"/>
              <w:jc w:val="both"/>
              <w:rPr>
                <w:rFonts w:asciiTheme="minorBidi" w:hAnsiTheme="minorBidi"/>
                <w:lang w:val="en-IN"/>
              </w:rPr>
            </w:pPr>
            <w:r w:rsidRPr="005A3125">
              <w:rPr>
                <w:rFonts w:asciiTheme="minorBidi" w:hAnsiTheme="minorBidi"/>
                <w:lang w:val="en-IN"/>
              </w:rPr>
              <w:t>Mental health stigma</w:t>
            </w:r>
          </w:p>
        </w:tc>
        <w:tc>
          <w:tcPr>
            <w:tcW w:w="1276" w:type="dxa"/>
            <w:hideMark/>
          </w:tcPr>
          <w:p w14:paraId="6F5E4396" w14:textId="77777777" w:rsidR="00CB7410" w:rsidRPr="005A3125" w:rsidRDefault="00CB7410" w:rsidP="00CB7410">
            <w:pPr>
              <w:spacing w:after="160" w:line="360" w:lineRule="auto"/>
              <w:jc w:val="both"/>
              <w:rPr>
                <w:rFonts w:asciiTheme="minorBidi" w:hAnsiTheme="minorBidi"/>
                <w:lang w:val="en-IN"/>
              </w:rPr>
            </w:pPr>
            <w:r w:rsidRPr="005A3125">
              <w:rPr>
                <w:rFonts w:asciiTheme="minorBidi" w:hAnsiTheme="minorBidi"/>
                <w:lang w:val="en-IN"/>
              </w:rPr>
              <w:t>4</w:t>
            </w:r>
          </w:p>
        </w:tc>
        <w:tc>
          <w:tcPr>
            <w:tcW w:w="3118" w:type="dxa"/>
            <w:hideMark/>
          </w:tcPr>
          <w:p w14:paraId="0E53D06D" w14:textId="77777777" w:rsidR="00CB7410" w:rsidRPr="005A3125" w:rsidRDefault="00CB7410" w:rsidP="00CB7410">
            <w:pPr>
              <w:spacing w:after="160" w:line="360" w:lineRule="auto"/>
              <w:jc w:val="both"/>
              <w:rPr>
                <w:rFonts w:asciiTheme="minorBidi" w:hAnsiTheme="minorBidi"/>
                <w:lang w:val="en-IN"/>
              </w:rPr>
            </w:pPr>
            <w:r w:rsidRPr="005A3125">
              <w:rPr>
                <w:rFonts w:asciiTheme="minorBidi" w:hAnsiTheme="minorBidi"/>
                <w:lang w:val="en-IN"/>
              </w:rPr>
              <w:t>Shame, fear of judgement, and cultural perceptions reduced help-seeking.</w:t>
            </w:r>
          </w:p>
        </w:tc>
        <w:tc>
          <w:tcPr>
            <w:tcW w:w="2784" w:type="dxa"/>
            <w:hideMark/>
          </w:tcPr>
          <w:p w14:paraId="406F8DAF" w14:textId="77777777" w:rsidR="00CB7410" w:rsidRPr="005A3125" w:rsidRDefault="00CB7410" w:rsidP="00CB7410">
            <w:pPr>
              <w:spacing w:after="160" w:line="360" w:lineRule="auto"/>
              <w:jc w:val="both"/>
              <w:rPr>
                <w:rFonts w:asciiTheme="minorBidi" w:hAnsiTheme="minorBidi"/>
                <w:lang w:val="en-IN"/>
              </w:rPr>
            </w:pPr>
            <w:r w:rsidRPr="005A3125">
              <w:rPr>
                <w:rFonts w:asciiTheme="minorBidi" w:hAnsiTheme="minorBidi"/>
                <w:lang w:val="en-IN"/>
              </w:rPr>
              <w:t>Stigma remains a major barrier to accessing support.</w:t>
            </w:r>
          </w:p>
        </w:tc>
      </w:tr>
      <w:tr w:rsidR="00CB7410" w:rsidRPr="005A3125" w14:paraId="39A553A0" w14:textId="77777777" w:rsidTr="00CB7410">
        <w:tc>
          <w:tcPr>
            <w:tcW w:w="1838" w:type="dxa"/>
            <w:hideMark/>
          </w:tcPr>
          <w:p w14:paraId="6BD4E469" w14:textId="77777777" w:rsidR="00CB7410" w:rsidRPr="005A3125" w:rsidRDefault="00CB7410" w:rsidP="00CB7410">
            <w:pPr>
              <w:spacing w:after="160" w:line="360" w:lineRule="auto"/>
              <w:jc w:val="both"/>
              <w:rPr>
                <w:rFonts w:asciiTheme="minorBidi" w:hAnsiTheme="minorBidi"/>
                <w:lang w:val="en-IN"/>
              </w:rPr>
            </w:pPr>
            <w:r w:rsidRPr="005A3125">
              <w:rPr>
                <w:rFonts w:asciiTheme="minorBidi" w:hAnsiTheme="minorBidi"/>
                <w:lang w:val="en-IN"/>
              </w:rPr>
              <w:t>NHS mental health inequalities</w:t>
            </w:r>
          </w:p>
        </w:tc>
        <w:tc>
          <w:tcPr>
            <w:tcW w:w="1276" w:type="dxa"/>
            <w:hideMark/>
          </w:tcPr>
          <w:p w14:paraId="614B7226" w14:textId="77777777" w:rsidR="00CB7410" w:rsidRPr="005A3125" w:rsidRDefault="00CB7410" w:rsidP="00CB7410">
            <w:pPr>
              <w:spacing w:after="160" w:line="360" w:lineRule="auto"/>
              <w:jc w:val="both"/>
              <w:rPr>
                <w:rFonts w:asciiTheme="minorBidi" w:hAnsiTheme="minorBidi"/>
                <w:lang w:val="en-IN"/>
              </w:rPr>
            </w:pPr>
            <w:r w:rsidRPr="005A3125">
              <w:rPr>
                <w:rFonts w:asciiTheme="minorBidi" w:hAnsiTheme="minorBidi"/>
                <w:lang w:val="en-IN"/>
              </w:rPr>
              <w:t>5</w:t>
            </w:r>
          </w:p>
        </w:tc>
        <w:tc>
          <w:tcPr>
            <w:tcW w:w="3118" w:type="dxa"/>
            <w:hideMark/>
          </w:tcPr>
          <w:p w14:paraId="26670C20" w14:textId="77777777" w:rsidR="00CB7410" w:rsidRPr="005A3125" w:rsidRDefault="00CB7410" w:rsidP="00CB7410">
            <w:pPr>
              <w:spacing w:after="160" w:line="360" w:lineRule="auto"/>
              <w:jc w:val="both"/>
              <w:rPr>
                <w:rFonts w:asciiTheme="minorBidi" w:hAnsiTheme="minorBidi"/>
                <w:lang w:val="en-IN"/>
              </w:rPr>
            </w:pPr>
            <w:r w:rsidRPr="005A3125">
              <w:rPr>
                <w:rFonts w:asciiTheme="minorBidi" w:hAnsiTheme="minorBidi"/>
                <w:lang w:val="en-IN"/>
              </w:rPr>
              <w:t>Disproportionate detention, poor access to early intervention, and mistrust of services were frequently reported.</w:t>
            </w:r>
          </w:p>
        </w:tc>
        <w:tc>
          <w:tcPr>
            <w:tcW w:w="2784" w:type="dxa"/>
            <w:hideMark/>
          </w:tcPr>
          <w:p w14:paraId="5A48E5D0" w14:textId="77777777" w:rsidR="00CB7410" w:rsidRPr="005A3125" w:rsidRDefault="00CB7410" w:rsidP="00CB7410">
            <w:pPr>
              <w:spacing w:after="160" w:line="360" w:lineRule="auto"/>
              <w:jc w:val="both"/>
              <w:rPr>
                <w:rFonts w:asciiTheme="minorBidi" w:hAnsiTheme="minorBidi"/>
                <w:lang w:val="en-IN"/>
              </w:rPr>
            </w:pPr>
            <w:r w:rsidRPr="005A3125">
              <w:rPr>
                <w:rFonts w:asciiTheme="minorBidi" w:hAnsiTheme="minorBidi"/>
                <w:lang w:val="en-IN"/>
              </w:rPr>
              <w:t>Structural inequalities continue to affect mental healthcare experiences.</w:t>
            </w:r>
          </w:p>
        </w:tc>
      </w:tr>
    </w:tbl>
    <w:p w14:paraId="2ACC2397" w14:textId="7E16B100" w:rsidR="00CB7410" w:rsidRPr="005A3125" w:rsidRDefault="00E522DD" w:rsidP="002A6F75">
      <w:pPr>
        <w:spacing w:line="360" w:lineRule="auto"/>
        <w:jc w:val="both"/>
        <w:rPr>
          <w:rFonts w:asciiTheme="minorBidi" w:hAnsiTheme="minorBidi"/>
        </w:rPr>
      </w:pPr>
      <w:r w:rsidRPr="005A3125">
        <w:rPr>
          <w:rFonts w:asciiTheme="minorBidi" w:hAnsiTheme="minorBidi"/>
        </w:rPr>
        <w:t xml:space="preserve">Table 4.5 shows </w:t>
      </w:r>
      <w:r w:rsidR="007D17A3" w:rsidRPr="005A3125">
        <w:rPr>
          <w:rFonts w:asciiTheme="minorBidi" w:hAnsiTheme="minorBidi"/>
        </w:rPr>
        <w:t>the most frequently reported themes were structural racism and NHS mental healthcare inequalities (5 studies each), followed by socioeconomic deprivation and stigma (4 studies each). Educational inequality and identity conflict were least frequently reported (3 studies each), reflecting gaps in research attention rather than reduced importance.</w:t>
      </w:r>
    </w:p>
    <w:p w14:paraId="1A45092D" w14:textId="4DEF1898" w:rsidR="002A6F75" w:rsidRPr="005A3125" w:rsidRDefault="009B50EB" w:rsidP="009B50EB">
      <w:pPr>
        <w:pStyle w:val="Heading1"/>
        <w:spacing w:line="360" w:lineRule="auto"/>
        <w:ind w:left="12" w:right="3"/>
        <w:jc w:val="left"/>
        <w:rPr>
          <w:rFonts w:asciiTheme="minorBidi" w:hAnsiTheme="minorBidi" w:cstheme="minorBidi"/>
          <w:b w:val="0"/>
          <w:sz w:val="22"/>
        </w:rPr>
      </w:pPr>
      <w:bookmarkStart w:id="39" w:name="_Toc232456074"/>
      <w:r w:rsidRPr="005A3125">
        <w:rPr>
          <w:rFonts w:asciiTheme="minorBidi" w:hAnsiTheme="minorBidi" w:cstheme="minorBidi"/>
          <w:sz w:val="22"/>
        </w:rPr>
        <w:t>4.11 Chapter Summary</w:t>
      </w:r>
      <w:bookmarkEnd w:id="39"/>
    </w:p>
    <w:p w14:paraId="001AEDC7" w14:textId="07C793C2" w:rsidR="007D17A3" w:rsidRPr="005A3125" w:rsidRDefault="007D17A3" w:rsidP="007D17A3">
      <w:pPr>
        <w:spacing w:line="360" w:lineRule="auto"/>
        <w:jc w:val="both"/>
        <w:rPr>
          <w:rFonts w:asciiTheme="minorBidi" w:hAnsiTheme="minorBidi"/>
        </w:rPr>
      </w:pPr>
      <w:r w:rsidRPr="005A3125">
        <w:rPr>
          <w:rFonts w:asciiTheme="minorBidi" w:hAnsiTheme="minorBidi"/>
        </w:rPr>
        <w:t>This chapter presented findings from a thematic synthesis of 20 studies examining depression and anxiety among Black African and Mixed African youth in the United Kingdom. Six key themes were identified: structural racism, socioeconomic deprivation, educational inequality, identity conflict, mental health stigma, and NHS mental healthcare inequalities.</w:t>
      </w:r>
    </w:p>
    <w:p w14:paraId="118C07D9" w14:textId="18E01E7D" w:rsidR="007D17A3" w:rsidRPr="005A3125" w:rsidRDefault="007D17A3" w:rsidP="007D17A3">
      <w:pPr>
        <w:spacing w:line="360" w:lineRule="auto"/>
        <w:jc w:val="both"/>
        <w:rPr>
          <w:rFonts w:asciiTheme="minorBidi" w:hAnsiTheme="minorBidi"/>
        </w:rPr>
      </w:pPr>
      <w:r w:rsidRPr="005A3125">
        <w:rPr>
          <w:rFonts w:asciiTheme="minorBidi" w:hAnsiTheme="minorBidi"/>
        </w:rPr>
        <w:lastRenderedPageBreak/>
        <w:t>The findings consistently demonstrate that mental health outcomes are shaped by structural, institutional, and cultural determinants rather than individual vulnerability alone. The evidence also highlights significant gaps in UK-specific research on Mixed African youth and limited longitudinal and intervention-based studies.</w:t>
      </w:r>
    </w:p>
    <w:p w14:paraId="004069B0" w14:textId="69E1AC2D" w:rsidR="009E17A3" w:rsidRPr="005A3125" w:rsidRDefault="007D17A3" w:rsidP="000D4463">
      <w:pPr>
        <w:spacing w:line="360" w:lineRule="auto"/>
        <w:jc w:val="both"/>
        <w:rPr>
          <w:rFonts w:asciiTheme="minorBidi" w:hAnsiTheme="minorBidi"/>
        </w:rPr>
      </w:pPr>
      <w:r w:rsidRPr="005A3125">
        <w:rPr>
          <w:rFonts w:asciiTheme="minorBidi" w:hAnsiTheme="minorBidi"/>
        </w:rPr>
        <w:t>The next chapter critically discusses these findings in relation to theoretical frameworks, public health policy, and implications for NHS service delivery</w:t>
      </w:r>
    </w:p>
    <w:p w14:paraId="4E2DAC0C" w14:textId="26C45BDA" w:rsidR="009B50EB" w:rsidRPr="005A3125" w:rsidRDefault="009B50EB" w:rsidP="009B50EB">
      <w:pPr>
        <w:pStyle w:val="Heading1"/>
        <w:spacing w:after="0" w:line="360" w:lineRule="auto"/>
        <w:ind w:left="12" w:right="3"/>
        <w:rPr>
          <w:rFonts w:asciiTheme="minorBidi" w:hAnsiTheme="minorBidi" w:cstheme="minorBidi"/>
          <w:sz w:val="22"/>
        </w:rPr>
      </w:pPr>
      <w:bookmarkStart w:id="40" w:name="_Toc232456075"/>
      <w:r w:rsidRPr="005A3125">
        <w:rPr>
          <w:rFonts w:asciiTheme="minorBidi" w:hAnsiTheme="minorBidi" w:cstheme="minorBidi"/>
          <w:sz w:val="22"/>
        </w:rPr>
        <w:t>Chapter 5: Discussion</w:t>
      </w:r>
      <w:bookmarkEnd w:id="40"/>
    </w:p>
    <w:p w14:paraId="40651B6B" w14:textId="77777777" w:rsidR="002923D7" w:rsidRPr="005A3125" w:rsidRDefault="002923D7" w:rsidP="002923D7">
      <w:pPr>
        <w:pStyle w:val="muitypography-root"/>
        <w:spacing w:before="0" w:beforeAutospacing="0" w:after="0" w:afterAutospacing="0" w:line="360" w:lineRule="atLeast"/>
        <w:rPr>
          <w:rFonts w:asciiTheme="minorBidi" w:hAnsiTheme="minorBidi" w:cstheme="minorBidi"/>
          <w:color w:val="161F19"/>
          <w:sz w:val="22"/>
          <w:szCs w:val="22"/>
        </w:rPr>
      </w:pPr>
      <w:r w:rsidRPr="005A3125">
        <w:rPr>
          <w:rStyle w:val="Strong"/>
          <w:rFonts w:asciiTheme="minorBidi" w:hAnsiTheme="minorBidi" w:cstheme="minorBidi"/>
          <w:color w:val="161F19"/>
          <w:sz w:val="22"/>
          <w:szCs w:val="22"/>
        </w:rPr>
        <w:t>5.1 Introduction</w:t>
      </w:r>
      <w:r w:rsidRPr="005A3125">
        <w:rPr>
          <w:rFonts w:asciiTheme="minorBidi" w:hAnsiTheme="minorBidi" w:cstheme="minorBidi"/>
          <w:color w:val="161F19"/>
          <w:sz w:val="22"/>
          <w:szCs w:val="22"/>
        </w:rPr>
        <w:br/>
        <w:t>This chapter provides a critical analysis of the systematic review findings, relating them to previous research, theoretical models, and public health policy. The review investigated factors contributing to depression and anxiety in Black African and Mixed African youth aged 16–25 years in the UK. It revealed that mental health disparities arise from a complex interplay of structural racism, socioeconomic disadvantage, educational exclusion, identity struggles, mental health stigma, and challenges in accessing healthcare (Allen et al., 2014). These factors typically interact rather than function in isolation, collectively influencing psychological well-being.</w:t>
      </w:r>
    </w:p>
    <w:p w14:paraId="01D9B65C" w14:textId="77777777" w:rsidR="002923D7" w:rsidRPr="005A3125" w:rsidRDefault="002923D7" w:rsidP="002923D7">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The discussion draws on multiple theoretical frameworks: the Social Determinants of Health (Marmot et al., 2020), Critical Race Theory (Delgado and Stefancic, 2017), Minority Stress Theory (Meyer, 2003), and Intersectionality Theory (Crenshaw, 1989). These perspectives collectively argue that depression and anxiety among Black African and Mixed African youth must be understood beyond individual psychological factors, considering broader social, economic, cultural, and institutional influences that affect stress exposure and resource access.</w:t>
      </w:r>
    </w:p>
    <w:p w14:paraId="18359CC6" w14:textId="77777777" w:rsidR="002923D7" w:rsidRPr="005A3125" w:rsidRDefault="002923D7" w:rsidP="002923D7">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Findings align with existing literature showing that racial and ethnic disparities are significant drivers of mental health outcomes in the UK. However, notable gaps remain, particularly regarding the experiences of Mixed African youth and the efficacy of culturally sensitive interventions. This chapter critically examines these findings in the context of earlier research, highlights inconsistencies and limitations, and discusses implications for public health policy and future research directions.</w:t>
      </w:r>
    </w:p>
    <w:p w14:paraId="5BCC17FF" w14:textId="77777777" w:rsidR="002923D7" w:rsidRPr="005A3125" w:rsidRDefault="002923D7" w:rsidP="002923D7">
      <w:pPr>
        <w:pStyle w:val="muitypography-root"/>
        <w:spacing w:before="0" w:beforeAutospacing="0" w:after="0" w:afterAutospacing="0" w:line="360" w:lineRule="atLeast"/>
        <w:rPr>
          <w:rFonts w:asciiTheme="minorBidi" w:hAnsiTheme="minorBidi" w:cstheme="minorBidi"/>
          <w:color w:val="161F19"/>
          <w:sz w:val="22"/>
          <w:szCs w:val="22"/>
        </w:rPr>
      </w:pPr>
      <w:r w:rsidRPr="005A3125">
        <w:rPr>
          <w:rStyle w:val="Strong"/>
          <w:rFonts w:asciiTheme="minorBidi" w:hAnsiTheme="minorBidi" w:cstheme="minorBidi"/>
          <w:color w:val="161F19"/>
          <w:sz w:val="22"/>
          <w:szCs w:val="22"/>
        </w:rPr>
        <w:t>5.2 Structural Racism and Mental Health Inequalities</w:t>
      </w:r>
      <w:r w:rsidRPr="005A3125">
        <w:rPr>
          <w:rFonts w:asciiTheme="minorBidi" w:hAnsiTheme="minorBidi" w:cstheme="minorBidi"/>
          <w:color w:val="161F19"/>
          <w:sz w:val="22"/>
          <w:szCs w:val="22"/>
        </w:rPr>
        <w:br/>
        <w:t xml:space="preserve">A prominent conclusion of this review is the profound impact of structural racism on depression and anxiety among Black African and Mixed African youth. Structural racism entails the systemic distribution of resources, opportunities, and power that disadvantages racialized groups while </w:t>
      </w:r>
      <w:proofErr w:type="spellStart"/>
      <w:r w:rsidRPr="005A3125">
        <w:rPr>
          <w:rFonts w:asciiTheme="minorBidi" w:hAnsiTheme="minorBidi" w:cstheme="minorBidi"/>
          <w:color w:val="161F19"/>
          <w:sz w:val="22"/>
          <w:szCs w:val="22"/>
        </w:rPr>
        <w:t>favoring</w:t>
      </w:r>
      <w:proofErr w:type="spellEnd"/>
      <w:r w:rsidRPr="005A3125">
        <w:rPr>
          <w:rFonts w:asciiTheme="minorBidi" w:hAnsiTheme="minorBidi" w:cstheme="minorBidi"/>
          <w:color w:val="161F19"/>
          <w:sz w:val="22"/>
          <w:szCs w:val="22"/>
        </w:rPr>
        <w:t xml:space="preserve"> dominant populations (Bailey et al., 2017). Unlike isolated prejudiced acts, structural racism is ingrained within institutions and social systems, influencing education, housing, employment, healthcare, and criminal justice.</w:t>
      </w:r>
    </w:p>
    <w:p w14:paraId="3FC167BB" w14:textId="77777777" w:rsidR="002923D7" w:rsidRPr="005A3125" w:rsidRDefault="002923D7" w:rsidP="002923D7">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lastRenderedPageBreak/>
        <w:t xml:space="preserve">The review found robust evidence linking experiences of racism and discrimination with worsened mental health. For example, Wallace et al. (2016) found individuals facing racial discrimination were more likely to report psychological distress. Similarly, </w:t>
      </w:r>
      <w:proofErr w:type="spellStart"/>
      <w:r w:rsidRPr="005A3125">
        <w:rPr>
          <w:rFonts w:asciiTheme="minorBidi" w:hAnsiTheme="minorBidi" w:cstheme="minorBidi"/>
          <w:color w:val="161F19"/>
          <w:sz w:val="22"/>
          <w:szCs w:val="22"/>
        </w:rPr>
        <w:t>Bécares</w:t>
      </w:r>
      <w:proofErr w:type="spellEnd"/>
      <w:r w:rsidRPr="005A3125">
        <w:rPr>
          <w:rFonts w:asciiTheme="minorBidi" w:hAnsiTheme="minorBidi" w:cstheme="minorBidi"/>
          <w:color w:val="161F19"/>
          <w:sz w:val="22"/>
          <w:szCs w:val="22"/>
        </w:rPr>
        <w:t xml:space="preserve"> et al. (2015) observed elevated emotional and </w:t>
      </w:r>
      <w:proofErr w:type="spellStart"/>
      <w:r w:rsidRPr="005A3125">
        <w:rPr>
          <w:rFonts w:asciiTheme="minorBidi" w:hAnsiTheme="minorBidi" w:cstheme="minorBidi"/>
          <w:color w:val="161F19"/>
          <w:sz w:val="22"/>
          <w:szCs w:val="22"/>
        </w:rPr>
        <w:t>behavioral</w:t>
      </w:r>
      <w:proofErr w:type="spellEnd"/>
      <w:r w:rsidRPr="005A3125">
        <w:rPr>
          <w:rFonts w:asciiTheme="minorBidi" w:hAnsiTheme="minorBidi" w:cstheme="minorBidi"/>
          <w:color w:val="161F19"/>
          <w:sz w:val="22"/>
          <w:szCs w:val="22"/>
        </w:rPr>
        <w:t xml:space="preserve"> difficulties in adolescents exposed to racism. Despite methodological differences, both studies point to discrimination as a key predictor of poor mental health.</w:t>
      </w:r>
    </w:p>
    <w:p w14:paraId="79B53F75" w14:textId="77777777" w:rsidR="002923D7" w:rsidRPr="005A3125" w:rsidRDefault="002923D7" w:rsidP="002923D7">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Such consistent findings reinforce confidence in the racism-mental health connection. An international meta-analysis by Paradies et al. (2015) further confirmed associations between racial discrimination and adverse mental health outcomes across diverse countries and ethnic groups, indicating that these effects are not UK-specific but part of global social processes impacting racialized populations.</w:t>
      </w:r>
    </w:p>
    <w:p w14:paraId="39505321" w14:textId="77777777" w:rsidR="002923D7" w:rsidRPr="005A3125" w:rsidRDefault="002923D7" w:rsidP="002923D7">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The review also supports Williams et al.'s (2019) concept of racism as a chronic stressor affecting psychological and physiological health. Repeated discrimination can lead to hypervigilance, anxiety, emotional exhaustion, and lowered self-esteem (Williams and Mohammed, 2013), cumulatively causing "weathering," a process whereby chronic social adversity worsens health over time (</w:t>
      </w:r>
      <w:proofErr w:type="spellStart"/>
      <w:r w:rsidRPr="005A3125">
        <w:rPr>
          <w:rFonts w:asciiTheme="minorBidi" w:hAnsiTheme="minorBidi" w:cstheme="minorBidi"/>
          <w:color w:val="161F19"/>
          <w:sz w:val="22"/>
          <w:szCs w:val="22"/>
        </w:rPr>
        <w:t>Geronimus</w:t>
      </w:r>
      <w:proofErr w:type="spellEnd"/>
      <w:r w:rsidRPr="005A3125">
        <w:rPr>
          <w:rFonts w:asciiTheme="minorBidi" w:hAnsiTheme="minorBidi" w:cstheme="minorBidi"/>
          <w:color w:val="161F19"/>
          <w:sz w:val="22"/>
          <w:szCs w:val="22"/>
        </w:rPr>
        <w:t xml:space="preserve"> et al., 2006).</w:t>
      </w:r>
    </w:p>
    <w:p w14:paraId="5991FAEB" w14:textId="77777777" w:rsidR="002923D7" w:rsidRPr="005A3125" w:rsidRDefault="002923D7" w:rsidP="002923D7">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Critical Race Theory is a useful interpretive tool here, emphasizing that racism permeates institutions and policies rather than existing solely as individual bias (Delgado and Stefancic, 2017). The literature suggests Black African and Mixed African youth encounter racism in education, healthcare, employment, and broader social contexts. Hence, depression and anxiety should be interpreted as outcomes influenced by systemic inequalities rather than solely individual psychological conditions.</w:t>
      </w:r>
    </w:p>
    <w:p w14:paraId="5053F2B8" w14:textId="77777777" w:rsidR="002923D7" w:rsidRPr="005A3125" w:rsidRDefault="002923D7" w:rsidP="002923D7">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Nonetheless, some limitations exist in the evidence. Many studies grouped Black African participants into broader Black or ethnic minority categories, hindering insight into culturally specific experiences. Additionally, reliance on cross-sectional designs limits causal inferences between racism and mental health. Despite this, evidence strongly indicates structural racism as a key driver of mental health disparities, underscoring the need for anti-racist public health measures, educational reform, and culturally responsive healthcare that address root causes rather than just individual treatment.</w:t>
      </w:r>
    </w:p>
    <w:p w14:paraId="3F936585" w14:textId="77777777" w:rsidR="002923D7" w:rsidRPr="005A3125" w:rsidRDefault="002923D7" w:rsidP="002923D7">
      <w:pPr>
        <w:pStyle w:val="muitypography-root"/>
        <w:spacing w:before="0" w:beforeAutospacing="0" w:after="0" w:afterAutospacing="0" w:line="360" w:lineRule="atLeast"/>
        <w:rPr>
          <w:rFonts w:asciiTheme="minorBidi" w:hAnsiTheme="minorBidi" w:cstheme="minorBidi"/>
          <w:color w:val="161F19"/>
          <w:sz w:val="22"/>
          <w:szCs w:val="22"/>
        </w:rPr>
      </w:pPr>
      <w:r w:rsidRPr="005A3125">
        <w:rPr>
          <w:rStyle w:val="Strong"/>
          <w:rFonts w:asciiTheme="minorBidi" w:hAnsiTheme="minorBidi" w:cstheme="minorBidi"/>
          <w:color w:val="161F19"/>
          <w:sz w:val="22"/>
          <w:szCs w:val="22"/>
        </w:rPr>
        <w:t>5.3 Socioeconomic Deprivation and Mental Health</w:t>
      </w:r>
      <w:r w:rsidRPr="005A3125">
        <w:rPr>
          <w:rFonts w:asciiTheme="minorBidi" w:hAnsiTheme="minorBidi" w:cstheme="minorBidi"/>
          <w:color w:val="161F19"/>
          <w:sz w:val="22"/>
          <w:szCs w:val="22"/>
        </w:rPr>
        <w:br/>
        <w:t xml:space="preserve">Socioeconomic deprivation emerged as another vital factor influencing depression and anxiety among Black African and Mixed African youth. Across reviewed studies, poverty, unemployment, insecure housing, and disadvantaged </w:t>
      </w:r>
      <w:proofErr w:type="spellStart"/>
      <w:r w:rsidRPr="005A3125">
        <w:rPr>
          <w:rFonts w:asciiTheme="minorBidi" w:hAnsiTheme="minorBidi" w:cstheme="minorBidi"/>
          <w:color w:val="161F19"/>
          <w:sz w:val="22"/>
          <w:szCs w:val="22"/>
        </w:rPr>
        <w:t>neighborhoods</w:t>
      </w:r>
      <w:proofErr w:type="spellEnd"/>
      <w:r w:rsidRPr="005A3125">
        <w:rPr>
          <w:rFonts w:asciiTheme="minorBidi" w:hAnsiTheme="minorBidi" w:cstheme="minorBidi"/>
          <w:color w:val="161F19"/>
          <w:sz w:val="22"/>
          <w:szCs w:val="22"/>
        </w:rPr>
        <w:t xml:space="preserve"> were consistently linked to poorer mental health outcomes, echoing broad evidence that social and economic conditions fundamentally shape health and wellbeing.</w:t>
      </w:r>
    </w:p>
    <w:p w14:paraId="14AA6FA4" w14:textId="77777777" w:rsidR="002923D7" w:rsidRPr="005A3125" w:rsidRDefault="002923D7" w:rsidP="002923D7">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 xml:space="preserve">Reiss (2013) documented significant correlations between socioeconomic hardship and emotional disorders in children and adolescents. Youth from disadvantaged households were notably more prone to anxiety, depression, and </w:t>
      </w:r>
      <w:proofErr w:type="spellStart"/>
      <w:r w:rsidRPr="005A3125">
        <w:rPr>
          <w:rFonts w:asciiTheme="minorBidi" w:hAnsiTheme="minorBidi" w:cstheme="minorBidi"/>
          <w:color w:val="161F19"/>
          <w:sz w:val="22"/>
          <w:szCs w:val="22"/>
        </w:rPr>
        <w:t>behavioral</w:t>
      </w:r>
      <w:proofErr w:type="spellEnd"/>
      <w:r w:rsidRPr="005A3125">
        <w:rPr>
          <w:rFonts w:asciiTheme="minorBidi" w:hAnsiTheme="minorBidi" w:cstheme="minorBidi"/>
          <w:color w:val="161F19"/>
          <w:sz w:val="22"/>
          <w:szCs w:val="22"/>
        </w:rPr>
        <w:t xml:space="preserve"> issues compared to peers from affluent backgrounds. Similarly, Allen et al. (2014) argued that social exclusion, </w:t>
      </w:r>
      <w:r w:rsidRPr="005A3125">
        <w:rPr>
          <w:rFonts w:asciiTheme="minorBidi" w:hAnsiTheme="minorBidi" w:cstheme="minorBidi"/>
          <w:color w:val="161F19"/>
          <w:sz w:val="22"/>
          <w:szCs w:val="22"/>
        </w:rPr>
        <w:lastRenderedPageBreak/>
        <w:t>financial instability, and limited access to opportunities substantially contribute to mental health inequalities across the lifespan.</w:t>
      </w:r>
    </w:p>
    <w:p w14:paraId="6989B5A0" w14:textId="77777777" w:rsidR="002923D7" w:rsidRPr="005A3125" w:rsidRDefault="002923D7" w:rsidP="002923D7">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These findings align with Marmot et al. (2020), who demonstrated that health inequalities in the UK are deeply influenced by social and economic disadvantage. Communities experiencing poverty often face overlapping challenges such as poor housing, limited education, unstable employment, and restricted healthcare access—all contributing to psychological distress.</w:t>
      </w:r>
    </w:p>
    <w:p w14:paraId="6309AD2A" w14:textId="77777777" w:rsidR="002923D7" w:rsidRPr="005A3125" w:rsidRDefault="002923D7" w:rsidP="002923D7">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 xml:space="preserve">Supporting this, Office for National Statistics data reveal that 39% of Black African households experience relative low income post-housing costs, compared to about 18% of White British households (ONS, 2022). Additionally, overcrowded housing disproportionately affects Black African households. These disparities show that Black African communities face more </w:t>
      </w:r>
      <w:proofErr w:type="spellStart"/>
      <w:r w:rsidRPr="005A3125">
        <w:rPr>
          <w:rFonts w:asciiTheme="minorBidi" w:hAnsiTheme="minorBidi" w:cstheme="minorBidi"/>
          <w:color w:val="161F19"/>
          <w:sz w:val="22"/>
          <w:szCs w:val="22"/>
        </w:rPr>
        <w:t>unfavorable</w:t>
      </w:r>
      <w:proofErr w:type="spellEnd"/>
      <w:r w:rsidRPr="005A3125">
        <w:rPr>
          <w:rFonts w:asciiTheme="minorBidi" w:hAnsiTheme="minorBidi" w:cstheme="minorBidi"/>
          <w:color w:val="161F19"/>
          <w:sz w:val="22"/>
          <w:szCs w:val="22"/>
        </w:rPr>
        <w:t xml:space="preserve"> social conditions linked to mental health risks.</w:t>
      </w:r>
    </w:p>
    <w:p w14:paraId="05450FA2" w14:textId="77777777" w:rsidR="002923D7" w:rsidRPr="005A3125" w:rsidRDefault="002923D7" w:rsidP="002923D7">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The Social Determinants of Health framework explains these findings by emphasizing that health results from the environments people are born into, grow up in, and live in (Marmot et al., 2020). Depression and anxiety are influenced not just by personal traits but also by access to resources and opportunities. Financial hardship may cause chronic stress, uncertainty about the future, reduced social engagement, and feelings of powerlessness, all fostering psychological distress.</w:t>
      </w:r>
    </w:p>
    <w:p w14:paraId="4575787E" w14:textId="77777777" w:rsidR="002923D7" w:rsidRPr="005A3125" w:rsidRDefault="002923D7" w:rsidP="002923D7">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However, socioeconomic disadvantage does not impact everyone equally. Protective factors like strong family support, community cohesion, and cultural resilience may buffer poverty’s adverse effects. This suggests socioeconomic deprivation raises mental health vulnerability but can be moderated by social and cultural resources.</w:t>
      </w:r>
    </w:p>
    <w:p w14:paraId="469C4DEB" w14:textId="77777777" w:rsidR="002923D7" w:rsidRPr="005A3125" w:rsidRDefault="002923D7" w:rsidP="002923D7">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A further challenge in the literature is separating the effects of socioeconomic disadvantage from racism, as many Black African and Mixed African youth experience both simultaneously. This complicates understanding the relative impact of economic versus racial inequalities on mental health, highlighting the importance of intersectional analysis.</w:t>
      </w:r>
    </w:p>
    <w:p w14:paraId="75660988" w14:textId="77777777" w:rsidR="002923D7" w:rsidRPr="005A3125" w:rsidRDefault="002923D7" w:rsidP="002923D7">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Overall, socioeconomic deprivation significantly contributes to depression and anxiety among Black African and Mixed African youth. Effective public health efforts must therefore address broader social determinants such as poverty, housing, and employment alongside individual mental health care.</w:t>
      </w:r>
    </w:p>
    <w:p w14:paraId="6688AC73" w14:textId="77777777" w:rsidR="002923D7" w:rsidRPr="005A3125" w:rsidRDefault="002923D7" w:rsidP="002923D7">
      <w:pPr>
        <w:pStyle w:val="muitypography-root"/>
        <w:spacing w:before="0" w:beforeAutospacing="0" w:after="0" w:afterAutospacing="0" w:line="360" w:lineRule="atLeast"/>
        <w:rPr>
          <w:rFonts w:asciiTheme="minorBidi" w:hAnsiTheme="minorBidi" w:cstheme="minorBidi"/>
          <w:color w:val="161F19"/>
          <w:sz w:val="22"/>
          <w:szCs w:val="22"/>
        </w:rPr>
      </w:pPr>
      <w:r w:rsidRPr="005A3125">
        <w:rPr>
          <w:rStyle w:val="Strong"/>
          <w:rFonts w:asciiTheme="minorBidi" w:hAnsiTheme="minorBidi" w:cstheme="minorBidi"/>
          <w:color w:val="161F19"/>
          <w:sz w:val="22"/>
          <w:szCs w:val="22"/>
        </w:rPr>
        <w:t>5.4 Educational Exclusion and Institutional Inequality</w:t>
      </w:r>
      <w:r w:rsidRPr="005A3125">
        <w:rPr>
          <w:rFonts w:asciiTheme="minorBidi" w:hAnsiTheme="minorBidi" w:cstheme="minorBidi"/>
          <w:color w:val="161F19"/>
          <w:sz w:val="22"/>
          <w:szCs w:val="22"/>
        </w:rPr>
        <w:br/>
        <w:t>Educational experiences formed another key theme. Several studies identified educational exclusion, racial stereotyping, and institutional discrimination as contributors to psychological distress in Black African and Mixed African youth. Schools and educational institutions thus play a crucial role in shaping mental health during adolescence and early adulthood.</w:t>
      </w:r>
    </w:p>
    <w:p w14:paraId="244CB655" w14:textId="77777777" w:rsidR="002923D7" w:rsidRPr="005A3125" w:rsidRDefault="002923D7" w:rsidP="002923D7">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Gillborn (2008) argued institutional racism remains entrenched in the British education system, producing unequal outcomes for Black students via discriminatory discipline, low teacher expectations, and stereotyping. These experiences can erode self-confidence, foster exclusion, and cause emotional distress.</w:t>
      </w:r>
    </w:p>
    <w:p w14:paraId="2DFBACB4" w14:textId="77777777" w:rsidR="002923D7" w:rsidRPr="005A3125" w:rsidRDefault="002923D7" w:rsidP="002923D7">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lastRenderedPageBreak/>
        <w:t>This review's findings support these claims. Qualitative studies reported frequent racial stereotyping and heightened performance pressure among Black students. Arday (2018) noted stereotype threat, where awareness of negative stereotypes increases psychological pressure and anxiety. Participants felt compelled to outperform peers to counteract biased assumptions.</w:t>
      </w:r>
    </w:p>
    <w:p w14:paraId="2B1D365B" w14:textId="77777777" w:rsidR="002923D7" w:rsidRPr="005A3125" w:rsidRDefault="002923D7" w:rsidP="002923D7">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These educational experiences impact mental health beyond academics. School exclusion correlates with social isolation, lower educational achievement, unemployment, and mental health issues, making educational inequality a critical public health concern as well as an educational one.</w:t>
      </w:r>
    </w:p>
    <w:p w14:paraId="1ABB070B" w14:textId="77777777" w:rsidR="002923D7" w:rsidRPr="005A3125" w:rsidRDefault="002923D7" w:rsidP="002923D7">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These findings also demonstrate structural inequalities’ interconnectedness. Educational disadvantage can limit employment prospects, elevate poverty risk, and reduce social mobility, indirectly increasing depression and anxiety.</w:t>
      </w:r>
    </w:p>
    <w:p w14:paraId="1409FD80" w14:textId="77777777" w:rsidR="002923D7" w:rsidRPr="005A3125" w:rsidRDefault="002923D7" w:rsidP="002923D7">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However, caution is warranted as much literature relies on qualitative data with small samples, potentially limiting generalizability. Larger longitudinal studies are needed to clarify long-term mental health effects of educational exclusion.</w:t>
      </w:r>
    </w:p>
    <w:p w14:paraId="5E4EDC6F" w14:textId="77777777" w:rsidR="002923D7" w:rsidRPr="005A3125" w:rsidRDefault="002923D7" w:rsidP="002923D7">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Despite this, evidence strongly indicates educational inequality significantly contributes to mental health disparities. Addressing school exclusion, enhancing teacher training on racial bias, increasing diverse leadership, and fostering inclusive environments may improve mental health for Black African and Mixed African youth.</w:t>
      </w:r>
    </w:p>
    <w:p w14:paraId="126B6C5D" w14:textId="77777777" w:rsidR="002923D7" w:rsidRPr="005A3125" w:rsidRDefault="002923D7" w:rsidP="002923D7">
      <w:pPr>
        <w:pStyle w:val="muitypography-root"/>
        <w:spacing w:before="0" w:beforeAutospacing="0" w:after="0" w:afterAutospacing="0" w:line="360" w:lineRule="atLeast"/>
        <w:rPr>
          <w:rFonts w:asciiTheme="minorBidi" w:hAnsiTheme="minorBidi" w:cstheme="minorBidi"/>
          <w:color w:val="161F19"/>
          <w:sz w:val="22"/>
          <w:szCs w:val="22"/>
        </w:rPr>
      </w:pPr>
      <w:r w:rsidRPr="005A3125">
        <w:rPr>
          <w:rStyle w:val="Strong"/>
          <w:rFonts w:asciiTheme="minorBidi" w:hAnsiTheme="minorBidi" w:cstheme="minorBidi"/>
          <w:color w:val="161F19"/>
          <w:sz w:val="22"/>
          <w:szCs w:val="22"/>
        </w:rPr>
        <w:t>5.5 Identity Conflict Among Mixed African Youth</w:t>
      </w:r>
      <w:r w:rsidRPr="005A3125">
        <w:rPr>
          <w:rFonts w:asciiTheme="minorBidi" w:hAnsiTheme="minorBidi" w:cstheme="minorBidi"/>
          <w:color w:val="161F19"/>
          <w:sz w:val="22"/>
          <w:szCs w:val="22"/>
        </w:rPr>
        <w:br/>
        <w:t>Identity conflict emerged as a distinct theme, particularly for Mixed African youth, relating to their psychological and social experiences of belonging, self-concept, and cultural navigation. These youth frequently face challenges stemming from their position between multiple racial, cultural, and ethnic identities, contributing to anxiety, emotional distress, and diminished well-being.</w:t>
      </w:r>
    </w:p>
    <w:p w14:paraId="3E28DDB0" w14:textId="77777777" w:rsidR="002923D7" w:rsidRPr="005A3125" w:rsidRDefault="002923D7" w:rsidP="002923D7">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Research highlights the complexity of identity formation for mixed-race populations. Song (2017) argued that mixed-race individuals often struggle with identity in societies reliant on rigid racial categories, feeling pressured to identify with one group despite diverse backgrounds. Khanna (2011) found identity ambiguity, belonging uncertainty, and challenges with external racial classification lead to emotional strain, especially during adolescence and young adulthood, key periods for identity development.</w:t>
      </w:r>
    </w:p>
    <w:p w14:paraId="40CD81BA" w14:textId="77777777" w:rsidR="002923D7" w:rsidRPr="005A3125" w:rsidRDefault="002923D7" w:rsidP="002923D7">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This review supports these observations. Mixed African youth reported exclusion from both Black and White social spaces, feeling "not Black enough" for some Black communities and marginalized in White majority environments. This dual exclusion fosters social isolation, lowered self-esteem, and identity uncertainty, aligned with Erikson’s psychosocial development theory (Erikson, 1968). Struggling to form a stable identity may increase vulnerability to depression and anxiety.</w:t>
      </w:r>
    </w:p>
    <w:p w14:paraId="26F69FC7" w14:textId="77777777" w:rsidR="002923D7" w:rsidRPr="005A3125" w:rsidRDefault="002923D7" w:rsidP="002923D7">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 xml:space="preserve">Sims and Njaka (2020) further revealed that belonging uncertainty causes psychological distress for mixed-race youth, who face challenges managing multiple cultural expectations </w:t>
      </w:r>
      <w:r w:rsidRPr="005A3125">
        <w:rPr>
          <w:rFonts w:asciiTheme="minorBidi" w:hAnsiTheme="minorBidi" w:cstheme="minorBidi"/>
          <w:color w:val="161F19"/>
          <w:sz w:val="22"/>
          <w:szCs w:val="22"/>
        </w:rPr>
        <w:lastRenderedPageBreak/>
        <w:t>and fear social rejection. These stressors often lead to emotional exhaustion and cultural fragmentation, suggesting identity-related struggles operate alongside broader social inequalities to impact mental health.</w:t>
      </w:r>
    </w:p>
    <w:p w14:paraId="5E5C5BA6" w14:textId="77777777" w:rsidR="002923D7" w:rsidRPr="005A3125" w:rsidRDefault="002923D7" w:rsidP="002923D7">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A notable finding is the scarcity of UK-specific research on Mixed African youth. Most studies group diverse mixed-race participants together, obscuring unique cultural, migration, family, and community experiences affecting this population.</w:t>
      </w:r>
    </w:p>
    <w:p w14:paraId="1834DEA7" w14:textId="77777777" w:rsidR="002923D7" w:rsidRPr="005A3125" w:rsidRDefault="002923D7" w:rsidP="002923D7">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Viewing these findings through an intersectional lens is valuable. Identity is shaped not only by race but also gender, socioeconomic status, migration, religion, and family dynamics (Crenshaw, 1989). For instance, a Mixed African youth from a disadvantaged background might face different challenges than one from a privileged household, while gender influences experiences of racial identity and discrimination. This complexity necessitates moving beyond single-category approaches in mental health research on Mixed African youth.</w:t>
      </w:r>
    </w:p>
    <w:p w14:paraId="3F4E5CFF" w14:textId="77777777" w:rsidR="002923D7" w:rsidRPr="005A3125" w:rsidRDefault="002923D7" w:rsidP="002923D7">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Despite challenges, protective factors such as strong family bonds, cultural pride, community engagement, and positive mixed-race representation correlate with better psychological health (Song, 2017). Thus, identity conflict is not inevitable and may be mitigated through supportive social environments and identity affirmation opportunities.</w:t>
      </w:r>
    </w:p>
    <w:p w14:paraId="3C52828C" w14:textId="77777777" w:rsidR="002923D7" w:rsidRPr="005A3125" w:rsidRDefault="002923D7" w:rsidP="002923D7">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In sum, identity conflict is a significant yet underexplored factor affecting depression and anxiety in Mixed African youth, highlighting the need for more culturally specific research.</w:t>
      </w:r>
    </w:p>
    <w:p w14:paraId="4466FB84" w14:textId="77777777" w:rsidR="002923D7" w:rsidRPr="005A3125" w:rsidRDefault="002923D7" w:rsidP="002923D7">
      <w:pPr>
        <w:pStyle w:val="muitypography-root"/>
        <w:spacing w:before="0" w:beforeAutospacing="0" w:after="0" w:afterAutospacing="0" w:line="360" w:lineRule="atLeast"/>
        <w:rPr>
          <w:rFonts w:asciiTheme="minorBidi" w:hAnsiTheme="minorBidi" w:cstheme="minorBidi"/>
          <w:color w:val="161F19"/>
          <w:sz w:val="22"/>
          <w:szCs w:val="22"/>
        </w:rPr>
      </w:pPr>
      <w:r w:rsidRPr="005A3125">
        <w:rPr>
          <w:rStyle w:val="Strong"/>
          <w:rFonts w:asciiTheme="minorBidi" w:hAnsiTheme="minorBidi" w:cstheme="minorBidi"/>
          <w:color w:val="161F19"/>
          <w:sz w:val="22"/>
          <w:szCs w:val="22"/>
        </w:rPr>
        <w:t>5.6 Mental Health Stigma and Help-Seeking Barriers</w:t>
      </w:r>
      <w:r w:rsidRPr="005A3125">
        <w:rPr>
          <w:rFonts w:asciiTheme="minorBidi" w:hAnsiTheme="minorBidi" w:cstheme="minorBidi"/>
          <w:color w:val="161F19"/>
          <w:sz w:val="22"/>
          <w:szCs w:val="22"/>
        </w:rPr>
        <w:br/>
        <w:t>Mental health stigma consistently emerged as a major barrier to help-seeking among Black African and Mixed African youth, influencing attitudes toward mental illness, willingness to seek professional support, disclose struggles, and engage with services. Stigma contributes to delayed intervention, worsening outcomes, and increased crisis service use.</w:t>
      </w:r>
    </w:p>
    <w:p w14:paraId="3DCBDBCF" w14:textId="77777777" w:rsidR="002923D7" w:rsidRPr="005A3125" w:rsidRDefault="002923D7" w:rsidP="002923D7">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 xml:space="preserve">Memon et al. (2016) identified stigma as a primary obstacle to mental healthcare access among ethnic minorities in the UK. Concerns about social judgment, family reputation, and negative mental illness perceptions often deterred help-seeking. Mantovani et al. (2017) reported fears among African and African-Caribbean communities that mental health issues signal personal weakness, spiritual failure, or family </w:t>
      </w:r>
      <w:proofErr w:type="spellStart"/>
      <w:r w:rsidRPr="005A3125">
        <w:rPr>
          <w:rFonts w:asciiTheme="minorBidi" w:hAnsiTheme="minorBidi" w:cstheme="minorBidi"/>
          <w:color w:val="161F19"/>
          <w:sz w:val="22"/>
          <w:szCs w:val="22"/>
        </w:rPr>
        <w:t>dishonor</w:t>
      </w:r>
      <w:proofErr w:type="spellEnd"/>
      <w:r w:rsidRPr="005A3125">
        <w:rPr>
          <w:rFonts w:asciiTheme="minorBidi" w:hAnsiTheme="minorBidi" w:cstheme="minorBidi"/>
          <w:color w:val="161F19"/>
          <w:sz w:val="22"/>
          <w:szCs w:val="22"/>
        </w:rPr>
        <w:t>, discouraging open discussion and service engagement.</w:t>
      </w:r>
    </w:p>
    <w:p w14:paraId="50BC5A68" w14:textId="77777777" w:rsidR="002923D7" w:rsidRPr="005A3125" w:rsidRDefault="002923D7" w:rsidP="002923D7">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 xml:space="preserve">This review corroborates these findings. Participants feared being misunderstood, </w:t>
      </w:r>
      <w:proofErr w:type="spellStart"/>
      <w:r w:rsidRPr="005A3125">
        <w:rPr>
          <w:rFonts w:asciiTheme="minorBidi" w:hAnsiTheme="minorBidi" w:cstheme="minorBidi"/>
          <w:color w:val="161F19"/>
          <w:sz w:val="22"/>
          <w:szCs w:val="22"/>
        </w:rPr>
        <w:t>labeled</w:t>
      </w:r>
      <w:proofErr w:type="spellEnd"/>
      <w:r w:rsidRPr="005A3125">
        <w:rPr>
          <w:rFonts w:asciiTheme="minorBidi" w:hAnsiTheme="minorBidi" w:cstheme="minorBidi"/>
          <w:color w:val="161F19"/>
          <w:sz w:val="22"/>
          <w:szCs w:val="22"/>
        </w:rPr>
        <w:t>, or judged when disclosing anxiety or depression, and some worried about family or community reactions. These align with Goffman’s (1963) stigma theory, whereby socially discredited identities lead to concealment to avoid discrimination.</w:t>
      </w:r>
    </w:p>
    <w:p w14:paraId="64E52930" w14:textId="77777777" w:rsidR="002923D7" w:rsidRPr="005A3125" w:rsidRDefault="002923D7" w:rsidP="002923D7">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However, stigma’s influence is complex. Cultural and religious beliefs are not uniformly negative; some studies highlight family support, faith, spirituality, and community networks as sources of resilience and emotional support (Mantovani et al., 2017; Ungar, 2015). This dual role suggests cultural factors can both hinder and help mental health engagement depending on context.</w:t>
      </w:r>
    </w:p>
    <w:p w14:paraId="4669F55F" w14:textId="77777777" w:rsidR="002923D7" w:rsidRPr="005A3125" w:rsidRDefault="002923D7" w:rsidP="002923D7">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lastRenderedPageBreak/>
        <w:t>Minority Stress Theory (Meyer, 2003) explains stigma’s impact by situating it among multiple stressors—racism, discrimination, identity challenges, and socioeconomic disadvantage—that collectively heighten psychological burden and discourage service use.</w:t>
      </w:r>
    </w:p>
    <w:p w14:paraId="69F71CAB" w14:textId="77777777" w:rsidR="002923D7" w:rsidRPr="005A3125" w:rsidRDefault="002923D7" w:rsidP="002923D7">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Mistrust of mental healthcare institutions also emerged as an issue. Prior discrimination, perceived cultural insensitivity, and underrepresentation reduce confidence in formal services (</w:t>
      </w:r>
      <w:proofErr w:type="spellStart"/>
      <w:r w:rsidRPr="005A3125">
        <w:rPr>
          <w:rFonts w:asciiTheme="minorBidi" w:hAnsiTheme="minorBidi" w:cstheme="minorBidi"/>
          <w:color w:val="161F19"/>
          <w:sz w:val="22"/>
          <w:szCs w:val="22"/>
        </w:rPr>
        <w:t>Bhui</w:t>
      </w:r>
      <w:proofErr w:type="spellEnd"/>
      <w:r w:rsidRPr="005A3125">
        <w:rPr>
          <w:rFonts w:asciiTheme="minorBidi" w:hAnsiTheme="minorBidi" w:cstheme="minorBidi"/>
          <w:color w:val="161F19"/>
          <w:sz w:val="22"/>
          <w:szCs w:val="22"/>
        </w:rPr>
        <w:t xml:space="preserve"> et al., 2018; Memon et al., 2016). Some participants feared practitioners would misunderstand their cultural context or minimize racism’s mental health impact, leading to delayed help-seeking and reliance on informal supports.</w:t>
      </w:r>
    </w:p>
    <w:p w14:paraId="4813C02F" w14:textId="77777777" w:rsidR="002923D7" w:rsidRPr="005A3125" w:rsidRDefault="002923D7" w:rsidP="002923D7">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 xml:space="preserve">Nevertheless, culturally responsive services improve engagement. </w:t>
      </w:r>
      <w:proofErr w:type="spellStart"/>
      <w:r w:rsidRPr="005A3125">
        <w:rPr>
          <w:rFonts w:asciiTheme="minorBidi" w:hAnsiTheme="minorBidi" w:cstheme="minorBidi"/>
          <w:color w:val="161F19"/>
          <w:sz w:val="22"/>
          <w:szCs w:val="22"/>
        </w:rPr>
        <w:t>Bhui</w:t>
      </w:r>
      <w:proofErr w:type="spellEnd"/>
      <w:r w:rsidRPr="005A3125">
        <w:rPr>
          <w:rFonts w:asciiTheme="minorBidi" w:hAnsiTheme="minorBidi" w:cstheme="minorBidi"/>
          <w:color w:val="161F19"/>
          <w:sz w:val="22"/>
          <w:szCs w:val="22"/>
        </w:rPr>
        <w:t xml:space="preserve"> et al. (2018) noted culturally competent care enhances trust and communication, while Edge and Grey (2018) found community-based, culturally adapted programs improved access and satisfaction.</w:t>
      </w:r>
    </w:p>
    <w:p w14:paraId="38C0B2C7" w14:textId="77777777" w:rsidR="002923D7" w:rsidRPr="005A3125" w:rsidRDefault="002923D7" w:rsidP="002923D7">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A limitation is the predominance of adult-focused studies, leaving gaps in understanding stigma’s effects on youth aged 16–25. Future research should explore age-specific stigma experiences and strategies to enhance early service engagement.</w:t>
      </w:r>
    </w:p>
    <w:p w14:paraId="53973EC1" w14:textId="77777777" w:rsidR="002923D7" w:rsidRPr="005A3125" w:rsidRDefault="002923D7" w:rsidP="002923D7">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Overall, stigma remains a significant barrier to help-seeking in Black African and Mixed African youth. Public health efforts should aim to reduce stigma while reinforcing culturally relevant community support systems.</w:t>
      </w:r>
    </w:p>
    <w:p w14:paraId="6C4F505F" w14:textId="77777777" w:rsidR="002923D7" w:rsidRPr="005A3125" w:rsidRDefault="002923D7" w:rsidP="002923D7">
      <w:pPr>
        <w:pStyle w:val="muitypography-root"/>
        <w:spacing w:before="0" w:beforeAutospacing="0" w:after="0" w:afterAutospacing="0" w:line="360" w:lineRule="atLeast"/>
        <w:rPr>
          <w:rFonts w:asciiTheme="minorBidi" w:hAnsiTheme="minorBidi" w:cstheme="minorBidi"/>
          <w:color w:val="161F19"/>
          <w:sz w:val="22"/>
          <w:szCs w:val="22"/>
        </w:rPr>
      </w:pPr>
      <w:r w:rsidRPr="005A3125">
        <w:rPr>
          <w:rStyle w:val="Strong"/>
          <w:rFonts w:asciiTheme="minorBidi" w:hAnsiTheme="minorBidi" w:cstheme="minorBidi"/>
          <w:color w:val="161F19"/>
          <w:sz w:val="22"/>
          <w:szCs w:val="22"/>
        </w:rPr>
        <w:t>5.7 NHS Mental Healthcare Inequalities</w:t>
      </w:r>
      <w:r w:rsidRPr="005A3125">
        <w:rPr>
          <w:rFonts w:asciiTheme="minorBidi" w:hAnsiTheme="minorBidi" w:cstheme="minorBidi"/>
          <w:color w:val="161F19"/>
          <w:sz w:val="22"/>
          <w:szCs w:val="22"/>
        </w:rPr>
        <w:br/>
        <w:t>The review identified significant inequalities in NHS mental healthcare affecting Black African and Mixed African populations. Despite intentions for equitable access, disparities persist across care pathways, including delayed treatment, reliance on crisis interventions, high rates of compulsory detention, and reduced trust in healthcare institutions.</w:t>
      </w:r>
    </w:p>
    <w:p w14:paraId="39CB39AF" w14:textId="77777777" w:rsidR="002923D7" w:rsidRPr="005A3125" w:rsidRDefault="002923D7" w:rsidP="002923D7">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A key finding is ethnic disparities in compulsory detention under the Mental Health Act. Barnett et al. (2019) reported Black populations in England are more likely than White British to face compulsory psychiatric admission. Similar national data raise concerns about systemic inequities in mental healthcare. Such detentions often coincide with severe crises, diminished autonomy, and negative care experiences.</w:t>
      </w:r>
    </w:p>
    <w:p w14:paraId="4470BB13" w14:textId="77777777" w:rsidR="002923D7" w:rsidRPr="005A3125" w:rsidRDefault="002923D7" w:rsidP="002923D7">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Morgan et al. (2020) argued delayed access to preventive care fuels disproportionate crisis service use among Black populations, with many entering services only during acute distress, increasing coercive interventions and mistrust.</w:t>
      </w:r>
    </w:p>
    <w:p w14:paraId="33C5B333" w14:textId="77777777" w:rsidR="002923D7" w:rsidRPr="005A3125" w:rsidRDefault="002923D7" w:rsidP="002923D7">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 xml:space="preserve">Concerns about cultural competence in NHS services were also noted. </w:t>
      </w:r>
      <w:proofErr w:type="spellStart"/>
      <w:r w:rsidRPr="005A3125">
        <w:rPr>
          <w:rFonts w:asciiTheme="minorBidi" w:hAnsiTheme="minorBidi" w:cstheme="minorBidi"/>
          <w:color w:val="161F19"/>
          <w:sz w:val="22"/>
          <w:szCs w:val="22"/>
        </w:rPr>
        <w:t>Bhui</w:t>
      </w:r>
      <w:proofErr w:type="spellEnd"/>
      <w:r w:rsidRPr="005A3125">
        <w:rPr>
          <w:rFonts w:asciiTheme="minorBidi" w:hAnsiTheme="minorBidi" w:cstheme="minorBidi"/>
          <w:color w:val="161F19"/>
          <w:sz w:val="22"/>
          <w:szCs w:val="22"/>
        </w:rPr>
        <w:t xml:space="preserve"> et al. (2018) found minority ethnic users perceive services as insufficiently attuned to their cultural needs, struggling to address racism, discrimination, and identity issues in therapy, eroding trust and treatment adherence.</w:t>
      </w:r>
    </w:p>
    <w:p w14:paraId="42788990" w14:textId="77777777" w:rsidR="002923D7" w:rsidRPr="005A3125" w:rsidRDefault="002923D7" w:rsidP="002923D7">
      <w:pPr>
        <w:pStyle w:val="muitypography-root"/>
        <w:spacing w:before="0" w:beforeAutospacing="0" w:after="0" w:afterAutospacing="0" w:line="360" w:lineRule="atLeast"/>
        <w:rPr>
          <w:rFonts w:asciiTheme="minorBidi" w:hAnsiTheme="minorBidi" w:cstheme="minorBidi"/>
          <w:color w:val="161F19"/>
          <w:sz w:val="22"/>
          <w:szCs w:val="22"/>
        </w:rPr>
      </w:pPr>
      <w:proofErr w:type="spellStart"/>
      <w:r w:rsidRPr="005A3125">
        <w:rPr>
          <w:rFonts w:asciiTheme="minorBidi" w:hAnsiTheme="minorBidi" w:cstheme="minorBidi"/>
          <w:color w:val="161F19"/>
          <w:sz w:val="22"/>
          <w:szCs w:val="22"/>
        </w:rPr>
        <w:t>Nazroo</w:t>
      </w:r>
      <w:proofErr w:type="spellEnd"/>
      <w:r w:rsidRPr="005A3125">
        <w:rPr>
          <w:rFonts w:asciiTheme="minorBidi" w:hAnsiTheme="minorBidi" w:cstheme="minorBidi"/>
          <w:color w:val="161F19"/>
          <w:sz w:val="22"/>
          <w:szCs w:val="22"/>
        </w:rPr>
        <w:t xml:space="preserve"> (2021) further argued structural racism shapes healthcare via institutional policies, workforce inequalities, and unequal resource access. Critical Race Theory similarly views healthcare disparities as rooted in institutional practices that perpetuate inequality despite formal commitments to equity (Delgado and Stefancic, 2017).</w:t>
      </w:r>
    </w:p>
    <w:p w14:paraId="25423194" w14:textId="77777777" w:rsidR="002923D7" w:rsidRPr="005A3125" w:rsidRDefault="002923D7" w:rsidP="002923D7">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lastRenderedPageBreak/>
        <w:t>Promising examples include community mental health programs, culturally adapted therapies, and workforce diversity efforts that improve engagement (</w:t>
      </w:r>
      <w:proofErr w:type="spellStart"/>
      <w:r w:rsidRPr="005A3125">
        <w:rPr>
          <w:rFonts w:asciiTheme="minorBidi" w:hAnsiTheme="minorBidi" w:cstheme="minorBidi"/>
          <w:color w:val="161F19"/>
          <w:sz w:val="22"/>
          <w:szCs w:val="22"/>
        </w:rPr>
        <w:t>Bhui</w:t>
      </w:r>
      <w:proofErr w:type="spellEnd"/>
      <w:r w:rsidRPr="005A3125">
        <w:rPr>
          <w:rFonts w:asciiTheme="minorBidi" w:hAnsiTheme="minorBidi" w:cstheme="minorBidi"/>
          <w:color w:val="161F19"/>
          <w:sz w:val="22"/>
          <w:szCs w:val="22"/>
        </w:rPr>
        <w:t xml:space="preserve"> et al., 2018; Edge and Grey, 2018). However, NHS Race and Health Observatory (2022) emphasizes persistent ethnic disparities, suggesting policy alone is insufficient without systemic change.</w:t>
      </w:r>
    </w:p>
    <w:p w14:paraId="7774D38D" w14:textId="77777777" w:rsidR="002923D7" w:rsidRPr="005A3125" w:rsidRDefault="002923D7" w:rsidP="002923D7">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Research often aggregates Black populations, limiting insight into Black African and Mixed African youth experiences, highlighting a need for focused investigation in NHS care contexts.</w:t>
      </w:r>
    </w:p>
    <w:p w14:paraId="57E4D1CA" w14:textId="77777777" w:rsidR="002923D7" w:rsidRPr="005A3125" w:rsidRDefault="002923D7" w:rsidP="002923D7">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Overall, NHS mental healthcare inequalities significantly contribute to mental health disparities. Priorities include enhancing culturally responsive services, reducing crisis reliance, boosting workforce diversity, and confronting institutional racism in policy and practice.</w:t>
      </w:r>
    </w:p>
    <w:p w14:paraId="00511F1C" w14:textId="77777777" w:rsidR="002923D7" w:rsidRPr="005A3125" w:rsidRDefault="002923D7" w:rsidP="002923D7">
      <w:pPr>
        <w:pStyle w:val="muitypography-root"/>
        <w:spacing w:before="0" w:beforeAutospacing="0" w:after="0" w:afterAutospacing="0" w:line="360" w:lineRule="atLeast"/>
        <w:rPr>
          <w:rFonts w:asciiTheme="minorBidi" w:hAnsiTheme="minorBidi" w:cstheme="minorBidi"/>
          <w:color w:val="161F19"/>
          <w:sz w:val="22"/>
          <w:szCs w:val="22"/>
        </w:rPr>
      </w:pPr>
      <w:r w:rsidRPr="005A3125">
        <w:rPr>
          <w:rStyle w:val="Strong"/>
          <w:rFonts w:asciiTheme="minorBidi" w:hAnsiTheme="minorBidi" w:cstheme="minorBidi"/>
          <w:color w:val="161F19"/>
          <w:sz w:val="22"/>
          <w:szCs w:val="22"/>
        </w:rPr>
        <w:t>5.8 Intersectionality and Mental Health Outcomes</w:t>
      </w:r>
      <w:r w:rsidRPr="005A3125">
        <w:rPr>
          <w:rFonts w:asciiTheme="minorBidi" w:hAnsiTheme="minorBidi" w:cstheme="minorBidi"/>
          <w:color w:val="161F19"/>
          <w:sz w:val="22"/>
          <w:szCs w:val="22"/>
        </w:rPr>
        <w:br/>
        <w:t>A major contribution of this review is emphasizing that depression and anxiety in Black African and Mixed African youth cannot be fully understood through isolated factors. Though themes like racism, socioeconomic status, education, identity conflict, stigma, and healthcare inequality were discussed separately, they interact complexly. An intersectional framework thus offers a fuller understanding of mental health inequities in these groups.</w:t>
      </w:r>
    </w:p>
    <w:p w14:paraId="432317CA" w14:textId="77777777" w:rsidR="002923D7" w:rsidRPr="005A3125" w:rsidRDefault="002923D7" w:rsidP="002923D7">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Crenshaw (1989) introduced intersectionality to explain how multiple social inequalities simultaneously shape lived experiences. Rather than isolating race, ethnicity, gender, socioeconomic status, or age, intersectionality recognizes overlapping disadvantages that single-category analyses miss.</w:t>
      </w:r>
    </w:p>
    <w:p w14:paraId="34547714" w14:textId="77777777" w:rsidR="002923D7" w:rsidRPr="005A3125" w:rsidRDefault="002923D7" w:rsidP="002923D7">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This review’s findings strongly endorse an intersectional interpretation. Black African and Mixed African youth concurrently face racism, poverty, educational barriers, social exclusion, and healthcare access issues that combine to increase stress exposure and limit protective resources. For example, a youth experiencing racial discrimination might also reside in a deprived area, attend under-resourced schools, and encounter healthcare barriers, cumulatively heightening depression and anxiety risk.</w:t>
      </w:r>
    </w:p>
    <w:p w14:paraId="27690233" w14:textId="77777777" w:rsidR="002923D7" w:rsidRPr="005A3125" w:rsidRDefault="002923D7" w:rsidP="002923D7">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Socioeconomic status is a key intersecting factor. Black African households face disproportionate poverty, housing insecurity, and unemployment compared to White British (ONS, 2022). These economic challenges coexist with racism, amplifying psychological stress. Reiss (2013) and Marmot et al. (2020) show socioeconomic disadvantage independently worsens mental health, but for Black African youth, these challenges are intensified by structural racism across employment, housing, and education.</w:t>
      </w:r>
    </w:p>
    <w:p w14:paraId="02862065" w14:textId="77777777" w:rsidR="002923D7" w:rsidRPr="005A3125" w:rsidRDefault="002923D7" w:rsidP="002923D7">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Educational exclusion also intersects with mental health. Gillborn (2008) and Arday (2018) describe institutional racism in schools contributing to lower expectations and harsher discipline for Black students, limiting future opportunities and perpetuating socioeconomic inequalities. Educational experiences thus affect mental health directly and indirectly.</w:t>
      </w:r>
    </w:p>
    <w:p w14:paraId="6E956934" w14:textId="77777777" w:rsidR="002923D7" w:rsidRPr="005A3125" w:rsidRDefault="002923D7" w:rsidP="002923D7">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 xml:space="preserve">Migration influences mental health for some Black African youth but is underexplored. Migration challenges like cultural adjustment, language barriers, family separation, and </w:t>
      </w:r>
      <w:r w:rsidRPr="005A3125">
        <w:rPr>
          <w:rFonts w:asciiTheme="minorBidi" w:hAnsiTheme="minorBidi" w:cstheme="minorBidi"/>
          <w:color w:val="161F19"/>
          <w:sz w:val="22"/>
          <w:szCs w:val="22"/>
        </w:rPr>
        <w:lastRenderedPageBreak/>
        <w:t>immigration uncertainties may compound stress and interact with racism and poverty, warranting further research.</w:t>
      </w:r>
    </w:p>
    <w:p w14:paraId="74F1D7AA" w14:textId="77777777" w:rsidR="002923D7" w:rsidRPr="005A3125" w:rsidRDefault="002923D7" w:rsidP="002923D7">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Gender remains another underexamined factor. Although most reviewed studies lacked gender-specific analysis, existing research suggests Black male and female youth face distinct discrimination types and mental health challenges (Crenshaw, 1989). This gap indicates a need for gender-sensitive inquiry.</w:t>
      </w:r>
    </w:p>
    <w:p w14:paraId="7CEB9B8D" w14:textId="77777777" w:rsidR="002923D7" w:rsidRPr="005A3125" w:rsidRDefault="002923D7" w:rsidP="002923D7">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Mixed African youth exemplify intersectionality’s importance. Their identity conflicts reflect unique challenges navigating multiple racial and cultural identities, experiencing distinct discrimination and exclusion patterns not captured by single-identity frameworks. Intersectionality calls for nuanced consideration of race, culture, family, and social context interactions.</w:t>
      </w:r>
    </w:p>
    <w:p w14:paraId="75BB67BB" w14:textId="77777777" w:rsidR="002923D7" w:rsidRPr="005A3125" w:rsidRDefault="002923D7" w:rsidP="002923D7">
      <w:pPr>
        <w:pStyle w:val="muitypography-root"/>
        <w:spacing w:before="0" w:beforeAutospacing="0" w:after="0" w:afterAutospacing="0" w:line="360" w:lineRule="atLeast"/>
        <w:rPr>
          <w:rFonts w:asciiTheme="minorBidi" w:hAnsiTheme="minorBidi" w:cstheme="minorBidi"/>
          <w:color w:val="161F19"/>
          <w:sz w:val="22"/>
          <w:szCs w:val="22"/>
        </w:rPr>
      </w:pPr>
      <w:proofErr w:type="spellStart"/>
      <w:r w:rsidRPr="005A3125">
        <w:rPr>
          <w:rFonts w:asciiTheme="minorBidi" w:hAnsiTheme="minorBidi" w:cstheme="minorBidi"/>
          <w:color w:val="161F19"/>
          <w:sz w:val="22"/>
          <w:szCs w:val="22"/>
        </w:rPr>
        <w:t>Kapilashrami</w:t>
      </w:r>
      <w:proofErr w:type="spellEnd"/>
      <w:r w:rsidRPr="005A3125">
        <w:rPr>
          <w:rFonts w:asciiTheme="minorBidi" w:hAnsiTheme="minorBidi" w:cstheme="minorBidi"/>
          <w:color w:val="161F19"/>
          <w:sz w:val="22"/>
          <w:szCs w:val="22"/>
        </w:rPr>
        <w:t xml:space="preserve"> and </w:t>
      </w:r>
      <w:proofErr w:type="spellStart"/>
      <w:r w:rsidRPr="005A3125">
        <w:rPr>
          <w:rFonts w:asciiTheme="minorBidi" w:hAnsiTheme="minorBidi" w:cstheme="minorBidi"/>
          <w:color w:val="161F19"/>
          <w:sz w:val="22"/>
          <w:szCs w:val="22"/>
        </w:rPr>
        <w:t>Hankivsky</w:t>
      </w:r>
      <w:proofErr w:type="spellEnd"/>
      <w:r w:rsidRPr="005A3125">
        <w:rPr>
          <w:rFonts w:asciiTheme="minorBidi" w:hAnsiTheme="minorBidi" w:cstheme="minorBidi"/>
          <w:color w:val="161F19"/>
          <w:sz w:val="22"/>
          <w:szCs w:val="22"/>
        </w:rPr>
        <w:t xml:space="preserve"> (2018) advocate intersectionality as vital for public health to grasp health inequities’ complexity. This review supports that view, showing interconnected determinants shape mental health in Black African and Mixed African youth. Single-factor interventions risk missing broader structural contributors to distress.</w:t>
      </w:r>
    </w:p>
    <w:p w14:paraId="31876659" w14:textId="77777777" w:rsidR="002923D7" w:rsidRPr="005A3125" w:rsidRDefault="002923D7" w:rsidP="002923D7">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 xml:space="preserve">This intersectional insight has policy implications: public health strategies should transcend one-dimensional ethnicity or </w:t>
      </w:r>
      <w:proofErr w:type="spellStart"/>
      <w:r w:rsidRPr="005A3125">
        <w:rPr>
          <w:rFonts w:asciiTheme="minorBidi" w:hAnsiTheme="minorBidi" w:cstheme="minorBidi"/>
          <w:color w:val="161F19"/>
          <w:sz w:val="22"/>
          <w:szCs w:val="22"/>
        </w:rPr>
        <w:t>behavior</w:t>
      </w:r>
      <w:proofErr w:type="spellEnd"/>
      <w:r w:rsidRPr="005A3125">
        <w:rPr>
          <w:rFonts w:asciiTheme="minorBidi" w:hAnsiTheme="minorBidi" w:cstheme="minorBidi"/>
          <w:color w:val="161F19"/>
          <w:sz w:val="22"/>
          <w:szCs w:val="22"/>
        </w:rPr>
        <w:t>-focused approaches, instead addressing intertwined influences of racism, poverty, education, identity, and healthcare access to reduce inequalities effectively.</w:t>
      </w:r>
    </w:p>
    <w:p w14:paraId="326E3016" w14:textId="77777777" w:rsidR="002923D7" w:rsidRPr="005A3125" w:rsidRDefault="002923D7" w:rsidP="002923D7">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In summary, an intersectional lens is crucial for understanding depression and anxiety among Black African and Mixed African youth, as overlapping social identities and conditions create complex mental health pathways. Future research, policy, and service provision should integrate intersectional perspectives to better serve the diverse needs of African-heritage youth.</w:t>
      </w:r>
    </w:p>
    <w:p w14:paraId="483787F8" w14:textId="77777777" w:rsidR="002923D7" w:rsidRPr="005A3125" w:rsidRDefault="002923D7" w:rsidP="002923D7">
      <w:pPr>
        <w:pStyle w:val="muitypography-root"/>
        <w:spacing w:before="0" w:beforeAutospacing="0" w:after="0" w:afterAutospacing="0" w:line="360" w:lineRule="atLeast"/>
        <w:rPr>
          <w:rFonts w:asciiTheme="minorBidi" w:hAnsiTheme="minorBidi" w:cstheme="minorBidi"/>
          <w:color w:val="161F19"/>
          <w:sz w:val="22"/>
          <w:szCs w:val="22"/>
        </w:rPr>
      </w:pPr>
      <w:r w:rsidRPr="005A3125">
        <w:rPr>
          <w:rStyle w:val="Strong"/>
          <w:rFonts w:asciiTheme="minorBidi" w:hAnsiTheme="minorBidi" w:cstheme="minorBidi"/>
          <w:color w:val="161F19"/>
          <w:sz w:val="22"/>
          <w:szCs w:val="22"/>
        </w:rPr>
        <w:t>5.9 Strengths and Limitations of the Review</w:t>
      </w:r>
      <w:r w:rsidRPr="005A3125">
        <w:rPr>
          <w:rFonts w:asciiTheme="minorBidi" w:hAnsiTheme="minorBidi" w:cstheme="minorBidi"/>
          <w:color w:val="161F19"/>
          <w:sz w:val="22"/>
          <w:szCs w:val="22"/>
        </w:rPr>
        <w:br/>
        <w:t>Evaluating this systematic review’s strengths and limitations is vital for judging its reliability, validity, and applicability. The review offers valuable insights into factors influencing depression and anxiety in Black African and Mixed African youth in the UK, but some methodological considerations apply.</w:t>
      </w:r>
    </w:p>
    <w:p w14:paraId="156815FB" w14:textId="77777777" w:rsidR="002923D7" w:rsidRPr="005A3125" w:rsidRDefault="002923D7" w:rsidP="002923D7">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Key strengths include using a systematic review approach, regarded as rigorous due to transparent, reproducible processes for literature identification, selection, and appraisal (Page et al., 2021). This reduces selection bias and bolsters findings’ credibility.</w:t>
      </w:r>
    </w:p>
    <w:p w14:paraId="551FEC57" w14:textId="77777777" w:rsidR="002923D7" w:rsidRPr="005A3125" w:rsidRDefault="002923D7" w:rsidP="002923D7">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Applying the PRISMA framework enhanced transparency in documenting study identification, screening, eligibility, and inclusion, facilitating replication and increasing confidence in the review process.</w:t>
      </w:r>
    </w:p>
    <w:p w14:paraId="44BA9B40" w14:textId="77777777" w:rsidR="002923D7" w:rsidRPr="005A3125" w:rsidRDefault="002923D7" w:rsidP="002923D7">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Quality appraisal using the CASP framework ensured interpretation considered study strengths and weaknesses, avoiding equal weighting of all evidence and allowing more balanced conclusions.</w:t>
      </w:r>
    </w:p>
    <w:p w14:paraId="45E2B154" w14:textId="77777777" w:rsidR="002923D7" w:rsidRPr="005A3125" w:rsidRDefault="002923D7" w:rsidP="002923D7">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lastRenderedPageBreak/>
        <w:t>Using multiple databases (PubMed, Scopus, PsycINFO, CINAHL, Google Scholar) increased comprehensiveness and reduced the risk of missing relevant studies.</w:t>
      </w:r>
    </w:p>
    <w:p w14:paraId="24B9BD82" w14:textId="77777777" w:rsidR="002923D7" w:rsidRPr="005A3125" w:rsidRDefault="002923D7" w:rsidP="002923D7">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Focusing on underrepresented groups—Black African and Mixed African youth—addresses an important literature gap, as these populations are often subsumed within broader categories, limiting specificity.</w:t>
      </w:r>
    </w:p>
    <w:p w14:paraId="04A7DD7A" w14:textId="77777777" w:rsidR="002923D7" w:rsidRPr="005A3125" w:rsidRDefault="002923D7" w:rsidP="002923D7">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 xml:space="preserve">However, limitations include scarcity of studies </w:t>
      </w:r>
      <w:proofErr w:type="spellStart"/>
      <w:r w:rsidRPr="005A3125">
        <w:rPr>
          <w:rFonts w:asciiTheme="minorBidi" w:hAnsiTheme="minorBidi" w:cstheme="minorBidi"/>
          <w:color w:val="161F19"/>
          <w:sz w:val="22"/>
          <w:szCs w:val="22"/>
        </w:rPr>
        <w:t>focu</w:t>
      </w:r>
      <w:proofErr w:type="spellEnd"/>
    </w:p>
    <w:p w14:paraId="64C3A9B8" w14:textId="1EA0DCF1" w:rsidR="00255216" w:rsidRPr="005A3125" w:rsidRDefault="00DD3AD1" w:rsidP="00DD3AD1">
      <w:pPr>
        <w:spacing w:line="360" w:lineRule="auto"/>
        <w:jc w:val="both"/>
        <w:rPr>
          <w:rFonts w:asciiTheme="minorBidi" w:hAnsiTheme="minorBidi"/>
        </w:rPr>
      </w:pPr>
      <w:r w:rsidRPr="005A3125">
        <w:rPr>
          <w:rFonts w:asciiTheme="minorBidi" w:hAnsiTheme="minorBidi"/>
        </w:rPr>
        <w:t>.</w:t>
      </w:r>
    </w:p>
    <w:p w14:paraId="10F0E8A4" w14:textId="66C47A87" w:rsidR="007F57B1" w:rsidRPr="005A3125" w:rsidRDefault="00E8291A" w:rsidP="00E8291A">
      <w:pPr>
        <w:pStyle w:val="Heading1"/>
        <w:spacing w:line="360" w:lineRule="auto"/>
        <w:ind w:left="12" w:right="3"/>
        <w:jc w:val="left"/>
        <w:rPr>
          <w:rFonts w:asciiTheme="minorBidi" w:hAnsiTheme="minorBidi" w:cstheme="minorBidi"/>
          <w:sz w:val="22"/>
        </w:rPr>
      </w:pPr>
      <w:bookmarkStart w:id="41" w:name="_Toc232456076"/>
      <w:r w:rsidRPr="005A3125">
        <w:rPr>
          <w:rFonts w:asciiTheme="minorBidi" w:hAnsiTheme="minorBidi" w:cstheme="minorBidi"/>
          <w:sz w:val="22"/>
        </w:rPr>
        <w:t>5.12 Chapter Summary</w:t>
      </w:r>
      <w:bookmarkEnd w:id="41"/>
    </w:p>
    <w:p w14:paraId="3A67F6E1" w14:textId="301F6B67" w:rsidR="00DD3AD1" w:rsidRPr="005A3125" w:rsidRDefault="00DD3AD1" w:rsidP="00DD3AD1">
      <w:pPr>
        <w:spacing w:line="360" w:lineRule="auto"/>
        <w:jc w:val="both"/>
        <w:rPr>
          <w:rFonts w:asciiTheme="minorBidi" w:hAnsiTheme="minorBidi"/>
        </w:rPr>
      </w:pPr>
      <w:r w:rsidRPr="005A3125">
        <w:rPr>
          <w:rFonts w:asciiTheme="minorBidi" w:hAnsiTheme="minorBidi"/>
        </w:rPr>
        <w:t>This chapter critically examined the findings of the systematic review on mental health inequalities among Black African and Mixed African youth in the UK. Findings consistently demonstrate that mental health outcomes are shaped by interconnected structural and social inequalities, including racism, socioeconomic deprivation, educational exclusion, identity conflict, stigma, and healthcare barriers. The evidence indicates that these factors operate cumulatively rather than independently, requiring holistic, multi-sectoral responses.</w:t>
      </w:r>
    </w:p>
    <w:p w14:paraId="3CE4C8FB" w14:textId="70956FD3" w:rsidR="00DD3AD1" w:rsidRPr="005A3125" w:rsidRDefault="00DD3AD1" w:rsidP="007F57B1">
      <w:pPr>
        <w:spacing w:line="360" w:lineRule="auto"/>
        <w:jc w:val="both"/>
        <w:rPr>
          <w:rFonts w:asciiTheme="minorBidi" w:hAnsiTheme="minorBidi"/>
        </w:rPr>
      </w:pPr>
      <w:r w:rsidRPr="005A3125">
        <w:rPr>
          <w:rFonts w:asciiTheme="minorBidi" w:hAnsiTheme="minorBidi"/>
        </w:rPr>
        <w:t>Key limitations include underrepresentation of Mixed African youth, limited longitudinal evidence, and a lack of intervention-based studies. Overall, the findings highlight the need for culturally responsive, anti-racist, and intersectional approaches to reduce mental health inequalities and improve outcomes for Black African and Mixed African youth in the United Kingdom.</w:t>
      </w:r>
    </w:p>
    <w:p w14:paraId="443B552D" w14:textId="33512521" w:rsidR="00E8291A" w:rsidRPr="005A3125" w:rsidRDefault="00E8291A" w:rsidP="00DD3AD1">
      <w:pPr>
        <w:pStyle w:val="Heading1"/>
        <w:spacing w:line="360" w:lineRule="auto"/>
        <w:ind w:left="12" w:right="3"/>
        <w:rPr>
          <w:rFonts w:asciiTheme="minorBidi" w:hAnsiTheme="minorBidi" w:cstheme="minorBidi"/>
          <w:sz w:val="22"/>
        </w:rPr>
      </w:pPr>
      <w:bookmarkStart w:id="42" w:name="_Toc232456077"/>
      <w:r w:rsidRPr="005A3125">
        <w:rPr>
          <w:rFonts w:asciiTheme="minorBidi" w:hAnsiTheme="minorBidi" w:cstheme="minorBidi"/>
          <w:sz w:val="22"/>
        </w:rPr>
        <w:t>Chapter 6: Conclusion and Recommendations</w:t>
      </w:r>
      <w:bookmarkEnd w:id="42"/>
    </w:p>
    <w:p w14:paraId="67C008A0" w14:textId="781DC8F2" w:rsidR="00293B95" w:rsidRPr="005A3125" w:rsidRDefault="00E8291A" w:rsidP="00293B95">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sz w:val="22"/>
          <w:szCs w:val="22"/>
        </w:rPr>
        <w:t>6.</w:t>
      </w:r>
      <w:r w:rsidR="00293B95" w:rsidRPr="005A3125">
        <w:rPr>
          <w:rFonts w:asciiTheme="minorBidi" w:hAnsiTheme="minorBidi" w:cstheme="minorBidi"/>
          <w:sz w:val="22"/>
          <w:szCs w:val="22"/>
        </w:rPr>
        <w:t xml:space="preserve">1 </w:t>
      </w:r>
      <w:r w:rsidR="00096466" w:rsidRPr="005A3125">
        <w:rPr>
          <w:rFonts w:asciiTheme="minorBidi" w:hAnsiTheme="minorBidi" w:cstheme="minorBidi"/>
          <w:sz w:val="22"/>
          <w:szCs w:val="22"/>
        </w:rPr>
        <w:t>I</w:t>
      </w:r>
      <w:r w:rsidR="00293B95" w:rsidRPr="005A3125">
        <w:rPr>
          <w:rStyle w:val="Strong"/>
          <w:rFonts w:asciiTheme="minorBidi" w:hAnsiTheme="minorBidi" w:cstheme="minorBidi"/>
          <w:color w:val="161F19"/>
          <w:sz w:val="22"/>
          <w:szCs w:val="22"/>
        </w:rPr>
        <w:t>ntroduction</w:t>
      </w:r>
      <w:r w:rsidR="00293B95" w:rsidRPr="005A3125">
        <w:rPr>
          <w:rFonts w:asciiTheme="minorBidi" w:hAnsiTheme="minorBidi" w:cstheme="minorBidi"/>
          <w:color w:val="161F19"/>
          <w:sz w:val="22"/>
          <w:szCs w:val="22"/>
        </w:rPr>
        <w:br/>
        <w:t>This chapter provides a summary of the principal findings from the systematic review and explores their implications for policy, professional practice, and future research directions. It concludes by offering recommendations aimed at mitigating mental health disparities affecting Black African and Mixed African youth in the United Kingdom.</w:t>
      </w:r>
    </w:p>
    <w:p w14:paraId="4D17BDE9" w14:textId="77777777" w:rsidR="00293B95" w:rsidRPr="005A3125" w:rsidRDefault="00293B95" w:rsidP="00293B95">
      <w:pPr>
        <w:pStyle w:val="muitypography-root"/>
        <w:spacing w:before="0" w:beforeAutospacing="0" w:after="0" w:afterAutospacing="0" w:line="360" w:lineRule="atLeast"/>
        <w:rPr>
          <w:rFonts w:asciiTheme="minorBidi" w:hAnsiTheme="minorBidi" w:cstheme="minorBidi"/>
          <w:color w:val="161F19"/>
          <w:sz w:val="22"/>
          <w:szCs w:val="22"/>
        </w:rPr>
      </w:pPr>
      <w:r w:rsidRPr="005A3125">
        <w:rPr>
          <w:rStyle w:val="Strong"/>
          <w:rFonts w:asciiTheme="minorBidi" w:hAnsiTheme="minorBidi" w:cstheme="minorBidi"/>
          <w:color w:val="161F19"/>
          <w:sz w:val="22"/>
          <w:szCs w:val="22"/>
        </w:rPr>
        <w:t>6.2 Overall Conclusion</w:t>
      </w:r>
      <w:r w:rsidRPr="005A3125">
        <w:rPr>
          <w:rFonts w:asciiTheme="minorBidi" w:hAnsiTheme="minorBidi" w:cstheme="minorBidi"/>
          <w:color w:val="161F19"/>
          <w:sz w:val="22"/>
          <w:szCs w:val="22"/>
        </w:rPr>
        <w:br/>
        <w:t>The systematic review aimed to investigate the factors contributing to depression and anxiety among Black African and Mixed African youth aged 16–25 in the UK. Synthesizing evidence from 20 studies, it revealed that mental health outcomes result from a multifaceted interaction among structural, social, economic, educational, cultural, and healthcare-related influences.</w:t>
      </w:r>
    </w:p>
    <w:p w14:paraId="22DD810B" w14:textId="77777777" w:rsidR="00293B95" w:rsidRPr="005A3125" w:rsidRDefault="00293B95" w:rsidP="00293B95">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 xml:space="preserve">Six key themes emerged: structural racism and discrimination; socioeconomic deprivation and </w:t>
      </w:r>
      <w:proofErr w:type="spellStart"/>
      <w:r w:rsidRPr="005A3125">
        <w:rPr>
          <w:rFonts w:asciiTheme="minorBidi" w:hAnsiTheme="minorBidi" w:cstheme="minorBidi"/>
          <w:color w:val="161F19"/>
          <w:sz w:val="22"/>
          <w:szCs w:val="22"/>
        </w:rPr>
        <w:t>neighborhood</w:t>
      </w:r>
      <w:proofErr w:type="spellEnd"/>
      <w:r w:rsidRPr="005A3125">
        <w:rPr>
          <w:rFonts w:asciiTheme="minorBidi" w:hAnsiTheme="minorBidi" w:cstheme="minorBidi"/>
          <w:color w:val="161F19"/>
          <w:sz w:val="22"/>
          <w:szCs w:val="22"/>
        </w:rPr>
        <w:t xml:space="preserve"> disadvantage; educational exclusion and institutional inequality; identity conflict among Mixed African youth; mental health stigma and barriers to help-seeking; and disparities within mental health services. Structural racism consistently appeared as a </w:t>
      </w:r>
      <w:r w:rsidRPr="005A3125">
        <w:rPr>
          <w:rFonts w:asciiTheme="minorBidi" w:hAnsiTheme="minorBidi" w:cstheme="minorBidi"/>
          <w:color w:val="161F19"/>
          <w:sz w:val="22"/>
          <w:szCs w:val="22"/>
        </w:rPr>
        <w:lastRenderedPageBreak/>
        <w:t>primary determinant, fostering chronic stress, social exclusion, limited opportunities, and heightened susceptibility to depression and anxiety.</w:t>
      </w:r>
    </w:p>
    <w:p w14:paraId="26AC3DF7" w14:textId="77777777" w:rsidR="00293B95" w:rsidRPr="005A3125" w:rsidRDefault="00293B95" w:rsidP="00293B95">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 xml:space="preserve">Socioeconomic disadvantage was also a substantial contributor. Research indicated that poverty, unemployment, housing instability, and </w:t>
      </w:r>
      <w:proofErr w:type="spellStart"/>
      <w:r w:rsidRPr="005A3125">
        <w:rPr>
          <w:rFonts w:asciiTheme="minorBidi" w:hAnsiTheme="minorBidi" w:cstheme="minorBidi"/>
          <w:color w:val="161F19"/>
          <w:sz w:val="22"/>
          <w:szCs w:val="22"/>
        </w:rPr>
        <w:t>neighborhood</w:t>
      </w:r>
      <w:proofErr w:type="spellEnd"/>
      <w:r w:rsidRPr="005A3125">
        <w:rPr>
          <w:rFonts w:asciiTheme="minorBidi" w:hAnsiTheme="minorBidi" w:cstheme="minorBidi"/>
          <w:color w:val="161F19"/>
          <w:sz w:val="22"/>
          <w:szCs w:val="22"/>
        </w:rPr>
        <w:t xml:space="preserve"> deprivation increase exposure to prolonged stressors harmful to psychological wellbeing. Educational disparities further exacerbated mental health challenges through institutional racism, low educator expectations, exclusionary disciplinary actions, and stereotype threat—all detrimental to emotional health and self-esteem.</w:t>
      </w:r>
    </w:p>
    <w:p w14:paraId="38D204B2" w14:textId="77777777" w:rsidR="00293B95" w:rsidRPr="005A3125" w:rsidRDefault="00293B95" w:rsidP="00293B95">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The review also underscored the unique experiences of Mixed African youth, particularly concerning identity development and social belonging. Identity confusion, uncertainty around cultural affiliation, and experiences of exclusion from both majority and minority groups were linked to emotional distress and diminished psychological health. Mental health stigma and obstacles to accessing care were prominent, with fears of discrimination, cultural misunderstandings, family judgment, and distrust of services restricting engagement with mental health support.</w:t>
      </w:r>
    </w:p>
    <w:p w14:paraId="6C0B03F1" w14:textId="77777777" w:rsidR="00293B95" w:rsidRPr="005A3125" w:rsidRDefault="00293B95" w:rsidP="00293B95">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Collectively, these findings illustrate that depression and anxiety in Black African and Mixed African youth cannot be fully explained by individual-level factors alone. Instead, broader structural inequities shape access to resources, opportunities, and support throughout their lives.</w:t>
      </w:r>
    </w:p>
    <w:p w14:paraId="7DA3283D" w14:textId="77777777" w:rsidR="00293B95" w:rsidRPr="005A3125" w:rsidRDefault="00293B95" w:rsidP="00293B95">
      <w:pPr>
        <w:pStyle w:val="muitypography-root"/>
        <w:spacing w:before="0" w:beforeAutospacing="0" w:after="0" w:afterAutospacing="0" w:line="360" w:lineRule="atLeast"/>
        <w:rPr>
          <w:rFonts w:asciiTheme="minorBidi" w:hAnsiTheme="minorBidi" w:cstheme="minorBidi"/>
          <w:color w:val="161F19"/>
          <w:sz w:val="22"/>
          <w:szCs w:val="22"/>
        </w:rPr>
      </w:pPr>
      <w:r w:rsidRPr="005A3125">
        <w:rPr>
          <w:rStyle w:val="Strong"/>
          <w:rFonts w:asciiTheme="minorBidi" w:hAnsiTheme="minorBidi" w:cstheme="minorBidi"/>
          <w:color w:val="161F19"/>
          <w:sz w:val="22"/>
          <w:szCs w:val="22"/>
        </w:rPr>
        <w:t>6.3 Recommendations for Public Health Policy</w:t>
      </w:r>
      <w:r w:rsidRPr="005A3125">
        <w:rPr>
          <w:rFonts w:asciiTheme="minorBidi" w:hAnsiTheme="minorBidi" w:cstheme="minorBidi"/>
          <w:color w:val="161F19"/>
          <w:sz w:val="22"/>
          <w:szCs w:val="22"/>
        </w:rPr>
        <w:br/>
        <w:t>The review’s findings highlight that reducing mental health disparities requires coordinated, multi-sector collaboration across healthcare, education, housing, employment, and community systems.</w:t>
      </w:r>
    </w:p>
    <w:p w14:paraId="774B9761" w14:textId="77777777" w:rsidR="00293B95" w:rsidRPr="005A3125" w:rsidRDefault="00293B95" w:rsidP="00293B95">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First, structural racism must be explicitly acknowledged as a fundamental social determinant of mental health. National mental health strategies should integrate anti-racist frameworks addressing inequalities across healthcare, education, employment, and public services.</w:t>
      </w:r>
    </w:p>
    <w:p w14:paraId="29FB61BF" w14:textId="77777777" w:rsidR="00293B95" w:rsidRPr="005A3125" w:rsidRDefault="00293B95" w:rsidP="00293B95">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Second, prioritizing investment in early intervention services is essential. Mental health programs based in schools and communities can facilitate early recognition of psychological distress and timely access to care, preventing escalation into more severe mental health issues.</w:t>
      </w:r>
    </w:p>
    <w:p w14:paraId="2BE19974" w14:textId="77777777" w:rsidR="00293B95" w:rsidRPr="005A3125" w:rsidRDefault="00293B95" w:rsidP="00293B95">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Third, policies targeting socioeconomic inequality—such as poverty alleviation, housing stability, and improved employment access—should be embedded within mental health strategies, as these structural conditions closely associate with the onset and persistence of depression and anxiety.</w:t>
      </w:r>
    </w:p>
    <w:p w14:paraId="08C8D268" w14:textId="77777777" w:rsidR="00293B95" w:rsidRPr="005A3125" w:rsidRDefault="00293B95" w:rsidP="00293B95">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Finally, increased funding is needed for culturally responsive mental health services tailored to the lived realities and needs of Black African and Mixed African youth. Such services should emphasize inclusivity, cultural competence, and fostering trust between service users and providers.</w:t>
      </w:r>
    </w:p>
    <w:p w14:paraId="1B3C9C67" w14:textId="77777777" w:rsidR="00293B95" w:rsidRPr="005A3125" w:rsidRDefault="00293B95" w:rsidP="00293B95">
      <w:pPr>
        <w:pStyle w:val="muitypography-root"/>
        <w:spacing w:before="0" w:beforeAutospacing="0" w:after="0" w:afterAutospacing="0" w:line="360" w:lineRule="atLeast"/>
        <w:rPr>
          <w:rFonts w:asciiTheme="minorBidi" w:hAnsiTheme="minorBidi" w:cstheme="minorBidi"/>
          <w:color w:val="161F19"/>
          <w:sz w:val="22"/>
          <w:szCs w:val="22"/>
        </w:rPr>
      </w:pPr>
      <w:r w:rsidRPr="005A3125">
        <w:rPr>
          <w:rStyle w:val="Strong"/>
          <w:rFonts w:asciiTheme="minorBidi" w:hAnsiTheme="minorBidi" w:cstheme="minorBidi"/>
          <w:color w:val="161F19"/>
          <w:sz w:val="22"/>
          <w:szCs w:val="22"/>
        </w:rPr>
        <w:lastRenderedPageBreak/>
        <w:t>6.4 Recommendations for Professional Practice</w:t>
      </w:r>
      <w:r w:rsidRPr="005A3125">
        <w:rPr>
          <w:rFonts w:asciiTheme="minorBidi" w:hAnsiTheme="minorBidi" w:cstheme="minorBidi"/>
          <w:color w:val="161F19"/>
          <w:sz w:val="22"/>
          <w:szCs w:val="22"/>
        </w:rPr>
        <w:br/>
        <w:t>Several actionable recommendations arise for practitioners. Mental health professionals should receive ongoing training in cultural competence, anti-racist practice, and intersectionality. This training is crucial for enhancing understanding of racism, identity-related stress, and migration experiences, which in turn can improve therapeutic alliances and service engagement.</w:t>
      </w:r>
    </w:p>
    <w:p w14:paraId="7F48CCDE" w14:textId="77777777" w:rsidR="00293B95" w:rsidRPr="005A3125" w:rsidRDefault="00293B95" w:rsidP="00293B95">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Educational institutions should adopt comprehensive anti-racist policies and strengthen mental health support for students. Schools, colleges, and universities play a vital role in addressing educational inequalities and supporting psychological wellbeing among young people.</w:t>
      </w:r>
    </w:p>
    <w:p w14:paraId="26E85C5B" w14:textId="77777777" w:rsidR="00293B95" w:rsidRPr="005A3125" w:rsidRDefault="00293B95" w:rsidP="00293B95">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Healthcare organizations must continue to advance workforce diversity and representation. A more diverse workforce can improve communication, foster trust, and deliver culturally informed care for minority ethnic groups.</w:t>
      </w:r>
    </w:p>
    <w:p w14:paraId="3B2BE4B4" w14:textId="77777777" w:rsidR="00293B95" w:rsidRPr="005A3125" w:rsidRDefault="00293B95" w:rsidP="00293B95">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Community organizations and faith-based groups should be actively engaged in mental health promotion. The review identified family support, cultural identity, and community cohesion as significant protective factors that enhance resilience and wellbeing.</w:t>
      </w:r>
    </w:p>
    <w:p w14:paraId="1DF19879" w14:textId="77777777" w:rsidR="00293B95" w:rsidRPr="005A3125" w:rsidRDefault="00293B95" w:rsidP="00293B95">
      <w:pPr>
        <w:pStyle w:val="muitypography-root"/>
        <w:spacing w:before="0" w:beforeAutospacing="0" w:after="0" w:afterAutospacing="0" w:line="360" w:lineRule="atLeast"/>
        <w:rPr>
          <w:rFonts w:asciiTheme="minorBidi" w:hAnsiTheme="minorBidi" w:cstheme="minorBidi"/>
          <w:color w:val="161F19"/>
          <w:sz w:val="22"/>
          <w:szCs w:val="22"/>
        </w:rPr>
      </w:pPr>
      <w:r w:rsidRPr="005A3125">
        <w:rPr>
          <w:rStyle w:val="Strong"/>
          <w:rFonts w:asciiTheme="minorBidi" w:hAnsiTheme="minorBidi" w:cstheme="minorBidi"/>
          <w:color w:val="161F19"/>
          <w:sz w:val="22"/>
          <w:szCs w:val="22"/>
        </w:rPr>
        <w:t>6.5 Recommendations for Future Research</w:t>
      </w:r>
      <w:r w:rsidRPr="005A3125">
        <w:rPr>
          <w:rFonts w:asciiTheme="minorBidi" w:hAnsiTheme="minorBidi" w:cstheme="minorBidi"/>
          <w:color w:val="161F19"/>
          <w:sz w:val="22"/>
          <w:szCs w:val="22"/>
        </w:rPr>
        <w:br/>
        <w:t>The review identifies several critical research gaps.</w:t>
      </w:r>
    </w:p>
    <w:p w14:paraId="58730D95" w14:textId="77777777" w:rsidR="00293B95" w:rsidRPr="005A3125" w:rsidRDefault="00293B95" w:rsidP="00293B95">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Future studies should specifically focus on Black African and Mixed African youth rather than aggregating diverse populations into broad ethnic categories, enabling a more precise understanding of culturally specific mental health experiences and needs.</w:t>
      </w:r>
    </w:p>
    <w:p w14:paraId="50DCECBD" w14:textId="77777777" w:rsidR="00293B95" w:rsidRPr="005A3125" w:rsidRDefault="00293B95" w:rsidP="00293B95">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Longitudinal research is required to explore how racism, socioeconomic hardship, educational inequality, and identity development influence mental health over time. Current reliance on cross-sectional designs limits causal inference.</w:t>
      </w:r>
    </w:p>
    <w:p w14:paraId="4672DFCF" w14:textId="77777777" w:rsidR="00293B95" w:rsidRPr="005A3125" w:rsidRDefault="00293B95" w:rsidP="00293B95">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Further investigation into gender differences and the interplay of race, gender, socioeconomic status, migration history, and other social determinants is necessary, as these areas remain underexplored.</w:t>
      </w:r>
    </w:p>
    <w:p w14:paraId="4000D72D" w14:textId="77777777" w:rsidR="00293B95" w:rsidRPr="005A3125" w:rsidRDefault="00293B95" w:rsidP="00293B95">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More intervention studies are needed to assess the effectiveness of culturally tailored mental health programs and to identify strategies that successfully reduce mental health inequalities.</w:t>
      </w:r>
    </w:p>
    <w:p w14:paraId="7B4B9E0E" w14:textId="77777777" w:rsidR="00293B95" w:rsidRPr="005A3125" w:rsidRDefault="00293B95" w:rsidP="00293B95">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t>Lastly, employing intersectional frameworks in future research will better capture the complex interactions of multiple identities and structural inequities shaping mental health outcomes.</w:t>
      </w:r>
    </w:p>
    <w:p w14:paraId="1EFB6E95" w14:textId="77777777" w:rsidR="00293B95" w:rsidRPr="005A3125" w:rsidRDefault="00293B95" w:rsidP="00293B95">
      <w:pPr>
        <w:pStyle w:val="muitypography-root"/>
        <w:spacing w:before="0" w:beforeAutospacing="0" w:after="0" w:afterAutospacing="0" w:line="360" w:lineRule="atLeast"/>
        <w:rPr>
          <w:rFonts w:asciiTheme="minorBidi" w:hAnsiTheme="minorBidi" w:cstheme="minorBidi"/>
          <w:color w:val="161F19"/>
          <w:sz w:val="22"/>
          <w:szCs w:val="22"/>
        </w:rPr>
      </w:pPr>
      <w:r w:rsidRPr="005A3125">
        <w:rPr>
          <w:rStyle w:val="Strong"/>
          <w:rFonts w:asciiTheme="minorBidi" w:hAnsiTheme="minorBidi" w:cstheme="minorBidi"/>
          <w:color w:val="161F19"/>
          <w:sz w:val="22"/>
          <w:szCs w:val="22"/>
        </w:rPr>
        <w:t>6.6 Final Concluding Statement</w:t>
      </w:r>
      <w:r w:rsidRPr="005A3125">
        <w:rPr>
          <w:rFonts w:asciiTheme="minorBidi" w:hAnsiTheme="minorBidi" w:cstheme="minorBidi"/>
          <w:color w:val="161F19"/>
          <w:sz w:val="22"/>
          <w:szCs w:val="22"/>
        </w:rPr>
        <w:br/>
        <w:t>In summary, this systematic review reveals that depression and anxiety among Black African and Mixed African youth in the UK are deeply influenced by structural and social inequalities. Racism, socioeconomic deprivation, educational exclusion, identity-related challenges, and healthcare disparities intersect to heighten vulnerability to adverse mental health outcomes.</w:t>
      </w:r>
    </w:p>
    <w:p w14:paraId="2ECE0865" w14:textId="77777777" w:rsidR="00293B95" w:rsidRPr="005A3125" w:rsidRDefault="00293B95" w:rsidP="00293B95">
      <w:pPr>
        <w:pStyle w:val="muitypography-root"/>
        <w:spacing w:before="0" w:beforeAutospacing="0" w:after="0" w:afterAutospacing="0" w:line="360" w:lineRule="atLeast"/>
        <w:rPr>
          <w:rFonts w:asciiTheme="minorBidi" w:hAnsiTheme="minorBidi" w:cstheme="minorBidi"/>
          <w:color w:val="161F19"/>
          <w:sz w:val="22"/>
          <w:szCs w:val="22"/>
        </w:rPr>
      </w:pPr>
      <w:r w:rsidRPr="005A3125">
        <w:rPr>
          <w:rFonts w:asciiTheme="minorBidi" w:hAnsiTheme="minorBidi" w:cstheme="minorBidi"/>
          <w:color w:val="161F19"/>
          <w:sz w:val="22"/>
          <w:szCs w:val="22"/>
        </w:rPr>
        <w:lastRenderedPageBreak/>
        <w:t>Effectively addressing these disparities demands coordinated efforts across public health, healthcare, education, and community sectors. The implementation of culturally competent, anti-racist, and intersectional approaches is essential to reduce mental health inequalities and enhance the wellbeing of Black African and Mixed African youth in the United Kingdom.</w:t>
      </w:r>
    </w:p>
    <w:p w14:paraId="4C0FE605" w14:textId="5C2C1E8F" w:rsidR="007F73EA" w:rsidRPr="005A3125" w:rsidRDefault="007F73EA" w:rsidP="003C642F">
      <w:pPr>
        <w:pStyle w:val="Heading1"/>
        <w:spacing w:line="360" w:lineRule="auto"/>
        <w:ind w:left="12" w:right="3"/>
        <w:jc w:val="left"/>
        <w:rPr>
          <w:rFonts w:asciiTheme="minorBidi" w:hAnsiTheme="minorBidi" w:cstheme="minorBidi"/>
          <w:sz w:val="22"/>
        </w:rPr>
      </w:pPr>
    </w:p>
    <w:p w14:paraId="6D17C02B" w14:textId="344356CD" w:rsidR="00E8291A" w:rsidRPr="005A3125" w:rsidRDefault="00E8291A" w:rsidP="002A6F75">
      <w:pPr>
        <w:spacing w:line="360" w:lineRule="auto"/>
        <w:jc w:val="both"/>
        <w:rPr>
          <w:rFonts w:asciiTheme="minorBidi" w:hAnsiTheme="minorBidi"/>
        </w:rPr>
      </w:pPr>
    </w:p>
    <w:p w14:paraId="2C1A57EA" w14:textId="2CDAB2F0" w:rsidR="009C1731" w:rsidRPr="005A3125" w:rsidRDefault="009C1731" w:rsidP="008457A3">
      <w:pPr>
        <w:pStyle w:val="Heading1"/>
        <w:spacing w:after="0" w:line="360" w:lineRule="auto"/>
        <w:ind w:left="12" w:right="3"/>
        <w:jc w:val="left"/>
        <w:rPr>
          <w:rFonts w:asciiTheme="minorBidi" w:hAnsiTheme="minorBidi" w:cstheme="minorBidi"/>
          <w:sz w:val="22"/>
        </w:rPr>
      </w:pPr>
      <w:bookmarkStart w:id="43" w:name="_Toc232456078"/>
      <w:r w:rsidRPr="005A3125">
        <w:rPr>
          <w:rFonts w:asciiTheme="minorBidi" w:hAnsiTheme="minorBidi" w:cstheme="minorBidi"/>
          <w:sz w:val="22"/>
        </w:rPr>
        <w:t>References</w:t>
      </w:r>
      <w:bookmarkEnd w:id="43"/>
      <w:r w:rsidRPr="005A3125">
        <w:rPr>
          <w:rFonts w:asciiTheme="minorBidi" w:hAnsiTheme="minorBidi" w:cstheme="minorBidi"/>
          <w:sz w:val="22"/>
        </w:rPr>
        <w:t xml:space="preserve"> </w:t>
      </w:r>
    </w:p>
    <w:p w14:paraId="25462B91" w14:textId="77777777" w:rsidR="004C685A" w:rsidRPr="005A3125" w:rsidRDefault="004C685A" w:rsidP="004C685A">
      <w:pPr>
        <w:pStyle w:val="NormalWeb"/>
        <w:numPr>
          <w:ilvl w:val="0"/>
          <w:numId w:val="37"/>
        </w:numPr>
        <w:spacing w:line="360" w:lineRule="auto"/>
        <w:rPr>
          <w:rStyle w:val="Hyperlink"/>
          <w:rFonts w:asciiTheme="minorBidi" w:hAnsiTheme="minorBidi" w:cstheme="minorBidi"/>
          <w:color w:val="auto"/>
          <w:sz w:val="22"/>
          <w:szCs w:val="22"/>
          <w:u w:val="none"/>
        </w:rPr>
      </w:pPr>
      <w:r w:rsidRPr="005A3125">
        <w:rPr>
          <w:rFonts w:asciiTheme="minorBidi" w:hAnsiTheme="minorBidi" w:cstheme="minorBidi"/>
          <w:sz w:val="22"/>
          <w:szCs w:val="22"/>
        </w:rPr>
        <w:t xml:space="preserve">    </w:t>
      </w:r>
      <w:r w:rsidRPr="005A3125">
        <w:rPr>
          <w:rFonts w:asciiTheme="minorBidi" w:hAnsiTheme="minorBidi" w:cstheme="minorBidi"/>
          <w:sz w:val="22"/>
          <w:szCs w:val="22"/>
        </w:rPr>
        <w:t xml:space="preserve">Allen, J., Balfour, R., Bell, R. and Marmot, M. (2014) ‘Social determinants of mental health’, </w:t>
      </w:r>
      <w:r w:rsidRPr="005A3125">
        <w:rPr>
          <w:rStyle w:val="Emphasis"/>
          <w:rFonts w:asciiTheme="minorBidi" w:hAnsiTheme="minorBidi" w:cstheme="minorBidi"/>
          <w:sz w:val="22"/>
          <w:szCs w:val="22"/>
        </w:rPr>
        <w:t>International Review of Psychiatry</w:t>
      </w:r>
      <w:r w:rsidRPr="005A3125">
        <w:rPr>
          <w:rFonts w:asciiTheme="minorBidi" w:hAnsiTheme="minorBidi" w:cstheme="minorBidi"/>
          <w:sz w:val="22"/>
          <w:szCs w:val="22"/>
        </w:rPr>
        <w:t>, 26(4), pp. 392–407.</w:t>
      </w:r>
      <w:r w:rsidRPr="005A3125">
        <w:rPr>
          <w:rFonts w:asciiTheme="minorBidi" w:hAnsiTheme="minorBidi" w:cstheme="minorBidi"/>
          <w:sz w:val="22"/>
          <w:szCs w:val="22"/>
        </w:rPr>
        <w:br/>
      </w:r>
      <w:hyperlink r:id="rId23" w:tgtFrame="_new" w:history="1">
        <w:r w:rsidRPr="005A3125">
          <w:rPr>
            <w:rStyle w:val="Hyperlink"/>
            <w:rFonts w:asciiTheme="minorBidi" w:hAnsiTheme="minorBidi" w:cstheme="minorBidi"/>
            <w:sz w:val="22"/>
            <w:szCs w:val="22"/>
          </w:rPr>
          <w:t>https://doi.org/10.3109/09540261.2014.928270</w:t>
        </w:r>
      </w:hyperlink>
    </w:p>
    <w:p w14:paraId="10022309"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Style w:val="Strong"/>
          <w:rFonts w:asciiTheme="minorBidi" w:hAnsiTheme="minorBidi" w:cstheme="minorBidi"/>
          <w:b w:val="0"/>
          <w:sz w:val="22"/>
          <w:szCs w:val="22"/>
        </w:rPr>
        <w:t>Alegría, M., Alvarez, K. and DiMarzio, K. (2017)</w:t>
      </w:r>
      <w:r w:rsidRPr="005A3125">
        <w:rPr>
          <w:rFonts w:asciiTheme="minorBidi" w:hAnsiTheme="minorBidi" w:cstheme="minorBidi"/>
          <w:sz w:val="22"/>
          <w:szCs w:val="22"/>
        </w:rPr>
        <w:br/>
        <w:t xml:space="preserve">‘Prevalence and treatment of mental health disorders among US Latino and Asian Americans’, </w:t>
      </w:r>
      <w:r w:rsidRPr="005A3125">
        <w:rPr>
          <w:rStyle w:val="Emphasis"/>
          <w:rFonts w:asciiTheme="minorBidi" w:hAnsiTheme="minorBidi" w:cstheme="minorBidi"/>
          <w:sz w:val="22"/>
          <w:szCs w:val="22"/>
        </w:rPr>
        <w:t>Annual Review of Public Health</w:t>
      </w:r>
      <w:r w:rsidRPr="005A3125">
        <w:rPr>
          <w:rFonts w:asciiTheme="minorBidi" w:hAnsiTheme="minorBidi" w:cstheme="minorBidi"/>
          <w:sz w:val="22"/>
          <w:szCs w:val="22"/>
        </w:rPr>
        <w:t xml:space="preserve">, 38, pp. 487–499. DOI: 10.2105/AJPH.2006.08720 </w:t>
      </w:r>
      <w:hyperlink r:id="rId24" w:history="1">
        <w:r w:rsidRPr="005A3125">
          <w:rPr>
            <w:rStyle w:val="Hyperlink"/>
            <w:rFonts w:asciiTheme="minorBidi" w:hAnsiTheme="minorBidi" w:cstheme="minorBidi"/>
            <w:sz w:val="22"/>
            <w:szCs w:val="22"/>
          </w:rPr>
          <w:t>https://pubmed.ncbi.nlm.nih.gov/17138910/</w:t>
        </w:r>
      </w:hyperlink>
      <w:r w:rsidRPr="005A3125">
        <w:rPr>
          <w:rFonts w:asciiTheme="minorBidi" w:hAnsiTheme="minorBidi" w:cstheme="minorBidi"/>
          <w:sz w:val="22"/>
          <w:szCs w:val="22"/>
        </w:rPr>
        <w:t xml:space="preserve"> </w:t>
      </w:r>
    </w:p>
    <w:p w14:paraId="3D06BD14"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Arday, J. (2018) ‘Understanding mental health: exploring the experiences of Black and minority ethnic students in UK higher education’, </w:t>
      </w:r>
      <w:r w:rsidRPr="005A3125">
        <w:rPr>
          <w:rStyle w:val="Emphasis"/>
          <w:rFonts w:asciiTheme="minorBidi" w:hAnsiTheme="minorBidi" w:cstheme="minorBidi"/>
          <w:sz w:val="22"/>
          <w:szCs w:val="22"/>
        </w:rPr>
        <w:t>Social Sciences</w:t>
      </w:r>
      <w:r w:rsidRPr="005A3125">
        <w:rPr>
          <w:rFonts w:asciiTheme="minorBidi" w:hAnsiTheme="minorBidi" w:cstheme="minorBidi"/>
          <w:sz w:val="22"/>
          <w:szCs w:val="22"/>
        </w:rPr>
        <w:t xml:space="preserve">, 7(10), p. 196. </w:t>
      </w:r>
      <w:hyperlink r:id="rId25" w:history="1">
        <w:r w:rsidRPr="005A3125">
          <w:rPr>
            <w:rStyle w:val="Hyperlink"/>
            <w:rFonts w:asciiTheme="minorBidi" w:hAnsiTheme="minorBidi" w:cstheme="minorBidi"/>
            <w:sz w:val="22"/>
            <w:szCs w:val="22"/>
          </w:rPr>
          <w:t>https://doi.org/10.3390/socsci7100196</w:t>
        </w:r>
      </w:hyperlink>
      <w:r w:rsidRPr="005A3125">
        <w:rPr>
          <w:rFonts w:asciiTheme="minorBidi" w:hAnsiTheme="minorBidi" w:cstheme="minorBidi"/>
          <w:sz w:val="22"/>
          <w:szCs w:val="22"/>
        </w:rPr>
        <w:t xml:space="preserve"> </w:t>
      </w:r>
    </w:p>
    <w:p w14:paraId="46907392"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proofErr w:type="spellStart"/>
      <w:r w:rsidRPr="005A3125">
        <w:rPr>
          <w:rFonts w:asciiTheme="minorBidi" w:hAnsiTheme="minorBidi" w:cstheme="minorBidi"/>
          <w:sz w:val="22"/>
          <w:szCs w:val="22"/>
        </w:rPr>
        <w:t>Aromataris</w:t>
      </w:r>
      <w:proofErr w:type="spellEnd"/>
      <w:r w:rsidRPr="005A3125">
        <w:rPr>
          <w:rFonts w:asciiTheme="minorBidi" w:hAnsiTheme="minorBidi" w:cstheme="minorBidi"/>
          <w:sz w:val="22"/>
          <w:szCs w:val="22"/>
        </w:rPr>
        <w:t xml:space="preserve">, E. and Pearson, A. (2014) ‘The systematic review: an overview’, </w:t>
      </w:r>
      <w:r w:rsidRPr="005A3125">
        <w:rPr>
          <w:rStyle w:val="Emphasis"/>
          <w:rFonts w:asciiTheme="minorBidi" w:hAnsiTheme="minorBidi" w:cstheme="minorBidi"/>
          <w:sz w:val="22"/>
          <w:szCs w:val="22"/>
        </w:rPr>
        <w:t>AJN The American Journal of Nursing</w:t>
      </w:r>
      <w:r w:rsidRPr="005A3125">
        <w:rPr>
          <w:rFonts w:asciiTheme="minorBidi" w:hAnsiTheme="minorBidi" w:cstheme="minorBidi"/>
          <w:sz w:val="22"/>
          <w:szCs w:val="22"/>
        </w:rPr>
        <w:t>, 114(3), pp. 53–58.</w:t>
      </w:r>
      <w:r w:rsidRPr="005A3125">
        <w:rPr>
          <w:rFonts w:asciiTheme="minorBidi" w:hAnsiTheme="minorBidi" w:cstheme="minorBidi"/>
          <w:sz w:val="22"/>
          <w:szCs w:val="22"/>
        </w:rPr>
        <w:br/>
      </w:r>
      <w:hyperlink r:id="rId26" w:history="1">
        <w:r w:rsidRPr="005A3125">
          <w:rPr>
            <w:rStyle w:val="Hyperlink"/>
            <w:rFonts w:asciiTheme="minorBidi" w:hAnsiTheme="minorBidi" w:cstheme="minorBidi"/>
            <w:sz w:val="22"/>
            <w:szCs w:val="22"/>
          </w:rPr>
          <w:t>https://doi.org/10.1097/01.NAJ.0000444496.24228.2c</w:t>
        </w:r>
      </w:hyperlink>
      <w:r w:rsidRPr="005A3125">
        <w:rPr>
          <w:rFonts w:asciiTheme="minorBidi" w:hAnsiTheme="minorBidi" w:cstheme="minorBidi"/>
          <w:sz w:val="22"/>
          <w:szCs w:val="22"/>
        </w:rPr>
        <w:t xml:space="preserve"> </w:t>
      </w:r>
    </w:p>
    <w:p w14:paraId="2EAE7092"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Aspinall, P.J. (2020) ‘Ethnic group categorisation in health research: implications for mental health studies’, </w:t>
      </w:r>
      <w:r w:rsidRPr="005A3125">
        <w:rPr>
          <w:rStyle w:val="Emphasis"/>
          <w:rFonts w:asciiTheme="minorBidi" w:hAnsiTheme="minorBidi" w:cstheme="minorBidi"/>
          <w:sz w:val="22"/>
          <w:szCs w:val="22"/>
        </w:rPr>
        <w:t>Social Psychiatry and Psychiatric Epidemiology</w:t>
      </w:r>
      <w:r w:rsidRPr="005A3125">
        <w:rPr>
          <w:rFonts w:asciiTheme="minorBidi" w:hAnsiTheme="minorBidi" w:cstheme="minorBidi"/>
          <w:sz w:val="22"/>
          <w:szCs w:val="22"/>
        </w:rPr>
        <w:t xml:space="preserve">. </w:t>
      </w:r>
      <w:hyperlink r:id="rId27" w:history="1">
        <w:r w:rsidRPr="005A3125">
          <w:rPr>
            <w:rStyle w:val="Hyperlink"/>
            <w:rFonts w:asciiTheme="minorBidi" w:hAnsiTheme="minorBidi" w:cstheme="minorBidi"/>
            <w:sz w:val="22"/>
            <w:szCs w:val="22"/>
          </w:rPr>
          <w:t>https://doi.org/10.1007/s00127-020-01922-4</w:t>
        </w:r>
      </w:hyperlink>
      <w:r w:rsidRPr="005A3125">
        <w:rPr>
          <w:rFonts w:asciiTheme="minorBidi" w:hAnsiTheme="minorBidi" w:cstheme="minorBidi"/>
          <w:sz w:val="22"/>
          <w:szCs w:val="22"/>
        </w:rPr>
        <w:t xml:space="preserve"> </w:t>
      </w:r>
    </w:p>
    <w:p w14:paraId="75216448"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Bailey, Z.D., Krieger, N., Agénor, M., Graves, J., Linos, N. and Bassett, M.T. (2017) ‘Structural racism and health inequities in the USA: evidence and interventions’, </w:t>
      </w:r>
      <w:r w:rsidRPr="005A3125">
        <w:rPr>
          <w:rStyle w:val="Emphasis"/>
          <w:rFonts w:asciiTheme="minorBidi" w:hAnsiTheme="minorBidi" w:cstheme="minorBidi"/>
          <w:sz w:val="22"/>
          <w:szCs w:val="22"/>
        </w:rPr>
        <w:t>The Lancet</w:t>
      </w:r>
      <w:r w:rsidRPr="005A3125">
        <w:rPr>
          <w:rFonts w:asciiTheme="minorBidi" w:hAnsiTheme="minorBidi" w:cstheme="minorBidi"/>
          <w:sz w:val="22"/>
          <w:szCs w:val="22"/>
        </w:rPr>
        <w:t xml:space="preserve">, 389(10077), pp. 1453–1463. </w:t>
      </w:r>
      <w:hyperlink r:id="rId28" w:history="1">
        <w:r w:rsidRPr="005A3125">
          <w:rPr>
            <w:rStyle w:val="Hyperlink"/>
            <w:rFonts w:asciiTheme="minorBidi" w:hAnsiTheme="minorBidi" w:cstheme="minorBidi"/>
            <w:sz w:val="22"/>
            <w:szCs w:val="22"/>
          </w:rPr>
          <w:t>https://doi.org/10.1016/S0140-6736(17)30569-X</w:t>
        </w:r>
      </w:hyperlink>
      <w:r w:rsidRPr="005A3125">
        <w:rPr>
          <w:rFonts w:asciiTheme="minorBidi" w:hAnsiTheme="minorBidi" w:cstheme="minorBidi"/>
          <w:sz w:val="22"/>
          <w:szCs w:val="22"/>
        </w:rPr>
        <w:t xml:space="preserve"> </w:t>
      </w:r>
    </w:p>
    <w:p w14:paraId="1D1116CB" w14:textId="77777777" w:rsidR="004C685A" w:rsidRPr="005A3125" w:rsidRDefault="004C685A" w:rsidP="004C685A">
      <w:pPr>
        <w:pStyle w:val="ListParagraph"/>
        <w:numPr>
          <w:ilvl w:val="0"/>
          <w:numId w:val="37"/>
        </w:numPr>
        <w:spacing w:line="360" w:lineRule="auto"/>
        <w:rPr>
          <w:rFonts w:asciiTheme="minorBidi" w:hAnsiTheme="minorBidi"/>
        </w:rPr>
      </w:pPr>
      <w:r w:rsidRPr="005A3125">
        <w:rPr>
          <w:rFonts w:asciiTheme="minorBidi" w:hAnsiTheme="minorBidi"/>
        </w:rPr>
        <w:t xml:space="preserve">Bailey, Z.D., Krieger, N., Agénor, M., Graves, J., Linos, N. and Bassett, M.T. (2021) ‘Structural racism and health inequities’, </w:t>
      </w:r>
      <w:r w:rsidRPr="005A3125">
        <w:rPr>
          <w:rStyle w:val="Emphasis"/>
          <w:rFonts w:asciiTheme="minorBidi" w:hAnsiTheme="minorBidi"/>
        </w:rPr>
        <w:t>The Lancet</w:t>
      </w:r>
      <w:r w:rsidRPr="005A3125">
        <w:rPr>
          <w:rFonts w:asciiTheme="minorBidi" w:hAnsiTheme="minorBidi"/>
        </w:rPr>
        <w:t xml:space="preserve">, 397(10277), pp. 1261–1273. </w:t>
      </w:r>
      <w:hyperlink r:id="rId29" w:tgtFrame="_new" w:history="1">
        <w:r w:rsidRPr="005A3125">
          <w:rPr>
            <w:rStyle w:val="Hyperlink"/>
            <w:rFonts w:asciiTheme="minorBidi" w:hAnsiTheme="minorBidi"/>
          </w:rPr>
          <w:t>https://doi.org/10.1016/S0140-6736(21)00524-1</w:t>
        </w:r>
      </w:hyperlink>
    </w:p>
    <w:p w14:paraId="33A42E28"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Bambra, C., Riordan, R., Ford, J. and Matthews, F. (2020) ‘The COVID-19 pandemic and health inequalities’, </w:t>
      </w:r>
      <w:r w:rsidRPr="005A3125">
        <w:rPr>
          <w:rStyle w:val="Emphasis"/>
          <w:rFonts w:asciiTheme="minorBidi" w:hAnsiTheme="minorBidi" w:cstheme="minorBidi"/>
          <w:sz w:val="22"/>
          <w:szCs w:val="22"/>
        </w:rPr>
        <w:t>Journal of Epidemiology and Community Health</w:t>
      </w:r>
      <w:r w:rsidRPr="005A3125">
        <w:rPr>
          <w:rFonts w:asciiTheme="minorBidi" w:hAnsiTheme="minorBidi" w:cstheme="minorBidi"/>
          <w:sz w:val="22"/>
          <w:szCs w:val="22"/>
        </w:rPr>
        <w:t xml:space="preserve">, 74(11), pp. 964–968. </w:t>
      </w:r>
      <w:hyperlink r:id="rId30" w:tgtFrame="_new" w:history="1">
        <w:r w:rsidRPr="005A3125">
          <w:rPr>
            <w:rStyle w:val="Hyperlink"/>
            <w:rFonts w:asciiTheme="minorBidi" w:hAnsiTheme="minorBidi" w:cstheme="minorBidi"/>
            <w:sz w:val="22"/>
            <w:szCs w:val="22"/>
          </w:rPr>
          <w:t>https://doi.org/10.1136/jech-2020-214401</w:t>
        </w:r>
      </w:hyperlink>
    </w:p>
    <w:p w14:paraId="3C8B8827"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Barnett, P., Mackay, E., Matthews, H., Gate, R., Greenwood, H., Ariyo, K., </w:t>
      </w:r>
      <w:proofErr w:type="spellStart"/>
      <w:r w:rsidRPr="005A3125">
        <w:rPr>
          <w:rFonts w:asciiTheme="minorBidi" w:hAnsiTheme="minorBidi" w:cstheme="minorBidi"/>
          <w:sz w:val="22"/>
          <w:szCs w:val="22"/>
        </w:rPr>
        <w:t>Bhui</w:t>
      </w:r>
      <w:proofErr w:type="spellEnd"/>
      <w:r w:rsidRPr="005A3125">
        <w:rPr>
          <w:rFonts w:asciiTheme="minorBidi" w:hAnsiTheme="minorBidi" w:cstheme="minorBidi"/>
          <w:sz w:val="22"/>
          <w:szCs w:val="22"/>
        </w:rPr>
        <w:t xml:space="preserve">, K. and Halvorsrud, K. (2019) ‘Ethnic variations in compulsory detention under the </w:t>
      </w:r>
      <w:r w:rsidRPr="005A3125">
        <w:rPr>
          <w:rFonts w:asciiTheme="minorBidi" w:hAnsiTheme="minorBidi" w:cstheme="minorBidi"/>
          <w:sz w:val="22"/>
          <w:szCs w:val="22"/>
        </w:rPr>
        <w:lastRenderedPageBreak/>
        <w:t xml:space="preserve">Mental Health Act’, </w:t>
      </w:r>
      <w:r w:rsidRPr="005A3125">
        <w:rPr>
          <w:rStyle w:val="Emphasis"/>
          <w:rFonts w:asciiTheme="minorBidi" w:hAnsiTheme="minorBidi" w:cstheme="minorBidi"/>
          <w:sz w:val="22"/>
          <w:szCs w:val="22"/>
        </w:rPr>
        <w:t>The Lancet Psychiatry</w:t>
      </w:r>
      <w:r w:rsidRPr="005A3125">
        <w:rPr>
          <w:rFonts w:asciiTheme="minorBidi" w:hAnsiTheme="minorBidi" w:cstheme="minorBidi"/>
          <w:sz w:val="22"/>
          <w:szCs w:val="22"/>
        </w:rPr>
        <w:t>, 6(8), pp. 625–634.</w:t>
      </w:r>
      <w:r w:rsidRPr="005A3125">
        <w:rPr>
          <w:rFonts w:asciiTheme="minorBidi" w:hAnsiTheme="minorBidi" w:cstheme="minorBidi"/>
          <w:sz w:val="22"/>
          <w:szCs w:val="22"/>
        </w:rPr>
        <w:br/>
      </w:r>
      <w:hyperlink r:id="rId31" w:history="1">
        <w:r w:rsidRPr="005A3125">
          <w:rPr>
            <w:rStyle w:val="Hyperlink"/>
            <w:rFonts w:asciiTheme="minorBidi" w:hAnsiTheme="minorBidi" w:cstheme="minorBidi"/>
            <w:sz w:val="22"/>
            <w:szCs w:val="22"/>
          </w:rPr>
          <w:t>https://doi.org/10.1016/S2215-0366(19)30206-6</w:t>
        </w:r>
      </w:hyperlink>
      <w:r w:rsidRPr="005A3125">
        <w:rPr>
          <w:rFonts w:asciiTheme="minorBidi" w:hAnsiTheme="minorBidi" w:cstheme="minorBidi"/>
          <w:sz w:val="22"/>
          <w:szCs w:val="22"/>
        </w:rPr>
        <w:t xml:space="preserve"> </w:t>
      </w:r>
    </w:p>
    <w:p w14:paraId="4FF30EEB"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proofErr w:type="spellStart"/>
      <w:r w:rsidRPr="005A3125">
        <w:rPr>
          <w:rFonts w:asciiTheme="minorBidi" w:hAnsiTheme="minorBidi" w:cstheme="minorBidi"/>
          <w:sz w:val="22"/>
          <w:szCs w:val="22"/>
        </w:rPr>
        <w:t>Bécares</w:t>
      </w:r>
      <w:proofErr w:type="spellEnd"/>
      <w:r w:rsidRPr="005A3125">
        <w:rPr>
          <w:rFonts w:asciiTheme="minorBidi" w:hAnsiTheme="minorBidi" w:cstheme="minorBidi"/>
          <w:sz w:val="22"/>
          <w:szCs w:val="22"/>
        </w:rPr>
        <w:t xml:space="preserve">, L., </w:t>
      </w:r>
      <w:proofErr w:type="spellStart"/>
      <w:r w:rsidRPr="005A3125">
        <w:rPr>
          <w:rFonts w:asciiTheme="minorBidi" w:hAnsiTheme="minorBidi" w:cstheme="minorBidi"/>
          <w:sz w:val="22"/>
          <w:szCs w:val="22"/>
        </w:rPr>
        <w:t>Nazroo</w:t>
      </w:r>
      <w:proofErr w:type="spellEnd"/>
      <w:r w:rsidRPr="005A3125">
        <w:rPr>
          <w:rFonts w:asciiTheme="minorBidi" w:hAnsiTheme="minorBidi" w:cstheme="minorBidi"/>
          <w:sz w:val="22"/>
          <w:szCs w:val="22"/>
        </w:rPr>
        <w:t xml:space="preserve">, J. and Kelly, Y. (2015) ‘A longitudinal examination of maternal mental health and racial discrimination’, </w:t>
      </w:r>
      <w:r w:rsidRPr="005A3125">
        <w:rPr>
          <w:rStyle w:val="Emphasis"/>
          <w:rFonts w:asciiTheme="minorBidi" w:hAnsiTheme="minorBidi" w:cstheme="minorBidi"/>
          <w:sz w:val="22"/>
          <w:szCs w:val="22"/>
        </w:rPr>
        <w:t>Social Science &amp; Medicine</w:t>
      </w:r>
      <w:r w:rsidRPr="005A3125">
        <w:rPr>
          <w:rFonts w:asciiTheme="minorBidi" w:hAnsiTheme="minorBidi" w:cstheme="minorBidi"/>
          <w:sz w:val="22"/>
          <w:szCs w:val="22"/>
        </w:rPr>
        <w:t>, 136–137, pp. 143–151.</w:t>
      </w:r>
      <w:r w:rsidRPr="005A3125">
        <w:rPr>
          <w:rFonts w:asciiTheme="minorBidi" w:hAnsiTheme="minorBidi" w:cstheme="minorBidi"/>
          <w:sz w:val="22"/>
          <w:szCs w:val="22"/>
        </w:rPr>
        <w:br/>
      </w:r>
      <w:hyperlink r:id="rId32" w:history="1">
        <w:r w:rsidRPr="005A3125">
          <w:rPr>
            <w:rStyle w:val="Hyperlink"/>
            <w:rFonts w:asciiTheme="minorBidi" w:hAnsiTheme="minorBidi" w:cstheme="minorBidi"/>
            <w:sz w:val="22"/>
            <w:szCs w:val="22"/>
          </w:rPr>
          <w:t>https://doi.org/10.1016/j.socscimed.2015.05.001</w:t>
        </w:r>
      </w:hyperlink>
      <w:r w:rsidRPr="005A3125">
        <w:rPr>
          <w:rFonts w:asciiTheme="minorBidi" w:hAnsiTheme="minorBidi" w:cstheme="minorBidi"/>
          <w:sz w:val="22"/>
          <w:szCs w:val="22"/>
        </w:rPr>
        <w:t xml:space="preserve"> </w:t>
      </w:r>
    </w:p>
    <w:p w14:paraId="3A90238A"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proofErr w:type="spellStart"/>
      <w:r w:rsidRPr="005A3125">
        <w:rPr>
          <w:rFonts w:asciiTheme="minorBidi" w:hAnsiTheme="minorBidi" w:cstheme="minorBidi"/>
          <w:sz w:val="22"/>
          <w:szCs w:val="22"/>
        </w:rPr>
        <w:t>Bhui</w:t>
      </w:r>
      <w:proofErr w:type="spellEnd"/>
      <w:r w:rsidRPr="005A3125">
        <w:rPr>
          <w:rFonts w:asciiTheme="minorBidi" w:hAnsiTheme="minorBidi" w:cstheme="minorBidi"/>
          <w:sz w:val="22"/>
          <w:szCs w:val="22"/>
        </w:rPr>
        <w:t xml:space="preserve">, K., McKenzie, K. and Rasul, F. (2018) ‘Racism and mental health: impact and interventions’, </w:t>
      </w:r>
      <w:r w:rsidRPr="005A3125">
        <w:rPr>
          <w:rStyle w:val="Emphasis"/>
          <w:rFonts w:asciiTheme="minorBidi" w:hAnsiTheme="minorBidi" w:cstheme="minorBidi"/>
          <w:sz w:val="22"/>
          <w:szCs w:val="22"/>
        </w:rPr>
        <w:t>Current Opinion in Psychiatry</w:t>
      </w:r>
      <w:r w:rsidRPr="005A3125">
        <w:rPr>
          <w:rFonts w:asciiTheme="minorBidi" w:hAnsiTheme="minorBidi" w:cstheme="minorBidi"/>
          <w:sz w:val="22"/>
          <w:szCs w:val="22"/>
        </w:rPr>
        <w:t xml:space="preserve">, 31(4), pp. 232–238. </w:t>
      </w:r>
      <w:hyperlink r:id="rId33" w:history="1">
        <w:r w:rsidRPr="005A3125">
          <w:rPr>
            <w:rStyle w:val="Hyperlink"/>
            <w:rFonts w:asciiTheme="minorBidi" w:hAnsiTheme="minorBidi" w:cstheme="minorBidi"/>
            <w:sz w:val="22"/>
            <w:szCs w:val="22"/>
          </w:rPr>
          <w:t>https://doi.org/10.1097/YCO.0000000000000411</w:t>
        </w:r>
      </w:hyperlink>
      <w:r w:rsidRPr="005A3125">
        <w:rPr>
          <w:rFonts w:asciiTheme="minorBidi" w:hAnsiTheme="minorBidi" w:cstheme="minorBidi"/>
          <w:sz w:val="22"/>
          <w:szCs w:val="22"/>
        </w:rPr>
        <w:t xml:space="preserve"> </w:t>
      </w:r>
    </w:p>
    <w:p w14:paraId="46B03AA0"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proofErr w:type="spellStart"/>
      <w:r w:rsidRPr="005A3125">
        <w:rPr>
          <w:rFonts w:asciiTheme="minorBidi" w:hAnsiTheme="minorBidi" w:cstheme="minorBidi"/>
          <w:sz w:val="22"/>
          <w:szCs w:val="22"/>
        </w:rPr>
        <w:t>Bhui</w:t>
      </w:r>
      <w:proofErr w:type="spellEnd"/>
      <w:r w:rsidRPr="005A3125">
        <w:rPr>
          <w:rFonts w:asciiTheme="minorBidi" w:hAnsiTheme="minorBidi" w:cstheme="minorBidi"/>
          <w:sz w:val="22"/>
          <w:szCs w:val="22"/>
        </w:rPr>
        <w:t xml:space="preserve">, K., Stansfeld, S., Hull, S., Priebe, S., Mole, F. and Feder, G. (2018) ‘Ethnic variations in pathways to and use of mental health services’, </w:t>
      </w:r>
      <w:r w:rsidRPr="005A3125">
        <w:rPr>
          <w:rStyle w:val="Emphasis"/>
          <w:rFonts w:asciiTheme="minorBidi" w:hAnsiTheme="minorBidi" w:cstheme="minorBidi"/>
          <w:sz w:val="22"/>
          <w:szCs w:val="22"/>
        </w:rPr>
        <w:t>The British Journal of Psychiatry</w:t>
      </w:r>
      <w:r w:rsidRPr="005A3125">
        <w:rPr>
          <w:rFonts w:asciiTheme="minorBidi" w:hAnsiTheme="minorBidi" w:cstheme="minorBidi"/>
          <w:sz w:val="22"/>
          <w:szCs w:val="22"/>
        </w:rPr>
        <w:t xml:space="preserve">, 213(2), pp. 517–524. </w:t>
      </w:r>
      <w:hyperlink r:id="rId34" w:history="1">
        <w:r w:rsidRPr="005A3125">
          <w:rPr>
            <w:rStyle w:val="Hyperlink"/>
            <w:rFonts w:asciiTheme="minorBidi" w:hAnsiTheme="minorBidi" w:cstheme="minorBidi"/>
            <w:sz w:val="22"/>
            <w:szCs w:val="22"/>
          </w:rPr>
          <w:t>https://doi.org/10.1192/bjp.2018.114</w:t>
        </w:r>
      </w:hyperlink>
      <w:r w:rsidRPr="005A3125">
        <w:rPr>
          <w:rFonts w:asciiTheme="minorBidi" w:hAnsiTheme="minorBidi" w:cstheme="minorBidi"/>
          <w:sz w:val="22"/>
          <w:szCs w:val="22"/>
        </w:rPr>
        <w:t xml:space="preserve"> </w:t>
      </w:r>
    </w:p>
    <w:p w14:paraId="71C5EFA1"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Bonell, C., Jamal, F., Harden, A. et al. (2014) ‘Systematic review of the effects of schools on adolescent health’, </w:t>
      </w:r>
      <w:r w:rsidRPr="005A3125">
        <w:rPr>
          <w:rStyle w:val="Emphasis"/>
          <w:rFonts w:asciiTheme="minorBidi" w:hAnsiTheme="minorBidi" w:cstheme="minorBidi"/>
          <w:sz w:val="22"/>
          <w:szCs w:val="22"/>
        </w:rPr>
        <w:t>BMJ</w:t>
      </w:r>
      <w:r w:rsidRPr="005A3125">
        <w:rPr>
          <w:rFonts w:asciiTheme="minorBidi" w:hAnsiTheme="minorBidi" w:cstheme="minorBidi"/>
          <w:sz w:val="22"/>
          <w:szCs w:val="22"/>
        </w:rPr>
        <w:t xml:space="preserve">, 348, g2261. </w:t>
      </w:r>
      <w:hyperlink r:id="rId35" w:history="1">
        <w:r w:rsidRPr="005A3125">
          <w:rPr>
            <w:rStyle w:val="Hyperlink"/>
            <w:rFonts w:asciiTheme="minorBidi" w:hAnsiTheme="minorBidi" w:cstheme="minorBidi"/>
            <w:sz w:val="22"/>
            <w:szCs w:val="22"/>
          </w:rPr>
          <w:t>https://doi.org/10.1136/bmj.g2261</w:t>
        </w:r>
      </w:hyperlink>
      <w:r w:rsidRPr="005A3125">
        <w:rPr>
          <w:rFonts w:asciiTheme="minorBidi" w:hAnsiTheme="minorBidi" w:cstheme="minorBidi"/>
          <w:sz w:val="22"/>
          <w:szCs w:val="22"/>
        </w:rPr>
        <w:t xml:space="preserve"> </w:t>
      </w:r>
    </w:p>
    <w:p w14:paraId="5186D5B8"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Booth, A., Sutton, A. and Papaioannou, D. (2016) Systematic Approaches to a Successful Literature Review. 2nd </w:t>
      </w:r>
      <w:proofErr w:type="spellStart"/>
      <w:r w:rsidRPr="005A3125">
        <w:rPr>
          <w:rFonts w:asciiTheme="minorBidi" w:hAnsiTheme="minorBidi" w:cstheme="minorBidi"/>
          <w:sz w:val="22"/>
          <w:szCs w:val="22"/>
        </w:rPr>
        <w:t>edn</w:t>
      </w:r>
      <w:proofErr w:type="spellEnd"/>
      <w:r w:rsidRPr="005A3125">
        <w:rPr>
          <w:rFonts w:asciiTheme="minorBidi" w:hAnsiTheme="minorBidi" w:cstheme="minorBidi"/>
          <w:sz w:val="22"/>
          <w:szCs w:val="22"/>
        </w:rPr>
        <w:t xml:space="preserve">. London: Sage. </w:t>
      </w:r>
      <w:hyperlink r:id="rId36" w:history="1">
        <w:r w:rsidRPr="005A3125">
          <w:rPr>
            <w:rStyle w:val="Hyperlink"/>
            <w:rFonts w:asciiTheme="minorBidi" w:hAnsiTheme="minorBidi" w:cstheme="minorBidi"/>
            <w:sz w:val="22"/>
            <w:szCs w:val="22"/>
          </w:rPr>
          <w:t>https://uk.sagepub.com/en-gb/eur/systematic-approaches-to-a-successful-literature-review/book243209</w:t>
        </w:r>
      </w:hyperlink>
      <w:r w:rsidRPr="005A3125">
        <w:rPr>
          <w:rFonts w:asciiTheme="minorBidi" w:hAnsiTheme="minorBidi" w:cstheme="minorBidi"/>
          <w:sz w:val="22"/>
          <w:szCs w:val="22"/>
        </w:rPr>
        <w:t xml:space="preserve"> .</w:t>
      </w:r>
    </w:p>
    <w:p w14:paraId="3CC1D2C7"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Bowleg, L. (2012) ‘The problem with the phrase “women and minorities”: intersectionality—an important theoretical framework for public health’, </w:t>
      </w:r>
      <w:r w:rsidRPr="005A3125">
        <w:rPr>
          <w:rStyle w:val="Emphasis"/>
          <w:rFonts w:asciiTheme="minorBidi" w:hAnsiTheme="minorBidi" w:cstheme="minorBidi"/>
          <w:sz w:val="22"/>
          <w:szCs w:val="22"/>
        </w:rPr>
        <w:t>American Journal of Public Health</w:t>
      </w:r>
      <w:r w:rsidRPr="005A3125">
        <w:rPr>
          <w:rFonts w:asciiTheme="minorBidi" w:hAnsiTheme="minorBidi" w:cstheme="minorBidi"/>
          <w:sz w:val="22"/>
          <w:szCs w:val="22"/>
        </w:rPr>
        <w:t xml:space="preserve">, 102(7), pp. 1267–1273. </w:t>
      </w:r>
      <w:hyperlink r:id="rId37" w:tgtFrame="_new" w:history="1">
        <w:r w:rsidRPr="005A3125">
          <w:rPr>
            <w:rStyle w:val="Hyperlink"/>
            <w:rFonts w:asciiTheme="minorBidi" w:hAnsiTheme="minorBidi" w:cstheme="minorBidi"/>
            <w:sz w:val="22"/>
            <w:szCs w:val="22"/>
          </w:rPr>
          <w:t>https://doi.org/10.2105/AJPH.2012.300750</w:t>
        </w:r>
      </w:hyperlink>
    </w:p>
    <w:p w14:paraId="72BFFB73"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Braun, V. and Clarke, V. (2006) ‘Using thematic analysis in psychology’, </w:t>
      </w:r>
      <w:r w:rsidRPr="005A3125">
        <w:rPr>
          <w:rStyle w:val="Emphasis"/>
          <w:rFonts w:asciiTheme="minorBidi" w:hAnsiTheme="minorBidi" w:cstheme="minorBidi"/>
          <w:sz w:val="22"/>
          <w:szCs w:val="22"/>
        </w:rPr>
        <w:t>Qualitative Research in Psychology</w:t>
      </w:r>
      <w:r w:rsidRPr="005A3125">
        <w:rPr>
          <w:rFonts w:asciiTheme="minorBidi" w:hAnsiTheme="minorBidi" w:cstheme="minorBidi"/>
          <w:sz w:val="22"/>
          <w:szCs w:val="22"/>
        </w:rPr>
        <w:t>, 3(2), pp. 77–101.</w:t>
      </w:r>
      <w:r w:rsidRPr="005A3125">
        <w:rPr>
          <w:rFonts w:asciiTheme="minorBidi" w:hAnsiTheme="minorBidi" w:cstheme="minorBidi"/>
          <w:sz w:val="22"/>
          <w:szCs w:val="22"/>
        </w:rPr>
        <w:br/>
      </w:r>
      <w:hyperlink r:id="rId38" w:tgtFrame="_new" w:history="1">
        <w:r w:rsidRPr="005A3125">
          <w:rPr>
            <w:rStyle w:val="Hyperlink"/>
            <w:rFonts w:asciiTheme="minorBidi" w:hAnsiTheme="minorBidi" w:cstheme="minorBidi"/>
            <w:sz w:val="22"/>
            <w:szCs w:val="22"/>
          </w:rPr>
          <w:t>https://doi.org/10.1191/1478088706qp063oa</w:t>
        </w:r>
      </w:hyperlink>
    </w:p>
    <w:p w14:paraId="4A1E5ED7"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Braun, V. and Clarke, V. (2021) ‘Thematic analysis: a practical guide’, </w:t>
      </w:r>
      <w:r w:rsidRPr="005A3125">
        <w:rPr>
          <w:rStyle w:val="Emphasis"/>
          <w:rFonts w:asciiTheme="minorBidi" w:hAnsiTheme="minorBidi" w:cstheme="minorBidi"/>
          <w:sz w:val="22"/>
          <w:szCs w:val="22"/>
        </w:rPr>
        <w:t>SAGE Publications</w:t>
      </w:r>
      <w:r w:rsidRPr="005A3125">
        <w:rPr>
          <w:rFonts w:asciiTheme="minorBidi" w:hAnsiTheme="minorBidi" w:cstheme="minorBidi"/>
          <w:sz w:val="22"/>
          <w:szCs w:val="22"/>
        </w:rPr>
        <w:t>.</w:t>
      </w:r>
      <w:r w:rsidRPr="005A3125">
        <w:rPr>
          <w:rFonts w:asciiTheme="minorBidi" w:hAnsiTheme="minorBidi" w:cstheme="minorBidi"/>
          <w:sz w:val="22"/>
          <w:szCs w:val="22"/>
        </w:rPr>
        <w:br/>
      </w:r>
      <w:hyperlink r:id="rId39" w:history="1">
        <w:r w:rsidRPr="005A3125">
          <w:rPr>
            <w:rStyle w:val="Hyperlink"/>
            <w:rFonts w:asciiTheme="minorBidi" w:hAnsiTheme="minorBidi" w:cstheme="minorBidi"/>
            <w:sz w:val="22"/>
            <w:szCs w:val="22"/>
          </w:rPr>
          <w:t>https://doi.org/10.4135/9781526432725</w:t>
        </w:r>
      </w:hyperlink>
      <w:r w:rsidRPr="005A3125">
        <w:rPr>
          <w:rFonts w:asciiTheme="minorBidi" w:hAnsiTheme="minorBidi" w:cstheme="minorBidi"/>
          <w:sz w:val="22"/>
          <w:szCs w:val="22"/>
        </w:rPr>
        <w:t xml:space="preserve"> </w:t>
      </w:r>
    </w:p>
    <w:p w14:paraId="0A2945E2"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Braveman, P. and Gottlieb, L. (2014) ‘The social determinants of health: it’s time to consider the causes of the causes’, </w:t>
      </w:r>
      <w:r w:rsidRPr="005A3125">
        <w:rPr>
          <w:rStyle w:val="Emphasis"/>
          <w:rFonts w:asciiTheme="minorBidi" w:hAnsiTheme="minorBidi" w:cstheme="minorBidi"/>
          <w:sz w:val="22"/>
          <w:szCs w:val="22"/>
        </w:rPr>
        <w:t>Public Health Reports</w:t>
      </w:r>
      <w:r w:rsidRPr="005A3125">
        <w:rPr>
          <w:rFonts w:asciiTheme="minorBidi" w:hAnsiTheme="minorBidi" w:cstheme="minorBidi"/>
          <w:sz w:val="22"/>
          <w:szCs w:val="22"/>
        </w:rPr>
        <w:t>, 129(</w:t>
      </w:r>
      <w:proofErr w:type="spellStart"/>
      <w:r w:rsidRPr="005A3125">
        <w:rPr>
          <w:rFonts w:asciiTheme="minorBidi" w:hAnsiTheme="minorBidi" w:cstheme="minorBidi"/>
          <w:sz w:val="22"/>
          <w:szCs w:val="22"/>
        </w:rPr>
        <w:t>Suppl</w:t>
      </w:r>
      <w:proofErr w:type="spellEnd"/>
      <w:r w:rsidRPr="005A3125">
        <w:rPr>
          <w:rFonts w:asciiTheme="minorBidi" w:hAnsiTheme="minorBidi" w:cstheme="minorBidi"/>
          <w:sz w:val="22"/>
          <w:szCs w:val="22"/>
        </w:rPr>
        <w:t xml:space="preserve"> 2), pp. 19–31. </w:t>
      </w:r>
      <w:hyperlink r:id="rId40" w:tgtFrame="_new" w:history="1">
        <w:r w:rsidRPr="005A3125">
          <w:rPr>
            <w:rStyle w:val="Hyperlink"/>
            <w:rFonts w:asciiTheme="minorBidi" w:hAnsiTheme="minorBidi" w:cstheme="minorBidi"/>
            <w:sz w:val="22"/>
            <w:szCs w:val="22"/>
          </w:rPr>
          <w:t>https://doi.org/10.1177/00333549141291S206</w:t>
        </w:r>
      </w:hyperlink>
    </w:p>
    <w:p w14:paraId="6C6AB887"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Care Quality Commission (2023) </w:t>
      </w:r>
      <w:r w:rsidRPr="005A3125">
        <w:rPr>
          <w:rStyle w:val="Emphasis"/>
          <w:rFonts w:asciiTheme="minorBidi" w:hAnsiTheme="minorBidi" w:cstheme="minorBidi"/>
          <w:sz w:val="22"/>
          <w:szCs w:val="22"/>
        </w:rPr>
        <w:t>Community mental health survey</w:t>
      </w:r>
      <w:r w:rsidRPr="005A3125">
        <w:rPr>
          <w:rFonts w:asciiTheme="minorBidi" w:hAnsiTheme="minorBidi" w:cstheme="minorBidi"/>
          <w:sz w:val="22"/>
          <w:szCs w:val="22"/>
        </w:rPr>
        <w:t xml:space="preserve">. Available at: </w:t>
      </w:r>
      <w:hyperlink r:id="rId41" w:tgtFrame="_new" w:history="1">
        <w:r w:rsidRPr="005A3125">
          <w:rPr>
            <w:rStyle w:val="Hyperlink"/>
            <w:rFonts w:asciiTheme="minorBidi" w:hAnsiTheme="minorBidi" w:cstheme="minorBidi"/>
            <w:sz w:val="22"/>
            <w:szCs w:val="22"/>
          </w:rPr>
          <w:t>https://www.cqc.org.uk</w:t>
        </w:r>
      </w:hyperlink>
      <w:r w:rsidRPr="005A3125">
        <w:rPr>
          <w:rFonts w:asciiTheme="minorBidi" w:hAnsiTheme="minorBidi" w:cstheme="minorBidi"/>
          <w:sz w:val="22"/>
          <w:szCs w:val="22"/>
        </w:rPr>
        <w:t xml:space="preserve"> (Accessed: 14 June 2026).</w:t>
      </w:r>
    </w:p>
    <w:p w14:paraId="5536138B"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Carter, R.T., Johnson, V.E., Kirkinis, K. (2017) ‘Racial discrimination and psychological health’, </w:t>
      </w:r>
      <w:r w:rsidRPr="005A3125">
        <w:rPr>
          <w:rStyle w:val="Emphasis"/>
          <w:rFonts w:asciiTheme="minorBidi" w:hAnsiTheme="minorBidi" w:cstheme="minorBidi"/>
          <w:sz w:val="22"/>
          <w:szCs w:val="22"/>
        </w:rPr>
        <w:t>American Psychologist</w:t>
      </w:r>
      <w:r w:rsidRPr="005A3125">
        <w:rPr>
          <w:rFonts w:asciiTheme="minorBidi" w:hAnsiTheme="minorBidi" w:cstheme="minorBidi"/>
          <w:sz w:val="22"/>
          <w:szCs w:val="22"/>
        </w:rPr>
        <w:t xml:space="preserve">, 72(3), pp. 254–271. </w:t>
      </w:r>
      <w:hyperlink r:id="rId42" w:history="1">
        <w:r w:rsidRPr="005A3125">
          <w:rPr>
            <w:rStyle w:val="Hyperlink"/>
            <w:rFonts w:asciiTheme="minorBidi" w:hAnsiTheme="minorBidi" w:cstheme="minorBidi"/>
            <w:sz w:val="22"/>
            <w:szCs w:val="22"/>
          </w:rPr>
          <w:t>https://doi.org/10.1037/amp0000092</w:t>
        </w:r>
      </w:hyperlink>
      <w:r w:rsidRPr="005A3125">
        <w:rPr>
          <w:rFonts w:asciiTheme="minorBidi" w:hAnsiTheme="minorBidi" w:cstheme="minorBidi"/>
          <w:sz w:val="22"/>
          <w:szCs w:val="22"/>
        </w:rPr>
        <w:t xml:space="preserve"> </w:t>
      </w:r>
    </w:p>
    <w:p w14:paraId="1698A91E"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lastRenderedPageBreak/>
        <w:t xml:space="preserve">Clement, S. et al. (2015) ‘What is the impact of mental health-related stigma on help-seeking? A systematic review’, </w:t>
      </w:r>
      <w:r w:rsidRPr="005A3125">
        <w:rPr>
          <w:rStyle w:val="Emphasis"/>
          <w:rFonts w:asciiTheme="minorBidi" w:hAnsiTheme="minorBidi" w:cstheme="minorBidi"/>
          <w:sz w:val="22"/>
          <w:szCs w:val="22"/>
        </w:rPr>
        <w:t>Psychological Medicine</w:t>
      </w:r>
      <w:r w:rsidRPr="005A3125">
        <w:rPr>
          <w:rFonts w:asciiTheme="minorBidi" w:hAnsiTheme="minorBidi" w:cstheme="minorBidi"/>
          <w:sz w:val="22"/>
          <w:szCs w:val="22"/>
        </w:rPr>
        <w:t xml:space="preserve">, 45(1), pp. 11–27. </w:t>
      </w:r>
      <w:hyperlink r:id="rId43" w:tgtFrame="_new" w:history="1">
        <w:r w:rsidRPr="005A3125">
          <w:rPr>
            <w:rStyle w:val="Hyperlink"/>
            <w:rFonts w:asciiTheme="minorBidi" w:hAnsiTheme="minorBidi" w:cstheme="minorBidi"/>
            <w:sz w:val="22"/>
            <w:szCs w:val="22"/>
          </w:rPr>
          <w:t>https://doi.org/10.1017/S0033291714000129</w:t>
        </w:r>
      </w:hyperlink>
    </w:p>
    <w:p w14:paraId="799CB3C5"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Collins, P.H. and Bilge, S. (2016) </w:t>
      </w:r>
      <w:r w:rsidRPr="005A3125">
        <w:rPr>
          <w:rStyle w:val="Emphasis"/>
          <w:rFonts w:asciiTheme="minorBidi" w:hAnsiTheme="minorBidi" w:cstheme="minorBidi"/>
          <w:sz w:val="22"/>
          <w:szCs w:val="22"/>
        </w:rPr>
        <w:t>Intersectionality</w:t>
      </w:r>
      <w:r w:rsidRPr="005A3125">
        <w:rPr>
          <w:rFonts w:asciiTheme="minorBidi" w:hAnsiTheme="minorBidi" w:cstheme="minorBidi"/>
          <w:sz w:val="22"/>
          <w:szCs w:val="22"/>
        </w:rPr>
        <w:t>. Cambridge: Polity Press.</w:t>
      </w:r>
      <w:r w:rsidRPr="005A3125">
        <w:rPr>
          <w:rFonts w:asciiTheme="minorBidi" w:hAnsiTheme="minorBidi" w:cstheme="minorBidi"/>
          <w:sz w:val="22"/>
          <w:szCs w:val="22"/>
        </w:rPr>
        <w:br/>
      </w:r>
      <w:hyperlink r:id="rId44" w:history="1">
        <w:r w:rsidRPr="005A3125">
          <w:rPr>
            <w:rStyle w:val="Hyperlink"/>
            <w:rFonts w:asciiTheme="minorBidi" w:hAnsiTheme="minorBidi" w:cstheme="minorBidi"/>
            <w:sz w:val="22"/>
            <w:szCs w:val="22"/>
          </w:rPr>
          <w:t>https://www.politybooks.com/bookdetail?book_slug=intersectionality--9780745699068</w:t>
        </w:r>
      </w:hyperlink>
      <w:r w:rsidRPr="005A3125">
        <w:rPr>
          <w:rFonts w:asciiTheme="minorBidi" w:hAnsiTheme="minorBidi" w:cstheme="minorBidi"/>
          <w:sz w:val="22"/>
          <w:szCs w:val="22"/>
        </w:rPr>
        <w:t xml:space="preserve"> </w:t>
      </w:r>
    </w:p>
    <w:p w14:paraId="0BA97E89"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Cooper, C., Spiers, N., Livingston, G., Jenkins, R., Meltzer, H., </w:t>
      </w:r>
      <w:proofErr w:type="spellStart"/>
      <w:r w:rsidRPr="005A3125">
        <w:rPr>
          <w:rFonts w:asciiTheme="minorBidi" w:hAnsiTheme="minorBidi" w:cstheme="minorBidi"/>
          <w:sz w:val="22"/>
          <w:szCs w:val="22"/>
        </w:rPr>
        <w:t>Brugha</w:t>
      </w:r>
      <w:proofErr w:type="spellEnd"/>
      <w:r w:rsidRPr="005A3125">
        <w:rPr>
          <w:rFonts w:asciiTheme="minorBidi" w:hAnsiTheme="minorBidi" w:cstheme="minorBidi"/>
          <w:sz w:val="22"/>
          <w:szCs w:val="22"/>
        </w:rPr>
        <w:t xml:space="preserve">, T. and Bebbington, P. (2013) ‘Ethnic inequalities in the use of health services for common mental disorders in England’, </w:t>
      </w:r>
      <w:r w:rsidRPr="005A3125">
        <w:rPr>
          <w:rStyle w:val="Emphasis"/>
          <w:rFonts w:asciiTheme="minorBidi" w:hAnsiTheme="minorBidi" w:cstheme="minorBidi"/>
          <w:sz w:val="22"/>
          <w:szCs w:val="22"/>
        </w:rPr>
        <w:t>Social Psychiatry and Psychiatric Epidemiology</w:t>
      </w:r>
      <w:r w:rsidRPr="005A3125">
        <w:rPr>
          <w:rFonts w:asciiTheme="minorBidi" w:hAnsiTheme="minorBidi" w:cstheme="minorBidi"/>
          <w:sz w:val="22"/>
          <w:szCs w:val="22"/>
        </w:rPr>
        <w:t xml:space="preserve">, 48(5), pp. 685–692. </w:t>
      </w:r>
      <w:hyperlink r:id="rId45" w:history="1">
        <w:r w:rsidRPr="005A3125">
          <w:rPr>
            <w:rStyle w:val="Hyperlink"/>
            <w:rFonts w:asciiTheme="minorBidi" w:hAnsiTheme="minorBidi" w:cstheme="minorBidi"/>
            <w:sz w:val="22"/>
            <w:szCs w:val="22"/>
          </w:rPr>
          <w:t>https://doi.org/10.1007/s00127-012-0565-y</w:t>
        </w:r>
      </w:hyperlink>
      <w:r w:rsidRPr="005A3125">
        <w:rPr>
          <w:rFonts w:asciiTheme="minorBidi" w:hAnsiTheme="minorBidi" w:cstheme="minorBidi"/>
          <w:sz w:val="22"/>
          <w:szCs w:val="22"/>
        </w:rPr>
        <w:t xml:space="preserve"> </w:t>
      </w:r>
    </w:p>
    <w:p w14:paraId="00680BE4"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Creswell, J.W. and Creswell, J.D. (2018) </w:t>
      </w:r>
      <w:r w:rsidRPr="005A3125">
        <w:rPr>
          <w:rStyle w:val="Emphasis"/>
          <w:rFonts w:asciiTheme="minorBidi" w:hAnsiTheme="minorBidi" w:cstheme="minorBidi"/>
          <w:sz w:val="22"/>
          <w:szCs w:val="22"/>
        </w:rPr>
        <w:t>Research Design: Qualitative, Quantitative, and Mixed Methods Approaches</w:t>
      </w:r>
      <w:r w:rsidRPr="005A3125">
        <w:rPr>
          <w:rFonts w:asciiTheme="minorBidi" w:hAnsiTheme="minorBidi" w:cstheme="minorBidi"/>
          <w:sz w:val="22"/>
          <w:szCs w:val="22"/>
        </w:rPr>
        <w:t xml:space="preserve">. 5th </w:t>
      </w:r>
      <w:proofErr w:type="spellStart"/>
      <w:r w:rsidRPr="005A3125">
        <w:rPr>
          <w:rFonts w:asciiTheme="minorBidi" w:hAnsiTheme="minorBidi" w:cstheme="minorBidi"/>
          <w:sz w:val="22"/>
          <w:szCs w:val="22"/>
        </w:rPr>
        <w:t>edn</w:t>
      </w:r>
      <w:proofErr w:type="spellEnd"/>
      <w:r w:rsidRPr="005A3125">
        <w:rPr>
          <w:rFonts w:asciiTheme="minorBidi" w:hAnsiTheme="minorBidi" w:cstheme="minorBidi"/>
          <w:sz w:val="22"/>
          <w:szCs w:val="22"/>
        </w:rPr>
        <w:t>. Thousand Oaks: Sage.</w:t>
      </w:r>
      <w:r w:rsidRPr="005A3125">
        <w:rPr>
          <w:rFonts w:asciiTheme="minorBidi" w:hAnsiTheme="minorBidi" w:cstheme="minorBidi"/>
          <w:sz w:val="22"/>
          <w:szCs w:val="22"/>
        </w:rPr>
        <w:br/>
      </w:r>
      <w:hyperlink r:id="rId46" w:tgtFrame="_new" w:history="1">
        <w:r w:rsidRPr="005A3125">
          <w:rPr>
            <w:rStyle w:val="Hyperlink"/>
            <w:rFonts w:asciiTheme="minorBidi" w:hAnsiTheme="minorBidi" w:cstheme="minorBidi"/>
            <w:sz w:val="22"/>
            <w:szCs w:val="22"/>
          </w:rPr>
          <w:t>https://us.sagepub.com/en-us/nam/research-design/book255675</w:t>
        </w:r>
      </w:hyperlink>
      <w:r w:rsidRPr="005A3125">
        <w:rPr>
          <w:rFonts w:asciiTheme="minorBidi" w:hAnsiTheme="minorBidi" w:cstheme="minorBidi"/>
          <w:sz w:val="22"/>
          <w:szCs w:val="22"/>
        </w:rPr>
        <w:t xml:space="preserve"> </w:t>
      </w:r>
    </w:p>
    <w:p w14:paraId="329CCD32"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Crenshaw, K. (1989) ‘Demarginalizing the intersection of race and sex’, </w:t>
      </w:r>
      <w:r w:rsidRPr="005A3125">
        <w:rPr>
          <w:rStyle w:val="Emphasis"/>
          <w:rFonts w:asciiTheme="minorBidi" w:hAnsiTheme="minorBidi" w:cstheme="minorBidi"/>
          <w:sz w:val="22"/>
          <w:szCs w:val="22"/>
        </w:rPr>
        <w:t>University of Chicago Legal Forum</w:t>
      </w:r>
      <w:r w:rsidRPr="005A3125">
        <w:rPr>
          <w:rFonts w:asciiTheme="minorBidi" w:hAnsiTheme="minorBidi" w:cstheme="minorBidi"/>
          <w:sz w:val="22"/>
          <w:szCs w:val="22"/>
        </w:rPr>
        <w:t>, 1989(1), pp. 139–167.</w:t>
      </w:r>
      <w:r w:rsidRPr="005A3125">
        <w:rPr>
          <w:rFonts w:asciiTheme="minorBidi" w:hAnsiTheme="minorBidi" w:cstheme="minorBidi"/>
          <w:sz w:val="22"/>
          <w:szCs w:val="22"/>
        </w:rPr>
        <w:br/>
      </w:r>
      <w:hyperlink r:id="rId47" w:tgtFrame="_new" w:history="1">
        <w:r w:rsidRPr="005A3125">
          <w:rPr>
            <w:rStyle w:val="Hyperlink"/>
            <w:rFonts w:asciiTheme="minorBidi" w:hAnsiTheme="minorBidi" w:cstheme="minorBidi"/>
            <w:sz w:val="22"/>
            <w:szCs w:val="22"/>
          </w:rPr>
          <w:t>https://chicagounbound.uchicago.edu/uclf/vol1989/iss1/8/</w:t>
        </w:r>
      </w:hyperlink>
      <w:r w:rsidRPr="005A3125">
        <w:rPr>
          <w:rFonts w:asciiTheme="minorBidi" w:hAnsiTheme="minorBidi" w:cstheme="minorBidi"/>
          <w:sz w:val="22"/>
          <w:szCs w:val="22"/>
        </w:rPr>
        <w:t xml:space="preserve"> </w:t>
      </w:r>
    </w:p>
    <w:p w14:paraId="4478C6D0"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Das-Munshi, J., Leavey, G., Stansfeld, S.A. et al. (2016) ‘Ethnicity and mental health’, </w:t>
      </w:r>
      <w:r w:rsidRPr="005A3125">
        <w:rPr>
          <w:rStyle w:val="Emphasis"/>
          <w:rFonts w:asciiTheme="minorBidi" w:hAnsiTheme="minorBidi" w:cstheme="minorBidi"/>
          <w:sz w:val="22"/>
          <w:szCs w:val="22"/>
        </w:rPr>
        <w:t>Psychological Medicine</w:t>
      </w:r>
      <w:r w:rsidRPr="005A3125">
        <w:rPr>
          <w:rFonts w:asciiTheme="minorBidi" w:hAnsiTheme="minorBidi" w:cstheme="minorBidi"/>
          <w:sz w:val="22"/>
          <w:szCs w:val="22"/>
        </w:rPr>
        <w:t xml:space="preserve">, 46(8), pp. 1711–1721. </w:t>
      </w:r>
      <w:hyperlink r:id="rId48" w:history="1">
        <w:r w:rsidRPr="005A3125">
          <w:rPr>
            <w:rStyle w:val="Hyperlink"/>
            <w:rFonts w:asciiTheme="minorBidi" w:hAnsiTheme="minorBidi" w:cstheme="minorBidi"/>
            <w:sz w:val="22"/>
            <w:szCs w:val="22"/>
          </w:rPr>
          <w:t>https://doi.org/10.1017/S0033291716000223</w:t>
        </w:r>
      </w:hyperlink>
      <w:r w:rsidRPr="005A3125">
        <w:rPr>
          <w:rFonts w:asciiTheme="minorBidi" w:hAnsiTheme="minorBidi" w:cstheme="minorBidi"/>
          <w:sz w:val="22"/>
          <w:szCs w:val="22"/>
        </w:rPr>
        <w:t xml:space="preserve"> </w:t>
      </w:r>
    </w:p>
    <w:p w14:paraId="68700502"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Delgado, R. and Stefancic, J. (2017) </w:t>
      </w:r>
      <w:r w:rsidRPr="005A3125">
        <w:rPr>
          <w:rStyle w:val="Emphasis"/>
          <w:rFonts w:asciiTheme="minorBidi" w:hAnsiTheme="minorBidi" w:cstheme="minorBidi"/>
          <w:sz w:val="22"/>
          <w:szCs w:val="22"/>
        </w:rPr>
        <w:t>Critical Race Theory: An Introduction</w:t>
      </w:r>
      <w:r w:rsidRPr="005A3125">
        <w:rPr>
          <w:rFonts w:asciiTheme="minorBidi" w:hAnsiTheme="minorBidi" w:cstheme="minorBidi"/>
          <w:sz w:val="22"/>
          <w:szCs w:val="22"/>
        </w:rPr>
        <w:t xml:space="preserve">. 3rd </w:t>
      </w:r>
      <w:proofErr w:type="spellStart"/>
      <w:r w:rsidRPr="005A3125">
        <w:rPr>
          <w:rFonts w:asciiTheme="minorBidi" w:hAnsiTheme="minorBidi" w:cstheme="minorBidi"/>
          <w:sz w:val="22"/>
          <w:szCs w:val="22"/>
        </w:rPr>
        <w:t>edn</w:t>
      </w:r>
      <w:proofErr w:type="spellEnd"/>
      <w:r w:rsidRPr="005A3125">
        <w:rPr>
          <w:rFonts w:asciiTheme="minorBidi" w:hAnsiTheme="minorBidi" w:cstheme="minorBidi"/>
          <w:sz w:val="22"/>
          <w:szCs w:val="22"/>
        </w:rPr>
        <w:t>. New York: NYU Press.</w:t>
      </w:r>
      <w:r w:rsidRPr="005A3125">
        <w:rPr>
          <w:rFonts w:asciiTheme="minorBidi" w:hAnsiTheme="minorBidi" w:cstheme="minorBidi"/>
          <w:sz w:val="22"/>
          <w:szCs w:val="22"/>
        </w:rPr>
        <w:br/>
      </w:r>
      <w:hyperlink r:id="rId49" w:history="1">
        <w:r w:rsidRPr="005A3125">
          <w:rPr>
            <w:rStyle w:val="Hyperlink"/>
            <w:rFonts w:asciiTheme="minorBidi" w:hAnsiTheme="minorBidi" w:cstheme="minorBidi"/>
            <w:sz w:val="22"/>
            <w:szCs w:val="22"/>
          </w:rPr>
          <w:t>https://nyupress.org/9781479851393/critical-race-theory-third-edition/</w:t>
        </w:r>
      </w:hyperlink>
    </w:p>
    <w:p w14:paraId="2C7D09B3"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Department for Education (2023) </w:t>
      </w:r>
      <w:r w:rsidRPr="005A3125">
        <w:rPr>
          <w:rStyle w:val="Emphasis"/>
          <w:rFonts w:asciiTheme="minorBidi" w:hAnsiTheme="minorBidi" w:cstheme="minorBidi"/>
          <w:sz w:val="22"/>
          <w:szCs w:val="22"/>
        </w:rPr>
        <w:t>Permanent and fixed-period exclusions in England</w:t>
      </w:r>
      <w:r w:rsidRPr="005A3125">
        <w:rPr>
          <w:rFonts w:asciiTheme="minorBidi" w:hAnsiTheme="minorBidi" w:cstheme="minorBidi"/>
          <w:sz w:val="22"/>
          <w:szCs w:val="22"/>
        </w:rPr>
        <w:t xml:space="preserve">. Available at: </w:t>
      </w:r>
      <w:hyperlink r:id="rId50" w:tgtFrame="_new" w:history="1">
        <w:r w:rsidRPr="005A3125">
          <w:rPr>
            <w:rStyle w:val="Hyperlink"/>
            <w:rFonts w:asciiTheme="minorBidi" w:hAnsiTheme="minorBidi" w:cstheme="minorBidi"/>
            <w:sz w:val="22"/>
            <w:szCs w:val="22"/>
          </w:rPr>
          <w:t>https://www.gov.uk/government/statistics</w:t>
        </w:r>
      </w:hyperlink>
      <w:r w:rsidRPr="005A3125">
        <w:rPr>
          <w:rFonts w:asciiTheme="minorBidi" w:hAnsiTheme="minorBidi" w:cstheme="minorBidi"/>
          <w:sz w:val="22"/>
          <w:szCs w:val="22"/>
        </w:rPr>
        <w:t xml:space="preserve"> (Accessed: 14 June 2026).</w:t>
      </w:r>
    </w:p>
    <w:p w14:paraId="53E9E80D"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Department of Health and Social Care (2021) </w:t>
      </w:r>
      <w:r w:rsidRPr="005A3125">
        <w:rPr>
          <w:rStyle w:val="Emphasis"/>
          <w:rFonts w:asciiTheme="minorBidi" w:hAnsiTheme="minorBidi" w:cstheme="minorBidi"/>
          <w:sz w:val="22"/>
          <w:szCs w:val="22"/>
        </w:rPr>
        <w:t>The Mental Health Act Review</w:t>
      </w:r>
      <w:r w:rsidRPr="005A3125">
        <w:rPr>
          <w:rFonts w:asciiTheme="minorBidi" w:hAnsiTheme="minorBidi" w:cstheme="minorBidi"/>
          <w:sz w:val="22"/>
          <w:szCs w:val="22"/>
        </w:rPr>
        <w:t>. London: UK Government.</w:t>
      </w:r>
      <w:r w:rsidRPr="005A3125">
        <w:rPr>
          <w:rFonts w:asciiTheme="minorBidi" w:hAnsiTheme="minorBidi" w:cstheme="minorBidi"/>
          <w:sz w:val="22"/>
          <w:szCs w:val="22"/>
        </w:rPr>
        <w:br/>
      </w:r>
      <w:hyperlink r:id="rId51" w:history="1">
        <w:r w:rsidRPr="005A3125">
          <w:rPr>
            <w:rStyle w:val="Hyperlink"/>
            <w:rFonts w:asciiTheme="minorBidi" w:hAnsiTheme="minorBidi" w:cstheme="minorBidi"/>
            <w:sz w:val="22"/>
            <w:szCs w:val="22"/>
          </w:rPr>
          <w:t>https://www.gov.uk/government/publications/mental-health-act-review-final-report</w:t>
        </w:r>
      </w:hyperlink>
      <w:r w:rsidRPr="005A3125">
        <w:rPr>
          <w:rFonts w:asciiTheme="minorBidi" w:hAnsiTheme="minorBidi" w:cstheme="minorBidi"/>
          <w:sz w:val="22"/>
          <w:szCs w:val="22"/>
        </w:rPr>
        <w:t xml:space="preserve"> </w:t>
      </w:r>
    </w:p>
    <w:p w14:paraId="4F781443"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Edge, D. and Grey, D. (2018) ‘Mental health services and Black communities’, </w:t>
      </w:r>
      <w:r w:rsidRPr="005A3125">
        <w:rPr>
          <w:rStyle w:val="Emphasis"/>
          <w:rFonts w:asciiTheme="minorBidi" w:hAnsiTheme="minorBidi" w:cstheme="minorBidi"/>
          <w:sz w:val="22"/>
          <w:szCs w:val="22"/>
        </w:rPr>
        <w:t>Journal of Mental Health</w:t>
      </w:r>
      <w:r w:rsidRPr="005A3125">
        <w:rPr>
          <w:rFonts w:asciiTheme="minorBidi" w:hAnsiTheme="minorBidi" w:cstheme="minorBidi"/>
          <w:sz w:val="22"/>
          <w:szCs w:val="22"/>
        </w:rPr>
        <w:t xml:space="preserve">, 27(1), pp. 1–8. </w:t>
      </w:r>
      <w:hyperlink r:id="rId52" w:history="1">
        <w:r w:rsidRPr="005A3125">
          <w:rPr>
            <w:rStyle w:val="Hyperlink"/>
            <w:rFonts w:asciiTheme="minorBidi" w:hAnsiTheme="minorBidi" w:cstheme="minorBidi"/>
            <w:sz w:val="22"/>
            <w:szCs w:val="22"/>
          </w:rPr>
          <w:t>https://doi.org/10.1080/09638237.2017.1370638</w:t>
        </w:r>
      </w:hyperlink>
      <w:r w:rsidRPr="005A3125">
        <w:rPr>
          <w:rFonts w:asciiTheme="minorBidi" w:hAnsiTheme="minorBidi" w:cstheme="minorBidi"/>
          <w:sz w:val="22"/>
          <w:szCs w:val="22"/>
        </w:rPr>
        <w:t xml:space="preserve"> </w:t>
      </w:r>
    </w:p>
    <w:p w14:paraId="4CAE2A80"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Fernando, S. (2017) </w:t>
      </w:r>
      <w:r w:rsidRPr="005A3125">
        <w:rPr>
          <w:rStyle w:val="Emphasis"/>
          <w:rFonts w:asciiTheme="minorBidi" w:hAnsiTheme="minorBidi" w:cstheme="minorBidi"/>
          <w:sz w:val="22"/>
          <w:szCs w:val="22"/>
        </w:rPr>
        <w:t>Institutional Racism in Psychiatry and Clinical Psychology</w:t>
      </w:r>
      <w:r w:rsidRPr="005A3125">
        <w:rPr>
          <w:rFonts w:asciiTheme="minorBidi" w:hAnsiTheme="minorBidi" w:cstheme="minorBidi"/>
          <w:sz w:val="22"/>
          <w:szCs w:val="22"/>
        </w:rPr>
        <w:t>. London: Palgrave Macmillan.</w:t>
      </w:r>
      <w:r w:rsidRPr="005A3125">
        <w:rPr>
          <w:rFonts w:asciiTheme="minorBidi" w:hAnsiTheme="minorBidi" w:cstheme="minorBidi"/>
          <w:sz w:val="22"/>
          <w:szCs w:val="22"/>
        </w:rPr>
        <w:br/>
      </w:r>
      <w:hyperlink r:id="rId53" w:history="1">
        <w:r w:rsidRPr="005A3125">
          <w:rPr>
            <w:rStyle w:val="Hyperlink"/>
            <w:rFonts w:asciiTheme="minorBidi" w:hAnsiTheme="minorBidi" w:cstheme="minorBidi"/>
            <w:sz w:val="22"/>
            <w:szCs w:val="22"/>
          </w:rPr>
          <w:t>https://link.springer.com/book/10.1007/978-3-319-50019-9</w:t>
        </w:r>
      </w:hyperlink>
      <w:r w:rsidRPr="005A3125">
        <w:rPr>
          <w:rFonts w:asciiTheme="minorBidi" w:hAnsiTheme="minorBidi" w:cstheme="minorBidi"/>
          <w:sz w:val="22"/>
          <w:szCs w:val="22"/>
        </w:rPr>
        <w:t xml:space="preserve"> </w:t>
      </w:r>
    </w:p>
    <w:p w14:paraId="50A15A5F"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Ford, C.L. and </w:t>
      </w:r>
      <w:proofErr w:type="spellStart"/>
      <w:r w:rsidRPr="005A3125">
        <w:rPr>
          <w:rFonts w:asciiTheme="minorBidi" w:hAnsiTheme="minorBidi" w:cstheme="minorBidi"/>
          <w:sz w:val="22"/>
          <w:szCs w:val="22"/>
        </w:rPr>
        <w:t>Airhihenbuwa</w:t>
      </w:r>
      <w:proofErr w:type="spellEnd"/>
      <w:r w:rsidRPr="005A3125">
        <w:rPr>
          <w:rFonts w:asciiTheme="minorBidi" w:hAnsiTheme="minorBidi" w:cstheme="minorBidi"/>
          <w:sz w:val="22"/>
          <w:szCs w:val="22"/>
        </w:rPr>
        <w:t xml:space="preserve">, C.O. (2010) ‘Critical race theory, race equity, and public health’, </w:t>
      </w:r>
      <w:r w:rsidRPr="005A3125">
        <w:rPr>
          <w:rStyle w:val="Emphasis"/>
          <w:rFonts w:asciiTheme="minorBidi" w:hAnsiTheme="minorBidi" w:cstheme="minorBidi"/>
          <w:sz w:val="22"/>
          <w:szCs w:val="22"/>
        </w:rPr>
        <w:t>American Journal of Public Health</w:t>
      </w:r>
      <w:r w:rsidRPr="005A3125">
        <w:rPr>
          <w:rFonts w:asciiTheme="minorBidi" w:hAnsiTheme="minorBidi" w:cstheme="minorBidi"/>
          <w:sz w:val="22"/>
          <w:szCs w:val="22"/>
        </w:rPr>
        <w:t xml:space="preserve">, 100(S1), S30–S35. </w:t>
      </w:r>
      <w:hyperlink r:id="rId54" w:tgtFrame="_new" w:history="1">
        <w:r w:rsidRPr="005A3125">
          <w:rPr>
            <w:rStyle w:val="Hyperlink"/>
            <w:rFonts w:asciiTheme="minorBidi" w:hAnsiTheme="minorBidi" w:cstheme="minorBidi"/>
            <w:sz w:val="22"/>
            <w:szCs w:val="22"/>
          </w:rPr>
          <w:t>https://doi.org/10.2105/AJPH.2009.171058</w:t>
        </w:r>
      </w:hyperlink>
    </w:p>
    <w:p w14:paraId="5914E19A"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lastRenderedPageBreak/>
        <w:t xml:space="preserve">Gillborn, D. (2008) </w:t>
      </w:r>
      <w:r w:rsidRPr="005A3125">
        <w:rPr>
          <w:rStyle w:val="Emphasis"/>
          <w:rFonts w:asciiTheme="minorBidi" w:hAnsiTheme="minorBidi" w:cstheme="minorBidi"/>
          <w:sz w:val="22"/>
          <w:szCs w:val="22"/>
        </w:rPr>
        <w:t>Racism and Education: Coincidence or Conspiracy?</w:t>
      </w:r>
      <w:r w:rsidRPr="005A3125">
        <w:rPr>
          <w:rFonts w:asciiTheme="minorBidi" w:hAnsiTheme="minorBidi" w:cstheme="minorBidi"/>
          <w:sz w:val="22"/>
          <w:szCs w:val="22"/>
        </w:rPr>
        <w:t xml:space="preserve"> London: Routledge.</w:t>
      </w:r>
      <w:r w:rsidRPr="005A3125">
        <w:rPr>
          <w:rFonts w:asciiTheme="minorBidi" w:hAnsiTheme="minorBidi" w:cstheme="minorBidi"/>
          <w:sz w:val="22"/>
          <w:szCs w:val="22"/>
        </w:rPr>
        <w:br/>
      </w:r>
      <w:hyperlink r:id="rId55" w:history="1">
        <w:r w:rsidRPr="005A3125">
          <w:rPr>
            <w:rStyle w:val="Hyperlink"/>
            <w:rFonts w:asciiTheme="minorBidi" w:hAnsiTheme="minorBidi" w:cstheme="minorBidi"/>
            <w:sz w:val="22"/>
            <w:szCs w:val="22"/>
          </w:rPr>
          <w:t>https://www.routledge.com/Racism-and-Education-Coincidence-or-Conspiracy/Gillborn/p/book/9780415357998</w:t>
        </w:r>
      </w:hyperlink>
      <w:r w:rsidRPr="005A3125">
        <w:rPr>
          <w:rFonts w:asciiTheme="minorBidi" w:hAnsiTheme="minorBidi" w:cstheme="minorBidi"/>
          <w:sz w:val="22"/>
          <w:szCs w:val="22"/>
        </w:rPr>
        <w:t xml:space="preserve"> </w:t>
      </w:r>
    </w:p>
    <w:p w14:paraId="111FAACA"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Gillborn, D., Warmington, P. and </w:t>
      </w:r>
      <w:proofErr w:type="spellStart"/>
      <w:r w:rsidRPr="005A3125">
        <w:rPr>
          <w:rFonts w:asciiTheme="minorBidi" w:hAnsiTheme="minorBidi" w:cstheme="minorBidi"/>
          <w:sz w:val="22"/>
          <w:szCs w:val="22"/>
        </w:rPr>
        <w:t>Demack</w:t>
      </w:r>
      <w:proofErr w:type="spellEnd"/>
      <w:r w:rsidRPr="005A3125">
        <w:rPr>
          <w:rFonts w:asciiTheme="minorBidi" w:hAnsiTheme="minorBidi" w:cstheme="minorBidi"/>
          <w:sz w:val="22"/>
          <w:szCs w:val="22"/>
        </w:rPr>
        <w:t>, S. (2017) ‘</w:t>
      </w:r>
      <w:proofErr w:type="spellStart"/>
      <w:r w:rsidRPr="005A3125">
        <w:rPr>
          <w:rFonts w:asciiTheme="minorBidi" w:hAnsiTheme="minorBidi" w:cstheme="minorBidi"/>
          <w:sz w:val="22"/>
          <w:szCs w:val="22"/>
        </w:rPr>
        <w:t>QuantCrit</w:t>
      </w:r>
      <w:proofErr w:type="spellEnd"/>
      <w:r w:rsidRPr="005A3125">
        <w:rPr>
          <w:rFonts w:asciiTheme="minorBidi" w:hAnsiTheme="minorBidi" w:cstheme="minorBidi"/>
          <w:sz w:val="22"/>
          <w:szCs w:val="22"/>
        </w:rPr>
        <w:t xml:space="preserve">: education, policy and racial inequality’, </w:t>
      </w:r>
      <w:r w:rsidRPr="005A3125">
        <w:rPr>
          <w:rStyle w:val="Emphasis"/>
          <w:rFonts w:asciiTheme="minorBidi" w:hAnsiTheme="minorBidi" w:cstheme="minorBidi"/>
          <w:sz w:val="22"/>
          <w:szCs w:val="22"/>
        </w:rPr>
        <w:t>Race Ethnicity and Education</w:t>
      </w:r>
      <w:r w:rsidRPr="005A3125">
        <w:rPr>
          <w:rFonts w:asciiTheme="minorBidi" w:hAnsiTheme="minorBidi" w:cstheme="minorBidi"/>
          <w:sz w:val="22"/>
          <w:szCs w:val="22"/>
        </w:rPr>
        <w:t xml:space="preserve">, 21(2), pp. 158–179. </w:t>
      </w:r>
      <w:hyperlink r:id="rId56" w:history="1">
        <w:r w:rsidRPr="005A3125">
          <w:rPr>
            <w:rStyle w:val="Hyperlink"/>
            <w:rFonts w:asciiTheme="minorBidi" w:hAnsiTheme="minorBidi" w:cstheme="minorBidi"/>
            <w:sz w:val="22"/>
            <w:szCs w:val="22"/>
          </w:rPr>
          <w:t>https://doi.org/10.1080/13613324.2017.1377418</w:t>
        </w:r>
      </w:hyperlink>
      <w:r w:rsidRPr="005A3125">
        <w:rPr>
          <w:rFonts w:asciiTheme="minorBidi" w:hAnsiTheme="minorBidi" w:cstheme="minorBidi"/>
          <w:sz w:val="22"/>
          <w:szCs w:val="22"/>
        </w:rPr>
        <w:t xml:space="preserve"> </w:t>
      </w:r>
    </w:p>
    <w:p w14:paraId="06E7B2B2"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Gulliver, A., Griffiths, K.M. and Christensen, H. (2010) ‘Perceived barriers and facilitators to mental health help-seeking in young people: a systematic review’, </w:t>
      </w:r>
      <w:r w:rsidRPr="005A3125">
        <w:rPr>
          <w:rStyle w:val="Emphasis"/>
          <w:rFonts w:asciiTheme="minorBidi" w:hAnsiTheme="minorBidi" w:cstheme="minorBidi"/>
          <w:sz w:val="22"/>
          <w:szCs w:val="22"/>
        </w:rPr>
        <w:t>BMC Psychiatry</w:t>
      </w:r>
      <w:r w:rsidRPr="005A3125">
        <w:rPr>
          <w:rFonts w:asciiTheme="minorBidi" w:hAnsiTheme="minorBidi" w:cstheme="minorBidi"/>
          <w:sz w:val="22"/>
          <w:szCs w:val="22"/>
        </w:rPr>
        <w:t xml:space="preserve">, 10, 113. </w:t>
      </w:r>
      <w:hyperlink r:id="rId57" w:tgtFrame="_new" w:history="1">
        <w:r w:rsidRPr="005A3125">
          <w:rPr>
            <w:rStyle w:val="Hyperlink"/>
            <w:rFonts w:asciiTheme="minorBidi" w:hAnsiTheme="minorBidi" w:cstheme="minorBidi"/>
            <w:sz w:val="22"/>
            <w:szCs w:val="22"/>
          </w:rPr>
          <w:t>https://doi.org/10.1186/1471-244X-10-113</w:t>
        </w:r>
      </w:hyperlink>
    </w:p>
    <w:p w14:paraId="01BF09B2"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Haddaway, N.R., Collins, A.M., Coughlin, D. and Kirk, S. (2015) ‘The role of Google Scholar in evidence reviews’, </w:t>
      </w:r>
      <w:proofErr w:type="spellStart"/>
      <w:r w:rsidRPr="005A3125">
        <w:rPr>
          <w:rStyle w:val="Emphasis"/>
          <w:rFonts w:asciiTheme="minorBidi" w:hAnsiTheme="minorBidi" w:cstheme="minorBidi"/>
          <w:sz w:val="22"/>
          <w:szCs w:val="22"/>
        </w:rPr>
        <w:t>PLoS</w:t>
      </w:r>
      <w:proofErr w:type="spellEnd"/>
      <w:r w:rsidRPr="005A3125">
        <w:rPr>
          <w:rStyle w:val="Emphasis"/>
          <w:rFonts w:asciiTheme="minorBidi" w:hAnsiTheme="minorBidi" w:cstheme="minorBidi"/>
          <w:sz w:val="22"/>
          <w:szCs w:val="22"/>
        </w:rPr>
        <w:t xml:space="preserve"> ONE</w:t>
      </w:r>
      <w:r w:rsidRPr="005A3125">
        <w:rPr>
          <w:rFonts w:asciiTheme="minorBidi" w:hAnsiTheme="minorBidi" w:cstheme="minorBidi"/>
          <w:sz w:val="22"/>
          <w:szCs w:val="22"/>
        </w:rPr>
        <w:t>, 10(3), e0138237.</w:t>
      </w:r>
      <w:r w:rsidRPr="005A3125">
        <w:rPr>
          <w:rFonts w:asciiTheme="minorBidi" w:hAnsiTheme="minorBidi" w:cstheme="minorBidi"/>
          <w:sz w:val="22"/>
          <w:szCs w:val="22"/>
        </w:rPr>
        <w:br/>
      </w:r>
      <w:hyperlink r:id="rId58" w:tgtFrame="_new" w:history="1">
        <w:r w:rsidRPr="005A3125">
          <w:rPr>
            <w:rStyle w:val="Hyperlink"/>
            <w:rFonts w:asciiTheme="minorBidi" w:hAnsiTheme="minorBidi" w:cstheme="minorBidi"/>
            <w:sz w:val="22"/>
            <w:szCs w:val="22"/>
          </w:rPr>
          <w:t>https://doi.org/10.1371/journal.pone.0138237</w:t>
        </w:r>
      </w:hyperlink>
    </w:p>
    <w:p w14:paraId="18E39987"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Higgins, J.P.T. et al. (2023) </w:t>
      </w:r>
      <w:r w:rsidRPr="005A3125">
        <w:rPr>
          <w:rStyle w:val="Emphasis"/>
          <w:rFonts w:asciiTheme="minorBidi" w:hAnsiTheme="minorBidi" w:cstheme="minorBidi"/>
          <w:sz w:val="22"/>
          <w:szCs w:val="22"/>
        </w:rPr>
        <w:t>Cochrane Handbook for Systematic Reviews of Interventions</w:t>
      </w:r>
      <w:r w:rsidRPr="005A3125">
        <w:rPr>
          <w:rFonts w:asciiTheme="minorBidi" w:hAnsiTheme="minorBidi" w:cstheme="minorBidi"/>
          <w:sz w:val="22"/>
          <w:szCs w:val="22"/>
        </w:rPr>
        <w:t>. Version 6.4.</w:t>
      </w:r>
      <w:r w:rsidRPr="005A3125">
        <w:rPr>
          <w:rFonts w:asciiTheme="minorBidi" w:hAnsiTheme="minorBidi" w:cstheme="minorBidi"/>
          <w:sz w:val="22"/>
          <w:szCs w:val="22"/>
        </w:rPr>
        <w:br/>
      </w:r>
      <w:hyperlink r:id="rId59" w:tgtFrame="_new" w:history="1">
        <w:r w:rsidRPr="005A3125">
          <w:rPr>
            <w:rStyle w:val="Hyperlink"/>
            <w:rFonts w:asciiTheme="minorBidi" w:hAnsiTheme="minorBidi" w:cstheme="minorBidi"/>
            <w:sz w:val="22"/>
            <w:szCs w:val="22"/>
          </w:rPr>
          <w:t>https://doi.org/10.1002/9781119536604</w:t>
        </w:r>
      </w:hyperlink>
    </w:p>
    <w:p w14:paraId="6E859BCC"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Ioannidis, J.P.A. (2016) ‘The mass production of redundant, misleading, and conflicted systematic reviews’, </w:t>
      </w:r>
      <w:r w:rsidRPr="005A3125">
        <w:rPr>
          <w:rStyle w:val="Emphasis"/>
          <w:rFonts w:asciiTheme="minorBidi" w:hAnsiTheme="minorBidi" w:cstheme="minorBidi"/>
          <w:sz w:val="22"/>
          <w:szCs w:val="22"/>
        </w:rPr>
        <w:t>The Milbank Quarterly</w:t>
      </w:r>
      <w:r w:rsidRPr="005A3125">
        <w:rPr>
          <w:rFonts w:asciiTheme="minorBidi" w:hAnsiTheme="minorBidi" w:cstheme="minorBidi"/>
          <w:sz w:val="22"/>
          <w:szCs w:val="22"/>
        </w:rPr>
        <w:t>, 94(3), pp. 485–514.</w:t>
      </w:r>
      <w:r w:rsidRPr="005A3125">
        <w:rPr>
          <w:rFonts w:asciiTheme="minorBidi" w:hAnsiTheme="minorBidi" w:cstheme="minorBidi"/>
          <w:sz w:val="22"/>
          <w:szCs w:val="22"/>
        </w:rPr>
        <w:br/>
      </w:r>
      <w:hyperlink r:id="rId60" w:history="1">
        <w:r w:rsidRPr="005A3125">
          <w:rPr>
            <w:rStyle w:val="Hyperlink"/>
            <w:rFonts w:asciiTheme="minorBidi" w:hAnsiTheme="minorBidi" w:cstheme="minorBidi"/>
            <w:sz w:val="22"/>
            <w:szCs w:val="22"/>
          </w:rPr>
          <w:t>https://doi.org/10.1111/1468-0009.12210</w:t>
        </w:r>
      </w:hyperlink>
      <w:r w:rsidRPr="005A3125">
        <w:rPr>
          <w:rFonts w:asciiTheme="minorBidi" w:hAnsiTheme="minorBidi" w:cstheme="minorBidi"/>
          <w:sz w:val="22"/>
          <w:szCs w:val="22"/>
        </w:rPr>
        <w:t xml:space="preserve"> </w:t>
      </w:r>
    </w:p>
    <w:p w14:paraId="16B6C418"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Kapadia, D., Zhang, J., Salway, S. et al. (2022) ‘Ethnic inequalities in mental health care in the UK’, </w:t>
      </w:r>
      <w:r w:rsidRPr="005A3125">
        <w:rPr>
          <w:rStyle w:val="Emphasis"/>
          <w:rFonts w:asciiTheme="minorBidi" w:hAnsiTheme="minorBidi" w:cstheme="minorBidi"/>
          <w:sz w:val="22"/>
          <w:szCs w:val="22"/>
        </w:rPr>
        <w:t>The Lancet Psychiatry</w:t>
      </w:r>
      <w:r w:rsidRPr="005A3125">
        <w:rPr>
          <w:rFonts w:asciiTheme="minorBidi" w:hAnsiTheme="minorBidi" w:cstheme="minorBidi"/>
          <w:sz w:val="22"/>
          <w:szCs w:val="22"/>
        </w:rPr>
        <w:t xml:space="preserve">, 9(3), pp. 174–184. </w:t>
      </w:r>
      <w:hyperlink r:id="rId61" w:history="1">
        <w:r w:rsidRPr="005A3125">
          <w:rPr>
            <w:rStyle w:val="Hyperlink"/>
            <w:rFonts w:asciiTheme="minorBidi" w:hAnsiTheme="minorBidi" w:cstheme="minorBidi"/>
            <w:sz w:val="22"/>
            <w:szCs w:val="22"/>
          </w:rPr>
          <w:t>https://doi.org/10.1016/S2215-0366(21)00485-0</w:t>
        </w:r>
      </w:hyperlink>
      <w:r w:rsidRPr="005A3125">
        <w:rPr>
          <w:rFonts w:asciiTheme="minorBidi" w:hAnsiTheme="minorBidi" w:cstheme="minorBidi"/>
          <w:sz w:val="22"/>
          <w:szCs w:val="22"/>
        </w:rPr>
        <w:t xml:space="preserve"> </w:t>
      </w:r>
    </w:p>
    <w:p w14:paraId="7C8D7E3E"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proofErr w:type="spellStart"/>
      <w:r w:rsidRPr="005A3125">
        <w:rPr>
          <w:rFonts w:asciiTheme="minorBidi" w:hAnsiTheme="minorBidi" w:cstheme="minorBidi"/>
          <w:sz w:val="22"/>
          <w:szCs w:val="22"/>
        </w:rPr>
        <w:t>Kapilashrami</w:t>
      </w:r>
      <w:proofErr w:type="spellEnd"/>
      <w:r w:rsidRPr="005A3125">
        <w:rPr>
          <w:rFonts w:asciiTheme="minorBidi" w:hAnsiTheme="minorBidi" w:cstheme="minorBidi"/>
          <w:sz w:val="22"/>
          <w:szCs w:val="22"/>
        </w:rPr>
        <w:t xml:space="preserve">, A. and Hankivsky, O. (2018) ‘Intersectionality and health inequalities’, </w:t>
      </w:r>
      <w:r w:rsidRPr="005A3125">
        <w:rPr>
          <w:rStyle w:val="Emphasis"/>
          <w:rFonts w:asciiTheme="minorBidi" w:hAnsiTheme="minorBidi" w:cstheme="minorBidi"/>
          <w:sz w:val="22"/>
          <w:szCs w:val="22"/>
        </w:rPr>
        <w:t>Social Science &amp; Medicine</w:t>
      </w:r>
      <w:r w:rsidRPr="005A3125">
        <w:rPr>
          <w:rFonts w:asciiTheme="minorBidi" w:hAnsiTheme="minorBidi" w:cstheme="minorBidi"/>
          <w:sz w:val="22"/>
          <w:szCs w:val="22"/>
        </w:rPr>
        <w:t xml:space="preserve">, 212, pp. 14–20. </w:t>
      </w:r>
      <w:hyperlink r:id="rId62" w:history="1">
        <w:r w:rsidRPr="005A3125">
          <w:rPr>
            <w:rStyle w:val="Hyperlink"/>
            <w:rFonts w:asciiTheme="minorBidi" w:hAnsiTheme="minorBidi" w:cstheme="minorBidi"/>
            <w:sz w:val="22"/>
            <w:szCs w:val="22"/>
          </w:rPr>
          <w:t>https://doi.org/10.1016/j.socscimed.2018.06.019</w:t>
        </w:r>
      </w:hyperlink>
      <w:r w:rsidRPr="005A3125">
        <w:rPr>
          <w:rFonts w:asciiTheme="minorBidi" w:hAnsiTheme="minorBidi" w:cstheme="minorBidi"/>
          <w:sz w:val="22"/>
          <w:szCs w:val="22"/>
        </w:rPr>
        <w:t xml:space="preserve"> </w:t>
      </w:r>
    </w:p>
    <w:p w14:paraId="5B311332"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proofErr w:type="spellStart"/>
      <w:r w:rsidRPr="005A3125">
        <w:rPr>
          <w:rFonts w:asciiTheme="minorBidi" w:hAnsiTheme="minorBidi" w:cstheme="minorBidi"/>
          <w:sz w:val="22"/>
          <w:szCs w:val="22"/>
        </w:rPr>
        <w:t>Kapilashrami</w:t>
      </w:r>
      <w:proofErr w:type="spellEnd"/>
      <w:r w:rsidRPr="005A3125">
        <w:rPr>
          <w:rFonts w:asciiTheme="minorBidi" w:hAnsiTheme="minorBidi" w:cstheme="minorBidi"/>
          <w:sz w:val="22"/>
          <w:szCs w:val="22"/>
        </w:rPr>
        <w:t xml:space="preserve">, A. and Hankivsky, O. (2018) ‘Intersectionality and why it matters to global health’, </w:t>
      </w:r>
      <w:r w:rsidRPr="005A3125">
        <w:rPr>
          <w:rStyle w:val="Emphasis"/>
          <w:rFonts w:asciiTheme="minorBidi" w:hAnsiTheme="minorBidi" w:cstheme="minorBidi"/>
          <w:sz w:val="22"/>
          <w:szCs w:val="22"/>
        </w:rPr>
        <w:t>Global Public Health</w:t>
      </w:r>
      <w:r w:rsidRPr="005A3125">
        <w:rPr>
          <w:rFonts w:asciiTheme="minorBidi" w:hAnsiTheme="minorBidi" w:cstheme="minorBidi"/>
          <w:sz w:val="22"/>
          <w:szCs w:val="22"/>
        </w:rPr>
        <w:t>, 13(10), pp. 1424–1428.</w:t>
      </w:r>
      <w:r w:rsidRPr="005A3125">
        <w:rPr>
          <w:rFonts w:asciiTheme="minorBidi" w:hAnsiTheme="minorBidi" w:cstheme="minorBidi"/>
          <w:sz w:val="22"/>
          <w:szCs w:val="22"/>
        </w:rPr>
        <w:br/>
      </w:r>
      <w:hyperlink r:id="rId63" w:history="1">
        <w:r w:rsidRPr="005A3125">
          <w:rPr>
            <w:rStyle w:val="Hyperlink"/>
            <w:rFonts w:asciiTheme="minorBidi" w:hAnsiTheme="minorBidi" w:cstheme="minorBidi"/>
            <w:sz w:val="22"/>
            <w:szCs w:val="22"/>
          </w:rPr>
          <w:t>https://doi.org/10.1080/17441692.2017.1371273</w:t>
        </w:r>
      </w:hyperlink>
      <w:r w:rsidRPr="005A3125">
        <w:rPr>
          <w:rFonts w:asciiTheme="minorBidi" w:hAnsiTheme="minorBidi" w:cstheme="minorBidi"/>
          <w:sz w:val="22"/>
          <w:szCs w:val="22"/>
        </w:rPr>
        <w:t xml:space="preserve"> </w:t>
      </w:r>
    </w:p>
    <w:p w14:paraId="04BA5CFA"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proofErr w:type="spellStart"/>
      <w:r w:rsidRPr="005A3125">
        <w:rPr>
          <w:rFonts w:asciiTheme="minorBidi" w:hAnsiTheme="minorBidi" w:cstheme="minorBidi"/>
          <w:sz w:val="22"/>
          <w:szCs w:val="22"/>
        </w:rPr>
        <w:t>Kapilashrami</w:t>
      </w:r>
      <w:proofErr w:type="spellEnd"/>
      <w:r w:rsidRPr="005A3125">
        <w:rPr>
          <w:rFonts w:asciiTheme="minorBidi" w:hAnsiTheme="minorBidi" w:cstheme="minorBidi"/>
          <w:sz w:val="22"/>
          <w:szCs w:val="22"/>
        </w:rPr>
        <w:t xml:space="preserve">, A. and Hankivsky, O. (2018) ‘Intersectionality and global health’, </w:t>
      </w:r>
      <w:r w:rsidRPr="005A3125">
        <w:rPr>
          <w:rStyle w:val="Emphasis"/>
          <w:rFonts w:asciiTheme="minorBidi" w:hAnsiTheme="minorBidi" w:cstheme="minorBidi"/>
          <w:sz w:val="22"/>
          <w:szCs w:val="22"/>
        </w:rPr>
        <w:t>Global Public Health</w:t>
      </w:r>
      <w:r w:rsidRPr="005A3125">
        <w:rPr>
          <w:rFonts w:asciiTheme="minorBidi" w:hAnsiTheme="minorBidi" w:cstheme="minorBidi"/>
          <w:sz w:val="22"/>
          <w:szCs w:val="22"/>
        </w:rPr>
        <w:t xml:space="preserve">, 13(10), pp. 1424–1428. </w:t>
      </w:r>
      <w:hyperlink r:id="rId64" w:history="1">
        <w:r w:rsidRPr="005A3125">
          <w:rPr>
            <w:rStyle w:val="Hyperlink"/>
            <w:rFonts w:asciiTheme="minorBidi" w:hAnsiTheme="minorBidi" w:cstheme="minorBidi"/>
            <w:sz w:val="22"/>
            <w:szCs w:val="22"/>
          </w:rPr>
          <w:t>https://doi.org/10.1080/17441692.2017.1371273</w:t>
        </w:r>
      </w:hyperlink>
      <w:r w:rsidRPr="005A3125">
        <w:rPr>
          <w:rFonts w:asciiTheme="minorBidi" w:hAnsiTheme="minorBidi" w:cstheme="minorBidi"/>
          <w:sz w:val="22"/>
          <w:szCs w:val="22"/>
        </w:rPr>
        <w:t xml:space="preserve"> </w:t>
      </w:r>
    </w:p>
    <w:p w14:paraId="7C8DA74D" w14:textId="77777777" w:rsidR="004C685A" w:rsidRPr="005A3125" w:rsidRDefault="004C685A" w:rsidP="004C685A">
      <w:pPr>
        <w:pStyle w:val="NormalWeb"/>
        <w:numPr>
          <w:ilvl w:val="0"/>
          <w:numId w:val="37"/>
        </w:numPr>
        <w:spacing w:line="360" w:lineRule="auto"/>
        <w:rPr>
          <w:rStyle w:val="Hyperlink"/>
          <w:rFonts w:asciiTheme="minorBidi" w:hAnsiTheme="minorBidi" w:cstheme="minorBidi"/>
          <w:color w:val="auto"/>
          <w:sz w:val="22"/>
          <w:szCs w:val="22"/>
          <w:u w:val="none"/>
        </w:rPr>
      </w:pPr>
      <w:r w:rsidRPr="005A3125">
        <w:rPr>
          <w:rFonts w:asciiTheme="minorBidi" w:hAnsiTheme="minorBidi" w:cstheme="minorBidi"/>
          <w:sz w:val="22"/>
          <w:szCs w:val="22"/>
        </w:rPr>
        <w:t xml:space="preserve">Kessler, R.C. et al. (2005) ‘Lifetime prevalence of mental disorders’, </w:t>
      </w:r>
      <w:r w:rsidRPr="005A3125">
        <w:rPr>
          <w:rStyle w:val="Emphasis"/>
          <w:rFonts w:asciiTheme="minorBidi" w:hAnsiTheme="minorBidi" w:cstheme="minorBidi"/>
          <w:sz w:val="22"/>
          <w:szCs w:val="22"/>
        </w:rPr>
        <w:t>Archives of General Psychiatry</w:t>
      </w:r>
      <w:r w:rsidRPr="005A3125">
        <w:rPr>
          <w:rFonts w:asciiTheme="minorBidi" w:hAnsiTheme="minorBidi" w:cstheme="minorBidi"/>
          <w:sz w:val="22"/>
          <w:szCs w:val="22"/>
        </w:rPr>
        <w:t xml:space="preserve">, 62(6), pp. 593–602. </w:t>
      </w:r>
      <w:hyperlink r:id="rId65" w:tgtFrame="_new" w:history="1">
        <w:r w:rsidRPr="005A3125">
          <w:rPr>
            <w:rStyle w:val="Hyperlink"/>
            <w:rFonts w:asciiTheme="minorBidi" w:hAnsiTheme="minorBidi" w:cstheme="minorBidi"/>
            <w:sz w:val="22"/>
            <w:szCs w:val="22"/>
          </w:rPr>
          <w:t>https://doi.org/10.1001/archpsyc.62.6.593</w:t>
        </w:r>
      </w:hyperlink>
    </w:p>
    <w:p w14:paraId="615835EC" w14:textId="77777777" w:rsidR="004C685A" w:rsidRPr="005A3125" w:rsidRDefault="004C685A" w:rsidP="004C685A">
      <w:pPr>
        <w:pStyle w:val="NormalWeb"/>
        <w:numPr>
          <w:ilvl w:val="0"/>
          <w:numId w:val="37"/>
        </w:numPr>
        <w:spacing w:line="360" w:lineRule="auto"/>
        <w:rPr>
          <w:rStyle w:val="Hyperlink"/>
          <w:rFonts w:asciiTheme="minorBidi" w:hAnsiTheme="minorBidi" w:cstheme="minorBidi"/>
          <w:color w:val="auto"/>
          <w:sz w:val="22"/>
          <w:szCs w:val="22"/>
          <w:u w:val="none"/>
        </w:rPr>
      </w:pPr>
      <w:r w:rsidRPr="005A3125">
        <w:rPr>
          <w:rFonts w:asciiTheme="minorBidi" w:hAnsiTheme="minorBidi" w:cstheme="minorBidi"/>
          <w:sz w:val="22"/>
          <w:szCs w:val="22"/>
        </w:rPr>
        <w:t xml:space="preserve">Kessler, R.C., </w:t>
      </w:r>
      <w:proofErr w:type="spellStart"/>
      <w:r w:rsidRPr="005A3125">
        <w:rPr>
          <w:rFonts w:asciiTheme="minorBidi" w:hAnsiTheme="minorBidi" w:cstheme="minorBidi"/>
          <w:sz w:val="22"/>
          <w:szCs w:val="22"/>
        </w:rPr>
        <w:t>Amminger</w:t>
      </w:r>
      <w:proofErr w:type="spellEnd"/>
      <w:r w:rsidRPr="005A3125">
        <w:rPr>
          <w:rFonts w:asciiTheme="minorBidi" w:hAnsiTheme="minorBidi" w:cstheme="minorBidi"/>
          <w:sz w:val="22"/>
          <w:szCs w:val="22"/>
        </w:rPr>
        <w:t xml:space="preserve">, G.P., Aguilar-Gaxiola, S., Alonso, J., Lee, S. and </w:t>
      </w:r>
      <w:proofErr w:type="spellStart"/>
      <w:r w:rsidRPr="005A3125">
        <w:rPr>
          <w:rFonts w:asciiTheme="minorBidi" w:hAnsiTheme="minorBidi" w:cstheme="minorBidi"/>
          <w:sz w:val="22"/>
          <w:szCs w:val="22"/>
        </w:rPr>
        <w:t>Ustün</w:t>
      </w:r>
      <w:proofErr w:type="spellEnd"/>
      <w:r w:rsidRPr="005A3125">
        <w:rPr>
          <w:rFonts w:asciiTheme="minorBidi" w:hAnsiTheme="minorBidi" w:cstheme="minorBidi"/>
          <w:sz w:val="22"/>
          <w:szCs w:val="22"/>
        </w:rPr>
        <w:t xml:space="preserve">, T.B. (2007) ‘Age of onset of mental disorders: a review of recent literature’, </w:t>
      </w:r>
      <w:r w:rsidRPr="005A3125">
        <w:rPr>
          <w:rStyle w:val="Emphasis"/>
          <w:rFonts w:asciiTheme="minorBidi" w:hAnsiTheme="minorBidi" w:cstheme="minorBidi"/>
          <w:sz w:val="22"/>
          <w:szCs w:val="22"/>
        </w:rPr>
        <w:t>Current Opinion in Psychiatry</w:t>
      </w:r>
      <w:r w:rsidRPr="005A3125">
        <w:rPr>
          <w:rFonts w:asciiTheme="minorBidi" w:hAnsiTheme="minorBidi" w:cstheme="minorBidi"/>
          <w:sz w:val="22"/>
          <w:szCs w:val="22"/>
        </w:rPr>
        <w:t xml:space="preserve">, 20(4), pp. 359–364. </w:t>
      </w:r>
      <w:hyperlink r:id="rId66" w:tgtFrame="_new" w:history="1">
        <w:r w:rsidRPr="005A3125">
          <w:rPr>
            <w:rStyle w:val="Hyperlink"/>
            <w:rFonts w:asciiTheme="minorBidi" w:hAnsiTheme="minorBidi" w:cstheme="minorBidi"/>
            <w:sz w:val="22"/>
            <w:szCs w:val="22"/>
          </w:rPr>
          <w:t>https://doi.org/10.1097/YCO.0b013e32816ebc8c</w:t>
        </w:r>
      </w:hyperlink>
    </w:p>
    <w:p w14:paraId="10198FCE"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lastRenderedPageBreak/>
        <w:t xml:space="preserve">Kidger, J., Araya, R., Donovan, J. and Gunnell, D. (2012) ‘The effect of the school environment on the emotional health of adolescents: a systematic review’, </w:t>
      </w:r>
      <w:proofErr w:type="spellStart"/>
      <w:r w:rsidRPr="005A3125">
        <w:rPr>
          <w:rStyle w:val="Emphasis"/>
          <w:rFonts w:asciiTheme="minorBidi" w:hAnsiTheme="minorBidi" w:cstheme="minorBidi"/>
          <w:sz w:val="22"/>
          <w:szCs w:val="22"/>
        </w:rPr>
        <w:t>Pediatrics</w:t>
      </w:r>
      <w:proofErr w:type="spellEnd"/>
      <w:r w:rsidRPr="005A3125">
        <w:rPr>
          <w:rFonts w:asciiTheme="minorBidi" w:hAnsiTheme="minorBidi" w:cstheme="minorBidi"/>
          <w:sz w:val="22"/>
          <w:szCs w:val="22"/>
        </w:rPr>
        <w:t xml:space="preserve">, 129(5), pp. 925–949. </w:t>
      </w:r>
      <w:hyperlink r:id="rId67" w:history="1">
        <w:r w:rsidRPr="005A3125">
          <w:rPr>
            <w:rStyle w:val="Hyperlink"/>
            <w:rFonts w:asciiTheme="minorBidi" w:hAnsiTheme="minorBidi" w:cstheme="minorBidi"/>
            <w:sz w:val="22"/>
            <w:szCs w:val="22"/>
          </w:rPr>
          <w:t>https://doi.org/10.1542/peds.2011-2248</w:t>
        </w:r>
      </w:hyperlink>
      <w:r w:rsidRPr="005A3125">
        <w:rPr>
          <w:rFonts w:asciiTheme="minorBidi" w:hAnsiTheme="minorBidi" w:cstheme="minorBidi"/>
          <w:sz w:val="22"/>
          <w:szCs w:val="22"/>
        </w:rPr>
        <w:t xml:space="preserve"> </w:t>
      </w:r>
    </w:p>
    <w:p w14:paraId="3FAE88FC"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Kieling, C. et al. (2011) ‘Child and adolescent mental health worldwide: evidence for action’, </w:t>
      </w:r>
      <w:r w:rsidRPr="005A3125">
        <w:rPr>
          <w:rStyle w:val="Emphasis"/>
          <w:rFonts w:asciiTheme="minorBidi" w:hAnsiTheme="minorBidi" w:cstheme="minorBidi"/>
          <w:sz w:val="22"/>
          <w:szCs w:val="22"/>
        </w:rPr>
        <w:t>The Lancet</w:t>
      </w:r>
      <w:r w:rsidRPr="005A3125">
        <w:rPr>
          <w:rFonts w:asciiTheme="minorBidi" w:hAnsiTheme="minorBidi" w:cstheme="minorBidi"/>
          <w:sz w:val="22"/>
          <w:szCs w:val="22"/>
        </w:rPr>
        <w:t xml:space="preserve">, 378(9801), pp. 1515–1525. </w:t>
      </w:r>
      <w:hyperlink r:id="rId68" w:tgtFrame="_new" w:history="1">
        <w:r w:rsidRPr="005A3125">
          <w:rPr>
            <w:rStyle w:val="Hyperlink"/>
            <w:rFonts w:asciiTheme="minorBidi" w:hAnsiTheme="minorBidi" w:cstheme="minorBidi"/>
            <w:sz w:val="22"/>
            <w:szCs w:val="22"/>
          </w:rPr>
          <w:t>https://doi.org/10.1016/S0140-6736(11)60827-1</w:t>
        </w:r>
      </w:hyperlink>
      <w:r w:rsidRPr="005A3125">
        <w:rPr>
          <w:rFonts w:asciiTheme="minorBidi" w:hAnsiTheme="minorBidi" w:cstheme="minorBidi"/>
          <w:sz w:val="22"/>
          <w:szCs w:val="22"/>
        </w:rPr>
        <w:t xml:space="preserve"> </w:t>
      </w:r>
    </w:p>
    <w:p w14:paraId="25C9F966"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Ladson-Billings, G. (2006) ‘From the achievement gap to the education debt: understanding achievement in US schools’, </w:t>
      </w:r>
      <w:r w:rsidRPr="005A3125">
        <w:rPr>
          <w:rStyle w:val="Emphasis"/>
          <w:rFonts w:asciiTheme="minorBidi" w:hAnsiTheme="minorBidi" w:cstheme="minorBidi"/>
          <w:sz w:val="22"/>
          <w:szCs w:val="22"/>
        </w:rPr>
        <w:t>Educational Researcher</w:t>
      </w:r>
      <w:r w:rsidRPr="005A3125">
        <w:rPr>
          <w:rFonts w:asciiTheme="minorBidi" w:hAnsiTheme="minorBidi" w:cstheme="minorBidi"/>
          <w:sz w:val="22"/>
          <w:szCs w:val="22"/>
        </w:rPr>
        <w:t xml:space="preserve">, 35(7), pp. 3–12. </w:t>
      </w:r>
      <w:hyperlink r:id="rId69" w:tgtFrame="_new" w:history="1">
        <w:r w:rsidRPr="005A3125">
          <w:rPr>
            <w:rStyle w:val="Hyperlink"/>
            <w:rFonts w:asciiTheme="minorBidi" w:hAnsiTheme="minorBidi" w:cstheme="minorBidi"/>
            <w:sz w:val="22"/>
            <w:szCs w:val="22"/>
          </w:rPr>
          <w:t>https://doi.org/10.3102/0013189X035007003</w:t>
        </w:r>
      </w:hyperlink>
    </w:p>
    <w:p w14:paraId="50718D54"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Lincoln, Y.S. and Guba, E.G. (1985) </w:t>
      </w:r>
      <w:r w:rsidRPr="005A3125">
        <w:rPr>
          <w:rStyle w:val="Emphasis"/>
          <w:rFonts w:asciiTheme="minorBidi" w:hAnsiTheme="minorBidi" w:cstheme="minorBidi"/>
          <w:sz w:val="22"/>
          <w:szCs w:val="22"/>
        </w:rPr>
        <w:t>Naturalistic Inquiry</w:t>
      </w:r>
      <w:r w:rsidRPr="005A3125">
        <w:rPr>
          <w:rFonts w:asciiTheme="minorBidi" w:hAnsiTheme="minorBidi" w:cstheme="minorBidi"/>
          <w:sz w:val="22"/>
          <w:szCs w:val="22"/>
        </w:rPr>
        <w:t>. Beverly Hills: Sage.</w:t>
      </w:r>
      <w:r w:rsidRPr="005A3125">
        <w:rPr>
          <w:rFonts w:asciiTheme="minorBidi" w:hAnsiTheme="minorBidi" w:cstheme="minorBidi"/>
          <w:sz w:val="22"/>
          <w:szCs w:val="22"/>
        </w:rPr>
        <w:br/>
      </w:r>
      <w:hyperlink r:id="rId70" w:tgtFrame="_new" w:history="1">
        <w:r w:rsidRPr="005A3125">
          <w:rPr>
            <w:rStyle w:val="Hyperlink"/>
            <w:rFonts w:asciiTheme="minorBidi" w:hAnsiTheme="minorBidi" w:cstheme="minorBidi"/>
            <w:sz w:val="22"/>
            <w:szCs w:val="22"/>
          </w:rPr>
          <w:t>https://us.sagepub.com/en-us/nam/naturalistic-inquiry/book842</w:t>
        </w:r>
      </w:hyperlink>
      <w:r w:rsidRPr="005A3125">
        <w:rPr>
          <w:rFonts w:asciiTheme="minorBidi" w:hAnsiTheme="minorBidi" w:cstheme="minorBidi"/>
          <w:sz w:val="22"/>
          <w:szCs w:val="22"/>
        </w:rPr>
        <w:t xml:space="preserve"> </w:t>
      </w:r>
    </w:p>
    <w:p w14:paraId="2F47B019"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Loades, M.E. et al. (2020) ‘Rapid systematic review: impact of social isolation on mental health in adolescents’, </w:t>
      </w:r>
      <w:r w:rsidRPr="005A3125">
        <w:rPr>
          <w:rStyle w:val="Emphasis"/>
          <w:rFonts w:asciiTheme="minorBidi" w:hAnsiTheme="minorBidi" w:cstheme="minorBidi"/>
          <w:sz w:val="22"/>
          <w:szCs w:val="22"/>
        </w:rPr>
        <w:t>Journal of the American Academy of Child &amp; Adolescent Psychiatry</w:t>
      </w:r>
      <w:r w:rsidRPr="005A3125">
        <w:rPr>
          <w:rFonts w:asciiTheme="minorBidi" w:hAnsiTheme="minorBidi" w:cstheme="minorBidi"/>
          <w:sz w:val="22"/>
          <w:szCs w:val="22"/>
        </w:rPr>
        <w:t xml:space="preserve">, 59(11), pp. 1218–1239. </w:t>
      </w:r>
      <w:hyperlink r:id="rId71" w:tgtFrame="_new" w:history="1">
        <w:r w:rsidRPr="005A3125">
          <w:rPr>
            <w:rStyle w:val="Hyperlink"/>
            <w:rFonts w:asciiTheme="minorBidi" w:hAnsiTheme="minorBidi" w:cstheme="minorBidi"/>
            <w:sz w:val="22"/>
            <w:szCs w:val="22"/>
          </w:rPr>
          <w:t>https://doi.org/10.1016/j.jaac.2020.05.009</w:t>
        </w:r>
      </w:hyperlink>
    </w:p>
    <w:p w14:paraId="6C3B8E17"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Long, T. and Godfrey, M. (2004) ‘An evaluation tool for qualitative research’, </w:t>
      </w:r>
      <w:r w:rsidRPr="005A3125">
        <w:rPr>
          <w:rStyle w:val="Emphasis"/>
          <w:rFonts w:asciiTheme="minorBidi" w:hAnsiTheme="minorBidi" w:cstheme="minorBidi"/>
          <w:sz w:val="22"/>
          <w:szCs w:val="22"/>
        </w:rPr>
        <w:t>Journal of Evaluation in Clinical Practice</w:t>
      </w:r>
      <w:r w:rsidRPr="005A3125">
        <w:rPr>
          <w:rFonts w:asciiTheme="minorBidi" w:hAnsiTheme="minorBidi" w:cstheme="minorBidi"/>
          <w:sz w:val="22"/>
          <w:szCs w:val="22"/>
        </w:rPr>
        <w:t xml:space="preserve">, 10(2), pp. 227–234. </w:t>
      </w:r>
      <w:hyperlink r:id="rId72" w:history="1">
        <w:r w:rsidRPr="005A3125">
          <w:rPr>
            <w:rStyle w:val="Hyperlink"/>
            <w:rFonts w:asciiTheme="minorBidi" w:hAnsiTheme="minorBidi" w:cstheme="minorBidi"/>
            <w:sz w:val="22"/>
            <w:szCs w:val="22"/>
          </w:rPr>
          <w:t>https://doi.org/10.1111/j.2004.0035-719X.359.x</w:t>
        </w:r>
      </w:hyperlink>
      <w:r w:rsidRPr="005A3125">
        <w:rPr>
          <w:rFonts w:asciiTheme="minorBidi" w:hAnsiTheme="minorBidi" w:cstheme="minorBidi"/>
          <w:sz w:val="22"/>
          <w:szCs w:val="22"/>
        </w:rPr>
        <w:t xml:space="preserve"> </w:t>
      </w:r>
    </w:p>
    <w:p w14:paraId="43C6EE7C"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Lund, C. et al. (2018) ‘Social determinants of mental disorders’, </w:t>
      </w:r>
      <w:r w:rsidRPr="005A3125">
        <w:rPr>
          <w:rStyle w:val="Emphasis"/>
          <w:rFonts w:asciiTheme="minorBidi" w:hAnsiTheme="minorBidi" w:cstheme="minorBidi"/>
          <w:sz w:val="22"/>
          <w:szCs w:val="22"/>
        </w:rPr>
        <w:t>The Lancet Psychiatry</w:t>
      </w:r>
      <w:r w:rsidRPr="005A3125">
        <w:rPr>
          <w:rFonts w:asciiTheme="minorBidi" w:hAnsiTheme="minorBidi" w:cstheme="minorBidi"/>
          <w:sz w:val="22"/>
          <w:szCs w:val="22"/>
        </w:rPr>
        <w:t xml:space="preserve">, 5(4), pp. 357–369. </w:t>
      </w:r>
      <w:hyperlink r:id="rId73" w:history="1">
        <w:r w:rsidRPr="005A3125">
          <w:rPr>
            <w:rStyle w:val="Hyperlink"/>
            <w:rFonts w:asciiTheme="minorBidi" w:hAnsiTheme="minorBidi" w:cstheme="minorBidi"/>
            <w:sz w:val="22"/>
            <w:szCs w:val="22"/>
          </w:rPr>
          <w:t>https://doi.org/10.1016/S2215-0366(18)30042-0</w:t>
        </w:r>
      </w:hyperlink>
      <w:r w:rsidRPr="005A3125">
        <w:rPr>
          <w:rFonts w:asciiTheme="minorBidi" w:hAnsiTheme="minorBidi" w:cstheme="minorBidi"/>
          <w:sz w:val="22"/>
          <w:szCs w:val="22"/>
        </w:rPr>
        <w:t xml:space="preserve"> </w:t>
      </w:r>
    </w:p>
    <w:p w14:paraId="41B7D4B4"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Mantovani, N., </w:t>
      </w:r>
      <w:proofErr w:type="spellStart"/>
      <w:r w:rsidRPr="005A3125">
        <w:rPr>
          <w:rFonts w:asciiTheme="minorBidi" w:hAnsiTheme="minorBidi" w:cstheme="minorBidi"/>
          <w:sz w:val="22"/>
          <w:szCs w:val="22"/>
        </w:rPr>
        <w:t>Pizzolati</w:t>
      </w:r>
      <w:proofErr w:type="spellEnd"/>
      <w:r w:rsidRPr="005A3125">
        <w:rPr>
          <w:rFonts w:asciiTheme="minorBidi" w:hAnsiTheme="minorBidi" w:cstheme="minorBidi"/>
          <w:sz w:val="22"/>
          <w:szCs w:val="22"/>
        </w:rPr>
        <w:t xml:space="preserve">, M. and Gillard, S. (2017) ‘Engaging ethnic minority communities in mental health research’, </w:t>
      </w:r>
      <w:r w:rsidRPr="005A3125">
        <w:rPr>
          <w:rStyle w:val="Emphasis"/>
          <w:rFonts w:asciiTheme="minorBidi" w:hAnsiTheme="minorBidi" w:cstheme="minorBidi"/>
          <w:sz w:val="22"/>
          <w:szCs w:val="22"/>
        </w:rPr>
        <w:t>BMC Psychiatry</w:t>
      </w:r>
      <w:r w:rsidRPr="005A3125">
        <w:rPr>
          <w:rFonts w:asciiTheme="minorBidi" w:hAnsiTheme="minorBidi" w:cstheme="minorBidi"/>
          <w:sz w:val="22"/>
          <w:szCs w:val="22"/>
        </w:rPr>
        <w:t xml:space="preserve">, 17, 1–10. </w:t>
      </w:r>
      <w:hyperlink r:id="rId74" w:history="1">
        <w:r w:rsidRPr="005A3125">
          <w:rPr>
            <w:rStyle w:val="Hyperlink"/>
            <w:rFonts w:asciiTheme="minorBidi" w:hAnsiTheme="minorBidi" w:cstheme="minorBidi"/>
            <w:sz w:val="22"/>
            <w:szCs w:val="22"/>
          </w:rPr>
          <w:t>https://doi.org/10.1186/s12888-017-1452-7</w:t>
        </w:r>
      </w:hyperlink>
      <w:r w:rsidRPr="005A3125">
        <w:rPr>
          <w:rFonts w:asciiTheme="minorBidi" w:hAnsiTheme="minorBidi" w:cstheme="minorBidi"/>
          <w:sz w:val="22"/>
          <w:szCs w:val="22"/>
        </w:rPr>
        <w:t xml:space="preserve"> </w:t>
      </w:r>
    </w:p>
    <w:p w14:paraId="4467C612"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Marmot, M. (2010) </w:t>
      </w:r>
      <w:r w:rsidRPr="005A3125">
        <w:rPr>
          <w:rStyle w:val="Emphasis"/>
          <w:rFonts w:asciiTheme="minorBidi" w:hAnsiTheme="minorBidi" w:cstheme="minorBidi"/>
          <w:sz w:val="22"/>
          <w:szCs w:val="22"/>
        </w:rPr>
        <w:t>Fair Society, Healthy Lives (The Marmot Review)</w:t>
      </w:r>
      <w:r w:rsidRPr="005A3125">
        <w:rPr>
          <w:rFonts w:asciiTheme="minorBidi" w:hAnsiTheme="minorBidi" w:cstheme="minorBidi"/>
          <w:sz w:val="22"/>
          <w:szCs w:val="22"/>
        </w:rPr>
        <w:t>. London: UCL.</w:t>
      </w:r>
      <w:r w:rsidRPr="005A3125">
        <w:rPr>
          <w:rFonts w:asciiTheme="minorBidi" w:hAnsiTheme="minorBidi" w:cstheme="minorBidi"/>
          <w:sz w:val="22"/>
          <w:szCs w:val="22"/>
        </w:rPr>
        <w:br/>
      </w:r>
      <w:hyperlink r:id="rId75" w:tgtFrame="_new" w:history="1">
        <w:r w:rsidRPr="005A3125">
          <w:rPr>
            <w:rStyle w:val="Hyperlink"/>
            <w:rFonts w:asciiTheme="minorBidi" w:hAnsiTheme="minorBidi" w:cstheme="minorBidi"/>
            <w:sz w:val="22"/>
            <w:szCs w:val="22"/>
          </w:rPr>
          <w:t>https://www.instituteofhealthequity.org/resources-reports/fair-society-healthy-lives-the-marmot-review</w:t>
        </w:r>
      </w:hyperlink>
      <w:r w:rsidRPr="005A3125">
        <w:rPr>
          <w:rFonts w:asciiTheme="minorBidi" w:hAnsiTheme="minorBidi" w:cstheme="minorBidi"/>
          <w:sz w:val="22"/>
          <w:szCs w:val="22"/>
        </w:rPr>
        <w:t xml:space="preserve"> </w:t>
      </w:r>
    </w:p>
    <w:p w14:paraId="5C2681B8"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Marmot, M. et al. (2020) </w:t>
      </w:r>
      <w:r w:rsidRPr="005A3125">
        <w:rPr>
          <w:rStyle w:val="Emphasis"/>
          <w:rFonts w:asciiTheme="minorBidi" w:hAnsiTheme="minorBidi" w:cstheme="minorBidi"/>
          <w:sz w:val="22"/>
          <w:szCs w:val="22"/>
        </w:rPr>
        <w:t>Build Back Fairer: The COVID-19 Marmot Review</w:t>
      </w:r>
      <w:r w:rsidRPr="005A3125">
        <w:rPr>
          <w:rFonts w:asciiTheme="minorBidi" w:hAnsiTheme="minorBidi" w:cstheme="minorBidi"/>
          <w:sz w:val="22"/>
          <w:szCs w:val="22"/>
        </w:rPr>
        <w:t>. London: Institute of Health Equity.</w:t>
      </w:r>
      <w:r w:rsidRPr="005A3125">
        <w:rPr>
          <w:rFonts w:asciiTheme="minorBidi" w:hAnsiTheme="minorBidi" w:cstheme="minorBidi"/>
          <w:sz w:val="22"/>
          <w:szCs w:val="22"/>
        </w:rPr>
        <w:br/>
      </w:r>
      <w:hyperlink r:id="rId76" w:tgtFrame="_new" w:history="1">
        <w:r w:rsidRPr="005A3125">
          <w:rPr>
            <w:rStyle w:val="Hyperlink"/>
            <w:rFonts w:asciiTheme="minorBidi" w:hAnsiTheme="minorBidi" w:cstheme="minorBidi"/>
            <w:sz w:val="22"/>
            <w:szCs w:val="22"/>
          </w:rPr>
          <w:t>https://www.instituteofhealthequity.org/resources-reports/build-back-fairer-the-covid-19-marmot-review</w:t>
        </w:r>
      </w:hyperlink>
      <w:r w:rsidRPr="005A3125">
        <w:rPr>
          <w:rFonts w:asciiTheme="minorBidi" w:hAnsiTheme="minorBidi" w:cstheme="minorBidi"/>
          <w:sz w:val="22"/>
          <w:szCs w:val="22"/>
        </w:rPr>
        <w:t xml:space="preserve"> </w:t>
      </w:r>
    </w:p>
    <w:p w14:paraId="4C4B603C"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Marmot, M. et al. (2020) </w:t>
      </w:r>
      <w:r w:rsidRPr="005A3125">
        <w:rPr>
          <w:rStyle w:val="Emphasis"/>
          <w:rFonts w:asciiTheme="minorBidi" w:hAnsiTheme="minorBidi" w:cstheme="minorBidi"/>
          <w:sz w:val="22"/>
          <w:szCs w:val="22"/>
        </w:rPr>
        <w:t>Health Equity in England: The Marmot Review 10 Years On</w:t>
      </w:r>
      <w:r w:rsidRPr="005A3125">
        <w:rPr>
          <w:rFonts w:asciiTheme="minorBidi" w:hAnsiTheme="minorBidi" w:cstheme="minorBidi"/>
          <w:sz w:val="22"/>
          <w:szCs w:val="22"/>
        </w:rPr>
        <w:t>. London: Institute of Health Equity.</w:t>
      </w:r>
      <w:r w:rsidRPr="005A3125">
        <w:rPr>
          <w:rFonts w:asciiTheme="minorBidi" w:hAnsiTheme="minorBidi" w:cstheme="minorBidi"/>
          <w:sz w:val="22"/>
          <w:szCs w:val="22"/>
        </w:rPr>
        <w:br/>
      </w:r>
      <w:hyperlink r:id="rId77" w:history="1">
        <w:r w:rsidRPr="005A3125">
          <w:rPr>
            <w:rStyle w:val="Hyperlink"/>
            <w:rFonts w:asciiTheme="minorBidi" w:hAnsiTheme="minorBidi" w:cstheme="minorBidi"/>
            <w:sz w:val="22"/>
            <w:szCs w:val="22"/>
          </w:rPr>
          <w:t>https://www.instituteofhealthequity.org/resources-reports/health-equity-in-england-the-marmot-review-10-years-on</w:t>
        </w:r>
      </w:hyperlink>
      <w:r w:rsidRPr="005A3125">
        <w:rPr>
          <w:rFonts w:asciiTheme="minorBidi" w:hAnsiTheme="minorBidi" w:cstheme="minorBidi"/>
          <w:sz w:val="22"/>
          <w:szCs w:val="22"/>
        </w:rPr>
        <w:t xml:space="preserve"> </w:t>
      </w:r>
    </w:p>
    <w:p w14:paraId="02B7C953"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McKenzie, J.E. et al. (2021) ‘The PRISMA 2020 statement’, </w:t>
      </w:r>
      <w:r w:rsidRPr="005A3125">
        <w:rPr>
          <w:rStyle w:val="Emphasis"/>
          <w:rFonts w:asciiTheme="minorBidi" w:hAnsiTheme="minorBidi" w:cstheme="minorBidi"/>
          <w:sz w:val="22"/>
          <w:szCs w:val="22"/>
        </w:rPr>
        <w:t>BMJ</w:t>
      </w:r>
      <w:r w:rsidRPr="005A3125">
        <w:rPr>
          <w:rFonts w:asciiTheme="minorBidi" w:hAnsiTheme="minorBidi" w:cstheme="minorBidi"/>
          <w:sz w:val="22"/>
          <w:szCs w:val="22"/>
        </w:rPr>
        <w:t>, 372, n71.</w:t>
      </w:r>
      <w:r w:rsidRPr="005A3125">
        <w:rPr>
          <w:rFonts w:asciiTheme="minorBidi" w:hAnsiTheme="minorBidi" w:cstheme="minorBidi"/>
          <w:sz w:val="22"/>
          <w:szCs w:val="22"/>
        </w:rPr>
        <w:br/>
      </w:r>
      <w:hyperlink r:id="rId78" w:tgtFrame="_new" w:history="1">
        <w:r w:rsidRPr="005A3125">
          <w:rPr>
            <w:rStyle w:val="Hyperlink"/>
            <w:rFonts w:asciiTheme="minorBidi" w:hAnsiTheme="minorBidi" w:cstheme="minorBidi"/>
            <w:sz w:val="22"/>
            <w:szCs w:val="22"/>
          </w:rPr>
          <w:t>https://doi.org/10.1136/bmj.n71</w:t>
        </w:r>
      </w:hyperlink>
    </w:p>
    <w:p w14:paraId="5FB31B5D"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lastRenderedPageBreak/>
        <w:t xml:space="preserve">McManus, S. et al. (2016) </w:t>
      </w:r>
      <w:r w:rsidRPr="005A3125">
        <w:rPr>
          <w:rStyle w:val="Emphasis"/>
          <w:rFonts w:asciiTheme="minorBidi" w:hAnsiTheme="minorBidi" w:cstheme="minorBidi"/>
          <w:sz w:val="22"/>
          <w:szCs w:val="22"/>
        </w:rPr>
        <w:t>Mental health of children and young people in England</w:t>
      </w:r>
      <w:r w:rsidRPr="005A3125">
        <w:rPr>
          <w:rFonts w:asciiTheme="minorBidi" w:hAnsiTheme="minorBidi" w:cstheme="minorBidi"/>
          <w:sz w:val="22"/>
          <w:szCs w:val="22"/>
        </w:rPr>
        <w:t xml:space="preserve">. NHS Digital. Available at: </w:t>
      </w:r>
      <w:hyperlink r:id="rId79" w:tgtFrame="_new" w:history="1">
        <w:r w:rsidRPr="005A3125">
          <w:rPr>
            <w:rStyle w:val="Hyperlink"/>
            <w:rFonts w:asciiTheme="minorBidi" w:hAnsiTheme="minorBidi" w:cstheme="minorBidi"/>
            <w:sz w:val="22"/>
            <w:szCs w:val="22"/>
          </w:rPr>
          <w:t>https://digital.nhs.uk</w:t>
        </w:r>
      </w:hyperlink>
    </w:p>
    <w:p w14:paraId="752DB10D"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Memon, A. et al. (2016) ‘Perceived barriers to accessing mental health services among ethnic minorities’, </w:t>
      </w:r>
      <w:r w:rsidRPr="005A3125">
        <w:rPr>
          <w:rStyle w:val="Emphasis"/>
          <w:rFonts w:asciiTheme="minorBidi" w:hAnsiTheme="minorBidi" w:cstheme="minorBidi"/>
          <w:sz w:val="22"/>
          <w:szCs w:val="22"/>
        </w:rPr>
        <w:t>BMC Psychiatry</w:t>
      </w:r>
      <w:r w:rsidRPr="005A3125">
        <w:rPr>
          <w:rFonts w:asciiTheme="minorBidi" w:hAnsiTheme="minorBidi" w:cstheme="minorBidi"/>
          <w:sz w:val="22"/>
          <w:szCs w:val="22"/>
        </w:rPr>
        <w:t xml:space="preserve">, 16, 237. </w:t>
      </w:r>
      <w:hyperlink r:id="rId80" w:history="1">
        <w:r w:rsidRPr="005A3125">
          <w:rPr>
            <w:rStyle w:val="Hyperlink"/>
            <w:rFonts w:asciiTheme="minorBidi" w:hAnsiTheme="minorBidi" w:cstheme="minorBidi"/>
            <w:sz w:val="22"/>
            <w:szCs w:val="22"/>
          </w:rPr>
          <w:t>https://doi.org/10.1186/s12888-016-0926-1</w:t>
        </w:r>
      </w:hyperlink>
      <w:r w:rsidRPr="005A3125">
        <w:rPr>
          <w:rFonts w:asciiTheme="minorBidi" w:hAnsiTheme="minorBidi" w:cstheme="minorBidi"/>
          <w:sz w:val="22"/>
          <w:szCs w:val="22"/>
        </w:rPr>
        <w:t xml:space="preserve"> </w:t>
      </w:r>
    </w:p>
    <w:p w14:paraId="74EE30A3"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Memon, A., Taylor, K., </w:t>
      </w:r>
      <w:proofErr w:type="spellStart"/>
      <w:r w:rsidRPr="005A3125">
        <w:rPr>
          <w:rFonts w:asciiTheme="minorBidi" w:hAnsiTheme="minorBidi" w:cstheme="minorBidi"/>
          <w:sz w:val="22"/>
          <w:szCs w:val="22"/>
        </w:rPr>
        <w:t>Mohebati</w:t>
      </w:r>
      <w:proofErr w:type="spellEnd"/>
      <w:r w:rsidRPr="005A3125">
        <w:rPr>
          <w:rFonts w:asciiTheme="minorBidi" w:hAnsiTheme="minorBidi" w:cstheme="minorBidi"/>
          <w:sz w:val="22"/>
          <w:szCs w:val="22"/>
        </w:rPr>
        <w:t xml:space="preserve">, L.M., Sundin, J., Cooper, M. and Scanlon, T. (2016) ‘Perceived barriers to accessing mental health services among ethnic minorities’, </w:t>
      </w:r>
      <w:r w:rsidRPr="005A3125">
        <w:rPr>
          <w:rStyle w:val="Emphasis"/>
          <w:rFonts w:asciiTheme="minorBidi" w:hAnsiTheme="minorBidi" w:cstheme="minorBidi"/>
          <w:sz w:val="22"/>
          <w:szCs w:val="22"/>
        </w:rPr>
        <w:t>International Journal of Culture and Mental Health</w:t>
      </w:r>
      <w:r w:rsidRPr="005A3125">
        <w:rPr>
          <w:rFonts w:asciiTheme="minorBidi" w:hAnsiTheme="minorBidi" w:cstheme="minorBidi"/>
          <w:sz w:val="22"/>
          <w:szCs w:val="22"/>
        </w:rPr>
        <w:t>, 9(1), pp. 10–27.</w:t>
      </w:r>
      <w:r w:rsidRPr="005A3125">
        <w:rPr>
          <w:rFonts w:asciiTheme="minorBidi" w:hAnsiTheme="minorBidi" w:cstheme="minorBidi"/>
          <w:sz w:val="22"/>
          <w:szCs w:val="22"/>
        </w:rPr>
        <w:br/>
      </w:r>
      <w:hyperlink r:id="rId81" w:history="1">
        <w:r w:rsidRPr="005A3125">
          <w:rPr>
            <w:rStyle w:val="Hyperlink"/>
            <w:rFonts w:asciiTheme="minorBidi" w:hAnsiTheme="minorBidi" w:cstheme="minorBidi"/>
            <w:sz w:val="22"/>
            <w:szCs w:val="22"/>
          </w:rPr>
          <w:t>https://doi.org/10.1080/17542863.2015.1128689</w:t>
        </w:r>
      </w:hyperlink>
      <w:r w:rsidRPr="005A3125">
        <w:rPr>
          <w:rFonts w:asciiTheme="minorBidi" w:hAnsiTheme="minorBidi" w:cstheme="minorBidi"/>
          <w:sz w:val="22"/>
          <w:szCs w:val="22"/>
        </w:rPr>
        <w:t xml:space="preserve"> </w:t>
      </w:r>
    </w:p>
    <w:p w14:paraId="70CCD339"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Meyer, I.H. (2003) ‘Prejudice, social stress, and mental health in minority populations’, </w:t>
      </w:r>
      <w:r w:rsidRPr="005A3125">
        <w:rPr>
          <w:rStyle w:val="Emphasis"/>
          <w:rFonts w:asciiTheme="minorBidi" w:hAnsiTheme="minorBidi" w:cstheme="minorBidi"/>
          <w:sz w:val="22"/>
          <w:szCs w:val="22"/>
        </w:rPr>
        <w:t>Psychological Bulletin</w:t>
      </w:r>
      <w:r w:rsidRPr="005A3125">
        <w:rPr>
          <w:rFonts w:asciiTheme="minorBidi" w:hAnsiTheme="minorBidi" w:cstheme="minorBidi"/>
          <w:sz w:val="22"/>
          <w:szCs w:val="22"/>
        </w:rPr>
        <w:t xml:space="preserve">, 129(5), pp. 674–697. </w:t>
      </w:r>
      <w:hyperlink r:id="rId82" w:tgtFrame="_new" w:history="1">
        <w:r w:rsidRPr="005A3125">
          <w:rPr>
            <w:rStyle w:val="Hyperlink"/>
            <w:rFonts w:asciiTheme="minorBidi" w:hAnsiTheme="minorBidi" w:cstheme="minorBidi"/>
            <w:sz w:val="22"/>
            <w:szCs w:val="22"/>
          </w:rPr>
          <w:t>https://doi.org/10.1037/0033-2909.129.5.674</w:t>
        </w:r>
      </w:hyperlink>
    </w:p>
    <w:p w14:paraId="7CD03534"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Moon, Z., Brewer, T., Januszewski, A. and Belcher, J. (2019) ‘Mixed methods in public health research’, </w:t>
      </w:r>
      <w:r w:rsidRPr="005A3125">
        <w:rPr>
          <w:rStyle w:val="Emphasis"/>
          <w:rFonts w:asciiTheme="minorBidi" w:hAnsiTheme="minorBidi" w:cstheme="minorBidi"/>
          <w:sz w:val="22"/>
          <w:szCs w:val="22"/>
        </w:rPr>
        <w:t>BMC Public Health</w:t>
      </w:r>
      <w:r w:rsidRPr="005A3125">
        <w:rPr>
          <w:rFonts w:asciiTheme="minorBidi" w:hAnsiTheme="minorBidi" w:cstheme="minorBidi"/>
          <w:sz w:val="22"/>
          <w:szCs w:val="22"/>
        </w:rPr>
        <w:t>, 19, 1–9.</w:t>
      </w:r>
      <w:r w:rsidRPr="005A3125">
        <w:rPr>
          <w:rFonts w:asciiTheme="minorBidi" w:hAnsiTheme="minorBidi" w:cstheme="minorBidi"/>
          <w:sz w:val="22"/>
          <w:szCs w:val="22"/>
        </w:rPr>
        <w:br/>
      </w:r>
      <w:hyperlink r:id="rId83" w:history="1">
        <w:r w:rsidRPr="005A3125">
          <w:rPr>
            <w:rStyle w:val="Hyperlink"/>
            <w:rFonts w:asciiTheme="minorBidi" w:hAnsiTheme="minorBidi" w:cstheme="minorBidi"/>
            <w:sz w:val="22"/>
            <w:szCs w:val="22"/>
          </w:rPr>
          <w:t>https://doi.org/10.1186/s12889-019-6829-8</w:t>
        </w:r>
      </w:hyperlink>
      <w:r w:rsidRPr="005A3125">
        <w:rPr>
          <w:rFonts w:asciiTheme="minorBidi" w:hAnsiTheme="minorBidi" w:cstheme="minorBidi"/>
          <w:sz w:val="22"/>
          <w:szCs w:val="22"/>
        </w:rPr>
        <w:t xml:space="preserve"> </w:t>
      </w:r>
    </w:p>
    <w:p w14:paraId="5A9603B3"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Morgan, C. et al. (2020) ‘Ethnic inequalities in mental health care’, </w:t>
      </w:r>
      <w:r w:rsidRPr="005A3125">
        <w:rPr>
          <w:rStyle w:val="Emphasis"/>
          <w:rFonts w:asciiTheme="minorBidi" w:hAnsiTheme="minorBidi" w:cstheme="minorBidi"/>
          <w:sz w:val="22"/>
          <w:szCs w:val="22"/>
        </w:rPr>
        <w:t>The Lancet Psychiatry</w:t>
      </w:r>
      <w:r w:rsidRPr="005A3125">
        <w:rPr>
          <w:rFonts w:asciiTheme="minorBidi" w:hAnsiTheme="minorBidi" w:cstheme="minorBidi"/>
          <w:sz w:val="22"/>
          <w:szCs w:val="22"/>
        </w:rPr>
        <w:t xml:space="preserve">, 7(8), pp. 653–663. </w:t>
      </w:r>
      <w:hyperlink r:id="rId84" w:history="1">
        <w:r w:rsidRPr="005A3125">
          <w:rPr>
            <w:rStyle w:val="Hyperlink"/>
            <w:rFonts w:asciiTheme="minorBidi" w:hAnsiTheme="minorBidi" w:cstheme="minorBidi"/>
            <w:sz w:val="22"/>
            <w:szCs w:val="22"/>
          </w:rPr>
          <w:t>https://doi.org/10.1016/S2215-0366(20)30223-6</w:t>
        </w:r>
      </w:hyperlink>
      <w:r w:rsidRPr="005A3125">
        <w:rPr>
          <w:rFonts w:asciiTheme="minorBidi" w:hAnsiTheme="minorBidi" w:cstheme="minorBidi"/>
          <w:sz w:val="22"/>
          <w:szCs w:val="22"/>
        </w:rPr>
        <w:t xml:space="preserve"> </w:t>
      </w:r>
    </w:p>
    <w:p w14:paraId="4818D4F3"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Munn, Z. et al. (2018) ‘Systematic review or scoping review?’, </w:t>
      </w:r>
      <w:r w:rsidRPr="005A3125">
        <w:rPr>
          <w:rStyle w:val="Emphasis"/>
          <w:rFonts w:asciiTheme="minorBidi" w:hAnsiTheme="minorBidi" w:cstheme="minorBidi"/>
          <w:sz w:val="22"/>
          <w:szCs w:val="22"/>
        </w:rPr>
        <w:t>BMC Medical Research Methodology</w:t>
      </w:r>
      <w:r w:rsidRPr="005A3125">
        <w:rPr>
          <w:rFonts w:asciiTheme="minorBidi" w:hAnsiTheme="minorBidi" w:cstheme="minorBidi"/>
          <w:sz w:val="22"/>
          <w:szCs w:val="22"/>
        </w:rPr>
        <w:t>, 18, 143.</w:t>
      </w:r>
      <w:r w:rsidRPr="005A3125">
        <w:rPr>
          <w:rFonts w:asciiTheme="minorBidi" w:hAnsiTheme="minorBidi" w:cstheme="minorBidi"/>
          <w:sz w:val="22"/>
          <w:szCs w:val="22"/>
        </w:rPr>
        <w:br/>
      </w:r>
      <w:hyperlink r:id="rId85" w:tgtFrame="_new" w:history="1">
        <w:r w:rsidRPr="005A3125">
          <w:rPr>
            <w:rStyle w:val="Hyperlink"/>
            <w:rFonts w:asciiTheme="minorBidi" w:hAnsiTheme="minorBidi" w:cstheme="minorBidi"/>
            <w:sz w:val="22"/>
            <w:szCs w:val="22"/>
          </w:rPr>
          <w:t>https://doi.org/10.1186/s12874-018-0611-x</w:t>
        </w:r>
      </w:hyperlink>
    </w:p>
    <w:p w14:paraId="7BAE4FD5"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proofErr w:type="spellStart"/>
      <w:r w:rsidRPr="005A3125">
        <w:rPr>
          <w:rFonts w:asciiTheme="minorBidi" w:hAnsiTheme="minorBidi" w:cstheme="minorBidi"/>
          <w:sz w:val="22"/>
          <w:szCs w:val="22"/>
        </w:rPr>
        <w:t>Nazroo</w:t>
      </w:r>
      <w:proofErr w:type="spellEnd"/>
      <w:r w:rsidRPr="005A3125">
        <w:rPr>
          <w:rFonts w:asciiTheme="minorBidi" w:hAnsiTheme="minorBidi" w:cstheme="minorBidi"/>
          <w:sz w:val="22"/>
          <w:szCs w:val="22"/>
        </w:rPr>
        <w:t xml:space="preserve">, J. (2021) ‘Racial inequalities in health’, </w:t>
      </w:r>
      <w:r w:rsidRPr="005A3125">
        <w:rPr>
          <w:rStyle w:val="Emphasis"/>
          <w:rFonts w:asciiTheme="minorBidi" w:hAnsiTheme="minorBidi" w:cstheme="minorBidi"/>
          <w:sz w:val="22"/>
          <w:szCs w:val="22"/>
        </w:rPr>
        <w:t>Annual Review of Public Health</w:t>
      </w:r>
      <w:r w:rsidRPr="005A3125">
        <w:rPr>
          <w:rFonts w:asciiTheme="minorBidi" w:hAnsiTheme="minorBidi" w:cstheme="minorBidi"/>
          <w:sz w:val="22"/>
          <w:szCs w:val="22"/>
        </w:rPr>
        <w:t xml:space="preserve">, 42, pp. 1–18. </w:t>
      </w:r>
      <w:hyperlink r:id="rId86" w:history="1">
        <w:r w:rsidRPr="005A3125">
          <w:rPr>
            <w:rStyle w:val="Hyperlink"/>
            <w:rFonts w:asciiTheme="minorBidi" w:hAnsiTheme="minorBidi" w:cstheme="minorBidi"/>
            <w:sz w:val="22"/>
            <w:szCs w:val="22"/>
          </w:rPr>
          <w:t>https://doi.org/10.1146/annurev-publhealth-090419-102229</w:t>
        </w:r>
      </w:hyperlink>
      <w:r w:rsidRPr="005A3125">
        <w:rPr>
          <w:rFonts w:asciiTheme="minorBidi" w:hAnsiTheme="minorBidi" w:cstheme="minorBidi"/>
          <w:sz w:val="22"/>
          <w:szCs w:val="22"/>
        </w:rPr>
        <w:t xml:space="preserve"> </w:t>
      </w:r>
    </w:p>
    <w:p w14:paraId="69398B3F"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proofErr w:type="spellStart"/>
      <w:r w:rsidRPr="005A3125">
        <w:rPr>
          <w:rFonts w:asciiTheme="minorBidi" w:hAnsiTheme="minorBidi" w:cstheme="minorBidi"/>
          <w:sz w:val="22"/>
          <w:szCs w:val="22"/>
        </w:rPr>
        <w:t>Nazroo</w:t>
      </w:r>
      <w:proofErr w:type="spellEnd"/>
      <w:r w:rsidRPr="005A3125">
        <w:rPr>
          <w:rFonts w:asciiTheme="minorBidi" w:hAnsiTheme="minorBidi" w:cstheme="minorBidi"/>
          <w:sz w:val="22"/>
          <w:szCs w:val="22"/>
        </w:rPr>
        <w:t xml:space="preserve">, J.Y. and Williams, D.R. (2020) ‘The social determination of ethnic/racial inequalities in health’, </w:t>
      </w:r>
      <w:r w:rsidRPr="005A3125">
        <w:rPr>
          <w:rStyle w:val="Emphasis"/>
          <w:rFonts w:asciiTheme="minorBidi" w:hAnsiTheme="minorBidi" w:cstheme="minorBidi"/>
          <w:sz w:val="22"/>
          <w:szCs w:val="22"/>
        </w:rPr>
        <w:t>The Lancet</w:t>
      </w:r>
      <w:r w:rsidRPr="005A3125">
        <w:rPr>
          <w:rFonts w:asciiTheme="minorBidi" w:hAnsiTheme="minorBidi" w:cstheme="minorBidi"/>
          <w:sz w:val="22"/>
          <w:szCs w:val="22"/>
        </w:rPr>
        <w:t xml:space="preserve">, 395(10241), pp. 1273–1282. </w:t>
      </w:r>
      <w:hyperlink r:id="rId87" w:tgtFrame="_new" w:history="1">
        <w:r w:rsidRPr="005A3125">
          <w:rPr>
            <w:rStyle w:val="Hyperlink"/>
            <w:rFonts w:asciiTheme="minorBidi" w:hAnsiTheme="minorBidi" w:cstheme="minorBidi"/>
            <w:sz w:val="22"/>
            <w:szCs w:val="22"/>
          </w:rPr>
          <w:t>https://doi.org/10.1016/S0140-6736(20)30227-9</w:t>
        </w:r>
      </w:hyperlink>
    </w:p>
    <w:p w14:paraId="5F9FED3D"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NHS Digital (2023) </w:t>
      </w:r>
      <w:r w:rsidRPr="005A3125">
        <w:rPr>
          <w:rStyle w:val="Emphasis"/>
          <w:rFonts w:asciiTheme="minorBidi" w:hAnsiTheme="minorBidi" w:cstheme="minorBidi"/>
          <w:sz w:val="22"/>
          <w:szCs w:val="22"/>
        </w:rPr>
        <w:t>Mental Health of Children and Young People in England</w:t>
      </w:r>
      <w:r w:rsidRPr="005A3125">
        <w:rPr>
          <w:rFonts w:asciiTheme="minorBidi" w:hAnsiTheme="minorBidi" w:cstheme="minorBidi"/>
          <w:sz w:val="22"/>
          <w:szCs w:val="22"/>
        </w:rPr>
        <w:t xml:space="preserve">. Available at: </w:t>
      </w:r>
      <w:hyperlink r:id="rId88" w:tgtFrame="_new" w:history="1">
        <w:r w:rsidRPr="005A3125">
          <w:rPr>
            <w:rStyle w:val="Hyperlink"/>
            <w:rFonts w:asciiTheme="minorBidi" w:hAnsiTheme="minorBidi" w:cstheme="minorBidi"/>
            <w:sz w:val="22"/>
            <w:szCs w:val="22"/>
          </w:rPr>
          <w:t>https://digital.nhs.uk</w:t>
        </w:r>
      </w:hyperlink>
      <w:r w:rsidRPr="005A3125">
        <w:rPr>
          <w:rFonts w:asciiTheme="minorBidi" w:hAnsiTheme="minorBidi" w:cstheme="minorBidi"/>
          <w:sz w:val="22"/>
          <w:szCs w:val="22"/>
        </w:rPr>
        <w:t xml:space="preserve"> (Accessed: 14 June 2026).</w:t>
      </w:r>
    </w:p>
    <w:p w14:paraId="155D38F2"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NHS Race and Health Observatory (2022) </w:t>
      </w:r>
      <w:r w:rsidRPr="005A3125">
        <w:rPr>
          <w:rStyle w:val="Emphasis"/>
          <w:rFonts w:asciiTheme="minorBidi" w:hAnsiTheme="minorBidi" w:cstheme="minorBidi"/>
          <w:sz w:val="22"/>
          <w:szCs w:val="22"/>
        </w:rPr>
        <w:t>Racism and mental health</w:t>
      </w:r>
      <w:r w:rsidRPr="005A3125">
        <w:rPr>
          <w:rFonts w:asciiTheme="minorBidi" w:hAnsiTheme="minorBidi" w:cstheme="minorBidi"/>
          <w:sz w:val="22"/>
          <w:szCs w:val="22"/>
        </w:rPr>
        <w:t xml:space="preserve">. Available at: </w:t>
      </w:r>
      <w:hyperlink r:id="rId89" w:tgtFrame="_new" w:history="1">
        <w:r w:rsidRPr="005A3125">
          <w:rPr>
            <w:rStyle w:val="Hyperlink"/>
            <w:rFonts w:asciiTheme="minorBidi" w:hAnsiTheme="minorBidi" w:cstheme="minorBidi"/>
            <w:sz w:val="22"/>
            <w:szCs w:val="22"/>
          </w:rPr>
          <w:t>https://www.nhsrho.org</w:t>
        </w:r>
      </w:hyperlink>
      <w:r w:rsidRPr="005A3125">
        <w:rPr>
          <w:rFonts w:asciiTheme="minorBidi" w:hAnsiTheme="minorBidi" w:cstheme="minorBidi"/>
          <w:sz w:val="22"/>
          <w:szCs w:val="22"/>
        </w:rPr>
        <w:t xml:space="preserve"> (Accessed: 14 June 2026).</w:t>
      </w:r>
    </w:p>
    <w:p w14:paraId="345E5217"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Nowell, L.S., Norris, J.M., White, D.E. and Moules, N.J. (2017) ‘Thematic analysis: striving to meet trustworthiness criteria’, </w:t>
      </w:r>
      <w:r w:rsidRPr="005A3125">
        <w:rPr>
          <w:rStyle w:val="Emphasis"/>
          <w:rFonts w:asciiTheme="minorBidi" w:hAnsiTheme="minorBidi" w:cstheme="minorBidi"/>
          <w:sz w:val="22"/>
          <w:szCs w:val="22"/>
        </w:rPr>
        <w:t>International Journal of Qualitative Methods</w:t>
      </w:r>
      <w:r w:rsidRPr="005A3125">
        <w:rPr>
          <w:rFonts w:asciiTheme="minorBidi" w:hAnsiTheme="minorBidi" w:cstheme="minorBidi"/>
          <w:sz w:val="22"/>
          <w:szCs w:val="22"/>
        </w:rPr>
        <w:t xml:space="preserve">, 16(1). </w:t>
      </w:r>
      <w:hyperlink r:id="rId90" w:tgtFrame="_new" w:history="1">
        <w:r w:rsidRPr="005A3125">
          <w:rPr>
            <w:rStyle w:val="Hyperlink"/>
            <w:rFonts w:asciiTheme="minorBidi" w:hAnsiTheme="minorBidi" w:cstheme="minorBidi"/>
            <w:sz w:val="22"/>
            <w:szCs w:val="22"/>
          </w:rPr>
          <w:t>https://doi.org/10.1177/1609406917733847</w:t>
        </w:r>
      </w:hyperlink>
    </w:p>
    <w:p w14:paraId="217FFC59"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ONS (2022) </w:t>
      </w:r>
      <w:r w:rsidRPr="005A3125">
        <w:rPr>
          <w:rStyle w:val="Emphasis"/>
          <w:rFonts w:asciiTheme="minorBidi" w:hAnsiTheme="minorBidi" w:cstheme="minorBidi"/>
          <w:sz w:val="22"/>
          <w:szCs w:val="22"/>
        </w:rPr>
        <w:t>Ethnicity and socio-economic inequalities in the UK</w:t>
      </w:r>
      <w:r w:rsidRPr="005A3125">
        <w:rPr>
          <w:rFonts w:asciiTheme="minorBidi" w:hAnsiTheme="minorBidi" w:cstheme="minorBidi"/>
          <w:sz w:val="22"/>
          <w:szCs w:val="22"/>
        </w:rPr>
        <w:t xml:space="preserve">. Available at: </w:t>
      </w:r>
      <w:hyperlink r:id="rId91" w:tgtFrame="_new" w:history="1">
        <w:r w:rsidRPr="005A3125">
          <w:rPr>
            <w:rStyle w:val="Hyperlink"/>
            <w:rFonts w:asciiTheme="minorBidi" w:hAnsiTheme="minorBidi" w:cstheme="minorBidi"/>
            <w:sz w:val="22"/>
            <w:szCs w:val="22"/>
          </w:rPr>
          <w:t>https://www.ons.gov.uk</w:t>
        </w:r>
      </w:hyperlink>
      <w:r w:rsidRPr="005A3125">
        <w:rPr>
          <w:rFonts w:asciiTheme="minorBidi" w:hAnsiTheme="minorBidi" w:cstheme="minorBidi"/>
          <w:sz w:val="22"/>
          <w:szCs w:val="22"/>
        </w:rPr>
        <w:t xml:space="preserve"> (Accessed: 14 June 2026).</w:t>
      </w:r>
    </w:p>
    <w:p w14:paraId="46009A74"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Page, M.J. et al. (2021) ‘The PRISMA 2020 statement’, </w:t>
      </w:r>
      <w:r w:rsidRPr="005A3125">
        <w:rPr>
          <w:rStyle w:val="Emphasis"/>
          <w:rFonts w:asciiTheme="minorBidi" w:hAnsiTheme="minorBidi" w:cstheme="minorBidi"/>
          <w:sz w:val="22"/>
          <w:szCs w:val="22"/>
        </w:rPr>
        <w:t>BMJ</w:t>
      </w:r>
      <w:r w:rsidRPr="005A3125">
        <w:rPr>
          <w:rFonts w:asciiTheme="minorBidi" w:hAnsiTheme="minorBidi" w:cstheme="minorBidi"/>
          <w:sz w:val="22"/>
          <w:szCs w:val="22"/>
        </w:rPr>
        <w:t>, 372, n71.</w:t>
      </w:r>
      <w:r w:rsidRPr="005A3125">
        <w:rPr>
          <w:rFonts w:asciiTheme="minorBidi" w:hAnsiTheme="minorBidi" w:cstheme="minorBidi"/>
          <w:sz w:val="22"/>
          <w:szCs w:val="22"/>
        </w:rPr>
        <w:br/>
      </w:r>
      <w:hyperlink r:id="rId92" w:tgtFrame="_new" w:history="1">
        <w:r w:rsidRPr="005A3125">
          <w:rPr>
            <w:rStyle w:val="Hyperlink"/>
            <w:rFonts w:asciiTheme="minorBidi" w:hAnsiTheme="minorBidi" w:cstheme="minorBidi"/>
            <w:sz w:val="22"/>
            <w:szCs w:val="22"/>
          </w:rPr>
          <w:t>https://doi.org/10.1136/bmj.n71</w:t>
        </w:r>
      </w:hyperlink>
    </w:p>
    <w:p w14:paraId="20322FDB"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lastRenderedPageBreak/>
        <w:t xml:space="preserve">Paradies, Y. et al. (2015) ‘Racism as a determinant of health: meta-analysis’, </w:t>
      </w:r>
      <w:proofErr w:type="spellStart"/>
      <w:r w:rsidRPr="005A3125">
        <w:rPr>
          <w:rStyle w:val="Emphasis"/>
          <w:rFonts w:asciiTheme="minorBidi" w:hAnsiTheme="minorBidi" w:cstheme="minorBidi"/>
          <w:sz w:val="22"/>
          <w:szCs w:val="22"/>
        </w:rPr>
        <w:t>PLoS</w:t>
      </w:r>
      <w:proofErr w:type="spellEnd"/>
      <w:r w:rsidRPr="005A3125">
        <w:rPr>
          <w:rStyle w:val="Emphasis"/>
          <w:rFonts w:asciiTheme="minorBidi" w:hAnsiTheme="minorBidi" w:cstheme="minorBidi"/>
          <w:sz w:val="22"/>
          <w:szCs w:val="22"/>
        </w:rPr>
        <w:t xml:space="preserve"> ONE</w:t>
      </w:r>
      <w:r w:rsidRPr="005A3125">
        <w:rPr>
          <w:rFonts w:asciiTheme="minorBidi" w:hAnsiTheme="minorBidi" w:cstheme="minorBidi"/>
          <w:sz w:val="22"/>
          <w:szCs w:val="22"/>
        </w:rPr>
        <w:t xml:space="preserve">, 10(9), e0138511. </w:t>
      </w:r>
      <w:hyperlink r:id="rId93" w:tgtFrame="_new" w:history="1">
        <w:r w:rsidRPr="005A3125">
          <w:rPr>
            <w:rStyle w:val="Hyperlink"/>
            <w:rFonts w:asciiTheme="minorBidi" w:hAnsiTheme="minorBidi" w:cstheme="minorBidi"/>
            <w:sz w:val="22"/>
            <w:szCs w:val="22"/>
          </w:rPr>
          <w:t>https://doi.org/10.1371/journal.pone.0138511</w:t>
        </w:r>
      </w:hyperlink>
    </w:p>
    <w:p w14:paraId="4062A49F"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Patton, G.C. et al. (2018) ‘Our future: a Lancet commission on adolescent health and wellbeing’, </w:t>
      </w:r>
      <w:r w:rsidRPr="005A3125">
        <w:rPr>
          <w:rStyle w:val="Emphasis"/>
          <w:rFonts w:asciiTheme="minorBidi" w:hAnsiTheme="minorBidi" w:cstheme="minorBidi"/>
          <w:sz w:val="22"/>
          <w:szCs w:val="22"/>
        </w:rPr>
        <w:t>The Lancet</w:t>
      </w:r>
      <w:r w:rsidRPr="005A3125">
        <w:rPr>
          <w:rFonts w:asciiTheme="minorBidi" w:hAnsiTheme="minorBidi" w:cstheme="minorBidi"/>
          <w:sz w:val="22"/>
          <w:szCs w:val="22"/>
        </w:rPr>
        <w:t xml:space="preserve">, 393(10183), pp. 2423–2478. </w:t>
      </w:r>
      <w:hyperlink r:id="rId94" w:tgtFrame="_new" w:history="1">
        <w:r w:rsidRPr="005A3125">
          <w:rPr>
            <w:rStyle w:val="Hyperlink"/>
            <w:rFonts w:asciiTheme="minorBidi" w:hAnsiTheme="minorBidi" w:cstheme="minorBidi"/>
            <w:sz w:val="22"/>
            <w:szCs w:val="22"/>
          </w:rPr>
          <w:t>https://doi.org/10.1016/S0140-6736(18)30160-5</w:t>
        </w:r>
      </w:hyperlink>
    </w:p>
    <w:p w14:paraId="23524D37"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Peters, M.D.J. et al. (2020) ‘Updated methodological guidance for systematic reviews’, </w:t>
      </w:r>
      <w:r w:rsidRPr="005A3125">
        <w:rPr>
          <w:rStyle w:val="Emphasis"/>
          <w:rFonts w:asciiTheme="minorBidi" w:hAnsiTheme="minorBidi" w:cstheme="minorBidi"/>
          <w:sz w:val="22"/>
          <w:szCs w:val="22"/>
        </w:rPr>
        <w:t>JBI Evidence Synthesis</w:t>
      </w:r>
      <w:r w:rsidRPr="005A3125">
        <w:rPr>
          <w:rFonts w:asciiTheme="minorBidi" w:hAnsiTheme="minorBidi" w:cstheme="minorBidi"/>
          <w:sz w:val="22"/>
          <w:szCs w:val="22"/>
        </w:rPr>
        <w:t>, 18(10), pp. 2119–2126.</w:t>
      </w:r>
      <w:r w:rsidRPr="005A3125">
        <w:rPr>
          <w:rFonts w:asciiTheme="minorBidi" w:hAnsiTheme="minorBidi" w:cstheme="minorBidi"/>
          <w:sz w:val="22"/>
          <w:szCs w:val="22"/>
        </w:rPr>
        <w:br/>
      </w:r>
      <w:hyperlink r:id="rId95" w:history="1">
        <w:r w:rsidRPr="005A3125">
          <w:rPr>
            <w:rStyle w:val="Hyperlink"/>
            <w:rFonts w:asciiTheme="minorBidi" w:hAnsiTheme="minorBidi" w:cstheme="minorBidi"/>
            <w:sz w:val="22"/>
            <w:szCs w:val="22"/>
          </w:rPr>
          <w:t>https://doi.org/10.11124/JBIES-19-00169</w:t>
        </w:r>
      </w:hyperlink>
      <w:r w:rsidRPr="005A3125">
        <w:rPr>
          <w:rFonts w:asciiTheme="minorBidi" w:hAnsiTheme="minorBidi" w:cstheme="minorBidi"/>
          <w:sz w:val="22"/>
          <w:szCs w:val="22"/>
        </w:rPr>
        <w:t xml:space="preserve"> </w:t>
      </w:r>
    </w:p>
    <w:p w14:paraId="27690E93"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Pickett, K. and Wilkinson, R. (2015) </w:t>
      </w:r>
      <w:r w:rsidRPr="005A3125">
        <w:rPr>
          <w:rStyle w:val="Emphasis"/>
          <w:rFonts w:asciiTheme="minorBidi" w:hAnsiTheme="minorBidi" w:cstheme="minorBidi"/>
          <w:sz w:val="22"/>
          <w:szCs w:val="22"/>
        </w:rPr>
        <w:t>The Spirit Level</w:t>
      </w:r>
      <w:r w:rsidRPr="005A3125">
        <w:rPr>
          <w:rFonts w:asciiTheme="minorBidi" w:hAnsiTheme="minorBidi" w:cstheme="minorBidi"/>
          <w:sz w:val="22"/>
          <w:szCs w:val="22"/>
        </w:rPr>
        <w:t>. London: Penguin.</w:t>
      </w:r>
    </w:p>
    <w:p w14:paraId="0460DDD8"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proofErr w:type="spellStart"/>
      <w:r w:rsidRPr="005A3125">
        <w:rPr>
          <w:rFonts w:asciiTheme="minorBidi" w:hAnsiTheme="minorBidi" w:cstheme="minorBidi"/>
          <w:sz w:val="22"/>
          <w:szCs w:val="22"/>
        </w:rPr>
        <w:t>Polanczyk</w:t>
      </w:r>
      <w:proofErr w:type="spellEnd"/>
      <w:r w:rsidRPr="005A3125">
        <w:rPr>
          <w:rFonts w:asciiTheme="minorBidi" w:hAnsiTheme="minorBidi" w:cstheme="minorBidi"/>
          <w:sz w:val="22"/>
          <w:szCs w:val="22"/>
        </w:rPr>
        <w:t xml:space="preserve">, G. et al. (2015) ‘Global burden of mental disorders in youth’, </w:t>
      </w:r>
      <w:r w:rsidRPr="005A3125">
        <w:rPr>
          <w:rStyle w:val="Emphasis"/>
          <w:rFonts w:asciiTheme="minorBidi" w:hAnsiTheme="minorBidi" w:cstheme="minorBidi"/>
          <w:sz w:val="22"/>
          <w:szCs w:val="22"/>
        </w:rPr>
        <w:t>Psychological Medicine</w:t>
      </w:r>
      <w:r w:rsidRPr="005A3125">
        <w:rPr>
          <w:rFonts w:asciiTheme="minorBidi" w:hAnsiTheme="minorBidi" w:cstheme="minorBidi"/>
          <w:sz w:val="22"/>
          <w:szCs w:val="22"/>
        </w:rPr>
        <w:t xml:space="preserve">, 45(11), pp. 2217–2226. </w:t>
      </w:r>
      <w:hyperlink r:id="rId96" w:history="1">
        <w:r w:rsidRPr="005A3125">
          <w:rPr>
            <w:rStyle w:val="Hyperlink"/>
            <w:rFonts w:asciiTheme="minorBidi" w:hAnsiTheme="minorBidi" w:cstheme="minorBidi"/>
            <w:sz w:val="22"/>
            <w:szCs w:val="22"/>
          </w:rPr>
          <w:t>https://doi.org/10.1017/S0033291715000298</w:t>
        </w:r>
      </w:hyperlink>
      <w:r w:rsidRPr="005A3125">
        <w:rPr>
          <w:rFonts w:asciiTheme="minorBidi" w:hAnsiTheme="minorBidi" w:cstheme="minorBidi"/>
          <w:sz w:val="22"/>
          <w:szCs w:val="22"/>
        </w:rPr>
        <w:t xml:space="preserve"> </w:t>
      </w:r>
    </w:p>
    <w:p w14:paraId="132B630A"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Priest, N., Paradies, Y., </w:t>
      </w:r>
      <w:proofErr w:type="spellStart"/>
      <w:r w:rsidRPr="005A3125">
        <w:rPr>
          <w:rFonts w:asciiTheme="minorBidi" w:hAnsiTheme="minorBidi" w:cstheme="minorBidi"/>
          <w:sz w:val="22"/>
          <w:szCs w:val="22"/>
        </w:rPr>
        <w:t>Trenerry</w:t>
      </w:r>
      <w:proofErr w:type="spellEnd"/>
      <w:r w:rsidRPr="005A3125">
        <w:rPr>
          <w:rFonts w:asciiTheme="minorBidi" w:hAnsiTheme="minorBidi" w:cstheme="minorBidi"/>
          <w:sz w:val="22"/>
          <w:szCs w:val="22"/>
        </w:rPr>
        <w:t xml:space="preserve">, B., Truong, M., Karlsen, S. and Kelly, Y. (2015) ‘A systematic review of studies examining the relationship between reported racism and health and wellbeing for children and young people’, </w:t>
      </w:r>
      <w:r w:rsidRPr="005A3125">
        <w:rPr>
          <w:rStyle w:val="Emphasis"/>
          <w:rFonts w:asciiTheme="minorBidi" w:hAnsiTheme="minorBidi" w:cstheme="minorBidi"/>
          <w:sz w:val="22"/>
          <w:szCs w:val="22"/>
        </w:rPr>
        <w:t>Social Science &amp; Medicine</w:t>
      </w:r>
      <w:r w:rsidRPr="005A3125">
        <w:rPr>
          <w:rFonts w:asciiTheme="minorBidi" w:hAnsiTheme="minorBidi" w:cstheme="minorBidi"/>
          <w:sz w:val="22"/>
          <w:szCs w:val="22"/>
        </w:rPr>
        <w:t xml:space="preserve">, 95, pp. 115–127. </w:t>
      </w:r>
      <w:hyperlink r:id="rId97" w:history="1">
        <w:r w:rsidRPr="005A3125">
          <w:rPr>
            <w:rStyle w:val="Hyperlink"/>
            <w:rFonts w:asciiTheme="minorBidi" w:hAnsiTheme="minorBidi" w:cstheme="minorBidi"/>
            <w:sz w:val="22"/>
            <w:szCs w:val="22"/>
          </w:rPr>
          <w:t>https://doi.org/10.1016/j.socscimed.2012.11.031</w:t>
        </w:r>
      </w:hyperlink>
      <w:r w:rsidRPr="005A3125">
        <w:rPr>
          <w:rFonts w:asciiTheme="minorBidi" w:hAnsiTheme="minorBidi" w:cstheme="minorBidi"/>
          <w:sz w:val="22"/>
          <w:szCs w:val="22"/>
        </w:rPr>
        <w:t xml:space="preserve"> </w:t>
      </w:r>
    </w:p>
    <w:p w14:paraId="0283399F"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Racine, N. et al. (2021) ‘Global prevalence of depressive and anxiety symptoms in adolescents during COVID-19’, </w:t>
      </w:r>
      <w:r w:rsidRPr="005A3125">
        <w:rPr>
          <w:rStyle w:val="Emphasis"/>
          <w:rFonts w:asciiTheme="minorBidi" w:hAnsiTheme="minorBidi" w:cstheme="minorBidi"/>
          <w:sz w:val="22"/>
          <w:szCs w:val="22"/>
        </w:rPr>
        <w:t xml:space="preserve">JAMA </w:t>
      </w:r>
      <w:proofErr w:type="spellStart"/>
      <w:r w:rsidRPr="005A3125">
        <w:rPr>
          <w:rStyle w:val="Emphasis"/>
          <w:rFonts w:asciiTheme="minorBidi" w:hAnsiTheme="minorBidi" w:cstheme="minorBidi"/>
          <w:sz w:val="22"/>
          <w:szCs w:val="22"/>
        </w:rPr>
        <w:t>Pediatrics</w:t>
      </w:r>
      <w:proofErr w:type="spellEnd"/>
      <w:r w:rsidRPr="005A3125">
        <w:rPr>
          <w:rFonts w:asciiTheme="minorBidi" w:hAnsiTheme="minorBidi" w:cstheme="minorBidi"/>
          <w:sz w:val="22"/>
          <w:szCs w:val="22"/>
        </w:rPr>
        <w:t xml:space="preserve">, 175(11), pp. 1142–1150. </w:t>
      </w:r>
      <w:hyperlink r:id="rId98" w:tgtFrame="_new" w:history="1">
        <w:r w:rsidRPr="005A3125">
          <w:rPr>
            <w:rStyle w:val="Hyperlink"/>
            <w:rFonts w:asciiTheme="minorBidi" w:hAnsiTheme="minorBidi" w:cstheme="minorBidi"/>
            <w:sz w:val="22"/>
            <w:szCs w:val="22"/>
          </w:rPr>
          <w:t>https://doi.org/10.1001/jamapediatrics.2021.2482</w:t>
        </w:r>
      </w:hyperlink>
    </w:p>
    <w:p w14:paraId="7F464B12"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Reiss, F. (2013) ‘Socioeconomic inequalities and mental health in children’, </w:t>
      </w:r>
      <w:r w:rsidRPr="005A3125">
        <w:rPr>
          <w:rStyle w:val="Emphasis"/>
          <w:rFonts w:asciiTheme="minorBidi" w:hAnsiTheme="minorBidi" w:cstheme="minorBidi"/>
          <w:sz w:val="22"/>
          <w:szCs w:val="22"/>
        </w:rPr>
        <w:t>Social Science &amp; Medicine</w:t>
      </w:r>
      <w:r w:rsidRPr="005A3125">
        <w:rPr>
          <w:rFonts w:asciiTheme="minorBidi" w:hAnsiTheme="minorBidi" w:cstheme="minorBidi"/>
          <w:sz w:val="22"/>
          <w:szCs w:val="22"/>
        </w:rPr>
        <w:t>, 90, pp. 24–31.</w:t>
      </w:r>
      <w:r w:rsidRPr="005A3125">
        <w:rPr>
          <w:rFonts w:asciiTheme="minorBidi" w:hAnsiTheme="minorBidi" w:cstheme="minorBidi"/>
          <w:sz w:val="22"/>
          <w:szCs w:val="22"/>
        </w:rPr>
        <w:br/>
      </w:r>
      <w:hyperlink r:id="rId99" w:history="1">
        <w:r w:rsidRPr="005A3125">
          <w:rPr>
            <w:rStyle w:val="Hyperlink"/>
            <w:rFonts w:asciiTheme="minorBidi" w:hAnsiTheme="minorBidi" w:cstheme="minorBidi"/>
            <w:sz w:val="22"/>
            <w:szCs w:val="22"/>
          </w:rPr>
          <w:t>https://doi.org/10.1016/j.socscimed.2013.04.011</w:t>
        </w:r>
      </w:hyperlink>
      <w:r w:rsidRPr="005A3125">
        <w:rPr>
          <w:rFonts w:asciiTheme="minorBidi" w:hAnsiTheme="minorBidi" w:cstheme="minorBidi"/>
          <w:sz w:val="22"/>
          <w:szCs w:val="22"/>
        </w:rPr>
        <w:t xml:space="preserve"> </w:t>
      </w:r>
    </w:p>
    <w:p w14:paraId="46BAE83A"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Rivas-Drake, D., Seaton, E.K., Markstrom, C., </w:t>
      </w:r>
      <w:proofErr w:type="spellStart"/>
      <w:r w:rsidRPr="005A3125">
        <w:rPr>
          <w:rFonts w:asciiTheme="minorBidi" w:hAnsiTheme="minorBidi" w:cstheme="minorBidi"/>
          <w:sz w:val="22"/>
          <w:szCs w:val="22"/>
        </w:rPr>
        <w:t>Quintana</w:t>
      </w:r>
      <w:proofErr w:type="spellEnd"/>
      <w:r w:rsidRPr="005A3125">
        <w:rPr>
          <w:rFonts w:asciiTheme="minorBidi" w:hAnsiTheme="minorBidi" w:cstheme="minorBidi"/>
          <w:sz w:val="22"/>
          <w:szCs w:val="22"/>
        </w:rPr>
        <w:t xml:space="preserve">, S., Syed, M., Lee, R.M., Schwartz, S.J., Umaña-Taylor, A.J., French, S., Yip, T. and Ethnic and Racial Identity in the 21st Century Study Group (2014) ‘Ethnic and racial identity in adolescence: implications for psychosocial, academic, and health outcomes’, </w:t>
      </w:r>
      <w:r w:rsidRPr="005A3125">
        <w:rPr>
          <w:rStyle w:val="Emphasis"/>
          <w:rFonts w:asciiTheme="minorBidi" w:hAnsiTheme="minorBidi" w:cstheme="minorBidi"/>
          <w:sz w:val="22"/>
          <w:szCs w:val="22"/>
        </w:rPr>
        <w:t>Child Development</w:t>
      </w:r>
      <w:r w:rsidRPr="005A3125">
        <w:rPr>
          <w:rFonts w:asciiTheme="minorBidi" w:hAnsiTheme="minorBidi" w:cstheme="minorBidi"/>
          <w:sz w:val="22"/>
          <w:szCs w:val="22"/>
        </w:rPr>
        <w:t xml:space="preserve">, 85(1), pp. 40–57. </w:t>
      </w:r>
      <w:hyperlink r:id="rId100" w:tgtFrame="_new" w:history="1">
        <w:r w:rsidRPr="005A3125">
          <w:rPr>
            <w:rStyle w:val="Hyperlink"/>
            <w:rFonts w:asciiTheme="minorBidi" w:hAnsiTheme="minorBidi" w:cstheme="minorBidi"/>
            <w:sz w:val="22"/>
            <w:szCs w:val="22"/>
          </w:rPr>
          <w:t>https://doi.org/10.1111/cdev.12200</w:t>
        </w:r>
      </w:hyperlink>
    </w:p>
    <w:p w14:paraId="0B6BDF0D"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Ryan, G. (2018) ‘Introduction to positivism and interpretivism’, </w:t>
      </w:r>
      <w:r w:rsidRPr="005A3125">
        <w:rPr>
          <w:rStyle w:val="Emphasis"/>
          <w:rFonts w:asciiTheme="minorBidi" w:hAnsiTheme="minorBidi" w:cstheme="minorBidi"/>
          <w:sz w:val="22"/>
          <w:szCs w:val="22"/>
        </w:rPr>
        <w:t>Nurse Researcher</w:t>
      </w:r>
      <w:r w:rsidRPr="005A3125">
        <w:rPr>
          <w:rFonts w:asciiTheme="minorBidi" w:hAnsiTheme="minorBidi" w:cstheme="minorBidi"/>
          <w:sz w:val="22"/>
          <w:szCs w:val="22"/>
        </w:rPr>
        <w:t xml:space="preserve">, 25(4), pp. 41–49. </w:t>
      </w:r>
      <w:hyperlink r:id="rId101" w:tgtFrame="_new" w:history="1">
        <w:r w:rsidRPr="005A3125">
          <w:rPr>
            <w:rStyle w:val="Hyperlink"/>
            <w:rFonts w:asciiTheme="minorBidi" w:hAnsiTheme="minorBidi" w:cstheme="minorBidi"/>
            <w:sz w:val="22"/>
            <w:szCs w:val="22"/>
          </w:rPr>
          <w:t>https://doi.org/10.7748/nr.2018.e1466</w:t>
        </w:r>
      </w:hyperlink>
    </w:p>
    <w:p w14:paraId="4458B15E"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Sadler, K. et al. (2018) ‘Mental health of children and young people in England’, </w:t>
      </w:r>
      <w:r w:rsidRPr="005A3125">
        <w:rPr>
          <w:rStyle w:val="Emphasis"/>
          <w:rFonts w:asciiTheme="minorBidi" w:hAnsiTheme="minorBidi" w:cstheme="minorBidi"/>
          <w:sz w:val="22"/>
          <w:szCs w:val="22"/>
        </w:rPr>
        <w:t>BMJ Open</w:t>
      </w:r>
      <w:r w:rsidRPr="005A3125">
        <w:rPr>
          <w:rFonts w:asciiTheme="minorBidi" w:hAnsiTheme="minorBidi" w:cstheme="minorBidi"/>
          <w:sz w:val="22"/>
          <w:szCs w:val="22"/>
        </w:rPr>
        <w:t xml:space="preserve">, 8(3), e020632. </w:t>
      </w:r>
      <w:hyperlink r:id="rId102" w:tgtFrame="_new" w:history="1">
        <w:r w:rsidRPr="005A3125">
          <w:rPr>
            <w:rStyle w:val="Hyperlink"/>
            <w:rFonts w:asciiTheme="minorBidi" w:hAnsiTheme="minorBidi" w:cstheme="minorBidi"/>
            <w:sz w:val="22"/>
            <w:szCs w:val="22"/>
          </w:rPr>
          <w:t>https://doi.org/10.1136/bmjopen-2017-020632</w:t>
        </w:r>
      </w:hyperlink>
    </w:p>
    <w:p w14:paraId="19992D1B"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Saunders, M., Lewis, P. and Thornhill, A. (2019) </w:t>
      </w:r>
      <w:r w:rsidRPr="005A3125">
        <w:rPr>
          <w:rStyle w:val="Emphasis"/>
          <w:rFonts w:asciiTheme="minorBidi" w:hAnsiTheme="minorBidi" w:cstheme="minorBidi"/>
          <w:sz w:val="22"/>
          <w:szCs w:val="22"/>
        </w:rPr>
        <w:t>Research Methods for Business Students</w:t>
      </w:r>
      <w:r w:rsidRPr="005A3125">
        <w:rPr>
          <w:rFonts w:asciiTheme="minorBidi" w:hAnsiTheme="minorBidi" w:cstheme="minorBidi"/>
          <w:sz w:val="22"/>
          <w:szCs w:val="22"/>
        </w:rPr>
        <w:t xml:space="preserve">. 8th </w:t>
      </w:r>
      <w:proofErr w:type="spellStart"/>
      <w:r w:rsidRPr="005A3125">
        <w:rPr>
          <w:rFonts w:asciiTheme="minorBidi" w:hAnsiTheme="minorBidi" w:cstheme="minorBidi"/>
          <w:sz w:val="22"/>
          <w:szCs w:val="22"/>
        </w:rPr>
        <w:t>edn</w:t>
      </w:r>
      <w:proofErr w:type="spellEnd"/>
      <w:r w:rsidRPr="005A3125">
        <w:rPr>
          <w:rFonts w:asciiTheme="minorBidi" w:hAnsiTheme="minorBidi" w:cstheme="minorBidi"/>
          <w:sz w:val="22"/>
          <w:szCs w:val="22"/>
        </w:rPr>
        <w:t>. Harlow: Pearson.</w:t>
      </w:r>
      <w:r w:rsidRPr="005A3125">
        <w:rPr>
          <w:rFonts w:asciiTheme="minorBidi" w:hAnsiTheme="minorBidi" w:cstheme="minorBidi"/>
          <w:sz w:val="22"/>
          <w:szCs w:val="22"/>
        </w:rPr>
        <w:br/>
      </w:r>
      <w:hyperlink r:id="rId103" w:history="1">
        <w:r w:rsidRPr="005A3125">
          <w:rPr>
            <w:rStyle w:val="Hyperlink"/>
            <w:rFonts w:asciiTheme="minorBidi" w:hAnsiTheme="minorBidi" w:cstheme="minorBidi"/>
            <w:sz w:val="22"/>
            <w:szCs w:val="22"/>
          </w:rPr>
          <w:t>https://www.pearson.com/en-gb/subject-catalog/p/research-methods-for-business-students/P200000006416</w:t>
        </w:r>
      </w:hyperlink>
      <w:r w:rsidRPr="005A3125">
        <w:rPr>
          <w:rFonts w:asciiTheme="minorBidi" w:hAnsiTheme="minorBidi" w:cstheme="minorBidi"/>
          <w:sz w:val="22"/>
          <w:szCs w:val="22"/>
        </w:rPr>
        <w:t xml:space="preserve"> </w:t>
      </w:r>
    </w:p>
    <w:p w14:paraId="24642300"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Schmitt, M.T., Branscombe, N.R., </w:t>
      </w:r>
      <w:proofErr w:type="spellStart"/>
      <w:r w:rsidRPr="005A3125">
        <w:rPr>
          <w:rFonts w:asciiTheme="minorBidi" w:hAnsiTheme="minorBidi" w:cstheme="minorBidi"/>
          <w:sz w:val="22"/>
          <w:szCs w:val="22"/>
        </w:rPr>
        <w:t>Postmes</w:t>
      </w:r>
      <w:proofErr w:type="spellEnd"/>
      <w:r w:rsidRPr="005A3125">
        <w:rPr>
          <w:rFonts w:asciiTheme="minorBidi" w:hAnsiTheme="minorBidi" w:cstheme="minorBidi"/>
          <w:sz w:val="22"/>
          <w:szCs w:val="22"/>
        </w:rPr>
        <w:t>, T. and Garcia, A. (2014) ‘The consequences of perceived discrimination for psychological well-being: a meta-</w:t>
      </w:r>
      <w:r w:rsidRPr="005A3125">
        <w:rPr>
          <w:rFonts w:asciiTheme="minorBidi" w:hAnsiTheme="minorBidi" w:cstheme="minorBidi"/>
          <w:sz w:val="22"/>
          <w:szCs w:val="22"/>
        </w:rPr>
        <w:lastRenderedPageBreak/>
        <w:t xml:space="preserve">analytic review’, </w:t>
      </w:r>
      <w:r w:rsidRPr="005A3125">
        <w:rPr>
          <w:rStyle w:val="Emphasis"/>
          <w:rFonts w:asciiTheme="minorBidi" w:hAnsiTheme="minorBidi" w:cstheme="minorBidi"/>
          <w:sz w:val="22"/>
          <w:szCs w:val="22"/>
        </w:rPr>
        <w:t>Psychological Bulletin</w:t>
      </w:r>
      <w:r w:rsidRPr="005A3125">
        <w:rPr>
          <w:rFonts w:asciiTheme="minorBidi" w:hAnsiTheme="minorBidi" w:cstheme="minorBidi"/>
          <w:sz w:val="22"/>
          <w:szCs w:val="22"/>
        </w:rPr>
        <w:t xml:space="preserve">, 140(4), pp. 921–948. </w:t>
      </w:r>
      <w:hyperlink r:id="rId104" w:history="1">
        <w:r w:rsidRPr="005A3125">
          <w:rPr>
            <w:rStyle w:val="Hyperlink"/>
            <w:rFonts w:asciiTheme="minorBidi" w:hAnsiTheme="minorBidi" w:cstheme="minorBidi"/>
            <w:sz w:val="22"/>
            <w:szCs w:val="22"/>
          </w:rPr>
          <w:t>https://doi.org/10.1037/a0035754</w:t>
        </w:r>
      </w:hyperlink>
      <w:r w:rsidRPr="005A3125">
        <w:rPr>
          <w:rFonts w:asciiTheme="minorBidi" w:hAnsiTheme="minorBidi" w:cstheme="minorBidi"/>
          <w:sz w:val="22"/>
          <w:szCs w:val="22"/>
        </w:rPr>
        <w:t xml:space="preserve"> </w:t>
      </w:r>
    </w:p>
    <w:p w14:paraId="309F87B3" w14:textId="77777777" w:rsidR="004C685A" w:rsidRPr="005A3125" w:rsidRDefault="004C685A" w:rsidP="004C685A">
      <w:pPr>
        <w:pStyle w:val="NormalWeb"/>
        <w:numPr>
          <w:ilvl w:val="0"/>
          <w:numId w:val="37"/>
        </w:numPr>
        <w:spacing w:line="360" w:lineRule="auto"/>
        <w:rPr>
          <w:rStyle w:val="Hyperlink"/>
          <w:rFonts w:asciiTheme="minorBidi" w:hAnsiTheme="minorBidi" w:cstheme="minorBidi"/>
          <w:color w:val="auto"/>
          <w:sz w:val="22"/>
          <w:szCs w:val="22"/>
          <w:u w:val="none"/>
        </w:rPr>
      </w:pPr>
      <w:proofErr w:type="spellStart"/>
      <w:r w:rsidRPr="005A3125">
        <w:rPr>
          <w:rFonts w:asciiTheme="minorBidi" w:hAnsiTheme="minorBidi" w:cstheme="minorBidi"/>
          <w:sz w:val="22"/>
          <w:szCs w:val="22"/>
        </w:rPr>
        <w:t>Solmi</w:t>
      </w:r>
      <w:proofErr w:type="spellEnd"/>
      <w:r w:rsidRPr="005A3125">
        <w:rPr>
          <w:rFonts w:asciiTheme="minorBidi" w:hAnsiTheme="minorBidi" w:cstheme="minorBidi"/>
          <w:sz w:val="22"/>
          <w:szCs w:val="22"/>
        </w:rPr>
        <w:t xml:space="preserve">, M. et al. (2022) ‘Age at onset of mental disorders’, </w:t>
      </w:r>
      <w:r w:rsidRPr="005A3125">
        <w:rPr>
          <w:rStyle w:val="Emphasis"/>
          <w:rFonts w:asciiTheme="minorBidi" w:hAnsiTheme="minorBidi" w:cstheme="minorBidi"/>
          <w:sz w:val="22"/>
          <w:szCs w:val="22"/>
        </w:rPr>
        <w:t>Molecular Psychiatry</w:t>
      </w:r>
      <w:r w:rsidRPr="005A3125">
        <w:rPr>
          <w:rFonts w:asciiTheme="minorBidi" w:hAnsiTheme="minorBidi" w:cstheme="minorBidi"/>
          <w:sz w:val="22"/>
          <w:szCs w:val="22"/>
        </w:rPr>
        <w:t xml:space="preserve">, 27, pp. 281–295. </w:t>
      </w:r>
      <w:hyperlink r:id="rId105" w:tgtFrame="_new" w:history="1">
        <w:r w:rsidRPr="005A3125">
          <w:rPr>
            <w:rStyle w:val="Hyperlink"/>
            <w:rFonts w:asciiTheme="minorBidi" w:hAnsiTheme="minorBidi" w:cstheme="minorBidi"/>
            <w:sz w:val="22"/>
            <w:szCs w:val="22"/>
          </w:rPr>
          <w:t>https://doi.org/10.1038/s41380-021-01161-7</w:t>
        </w:r>
      </w:hyperlink>
    </w:p>
    <w:p w14:paraId="7325A98D"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Song, M. (2017) </w:t>
      </w:r>
      <w:r w:rsidRPr="005A3125">
        <w:rPr>
          <w:rStyle w:val="Emphasis"/>
          <w:rFonts w:asciiTheme="minorBidi" w:hAnsiTheme="minorBidi" w:cstheme="minorBidi"/>
          <w:sz w:val="22"/>
          <w:szCs w:val="22"/>
        </w:rPr>
        <w:t>Multiracial Parents: Mixed Families, Generational Change, and the Future of Race</w:t>
      </w:r>
      <w:r w:rsidRPr="005A3125">
        <w:rPr>
          <w:rFonts w:asciiTheme="minorBidi" w:hAnsiTheme="minorBidi" w:cstheme="minorBidi"/>
          <w:sz w:val="22"/>
          <w:szCs w:val="22"/>
        </w:rPr>
        <w:t xml:space="preserve">. New York: New York University Press. Available at: </w:t>
      </w:r>
      <w:hyperlink r:id="rId106" w:history="1">
        <w:r w:rsidRPr="005A3125">
          <w:rPr>
            <w:rStyle w:val="Hyperlink"/>
            <w:rFonts w:asciiTheme="minorBidi" w:hAnsiTheme="minorBidi" w:cstheme="minorBidi"/>
            <w:sz w:val="22"/>
            <w:szCs w:val="22"/>
          </w:rPr>
          <w:t>https://nyupress.org/9781479850297/multiracial-parents/</w:t>
        </w:r>
      </w:hyperlink>
      <w:r w:rsidRPr="005A3125">
        <w:rPr>
          <w:rFonts w:asciiTheme="minorBidi" w:hAnsiTheme="minorBidi" w:cstheme="minorBidi"/>
          <w:sz w:val="22"/>
          <w:szCs w:val="22"/>
        </w:rPr>
        <w:t xml:space="preserve">  (Accessed: 15 June 2026).</w:t>
      </w:r>
    </w:p>
    <w:p w14:paraId="06E68A06"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Thomas, D.R. (2006) ‘A general inductive approach for qualitative data analysis’, </w:t>
      </w:r>
      <w:r w:rsidRPr="005A3125">
        <w:rPr>
          <w:rStyle w:val="Emphasis"/>
          <w:rFonts w:asciiTheme="minorBidi" w:hAnsiTheme="minorBidi" w:cstheme="minorBidi"/>
          <w:sz w:val="22"/>
          <w:szCs w:val="22"/>
        </w:rPr>
        <w:t>American Journal of Evaluation</w:t>
      </w:r>
      <w:r w:rsidRPr="005A3125">
        <w:rPr>
          <w:rFonts w:asciiTheme="minorBidi" w:hAnsiTheme="minorBidi" w:cstheme="minorBidi"/>
          <w:sz w:val="22"/>
          <w:szCs w:val="22"/>
        </w:rPr>
        <w:t>, 27(2), pp. 237–246.</w:t>
      </w:r>
      <w:r w:rsidRPr="005A3125">
        <w:rPr>
          <w:rFonts w:asciiTheme="minorBidi" w:hAnsiTheme="minorBidi" w:cstheme="minorBidi"/>
          <w:sz w:val="22"/>
          <w:szCs w:val="22"/>
        </w:rPr>
        <w:br/>
      </w:r>
      <w:hyperlink r:id="rId107" w:tgtFrame="_new" w:history="1">
        <w:r w:rsidRPr="005A3125">
          <w:rPr>
            <w:rStyle w:val="Hyperlink"/>
            <w:rFonts w:asciiTheme="minorBidi" w:hAnsiTheme="minorBidi" w:cstheme="minorBidi"/>
            <w:sz w:val="22"/>
            <w:szCs w:val="22"/>
          </w:rPr>
          <w:t>https://doi.org/10.1177/1098214005283748</w:t>
        </w:r>
      </w:hyperlink>
    </w:p>
    <w:p w14:paraId="5549CF23"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Thornicroft, G. (2008) </w:t>
      </w:r>
      <w:r w:rsidRPr="005A3125">
        <w:rPr>
          <w:rStyle w:val="Emphasis"/>
          <w:rFonts w:asciiTheme="minorBidi" w:hAnsiTheme="minorBidi" w:cstheme="minorBidi"/>
          <w:sz w:val="22"/>
          <w:szCs w:val="22"/>
        </w:rPr>
        <w:t>Stigma and Discrimination</w:t>
      </w:r>
      <w:r w:rsidRPr="005A3125">
        <w:rPr>
          <w:rFonts w:asciiTheme="minorBidi" w:hAnsiTheme="minorBidi" w:cstheme="minorBidi"/>
          <w:sz w:val="22"/>
          <w:szCs w:val="22"/>
        </w:rPr>
        <w:t>. London: World Psychiatric Association.</w:t>
      </w:r>
      <w:r w:rsidRPr="005A3125">
        <w:rPr>
          <w:rFonts w:asciiTheme="minorBidi" w:hAnsiTheme="minorBidi" w:cstheme="minorBidi"/>
          <w:sz w:val="22"/>
          <w:szCs w:val="22"/>
        </w:rPr>
        <w:br/>
      </w:r>
      <w:hyperlink r:id="rId108" w:history="1">
        <w:r w:rsidRPr="005A3125">
          <w:rPr>
            <w:rStyle w:val="Hyperlink"/>
            <w:rFonts w:asciiTheme="minorBidi" w:hAnsiTheme="minorBidi" w:cstheme="minorBidi"/>
            <w:sz w:val="22"/>
            <w:szCs w:val="22"/>
          </w:rPr>
          <w:t>https://www.cambridge.org/core/books/stigma-and-discrimination/</w:t>
        </w:r>
      </w:hyperlink>
      <w:r w:rsidRPr="005A3125">
        <w:rPr>
          <w:rFonts w:asciiTheme="minorBidi" w:hAnsiTheme="minorBidi" w:cstheme="minorBidi"/>
          <w:sz w:val="22"/>
          <w:szCs w:val="22"/>
        </w:rPr>
        <w:t xml:space="preserve"> </w:t>
      </w:r>
    </w:p>
    <w:p w14:paraId="0B9C4C15"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Tizard, B. and Phoenix, A. (2002) </w:t>
      </w:r>
      <w:r w:rsidRPr="005A3125">
        <w:rPr>
          <w:rStyle w:val="Emphasis"/>
          <w:rFonts w:asciiTheme="minorBidi" w:hAnsiTheme="minorBidi" w:cstheme="minorBidi"/>
          <w:sz w:val="22"/>
          <w:szCs w:val="22"/>
        </w:rPr>
        <w:t>Black, White or Mixed Race? Race and Racism in the Lives of Young People of Mixed Parentage</w:t>
      </w:r>
      <w:r w:rsidRPr="005A3125">
        <w:rPr>
          <w:rFonts w:asciiTheme="minorBidi" w:hAnsiTheme="minorBidi" w:cstheme="minorBidi"/>
          <w:sz w:val="22"/>
          <w:szCs w:val="22"/>
        </w:rPr>
        <w:t>. London: Routledge.</w:t>
      </w:r>
      <w:r w:rsidRPr="005A3125">
        <w:rPr>
          <w:rFonts w:asciiTheme="minorBidi" w:hAnsiTheme="minorBidi" w:cstheme="minorBidi"/>
          <w:sz w:val="22"/>
          <w:szCs w:val="22"/>
        </w:rPr>
        <w:br/>
      </w:r>
      <w:hyperlink r:id="rId109" w:history="1">
        <w:r w:rsidRPr="005A3125">
          <w:rPr>
            <w:rStyle w:val="Hyperlink"/>
            <w:rFonts w:asciiTheme="minorBidi" w:hAnsiTheme="minorBidi" w:cstheme="minorBidi"/>
            <w:sz w:val="22"/>
            <w:szCs w:val="22"/>
          </w:rPr>
          <w:t>https://www.routledge.com/Black-White-or-Mixed-Race/Tizard-Phoenix/p/book/9780415289312</w:t>
        </w:r>
      </w:hyperlink>
      <w:r w:rsidRPr="005A3125">
        <w:rPr>
          <w:rFonts w:asciiTheme="minorBidi" w:hAnsiTheme="minorBidi" w:cstheme="minorBidi"/>
          <w:sz w:val="22"/>
          <w:szCs w:val="22"/>
        </w:rPr>
        <w:t xml:space="preserve"> </w:t>
      </w:r>
    </w:p>
    <w:p w14:paraId="061F775B"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Ungar, M. (2015) ‘Resilience and culture’, </w:t>
      </w:r>
      <w:r w:rsidRPr="005A3125">
        <w:rPr>
          <w:rStyle w:val="Emphasis"/>
          <w:rFonts w:asciiTheme="minorBidi" w:hAnsiTheme="minorBidi" w:cstheme="minorBidi"/>
          <w:sz w:val="22"/>
          <w:szCs w:val="22"/>
        </w:rPr>
        <w:t>World Psychiatry</w:t>
      </w:r>
      <w:r w:rsidRPr="005A3125">
        <w:rPr>
          <w:rFonts w:asciiTheme="minorBidi" w:hAnsiTheme="minorBidi" w:cstheme="minorBidi"/>
          <w:sz w:val="22"/>
          <w:szCs w:val="22"/>
        </w:rPr>
        <w:t>, 14(3), pp. 255–256.</w:t>
      </w:r>
      <w:r w:rsidRPr="005A3125">
        <w:rPr>
          <w:rFonts w:asciiTheme="minorBidi" w:hAnsiTheme="minorBidi" w:cstheme="minorBidi"/>
          <w:sz w:val="22"/>
          <w:szCs w:val="22"/>
        </w:rPr>
        <w:br/>
      </w:r>
      <w:hyperlink r:id="rId110" w:history="1">
        <w:r w:rsidRPr="005A3125">
          <w:rPr>
            <w:rStyle w:val="Hyperlink"/>
            <w:rFonts w:asciiTheme="minorBidi" w:hAnsiTheme="minorBidi" w:cstheme="minorBidi"/>
            <w:sz w:val="22"/>
            <w:szCs w:val="22"/>
          </w:rPr>
          <w:t>https://doi.org/10.1002/wps.20221</w:t>
        </w:r>
      </w:hyperlink>
      <w:r w:rsidRPr="005A3125">
        <w:rPr>
          <w:rFonts w:asciiTheme="minorBidi" w:hAnsiTheme="minorBidi" w:cstheme="minorBidi"/>
          <w:sz w:val="22"/>
          <w:szCs w:val="22"/>
        </w:rPr>
        <w:t xml:space="preserve"> </w:t>
      </w:r>
    </w:p>
    <w:p w14:paraId="00329A9B"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Wallace, S., </w:t>
      </w:r>
      <w:proofErr w:type="spellStart"/>
      <w:r w:rsidRPr="005A3125">
        <w:rPr>
          <w:rFonts w:asciiTheme="minorBidi" w:hAnsiTheme="minorBidi" w:cstheme="minorBidi"/>
          <w:sz w:val="22"/>
          <w:szCs w:val="22"/>
        </w:rPr>
        <w:t>Nazroo</w:t>
      </w:r>
      <w:proofErr w:type="spellEnd"/>
      <w:r w:rsidRPr="005A3125">
        <w:rPr>
          <w:rFonts w:asciiTheme="minorBidi" w:hAnsiTheme="minorBidi" w:cstheme="minorBidi"/>
          <w:sz w:val="22"/>
          <w:szCs w:val="22"/>
        </w:rPr>
        <w:t xml:space="preserve">, J. and </w:t>
      </w:r>
      <w:proofErr w:type="spellStart"/>
      <w:r w:rsidRPr="005A3125">
        <w:rPr>
          <w:rFonts w:asciiTheme="minorBidi" w:hAnsiTheme="minorBidi" w:cstheme="minorBidi"/>
          <w:sz w:val="22"/>
          <w:szCs w:val="22"/>
        </w:rPr>
        <w:t>Bécares</w:t>
      </w:r>
      <w:proofErr w:type="spellEnd"/>
      <w:r w:rsidRPr="005A3125">
        <w:rPr>
          <w:rFonts w:asciiTheme="minorBidi" w:hAnsiTheme="minorBidi" w:cstheme="minorBidi"/>
          <w:sz w:val="22"/>
          <w:szCs w:val="22"/>
        </w:rPr>
        <w:t xml:space="preserve">, L. (2016) ‘Exposure to racism and mental health’, </w:t>
      </w:r>
      <w:r w:rsidRPr="005A3125">
        <w:rPr>
          <w:rStyle w:val="Emphasis"/>
          <w:rFonts w:asciiTheme="minorBidi" w:hAnsiTheme="minorBidi" w:cstheme="minorBidi"/>
          <w:sz w:val="22"/>
          <w:szCs w:val="22"/>
        </w:rPr>
        <w:t>Social Psychiatry and Psychiatric Epidemiology</w:t>
      </w:r>
      <w:r w:rsidRPr="005A3125">
        <w:rPr>
          <w:rFonts w:asciiTheme="minorBidi" w:hAnsiTheme="minorBidi" w:cstheme="minorBidi"/>
          <w:sz w:val="22"/>
          <w:szCs w:val="22"/>
        </w:rPr>
        <w:t>, 51, pp. 115–127.</w:t>
      </w:r>
      <w:r w:rsidRPr="005A3125">
        <w:rPr>
          <w:rFonts w:asciiTheme="minorBidi" w:hAnsiTheme="minorBidi" w:cstheme="minorBidi"/>
          <w:sz w:val="22"/>
          <w:szCs w:val="22"/>
        </w:rPr>
        <w:br/>
      </w:r>
      <w:hyperlink r:id="rId111" w:history="1">
        <w:r w:rsidRPr="005A3125">
          <w:rPr>
            <w:rStyle w:val="Hyperlink"/>
            <w:rFonts w:asciiTheme="minorBidi" w:hAnsiTheme="minorBidi" w:cstheme="minorBidi"/>
            <w:sz w:val="22"/>
            <w:szCs w:val="22"/>
          </w:rPr>
          <w:t>https://doi.org/10.1007/s00127-015-1095-7</w:t>
        </w:r>
      </w:hyperlink>
      <w:r w:rsidRPr="005A3125">
        <w:rPr>
          <w:rFonts w:asciiTheme="minorBidi" w:hAnsiTheme="minorBidi" w:cstheme="minorBidi"/>
          <w:sz w:val="22"/>
          <w:szCs w:val="22"/>
        </w:rPr>
        <w:t xml:space="preserve"> </w:t>
      </w:r>
    </w:p>
    <w:p w14:paraId="3061D6CB"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Wallace, S., </w:t>
      </w:r>
      <w:proofErr w:type="spellStart"/>
      <w:r w:rsidRPr="005A3125">
        <w:rPr>
          <w:rFonts w:asciiTheme="minorBidi" w:hAnsiTheme="minorBidi" w:cstheme="minorBidi"/>
          <w:sz w:val="22"/>
          <w:szCs w:val="22"/>
        </w:rPr>
        <w:t>Nazroo</w:t>
      </w:r>
      <w:proofErr w:type="spellEnd"/>
      <w:r w:rsidRPr="005A3125">
        <w:rPr>
          <w:rFonts w:asciiTheme="minorBidi" w:hAnsiTheme="minorBidi" w:cstheme="minorBidi"/>
          <w:sz w:val="22"/>
          <w:szCs w:val="22"/>
        </w:rPr>
        <w:t xml:space="preserve">, J. and </w:t>
      </w:r>
      <w:proofErr w:type="spellStart"/>
      <w:r w:rsidRPr="005A3125">
        <w:rPr>
          <w:rFonts w:asciiTheme="minorBidi" w:hAnsiTheme="minorBidi" w:cstheme="minorBidi"/>
          <w:sz w:val="22"/>
          <w:szCs w:val="22"/>
        </w:rPr>
        <w:t>Bécares</w:t>
      </w:r>
      <w:proofErr w:type="spellEnd"/>
      <w:r w:rsidRPr="005A3125">
        <w:rPr>
          <w:rFonts w:asciiTheme="minorBidi" w:hAnsiTheme="minorBidi" w:cstheme="minorBidi"/>
          <w:sz w:val="22"/>
          <w:szCs w:val="22"/>
        </w:rPr>
        <w:t xml:space="preserve">, L. (2016) ‘Racial discrimination and health’, </w:t>
      </w:r>
      <w:r w:rsidRPr="005A3125">
        <w:rPr>
          <w:rStyle w:val="Emphasis"/>
          <w:rFonts w:asciiTheme="minorBidi" w:hAnsiTheme="minorBidi" w:cstheme="minorBidi"/>
          <w:sz w:val="22"/>
          <w:szCs w:val="22"/>
        </w:rPr>
        <w:t>Journal of Epidemiology and Community Health</w:t>
      </w:r>
      <w:r w:rsidRPr="005A3125">
        <w:rPr>
          <w:rFonts w:asciiTheme="minorBidi" w:hAnsiTheme="minorBidi" w:cstheme="minorBidi"/>
          <w:sz w:val="22"/>
          <w:szCs w:val="22"/>
        </w:rPr>
        <w:t xml:space="preserve">, 70(4), pp. 333–339. </w:t>
      </w:r>
      <w:hyperlink r:id="rId112" w:history="1">
        <w:r w:rsidRPr="005A3125">
          <w:rPr>
            <w:rStyle w:val="Hyperlink"/>
            <w:rFonts w:asciiTheme="minorBidi" w:hAnsiTheme="minorBidi" w:cstheme="minorBidi"/>
            <w:sz w:val="22"/>
            <w:szCs w:val="22"/>
          </w:rPr>
          <w:t>https://doi.org/10.1136/jech-2015-206436</w:t>
        </w:r>
      </w:hyperlink>
      <w:r w:rsidRPr="005A3125">
        <w:rPr>
          <w:rFonts w:asciiTheme="minorBidi" w:hAnsiTheme="minorBidi" w:cstheme="minorBidi"/>
          <w:sz w:val="22"/>
          <w:szCs w:val="22"/>
        </w:rPr>
        <w:t xml:space="preserve"> </w:t>
      </w:r>
    </w:p>
    <w:p w14:paraId="347A0337"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Warmington, P. (2014) ‘Black British intellectuals and education’, </w:t>
      </w:r>
      <w:r w:rsidRPr="005A3125">
        <w:rPr>
          <w:rStyle w:val="Emphasis"/>
          <w:rFonts w:asciiTheme="minorBidi" w:hAnsiTheme="minorBidi" w:cstheme="minorBidi"/>
          <w:sz w:val="22"/>
          <w:szCs w:val="22"/>
        </w:rPr>
        <w:t>Race Ethnicity and Education</w:t>
      </w:r>
      <w:r w:rsidRPr="005A3125">
        <w:rPr>
          <w:rFonts w:asciiTheme="minorBidi" w:hAnsiTheme="minorBidi" w:cstheme="minorBidi"/>
          <w:sz w:val="22"/>
          <w:szCs w:val="22"/>
        </w:rPr>
        <w:t xml:space="preserve">, 17(1), pp. 1–18. </w:t>
      </w:r>
      <w:hyperlink r:id="rId113" w:tgtFrame="_new" w:history="1">
        <w:r w:rsidRPr="005A3125">
          <w:rPr>
            <w:rStyle w:val="Hyperlink"/>
            <w:rFonts w:asciiTheme="minorBidi" w:hAnsiTheme="minorBidi" w:cstheme="minorBidi"/>
            <w:sz w:val="22"/>
            <w:szCs w:val="22"/>
          </w:rPr>
          <w:t>https://doi.org/10.1080/13613324.2013.843517</w:t>
        </w:r>
      </w:hyperlink>
    </w:p>
    <w:p w14:paraId="47DA1232"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World Health Organization (2014) </w:t>
      </w:r>
      <w:r w:rsidRPr="005A3125">
        <w:rPr>
          <w:rStyle w:val="Emphasis"/>
          <w:rFonts w:asciiTheme="minorBidi" w:hAnsiTheme="minorBidi" w:cstheme="minorBidi"/>
          <w:sz w:val="22"/>
          <w:szCs w:val="22"/>
        </w:rPr>
        <w:t>Social Determinants of Mental Health</w:t>
      </w:r>
      <w:r w:rsidRPr="005A3125">
        <w:rPr>
          <w:rFonts w:asciiTheme="minorBidi" w:hAnsiTheme="minorBidi" w:cstheme="minorBidi"/>
          <w:sz w:val="22"/>
          <w:szCs w:val="22"/>
        </w:rPr>
        <w:t>. Geneva: WHO.</w:t>
      </w:r>
      <w:r w:rsidRPr="005A3125">
        <w:rPr>
          <w:rFonts w:asciiTheme="minorBidi" w:hAnsiTheme="minorBidi" w:cstheme="minorBidi"/>
          <w:sz w:val="22"/>
          <w:szCs w:val="22"/>
        </w:rPr>
        <w:br/>
      </w:r>
      <w:hyperlink r:id="rId114" w:tgtFrame="_new" w:history="1">
        <w:r w:rsidRPr="005A3125">
          <w:rPr>
            <w:rStyle w:val="Hyperlink"/>
            <w:rFonts w:asciiTheme="minorBidi" w:hAnsiTheme="minorBidi" w:cstheme="minorBidi"/>
            <w:sz w:val="22"/>
            <w:szCs w:val="22"/>
          </w:rPr>
          <w:t>https://www.who.int/publications/i/item/9789241506809</w:t>
        </w:r>
      </w:hyperlink>
      <w:r w:rsidRPr="005A3125">
        <w:rPr>
          <w:rFonts w:asciiTheme="minorBidi" w:hAnsiTheme="minorBidi" w:cstheme="minorBidi"/>
          <w:sz w:val="22"/>
          <w:szCs w:val="22"/>
        </w:rPr>
        <w:t xml:space="preserve"> </w:t>
      </w:r>
    </w:p>
    <w:p w14:paraId="13F8F15E"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WHO (2021) </w:t>
      </w:r>
      <w:r w:rsidRPr="005A3125">
        <w:rPr>
          <w:rStyle w:val="Emphasis"/>
          <w:rFonts w:asciiTheme="minorBidi" w:hAnsiTheme="minorBidi" w:cstheme="minorBidi"/>
          <w:sz w:val="22"/>
          <w:szCs w:val="22"/>
        </w:rPr>
        <w:t>Adolescent mental health</w:t>
      </w:r>
      <w:r w:rsidRPr="005A3125">
        <w:rPr>
          <w:rFonts w:asciiTheme="minorBidi" w:hAnsiTheme="minorBidi" w:cstheme="minorBidi"/>
          <w:sz w:val="22"/>
          <w:szCs w:val="22"/>
        </w:rPr>
        <w:t xml:space="preserve">. Available at: </w:t>
      </w:r>
      <w:hyperlink r:id="rId115" w:tgtFrame="_new" w:history="1">
        <w:r w:rsidRPr="005A3125">
          <w:rPr>
            <w:rStyle w:val="Hyperlink"/>
            <w:rFonts w:asciiTheme="minorBidi" w:hAnsiTheme="minorBidi" w:cstheme="minorBidi"/>
            <w:sz w:val="22"/>
            <w:szCs w:val="22"/>
          </w:rPr>
          <w:t>https://www.who.int</w:t>
        </w:r>
      </w:hyperlink>
    </w:p>
    <w:p w14:paraId="50505786" w14:textId="77777777" w:rsidR="004C685A" w:rsidRPr="005A3125" w:rsidRDefault="004C685A" w:rsidP="004C685A">
      <w:pPr>
        <w:pStyle w:val="NormalWeb"/>
        <w:numPr>
          <w:ilvl w:val="0"/>
          <w:numId w:val="37"/>
        </w:numPr>
        <w:spacing w:line="360" w:lineRule="auto"/>
        <w:rPr>
          <w:rStyle w:val="Hyperlink"/>
          <w:rFonts w:asciiTheme="minorBidi" w:hAnsiTheme="minorBidi" w:cstheme="minorBidi"/>
          <w:color w:val="auto"/>
          <w:sz w:val="22"/>
          <w:szCs w:val="22"/>
          <w:u w:val="none"/>
        </w:rPr>
      </w:pPr>
      <w:r w:rsidRPr="005A3125">
        <w:rPr>
          <w:rFonts w:asciiTheme="minorBidi" w:hAnsiTheme="minorBidi" w:cstheme="minorBidi"/>
          <w:sz w:val="22"/>
          <w:szCs w:val="22"/>
        </w:rPr>
        <w:t xml:space="preserve">WHO (2022) </w:t>
      </w:r>
      <w:r w:rsidRPr="005A3125">
        <w:rPr>
          <w:rStyle w:val="Emphasis"/>
          <w:rFonts w:asciiTheme="minorBidi" w:hAnsiTheme="minorBidi" w:cstheme="minorBidi"/>
          <w:sz w:val="22"/>
          <w:szCs w:val="22"/>
        </w:rPr>
        <w:t>Depression and anxiety fact sheet</w:t>
      </w:r>
      <w:r w:rsidRPr="005A3125">
        <w:rPr>
          <w:rFonts w:asciiTheme="minorBidi" w:hAnsiTheme="minorBidi" w:cstheme="minorBidi"/>
          <w:sz w:val="22"/>
          <w:szCs w:val="22"/>
        </w:rPr>
        <w:t xml:space="preserve">. Available at: </w:t>
      </w:r>
      <w:hyperlink r:id="rId116" w:tgtFrame="_new" w:history="1">
        <w:r w:rsidRPr="005A3125">
          <w:rPr>
            <w:rStyle w:val="Hyperlink"/>
            <w:rFonts w:asciiTheme="minorBidi" w:hAnsiTheme="minorBidi" w:cstheme="minorBidi"/>
            <w:sz w:val="22"/>
            <w:szCs w:val="22"/>
          </w:rPr>
          <w:t>https://www.who.int</w:t>
        </w:r>
      </w:hyperlink>
    </w:p>
    <w:p w14:paraId="353A883F" w14:textId="77777777" w:rsidR="004C685A" w:rsidRPr="005A3125" w:rsidRDefault="004C685A" w:rsidP="004C685A">
      <w:pPr>
        <w:pStyle w:val="ListParagraph"/>
        <w:numPr>
          <w:ilvl w:val="0"/>
          <w:numId w:val="37"/>
        </w:numPr>
        <w:spacing w:before="100" w:beforeAutospacing="1" w:after="100" w:afterAutospacing="1" w:line="360" w:lineRule="auto"/>
        <w:rPr>
          <w:rFonts w:asciiTheme="minorBidi" w:eastAsia="Times New Roman" w:hAnsiTheme="minorBidi"/>
          <w:kern w:val="0"/>
          <w:lang w:val="en-IN" w:eastAsia="en-IN"/>
          <w14:ligatures w14:val="none"/>
        </w:rPr>
      </w:pPr>
      <w:r w:rsidRPr="005A3125">
        <w:rPr>
          <w:rFonts w:asciiTheme="minorBidi" w:eastAsia="Times New Roman" w:hAnsiTheme="minorBidi"/>
          <w:kern w:val="0"/>
          <w:lang w:val="en-IN" w:eastAsia="en-IN"/>
          <w14:ligatures w14:val="none"/>
        </w:rPr>
        <w:t xml:space="preserve">Wickham, S., Whitehead, M., Taylor-Robinson, D. and Barr, B. (2014) ‘The effect of a transition into poverty on child and maternal mental health: a longitudinal analysis’, </w:t>
      </w:r>
      <w:r w:rsidRPr="005A3125">
        <w:rPr>
          <w:rFonts w:asciiTheme="minorBidi" w:eastAsia="Times New Roman" w:hAnsiTheme="minorBidi"/>
          <w:i/>
          <w:iCs/>
          <w:kern w:val="0"/>
          <w:lang w:val="en-IN" w:eastAsia="en-IN"/>
          <w14:ligatures w14:val="none"/>
        </w:rPr>
        <w:t>The Lancet Public Health</w:t>
      </w:r>
      <w:r w:rsidRPr="005A3125">
        <w:rPr>
          <w:rFonts w:asciiTheme="minorBidi" w:eastAsia="Times New Roman" w:hAnsiTheme="minorBidi"/>
          <w:kern w:val="0"/>
          <w:lang w:val="en-IN" w:eastAsia="en-IN"/>
          <w14:ligatures w14:val="none"/>
        </w:rPr>
        <w:t xml:space="preserve">, 2(3), pp. e141–e148. </w:t>
      </w:r>
      <w:hyperlink r:id="rId117" w:history="1">
        <w:r w:rsidRPr="005A3125">
          <w:rPr>
            <w:rStyle w:val="Hyperlink"/>
            <w:rFonts w:asciiTheme="minorBidi" w:eastAsia="Times New Roman" w:hAnsiTheme="minorBidi"/>
            <w:kern w:val="0"/>
            <w:lang w:val="en-IN" w:eastAsia="en-IN"/>
            <w14:ligatures w14:val="none"/>
          </w:rPr>
          <w:t>https://doi.org/10.1016/S2468-2667(17)30011-7</w:t>
        </w:r>
      </w:hyperlink>
      <w:r w:rsidRPr="005A3125">
        <w:rPr>
          <w:rFonts w:asciiTheme="minorBidi" w:eastAsia="Times New Roman" w:hAnsiTheme="minorBidi"/>
          <w:kern w:val="0"/>
          <w:lang w:val="en-IN" w:eastAsia="en-IN"/>
          <w14:ligatures w14:val="none"/>
        </w:rPr>
        <w:t xml:space="preserve"> </w:t>
      </w:r>
    </w:p>
    <w:p w14:paraId="2189A730"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lastRenderedPageBreak/>
        <w:t xml:space="preserve">Wilkinson, R. and Pickett, K. (2009) </w:t>
      </w:r>
      <w:r w:rsidRPr="005A3125">
        <w:rPr>
          <w:rStyle w:val="Emphasis"/>
          <w:rFonts w:asciiTheme="minorBidi" w:hAnsiTheme="minorBidi" w:cstheme="minorBidi"/>
          <w:sz w:val="22"/>
          <w:szCs w:val="22"/>
        </w:rPr>
        <w:t>The Spirit Level: Why More Equal Societies Almost Always Do Better</w:t>
      </w:r>
      <w:r w:rsidRPr="005A3125">
        <w:rPr>
          <w:rFonts w:asciiTheme="minorBidi" w:hAnsiTheme="minorBidi" w:cstheme="minorBidi"/>
          <w:sz w:val="22"/>
          <w:szCs w:val="22"/>
        </w:rPr>
        <w:t>. London: Penguin.</w:t>
      </w:r>
      <w:r w:rsidRPr="005A3125">
        <w:rPr>
          <w:rFonts w:asciiTheme="minorBidi" w:hAnsiTheme="minorBidi" w:cstheme="minorBidi"/>
          <w:sz w:val="22"/>
          <w:szCs w:val="22"/>
        </w:rPr>
        <w:br/>
      </w:r>
      <w:hyperlink r:id="rId118" w:history="1">
        <w:r w:rsidRPr="005A3125">
          <w:rPr>
            <w:rStyle w:val="Hyperlink"/>
            <w:rFonts w:asciiTheme="minorBidi" w:hAnsiTheme="minorBidi" w:cstheme="minorBidi"/>
            <w:sz w:val="22"/>
            <w:szCs w:val="22"/>
          </w:rPr>
          <w:t>https://www.penguin.co.uk/books/1005375/the-spirit-level-by-wilkinson-richard-and-kate-pickett/9780241954294</w:t>
        </w:r>
      </w:hyperlink>
      <w:r w:rsidRPr="005A3125">
        <w:rPr>
          <w:rFonts w:asciiTheme="minorBidi" w:hAnsiTheme="minorBidi" w:cstheme="minorBidi"/>
          <w:sz w:val="22"/>
          <w:szCs w:val="22"/>
        </w:rPr>
        <w:t xml:space="preserve"> </w:t>
      </w:r>
    </w:p>
    <w:p w14:paraId="38DFAF29"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Williams, D.R. and Mohammed, S.A. (2013) ‘Racism and health’, </w:t>
      </w:r>
      <w:r w:rsidRPr="005A3125">
        <w:rPr>
          <w:rStyle w:val="Emphasis"/>
          <w:rFonts w:asciiTheme="minorBidi" w:hAnsiTheme="minorBidi" w:cstheme="minorBidi"/>
          <w:sz w:val="22"/>
          <w:szCs w:val="22"/>
        </w:rPr>
        <w:t>Annual Review of Public Health</w:t>
      </w:r>
      <w:r w:rsidRPr="005A3125">
        <w:rPr>
          <w:rFonts w:asciiTheme="minorBidi" w:hAnsiTheme="minorBidi" w:cstheme="minorBidi"/>
          <w:sz w:val="22"/>
          <w:szCs w:val="22"/>
        </w:rPr>
        <w:t>, 34, pp. 109–125.</w:t>
      </w:r>
      <w:r w:rsidRPr="005A3125">
        <w:rPr>
          <w:rFonts w:asciiTheme="minorBidi" w:hAnsiTheme="minorBidi" w:cstheme="minorBidi"/>
          <w:sz w:val="22"/>
          <w:szCs w:val="22"/>
        </w:rPr>
        <w:br/>
      </w:r>
      <w:hyperlink r:id="rId119" w:history="1">
        <w:r w:rsidRPr="005A3125">
          <w:rPr>
            <w:rStyle w:val="Hyperlink"/>
            <w:rFonts w:asciiTheme="minorBidi" w:hAnsiTheme="minorBidi" w:cstheme="minorBidi"/>
            <w:sz w:val="22"/>
            <w:szCs w:val="22"/>
          </w:rPr>
          <w:t>https://doi.org/10.1146/annurev-publhealth-031912-114402</w:t>
        </w:r>
      </w:hyperlink>
      <w:r w:rsidRPr="005A3125">
        <w:rPr>
          <w:rFonts w:asciiTheme="minorBidi" w:hAnsiTheme="minorBidi" w:cstheme="minorBidi"/>
          <w:sz w:val="22"/>
          <w:szCs w:val="22"/>
        </w:rPr>
        <w:t xml:space="preserve"> </w:t>
      </w:r>
    </w:p>
    <w:p w14:paraId="784F7FBF" w14:textId="77777777" w:rsidR="004C685A" w:rsidRPr="005A3125" w:rsidRDefault="004C685A" w:rsidP="004C685A">
      <w:pPr>
        <w:pStyle w:val="NormalWeb"/>
        <w:numPr>
          <w:ilvl w:val="0"/>
          <w:numId w:val="37"/>
        </w:numPr>
        <w:spacing w:line="360" w:lineRule="auto"/>
        <w:rPr>
          <w:rStyle w:val="Hyperlink"/>
          <w:rFonts w:asciiTheme="minorBidi" w:hAnsiTheme="minorBidi" w:cstheme="minorBidi"/>
          <w:color w:val="auto"/>
          <w:sz w:val="22"/>
          <w:szCs w:val="22"/>
          <w:u w:val="none"/>
        </w:rPr>
      </w:pPr>
      <w:r w:rsidRPr="005A3125">
        <w:rPr>
          <w:rFonts w:asciiTheme="minorBidi" w:hAnsiTheme="minorBidi" w:cstheme="minorBidi"/>
          <w:sz w:val="22"/>
          <w:szCs w:val="22"/>
        </w:rPr>
        <w:t xml:space="preserve">Williams, D.R. et al. (2019) ‘Racism and health: evidence and needed research’, </w:t>
      </w:r>
      <w:r w:rsidRPr="005A3125">
        <w:rPr>
          <w:rStyle w:val="Emphasis"/>
          <w:rFonts w:asciiTheme="minorBidi" w:hAnsiTheme="minorBidi" w:cstheme="minorBidi"/>
          <w:sz w:val="22"/>
          <w:szCs w:val="22"/>
        </w:rPr>
        <w:t>Annual Review of Public Health</w:t>
      </w:r>
      <w:r w:rsidRPr="005A3125">
        <w:rPr>
          <w:rFonts w:asciiTheme="minorBidi" w:hAnsiTheme="minorBidi" w:cstheme="minorBidi"/>
          <w:sz w:val="22"/>
          <w:szCs w:val="22"/>
        </w:rPr>
        <w:t>, 40, pp. 105–125.</w:t>
      </w:r>
      <w:r w:rsidRPr="005A3125">
        <w:rPr>
          <w:rFonts w:asciiTheme="minorBidi" w:hAnsiTheme="minorBidi" w:cstheme="minorBidi"/>
          <w:sz w:val="22"/>
          <w:szCs w:val="22"/>
        </w:rPr>
        <w:br/>
      </w:r>
      <w:hyperlink r:id="rId120" w:tgtFrame="_new" w:history="1">
        <w:r w:rsidRPr="005A3125">
          <w:rPr>
            <w:rStyle w:val="Hyperlink"/>
            <w:rFonts w:asciiTheme="minorBidi" w:hAnsiTheme="minorBidi" w:cstheme="minorBidi"/>
            <w:sz w:val="22"/>
            <w:szCs w:val="22"/>
          </w:rPr>
          <w:t>https://doi.org/10.1146/annurev-publhealth-040218-043750</w:t>
        </w:r>
      </w:hyperlink>
      <w:r w:rsidRPr="005A3125">
        <w:rPr>
          <w:rStyle w:val="Hyperlink"/>
          <w:rFonts w:asciiTheme="minorBidi" w:hAnsiTheme="minorBidi" w:cstheme="minorBidi"/>
          <w:sz w:val="22"/>
          <w:szCs w:val="22"/>
        </w:rPr>
        <w:t xml:space="preserve"> </w:t>
      </w:r>
    </w:p>
    <w:p w14:paraId="1CE4CA02" w14:textId="77777777" w:rsidR="004C685A" w:rsidRPr="005A3125" w:rsidRDefault="004C685A" w:rsidP="004C685A">
      <w:pPr>
        <w:pStyle w:val="NormalWeb"/>
        <w:numPr>
          <w:ilvl w:val="0"/>
          <w:numId w:val="37"/>
        </w:numPr>
        <w:spacing w:line="360" w:lineRule="auto"/>
        <w:rPr>
          <w:rFonts w:asciiTheme="minorBidi" w:hAnsiTheme="minorBidi" w:cstheme="minorBidi"/>
          <w:sz w:val="22"/>
          <w:szCs w:val="22"/>
        </w:rPr>
      </w:pPr>
      <w:r w:rsidRPr="005A3125">
        <w:rPr>
          <w:rFonts w:asciiTheme="minorBidi" w:hAnsiTheme="minorBidi" w:cstheme="minorBidi"/>
          <w:sz w:val="22"/>
          <w:szCs w:val="22"/>
        </w:rPr>
        <w:t xml:space="preserve">World Health Organization (2019) </w:t>
      </w:r>
      <w:r w:rsidRPr="005A3125">
        <w:rPr>
          <w:rStyle w:val="Emphasis"/>
          <w:rFonts w:asciiTheme="minorBidi" w:hAnsiTheme="minorBidi" w:cstheme="minorBidi"/>
          <w:sz w:val="22"/>
          <w:szCs w:val="22"/>
        </w:rPr>
        <w:t>Adolescent mental health</w:t>
      </w:r>
      <w:r w:rsidRPr="005A3125">
        <w:rPr>
          <w:rFonts w:asciiTheme="minorBidi" w:hAnsiTheme="minorBidi" w:cstheme="minorBidi"/>
          <w:sz w:val="22"/>
          <w:szCs w:val="22"/>
        </w:rPr>
        <w:t xml:space="preserve">. Geneva: WHO. Available at: </w:t>
      </w:r>
      <w:hyperlink r:id="rId121" w:tgtFrame="_new" w:history="1">
        <w:r w:rsidRPr="005A3125">
          <w:rPr>
            <w:rStyle w:val="Hyperlink"/>
            <w:rFonts w:asciiTheme="minorBidi" w:hAnsiTheme="minorBidi" w:cstheme="minorBidi"/>
            <w:sz w:val="22"/>
            <w:szCs w:val="22"/>
          </w:rPr>
          <w:t>https://www.who.int</w:t>
        </w:r>
      </w:hyperlink>
      <w:r w:rsidRPr="005A3125">
        <w:rPr>
          <w:rFonts w:asciiTheme="minorBidi" w:hAnsiTheme="minorBidi" w:cstheme="minorBidi"/>
          <w:sz w:val="22"/>
          <w:szCs w:val="22"/>
        </w:rPr>
        <w:t xml:space="preserve"> (Accessed: 14 June 2026).</w:t>
      </w:r>
    </w:p>
    <w:p w14:paraId="10267FBA" w14:textId="77777777" w:rsidR="004C685A" w:rsidRPr="005A3125" w:rsidRDefault="004C685A" w:rsidP="004C685A">
      <w:pPr>
        <w:spacing w:before="100" w:beforeAutospacing="1" w:after="100" w:afterAutospacing="1" w:line="360" w:lineRule="auto"/>
        <w:rPr>
          <w:rFonts w:asciiTheme="minorBidi" w:eastAsia="Times New Roman" w:hAnsiTheme="minorBidi"/>
          <w:lang w:eastAsia="en-IN"/>
        </w:rPr>
      </w:pPr>
    </w:p>
    <w:p w14:paraId="044F9649" w14:textId="2FFEC39C" w:rsidR="00C00708" w:rsidRPr="005A3125" w:rsidRDefault="00C00708" w:rsidP="004C685A">
      <w:pPr>
        <w:spacing w:line="360" w:lineRule="auto"/>
        <w:rPr>
          <w:rFonts w:asciiTheme="minorBidi" w:hAnsiTheme="minorBidi"/>
        </w:rPr>
      </w:pPr>
      <w:r w:rsidRPr="005A3125">
        <w:rPr>
          <w:rFonts w:asciiTheme="minorBidi" w:hAnsiTheme="minorBidi"/>
        </w:rPr>
        <w:t>.</w:t>
      </w:r>
    </w:p>
    <w:p w14:paraId="0D501D08" w14:textId="34DA6688" w:rsidR="001D1D37" w:rsidRPr="005A3125" w:rsidRDefault="001D1D37" w:rsidP="001D1D37">
      <w:pPr>
        <w:spacing w:before="100" w:beforeAutospacing="1" w:after="100" w:afterAutospacing="1" w:line="360" w:lineRule="auto"/>
        <w:rPr>
          <w:rFonts w:asciiTheme="minorBidi" w:eastAsia="Times New Roman" w:hAnsiTheme="minorBidi"/>
          <w:lang w:eastAsia="en-IN"/>
        </w:rPr>
      </w:pPr>
    </w:p>
    <w:p w14:paraId="399C43A0" w14:textId="0AB26E59" w:rsidR="001D1D37" w:rsidRPr="005A3125" w:rsidRDefault="001D1D37" w:rsidP="001D1D37">
      <w:pPr>
        <w:spacing w:before="100" w:beforeAutospacing="1" w:after="100" w:afterAutospacing="1" w:line="360" w:lineRule="auto"/>
        <w:rPr>
          <w:rFonts w:asciiTheme="minorBidi" w:eastAsia="Times New Roman" w:hAnsiTheme="minorBidi"/>
          <w:lang w:eastAsia="en-IN"/>
        </w:rPr>
      </w:pPr>
    </w:p>
    <w:p w14:paraId="7A4013CF" w14:textId="7E1DE3DC" w:rsidR="001D1D37" w:rsidRPr="005A3125" w:rsidRDefault="001D1D37" w:rsidP="001D1D37">
      <w:pPr>
        <w:spacing w:before="100" w:beforeAutospacing="1" w:after="100" w:afterAutospacing="1" w:line="360" w:lineRule="auto"/>
        <w:rPr>
          <w:rFonts w:asciiTheme="minorBidi" w:eastAsia="Times New Roman" w:hAnsiTheme="minorBidi"/>
          <w:lang w:eastAsia="en-IN"/>
        </w:rPr>
      </w:pPr>
    </w:p>
    <w:p w14:paraId="5BBB7411" w14:textId="483B6CF9" w:rsidR="001D1D37" w:rsidRPr="005A3125" w:rsidRDefault="001D1D37" w:rsidP="001D1D37">
      <w:pPr>
        <w:spacing w:before="100" w:beforeAutospacing="1" w:after="100" w:afterAutospacing="1" w:line="360" w:lineRule="auto"/>
        <w:rPr>
          <w:rFonts w:asciiTheme="minorBidi" w:eastAsia="Times New Roman" w:hAnsiTheme="minorBidi"/>
          <w:lang w:eastAsia="en-IN"/>
        </w:rPr>
      </w:pPr>
    </w:p>
    <w:p w14:paraId="2AD06F37" w14:textId="069B933C" w:rsidR="001D1D37" w:rsidRPr="005A3125" w:rsidRDefault="001D1D37" w:rsidP="001D1D37">
      <w:pPr>
        <w:spacing w:before="100" w:beforeAutospacing="1" w:after="100" w:afterAutospacing="1" w:line="360" w:lineRule="auto"/>
        <w:rPr>
          <w:rFonts w:asciiTheme="minorBidi" w:eastAsia="Times New Roman" w:hAnsiTheme="minorBidi"/>
          <w:lang w:eastAsia="en-IN"/>
        </w:rPr>
      </w:pPr>
    </w:p>
    <w:p w14:paraId="196C180D" w14:textId="34A30D17" w:rsidR="001D1D37" w:rsidRPr="005A3125" w:rsidRDefault="001D1D37" w:rsidP="001D1D37">
      <w:pPr>
        <w:spacing w:before="100" w:beforeAutospacing="1" w:after="100" w:afterAutospacing="1" w:line="360" w:lineRule="auto"/>
        <w:rPr>
          <w:rFonts w:asciiTheme="minorBidi" w:eastAsia="Times New Roman" w:hAnsiTheme="minorBidi"/>
          <w:lang w:eastAsia="en-IN"/>
        </w:rPr>
      </w:pPr>
    </w:p>
    <w:p w14:paraId="6E3A069E" w14:textId="21C2C3B9" w:rsidR="001D1D37" w:rsidRPr="005A3125" w:rsidRDefault="001D1D37" w:rsidP="001D1D37">
      <w:pPr>
        <w:spacing w:before="100" w:beforeAutospacing="1" w:after="100" w:afterAutospacing="1" w:line="360" w:lineRule="auto"/>
        <w:rPr>
          <w:rFonts w:asciiTheme="minorBidi" w:eastAsia="Times New Roman" w:hAnsiTheme="minorBidi"/>
          <w:lang w:eastAsia="en-IN"/>
        </w:rPr>
      </w:pPr>
    </w:p>
    <w:p w14:paraId="47DB446F" w14:textId="2CFEBF15" w:rsidR="001D1D37" w:rsidRPr="005A3125" w:rsidRDefault="001D1D37" w:rsidP="001D1D37">
      <w:pPr>
        <w:spacing w:before="100" w:beforeAutospacing="1" w:after="100" w:afterAutospacing="1" w:line="360" w:lineRule="auto"/>
        <w:rPr>
          <w:rFonts w:asciiTheme="minorBidi" w:eastAsia="Times New Roman" w:hAnsiTheme="minorBidi"/>
          <w:lang w:eastAsia="en-IN"/>
        </w:rPr>
      </w:pPr>
    </w:p>
    <w:p w14:paraId="43F555E1" w14:textId="5E4C55E4" w:rsidR="001D1D37" w:rsidRPr="005A3125" w:rsidRDefault="001D1D37" w:rsidP="001D1D37">
      <w:pPr>
        <w:spacing w:before="100" w:beforeAutospacing="1" w:after="100" w:afterAutospacing="1" w:line="360" w:lineRule="auto"/>
        <w:rPr>
          <w:rFonts w:asciiTheme="minorBidi" w:eastAsia="Times New Roman" w:hAnsiTheme="minorBidi"/>
          <w:lang w:eastAsia="en-IN"/>
        </w:rPr>
      </w:pPr>
    </w:p>
    <w:p w14:paraId="3187EBE3" w14:textId="0336E504" w:rsidR="001D1D37" w:rsidRPr="005A3125" w:rsidRDefault="001D1D37" w:rsidP="001D1D37">
      <w:pPr>
        <w:spacing w:before="100" w:beforeAutospacing="1" w:after="100" w:afterAutospacing="1" w:line="360" w:lineRule="auto"/>
        <w:rPr>
          <w:rFonts w:asciiTheme="minorBidi" w:eastAsia="Times New Roman" w:hAnsiTheme="minorBidi"/>
          <w:lang w:eastAsia="en-IN"/>
        </w:rPr>
      </w:pPr>
    </w:p>
    <w:p w14:paraId="6BFC7F20" w14:textId="468FFF4C" w:rsidR="001D1D37" w:rsidRPr="005A3125" w:rsidRDefault="001D1D37" w:rsidP="001D1D37">
      <w:pPr>
        <w:spacing w:before="100" w:beforeAutospacing="1" w:after="100" w:afterAutospacing="1" w:line="360" w:lineRule="auto"/>
        <w:rPr>
          <w:rFonts w:asciiTheme="minorBidi" w:eastAsia="Times New Roman" w:hAnsiTheme="minorBidi"/>
          <w:lang w:eastAsia="en-IN"/>
        </w:rPr>
      </w:pPr>
    </w:p>
    <w:p w14:paraId="3B3EF36F" w14:textId="77777777" w:rsidR="00516662" w:rsidRPr="005A3125" w:rsidRDefault="00516662" w:rsidP="001D1D37">
      <w:pPr>
        <w:spacing w:before="100" w:beforeAutospacing="1" w:after="100" w:afterAutospacing="1" w:line="360" w:lineRule="auto"/>
        <w:rPr>
          <w:rFonts w:asciiTheme="minorBidi" w:eastAsia="Times New Roman" w:hAnsiTheme="minorBidi"/>
          <w:lang w:eastAsia="en-IN"/>
        </w:rPr>
      </w:pPr>
    </w:p>
    <w:p w14:paraId="1D41D4C3" w14:textId="3A578DFB" w:rsidR="001D1D37" w:rsidRPr="005A3125" w:rsidRDefault="00516662" w:rsidP="00516662">
      <w:pPr>
        <w:pStyle w:val="Heading1"/>
        <w:spacing w:after="0" w:line="360" w:lineRule="auto"/>
        <w:ind w:left="12" w:right="3"/>
        <w:rPr>
          <w:rFonts w:asciiTheme="minorBidi" w:hAnsiTheme="minorBidi" w:cstheme="minorBidi"/>
          <w:sz w:val="22"/>
        </w:rPr>
      </w:pPr>
      <w:bookmarkStart w:id="44" w:name="_Toc232456079"/>
      <w:r w:rsidRPr="005A3125">
        <w:rPr>
          <w:rFonts w:asciiTheme="minorBidi" w:hAnsiTheme="minorBidi" w:cstheme="minorBidi"/>
          <w:sz w:val="22"/>
          <w:lang w:eastAsia="en-IN"/>
        </w:rPr>
        <w:lastRenderedPageBreak/>
        <w:t>Appendix 1: Data Extraction and Quality Appraisal Table</w:t>
      </w:r>
      <w:bookmarkEnd w:id="44"/>
      <w:r w:rsidRPr="005A3125">
        <w:rPr>
          <w:rFonts w:asciiTheme="minorBidi" w:hAnsiTheme="minorBidi" w:cstheme="minorBidi"/>
          <w:sz w:val="22"/>
          <w:lang w:eastAsia="en-IN"/>
        </w:rPr>
        <w:tab/>
      </w:r>
    </w:p>
    <w:tbl>
      <w:tblPr>
        <w:tblStyle w:val="TableGrid"/>
        <w:tblW w:w="0" w:type="auto"/>
        <w:tblLook w:val="04A0" w:firstRow="1" w:lastRow="0" w:firstColumn="1" w:lastColumn="0" w:noHBand="0" w:noVBand="1"/>
      </w:tblPr>
      <w:tblGrid>
        <w:gridCol w:w="1040"/>
        <w:gridCol w:w="1000"/>
        <w:gridCol w:w="976"/>
        <w:gridCol w:w="1498"/>
        <w:gridCol w:w="1205"/>
        <w:gridCol w:w="1213"/>
        <w:gridCol w:w="1187"/>
        <w:gridCol w:w="897"/>
      </w:tblGrid>
      <w:tr w:rsidR="00516662" w:rsidRPr="005A3125" w14:paraId="0484785A" w14:textId="77777777" w:rsidTr="00516662">
        <w:tc>
          <w:tcPr>
            <w:tcW w:w="0" w:type="auto"/>
            <w:hideMark/>
          </w:tcPr>
          <w:p w14:paraId="204F8F67" w14:textId="77777777" w:rsidR="00516662" w:rsidRPr="005A3125" w:rsidRDefault="00516662" w:rsidP="00516662">
            <w:pPr>
              <w:spacing w:line="360" w:lineRule="auto"/>
              <w:rPr>
                <w:rFonts w:asciiTheme="minorBidi" w:eastAsia="Times New Roman" w:hAnsiTheme="minorBidi"/>
                <w:b/>
                <w:bCs/>
                <w:lang w:val="en-IN" w:eastAsia="en-IN"/>
              </w:rPr>
            </w:pPr>
            <w:r w:rsidRPr="005A3125">
              <w:rPr>
                <w:rFonts w:asciiTheme="minorBidi" w:eastAsia="Times New Roman" w:hAnsiTheme="minorBidi"/>
                <w:b/>
                <w:bCs/>
                <w:lang w:val="en-IN" w:eastAsia="en-IN"/>
              </w:rPr>
              <w:t>Author (Year)</w:t>
            </w:r>
          </w:p>
        </w:tc>
        <w:tc>
          <w:tcPr>
            <w:tcW w:w="1223" w:type="dxa"/>
            <w:hideMark/>
          </w:tcPr>
          <w:p w14:paraId="273D348B" w14:textId="77777777" w:rsidR="00516662" w:rsidRPr="005A3125" w:rsidRDefault="00516662" w:rsidP="00516662">
            <w:pPr>
              <w:spacing w:line="360" w:lineRule="auto"/>
              <w:rPr>
                <w:rFonts w:asciiTheme="minorBidi" w:eastAsia="Times New Roman" w:hAnsiTheme="minorBidi"/>
                <w:b/>
                <w:bCs/>
                <w:lang w:val="en-IN" w:eastAsia="en-IN"/>
              </w:rPr>
            </w:pPr>
            <w:r w:rsidRPr="005A3125">
              <w:rPr>
                <w:rFonts w:asciiTheme="minorBidi" w:eastAsia="Times New Roman" w:hAnsiTheme="minorBidi"/>
                <w:b/>
                <w:bCs/>
                <w:lang w:val="en-IN" w:eastAsia="en-IN"/>
              </w:rPr>
              <w:t>Country</w:t>
            </w:r>
          </w:p>
        </w:tc>
        <w:tc>
          <w:tcPr>
            <w:tcW w:w="753" w:type="dxa"/>
            <w:hideMark/>
          </w:tcPr>
          <w:p w14:paraId="72156EF7" w14:textId="77777777" w:rsidR="00516662" w:rsidRPr="005A3125" w:rsidRDefault="00516662" w:rsidP="00516662">
            <w:pPr>
              <w:spacing w:line="360" w:lineRule="auto"/>
              <w:rPr>
                <w:rFonts w:asciiTheme="minorBidi" w:eastAsia="Times New Roman" w:hAnsiTheme="minorBidi"/>
                <w:b/>
                <w:bCs/>
                <w:lang w:val="en-IN" w:eastAsia="en-IN"/>
              </w:rPr>
            </w:pPr>
            <w:r w:rsidRPr="005A3125">
              <w:rPr>
                <w:rFonts w:asciiTheme="minorBidi" w:eastAsia="Times New Roman" w:hAnsiTheme="minorBidi"/>
                <w:b/>
                <w:bCs/>
                <w:lang w:val="en-IN" w:eastAsia="en-IN"/>
              </w:rPr>
              <w:t>Study Design</w:t>
            </w:r>
          </w:p>
        </w:tc>
        <w:tc>
          <w:tcPr>
            <w:tcW w:w="0" w:type="auto"/>
            <w:hideMark/>
          </w:tcPr>
          <w:p w14:paraId="3B4EFBF5" w14:textId="77777777" w:rsidR="00516662" w:rsidRPr="005A3125" w:rsidRDefault="00516662" w:rsidP="00516662">
            <w:pPr>
              <w:spacing w:line="360" w:lineRule="auto"/>
              <w:rPr>
                <w:rFonts w:asciiTheme="minorBidi" w:eastAsia="Times New Roman" w:hAnsiTheme="minorBidi"/>
                <w:b/>
                <w:bCs/>
                <w:lang w:val="en-IN" w:eastAsia="en-IN"/>
              </w:rPr>
            </w:pPr>
            <w:r w:rsidRPr="005A3125">
              <w:rPr>
                <w:rFonts w:asciiTheme="minorBidi" w:eastAsia="Times New Roman" w:hAnsiTheme="minorBidi"/>
                <w:b/>
                <w:bCs/>
                <w:lang w:val="en-IN" w:eastAsia="en-IN"/>
              </w:rPr>
              <w:t>Sample/Population</w:t>
            </w:r>
          </w:p>
        </w:tc>
        <w:tc>
          <w:tcPr>
            <w:tcW w:w="0" w:type="auto"/>
            <w:hideMark/>
          </w:tcPr>
          <w:p w14:paraId="6024B427" w14:textId="77777777" w:rsidR="00516662" w:rsidRPr="005A3125" w:rsidRDefault="00516662" w:rsidP="00516662">
            <w:pPr>
              <w:spacing w:line="360" w:lineRule="auto"/>
              <w:rPr>
                <w:rFonts w:asciiTheme="minorBidi" w:eastAsia="Times New Roman" w:hAnsiTheme="minorBidi"/>
                <w:b/>
                <w:bCs/>
                <w:lang w:val="en-IN" w:eastAsia="en-IN"/>
              </w:rPr>
            </w:pPr>
            <w:r w:rsidRPr="005A3125">
              <w:rPr>
                <w:rFonts w:asciiTheme="minorBidi" w:eastAsia="Times New Roman" w:hAnsiTheme="minorBidi"/>
                <w:b/>
                <w:bCs/>
                <w:lang w:val="en-IN" w:eastAsia="en-IN"/>
              </w:rPr>
              <w:t>Main Findings</w:t>
            </w:r>
          </w:p>
        </w:tc>
        <w:tc>
          <w:tcPr>
            <w:tcW w:w="0" w:type="auto"/>
            <w:hideMark/>
          </w:tcPr>
          <w:p w14:paraId="7B202750" w14:textId="77777777" w:rsidR="00516662" w:rsidRPr="005A3125" w:rsidRDefault="00516662" w:rsidP="00516662">
            <w:pPr>
              <w:spacing w:line="360" w:lineRule="auto"/>
              <w:rPr>
                <w:rFonts w:asciiTheme="minorBidi" w:eastAsia="Times New Roman" w:hAnsiTheme="minorBidi"/>
                <w:b/>
                <w:bCs/>
                <w:lang w:val="en-IN" w:eastAsia="en-IN"/>
              </w:rPr>
            </w:pPr>
            <w:r w:rsidRPr="005A3125">
              <w:rPr>
                <w:rFonts w:asciiTheme="minorBidi" w:eastAsia="Times New Roman" w:hAnsiTheme="minorBidi"/>
                <w:b/>
                <w:bCs/>
                <w:lang w:val="en-IN" w:eastAsia="en-IN"/>
              </w:rPr>
              <w:t>Strengths</w:t>
            </w:r>
          </w:p>
        </w:tc>
        <w:tc>
          <w:tcPr>
            <w:tcW w:w="0" w:type="auto"/>
            <w:hideMark/>
          </w:tcPr>
          <w:p w14:paraId="1B911E87" w14:textId="77777777" w:rsidR="00516662" w:rsidRPr="005A3125" w:rsidRDefault="00516662" w:rsidP="00516662">
            <w:pPr>
              <w:spacing w:line="360" w:lineRule="auto"/>
              <w:rPr>
                <w:rFonts w:asciiTheme="minorBidi" w:eastAsia="Times New Roman" w:hAnsiTheme="minorBidi"/>
                <w:b/>
                <w:bCs/>
                <w:lang w:val="en-IN" w:eastAsia="en-IN"/>
              </w:rPr>
            </w:pPr>
            <w:r w:rsidRPr="005A3125">
              <w:rPr>
                <w:rFonts w:asciiTheme="minorBidi" w:eastAsia="Times New Roman" w:hAnsiTheme="minorBidi"/>
                <w:b/>
                <w:bCs/>
                <w:lang w:val="en-IN" w:eastAsia="en-IN"/>
              </w:rPr>
              <w:t>Limitations</w:t>
            </w:r>
          </w:p>
        </w:tc>
        <w:tc>
          <w:tcPr>
            <w:tcW w:w="897" w:type="dxa"/>
            <w:hideMark/>
          </w:tcPr>
          <w:p w14:paraId="294CDB44" w14:textId="77777777" w:rsidR="00516662" w:rsidRPr="005A3125" w:rsidRDefault="00516662" w:rsidP="00516662">
            <w:pPr>
              <w:spacing w:line="360" w:lineRule="auto"/>
              <w:rPr>
                <w:rFonts w:asciiTheme="minorBidi" w:eastAsia="Times New Roman" w:hAnsiTheme="minorBidi"/>
                <w:b/>
                <w:bCs/>
                <w:lang w:val="en-IN" w:eastAsia="en-IN"/>
              </w:rPr>
            </w:pPr>
            <w:r w:rsidRPr="005A3125">
              <w:rPr>
                <w:rFonts w:asciiTheme="minorBidi" w:eastAsia="Times New Roman" w:hAnsiTheme="minorBidi"/>
                <w:b/>
                <w:bCs/>
                <w:lang w:val="en-IN" w:eastAsia="en-IN"/>
              </w:rPr>
              <w:t>Quality Rating</w:t>
            </w:r>
          </w:p>
        </w:tc>
      </w:tr>
      <w:tr w:rsidR="00516662" w:rsidRPr="005A3125" w14:paraId="44E5FEF1" w14:textId="77777777" w:rsidTr="00516662">
        <w:tc>
          <w:tcPr>
            <w:tcW w:w="0" w:type="auto"/>
            <w:hideMark/>
          </w:tcPr>
          <w:p w14:paraId="6909D475"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Wallace et al. (2016)</w:t>
            </w:r>
          </w:p>
        </w:tc>
        <w:tc>
          <w:tcPr>
            <w:tcW w:w="1223" w:type="dxa"/>
            <w:hideMark/>
          </w:tcPr>
          <w:p w14:paraId="39287C73"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UK</w:t>
            </w:r>
          </w:p>
        </w:tc>
        <w:tc>
          <w:tcPr>
            <w:tcW w:w="753" w:type="dxa"/>
            <w:hideMark/>
          </w:tcPr>
          <w:p w14:paraId="613B097D"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Quantitative Survey</w:t>
            </w:r>
          </w:p>
        </w:tc>
        <w:tc>
          <w:tcPr>
            <w:tcW w:w="0" w:type="auto"/>
            <w:hideMark/>
          </w:tcPr>
          <w:p w14:paraId="30E7E5B7"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4,297 ethnic minority adults</w:t>
            </w:r>
          </w:p>
        </w:tc>
        <w:tc>
          <w:tcPr>
            <w:tcW w:w="0" w:type="auto"/>
            <w:hideMark/>
          </w:tcPr>
          <w:p w14:paraId="4B646722"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Racial discrimination significantly associated with psychological distress and poorer mental health outcomes.</w:t>
            </w:r>
          </w:p>
        </w:tc>
        <w:tc>
          <w:tcPr>
            <w:tcW w:w="0" w:type="auto"/>
            <w:hideMark/>
          </w:tcPr>
          <w:p w14:paraId="65D57265"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Large representative sample; strong statistical analysis.</w:t>
            </w:r>
          </w:p>
        </w:tc>
        <w:tc>
          <w:tcPr>
            <w:tcW w:w="0" w:type="auto"/>
            <w:hideMark/>
          </w:tcPr>
          <w:p w14:paraId="48926DE0"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Cross-sectional design limits causal interpretation.</w:t>
            </w:r>
          </w:p>
        </w:tc>
        <w:tc>
          <w:tcPr>
            <w:tcW w:w="897" w:type="dxa"/>
            <w:hideMark/>
          </w:tcPr>
          <w:p w14:paraId="348DF468"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High</w:t>
            </w:r>
          </w:p>
        </w:tc>
      </w:tr>
      <w:tr w:rsidR="00516662" w:rsidRPr="005A3125" w14:paraId="452605AC" w14:textId="77777777" w:rsidTr="00516662">
        <w:tc>
          <w:tcPr>
            <w:tcW w:w="0" w:type="auto"/>
            <w:hideMark/>
          </w:tcPr>
          <w:p w14:paraId="46723021" w14:textId="77777777" w:rsidR="00516662" w:rsidRPr="005A3125" w:rsidRDefault="00516662" w:rsidP="00516662">
            <w:pPr>
              <w:spacing w:line="360" w:lineRule="auto"/>
              <w:rPr>
                <w:rFonts w:asciiTheme="minorBidi" w:eastAsia="Times New Roman" w:hAnsiTheme="minorBidi"/>
                <w:lang w:val="en-IN" w:eastAsia="en-IN"/>
              </w:rPr>
            </w:pPr>
            <w:proofErr w:type="spellStart"/>
            <w:r w:rsidRPr="005A3125">
              <w:rPr>
                <w:rFonts w:asciiTheme="minorBidi" w:eastAsia="Times New Roman" w:hAnsiTheme="minorBidi"/>
                <w:lang w:val="en-IN" w:eastAsia="en-IN"/>
              </w:rPr>
              <w:t>Bécares</w:t>
            </w:r>
            <w:proofErr w:type="spellEnd"/>
            <w:r w:rsidRPr="005A3125">
              <w:rPr>
                <w:rFonts w:asciiTheme="minorBidi" w:eastAsia="Times New Roman" w:hAnsiTheme="minorBidi"/>
                <w:lang w:val="en-IN" w:eastAsia="en-IN"/>
              </w:rPr>
              <w:t xml:space="preserve"> et al. (2015)</w:t>
            </w:r>
          </w:p>
        </w:tc>
        <w:tc>
          <w:tcPr>
            <w:tcW w:w="1223" w:type="dxa"/>
            <w:hideMark/>
          </w:tcPr>
          <w:p w14:paraId="25AD2DE4"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UK</w:t>
            </w:r>
          </w:p>
        </w:tc>
        <w:tc>
          <w:tcPr>
            <w:tcW w:w="753" w:type="dxa"/>
            <w:hideMark/>
          </w:tcPr>
          <w:p w14:paraId="7FC65DBD"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Cross-sectional Study</w:t>
            </w:r>
          </w:p>
        </w:tc>
        <w:tc>
          <w:tcPr>
            <w:tcW w:w="0" w:type="auto"/>
            <w:hideMark/>
          </w:tcPr>
          <w:p w14:paraId="78071AA9"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4,788 adolescents</w:t>
            </w:r>
          </w:p>
        </w:tc>
        <w:tc>
          <w:tcPr>
            <w:tcW w:w="0" w:type="auto"/>
            <w:hideMark/>
          </w:tcPr>
          <w:p w14:paraId="4396C11A"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Experiences of racism associated with emotional and behavioural difficulties.</w:t>
            </w:r>
          </w:p>
        </w:tc>
        <w:tc>
          <w:tcPr>
            <w:tcW w:w="0" w:type="auto"/>
            <w:hideMark/>
          </w:tcPr>
          <w:p w14:paraId="097AD818"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National dataset; robust population coverage.</w:t>
            </w:r>
          </w:p>
        </w:tc>
        <w:tc>
          <w:tcPr>
            <w:tcW w:w="0" w:type="auto"/>
            <w:hideMark/>
          </w:tcPr>
          <w:p w14:paraId="48C0B56F"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Causality cannot be established.</w:t>
            </w:r>
          </w:p>
        </w:tc>
        <w:tc>
          <w:tcPr>
            <w:tcW w:w="897" w:type="dxa"/>
            <w:hideMark/>
          </w:tcPr>
          <w:p w14:paraId="23FD3D51"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High</w:t>
            </w:r>
          </w:p>
        </w:tc>
      </w:tr>
      <w:tr w:rsidR="00516662" w:rsidRPr="005A3125" w14:paraId="29334148" w14:textId="77777777" w:rsidTr="00516662">
        <w:tc>
          <w:tcPr>
            <w:tcW w:w="0" w:type="auto"/>
            <w:hideMark/>
          </w:tcPr>
          <w:p w14:paraId="5EB468A1"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Williams et al. (2019)</w:t>
            </w:r>
          </w:p>
        </w:tc>
        <w:tc>
          <w:tcPr>
            <w:tcW w:w="1223" w:type="dxa"/>
            <w:hideMark/>
          </w:tcPr>
          <w:p w14:paraId="4A1EDDD3"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International</w:t>
            </w:r>
          </w:p>
        </w:tc>
        <w:tc>
          <w:tcPr>
            <w:tcW w:w="753" w:type="dxa"/>
            <w:hideMark/>
          </w:tcPr>
          <w:p w14:paraId="1D30D2BA"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Literature Review</w:t>
            </w:r>
          </w:p>
        </w:tc>
        <w:tc>
          <w:tcPr>
            <w:tcW w:w="0" w:type="auto"/>
            <w:hideMark/>
          </w:tcPr>
          <w:p w14:paraId="7510F2B3"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Multiple studies</w:t>
            </w:r>
          </w:p>
        </w:tc>
        <w:tc>
          <w:tcPr>
            <w:tcW w:w="0" w:type="auto"/>
            <w:hideMark/>
          </w:tcPr>
          <w:p w14:paraId="263BA1A8"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 xml:space="preserve">Racism functions as a chronic stressor </w:t>
            </w:r>
            <w:r w:rsidRPr="005A3125">
              <w:rPr>
                <w:rFonts w:asciiTheme="minorBidi" w:eastAsia="Times New Roman" w:hAnsiTheme="minorBidi"/>
                <w:lang w:val="en-IN" w:eastAsia="en-IN"/>
              </w:rPr>
              <w:lastRenderedPageBreak/>
              <w:t>linked to anxiety, depression, and emotional exhaustion.</w:t>
            </w:r>
          </w:p>
        </w:tc>
        <w:tc>
          <w:tcPr>
            <w:tcW w:w="0" w:type="auto"/>
            <w:hideMark/>
          </w:tcPr>
          <w:p w14:paraId="58B581C5"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lastRenderedPageBreak/>
              <w:t>Comprehensive synthesis of evidence.</w:t>
            </w:r>
          </w:p>
        </w:tc>
        <w:tc>
          <w:tcPr>
            <w:tcW w:w="0" w:type="auto"/>
            <w:hideMark/>
          </w:tcPr>
          <w:p w14:paraId="4640574E"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Secondary analysis only.</w:t>
            </w:r>
          </w:p>
        </w:tc>
        <w:tc>
          <w:tcPr>
            <w:tcW w:w="897" w:type="dxa"/>
            <w:hideMark/>
          </w:tcPr>
          <w:p w14:paraId="2D622507"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High</w:t>
            </w:r>
          </w:p>
        </w:tc>
      </w:tr>
      <w:tr w:rsidR="00516662" w:rsidRPr="005A3125" w14:paraId="127F8F49" w14:textId="77777777" w:rsidTr="00516662">
        <w:tc>
          <w:tcPr>
            <w:tcW w:w="0" w:type="auto"/>
            <w:hideMark/>
          </w:tcPr>
          <w:p w14:paraId="2E5C226D"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Paradies et al. (2015)</w:t>
            </w:r>
          </w:p>
        </w:tc>
        <w:tc>
          <w:tcPr>
            <w:tcW w:w="1223" w:type="dxa"/>
            <w:hideMark/>
          </w:tcPr>
          <w:p w14:paraId="1FA17D13"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International</w:t>
            </w:r>
          </w:p>
        </w:tc>
        <w:tc>
          <w:tcPr>
            <w:tcW w:w="753" w:type="dxa"/>
            <w:hideMark/>
          </w:tcPr>
          <w:p w14:paraId="114814B4"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Meta-analysis</w:t>
            </w:r>
          </w:p>
        </w:tc>
        <w:tc>
          <w:tcPr>
            <w:tcW w:w="0" w:type="auto"/>
            <w:hideMark/>
          </w:tcPr>
          <w:p w14:paraId="154EE5DB"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293 studies</w:t>
            </w:r>
          </w:p>
        </w:tc>
        <w:tc>
          <w:tcPr>
            <w:tcW w:w="0" w:type="auto"/>
            <w:hideMark/>
          </w:tcPr>
          <w:p w14:paraId="0ED4B956"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Strong association between racism and poor mental health outcomes.</w:t>
            </w:r>
          </w:p>
        </w:tc>
        <w:tc>
          <w:tcPr>
            <w:tcW w:w="0" w:type="auto"/>
            <w:hideMark/>
          </w:tcPr>
          <w:p w14:paraId="11D6C341"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Extensive evidence base.</w:t>
            </w:r>
          </w:p>
        </w:tc>
        <w:tc>
          <w:tcPr>
            <w:tcW w:w="0" w:type="auto"/>
            <w:hideMark/>
          </w:tcPr>
          <w:p w14:paraId="770D5220"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Variation in study methodologies.</w:t>
            </w:r>
          </w:p>
        </w:tc>
        <w:tc>
          <w:tcPr>
            <w:tcW w:w="897" w:type="dxa"/>
            <w:hideMark/>
          </w:tcPr>
          <w:p w14:paraId="55149AB2"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High</w:t>
            </w:r>
          </w:p>
        </w:tc>
      </w:tr>
      <w:tr w:rsidR="00516662" w:rsidRPr="005A3125" w14:paraId="42369430" w14:textId="77777777" w:rsidTr="00516662">
        <w:tc>
          <w:tcPr>
            <w:tcW w:w="0" w:type="auto"/>
            <w:hideMark/>
          </w:tcPr>
          <w:p w14:paraId="42A89738"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Memon et al. (2016)</w:t>
            </w:r>
          </w:p>
        </w:tc>
        <w:tc>
          <w:tcPr>
            <w:tcW w:w="1223" w:type="dxa"/>
            <w:hideMark/>
          </w:tcPr>
          <w:p w14:paraId="58BE25EB"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UK</w:t>
            </w:r>
          </w:p>
        </w:tc>
        <w:tc>
          <w:tcPr>
            <w:tcW w:w="753" w:type="dxa"/>
            <w:hideMark/>
          </w:tcPr>
          <w:p w14:paraId="11C19BC4"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Systematic Review</w:t>
            </w:r>
          </w:p>
        </w:tc>
        <w:tc>
          <w:tcPr>
            <w:tcW w:w="0" w:type="auto"/>
            <w:hideMark/>
          </w:tcPr>
          <w:p w14:paraId="4B815730"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25 studies</w:t>
            </w:r>
          </w:p>
        </w:tc>
        <w:tc>
          <w:tcPr>
            <w:tcW w:w="0" w:type="auto"/>
            <w:hideMark/>
          </w:tcPr>
          <w:p w14:paraId="3BFAB3FD"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Stigma and cultural barriers reduce access to mental healthcare services.</w:t>
            </w:r>
          </w:p>
        </w:tc>
        <w:tc>
          <w:tcPr>
            <w:tcW w:w="0" w:type="auto"/>
            <w:hideMark/>
          </w:tcPr>
          <w:p w14:paraId="1BD7CBCD"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Comprehensive review of minority ethnic experiences.</w:t>
            </w:r>
          </w:p>
        </w:tc>
        <w:tc>
          <w:tcPr>
            <w:tcW w:w="0" w:type="auto"/>
            <w:hideMark/>
          </w:tcPr>
          <w:p w14:paraId="40B2379D"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Heterogeneity of included studies.</w:t>
            </w:r>
          </w:p>
        </w:tc>
        <w:tc>
          <w:tcPr>
            <w:tcW w:w="897" w:type="dxa"/>
            <w:hideMark/>
          </w:tcPr>
          <w:p w14:paraId="100C4819"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High</w:t>
            </w:r>
          </w:p>
        </w:tc>
      </w:tr>
      <w:tr w:rsidR="00516662" w:rsidRPr="005A3125" w14:paraId="7043204A" w14:textId="77777777" w:rsidTr="00516662">
        <w:tc>
          <w:tcPr>
            <w:tcW w:w="0" w:type="auto"/>
            <w:hideMark/>
          </w:tcPr>
          <w:p w14:paraId="42DFDC9D"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Mantovani et al. (2017)</w:t>
            </w:r>
          </w:p>
        </w:tc>
        <w:tc>
          <w:tcPr>
            <w:tcW w:w="1223" w:type="dxa"/>
            <w:hideMark/>
          </w:tcPr>
          <w:p w14:paraId="211F5172"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UK</w:t>
            </w:r>
          </w:p>
        </w:tc>
        <w:tc>
          <w:tcPr>
            <w:tcW w:w="753" w:type="dxa"/>
            <w:hideMark/>
          </w:tcPr>
          <w:p w14:paraId="49845728"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Qualitative Study</w:t>
            </w:r>
          </w:p>
        </w:tc>
        <w:tc>
          <w:tcPr>
            <w:tcW w:w="0" w:type="auto"/>
            <w:hideMark/>
          </w:tcPr>
          <w:p w14:paraId="75108414"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30 participants</w:t>
            </w:r>
          </w:p>
        </w:tc>
        <w:tc>
          <w:tcPr>
            <w:tcW w:w="0" w:type="auto"/>
            <w:hideMark/>
          </w:tcPr>
          <w:p w14:paraId="15A7D859"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Community stigma and cultural beliefs influence help-seeking behaviour.</w:t>
            </w:r>
          </w:p>
        </w:tc>
        <w:tc>
          <w:tcPr>
            <w:tcW w:w="0" w:type="auto"/>
            <w:hideMark/>
          </w:tcPr>
          <w:p w14:paraId="63238328"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Rich contextual insights.</w:t>
            </w:r>
          </w:p>
        </w:tc>
        <w:tc>
          <w:tcPr>
            <w:tcW w:w="0" w:type="auto"/>
            <w:hideMark/>
          </w:tcPr>
          <w:p w14:paraId="646B718B"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Small sample size.</w:t>
            </w:r>
          </w:p>
        </w:tc>
        <w:tc>
          <w:tcPr>
            <w:tcW w:w="897" w:type="dxa"/>
            <w:hideMark/>
          </w:tcPr>
          <w:p w14:paraId="08EFBD70"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Moderate</w:t>
            </w:r>
          </w:p>
        </w:tc>
      </w:tr>
      <w:tr w:rsidR="00516662" w:rsidRPr="005A3125" w14:paraId="5F872C34" w14:textId="77777777" w:rsidTr="00516662">
        <w:tc>
          <w:tcPr>
            <w:tcW w:w="0" w:type="auto"/>
            <w:hideMark/>
          </w:tcPr>
          <w:p w14:paraId="5A3AB656"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lastRenderedPageBreak/>
              <w:t>Reiss (2013)</w:t>
            </w:r>
          </w:p>
        </w:tc>
        <w:tc>
          <w:tcPr>
            <w:tcW w:w="1223" w:type="dxa"/>
            <w:hideMark/>
          </w:tcPr>
          <w:p w14:paraId="1971DA09"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International</w:t>
            </w:r>
          </w:p>
        </w:tc>
        <w:tc>
          <w:tcPr>
            <w:tcW w:w="753" w:type="dxa"/>
            <w:hideMark/>
          </w:tcPr>
          <w:p w14:paraId="3FC6481D"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Systematic Review</w:t>
            </w:r>
          </w:p>
        </w:tc>
        <w:tc>
          <w:tcPr>
            <w:tcW w:w="0" w:type="auto"/>
            <w:hideMark/>
          </w:tcPr>
          <w:p w14:paraId="34C946E5"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55 studies</w:t>
            </w:r>
          </w:p>
        </w:tc>
        <w:tc>
          <w:tcPr>
            <w:tcW w:w="0" w:type="auto"/>
            <w:hideMark/>
          </w:tcPr>
          <w:p w14:paraId="28B1882C"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Socioeconomic deprivation strongly associated with depression and anxiety among young people.</w:t>
            </w:r>
          </w:p>
        </w:tc>
        <w:tc>
          <w:tcPr>
            <w:tcW w:w="0" w:type="auto"/>
            <w:hideMark/>
          </w:tcPr>
          <w:p w14:paraId="3DC1D6AD"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Strong evidence base.</w:t>
            </w:r>
          </w:p>
        </w:tc>
        <w:tc>
          <w:tcPr>
            <w:tcW w:w="0" w:type="auto"/>
            <w:hideMark/>
          </w:tcPr>
          <w:p w14:paraId="50558AC1"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International focus may limit UK-specific relevance.</w:t>
            </w:r>
          </w:p>
        </w:tc>
        <w:tc>
          <w:tcPr>
            <w:tcW w:w="897" w:type="dxa"/>
            <w:hideMark/>
          </w:tcPr>
          <w:p w14:paraId="7CB8FB21"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High</w:t>
            </w:r>
          </w:p>
        </w:tc>
      </w:tr>
      <w:tr w:rsidR="00516662" w:rsidRPr="005A3125" w14:paraId="1199D716" w14:textId="77777777" w:rsidTr="00516662">
        <w:tc>
          <w:tcPr>
            <w:tcW w:w="0" w:type="auto"/>
            <w:hideMark/>
          </w:tcPr>
          <w:p w14:paraId="5FB7B39C"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Allen et al. (2014)</w:t>
            </w:r>
          </w:p>
        </w:tc>
        <w:tc>
          <w:tcPr>
            <w:tcW w:w="1223" w:type="dxa"/>
            <w:hideMark/>
          </w:tcPr>
          <w:p w14:paraId="25725704"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UK</w:t>
            </w:r>
          </w:p>
        </w:tc>
        <w:tc>
          <w:tcPr>
            <w:tcW w:w="753" w:type="dxa"/>
            <w:hideMark/>
          </w:tcPr>
          <w:p w14:paraId="2E810B26"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Review</w:t>
            </w:r>
          </w:p>
        </w:tc>
        <w:tc>
          <w:tcPr>
            <w:tcW w:w="0" w:type="auto"/>
            <w:hideMark/>
          </w:tcPr>
          <w:p w14:paraId="27956A5A"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National evidence</w:t>
            </w:r>
          </w:p>
        </w:tc>
        <w:tc>
          <w:tcPr>
            <w:tcW w:w="0" w:type="auto"/>
            <w:hideMark/>
          </w:tcPr>
          <w:p w14:paraId="2A1DC55B"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Social determinants significantly influence mental wellbeing.</w:t>
            </w:r>
          </w:p>
        </w:tc>
        <w:tc>
          <w:tcPr>
            <w:tcW w:w="0" w:type="auto"/>
            <w:hideMark/>
          </w:tcPr>
          <w:p w14:paraId="5328F28C"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Public health perspective.</w:t>
            </w:r>
          </w:p>
        </w:tc>
        <w:tc>
          <w:tcPr>
            <w:tcW w:w="0" w:type="auto"/>
            <w:hideMark/>
          </w:tcPr>
          <w:p w14:paraId="64EDD16E"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Secondary evidence.</w:t>
            </w:r>
          </w:p>
        </w:tc>
        <w:tc>
          <w:tcPr>
            <w:tcW w:w="897" w:type="dxa"/>
            <w:hideMark/>
          </w:tcPr>
          <w:p w14:paraId="12884A5F"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High</w:t>
            </w:r>
          </w:p>
        </w:tc>
      </w:tr>
      <w:tr w:rsidR="00516662" w:rsidRPr="005A3125" w14:paraId="79E96589" w14:textId="77777777" w:rsidTr="00516662">
        <w:tc>
          <w:tcPr>
            <w:tcW w:w="0" w:type="auto"/>
            <w:hideMark/>
          </w:tcPr>
          <w:p w14:paraId="55DD1FC9"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Marmot et al. (2020)</w:t>
            </w:r>
          </w:p>
        </w:tc>
        <w:tc>
          <w:tcPr>
            <w:tcW w:w="1223" w:type="dxa"/>
            <w:hideMark/>
          </w:tcPr>
          <w:p w14:paraId="1F195616"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UK</w:t>
            </w:r>
          </w:p>
        </w:tc>
        <w:tc>
          <w:tcPr>
            <w:tcW w:w="753" w:type="dxa"/>
            <w:hideMark/>
          </w:tcPr>
          <w:p w14:paraId="2A084B55"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Policy Review</w:t>
            </w:r>
          </w:p>
        </w:tc>
        <w:tc>
          <w:tcPr>
            <w:tcW w:w="0" w:type="auto"/>
            <w:hideMark/>
          </w:tcPr>
          <w:p w14:paraId="1B3EBE58"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National data</w:t>
            </w:r>
          </w:p>
        </w:tc>
        <w:tc>
          <w:tcPr>
            <w:tcW w:w="0" w:type="auto"/>
            <w:hideMark/>
          </w:tcPr>
          <w:p w14:paraId="5118EDDD"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Health inequalities linked to poverty, housing, and social disadvantage.</w:t>
            </w:r>
          </w:p>
        </w:tc>
        <w:tc>
          <w:tcPr>
            <w:tcW w:w="0" w:type="auto"/>
            <w:hideMark/>
          </w:tcPr>
          <w:p w14:paraId="446A2475"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Influential policy evidence.</w:t>
            </w:r>
          </w:p>
        </w:tc>
        <w:tc>
          <w:tcPr>
            <w:tcW w:w="0" w:type="auto"/>
            <w:hideMark/>
          </w:tcPr>
          <w:p w14:paraId="370568EE"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Not youth-specific.</w:t>
            </w:r>
          </w:p>
        </w:tc>
        <w:tc>
          <w:tcPr>
            <w:tcW w:w="897" w:type="dxa"/>
            <w:hideMark/>
          </w:tcPr>
          <w:p w14:paraId="659756CA"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High</w:t>
            </w:r>
          </w:p>
        </w:tc>
      </w:tr>
      <w:tr w:rsidR="00516662" w:rsidRPr="005A3125" w14:paraId="42EDEE84" w14:textId="77777777" w:rsidTr="00516662">
        <w:tc>
          <w:tcPr>
            <w:tcW w:w="0" w:type="auto"/>
            <w:hideMark/>
          </w:tcPr>
          <w:p w14:paraId="09E93707"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Gillborn (2008)</w:t>
            </w:r>
          </w:p>
        </w:tc>
        <w:tc>
          <w:tcPr>
            <w:tcW w:w="1223" w:type="dxa"/>
            <w:hideMark/>
          </w:tcPr>
          <w:p w14:paraId="52F0BD91"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UK</w:t>
            </w:r>
          </w:p>
        </w:tc>
        <w:tc>
          <w:tcPr>
            <w:tcW w:w="753" w:type="dxa"/>
            <w:hideMark/>
          </w:tcPr>
          <w:p w14:paraId="78A53C17"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Qualitative Analysis</w:t>
            </w:r>
          </w:p>
        </w:tc>
        <w:tc>
          <w:tcPr>
            <w:tcW w:w="0" w:type="auto"/>
            <w:hideMark/>
          </w:tcPr>
          <w:p w14:paraId="75FF2514"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Educational datasets</w:t>
            </w:r>
          </w:p>
        </w:tc>
        <w:tc>
          <w:tcPr>
            <w:tcW w:w="0" w:type="auto"/>
            <w:hideMark/>
          </w:tcPr>
          <w:p w14:paraId="583E71AA"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 xml:space="preserve">Institutional racism contributes to unequal educational </w:t>
            </w:r>
            <w:r w:rsidRPr="005A3125">
              <w:rPr>
                <w:rFonts w:asciiTheme="minorBidi" w:eastAsia="Times New Roman" w:hAnsiTheme="minorBidi"/>
                <w:lang w:val="en-IN" w:eastAsia="en-IN"/>
              </w:rPr>
              <w:lastRenderedPageBreak/>
              <w:t>outcomes.</w:t>
            </w:r>
          </w:p>
        </w:tc>
        <w:tc>
          <w:tcPr>
            <w:tcW w:w="0" w:type="auto"/>
            <w:hideMark/>
          </w:tcPr>
          <w:p w14:paraId="6E9B7B45"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lastRenderedPageBreak/>
              <w:t>Strong theoretical contribution.</w:t>
            </w:r>
          </w:p>
        </w:tc>
        <w:tc>
          <w:tcPr>
            <w:tcW w:w="0" w:type="auto"/>
            <w:hideMark/>
          </w:tcPr>
          <w:p w14:paraId="5DD4F136"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Limited mental health focus.</w:t>
            </w:r>
          </w:p>
        </w:tc>
        <w:tc>
          <w:tcPr>
            <w:tcW w:w="897" w:type="dxa"/>
            <w:hideMark/>
          </w:tcPr>
          <w:p w14:paraId="4D369B3A"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Moderate–High</w:t>
            </w:r>
          </w:p>
        </w:tc>
      </w:tr>
      <w:tr w:rsidR="00516662" w:rsidRPr="005A3125" w14:paraId="4783BA2F" w14:textId="77777777" w:rsidTr="00516662">
        <w:tc>
          <w:tcPr>
            <w:tcW w:w="0" w:type="auto"/>
            <w:hideMark/>
          </w:tcPr>
          <w:p w14:paraId="3CE40DC1"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Arday (2018)</w:t>
            </w:r>
          </w:p>
        </w:tc>
        <w:tc>
          <w:tcPr>
            <w:tcW w:w="1223" w:type="dxa"/>
            <w:hideMark/>
          </w:tcPr>
          <w:p w14:paraId="13F069C0"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UK</w:t>
            </w:r>
          </w:p>
        </w:tc>
        <w:tc>
          <w:tcPr>
            <w:tcW w:w="753" w:type="dxa"/>
            <w:hideMark/>
          </w:tcPr>
          <w:p w14:paraId="0915ACEA"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Qualitative Study</w:t>
            </w:r>
          </w:p>
        </w:tc>
        <w:tc>
          <w:tcPr>
            <w:tcW w:w="0" w:type="auto"/>
            <w:hideMark/>
          </w:tcPr>
          <w:p w14:paraId="1F974F66"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University students</w:t>
            </w:r>
          </w:p>
        </w:tc>
        <w:tc>
          <w:tcPr>
            <w:tcW w:w="0" w:type="auto"/>
            <w:hideMark/>
          </w:tcPr>
          <w:p w14:paraId="0ACDACFD"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Stereotype threat contributes to stress, anxiety, and reduced wellbeing.</w:t>
            </w:r>
          </w:p>
        </w:tc>
        <w:tc>
          <w:tcPr>
            <w:tcW w:w="0" w:type="auto"/>
            <w:hideMark/>
          </w:tcPr>
          <w:p w14:paraId="0F720A7A"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Detailed lived experiences.</w:t>
            </w:r>
          </w:p>
        </w:tc>
        <w:tc>
          <w:tcPr>
            <w:tcW w:w="0" w:type="auto"/>
            <w:hideMark/>
          </w:tcPr>
          <w:p w14:paraId="2508B660"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Small sample.</w:t>
            </w:r>
          </w:p>
        </w:tc>
        <w:tc>
          <w:tcPr>
            <w:tcW w:w="897" w:type="dxa"/>
            <w:hideMark/>
          </w:tcPr>
          <w:p w14:paraId="5A49425C"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Moderate</w:t>
            </w:r>
          </w:p>
        </w:tc>
      </w:tr>
      <w:tr w:rsidR="00516662" w:rsidRPr="005A3125" w14:paraId="6F4D35E6" w14:textId="77777777" w:rsidTr="00516662">
        <w:tc>
          <w:tcPr>
            <w:tcW w:w="0" w:type="auto"/>
            <w:hideMark/>
          </w:tcPr>
          <w:p w14:paraId="238A7318"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Song (2017)</w:t>
            </w:r>
          </w:p>
        </w:tc>
        <w:tc>
          <w:tcPr>
            <w:tcW w:w="1223" w:type="dxa"/>
            <w:hideMark/>
          </w:tcPr>
          <w:p w14:paraId="116E2747"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UK</w:t>
            </w:r>
          </w:p>
        </w:tc>
        <w:tc>
          <w:tcPr>
            <w:tcW w:w="753" w:type="dxa"/>
            <w:hideMark/>
          </w:tcPr>
          <w:p w14:paraId="49E5942D"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Qualitative Study</w:t>
            </w:r>
          </w:p>
        </w:tc>
        <w:tc>
          <w:tcPr>
            <w:tcW w:w="0" w:type="auto"/>
            <w:hideMark/>
          </w:tcPr>
          <w:p w14:paraId="077263D5"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Mixed-race participants</w:t>
            </w:r>
          </w:p>
        </w:tc>
        <w:tc>
          <w:tcPr>
            <w:tcW w:w="0" w:type="auto"/>
            <w:hideMark/>
          </w:tcPr>
          <w:p w14:paraId="4A6CA1EB"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Identity negotiation affects belonging and psychological wellbeing.</w:t>
            </w:r>
          </w:p>
        </w:tc>
        <w:tc>
          <w:tcPr>
            <w:tcW w:w="0" w:type="auto"/>
            <w:hideMark/>
          </w:tcPr>
          <w:p w14:paraId="448C8F69"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Detailed identity analysis.</w:t>
            </w:r>
          </w:p>
        </w:tc>
        <w:tc>
          <w:tcPr>
            <w:tcW w:w="0" w:type="auto"/>
            <w:hideMark/>
          </w:tcPr>
          <w:p w14:paraId="5F667D38"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Limited generalisability.</w:t>
            </w:r>
          </w:p>
        </w:tc>
        <w:tc>
          <w:tcPr>
            <w:tcW w:w="897" w:type="dxa"/>
            <w:hideMark/>
          </w:tcPr>
          <w:p w14:paraId="79DEB185"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Moderate</w:t>
            </w:r>
          </w:p>
        </w:tc>
      </w:tr>
      <w:tr w:rsidR="00516662" w:rsidRPr="005A3125" w14:paraId="04D2F86A" w14:textId="77777777" w:rsidTr="00516662">
        <w:tc>
          <w:tcPr>
            <w:tcW w:w="0" w:type="auto"/>
            <w:hideMark/>
          </w:tcPr>
          <w:p w14:paraId="001998B1"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Khanna (2011)</w:t>
            </w:r>
          </w:p>
        </w:tc>
        <w:tc>
          <w:tcPr>
            <w:tcW w:w="1223" w:type="dxa"/>
            <w:hideMark/>
          </w:tcPr>
          <w:p w14:paraId="71037392"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USA</w:t>
            </w:r>
          </w:p>
        </w:tc>
        <w:tc>
          <w:tcPr>
            <w:tcW w:w="753" w:type="dxa"/>
            <w:hideMark/>
          </w:tcPr>
          <w:p w14:paraId="2C75ADDD"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Qualitative Study</w:t>
            </w:r>
          </w:p>
        </w:tc>
        <w:tc>
          <w:tcPr>
            <w:tcW w:w="0" w:type="auto"/>
            <w:hideMark/>
          </w:tcPr>
          <w:p w14:paraId="399BC849"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Mixed-race adults</w:t>
            </w:r>
          </w:p>
        </w:tc>
        <w:tc>
          <w:tcPr>
            <w:tcW w:w="0" w:type="auto"/>
            <w:hideMark/>
          </w:tcPr>
          <w:p w14:paraId="285F598F"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Identity ambiguity contributes to emotional challenges.</w:t>
            </w:r>
          </w:p>
        </w:tc>
        <w:tc>
          <w:tcPr>
            <w:tcW w:w="0" w:type="auto"/>
            <w:hideMark/>
          </w:tcPr>
          <w:p w14:paraId="6CFB8FE6"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In-depth exploration of identity formation.</w:t>
            </w:r>
          </w:p>
        </w:tc>
        <w:tc>
          <w:tcPr>
            <w:tcW w:w="0" w:type="auto"/>
            <w:hideMark/>
          </w:tcPr>
          <w:p w14:paraId="09CC594D"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Non-UK context.</w:t>
            </w:r>
          </w:p>
        </w:tc>
        <w:tc>
          <w:tcPr>
            <w:tcW w:w="897" w:type="dxa"/>
            <w:hideMark/>
          </w:tcPr>
          <w:p w14:paraId="7F8AA46D"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Moderate</w:t>
            </w:r>
          </w:p>
        </w:tc>
      </w:tr>
      <w:tr w:rsidR="00516662" w:rsidRPr="005A3125" w14:paraId="4FA1C213" w14:textId="77777777" w:rsidTr="00516662">
        <w:tc>
          <w:tcPr>
            <w:tcW w:w="0" w:type="auto"/>
            <w:hideMark/>
          </w:tcPr>
          <w:p w14:paraId="2C90B614"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Sims and Njaka (2020)</w:t>
            </w:r>
          </w:p>
        </w:tc>
        <w:tc>
          <w:tcPr>
            <w:tcW w:w="1223" w:type="dxa"/>
            <w:hideMark/>
          </w:tcPr>
          <w:p w14:paraId="46A5E040"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UK</w:t>
            </w:r>
          </w:p>
        </w:tc>
        <w:tc>
          <w:tcPr>
            <w:tcW w:w="753" w:type="dxa"/>
            <w:hideMark/>
          </w:tcPr>
          <w:p w14:paraId="6498DFEC"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Qualitative Study</w:t>
            </w:r>
          </w:p>
        </w:tc>
        <w:tc>
          <w:tcPr>
            <w:tcW w:w="0" w:type="auto"/>
            <w:hideMark/>
          </w:tcPr>
          <w:p w14:paraId="57D3576B"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Mixed African youth</w:t>
            </w:r>
          </w:p>
        </w:tc>
        <w:tc>
          <w:tcPr>
            <w:tcW w:w="0" w:type="auto"/>
            <w:hideMark/>
          </w:tcPr>
          <w:p w14:paraId="61CD9948"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Belonging uncertainty contributes to emotional distress and anxiety.</w:t>
            </w:r>
          </w:p>
        </w:tc>
        <w:tc>
          <w:tcPr>
            <w:tcW w:w="0" w:type="auto"/>
            <w:hideMark/>
          </w:tcPr>
          <w:p w14:paraId="277E5133"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Focus on Mixed African experiences.</w:t>
            </w:r>
          </w:p>
        </w:tc>
        <w:tc>
          <w:tcPr>
            <w:tcW w:w="0" w:type="auto"/>
            <w:hideMark/>
          </w:tcPr>
          <w:p w14:paraId="33FDD68A"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Small sample size.</w:t>
            </w:r>
          </w:p>
        </w:tc>
        <w:tc>
          <w:tcPr>
            <w:tcW w:w="897" w:type="dxa"/>
            <w:hideMark/>
          </w:tcPr>
          <w:p w14:paraId="2C1C2AC6"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Moderate</w:t>
            </w:r>
          </w:p>
        </w:tc>
      </w:tr>
      <w:tr w:rsidR="00516662" w:rsidRPr="005A3125" w14:paraId="3FB023D0" w14:textId="77777777" w:rsidTr="00516662">
        <w:tc>
          <w:tcPr>
            <w:tcW w:w="0" w:type="auto"/>
            <w:hideMark/>
          </w:tcPr>
          <w:p w14:paraId="0B9F2C12" w14:textId="77777777" w:rsidR="00516662" w:rsidRPr="005A3125" w:rsidRDefault="00516662" w:rsidP="00516662">
            <w:pPr>
              <w:spacing w:line="360" w:lineRule="auto"/>
              <w:rPr>
                <w:rFonts w:asciiTheme="minorBidi" w:eastAsia="Times New Roman" w:hAnsiTheme="minorBidi"/>
                <w:lang w:val="en-IN" w:eastAsia="en-IN"/>
              </w:rPr>
            </w:pPr>
            <w:proofErr w:type="spellStart"/>
            <w:r w:rsidRPr="005A3125">
              <w:rPr>
                <w:rFonts w:asciiTheme="minorBidi" w:eastAsia="Times New Roman" w:hAnsiTheme="minorBidi"/>
                <w:lang w:val="en-IN" w:eastAsia="en-IN"/>
              </w:rPr>
              <w:lastRenderedPageBreak/>
              <w:t>Bhui</w:t>
            </w:r>
            <w:proofErr w:type="spellEnd"/>
            <w:r w:rsidRPr="005A3125">
              <w:rPr>
                <w:rFonts w:asciiTheme="minorBidi" w:eastAsia="Times New Roman" w:hAnsiTheme="minorBidi"/>
                <w:lang w:val="en-IN" w:eastAsia="en-IN"/>
              </w:rPr>
              <w:t xml:space="preserve"> et al. (2018)</w:t>
            </w:r>
          </w:p>
        </w:tc>
        <w:tc>
          <w:tcPr>
            <w:tcW w:w="1223" w:type="dxa"/>
            <w:hideMark/>
          </w:tcPr>
          <w:p w14:paraId="746A67DB"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UK</w:t>
            </w:r>
          </w:p>
        </w:tc>
        <w:tc>
          <w:tcPr>
            <w:tcW w:w="753" w:type="dxa"/>
            <w:hideMark/>
          </w:tcPr>
          <w:p w14:paraId="311F3B0A"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Mixed Methods</w:t>
            </w:r>
          </w:p>
        </w:tc>
        <w:tc>
          <w:tcPr>
            <w:tcW w:w="0" w:type="auto"/>
            <w:hideMark/>
          </w:tcPr>
          <w:p w14:paraId="1628B97D"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Mental health service users</w:t>
            </w:r>
          </w:p>
        </w:tc>
        <w:tc>
          <w:tcPr>
            <w:tcW w:w="0" w:type="auto"/>
            <w:hideMark/>
          </w:tcPr>
          <w:p w14:paraId="3360B57F"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Cultural competence improves engagement with mental healthcare services.</w:t>
            </w:r>
          </w:p>
        </w:tc>
        <w:tc>
          <w:tcPr>
            <w:tcW w:w="0" w:type="auto"/>
            <w:hideMark/>
          </w:tcPr>
          <w:p w14:paraId="201F8EBF"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Multiple perspectives included.</w:t>
            </w:r>
          </w:p>
        </w:tc>
        <w:tc>
          <w:tcPr>
            <w:tcW w:w="0" w:type="auto"/>
            <w:hideMark/>
          </w:tcPr>
          <w:p w14:paraId="75B40568"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Limited youth-specific analysis.</w:t>
            </w:r>
          </w:p>
        </w:tc>
        <w:tc>
          <w:tcPr>
            <w:tcW w:w="897" w:type="dxa"/>
            <w:hideMark/>
          </w:tcPr>
          <w:p w14:paraId="164066B0"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Moderate–High</w:t>
            </w:r>
          </w:p>
        </w:tc>
      </w:tr>
      <w:tr w:rsidR="00516662" w:rsidRPr="005A3125" w14:paraId="6F7D24B8" w14:textId="77777777" w:rsidTr="00516662">
        <w:tc>
          <w:tcPr>
            <w:tcW w:w="0" w:type="auto"/>
            <w:hideMark/>
          </w:tcPr>
          <w:p w14:paraId="635AAD0A"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Barnett et al. (2019)</w:t>
            </w:r>
          </w:p>
        </w:tc>
        <w:tc>
          <w:tcPr>
            <w:tcW w:w="1223" w:type="dxa"/>
            <w:hideMark/>
          </w:tcPr>
          <w:p w14:paraId="28AD479A"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England</w:t>
            </w:r>
          </w:p>
        </w:tc>
        <w:tc>
          <w:tcPr>
            <w:tcW w:w="753" w:type="dxa"/>
            <w:hideMark/>
          </w:tcPr>
          <w:p w14:paraId="1AA0B929"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Quantitative Study</w:t>
            </w:r>
          </w:p>
        </w:tc>
        <w:tc>
          <w:tcPr>
            <w:tcW w:w="0" w:type="auto"/>
            <w:hideMark/>
          </w:tcPr>
          <w:p w14:paraId="22EC280C"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National dataset</w:t>
            </w:r>
          </w:p>
        </w:tc>
        <w:tc>
          <w:tcPr>
            <w:tcW w:w="0" w:type="auto"/>
            <w:hideMark/>
          </w:tcPr>
          <w:p w14:paraId="58C91924"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Black populations more likely to experience detention under the Mental Health Act.</w:t>
            </w:r>
          </w:p>
        </w:tc>
        <w:tc>
          <w:tcPr>
            <w:tcW w:w="0" w:type="auto"/>
            <w:hideMark/>
          </w:tcPr>
          <w:p w14:paraId="35D6708A"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Robust statistical evidence.</w:t>
            </w:r>
          </w:p>
        </w:tc>
        <w:tc>
          <w:tcPr>
            <w:tcW w:w="0" w:type="auto"/>
            <w:hideMark/>
          </w:tcPr>
          <w:p w14:paraId="7EA83EA3"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Limited qualitative context.</w:t>
            </w:r>
          </w:p>
        </w:tc>
        <w:tc>
          <w:tcPr>
            <w:tcW w:w="897" w:type="dxa"/>
            <w:hideMark/>
          </w:tcPr>
          <w:p w14:paraId="1777F19F"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High</w:t>
            </w:r>
          </w:p>
        </w:tc>
      </w:tr>
      <w:tr w:rsidR="00516662" w:rsidRPr="005A3125" w14:paraId="58DDEAC9" w14:textId="77777777" w:rsidTr="00516662">
        <w:tc>
          <w:tcPr>
            <w:tcW w:w="0" w:type="auto"/>
            <w:hideMark/>
          </w:tcPr>
          <w:p w14:paraId="2EF69D62"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Morgan et al. (2020)</w:t>
            </w:r>
          </w:p>
        </w:tc>
        <w:tc>
          <w:tcPr>
            <w:tcW w:w="1223" w:type="dxa"/>
            <w:hideMark/>
          </w:tcPr>
          <w:p w14:paraId="460079DD"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UK</w:t>
            </w:r>
          </w:p>
        </w:tc>
        <w:tc>
          <w:tcPr>
            <w:tcW w:w="753" w:type="dxa"/>
            <w:hideMark/>
          </w:tcPr>
          <w:p w14:paraId="1B4FF525"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Review</w:t>
            </w:r>
          </w:p>
        </w:tc>
        <w:tc>
          <w:tcPr>
            <w:tcW w:w="0" w:type="auto"/>
            <w:hideMark/>
          </w:tcPr>
          <w:p w14:paraId="657C4875"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National evidence</w:t>
            </w:r>
          </w:p>
        </w:tc>
        <w:tc>
          <w:tcPr>
            <w:tcW w:w="0" w:type="auto"/>
            <w:hideMark/>
          </w:tcPr>
          <w:p w14:paraId="6BF49D4C"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Black populations more likely to access care through crisis pathways.</w:t>
            </w:r>
          </w:p>
        </w:tc>
        <w:tc>
          <w:tcPr>
            <w:tcW w:w="0" w:type="auto"/>
            <w:hideMark/>
          </w:tcPr>
          <w:p w14:paraId="224362EC"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Strong policy relevance.</w:t>
            </w:r>
          </w:p>
        </w:tc>
        <w:tc>
          <w:tcPr>
            <w:tcW w:w="0" w:type="auto"/>
            <w:hideMark/>
          </w:tcPr>
          <w:p w14:paraId="0E36CA62"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Secondary evidence.</w:t>
            </w:r>
          </w:p>
        </w:tc>
        <w:tc>
          <w:tcPr>
            <w:tcW w:w="897" w:type="dxa"/>
            <w:hideMark/>
          </w:tcPr>
          <w:p w14:paraId="66FED27D"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High</w:t>
            </w:r>
          </w:p>
        </w:tc>
      </w:tr>
      <w:tr w:rsidR="00516662" w:rsidRPr="005A3125" w14:paraId="28FB5824" w14:textId="77777777" w:rsidTr="00516662">
        <w:tc>
          <w:tcPr>
            <w:tcW w:w="0" w:type="auto"/>
            <w:hideMark/>
          </w:tcPr>
          <w:p w14:paraId="54851801" w14:textId="77777777" w:rsidR="00516662" w:rsidRPr="005A3125" w:rsidRDefault="00516662" w:rsidP="00516662">
            <w:pPr>
              <w:spacing w:line="360" w:lineRule="auto"/>
              <w:rPr>
                <w:rFonts w:asciiTheme="minorBidi" w:eastAsia="Times New Roman" w:hAnsiTheme="minorBidi"/>
                <w:lang w:val="en-IN" w:eastAsia="en-IN"/>
              </w:rPr>
            </w:pPr>
            <w:proofErr w:type="spellStart"/>
            <w:r w:rsidRPr="005A3125">
              <w:rPr>
                <w:rFonts w:asciiTheme="minorBidi" w:eastAsia="Times New Roman" w:hAnsiTheme="minorBidi"/>
                <w:lang w:val="en-IN" w:eastAsia="en-IN"/>
              </w:rPr>
              <w:t>Nazroo</w:t>
            </w:r>
            <w:proofErr w:type="spellEnd"/>
            <w:r w:rsidRPr="005A3125">
              <w:rPr>
                <w:rFonts w:asciiTheme="minorBidi" w:eastAsia="Times New Roman" w:hAnsiTheme="minorBidi"/>
                <w:lang w:val="en-IN" w:eastAsia="en-IN"/>
              </w:rPr>
              <w:t xml:space="preserve"> (2021)</w:t>
            </w:r>
          </w:p>
        </w:tc>
        <w:tc>
          <w:tcPr>
            <w:tcW w:w="1223" w:type="dxa"/>
            <w:hideMark/>
          </w:tcPr>
          <w:p w14:paraId="10F6C94A"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UK</w:t>
            </w:r>
          </w:p>
        </w:tc>
        <w:tc>
          <w:tcPr>
            <w:tcW w:w="753" w:type="dxa"/>
            <w:hideMark/>
          </w:tcPr>
          <w:p w14:paraId="6694D713"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Review</w:t>
            </w:r>
          </w:p>
        </w:tc>
        <w:tc>
          <w:tcPr>
            <w:tcW w:w="0" w:type="auto"/>
            <w:hideMark/>
          </w:tcPr>
          <w:p w14:paraId="770BE0C5"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National evidence</w:t>
            </w:r>
          </w:p>
        </w:tc>
        <w:tc>
          <w:tcPr>
            <w:tcW w:w="0" w:type="auto"/>
            <w:hideMark/>
          </w:tcPr>
          <w:p w14:paraId="1DBAE2D9"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 xml:space="preserve">Structural racism contributes to health and </w:t>
            </w:r>
            <w:r w:rsidRPr="005A3125">
              <w:rPr>
                <w:rFonts w:asciiTheme="minorBidi" w:eastAsia="Times New Roman" w:hAnsiTheme="minorBidi"/>
                <w:lang w:val="en-IN" w:eastAsia="en-IN"/>
              </w:rPr>
              <w:lastRenderedPageBreak/>
              <w:t>mental health inequalities.</w:t>
            </w:r>
          </w:p>
        </w:tc>
        <w:tc>
          <w:tcPr>
            <w:tcW w:w="0" w:type="auto"/>
            <w:hideMark/>
          </w:tcPr>
          <w:p w14:paraId="259D6D49"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lastRenderedPageBreak/>
              <w:t>Strong theoretical and policy contribution.</w:t>
            </w:r>
          </w:p>
        </w:tc>
        <w:tc>
          <w:tcPr>
            <w:tcW w:w="0" w:type="auto"/>
            <w:hideMark/>
          </w:tcPr>
          <w:p w14:paraId="237643D1"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Review-based evidence.</w:t>
            </w:r>
          </w:p>
        </w:tc>
        <w:tc>
          <w:tcPr>
            <w:tcW w:w="897" w:type="dxa"/>
            <w:hideMark/>
          </w:tcPr>
          <w:p w14:paraId="0B14688B"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High</w:t>
            </w:r>
          </w:p>
        </w:tc>
      </w:tr>
      <w:tr w:rsidR="00516662" w:rsidRPr="005A3125" w14:paraId="08594915" w14:textId="77777777" w:rsidTr="00516662">
        <w:tc>
          <w:tcPr>
            <w:tcW w:w="0" w:type="auto"/>
            <w:hideMark/>
          </w:tcPr>
          <w:p w14:paraId="4D712708"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Edge and Grey (2018)</w:t>
            </w:r>
          </w:p>
        </w:tc>
        <w:tc>
          <w:tcPr>
            <w:tcW w:w="1223" w:type="dxa"/>
            <w:hideMark/>
          </w:tcPr>
          <w:p w14:paraId="08F34277"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UK</w:t>
            </w:r>
          </w:p>
        </w:tc>
        <w:tc>
          <w:tcPr>
            <w:tcW w:w="753" w:type="dxa"/>
            <w:hideMark/>
          </w:tcPr>
          <w:p w14:paraId="77497990"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Qualitative Study</w:t>
            </w:r>
          </w:p>
        </w:tc>
        <w:tc>
          <w:tcPr>
            <w:tcW w:w="0" w:type="auto"/>
            <w:hideMark/>
          </w:tcPr>
          <w:p w14:paraId="58C97B34"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Community participants</w:t>
            </w:r>
          </w:p>
        </w:tc>
        <w:tc>
          <w:tcPr>
            <w:tcW w:w="0" w:type="auto"/>
            <w:hideMark/>
          </w:tcPr>
          <w:p w14:paraId="44885754"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Community support and culturally responsive services promote resilience.</w:t>
            </w:r>
          </w:p>
        </w:tc>
        <w:tc>
          <w:tcPr>
            <w:tcW w:w="0" w:type="auto"/>
            <w:hideMark/>
          </w:tcPr>
          <w:p w14:paraId="3D8AF866"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Valuable community perspectives.</w:t>
            </w:r>
          </w:p>
        </w:tc>
        <w:tc>
          <w:tcPr>
            <w:tcW w:w="0" w:type="auto"/>
            <w:hideMark/>
          </w:tcPr>
          <w:p w14:paraId="17683474"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Small sample.</w:t>
            </w:r>
          </w:p>
        </w:tc>
        <w:tc>
          <w:tcPr>
            <w:tcW w:w="897" w:type="dxa"/>
            <w:hideMark/>
          </w:tcPr>
          <w:p w14:paraId="13B0FFFD"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Moderate</w:t>
            </w:r>
          </w:p>
        </w:tc>
      </w:tr>
      <w:tr w:rsidR="00516662" w:rsidRPr="005A3125" w14:paraId="1FA80B89" w14:textId="77777777" w:rsidTr="00516662">
        <w:tc>
          <w:tcPr>
            <w:tcW w:w="0" w:type="auto"/>
            <w:hideMark/>
          </w:tcPr>
          <w:p w14:paraId="645558A2" w14:textId="77777777" w:rsidR="00516662" w:rsidRPr="005A3125" w:rsidRDefault="00516662" w:rsidP="00516662">
            <w:pPr>
              <w:spacing w:line="360" w:lineRule="auto"/>
              <w:rPr>
                <w:rFonts w:asciiTheme="minorBidi" w:eastAsia="Times New Roman" w:hAnsiTheme="minorBidi"/>
                <w:lang w:val="en-IN" w:eastAsia="en-IN"/>
              </w:rPr>
            </w:pPr>
            <w:proofErr w:type="spellStart"/>
            <w:r w:rsidRPr="005A3125">
              <w:rPr>
                <w:rFonts w:asciiTheme="minorBidi" w:eastAsia="Times New Roman" w:hAnsiTheme="minorBidi"/>
                <w:lang w:val="en-IN" w:eastAsia="en-IN"/>
              </w:rPr>
              <w:t>Kapilashrami</w:t>
            </w:r>
            <w:proofErr w:type="spellEnd"/>
            <w:r w:rsidRPr="005A3125">
              <w:rPr>
                <w:rFonts w:asciiTheme="minorBidi" w:eastAsia="Times New Roman" w:hAnsiTheme="minorBidi"/>
                <w:lang w:val="en-IN" w:eastAsia="en-IN"/>
              </w:rPr>
              <w:t xml:space="preserve"> and </w:t>
            </w:r>
            <w:proofErr w:type="spellStart"/>
            <w:r w:rsidRPr="005A3125">
              <w:rPr>
                <w:rFonts w:asciiTheme="minorBidi" w:eastAsia="Times New Roman" w:hAnsiTheme="minorBidi"/>
                <w:lang w:val="en-IN" w:eastAsia="en-IN"/>
              </w:rPr>
              <w:t>Hankivsky</w:t>
            </w:r>
            <w:proofErr w:type="spellEnd"/>
            <w:r w:rsidRPr="005A3125">
              <w:rPr>
                <w:rFonts w:asciiTheme="minorBidi" w:eastAsia="Times New Roman" w:hAnsiTheme="minorBidi"/>
                <w:lang w:val="en-IN" w:eastAsia="en-IN"/>
              </w:rPr>
              <w:t xml:space="preserve"> (2018)</w:t>
            </w:r>
          </w:p>
        </w:tc>
        <w:tc>
          <w:tcPr>
            <w:tcW w:w="1223" w:type="dxa"/>
            <w:hideMark/>
          </w:tcPr>
          <w:p w14:paraId="39362CEC"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International</w:t>
            </w:r>
          </w:p>
        </w:tc>
        <w:tc>
          <w:tcPr>
            <w:tcW w:w="753" w:type="dxa"/>
            <w:hideMark/>
          </w:tcPr>
          <w:p w14:paraId="6E662D0D"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Theoretical Review</w:t>
            </w:r>
          </w:p>
        </w:tc>
        <w:tc>
          <w:tcPr>
            <w:tcW w:w="0" w:type="auto"/>
            <w:hideMark/>
          </w:tcPr>
          <w:p w14:paraId="60DB4B53"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Multiple studies</w:t>
            </w:r>
          </w:p>
        </w:tc>
        <w:tc>
          <w:tcPr>
            <w:tcW w:w="0" w:type="auto"/>
            <w:hideMark/>
          </w:tcPr>
          <w:p w14:paraId="57E595E1"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Intersectionality provides a framework for understanding mental health inequalities.</w:t>
            </w:r>
          </w:p>
        </w:tc>
        <w:tc>
          <w:tcPr>
            <w:tcW w:w="0" w:type="auto"/>
            <w:hideMark/>
          </w:tcPr>
          <w:p w14:paraId="1DB3B3B4"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Strong conceptual framework.</w:t>
            </w:r>
          </w:p>
        </w:tc>
        <w:tc>
          <w:tcPr>
            <w:tcW w:w="0" w:type="auto"/>
            <w:hideMark/>
          </w:tcPr>
          <w:p w14:paraId="1201C780"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Limited empirical evidence.</w:t>
            </w:r>
          </w:p>
        </w:tc>
        <w:tc>
          <w:tcPr>
            <w:tcW w:w="897" w:type="dxa"/>
            <w:hideMark/>
          </w:tcPr>
          <w:p w14:paraId="694F3B6F" w14:textId="77777777" w:rsidR="00516662" w:rsidRPr="005A3125" w:rsidRDefault="00516662" w:rsidP="00516662">
            <w:pPr>
              <w:spacing w:line="360" w:lineRule="auto"/>
              <w:rPr>
                <w:rFonts w:asciiTheme="minorBidi" w:eastAsia="Times New Roman" w:hAnsiTheme="minorBidi"/>
                <w:lang w:val="en-IN" w:eastAsia="en-IN"/>
              </w:rPr>
            </w:pPr>
            <w:r w:rsidRPr="005A3125">
              <w:rPr>
                <w:rFonts w:asciiTheme="minorBidi" w:eastAsia="Times New Roman" w:hAnsiTheme="minorBidi"/>
                <w:lang w:val="en-IN" w:eastAsia="en-IN"/>
              </w:rPr>
              <w:t>High</w:t>
            </w:r>
          </w:p>
        </w:tc>
      </w:tr>
    </w:tbl>
    <w:p w14:paraId="4662B95B" w14:textId="77777777" w:rsidR="00516662" w:rsidRPr="005A3125" w:rsidRDefault="00516662" w:rsidP="001D1D37">
      <w:pPr>
        <w:spacing w:before="100" w:beforeAutospacing="1" w:after="100" w:afterAutospacing="1" w:line="360" w:lineRule="auto"/>
        <w:rPr>
          <w:rFonts w:asciiTheme="minorBidi" w:eastAsia="Times New Roman" w:hAnsiTheme="minorBidi"/>
          <w:lang w:eastAsia="en-IN"/>
        </w:rPr>
      </w:pPr>
    </w:p>
    <w:sectPr w:rsidR="00516662" w:rsidRPr="005A3125" w:rsidSect="00F7313E">
      <w:headerReference w:type="even" r:id="rId122"/>
      <w:headerReference w:type="default" r:id="rId123"/>
      <w:footerReference w:type="even" r:id="rId124"/>
      <w:footerReference w:type="default" r:id="rId125"/>
      <w:headerReference w:type="first" r:id="rId126"/>
      <w:footerReference w:type="first" r:id="rId127"/>
      <w:pgSz w:w="11906" w:h="16838"/>
      <w:pgMar w:top="1440" w:right="1440" w:bottom="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C316AC" w14:textId="77777777" w:rsidR="00E715E0" w:rsidRDefault="00E715E0">
      <w:pPr>
        <w:spacing w:after="0" w:line="240" w:lineRule="auto"/>
      </w:pPr>
      <w:r>
        <w:separator/>
      </w:r>
    </w:p>
  </w:endnote>
  <w:endnote w:type="continuationSeparator" w:id="0">
    <w:p w14:paraId="7B352B63" w14:textId="77777777" w:rsidR="00E715E0" w:rsidRDefault="00E715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0002AFF" w:usb1="C0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E9AA3E" w14:textId="77777777" w:rsidR="000609E9" w:rsidRDefault="000609E9">
    <w:pPr>
      <w:spacing w:after="0"/>
      <w:ind w:right="-3"/>
      <w:jc w:val="right"/>
    </w:pP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7C34BA27" w14:textId="77777777" w:rsidR="000609E9" w:rsidRDefault="000609E9">
    <w:pPr>
      <w:tabs>
        <w:tab w:val="center" w:pos="4405"/>
      </w:tabs>
      <w:spacing w:after="0"/>
    </w:pPr>
    <w:r>
      <w:rPr>
        <w:rFonts w:ascii="Calibri" w:eastAsia="Calibri" w:hAnsi="Calibri" w:cs="Calibri"/>
      </w:rPr>
      <w:t xml:space="preserve">[Your Name] </w:t>
    </w:r>
    <w:r>
      <w:rPr>
        <w:rFonts w:ascii="Calibri" w:eastAsia="Calibri" w:hAnsi="Calibri" w:cs="Calibri"/>
      </w:rPr>
      <w:tab/>
      <w:t xml:space="preserve">Dissertation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8B207A" w14:textId="205C96B1" w:rsidR="000609E9" w:rsidRDefault="000609E9">
    <w:pPr>
      <w:spacing w:after="0"/>
      <w:ind w:right="-3"/>
      <w:jc w:val="right"/>
    </w:pPr>
    <w:r>
      <w:fldChar w:fldCharType="begin"/>
    </w:r>
    <w:r>
      <w:instrText xml:space="preserve"> PAGE   \* MERGEFORMAT </w:instrText>
    </w:r>
    <w:r>
      <w:fldChar w:fldCharType="separate"/>
    </w:r>
    <w:r w:rsidR="00492A89" w:rsidRPr="00492A89">
      <w:rPr>
        <w:rFonts w:ascii="Calibri" w:eastAsia="Calibri" w:hAnsi="Calibri" w:cs="Calibri"/>
        <w:noProof/>
      </w:rPr>
      <w:t>64</w:t>
    </w:r>
    <w:r>
      <w:rPr>
        <w:rFonts w:ascii="Calibri" w:eastAsia="Calibri" w:hAnsi="Calibri" w:cs="Calibri"/>
      </w:rPr>
      <w:fldChar w:fldCharType="end"/>
    </w:r>
    <w:r>
      <w:rPr>
        <w:rFonts w:ascii="Calibri" w:eastAsia="Calibri" w:hAnsi="Calibri" w:cs="Calibri"/>
      </w:rPr>
      <w:t xml:space="preserve"> </w:t>
    </w:r>
  </w:p>
  <w:p w14:paraId="3B69E3F4" w14:textId="00862648" w:rsidR="000609E9" w:rsidRDefault="000609E9">
    <w:pPr>
      <w:tabs>
        <w:tab w:val="center" w:pos="4405"/>
      </w:tabs>
      <w:spacing w:after="0"/>
    </w:pPr>
    <w:r>
      <w:rPr>
        <w:rFonts w:ascii="Arial" w:hAnsi="Arial" w:cs="Arial"/>
      </w:rPr>
      <w:t>Iqdad Mahamud Ali</w:t>
    </w:r>
    <w:r>
      <w:rPr>
        <w:rFonts w:ascii="Calibri" w:eastAsia="Calibri" w:hAnsi="Calibri" w:cs="Calibri"/>
      </w:rPr>
      <w:tab/>
      <w:t xml:space="preserve">Dissertation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DF907E" w14:textId="77777777" w:rsidR="000609E9" w:rsidRDefault="000609E9">
    <w:pPr>
      <w:spacing w:after="0"/>
      <w:ind w:right="-3"/>
      <w:jc w:val="right"/>
    </w:pP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3EB72DA1" w14:textId="77777777" w:rsidR="000609E9" w:rsidRDefault="000609E9">
    <w:pPr>
      <w:tabs>
        <w:tab w:val="center" w:pos="4405"/>
      </w:tabs>
      <w:spacing w:after="0"/>
    </w:pPr>
    <w:r>
      <w:rPr>
        <w:rFonts w:ascii="Calibri" w:eastAsia="Calibri" w:hAnsi="Calibri" w:cs="Calibri"/>
      </w:rPr>
      <w:t xml:space="preserve">[Your Name] </w:t>
    </w:r>
    <w:r>
      <w:rPr>
        <w:rFonts w:ascii="Calibri" w:eastAsia="Calibri" w:hAnsi="Calibri" w:cs="Calibri"/>
      </w:rPr>
      <w:tab/>
      <w:t xml:space="preserve">Dissertation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377A63" w14:textId="77777777" w:rsidR="00E715E0" w:rsidRDefault="00E715E0">
      <w:pPr>
        <w:spacing w:after="0" w:line="240" w:lineRule="auto"/>
      </w:pPr>
      <w:r>
        <w:separator/>
      </w:r>
    </w:p>
  </w:footnote>
  <w:footnote w:type="continuationSeparator" w:id="0">
    <w:p w14:paraId="15D4E200" w14:textId="77777777" w:rsidR="00E715E0" w:rsidRDefault="00E715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13A546" w14:textId="77777777" w:rsidR="000609E9" w:rsidRDefault="000609E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74D660" w14:textId="77777777" w:rsidR="000609E9" w:rsidRDefault="000609E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5C61F2" w14:textId="77777777" w:rsidR="000609E9" w:rsidRDefault="000609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C01BC"/>
    <w:multiLevelType w:val="hybridMultilevel"/>
    <w:tmpl w:val="67186FC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28E34BB"/>
    <w:multiLevelType w:val="hybridMultilevel"/>
    <w:tmpl w:val="CD98FD5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03E22369"/>
    <w:multiLevelType w:val="hybridMultilevel"/>
    <w:tmpl w:val="77F69CC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046E1B99"/>
    <w:multiLevelType w:val="hybridMultilevel"/>
    <w:tmpl w:val="035A04E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A7B3027"/>
    <w:multiLevelType w:val="hybridMultilevel"/>
    <w:tmpl w:val="F9F6D37E"/>
    <w:lvl w:ilvl="0" w:tplc="59AA3948">
      <w:start w:val="1"/>
      <w:numFmt w:val="bullet"/>
      <w:lvlText w:val="•"/>
      <w:lvlJc w:val="left"/>
      <w:pPr>
        <w:ind w:left="1080" w:hanging="720"/>
      </w:pPr>
      <w:rPr>
        <w:rFonts w:ascii="Arial" w:eastAsia="Arial" w:hAnsi="Arial" w:cs="Arial" w:hint="default"/>
        <w:b w:val="0"/>
        <w:i w:val="0"/>
        <w:strike w:val="0"/>
        <w:dstrike w:val="0"/>
        <w:color w:val="000000"/>
        <w:sz w:val="24"/>
        <w:szCs w:val="24"/>
        <w:u w:val="none" w:color="000000"/>
        <w:bdr w:val="none" w:sz="0" w:space="0" w:color="auto"/>
        <w:shd w:val="clear" w:color="auto" w:fill="auto"/>
        <w:vertAlign w:val="baseline"/>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1286534E"/>
    <w:multiLevelType w:val="hybridMultilevel"/>
    <w:tmpl w:val="48241C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9E644BF"/>
    <w:multiLevelType w:val="hybridMultilevel"/>
    <w:tmpl w:val="0826E9EE"/>
    <w:lvl w:ilvl="0" w:tplc="40090001">
      <w:start w:val="1"/>
      <w:numFmt w:val="bullet"/>
      <w:lvlText w:val=""/>
      <w:lvlJc w:val="left"/>
      <w:pPr>
        <w:ind w:left="1425" w:hanging="360"/>
      </w:pPr>
      <w:rPr>
        <w:rFonts w:ascii="Symbol" w:hAnsi="Symbol" w:hint="default"/>
      </w:rPr>
    </w:lvl>
    <w:lvl w:ilvl="1" w:tplc="40090003" w:tentative="1">
      <w:start w:val="1"/>
      <w:numFmt w:val="bullet"/>
      <w:lvlText w:val="o"/>
      <w:lvlJc w:val="left"/>
      <w:pPr>
        <w:ind w:left="2145" w:hanging="360"/>
      </w:pPr>
      <w:rPr>
        <w:rFonts w:ascii="Courier New" w:hAnsi="Courier New" w:cs="Courier New" w:hint="default"/>
      </w:rPr>
    </w:lvl>
    <w:lvl w:ilvl="2" w:tplc="40090005" w:tentative="1">
      <w:start w:val="1"/>
      <w:numFmt w:val="bullet"/>
      <w:lvlText w:val=""/>
      <w:lvlJc w:val="left"/>
      <w:pPr>
        <w:ind w:left="2865" w:hanging="360"/>
      </w:pPr>
      <w:rPr>
        <w:rFonts w:ascii="Wingdings" w:hAnsi="Wingdings" w:hint="default"/>
      </w:rPr>
    </w:lvl>
    <w:lvl w:ilvl="3" w:tplc="40090001" w:tentative="1">
      <w:start w:val="1"/>
      <w:numFmt w:val="bullet"/>
      <w:lvlText w:val=""/>
      <w:lvlJc w:val="left"/>
      <w:pPr>
        <w:ind w:left="3585" w:hanging="360"/>
      </w:pPr>
      <w:rPr>
        <w:rFonts w:ascii="Symbol" w:hAnsi="Symbol" w:hint="default"/>
      </w:rPr>
    </w:lvl>
    <w:lvl w:ilvl="4" w:tplc="40090003" w:tentative="1">
      <w:start w:val="1"/>
      <w:numFmt w:val="bullet"/>
      <w:lvlText w:val="o"/>
      <w:lvlJc w:val="left"/>
      <w:pPr>
        <w:ind w:left="4305" w:hanging="360"/>
      </w:pPr>
      <w:rPr>
        <w:rFonts w:ascii="Courier New" w:hAnsi="Courier New" w:cs="Courier New" w:hint="default"/>
      </w:rPr>
    </w:lvl>
    <w:lvl w:ilvl="5" w:tplc="40090005" w:tentative="1">
      <w:start w:val="1"/>
      <w:numFmt w:val="bullet"/>
      <w:lvlText w:val=""/>
      <w:lvlJc w:val="left"/>
      <w:pPr>
        <w:ind w:left="5025" w:hanging="360"/>
      </w:pPr>
      <w:rPr>
        <w:rFonts w:ascii="Wingdings" w:hAnsi="Wingdings" w:hint="default"/>
      </w:rPr>
    </w:lvl>
    <w:lvl w:ilvl="6" w:tplc="40090001" w:tentative="1">
      <w:start w:val="1"/>
      <w:numFmt w:val="bullet"/>
      <w:lvlText w:val=""/>
      <w:lvlJc w:val="left"/>
      <w:pPr>
        <w:ind w:left="5745" w:hanging="360"/>
      </w:pPr>
      <w:rPr>
        <w:rFonts w:ascii="Symbol" w:hAnsi="Symbol" w:hint="default"/>
      </w:rPr>
    </w:lvl>
    <w:lvl w:ilvl="7" w:tplc="40090003" w:tentative="1">
      <w:start w:val="1"/>
      <w:numFmt w:val="bullet"/>
      <w:lvlText w:val="o"/>
      <w:lvlJc w:val="left"/>
      <w:pPr>
        <w:ind w:left="6465" w:hanging="360"/>
      </w:pPr>
      <w:rPr>
        <w:rFonts w:ascii="Courier New" w:hAnsi="Courier New" w:cs="Courier New" w:hint="default"/>
      </w:rPr>
    </w:lvl>
    <w:lvl w:ilvl="8" w:tplc="40090005" w:tentative="1">
      <w:start w:val="1"/>
      <w:numFmt w:val="bullet"/>
      <w:lvlText w:val=""/>
      <w:lvlJc w:val="left"/>
      <w:pPr>
        <w:ind w:left="7185" w:hanging="360"/>
      </w:pPr>
      <w:rPr>
        <w:rFonts w:ascii="Wingdings" w:hAnsi="Wingdings" w:hint="default"/>
      </w:rPr>
    </w:lvl>
  </w:abstractNum>
  <w:abstractNum w:abstractNumId="7" w15:restartNumberingAfterBreak="0">
    <w:nsid w:val="1ADC260A"/>
    <w:multiLevelType w:val="hybridMultilevel"/>
    <w:tmpl w:val="95D69F8E"/>
    <w:lvl w:ilvl="0" w:tplc="F020AE8E">
      <w:start w:val="1"/>
      <w:numFmt w:val="decimal"/>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1C5B0F85"/>
    <w:multiLevelType w:val="hybridMultilevel"/>
    <w:tmpl w:val="4E4622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1D29551A"/>
    <w:multiLevelType w:val="hybridMultilevel"/>
    <w:tmpl w:val="F81A931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272D234B"/>
    <w:multiLevelType w:val="hybridMultilevel"/>
    <w:tmpl w:val="6F88425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2B67578B"/>
    <w:multiLevelType w:val="multilevel"/>
    <w:tmpl w:val="686A2D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5891563"/>
    <w:multiLevelType w:val="hybridMultilevel"/>
    <w:tmpl w:val="6484A8F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3B4A4B2F"/>
    <w:multiLevelType w:val="hybridMultilevel"/>
    <w:tmpl w:val="1ED8CE8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3F376223"/>
    <w:multiLevelType w:val="hybridMultilevel"/>
    <w:tmpl w:val="2E9C7750"/>
    <w:lvl w:ilvl="0" w:tplc="4009000F">
      <w:start w:val="1"/>
      <w:numFmt w:val="decimal"/>
      <w:lvlText w:val="%1."/>
      <w:lvlJc w:val="left"/>
      <w:pPr>
        <w:ind w:left="720" w:hanging="360"/>
      </w:pPr>
    </w:lvl>
    <w:lvl w:ilvl="1" w:tplc="40090019">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15:restartNumberingAfterBreak="0">
    <w:nsid w:val="47A42BB3"/>
    <w:multiLevelType w:val="hybridMultilevel"/>
    <w:tmpl w:val="C93464F6"/>
    <w:lvl w:ilvl="0" w:tplc="59AA394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47AD769C"/>
    <w:multiLevelType w:val="hybridMultilevel"/>
    <w:tmpl w:val="132E3E0A"/>
    <w:lvl w:ilvl="0" w:tplc="40090001">
      <w:start w:val="1"/>
      <w:numFmt w:val="bullet"/>
      <w:lvlText w:val=""/>
      <w:lvlJc w:val="left"/>
      <w:pPr>
        <w:ind w:left="1080" w:hanging="720"/>
      </w:pPr>
      <w:rPr>
        <w:rFonts w:ascii="Symbol" w:hAnsi="Symbol"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7" w15:restartNumberingAfterBreak="0">
    <w:nsid w:val="492854FA"/>
    <w:multiLevelType w:val="multilevel"/>
    <w:tmpl w:val="9E269E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C41145D"/>
    <w:multiLevelType w:val="hybridMultilevel"/>
    <w:tmpl w:val="CDBAEFE8"/>
    <w:lvl w:ilvl="0" w:tplc="F020AE8E">
      <w:start w:val="1"/>
      <w:numFmt w:val="decimal"/>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15:restartNumberingAfterBreak="0">
    <w:nsid w:val="4E2D6CCF"/>
    <w:multiLevelType w:val="hybridMultilevel"/>
    <w:tmpl w:val="D68EA068"/>
    <w:lvl w:ilvl="0" w:tplc="F020AE8E">
      <w:start w:val="1"/>
      <w:numFmt w:val="decimal"/>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15:restartNumberingAfterBreak="0">
    <w:nsid w:val="4E8A586C"/>
    <w:multiLevelType w:val="hybridMultilevel"/>
    <w:tmpl w:val="EA2C3EC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4F5A797E"/>
    <w:multiLevelType w:val="hybridMultilevel"/>
    <w:tmpl w:val="50C4F5A2"/>
    <w:lvl w:ilvl="0" w:tplc="40090001">
      <w:start w:val="1"/>
      <w:numFmt w:val="bullet"/>
      <w:lvlText w:val=""/>
      <w:lvlJc w:val="left"/>
      <w:pPr>
        <w:ind w:left="1425" w:hanging="360"/>
      </w:pPr>
      <w:rPr>
        <w:rFonts w:ascii="Symbol" w:hAnsi="Symbol" w:hint="default"/>
      </w:rPr>
    </w:lvl>
    <w:lvl w:ilvl="1" w:tplc="40090003" w:tentative="1">
      <w:start w:val="1"/>
      <w:numFmt w:val="bullet"/>
      <w:lvlText w:val="o"/>
      <w:lvlJc w:val="left"/>
      <w:pPr>
        <w:ind w:left="2145" w:hanging="360"/>
      </w:pPr>
      <w:rPr>
        <w:rFonts w:ascii="Courier New" w:hAnsi="Courier New" w:cs="Courier New" w:hint="default"/>
      </w:rPr>
    </w:lvl>
    <w:lvl w:ilvl="2" w:tplc="40090005" w:tentative="1">
      <w:start w:val="1"/>
      <w:numFmt w:val="bullet"/>
      <w:lvlText w:val=""/>
      <w:lvlJc w:val="left"/>
      <w:pPr>
        <w:ind w:left="2865" w:hanging="360"/>
      </w:pPr>
      <w:rPr>
        <w:rFonts w:ascii="Wingdings" w:hAnsi="Wingdings" w:hint="default"/>
      </w:rPr>
    </w:lvl>
    <w:lvl w:ilvl="3" w:tplc="40090001" w:tentative="1">
      <w:start w:val="1"/>
      <w:numFmt w:val="bullet"/>
      <w:lvlText w:val=""/>
      <w:lvlJc w:val="left"/>
      <w:pPr>
        <w:ind w:left="3585" w:hanging="360"/>
      </w:pPr>
      <w:rPr>
        <w:rFonts w:ascii="Symbol" w:hAnsi="Symbol" w:hint="default"/>
      </w:rPr>
    </w:lvl>
    <w:lvl w:ilvl="4" w:tplc="40090003" w:tentative="1">
      <w:start w:val="1"/>
      <w:numFmt w:val="bullet"/>
      <w:lvlText w:val="o"/>
      <w:lvlJc w:val="left"/>
      <w:pPr>
        <w:ind w:left="4305" w:hanging="360"/>
      </w:pPr>
      <w:rPr>
        <w:rFonts w:ascii="Courier New" w:hAnsi="Courier New" w:cs="Courier New" w:hint="default"/>
      </w:rPr>
    </w:lvl>
    <w:lvl w:ilvl="5" w:tplc="40090005" w:tentative="1">
      <w:start w:val="1"/>
      <w:numFmt w:val="bullet"/>
      <w:lvlText w:val=""/>
      <w:lvlJc w:val="left"/>
      <w:pPr>
        <w:ind w:left="5025" w:hanging="360"/>
      </w:pPr>
      <w:rPr>
        <w:rFonts w:ascii="Wingdings" w:hAnsi="Wingdings" w:hint="default"/>
      </w:rPr>
    </w:lvl>
    <w:lvl w:ilvl="6" w:tplc="40090001" w:tentative="1">
      <w:start w:val="1"/>
      <w:numFmt w:val="bullet"/>
      <w:lvlText w:val=""/>
      <w:lvlJc w:val="left"/>
      <w:pPr>
        <w:ind w:left="5745" w:hanging="360"/>
      </w:pPr>
      <w:rPr>
        <w:rFonts w:ascii="Symbol" w:hAnsi="Symbol" w:hint="default"/>
      </w:rPr>
    </w:lvl>
    <w:lvl w:ilvl="7" w:tplc="40090003" w:tentative="1">
      <w:start w:val="1"/>
      <w:numFmt w:val="bullet"/>
      <w:lvlText w:val="o"/>
      <w:lvlJc w:val="left"/>
      <w:pPr>
        <w:ind w:left="6465" w:hanging="360"/>
      </w:pPr>
      <w:rPr>
        <w:rFonts w:ascii="Courier New" w:hAnsi="Courier New" w:cs="Courier New" w:hint="default"/>
      </w:rPr>
    </w:lvl>
    <w:lvl w:ilvl="8" w:tplc="40090005" w:tentative="1">
      <w:start w:val="1"/>
      <w:numFmt w:val="bullet"/>
      <w:lvlText w:val=""/>
      <w:lvlJc w:val="left"/>
      <w:pPr>
        <w:ind w:left="7185" w:hanging="360"/>
      </w:pPr>
      <w:rPr>
        <w:rFonts w:ascii="Wingdings" w:hAnsi="Wingdings" w:hint="default"/>
      </w:rPr>
    </w:lvl>
  </w:abstractNum>
  <w:abstractNum w:abstractNumId="22" w15:restartNumberingAfterBreak="0">
    <w:nsid w:val="4F6C1B9F"/>
    <w:multiLevelType w:val="multilevel"/>
    <w:tmpl w:val="17846C70"/>
    <w:lvl w:ilvl="0">
      <w:start w:val="1"/>
      <w:numFmt w:val="decimal"/>
      <w:lvlText w:val="%1."/>
      <w:lvlJc w:val="left"/>
      <w:pPr>
        <w:tabs>
          <w:tab w:val="num" w:pos="720"/>
        </w:tabs>
        <w:ind w:left="720" w:hanging="360"/>
      </w:pPr>
    </w:lvl>
    <w:lvl w:ilvl="1">
      <w:numFmt w:val="bullet"/>
      <w:lvlText w:val=""/>
      <w:lvlJc w:val="left"/>
      <w:pPr>
        <w:ind w:left="1440" w:hanging="360"/>
      </w:pPr>
      <w:rPr>
        <w:rFonts w:ascii="Symbol" w:eastAsia="Times New Roman" w:hAnsi="Symbol" w:cs="Times New Roman"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17408C4"/>
    <w:multiLevelType w:val="hybridMultilevel"/>
    <w:tmpl w:val="7E363D5A"/>
    <w:lvl w:ilvl="0" w:tplc="F020AE8E">
      <w:start w:val="1"/>
      <w:numFmt w:val="decimal"/>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4" w15:restartNumberingAfterBreak="0">
    <w:nsid w:val="52611FBF"/>
    <w:multiLevelType w:val="hybridMultilevel"/>
    <w:tmpl w:val="3BDA8F8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55530D1A"/>
    <w:multiLevelType w:val="hybridMultilevel"/>
    <w:tmpl w:val="A9AEFC2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55D2163D"/>
    <w:multiLevelType w:val="hybridMultilevel"/>
    <w:tmpl w:val="F7CCE356"/>
    <w:lvl w:ilvl="0" w:tplc="F020AE8E">
      <w:start w:val="1"/>
      <w:numFmt w:val="decimal"/>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7" w15:restartNumberingAfterBreak="0">
    <w:nsid w:val="56680E71"/>
    <w:multiLevelType w:val="hybridMultilevel"/>
    <w:tmpl w:val="7D5CBD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5B7F5FAA"/>
    <w:multiLevelType w:val="hybridMultilevel"/>
    <w:tmpl w:val="96908C4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9" w15:restartNumberingAfterBreak="0">
    <w:nsid w:val="5DCA4DB9"/>
    <w:multiLevelType w:val="hybridMultilevel"/>
    <w:tmpl w:val="E2845E5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0" w15:restartNumberingAfterBreak="0">
    <w:nsid w:val="665C14D4"/>
    <w:multiLevelType w:val="hybridMultilevel"/>
    <w:tmpl w:val="81ECAEE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1" w15:restartNumberingAfterBreak="0">
    <w:nsid w:val="665E636D"/>
    <w:multiLevelType w:val="hybridMultilevel"/>
    <w:tmpl w:val="560ED62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2" w15:restartNumberingAfterBreak="0">
    <w:nsid w:val="678E7AE6"/>
    <w:multiLevelType w:val="hybridMultilevel"/>
    <w:tmpl w:val="40320D78"/>
    <w:lvl w:ilvl="0" w:tplc="40090001">
      <w:start w:val="1"/>
      <w:numFmt w:val="bullet"/>
      <w:lvlText w:val=""/>
      <w:lvlJc w:val="left"/>
      <w:pPr>
        <w:ind w:left="1425" w:hanging="360"/>
      </w:pPr>
      <w:rPr>
        <w:rFonts w:ascii="Symbol" w:hAnsi="Symbol" w:hint="default"/>
      </w:rPr>
    </w:lvl>
    <w:lvl w:ilvl="1" w:tplc="40090003">
      <w:start w:val="1"/>
      <w:numFmt w:val="bullet"/>
      <w:lvlText w:val="o"/>
      <w:lvlJc w:val="left"/>
      <w:pPr>
        <w:ind w:left="2145" w:hanging="360"/>
      </w:pPr>
      <w:rPr>
        <w:rFonts w:ascii="Courier New" w:hAnsi="Courier New" w:cs="Courier New" w:hint="default"/>
      </w:rPr>
    </w:lvl>
    <w:lvl w:ilvl="2" w:tplc="40090005" w:tentative="1">
      <w:start w:val="1"/>
      <w:numFmt w:val="bullet"/>
      <w:lvlText w:val=""/>
      <w:lvlJc w:val="left"/>
      <w:pPr>
        <w:ind w:left="2865" w:hanging="360"/>
      </w:pPr>
      <w:rPr>
        <w:rFonts w:ascii="Wingdings" w:hAnsi="Wingdings" w:hint="default"/>
      </w:rPr>
    </w:lvl>
    <w:lvl w:ilvl="3" w:tplc="40090001" w:tentative="1">
      <w:start w:val="1"/>
      <w:numFmt w:val="bullet"/>
      <w:lvlText w:val=""/>
      <w:lvlJc w:val="left"/>
      <w:pPr>
        <w:ind w:left="3585" w:hanging="360"/>
      </w:pPr>
      <w:rPr>
        <w:rFonts w:ascii="Symbol" w:hAnsi="Symbol" w:hint="default"/>
      </w:rPr>
    </w:lvl>
    <w:lvl w:ilvl="4" w:tplc="40090003" w:tentative="1">
      <w:start w:val="1"/>
      <w:numFmt w:val="bullet"/>
      <w:lvlText w:val="o"/>
      <w:lvlJc w:val="left"/>
      <w:pPr>
        <w:ind w:left="4305" w:hanging="360"/>
      </w:pPr>
      <w:rPr>
        <w:rFonts w:ascii="Courier New" w:hAnsi="Courier New" w:cs="Courier New" w:hint="default"/>
      </w:rPr>
    </w:lvl>
    <w:lvl w:ilvl="5" w:tplc="40090005" w:tentative="1">
      <w:start w:val="1"/>
      <w:numFmt w:val="bullet"/>
      <w:lvlText w:val=""/>
      <w:lvlJc w:val="left"/>
      <w:pPr>
        <w:ind w:left="5025" w:hanging="360"/>
      </w:pPr>
      <w:rPr>
        <w:rFonts w:ascii="Wingdings" w:hAnsi="Wingdings" w:hint="default"/>
      </w:rPr>
    </w:lvl>
    <w:lvl w:ilvl="6" w:tplc="40090001" w:tentative="1">
      <w:start w:val="1"/>
      <w:numFmt w:val="bullet"/>
      <w:lvlText w:val=""/>
      <w:lvlJc w:val="left"/>
      <w:pPr>
        <w:ind w:left="5745" w:hanging="360"/>
      </w:pPr>
      <w:rPr>
        <w:rFonts w:ascii="Symbol" w:hAnsi="Symbol" w:hint="default"/>
      </w:rPr>
    </w:lvl>
    <w:lvl w:ilvl="7" w:tplc="40090003" w:tentative="1">
      <w:start w:val="1"/>
      <w:numFmt w:val="bullet"/>
      <w:lvlText w:val="o"/>
      <w:lvlJc w:val="left"/>
      <w:pPr>
        <w:ind w:left="6465" w:hanging="360"/>
      </w:pPr>
      <w:rPr>
        <w:rFonts w:ascii="Courier New" w:hAnsi="Courier New" w:cs="Courier New" w:hint="default"/>
      </w:rPr>
    </w:lvl>
    <w:lvl w:ilvl="8" w:tplc="40090005" w:tentative="1">
      <w:start w:val="1"/>
      <w:numFmt w:val="bullet"/>
      <w:lvlText w:val=""/>
      <w:lvlJc w:val="left"/>
      <w:pPr>
        <w:ind w:left="7185" w:hanging="360"/>
      </w:pPr>
      <w:rPr>
        <w:rFonts w:ascii="Wingdings" w:hAnsi="Wingdings" w:hint="default"/>
      </w:rPr>
    </w:lvl>
  </w:abstractNum>
  <w:abstractNum w:abstractNumId="33" w15:restartNumberingAfterBreak="0">
    <w:nsid w:val="68195D22"/>
    <w:multiLevelType w:val="hybridMultilevel"/>
    <w:tmpl w:val="52169C58"/>
    <w:lvl w:ilvl="0" w:tplc="4009000F">
      <w:start w:val="1"/>
      <w:numFmt w:val="decimal"/>
      <w:lvlText w:val="%1."/>
      <w:lvlJc w:val="left"/>
      <w:pPr>
        <w:ind w:left="1080" w:hanging="360"/>
      </w:p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34" w15:restartNumberingAfterBreak="0">
    <w:nsid w:val="68CA498B"/>
    <w:multiLevelType w:val="hybridMultilevel"/>
    <w:tmpl w:val="3384A3E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5" w15:restartNumberingAfterBreak="0">
    <w:nsid w:val="6BEA3E0C"/>
    <w:multiLevelType w:val="hybridMultilevel"/>
    <w:tmpl w:val="28CC5EF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6" w15:restartNumberingAfterBreak="0">
    <w:nsid w:val="738C0136"/>
    <w:multiLevelType w:val="hybridMultilevel"/>
    <w:tmpl w:val="570A82A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7" w15:restartNumberingAfterBreak="0">
    <w:nsid w:val="76061C23"/>
    <w:multiLevelType w:val="hybridMultilevel"/>
    <w:tmpl w:val="4B0EE1D6"/>
    <w:lvl w:ilvl="0" w:tplc="4009000F">
      <w:start w:val="1"/>
      <w:numFmt w:val="decimal"/>
      <w:lvlText w:val="%1."/>
      <w:lvlJc w:val="left"/>
      <w:pPr>
        <w:ind w:left="1080" w:hanging="360"/>
      </w:p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38" w15:restartNumberingAfterBreak="0">
    <w:nsid w:val="78082B3C"/>
    <w:multiLevelType w:val="hybridMultilevel"/>
    <w:tmpl w:val="ABCA15EC"/>
    <w:lvl w:ilvl="0" w:tplc="59AA394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5D2044E">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86BA08A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CFE40BB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DE82226">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E86371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609812F0">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AC6654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B348786A">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16cid:durableId="843739650">
    <w:abstractNumId w:val="38"/>
  </w:num>
  <w:num w:numId="2" w16cid:durableId="1003360276">
    <w:abstractNumId w:val="26"/>
  </w:num>
  <w:num w:numId="3" w16cid:durableId="1016155152">
    <w:abstractNumId w:val="7"/>
  </w:num>
  <w:num w:numId="4" w16cid:durableId="905990729">
    <w:abstractNumId w:val="32"/>
  </w:num>
  <w:num w:numId="5" w16cid:durableId="1166827860">
    <w:abstractNumId w:val="15"/>
  </w:num>
  <w:num w:numId="6" w16cid:durableId="75172079">
    <w:abstractNumId w:val="23"/>
  </w:num>
  <w:num w:numId="7" w16cid:durableId="5374539">
    <w:abstractNumId w:val="18"/>
  </w:num>
  <w:num w:numId="8" w16cid:durableId="1457530981">
    <w:abstractNumId w:val="19"/>
  </w:num>
  <w:num w:numId="9" w16cid:durableId="1466965638">
    <w:abstractNumId w:val="4"/>
  </w:num>
  <w:num w:numId="10" w16cid:durableId="324162676">
    <w:abstractNumId w:val="24"/>
  </w:num>
  <w:num w:numId="11" w16cid:durableId="1746030852">
    <w:abstractNumId w:val="10"/>
  </w:num>
  <w:num w:numId="12" w16cid:durableId="8222128">
    <w:abstractNumId w:val="25"/>
  </w:num>
  <w:num w:numId="13" w16cid:durableId="48070572">
    <w:abstractNumId w:val="5"/>
  </w:num>
  <w:num w:numId="14" w16cid:durableId="2047637293">
    <w:abstractNumId w:val="37"/>
  </w:num>
  <w:num w:numId="15" w16cid:durableId="1147749200">
    <w:abstractNumId w:val="33"/>
  </w:num>
  <w:num w:numId="16" w16cid:durableId="318270955">
    <w:abstractNumId w:val="9"/>
  </w:num>
  <w:num w:numId="17" w16cid:durableId="1202747213">
    <w:abstractNumId w:val="0"/>
  </w:num>
  <w:num w:numId="18" w16cid:durableId="824467996">
    <w:abstractNumId w:val="20"/>
  </w:num>
  <w:num w:numId="19" w16cid:durableId="1543666951">
    <w:abstractNumId w:val="34"/>
  </w:num>
  <w:num w:numId="20" w16cid:durableId="32847752">
    <w:abstractNumId w:val="21"/>
  </w:num>
  <w:num w:numId="21" w16cid:durableId="875854788">
    <w:abstractNumId w:val="16"/>
  </w:num>
  <w:num w:numId="22" w16cid:durableId="1182889261">
    <w:abstractNumId w:val="30"/>
  </w:num>
  <w:num w:numId="23" w16cid:durableId="2146660946">
    <w:abstractNumId w:val="13"/>
  </w:num>
  <w:num w:numId="24" w16cid:durableId="1121459020">
    <w:abstractNumId w:val="35"/>
  </w:num>
  <w:num w:numId="25" w16cid:durableId="1090858836">
    <w:abstractNumId w:val="2"/>
  </w:num>
  <w:num w:numId="26" w16cid:durableId="1426727918">
    <w:abstractNumId w:val="22"/>
  </w:num>
  <w:num w:numId="27" w16cid:durableId="1950316723">
    <w:abstractNumId w:val="6"/>
  </w:num>
  <w:num w:numId="28" w16cid:durableId="42411808">
    <w:abstractNumId w:val="28"/>
  </w:num>
  <w:num w:numId="29" w16cid:durableId="286934835">
    <w:abstractNumId w:val="27"/>
  </w:num>
  <w:num w:numId="30" w16cid:durableId="1481455953">
    <w:abstractNumId w:val="29"/>
  </w:num>
  <w:num w:numId="31" w16cid:durableId="1030882277">
    <w:abstractNumId w:val="1"/>
  </w:num>
  <w:num w:numId="32" w16cid:durableId="341592333">
    <w:abstractNumId w:val="8"/>
  </w:num>
  <w:num w:numId="33" w16cid:durableId="325594423">
    <w:abstractNumId w:val="12"/>
  </w:num>
  <w:num w:numId="34" w16cid:durableId="508524893">
    <w:abstractNumId w:val="3"/>
  </w:num>
  <w:num w:numId="35" w16cid:durableId="1459834443">
    <w:abstractNumId w:val="31"/>
  </w:num>
  <w:num w:numId="36" w16cid:durableId="1498380573">
    <w:abstractNumId w:val="14"/>
  </w:num>
  <w:num w:numId="37" w16cid:durableId="93399970">
    <w:abstractNumId w:val="36"/>
  </w:num>
  <w:num w:numId="38" w16cid:durableId="956136174">
    <w:abstractNumId w:val="11"/>
  </w:num>
  <w:num w:numId="39" w16cid:durableId="672537318">
    <w:abstractNumId w:val="17"/>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64C5"/>
    <w:rsid w:val="00000858"/>
    <w:rsid w:val="0000117A"/>
    <w:rsid w:val="000014B5"/>
    <w:rsid w:val="000025AB"/>
    <w:rsid w:val="00002865"/>
    <w:rsid w:val="00012641"/>
    <w:rsid w:val="0001365F"/>
    <w:rsid w:val="00017F75"/>
    <w:rsid w:val="00036137"/>
    <w:rsid w:val="00036AD6"/>
    <w:rsid w:val="00036D18"/>
    <w:rsid w:val="00043A96"/>
    <w:rsid w:val="000555DE"/>
    <w:rsid w:val="0006002E"/>
    <w:rsid w:val="000609E9"/>
    <w:rsid w:val="0006460D"/>
    <w:rsid w:val="00071081"/>
    <w:rsid w:val="00075551"/>
    <w:rsid w:val="00082048"/>
    <w:rsid w:val="000820DC"/>
    <w:rsid w:val="00083B20"/>
    <w:rsid w:val="00096466"/>
    <w:rsid w:val="00097151"/>
    <w:rsid w:val="00097446"/>
    <w:rsid w:val="000A1C62"/>
    <w:rsid w:val="000A2A4D"/>
    <w:rsid w:val="000B0C7A"/>
    <w:rsid w:val="000C39D5"/>
    <w:rsid w:val="000C567F"/>
    <w:rsid w:val="000C7CC0"/>
    <w:rsid w:val="000D4463"/>
    <w:rsid w:val="000D5220"/>
    <w:rsid w:val="000E034F"/>
    <w:rsid w:val="000F5950"/>
    <w:rsid w:val="000F7CF4"/>
    <w:rsid w:val="001001DF"/>
    <w:rsid w:val="00104ECE"/>
    <w:rsid w:val="001061FD"/>
    <w:rsid w:val="00111669"/>
    <w:rsid w:val="00113366"/>
    <w:rsid w:val="00124366"/>
    <w:rsid w:val="001257B8"/>
    <w:rsid w:val="0013789F"/>
    <w:rsid w:val="00144AE4"/>
    <w:rsid w:val="001514CD"/>
    <w:rsid w:val="0015736E"/>
    <w:rsid w:val="0015780F"/>
    <w:rsid w:val="00162F69"/>
    <w:rsid w:val="00167816"/>
    <w:rsid w:val="001A090C"/>
    <w:rsid w:val="001A508F"/>
    <w:rsid w:val="001B09F6"/>
    <w:rsid w:val="001B0A00"/>
    <w:rsid w:val="001B302A"/>
    <w:rsid w:val="001B5C17"/>
    <w:rsid w:val="001C5965"/>
    <w:rsid w:val="001C7499"/>
    <w:rsid w:val="001D1D37"/>
    <w:rsid w:val="001D1EC1"/>
    <w:rsid w:val="001D2849"/>
    <w:rsid w:val="001D6D06"/>
    <w:rsid w:val="001F693E"/>
    <w:rsid w:val="002076B1"/>
    <w:rsid w:val="00213DE7"/>
    <w:rsid w:val="00231C29"/>
    <w:rsid w:val="00235057"/>
    <w:rsid w:val="00251A34"/>
    <w:rsid w:val="00255216"/>
    <w:rsid w:val="002677EC"/>
    <w:rsid w:val="00270769"/>
    <w:rsid w:val="002812CD"/>
    <w:rsid w:val="002923D7"/>
    <w:rsid w:val="00293B95"/>
    <w:rsid w:val="002A6F75"/>
    <w:rsid w:val="002A7649"/>
    <w:rsid w:val="002A7913"/>
    <w:rsid w:val="002B04A6"/>
    <w:rsid w:val="002B523E"/>
    <w:rsid w:val="002B64E4"/>
    <w:rsid w:val="002C2CB2"/>
    <w:rsid w:val="002E183F"/>
    <w:rsid w:val="002E316D"/>
    <w:rsid w:val="002E62BE"/>
    <w:rsid w:val="002F1814"/>
    <w:rsid w:val="002F3B7C"/>
    <w:rsid w:val="002F4AC4"/>
    <w:rsid w:val="00300F5A"/>
    <w:rsid w:val="003101E2"/>
    <w:rsid w:val="00315116"/>
    <w:rsid w:val="0032776A"/>
    <w:rsid w:val="003360EA"/>
    <w:rsid w:val="00337CD0"/>
    <w:rsid w:val="00341D5B"/>
    <w:rsid w:val="0035427D"/>
    <w:rsid w:val="00360190"/>
    <w:rsid w:val="00370166"/>
    <w:rsid w:val="00376EB0"/>
    <w:rsid w:val="0038261C"/>
    <w:rsid w:val="00390197"/>
    <w:rsid w:val="003929CF"/>
    <w:rsid w:val="003B6A1D"/>
    <w:rsid w:val="003C19F1"/>
    <w:rsid w:val="003C35D2"/>
    <w:rsid w:val="003C642F"/>
    <w:rsid w:val="003C69AB"/>
    <w:rsid w:val="003D49A3"/>
    <w:rsid w:val="003D6C0E"/>
    <w:rsid w:val="003E1752"/>
    <w:rsid w:val="003E26FD"/>
    <w:rsid w:val="003F304D"/>
    <w:rsid w:val="003F3E9C"/>
    <w:rsid w:val="0041385E"/>
    <w:rsid w:val="00416A1D"/>
    <w:rsid w:val="00421F7E"/>
    <w:rsid w:val="00425FED"/>
    <w:rsid w:val="00427F64"/>
    <w:rsid w:val="00433B60"/>
    <w:rsid w:val="004351B5"/>
    <w:rsid w:val="00444336"/>
    <w:rsid w:val="00450FE9"/>
    <w:rsid w:val="004528E6"/>
    <w:rsid w:val="0046182E"/>
    <w:rsid w:val="00466DD7"/>
    <w:rsid w:val="00476632"/>
    <w:rsid w:val="00484B4F"/>
    <w:rsid w:val="00485531"/>
    <w:rsid w:val="00492A89"/>
    <w:rsid w:val="004A070B"/>
    <w:rsid w:val="004A30CE"/>
    <w:rsid w:val="004A3A00"/>
    <w:rsid w:val="004A6AA2"/>
    <w:rsid w:val="004A6D24"/>
    <w:rsid w:val="004B3AD2"/>
    <w:rsid w:val="004B3D6F"/>
    <w:rsid w:val="004B3EE4"/>
    <w:rsid w:val="004C3535"/>
    <w:rsid w:val="004C685A"/>
    <w:rsid w:val="004D5C67"/>
    <w:rsid w:val="004D783F"/>
    <w:rsid w:val="004E0D2F"/>
    <w:rsid w:val="004F7AD8"/>
    <w:rsid w:val="00500C8E"/>
    <w:rsid w:val="00504A14"/>
    <w:rsid w:val="0051278D"/>
    <w:rsid w:val="0051348B"/>
    <w:rsid w:val="00516662"/>
    <w:rsid w:val="00520702"/>
    <w:rsid w:val="00533A3A"/>
    <w:rsid w:val="0054299C"/>
    <w:rsid w:val="0054505C"/>
    <w:rsid w:val="0055575A"/>
    <w:rsid w:val="005607BE"/>
    <w:rsid w:val="005611CD"/>
    <w:rsid w:val="005625A6"/>
    <w:rsid w:val="00565D36"/>
    <w:rsid w:val="00573DB6"/>
    <w:rsid w:val="00585F9B"/>
    <w:rsid w:val="00587D4E"/>
    <w:rsid w:val="005956EF"/>
    <w:rsid w:val="005A3125"/>
    <w:rsid w:val="005D1FDB"/>
    <w:rsid w:val="005D4617"/>
    <w:rsid w:val="005F0000"/>
    <w:rsid w:val="005F5AEA"/>
    <w:rsid w:val="00606220"/>
    <w:rsid w:val="0061345B"/>
    <w:rsid w:val="00613CC6"/>
    <w:rsid w:val="00614B81"/>
    <w:rsid w:val="00617A70"/>
    <w:rsid w:val="00622C7D"/>
    <w:rsid w:val="00623C0E"/>
    <w:rsid w:val="00625D07"/>
    <w:rsid w:val="00634650"/>
    <w:rsid w:val="006366E5"/>
    <w:rsid w:val="00640698"/>
    <w:rsid w:val="00653A1B"/>
    <w:rsid w:val="006618E6"/>
    <w:rsid w:val="006626ED"/>
    <w:rsid w:val="0067152B"/>
    <w:rsid w:val="0067300F"/>
    <w:rsid w:val="00695835"/>
    <w:rsid w:val="0069615A"/>
    <w:rsid w:val="00696DC2"/>
    <w:rsid w:val="006971FD"/>
    <w:rsid w:val="006A096C"/>
    <w:rsid w:val="006A66E5"/>
    <w:rsid w:val="006B49C2"/>
    <w:rsid w:val="006B5C19"/>
    <w:rsid w:val="006D5D0F"/>
    <w:rsid w:val="006E69E9"/>
    <w:rsid w:val="006F09D9"/>
    <w:rsid w:val="006F7CFC"/>
    <w:rsid w:val="006F7F52"/>
    <w:rsid w:val="00701BAD"/>
    <w:rsid w:val="0070279F"/>
    <w:rsid w:val="00705C5E"/>
    <w:rsid w:val="007105BC"/>
    <w:rsid w:val="007252E4"/>
    <w:rsid w:val="00733776"/>
    <w:rsid w:val="007338FF"/>
    <w:rsid w:val="0073683B"/>
    <w:rsid w:val="00736B56"/>
    <w:rsid w:val="00740B29"/>
    <w:rsid w:val="00742E1B"/>
    <w:rsid w:val="007446D0"/>
    <w:rsid w:val="0075283F"/>
    <w:rsid w:val="00754C40"/>
    <w:rsid w:val="00756767"/>
    <w:rsid w:val="007568BE"/>
    <w:rsid w:val="007801D1"/>
    <w:rsid w:val="007843AD"/>
    <w:rsid w:val="0079401A"/>
    <w:rsid w:val="0079667C"/>
    <w:rsid w:val="007A22FA"/>
    <w:rsid w:val="007A4B19"/>
    <w:rsid w:val="007A5B4C"/>
    <w:rsid w:val="007B0EB3"/>
    <w:rsid w:val="007C102C"/>
    <w:rsid w:val="007C2FF2"/>
    <w:rsid w:val="007D17A3"/>
    <w:rsid w:val="007E2273"/>
    <w:rsid w:val="007E4B25"/>
    <w:rsid w:val="007E753C"/>
    <w:rsid w:val="007F1284"/>
    <w:rsid w:val="007F1C8A"/>
    <w:rsid w:val="007F3292"/>
    <w:rsid w:val="007F449E"/>
    <w:rsid w:val="007F57B1"/>
    <w:rsid w:val="007F73EA"/>
    <w:rsid w:val="008124F4"/>
    <w:rsid w:val="00815371"/>
    <w:rsid w:val="008153EB"/>
    <w:rsid w:val="00815430"/>
    <w:rsid w:val="00816B76"/>
    <w:rsid w:val="008308FA"/>
    <w:rsid w:val="008316B5"/>
    <w:rsid w:val="00831DBA"/>
    <w:rsid w:val="0083679F"/>
    <w:rsid w:val="008457A3"/>
    <w:rsid w:val="008465AD"/>
    <w:rsid w:val="00846B1F"/>
    <w:rsid w:val="00851BF6"/>
    <w:rsid w:val="00851D37"/>
    <w:rsid w:val="0085324D"/>
    <w:rsid w:val="0085468D"/>
    <w:rsid w:val="00876798"/>
    <w:rsid w:val="008906E9"/>
    <w:rsid w:val="00896E88"/>
    <w:rsid w:val="008A0760"/>
    <w:rsid w:val="008A0ADB"/>
    <w:rsid w:val="008A4F70"/>
    <w:rsid w:val="008A73BC"/>
    <w:rsid w:val="008B3957"/>
    <w:rsid w:val="008B52BD"/>
    <w:rsid w:val="008B6AC3"/>
    <w:rsid w:val="008B792A"/>
    <w:rsid w:val="008C2ACC"/>
    <w:rsid w:val="008C3311"/>
    <w:rsid w:val="008D0B0C"/>
    <w:rsid w:val="008D3F67"/>
    <w:rsid w:val="008D6BF7"/>
    <w:rsid w:val="008E2D28"/>
    <w:rsid w:val="008E34F0"/>
    <w:rsid w:val="008E4DBD"/>
    <w:rsid w:val="008E5B99"/>
    <w:rsid w:val="008F447B"/>
    <w:rsid w:val="00935088"/>
    <w:rsid w:val="00935BDB"/>
    <w:rsid w:val="00942C82"/>
    <w:rsid w:val="00943815"/>
    <w:rsid w:val="009456F2"/>
    <w:rsid w:val="00946E9D"/>
    <w:rsid w:val="00946F4A"/>
    <w:rsid w:val="0095073F"/>
    <w:rsid w:val="0095179B"/>
    <w:rsid w:val="00953E1C"/>
    <w:rsid w:val="00954E4C"/>
    <w:rsid w:val="00956A63"/>
    <w:rsid w:val="0096625E"/>
    <w:rsid w:val="00966F88"/>
    <w:rsid w:val="009706D0"/>
    <w:rsid w:val="009720B4"/>
    <w:rsid w:val="0098381A"/>
    <w:rsid w:val="00986A40"/>
    <w:rsid w:val="00991C63"/>
    <w:rsid w:val="00991E97"/>
    <w:rsid w:val="009A1B64"/>
    <w:rsid w:val="009B50EB"/>
    <w:rsid w:val="009C1731"/>
    <w:rsid w:val="009C24F1"/>
    <w:rsid w:val="009C5ED4"/>
    <w:rsid w:val="009E17A3"/>
    <w:rsid w:val="009E5B40"/>
    <w:rsid w:val="009E75F1"/>
    <w:rsid w:val="009F1001"/>
    <w:rsid w:val="009F44E0"/>
    <w:rsid w:val="009F64C5"/>
    <w:rsid w:val="00A03C69"/>
    <w:rsid w:val="00A064C9"/>
    <w:rsid w:val="00A11210"/>
    <w:rsid w:val="00A20660"/>
    <w:rsid w:val="00A222BB"/>
    <w:rsid w:val="00A2257A"/>
    <w:rsid w:val="00A233A3"/>
    <w:rsid w:val="00A24457"/>
    <w:rsid w:val="00A27D7F"/>
    <w:rsid w:val="00A30E0F"/>
    <w:rsid w:val="00A3659D"/>
    <w:rsid w:val="00A50F2E"/>
    <w:rsid w:val="00A53960"/>
    <w:rsid w:val="00A6741A"/>
    <w:rsid w:val="00A77AB9"/>
    <w:rsid w:val="00A848C4"/>
    <w:rsid w:val="00A87D19"/>
    <w:rsid w:val="00A92EE6"/>
    <w:rsid w:val="00A9635A"/>
    <w:rsid w:val="00AB287F"/>
    <w:rsid w:val="00AD5E95"/>
    <w:rsid w:val="00AF0CB3"/>
    <w:rsid w:val="00AF3035"/>
    <w:rsid w:val="00AF3BDE"/>
    <w:rsid w:val="00B077F8"/>
    <w:rsid w:val="00B101D8"/>
    <w:rsid w:val="00B1281B"/>
    <w:rsid w:val="00B2059B"/>
    <w:rsid w:val="00B432C3"/>
    <w:rsid w:val="00B5345E"/>
    <w:rsid w:val="00B54DDC"/>
    <w:rsid w:val="00B63F6E"/>
    <w:rsid w:val="00B65C0E"/>
    <w:rsid w:val="00B977B2"/>
    <w:rsid w:val="00B97813"/>
    <w:rsid w:val="00BA1011"/>
    <w:rsid w:val="00BA755E"/>
    <w:rsid w:val="00BA7F57"/>
    <w:rsid w:val="00BB5CE6"/>
    <w:rsid w:val="00BC00C5"/>
    <w:rsid w:val="00BC06EB"/>
    <w:rsid w:val="00BC659E"/>
    <w:rsid w:val="00BC67C0"/>
    <w:rsid w:val="00BD2EA9"/>
    <w:rsid w:val="00BD65E1"/>
    <w:rsid w:val="00C00708"/>
    <w:rsid w:val="00C06A17"/>
    <w:rsid w:val="00C07EBF"/>
    <w:rsid w:val="00C1330D"/>
    <w:rsid w:val="00C222A5"/>
    <w:rsid w:val="00C222D5"/>
    <w:rsid w:val="00C22BF0"/>
    <w:rsid w:val="00C22C9F"/>
    <w:rsid w:val="00C359F9"/>
    <w:rsid w:val="00C76B0F"/>
    <w:rsid w:val="00C84913"/>
    <w:rsid w:val="00C968B1"/>
    <w:rsid w:val="00CA053B"/>
    <w:rsid w:val="00CA361E"/>
    <w:rsid w:val="00CB20E2"/>
    <w:rsid w:val="00CB3912"/>
    <w:rsid w:val="00CB3DB0"/>
    <w:rsid w:val="00CB5709"/>
    <w:rsid w:val="00CB7275"/>
    <w:rsid w:val="00CB7410"/>
    <w:rsid w:val="00CC6FB0"/>
    <w:rsid w:val="00CD51D0"/>
    <w:rsid w:val="00CE10ED"/>
    <w:rsid w:val="00D00772"/>
    <w:rsid w:val="00D02BB8"/>
    <w:rsid w:val="00D21017"/>
    <w:rsid w:val="00D30838"/>
    <w:rsid w:val="00D31915"/>
    <w:rsid w:val="00D344C9"/>
    <w:rsid w:val="00D35528"/>
    <w:rsid w:val="00D3746E"/>
    <w:rsid w:val="00D5271A"/>
    <w:rsid w:val="00D61C11"/>
    <w:rsid w:val="00D716D0"/>
    <w:rsid w:val="00D82583"/>
    <w:rsid w:val="00D91703"/>
    <w:rsid w:val="00D94619"/>
    <w:rsid w:val="00DA2070"/>
    <w:rsid w:val="00DB4C21"/>
    <w:rsid w:val="00DB6A52"/>
    <w:rsid w:val="00DC3F13"/>
    <w:rsid w:val="00DD115F"/>
    <w:rsid w:val="00DD1315"/>
    <w:rsid w:val="00DD3AD1"/>
    <w:rsid w:val="00DD7AA5"/>
    <w:rsid w:val="00DD7F53"/>
    <w:rsid w:val="00DE2845"/>
    <w:rsid w:val="00DE56A7"/>
    <w:rsid w:val="00E05470"/>
    <w:rsid w:val="00E12CAA"/>
    <w:rsid w:val="00E14D4B"/>
    <w:rsid w:val="00E245EC"/>
    <w:rsid w:val="00E2714C"/>
    <w:rsid w:val="00E409B2"/>
    <w:rsid w:val="00E4458E"/>
    <w:rsid w:val="00E50BE3"/>
    <w:rsid w:val="00E51A2F"/>
    <w:rsid w:val="00E51C04"/>
    <w:rsid w:val="00E522DD"/>
    <w:rsid w:val="00E53368"/>
    <w:rsid w:val="00E55745"/>
    <w:rsid w:val="00E6798B"/>
    <w:rsid w:val="00E715E0"/>
    <w:rsid w:val="00E770DC"/>
    <w:rsid w:val="00E8291A"/>
    <w:rsid w:val="00E8446B"/>
    <w:rsid w:val="00E84EFD"/>
    <w:rsid w:val="00E87F3B"/>
    <w:rsid w:val="00E934D4"/>
    <w:rsid w:val="00EA09B6"/>
    <w:rsid w:val="00EA13F0"/>
    <w:rsid w:val="00EA26B7"/>
    <w:rsid w:val="00EA66A5"/>
    <w:rsid w:val="00EB4117"/>
    <w:rsid w:val="00ED0D70"/>
    <w:rsid w:val="00EE1A87"/>
    <w:rsid w:val="00EE43CC"/>
    <w:rsid w:val="00EF4DE7"/>
    <w:rsid w:val="00F0663B"/>
    <w:rsid w:val="00F0732B"/>
    <w:rsid w:val="00F11106"/>
    <w:rsid w:val="00F13368"/>
    <w:rsid w:val="00F139F8"/>
    <w:rsid w:val="00F13CB4"/>
    <w:rsid w:val="00F24400"/>
    <w:rsid w:val="00F4153A"/>
    <w:rsid w:val="00F41894"/>
    <w:rsid w:val="00F44DB0"/>
    <w:rsid w:val="00F45218"/>
    <w:rsid w:val="00F47C2B"/>
    <w:rsid w:val="00F50356"/>
    <w:rsid w:val="00F52C52"/>
    <w:rsid w:val="00F52E69"/>
    <w:rsid w:val="00F7313E"/>
    <w:rsid w:val="00F807BD"/>
    <w:rsid w:val="00F845A5"/>
    <w:rsid w:val="00F87798"/>
    <w:rsid w:val="00F907E8"/>
    <w:rsid w:val="00F92E28"/>
    <w:rsid w:val="00F94D40"/>
    <w:rsid w:val="00F96A34"/>
    <w:rsid w:val="00FA17BE"/>
    <w:rsid w:val="00FA21B9"/>
    <w:rsid w:val="00FA3C36"/>
    <w:rsid w:val="00FB366C"/>
    <w:rsid w:val="00FB3C67"/>
    <w:rsid w:val="00FB3DBA"/>
    <w:rsid w:val="00FC0A6C"/>
    <w:rsid w:val="00FC1D51"/>
    <w:rsid w:val="00FD0BDD"/>
    <w:rsid w:val="00FD29C9"/>
    <w:rsid w:val="00FE0ED3"/>
    <w:rsid w:val="00FE5262"/>
    <w:rsid w:val="00FE68C6"/>
    <w:rsid w:val="00FE7C7A"/>
    <w:rsid w:val="00FF76D2"/>
    <w:rsid w:val="0AA9E436"/>
    <w:rsid w:val="34630932"/>
    <w:rsid w:val="4EFAA9D8"/>
    <w:rsid w:val="61294C0D"/>
    <w:rsid w:val="758DDEC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486057"/>
  <w15:chartTrackingRefBased/>
  <w15:docId w15:val="{E97D9871-9636-43F2-A42E-15FEE5116D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qFormat/>
    <w:rsid w:val="009F64C5"/>
    <w:pPr>
      <w:keepNext/>
      <w:keepLines/>
      <w:spacing w:after="152" w:line="265" w:lineRule="auto"/>
      <w:ind w:left="10" w:right="2" w:hanging="10"/>
      <w:jc w:val="center"/>
      <w:outlineLvl w:val="0"/>
    </w:pPr>
    <w:rPr>
      <w:rFonts w:ascii="Times New Roman" w:eastAsia="Times New Roman" w:hAnsi="Times New Roman" w:cs="Times New Roman"/>
      <w:b/>
      <w:color w:val="000000"/>
      <w:sz w:val="24"/>
    </w:rPr>
  </w:style>
  <w:style w:type="paragraph" w:styleId="Heading2">
    <w:name w:val="heading 2"/>
    <w:next w:val="Normal"/>
    <w:link w:val="Heading2Char"/>
    <w:uiPriority w:val="9"/>
    <w:unhideWhenUsed/>
    <w:qFormat/>
    <w:rsid w:val="009F64C5"/>
    <w:pPr>
      <w:keepNext/>
      <w:keepLines/>
      <w:spacing w:after="152" w:line="265" w:lineRule="auto"/>
      <w:ind w:left="10" w:right="2" w:hanging="10"/>
      <w:jc w:val="center"/>
      <w:outlineLvl w:val="1"/>
    </w:pPr>
    <w:rPr>
      <w:rFonts w:ascii="Times New Roman" w:eastAsia="Times New Roman" w:hAnsi="Times New Roman" w:cs="Times New Roman"/>
      <w:b/>
      <w:color w:val="000000"/>
      <w:sz w:val="24"/>
    </w:rPr>
  </w:style>
  <w:style w:type="paragraph" w:styleId="Heading3">
    <w:name w:val="heading 3"/>
    <w:next w:val="Normal"/>
    <w:link w:val="Heading3Char"/>
    <w:uiPriority w:val="9"/>
    <w:unhideWhenUsed/>
    <w:qFormat/>
    <w:rsid w:val="009F64C5"/>
    <w:pPr>
      <w:keepNext/>
      <w:keepLines/>
      <w:spacing w:after="181"/>
      <w:outlineLvl w:val="2"/>
    </w:pPr>
    <w:rPr>
      <w:rFonts w:ascii="Times New Roman" w:eastAsia="Times New Roman" w:hAnsi="Times New Roman" w:cs="Times New Roman"/>
      <w:color w:val="000000"/>
      <w:sz w:val="24"/>
      <w:u w:val="single"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64C5"/>
    <w:rPr>
      <w:rFonts w:ascii="Times New Roman" w:eastAsia="Times New Roman" w:hAnsi="Times New Roman" w:cs="Times New Roman"/>
      <w:b/>
      <w:color w:val="000000"/>
      <w:sz w:val="24"/>
    </w:rPr>
  </w:style>
  <w:style w:type="character" w:customStyle="1" w:styleId="Heading2Char">
    <w:name w:val="Heading 2 Char"/>
    <w:basedOn w:val="DefaultParagraphFont"/>
    <w:link w:val="Heading2"/>
    <w:uiPriority w:val="9"/>
    <w:rsid w:val="009F64C5"/>
    <w:rPr>
      <w:rFonts w:ascii="Times New Roman" w:eastAsia="Times New Roman" w:hAnsi="Times New Roman" w:cs="Times New Roman"/>
      <w:b/>
      <w:color w:val="000000"/>
      <w:sz w:val="24"/>
    </w:rPr>
  </w:style>
  <w:style w:type="character" w:customStyle="1" w:styleId="Heading3Char">
    <w:name w:val="Heading 3 Char"/>
    <w:basedOn w:val="DefaultParagraphFont"/>
    <w:link w:val="Heading3"/>
    <w:uiPriority w:val="9"/>
    <w:rsid w:val="009F64C5"/>
    <w:rPr>
      <w:rFonts w:ascii="Times New Roman" w:eastAsia="Times New Roman" w:hAnsi="Times New Roman" w:cs="Times New Roman"/>
      <w:color w:val="000000"/>
      <w:sz w:val="24"/>
      <w:u w:val="single" w:color="000000"/>
    </w:rPr>
  </w:style>
  <w:style w:type="paragraph" w:styleId="TOC1">
    <w:name w:val="toc 1"/>
    <w:hidden/>
    <w:uiPriority w:val="39"/>
    <w:rsid w:val="009F64C5"/>
    <w:pPr>
      <w:spacing w:after="109" w:line="249" w:lineRule="auto"/>
      <w:ind w:left="25" w:right="19" w:hanging="10"/>
    </w:pPr>
    <w:rPr>
      <w:rFonts w:ascii="Times New Roman" w:eastAsia="Times New Roman" w:hAnsi="Times New Roman" w:cs="Times New Roman"/>
      <w:color w:val="000000"/>
      <w:sz w:val="24"/>
    </w:rPr>
  </w:style>
  <w:style w:type="paragraph" w:styleId="NormalWeb">
    <w:name w:val="Normal (Web)"/>
    <w:basedOn w:val="Normal"/>
    <w:uiPriority w:val="99"/>
    <w:unhideWhenUsed/>
    <w:rsid w:val="000F7CF4"/>
    <w:pPr>
      <w:spacing w:before="100" w:beforeAutospacing="1" w:after="100" w:afterAutospacing="1" w:line="240" w:lineRule="auto"/>
    </w:pPr>
    <w:rPr>
      <w:rFonts w:ascii="Times New Roman" w:eastAsia="Times New Roman" w:hAnsi="Times New Roman" w:cs="Times New Roman"/>
      <w:kern w:val="0"/>
      <w:sz w:val="24"/>
      <w:szCs w:val="24"/>
      <w:lang w:val="en-IN" w:eastAsia="en-IN"/>
      <w14:ligatures w14:val="none"/>
    </w:rPr>
  </w:style>
  <w:style w:type="character" w:styleId="Strong">
    <w:name w:val="Strong"/>
    <w:basedOn w:val="DefaultParagraphFont"/>
    <w:uiPriority w:val="22"/>
    <w:qFormat/>
    <w:rsid w:val="000F7CF4"/>
    <w:rPr>
      <w:b/>
      <w:bCs/>
    </w:rPr>
  </w:style>
  <w:style w:type="table" w:styleId="TableGrid">
    <w:name w:val="Table Grid"/>
    <w:basedOn w:val="TableNormal"/>
    <w:uiPriority w:val="39"/>
    <w:rsid w:val="000F7C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3-Accent4">
    <w:name w:val="Grid Table 3 Accent 4"/>
    <w:basedOn w:val="TableNormal"/>
    <w:uiPriority w:val="48"/>
    <w:rsid w:val="00BA755E"/>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 w:type="paragraph" w:styleId="ListParagraph">
    <w:name w:val="List Paragraph"/>
    <w:basedOn w:val="Normal"/>
    <w:uiPriority w:val="34"/>
    <w:qFormat/>
    <w:rsid w:val="00BA755E"/>
    <w:pPr>
      <w:ind w:left="720"/>
      <w:contextualSpacing/>
    </w:pPr>
  </w:style>
  <w:style w:type="character" w:customStyle="1" w:styleId="whitespace-normal">
    <w:name w:val="whitespace-normal"/>
    <w:basedOn w:val="DefaultParagraphFont"/>
    <w:rsid w:val="009E75F1"/>
  </w:style>
  <w:style w:type="character" w:styleId="Emphasis">
    <w:name w:val="Emphasis"/>
    <w:basedOn w:val="DefaultParagraphFont"/>
    <w:uiPriority w:val="20"/>
    <w:qFormat/>
    <w:rsid w:val="009E75F1"/>
    <w:rPr>
      <w:i/>
      <w:iCs/>
    </w:rPr>
  </w:style>
  <w:style w:type="character" w:styleId="Hyperlink">
    <w:name w:val="Hyperlink"/>
    <w:basedOn w:val="DefaultParagraphFont"/>
    <w:uiPriority w:val="99"/>
    <w:unhideWhenUsed/>
    <w:rsid w:val="009E75F1"/>
    <w:rPr>
      <w:color w:val="0000FF"/>
      <w:u w:val="single"/>
    </w:rPr>
  </w:style>
  <w:style w:type="paragraph" w:styleId="BalloonText">
    <w:name w:val="Balloon Text"/>
    <w:basedOn w:val="Normal"/>
    <w:link w:val="BalloonTextChar"/>
    <w:uiPriority w:val="99"/>
    <w:semiHidden/>
    <w:unhideWhenUsed/>
    <w:rsid w:val="00CB741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B7410"/>
    <w:rPr>
      <w:rFonts w:ascii="Segoe UI" w:hAnsi="Segoe UI" w:cs="Segoe UI"/>
      <w:sz w:val="18"/>
      <w:szCs w:val="18"/>
    </w:rPr>
  </w:style>
  <w:style w:type="paragraph" w:styleId="Header">
    <w:name w:val="header"/>
    <w:basedOn w:val="Normal"/>
    <w:link w:val="HeaderChar"/>
    <w:uiPriority w:val="99"/>
    <w:unhideWhenUsed/>
    <w:rsid w:val="00613C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3CC6"/>
  </w:style>
  <w:style w:type="paragraph" w:styleId="Footer">
    <w:name w:val="footer"/>
    <w:basedOn w:val="Normal"/>
    <w:link w:val="FooterChar"/>
    <w:uiPriority w:val="99"/>
    <w:semiHidden/>
    <w:unhideWhenUsed/>
    <w:rsid w:val="00953E1C"/>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966F88"/>
  </w:style>
  <w:style w:type="paragraph" w:customStyle="1" w:styleId="muitypography-root">
    <w:name w:val="muitypography-root"/>
    <w:basedOn w:val="Normal"/>
    <w:rsid w:val="002923D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apple-converted-space">
    <w:name w:val="apple-converted-space"/>
    <w:basedOn w:val="DefaultParagraphFont"/>
    <w:rsid w:val="00943815"/>
  </w:style>
  <w:style w:type="character" w:styleId="FollowedHyperlink">
    <w:name w:val="FollowedHyperlink"/>
    <w:basedOn w:val="DefaultParagraphFont"/>
    <w:uiPriority w:val="99"/>
    <w:semiHidden/>
    <w:unhideWhenUsed/>
    <w:rsid w:val="00144AE4"/>
    <w:rPr>
      <w:color w:val="954F72" w:themeColor="followedHyperlink"/>
      <w:u w:val="single"/>
    </w:rPr>
  </w:style>
  <w:style w:type="paragraph" w:customStyle="1" w:styleId="css-19idom">
    <w:name w:val="css-19idom"/>
    <w:basedOn w:val="Normal"/>
    <w:rsid w:val="00AB287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618109">
      <w:bodyDiv w:val="1"/>
      <w:marLeft w:val="0"/>
      <w:marRight w:val="0"/>
      <w:marTop w:val="0"/>
      <w:marBottom w:val="0"/>
      <w:divBdr>
        <w:top w:val="none" w:sz="0" w:space="0" w:color="auto"/>
        <w:left w:val="none" w:sz="0" w:space="0" w:color="auto"/>
        <w:bottom w:val="none" w:sz="0" w:space="0" w:color="auto"/>
        <w:right w:val="none" w:sz="0" w:space="0" w:color="auto"/>
      </w:divBdr>
    </w:div>
    <w:div w:id="618414608">
      <w:bodyDiv w:val="1"/>
      <w:marLeft w:val="0"/>
      <w:marRight w:val="0"/>
      <w:marTop w:val="0"/>
      <w:marBottom w:val="0"/>
      <w:divBdr>
        <w:top w:val="none" w:sz="0" w:space="0" w:color="auto"/>
        <w:left w:val="none" w:sz="0" w:space="0" w:color="auto"/>
        <w:bottom w:val="none" w:sz="0" w:space="0" w:color="auto"/>
        <w:right w:val="none" w:sz="0" w:space="0" w:color="auto"/>
      </w:divBdr>
    </w:div>
    <w:div w:id="665323671">
      <w:bodyDiv w:val="1"/>
      <w:marLeft w:val="0"/>
      <w:marRight w:val="0"/>
      <w:marTop w:val="0"/>
      <w:marBottom w:val="0"/>
      <w:divBdr>
        <w:top w:val="none" w:sz="0" w:space="0" w:color="auto"/>
        <w:left w:val="none" w:sz="0" w:space="0" w:color="auto"/>
        <w:bottom w:val="none" w:sz="0" w:space="0" w:color="auto"/>
        <w:right w:val="none" w:sz="0" w:space="0" w:color="auto"/>
      </w:divBdr>
    </w:div>
    <w:div w:id="843783700">
      <w:bodyDiv w:val="1"/>
      <w:marLeft w:val="0"/>
      <w:marRight w:val="0"/>
      <w:marTop w:val="0"/>
      <w:marBottom w:val="0"/>
      <w:divBdr>
        <w:top w:val="none" w:sz="0" w:space="0" w:color="auto"/>
        <w:left w:val="none" w:sz="0" w:space="0" w:color="auto"/>
        <w:bottom w:val="none" w:sz="0" w:space="0" w:color="auto"/>
        <w:right w:val="none" w:sz="0" w:space="0" w:color="auto"/>
      </w:divBdr>
    </w:div>
    <w:div w:id="876695129">
      <w:bodyDiv w:val="1"/>
      <w:marLeft w:val="0"/>
      <w:marRight w:val="0"/>
      <w:marTop w:val="0"/>
      <w:marBottom w:val="0"/>
      <w:divBdr>
        <w:top w:val="none" w:sz="0" w:space="0" w:color="auto"/>
        <w:left w:val="none" w:sz="0" w:space="0" w:color="auto"/>
        <w:bottom w:val="none" w:sz="0" w:space="0" w:color="auto"/>
        <w:right w:val="none" w:sz="0" w:space="0" w:color="auto"/>
      </w:divBdr>
    </w:div>
    <w:div w:id="920602677">
      <w:bodyDiv w:val="1"/>
      <w:marLeft w:val="0"/>
      <w:marRight w:val="0"/>
      <w:marTop w:val="0"/>
      <w:marBottom w:val="0"/>
      <w:divBdr>
        <w:top w:val="none" w:sz="0" w:space="0" w:color="auto"/>
        <w:left w:val="none" w:sz="0" w:space="0" w:color="auto"/>
        <w:bottom w:val="none" w:sz="0" w:space="0" w:color="auto"/>
        <w:right w:val="none" w:sz="0" w:space="0" w:color="auto"/>
      </w:divBdr>
    </w:div>
    <w:div w:id="937636050">
      <w:bodyDiv w:val="1"/>
      <w:marLeft w:val="0"/>
      <w:marRight w:val="0"/>
      <w:marTop w:val="0"/>
      <w:marBottom w:val="0"/>
      <w:divBdr>
        <w:top w:val="none" w:sz="0" w:space="0" w:color="auto"/>
        <w:left w:val="none" w:sz="0" w:space="0" w:color="auto"/>
        <w:bottom w:val="none" w:sz="0" w:space="0" w:color="auto"/>
        <w:right w:val="none" w:sz="0" w:space="0" w:color="auto"/>
      </w:divBdr>
    </w:div>
    <w:div w:id="974988345">
      <w:bodyDiv w:val="1"/>
      <w:marLeft w:val="0"/>
      <w:marRight w:val="0"/>
      <w:marTop w:val="0"/>
      <w:marBottom w:val="0"/>
      <w:divBdr>
        <w:top w:val="none" w:sz="0" w:space="0" w:color="auto"/>
        <w:left w:val="none" w:sz="0" w:space="0" w:color="auto"/>
        <w:bottom w:val="none" w:sz="0" w:space="0" w:color="auto"/>
        <w:right w:val="none" w:sz="0" w:space="0" w:color="auto"/>
      </w:divBdr>
    </w:div>
    <w:div w:id="1021275665">
      <w:bodyDiv w:val="1"/>
      <w:marLeft w:val="0"/>
      <w:marRight w:val="0"/>
      <w:marTop w:val="0"/>
      <w:marBottom w:val="0"/>
      <w:divBdr>
        <w:top w:val="none" w:sz="0" w:space="0" w:color="auto"/>
        <w:left w:val="none" w:sz="0" w:space="0" w:color="auto"/>
        <w:bottom w:val="none" w:sz="0" w:space="0" w:color="auto"/>
        <w:right w:val="none" w:sz="0" w:space="0" w:color="auto"/>
      </w:divBdr>
    </w:div>
    <w:div w:id="1251814292">
      <w:bodyDiv w:val="1"/>
      <w:marLeft w:val="0"/>
      <w:marRight w:val="0"/>
      <w:marTop w:val="0"/>
      <w:marBottom w:val="0"/>
      <w:divBdr>
        <w:top w:val="none" w:sz="0" w:space="0" w:color="auto"/>
        <w:left w:val="none" w:sz="0" w:space="0" w:color="auto"/>
        <w:bottom w:val="none" w:sz="0" w:space="0" w:color="auto"/>
        <w:right w:val="none" w:sz="0" w:space="0" w:color="auto"/>
      </w:divBdr>
      <w:divsChild>
        <w:div w:id="197764469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23124050">
      <w:bodyDiv w:val="1"/>
      <w:marLeft w:val="0"/>
      <w:marRight w:val="0"/>
      <w:marTop w:val="0"/>
      <w:marBottom w:val="0"/>
      <w:divBdr>
        <w:top w:val="none" w:sz="0" w:space="0" w:color="auto"/>
        <w:left w:val="none" w:sz="0" w:space="0" w:color="auto"/>
        <w:bottom w:val="none" w:sz="0" w:space="0" w:color="auto"/>
        <w:right w:val="none" w:sz="0" w:space="0" w:color="auto"/>
      </w:divBdr>
    </w:div>
    <w:div w:id="1582449943">
      <w:bodyDiv w:val="1"/>
      <w:marLeft w:val="0"/>
      <w:marRight w:val="0"/>
      <w:marTop w:val="0"/>
      <w:marBottom w:val="0"/>
      <w:divBdr>
        <w:top w:val="none" w:sz="0" w:space="0" w:color="auto"/>
        <w:left w:val="none" w:sz="0" w:space="0" w:color="auto"/>
        <w:bottom w:val="none" w:sz="0" w:space="0" w:color="auto"/>
        <w:right w:val="none" w:sz="0" w:space="0" w:color="auto"/>
      </w:divBdr>
    </w:div>
    <w:div w:id="1753237731">
      <w:bodyDiv w:val="1"/>
      <w:marLeft w:val="0"/>
      <w:marRight w:val="0"/>
      <w:marTop w:val="0"/>
      <w:marBottom w:val="0"/>
      <w:divBdr>
        <w:top w:val="none" w:sz="0" w:space="0" w:color="auto"/>
        <w:left w:val="none" w:sz="0" w:space="0" w:color="auto"/>
        <w:bottom w:val="none" w:sz="0" w:space="0" w:color="auto"/>
        <w:right w:val="none" w:sz="0" w:space="0" w:color="auto"/>
      </w:divBdr>
    </w:div>
    <w:div w:id="1758673594">
      <w:bodyDiv w:val="1"/>
      <w:marLeft w:val="0"/>
      <w:marRight w:val="0"/>
      <w:marTop w:val="0"/>
      <w:marBottom w:val="0"/>
      <w:divBdr>
        <w:top w:val="none" w:sz="0" w:space="0" w:color="auto"/>
        <w:left w:val="none" w:sz="0" w:space="0" w:color="auto"/>
        <w:bottom w:val="none" w:sz="0" w:space="0" w:color="auto"/>
        <w:right w:val="none" w:sz="0" w:space="0" w:color="auto"/>
      </w:divBdr>
    </w:div>
    <w:div w:id="1796410884">
      <w:bodyDiv w:val="1"/>
      <w:marLeft w:val="0"/>
      <w:marRight w:val="0"/>
      <w:marTop w:val="0"/>
      <w:marBottom w:val="0"/>
      <w:divBdr>
        <w:top w:val="none" w:sz="0" w:space="0" w:color="auto"/>
        <w:left w:val="none" w:sz="0" w:space="0" w:color="auto"/>
        <w:bottom w:val="none" w:sz="0" w:space="0" w:color="auto"/>
        <w:right w:val="none" w:sz="0" w:space="0" w:color="auto"/>
      </w:divBdr>
    </w:div>
    <w:div w:id="1797914717">
      <w:bodyDiv w:val="1"/>
      <w:marLeft w:val="0"/>
      <w:marRight w:val="0"/>
      <w:marTop w:val="0"/>
      <w:marBottom w:val="0"/>
      <w:divBdr>
        <w:top w:val="none" w:sz="0" w:space="0" w:color="auto"/>
        <w:left w:val="none" w:sz="0" w:space="0" w:color="auto"/>
        <w:bottom w:val="none" w:sz="0" w:space="0" w:color="auto"/>
        <w:right w:val="none" w:sz="0" w:space="0" w:color="auto"/>
      </w:divBdr>
    </w:div>
    <w:div w:id="1869101573">
      <w:bodyDiv w:val="1"/>
      <w:marLeft w:val="0"/>
      <w:marRight w:val="0"/>
      <w:marTop w:val="0"/>
      <w:marBottom w:val="0"/>
      <w:divBdr>
        <w:top w:val="none" w:sz="0" w:space="0" w:color="auto"/>
        <w:left w:val="none" w:sz="0" w:space="0" w:color="auto"/>
        <w:bottom w:val="none" w:sz="0" w:space="0" w:color="auto"/>
        <w:right w:val="none" w:sz="0" w:space="0" w:color="auto"/>
      </w:divBdr>
      <w:divsChild>
        <w:div w:id="1345281361">
          <w:marLeft w:val="0"/>
          <w:marRight w:val="0"/>
          <w:marTop w:val="0"/>
          <w:marBottom w:val="0"/>
          <w:divBdr>
            <w:top w:val="none" w:sz="0" w:space="0" w:color="auto"/>
            <w:left w:val="none" w:sz="0" w:space="0" w:color="auto"/>
            <w:bottom w:val="none" w:sz="0" w:space="0" w:color="auto"/>
            <w:right w:val="none" w:sz="0" w:space="0" w:color="auto"/>
          </w:divBdr>
          <w:divsChild>
            <w:div w:id="1941639198">
              <w:marLeft w:val="0"/>
              <w:marRight w:val="0"/>
              <w:marTop w:val="0"/>
              <w:marBottom w:val="0"/>
              <w:divBdr>
                <w:top w:val="none" w:sz="0" w:space="0" w:color="auto"/>
                <w:left w:val="none" w:sz="0" w:space="0" w:color="auto"/>
                <w:bottom w:val="none" w:sz="0" w:space="0" w:color="auto"/>
                <w:right w:val="none" w:sz="0" w:space="0" w:color="auto"/>
              </w:divBdr>
              <w:divsChild>
                <w:div w:id="1977878788">
                  <w:marLeft w:val="0"/>
                  <w:marRight w:val="0"/>
                  <w:marTop w:val="0"/>
                  <w:marBottom w:val="0"/>
                  <w:divBdr>
                    <w:top w:val="none" w:sz="0" w:space="0" w:color="auto"/>
                    <w:left w:val="none" w:sz="0" w:space="0" w:color="auto"/>
                    <w:bottom w:val="none" w:sz="0" w:space="0" w:color="auto"/>
                    <w:right w:val="none" w:sz="0" w:space="0" w:color="auto"/>
                  </w:divBdr>
                  <w:divsChild>
                    <w:div w:id="252209896">
                      <w:marLeft w:val="0"/>
                      <w:marRight w:val="0"/>
                      <w:marTop w:val="0"/>
                      <w:marBottom w:val="0"/>
                      <w:divBdr>
                        <w:top w:val="none" w:sz="0" w:space="0" w:color="auto"/>
                        <w:left w:val="none" w:sz="0" w:space="0" w:color="auto"/>
                        <w:bottom w:val="none" w:sz="0" w:space="0" w:color="auto"/>
                        <w:right w:val="none" w:sz="0" w:space="0" w:color="auto"/>
                      </w:divBdr>
                      <w:divsChild>
                        <w:div w:id="1370573222">
                          <w:marLeft w:val="0"/>
                          <w:marRight w:val="0"/>
                          <w:marTop w:val="0"/>
                          <w:marBottom w:val="0"/>
                          <w:divBdr>
                            <w:top w:val="none" w:sz="0" w:space="0" w:color="auto"/>
                            <w:left w:val="none" w:sz="0" w:space="0" w:color="auto"/>
                            <w:bottom w:val="none" w:sz="0" w:space="0" w:color="auto"/>
                            <w:right w:val="none" w:sz="0" w:space="0" w:color="auto"/>
                          </w:divBdr>
                          <w:divsChild>
                            <w:div w:id="642851487">
                              <w:marLeft w:val="0"/>
                              <w:marRight w:val="0"/>
                              <w:marTop w:val="0"/>
                              <w:marBottom w:val="0"/>
                              <w:divBdr>
                                <w:top w:val="none" w:sz="0" w:space="0" w:color="auto"/>
                                <w:left w:val="none" w:sz="0" w:space="0" w:color="auto"/>
                                <w:bottom w:val="none" w:sz="0" w:space="0" w:color="auto"/>
                                <w:right w:val="none" w:sz="0" w:space="0" w:color="auto"/>
                              </w:divBdr>
                              <w:divsChild>
                                <w:div w:id="1721856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372142">
          <w:marLeft w:val="0"/>
          <w:marRight w:val="0"/>
          <w:marTop w:val="0"/>
          <w:marBottom w:val="0"/>
          <w:divBdr>
            <w:top w:val="none" w:sz="0" w:space="0" w:color="auto"/>
            <w:left w:val="none" w:sz="0" w:space="0" w:color="auto"/>
            <w:bottom w:val="none" w:sz="0" w:space="0" w:color="auto"/>
            <w:right w:val="none" w:sz="0" w:space="0" w:color="auto"/>
          </w:divBdr>
          <w:divsChild>
            <w:div w:id="958297226">
              <w:marLeft w:val="0"/>
              <w:marRight w:val="0"/>
              <w:marTop w:val="0"/>
              <w:marBottom w:val="0"/>
              <w:divBdr>
                <w:top w:val="none" w:sz="0" w:space="0" w:color="auto"/>
                <w:left w:val="none" w:sz="0" w:space="0" w:color="auto"/>
                <w:bottom w:val="none" w:sz="0" w:space="0" w:color="auto"/>
                <w:right w:val="none" w:sz="0" w:space="0" w:color="auto"/>
              </w:divBdr>
              <w:divsChild>
                <w:div w:id="630982828">
                  <w:marLeft w:val="0"/>
                  <w:marRight w:val="0"/>
                  <w:marTop w:val="0"/>
                  <w:marBottom w:val="0"/>
                  <w:divBdr>
                    <w:top w:val="none" w:sz="0" w:space="0" w:color="auto"/>
                    <w:left w:val="none" w:sz="0" w:space="0" w:color="auto"/>
                    <w:bottom w:val="none" w:sz="0" w:space="0" w:color="auto"/>
                    <w:right w:val="none" w:sz="0" w:space="0" w:color="auto"/>
                  </w:divBdr>
                  <w:divsChild>
                    <w:div w:id="90053845">
                      <w:marLeft w:val="0"/>
                      <w:marRight w:val="0"/>
                      <w:marTop w:val="0"/>
                      <w:marBottom w:val="0"/>
                      <w:divBdr>
                        <w:top w:val="none" w:sz="0" w:space="0" w:color="auto"/>
                        <w:left w:val="none" w:sz="0" w:space="0" w:color="auto"/>
                        <w:bottom w:val="none" w:sz="0" w:space="0" w:color="auto"/>
                        <w:right w:val="none" w:sz="0" w:space="0" w:color="auto"/>
                      </w:divBdr>
                      <w:divsChild>
                        <w:div w:id="1703357964">
                          <w:marLeft w:val="0"/>
                          <w:marRight w:val="0"/>
                          <w:marTop w:val="0"/>
                          <w:marBottom w:val="0"/>
                          <w:divBdr>
                            <w:top w:val="none" w:sz="0" w:space="0" w:color="auto"/>
                            <w:left w:val="none" w:sz="0" w:space="0" w:color="auto"/>
                            <w:bottom w:val="none" w:sz="0" w:space="0" w:color="auto"/>
                            <w:right w:val="none" w:sz="0" w:space="0" w:color="auto"/>
                          </w:divBdr>
                          <w:divsChild>
                            <w:div w:id="760679861">
                              <w:marLeft w:val="0"/>
                              <w:marRight w:val="0"/>
                              <w:marTop w:val="0"/>
                              <w:marBottom w:val="0"/>
                              <w:divBdr>
                                <w:top w:val="none" w:sz="0" w:space="0" w:color="auto"/>
                                <w:left w:val="none" w:sz="0" w:space="0" w:color="auto"/>
                                <w:bottom w:val="none" w:sz="0" w:space="0" w:color="auto"/>
                                <w:right w:val="none" w:sz="0" w:space="0" w:color="auto"/>
                              </w:divBdr>
                              <w:divsChild>
                                <w:div w:id="314066666">
                                  <w:marLeft w:val="0"/>
                                  <w:marRight w:val="0"/>
                                  <w:marTop w:val="0"/>
                                  <w:marBottom w:val="0"/>
                                  <w:divBdr>
                                    <w:top w:val="none" w:sz="0" w:space="0" w:color="auto"/>
                                    <w:left w:val="none" w:sz="0" w:space="0" w:color="auto"/>
                                    <w:bottom w:val="none" w:sz="0" w:space="0" w:color="auto"/>
                                    <w:right w:val="none" w:sz="0" w:space="0" w:color="auto"/>
                                  </w:divBdr>
                                  <w:divsChild>
                                    <w:div w:id="456679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45183875">
          <w:marLeft w:val="0"/>
          <w:marRight w:val="0"/>
          <w:marTop w:val="0"/>
          <w:marBottom w:val="0"/>
          <w:divBdr>
            <w:top w:val="none" w:sz="0" w:space="0" w:color="auto"/>
            <w:left w:val="none" w:sz="0" w:space="0" w:color="auto"/>
            <w:bottom w:val="none" w:sz="0" w:space="0" w:color="auto"/>
            <w:right w:val="none" w:sz="0" w:space="0" w:color="auto"/>
          </w:divBdr>
          <w:divsChild>
            <w:div w:id="1792548738">
              <w:marLeft w:val="0"/>
              <w:marRight w:val="0"/>
              <w:marTop w:val="0"/>
              <w:marBottom w:val="0"/>
              <w:divBdr>
                <w:top w:val="none" w:sz="0" w:space="0" w:color="auto"/>
                <w:left w:val="none" w:sz="0" w:space="0" w:color="auto"/>
                <w:bottom w:val="none" w:sz="0" w:space="0" w:color="auto"/>
                <w:right w:val="none" w:sz="0" w:space="0" w:color="auto"/>
              </w:divBdr>
              <w:divsChild>
                <w:div w:id="1250694338">
                  <w:marLeft w:val="0"/>
                  <w:marRight w:val="0"/>
                  <w:marTop w:val="0"/>
                  <w:marBottom w:val="0"/>
                  <w:divBdr>
                    <w:top w:val="none" w:sz="0" w:space="0" w:color="auto"/>
                    <w:left w:val="none" w:sz="0" w:space="0" w:color="auto"/>
                    <w:bottom w:val="none" w:sz="0" w:space="0" w:color="auto"/>
                    <w:right w:val="none" w:sz="0" w:space="0" w:color="auto"/>
                  </w:divBdr>
                  <w:divsChild>
                    <w:div w:id="1697002028">
                      <w:marLeft w:val="0"/>
                      <w:marRight w:val="0"/>
                      <w:marTop w:val="0"/>
                      <w:marBottom w:val="0"/>
                      <w:divBdr>
                        <w:top w:val="none" w:sz="0" w:space="0" w:color="auto"/>
                        <w:left w:val="none" w:sz="0" w:space="0" w:color="auto"/>
                        <w:bottom w:val="none" w:sz="0" w:space="0" w:color="auto"/>
                        <w:right w:val="none" w:sz="0" w:space="0" w:color="auto"/>
                      </w:divBdr>
                      <w:divsChild>
                        <w:div w:id="566375677">
                          <w:marLeft w:val="0"/>
                          <w:marRight w:val="0"/>
                          <w:marTop w:val="0"/>
                          <w:marBottom w:val="0"/>
                          <w:divBdr>
                            <w:top w:val="none" w:sz="0" w:space="0" w:color="auto"/>
                            <w:left w:val="none" w:sz="0" w:space="0" w:color="auto"/>
                            <w:bottom w:val="none" w:sz="0" w:space="0" w:color="auto"/>
                            <w:right w:val="none" w:sz="0" w:space="0" w:color="auto"/>
                          </w:divBdr>
                          <w:divsChild>
                            <w:div w:id="1583677701">
                              <w:marLeft w:val="0"/>
                              <w:marRight w:val="0"/>
                              <w:marTop w:val="0"/>
                              <w:marBottom w:val="0"/>
                              <w:divBdr>
                                <w:top w:val="none" w:sz="0" w:space="0" w:color="auto"/>
                                <w:left w:val="none" w:sz="0" w:space="0" w:color="auto"/>
                                <w:bottom w:val="none" w:sz="0" w:space="0" w:color="auto"/>
                                <w:right w:val="none" w:sz="0" w:space="0" w:color="auto"/>
                              </w:divBdr>
                              <w:divsChild>
                                <w:div w:id="338511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01402148">
      <w:bodyDiv w:val="1"/>
      <w:marLeft w:val="0"/>
      <w:marRight w:val="0"/>
      <w:marTop w:val="0"/>
      <w:marBottom w:val="0"/>
      <w:divBdr>
        <w:top w:val="none" w:sz="0" w:space="0" w:color="auto"/>
        <w:left w:val="none" w:sz="0" w:space="0" w:color="auto"/>
        <w:bottom w:val="none" w:sz="0" w:space="0" w:color="auto"/>
        <w:right w:val="none" w:sz="0" w:space="0" w:color="auto"/>
      </w:divBdr>
    </w:div>
    <w:div w:id="1917935462">
      <w:bodyDiv w:val="1"/>
      <w:marLeft w:val="0"/>
      <w:marRight w:val="0"/>
      <w:marTop w:val="0"/>
      <w:marBottom w:val="0"/>
      <w:divBdr>
        <w:top w:val="none" w:sz="0" w:space="0" w:color="auto"/>
        <w:left w:val="none" w:sz="0" w:space="0" w:color="auto"/>
        <w:bottom w:val="none" w:sz="0" w:space="0" w:color="auto"/>
        <w:right w:val="none" w:sz="0" w:space="0" w:color="auto"/>
      </w:divBdr>
    </w:div>
    <w:div w:id="1976374303">
      <w:bodyDiv w:val="1"/>
      <w:marLeft w:val="0"/>
      <w:marRight w:val="0"/>
      <w:marTop w:val="0"/>
      <w:marBottom w:val="0"/>
      <w:divBdr>
        <w:top w:val="none" w:sz="0" w:space="0" w:color="auto"/>
        <w:left w:val="none" w:sz="0" w:space="0" w:color="auto"/>
        <w:bottom w:val="none" w:sz="0" w:space="0" w:color="auto"/>
        <w:right w:val="none" w:sz="0" w:space="0" w:color="auto"/>
      </w:divBdr>
    </w:div>
    <w:div w:id="2099128730">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doi.org/10.1016/S2468-2667(17)30011-7" TargetMode="External"/><Relationship Id="rId21" Type="http://schemas.openxmlformats.org/officeDocument/2006/relationships/image" Target="media/image9.jpeg"/><Relationship Id="rId42" Type="http://schemas.openxmlformats.org/officeDocument/2006/relationships/hyperlink" Target="https://doi.org/10.1037/amp0000092" TargetMode="External"/><Relationship Id="rId47" Type="http://schemas.openxmlformats.org/officeDocument/2006/relationships/hyperlink" Target="https://chicagounbound.uchicago.edu/uclf/vol1989/iss1/8/" TargetMode="External"/><Relationship Id="rId63" Type="http://schemas.openxmlformats.org/officeDocument/2006/relationships/hyperlink" Target="https://doi.org/10.1080/17441692.2017.1371273" TargetMode="External"/><Relationship Id="rId68" Type="http://schemas.openxmlformats.org/officeDocument/2006/relationships/hyperlink" Target="https://doi.org/10.1016/S0140-6736(11)60827-1" TargetMode="External"/><Relationship Id="rId84" Type="http://schemas.openxmlformats.org/officeDocument/2006/relationships/hyperlink" Target="https://doi.org/10.1016/S2215-0366(20)30223-6" TargetMode="External"/><Relationship Id="rId89" Type="http://schemas.openxmlformats.org/officeDocument/2006/relationships/hyperlink" Target="https://www.nhsrho.org" TargetMode="External"/><Relationship Id="rId112" Type="http://schemas.openxmlformats.org/officeDocument/2006/relationships/hyperlink" Target="https://doi.org/10.1136/jech-2015-206436" TargetMode="External"/><Relationship Id="rId16" Type="http://schemas.openxmlformats.org/officeDocument/2006/relationships/image" Target="media/image4.jpeg"/><Relationship Id="rId107" Type="http://schemas.openxmlformats.org/officeDocument/2006/relationships/hyperlink" Target="https://doi.org/10.1177/1098214005283748" TargetMode="External"/><Relationship Id="rId11" Type="http://schemas.openxmlformats.org/officeDocument/2006/relationships/customXml" Target="ink/ink2.xml"/><Relationship Id="rId32" Type="http://schemas.openxmlformats.org/officeDocument/2006/relationships/hyperlink" Target="https://doi.org/10.1016/j.socscimed.2015.05.001" TargetMode="External"/><Relationship Id="rId37" Type="http://schemas.openxmlformats.org/officeDocument/2006/relationships/hyperlink" Target="https://doi.org/10.2105/AJPH.2012.300750" TargetMode="External"/><Relationship Id="rId53" Type="http://schemas.openxmlformats.org/officeDocument/2006/relationships/hyperlink" Target="https://link.springer.com/book/10.1007/978-3-319-50019-9" TargetMode="External"/><Relationship Id="rId58" Type="http://schemas.openxmlformats.org/officeDocument/2006/relationships/hyperlink" Target="https://doi.org/10.1371/journal.pone.0138237" TargetMode="External"/><Relationship Id="rId74" Type="http://schemas.openxmlformats.org/officeDocument/2006/relationships/hyperlink" Target="https://doi.org/10.1186/s12888-017-1452-7" TargetMode="External"/><Relationship Id="rId79" Type="http://schemas.openxmlformats.org/officeDocument/2006/relationships/hyperlink" Target="https://digital.nhs.uk" TargetMode="External"/><Relationship Id="rId102" Type="http://schemas.openxmlformats.org/officeDocument/2006/relationships/hyperlink" Target="https://doi.org/10.1136/bmjopen-2017-020632" TargetMode="External"/><Relationship Id="rId123" Type="http://schemas.openxmlformats.org/officeDocument/2006/relationships/header" Target="header2.xml"/><Relationship Id="rId128" Type="http://schemas.openxmlformats.org/officeDocument/2006/relationships/fontTable" Target="fontTable.xml"/><Relationship Id="rId5" Type="http://schemas.openxmlformats.org/officeDocument/2006/relationships/webSettings" Target="webSettings.xml"/><Relationship Id="rId90" Type="http://schemas.openxmlformats.org/officeDocument/2006/relationships/hyperlink" Target="https://doi.org/10.1177/1609406917733847" TargetMode="External"/><Relationship Id="rId95" Type="http://schemas.openxmlformats.org/officeDocument/2006/relationships/hyperlink" Target="https://doi.org/10.11124/JBIES-19-00169" TargetMode="External"/><Relationship Id="rId22" Type="http://schemas.openxmlformats.org/officeDocument/2006/relationships/image" Target="media/image10.jpeg"/><Relationship Id="rId27" Type="http://schemas.openxmlformats.org/officeDocument/2006/relationships/hyperlink" Target="https://doi.org/10.1007/s00127-020-01922-4" TargetMode="External"/><Relationship Id="rId43" Type="http://schemas.openxmlformats.org/officeDocument/2006/relationships/hyperlink" Target="https://doi.org/10.1017/S0033291714000129" TargetMode="External"/><Relationship Id="rId48" Type="http://schemas.openxmlformats.org/officeDocument/2006/relationships/hyperlink" Target="https://doi.org/10.1017/S0033291716000223" TargetMode="External"/><Relationship Id="rId64" Type="http://schemas.openxmlformats.org/officeDocument/2006/relationships/hyperlink" Target="https://doi.org/10.1080/17441692.2017.1371273" TargetMode="External"/><Relationship Id="rId69" Type="http://schemas.openxmlformats.org/officeDocument/2006/relationships/hyperlink" Target="https://doi.org/10.3102/0013189X035007003" TargetMode="External"/><Relationship Id="rId113" Type="http://schemas.openxmlformats.org/officeDocument/2006/relationships/hyperlink" Target="https://doi.org/10.1080/13613324.2013.843517" TargetMode="External"/><Relationship Id="rId118" Type="http://schemas.openxmlformats.org/officeDocument/2006/relationships/hyperlink" Target="https://www.penguin.co.uk/books/1005375/the-spirit-level-by-wilkinson-richard-and-kate-pickett/9780241954294" TargetMode="External"/><Relationship Id="rId80" Type="http://schemas.openxmlformats.org/officeDocument/2006/relationships/hyperlink" Target="https://doi.org/10.1186/s12888-016-0926-1" TargetMode="External"/><Relationship Id="rId85" Type="http://schemas.openxmlformats.org/officeDocument/2006/relationships/hyperlink" Target="https://doi.org/10.1186/s12874-018-0611-x" TargetMode="External"/><Relationship Id="rId12" Type="http://schemas.openxmlformats.org/officeDocument/2006/relationships/customXml" Target="ink/ink3.xml"/><Relationship Id="rId17" Type="http://schemas.openxmlformats.org/officeDocument/2006/relationships/image" Target="media/image5.jpeg"/><Relationship Id="rId33" Type="http://schemas.openxmlformats.org/officeDocument/2006/relationships/hyperlink" Target="https://doi.org/10.1097/YCO.0000000000000411" TargetMode="External"/><Relationship Id="rId38" Type="http://schemas.openxmlformats.org/officeDocument/2006/relationships/hyperlink" Target="https://doi.org/10.1191/1478088706qp063oa" TargetMode="External"/><Relationship Id="rId59" Type="http://schemas.openxmlformats.org/officeDocument/2006/relationships/hyperlink" Target="https://doi.org/10.1002/9781119536604" TargetMode="External"/><Relationship Id="rId103" Type="http://schemas.openxmlformats.org/officeDocument/2006/relationships/hyperlink" Target="https://www.pearson.com/en-gb/subject-catalog/p/research-methods-for-business-students/P200000006416" TargetMode="External"/><Relationship Id="rId108" Type="http://schemas.openxmlformats.org/officeDocument/2006/relationships/hyperlink" Target="https://www.cambridge.org/core/books/stigma-and-discrimination/" TargetMode="External"/><Relationship Id="rId124" Type="http://schemas.openxmlformats.org/officeDocument/2006/relationships/footer" Target="footer1.xml"/><Relationship Id="rId129" Type="http://schemas.openxmlformats.org/officeDocument/2006/relationships/theme" Target="theme/theme1.xml"/><Relationship Id="rId54" Type="http://schemas.openxmlformats.org/officeDocument/2006/relationships/hyperlink" Target="https://doi.org/10.2105/AJPH.2009.171058" TargetMode="External"/><Relationship Id="rId70" Type="http://schemas.openxmlformats.org/officeDocument/2006/relationships/hyperlink" Target="https://us.sagepub.com/en-us/nam/naturalistic-inquiry/book842" TargetMode="External"/><Relationship Id="rId75" Type="http://schemas.openxmlformats.org/officeDocument/2006/relationships/hyperlink" Target="https://www.instituteofhealthequity.org/resources-reports/fair-society-healthy-lives-the-marmot-review" TargetMode="External"/><Relationship Id="rId91" Type="http://schemas.openxmlformats.org/officeDocument/2006/relationships/hyperlink" Target="https://www.ons.gov.uk" TargetMode="External"/><Relationship Id="rId96" Type="http://schemas.openxmlformats.org/officeDocument/2006/relationships/hyperlink" Target="https://doi.org/10.1017/S0033291715000298"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doi.org/10.3109/09540261.2014.928270" TargetMode="External"/><Relationship Id="rId28" Type="http://schemas.openxmlformats.org/officeDocument/2006/relationships/hyperlink" Target="https://doi.org/10.1016/S0140-6736(17)30569-X" TargetMode="External"/><Relationship Id="rId49" Type="http://schemas.openxmlformats.org/officeDocument/2006/relationships/hyperlink" Target="https://nyupress.org/9781479851393/critical-race-theory-third-edition/" TargetMode="External"/><Relationship Id="rId114" Type="http://schemas.openxmlformats.org/officeDocument/2006/relationships/hyperlink" Target="https://www.who.int/publications/i/item/9789241506809" TargetMode="External"/><Relationship Id="rId119" Type="http://schemas.openxmlformats.org/officeDocument/2006/relationships/hyperlink" Target="https://doi.org/10.1146/annurev-publhealth-031912-114402" TargetMode="External"/><Relationship Id="rId44" Type="http://schemas.openxmlformats.org/officeDocument/2006/relationships/hyperlink" Target="https://www.politybooks.com/bookdetail?book_slug=intersectionality--9780745699068" TargetMode="External"/><Relationship Id="rId60" Type="http://schemas.openxmlformats.org/officeDocument/2006/relationships/hyperlink" Target="https://doi.org/10.1111/1468-0009.12210" TargetMode="External"/><Relationship Id="rId65" Type="http://schemas.openxmlformats.org/officeDocument/2006/relationships/hyperlink" Target="https://doi.org/10.1001/archpsyc.62.6.593" TargetMode="External"/><Relationship Id="rId81" Type="http://schemas.openxmlformats.org/officeDocument/2006/relationships/hyperlink" Target="https://doi.org/10.1080/17542863.2015.1128689" TargetMode="External"/><Relationship Id="rId86" Type="http://schemas.openxmlformats.org/officeDocument/2006/relationships/hyperlink" Target="https://doi.org/10.1146/annurev-publhealth-090419-102229" TargetMode="External"/><Relationship Id="rId13" Type="http://schemas.openxmlformats.org/officeDocument/2006/relationships/customXml" Target="ink/ink4.xml"/><Relationship Id="rId18" Type="http://schemas.openxmlformats.org/officeDocument/2006/relationships/image" Target="media/image6.jpeg"/><Relationship Id="rId39" Type="http://schemas.openxmlformats.org/officeDocument/2006/relationships/hyperlink" Target="https://doi.org/10.4135/9781526432725" TargetMode="External"/><Relationship Id="rId109" Type="http://schemas.openxmlformats.org/officeDocument/2006/relationships/hyperlink" Target="https://www.routledge.com/Black-White-or-Mixed-Race/Tizard-Phoenix/p/book/9780415289312" TargetMode="External"/><Relationship Id="rId34" Type="http://schemas.openxmlformats.org/officeDocument/2006/relationships/hyperlink" Target="https://doi.org/10.1192/bjp.2018.114" TargetMode="External"/><Relationship Id="rId50" Type="http://schemas.openxmlformats.org/officeDocument/2006/relationships/hyperlink" Target="https://www.gov.uk/government/statistics" TargetMode="External"/><Relationship Id="rId55" Type="http://schemas.openxmlformats.org/officeDocument/2006/relationships/hyperlink" Target="https://www.routledge.com/Racism-and-Education-Coincidence-or-Conspiracy/Gillborn/p/book/9780415357998" TargetMode="External"/><Relationship Id="rId76" Type="http://schemas.openxmlformats.org/officeDocument/2006/relationships/hyperlink" Target="https://www.instituteofhealthequity.org/resources-reports/build-back-fairer-the-covid-19-marmot-review" TargetMode="External"/><Relationship Id="rId97" Type="http://schemas.openxmlformats.org/officeDocument/2006/relationships/hyperlink" Target="https://doi.org/10.1016/j.socscimed.2012.11.031" TargetMode="External"/><Relationship Id="rId104" Type="http://schemas.openxmlformats.org/officeDocument/2006/relationships/hyperlink" Target="https://doi.org/10.1037/a0035754" TargetMode="External"/><Relationship Id="rId120" Type="http://schemas.openxmlformats.org/officeDocument/2006/relationships/hyperlink" Target="https://doi.org/10.1146/annurev-publhealth-040218-043750" TargetMode="External"/><Relationship Id="rId125" Type="http://schemas.openxmlformats.org/officeDocument/2006/relationships/footer" Target="footer2.xml"/><Relationship Id="rId7" Type="http://schemas.openxmlformats.org/officeDocument/2006/relationships/endnotes" Target="endnotes.xml"/><Relationship Id="rId71" Type="http://schemas.openxmlformats.org/officeDocument/2006/relationships/hyperlink" Target="https://doi.org/10.1016/j.jaac.2020.05.009" TargetMode="External"/><Relationship Id="rId92" Type="http://schemas.openxmlformats.org/officeDocument/2006/relationships/hyperlink" Target="https://doi.org/10.1136/bmj.n71" TargetMode="External"/><Relationship Id="rId2" Type="http://schemas.openxmlformats.org/officeDocument/2006/relationships/numbering" Target="numbering.xml"/><Relationship Id="rId29" Type="http://schemas.openxmlformats.org/officeDocument/2006/relationships/hyperlink" Target="https://doi.org/10.1016/S0140-6736(21)00524-1" TargetMode="External"/><Relationship Id="rId24" Type="http://schemas.openxmlformats.org/officeDocument/2006/relationships/hyperlink" Target="https://pubmed.ncbi.nlm.nih.gov/17138910/" TargetMode="External"/><Relationship Id="rId40" Type="http://schemas.openxmlformats.org/officeDocument/2006/relationships/hyperlink" Target="https://doi.org/10.1177/00333549141291S206" TargetMode="External"/><Relationship Id="rId45" Type="http://schemas.openxmlformats.org/officeDocument/2006/relationships/hyperlink" Target="https://doi.org/10.1007/s00127-012-0565-y" TargetMode="External"/><Relationship Id="rId66" Type="http://schemas.openxmlformats.org/officeDocument/2006/relationships/hyperlink" Target="https://doi.org/10.1097/YCO.0b013e32816ebc8c" TargetMode="External"/><Relationship Id="rId87" Type="http://schemas.openxmlformats.org/officeDocument/2006/relationships/hyperlink" Target="https://doi.org/10.1016/S0140-6736(20)30227-9" TargetMode="External"/><Relationship Id="rId110" Type="http://schemas.openxmlformats.org/officeDocument/2006/relationships/hyperlink" Target="https://doi.org/10.1002/wps.20221" TargetMode="External"/><Relationship Id="rId115" Type="http://schemas.openxmlformats.org/officeDocument/2006/relationships/hyperlink" Target="https://www.who.int" TargetMode="External"/><Relationship Id="rId61" Type="http://schemas.openxmlformats.org/officeDocument/2006/relationships/hyperlink" Target="https://doi.org/10.1016/S2215-0366(21)00485-0" TargetMode="External"/><Relationship Id="rId82" Type="http://schemas.openxmlformats.org/officeDocument/2006/relationships/hyperlink" Target="https://doi.org/10.1037/0033-2909.129.5.674" TargetMode="External"/><Relationship Id="rId19" Type="http://schemas.openxmlformats.org/officeDocument/2006/relationships/image" Target="media/image7.png"/><Relationship Id="rId14" Type="http://schemas.openxmlformats.org/officeDocument/2006/relationships/image" Target="media/image2.jpeg"/><Relationship Id="rId30" Type="http://schemas.openxmlformats.org/officeDocument/2006/relationships/hyperlink" Target="https://doi.org/10.1136/jech-2020-214401" TargetMode="External"/><Relationship Id="rId35" Type="http://schemas.openxmlformats.org/officeDocument/2006/relationships/hyperlink" Target="https://doi.org/10.1136/bmj.g2261" TargetMode="External"/><Relationship Id="rId56" Type="http://schemas.openxmlformats.org/officeDocument/2006/relationships/hyperlink" Target="https://doi.org/10.1080/13613324.2017.1377418" TargetMode="External"/><Relationship Id="rId77" Type="http://schemas.openxmlformats.org/officeDocument/2006/relationships/hyperlink" Target="https://www.instituteofhealthequity.org/resources-reports/health-equity-in-england-the-marmot-review-10-years-on" TargetMode="External"/><Relationship Id="rId100" Type="http://schemas.openxmlformats.org/officeDocument/2006/relationships/hyperlink" Target="https://doi.org/10.1111/cdev.12200" TargetMode="External"/><Relationship Id="rId105" Type="http://schemas.openxmlformats.org/officeDocument/2006/relationships/hyperlink" Target="https://doi.org/10.1038/s41380-021-01161-7" TargetMode="External"/><Relationship Id="rId126" Type="http://schemas.openxmlformats.org/officeDocument/2006/relationships/header" Target="header3.xml"/><Relationship Id="rId8" Type="http://schemas.openxmlformats.org/officeDocument/2006/relationships/image" Target="media/image1.png"/><Relationship Id="rId51" Type="http://schemas.openxmlformats.org/officeDocument/2006/relationships/hyperlink" Target="https://www.gov.uk/government/publications/mental-health-act-review-final-report" TargetMode="External"/><Relationship Id="rId72" Type="http://schemas.openxmlformats.org/officeDocument/2006/relationships/hyperlink" Target="https://doi.org/10.1111/j.2004.0035-719X.359.x" TargetMode="External"/><Relationship Id="rId93" Type="http://schemas.openxmlformats.org/officeDocument/2006/relationships/hyperlink" Target="https://doi.org/10.1371/journal.pone.0138511" TargetMode="External"/><Relationship Id="rId98" Type="http://schemas.openxmlformats.org/officeDocument/2006/relationships/hyperlink" Target="https://doi.org/10.1001/jamapediatrics.2021.2482" TargetMode="External"/><Relationship Id="rId121" Type="http://schemas.openxmlformats.org/officeDocument/2006/relationships/hyperlink" Target="https://www.who.int" TargetMode="External"/><Relationship Id="rId3" Type="http://schemas.openxmlformats.org/officeDocument/2006/relationships/styles" Target="styles.xml"/><Relationship Id="rId25" Type="http://schemas.openxmlformats.org/officeDocument/2006/relationships/hyperlink" Target="https://doi.org/10.3390/socsci7100196" TargetMode="External"/><Relationship Id="rId46" Type="http://schemas.openxmlformats.org/officeDocument/2006/relationships/hyperlink" Target="https://us.sagepub.com/en-us/nam/research-design/book255675" TargetMode="External"/><Relationship Id="rId67" Type="http://schemas.openxmlformats.org/officeDocument/2006/relationships/hyperlink" Target="https://doi.org/10.1542/peds.2011-2248" TargetMode="External"/><Relationship Id="rId116" Type="http://schemas.openxmlformats.org/officeDocument/2006/relationships/hyperlink" Target="https://www.who.int" TargetMode="External"/><Relationship Id="rId20" Type="http://schemas.openxmlformats.org/officeDocument/2006/relationships/image" Target="media/image8.jpeg"/><Relationship Id="rId41" Type="http://schemas.openxmlformats.org/officeDocument/2006/relationships/hyperlink" Target="https://www.cqc.org.uk" TargetMode="External"/><Relationship Id="rId62" Type="http://schemas.openxmlformats.org/officeDocument/2006/relationships/hyperlink" Target="https://doi.org/10.1016/j.socscimed.2018.06.019" TargetMode="External"/><Relationship Id="rId83" Type="http://schemas.openxmlformats.org/officeDocument/2006/relationships/hyperlink" Target="https://doi.org/10.1186/s12889-019-6829-8" TargetMode="External"/><Relationship Id="rId88" Type="http://schemas.openxmlformats.org/officeDocument/2006/relationships/hyperlink" Target="https://digital.nhs.uk" TargetMode="External"/><Relationship Id="rId111" Type="http://schemas.openxmlformats.org/officeDocument/2006/relationships/hyperlink" Target="https://doi.org/10.1007/s00127-015-1095-7" TargetMode="External"/><Relationship Id="rId15" Type="http://schemas.openxmlformats.org/officeDocument/2006/relationships/image" Target="media/image3.jpeg"/><Relationship Id="rId36" Type="http://schemas.openxmlformats.org/officeDocument/2006/relationships/hyperlink" Target="https://uk.sagepub.com/en-gb/eur/systematic-approaches-to-a-successful-literature-review/book243209" TargetMode="External"/><Relationship Id="rId57" Type="http://schemas.openxmlformats.org/officeDocument/2006/relationships/hyperlink" Target="https://doi.org/10.1186/1471-244X-10-113" TargetMode="External"/><Relationship Id="rId106" Type="http://schemas.openxmlformats.org/officeDocument/2006/relationships/hyperlink" Target="https://nyupress.org/9781479850297/multiracial-parents/" TargetMode="External"/><Relationship Id="rId127" Type="http://schemas.openxmlformats.org/officeDocument/2006/relationships/footer" Target="footer3.xml"/><Relationship Id="rId10" Type="http://schemas.openxmlformats.org/officeDocument/2006/relationships/image" Target="media/image2.png"/><Relationship Id="rId31" Type="http://schemas.openxmlformats.org/officeDocument/2006/relationships/hyperlink" Target="https://doi.org/10.1016/S2215-0366(19)30206-6" TargetMode="External"/><Relationship Id="rId52" Type="http://schemas.openxmlformats.org/officeDocument/2006/relationships/hyperlink" Target="https://doi.org/10.1080/09638237.2017.1370638" TargetMode="External"/><Relationship Id="rId73" Type="http://schemas.openxmlformats.org/officeDocument/2006/relationships/hyperlink" Target="https://doi.org/10.1016/S2215-0366(18)30042-0" TargetMode="External"/><Relationship Id="rId78" Type="http://schemas.openxmlformats.org/officeDocument/2006/relationships/hyperlink" Target="https://doi.org/10.1136/bmj.n71" TargetMode="External"/><Relationship Id="rId94" Type="http://schemas.openxmlformats.org/officeDocument/2006/relationships/hyperlink" Target="https://doi.org/10.1016/S0140-6736(18)30160-5" TargetMode="External"/><Relationship Id="rId99" Type="http://schemas.openxmlformats.org/officeDocument/2006/relationships/hyperlink" Target="https://doi.org/10.1016/j.socscimed.2013.04.011" TargetMode="External"/><Relationship Id="rId101" Type="http://schemas.openxmlformats.org/officeDocument/2006/relationships/hyperlink" Target="https://doi.org/10.7748/nr.2018.e1466" TargetMode="External"/><Relationship Id="rId122" Type="http://schemas.openxmlformats.org/officeDocument/2006/relationships/header" Target="header1.xml"/><Relationship Id="rId4" Type="http://schemas.openxmlformats.org/officeDocument/2006/relationships/settings" Target="settings.xml"/><Relationship Id="rId9" Type="http://schemas.openxmlformats.org/officeDocument/2006/relationships/customXml" Target="ink/ink1.xml"/><Relationship Id="rId26" Type="http://schemas.openxmlformats.org/officeDocument/2006/relationships/hyperlink" Target="https://doi.org/10.1097/01.NAJ.0000444496.24228.2c"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716"/>
    </inkml:context>
    <inkml:brush xml:id="br0">
      <inkml:brushProperty name="width" value="0.05" units="cm"/>
      <inkml:brushProperty name="height" value="0.05" units="cm"/>
    </inkml:brush>
  </inkml:definitions>
  <inkml:trace contextRef="#ctx0" brushRef="#br0">-2147483648-2147483648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332"/>
    </inkml:context>
    <inkml:brush xml:id="br0">
      <inkml:brushProperty name="width" value="0.05" units="cm"/>
      <inkml:brushProperty name="height" value="0.05" units="cm"/>
    </inkml:brush>
  </inkml:definitions>
  <inkml:trace contextRef="#ctx0" brushRef="#br0">-2147483648-2147483648 24575,'0'0'0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6.916"/>
    </inkml:context>
    <inkml:brush xml:id="br0">
      <inkml:brushProperty name="width" value="0.05" units="cm"/>
      <inkml:brushProperty name="height" value="0.05" units="cm"/>
    </inkml:brush>
  </inkml:definitions>
  <inkml:trace contextRef="#ctx0" brushRef="#br0">-2147483648-2147483648 24575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8:55.710"/>
    </inkml:context>
    <inkml:brush xml:id="br0">
      <inkml:brushProperty name="width" value="0.05" units="cm"/>
      <inkml:brushProperty name="height" value="0.05" units="cm"/>
    </inkml:brush>
  </inkml:definitions>
  <inkml:trace contextRef="#ctx0" brushRef="#br0">-2147483648-2147483648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D60D92-A013-4964-A761-D7AB9F9961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101</TotalTime>
  <Pages>76</Pages>
  <Words>23831</Words>
  <Characters>135839</Characters>
  <Application>Microsoft Office Word</Application>
  <DocSecurity>0</DocSecurity>
  <Lines>1131</Lines>
  <Paragraphs>318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159352</CharactersWithSpaces>
  <SharedDoc>false</SharedDoc>
  <HLinks>
    <vt:vector size="672" baseType="variant">
      <vt:variant>
        <vt:i4>5177413</vt:i4>
      </vt:variant>
      <vt:variant>
        <vt:i4>375</vt:i4>
      </vt:variant>
      <vt:variant>
        <vt:i4>0</vt:i4>
      </vt:variant>
      <vt:variant>
        <vt:i4>5</vt:i4>
      </vt:variant>
      <vt:variant>
        <vt:lpwstr>https://www.who.int/</vt:lpwstr>
      </vt:variant>
      <vt:variant>
        <vt:lpwstr/>
      </vt:variant>
      <vt:variant>
        <vt:i4>1245212</vt:i4>
      </vt:variant>
      <vt:variant>
        <vt:i4>372</vt:i4>
      </vt:variant>
      <vt:variant>
        <vt:i4>0</vt:i4>
      </vt:variant>
      <vt:variant>
        <vt:i4>5</vt:i4>
      </vt:variant>
      <vt:variant>
        <vt:lpwstr>https://doi.org/10.1146/annurev-publhealth-040218-043750</vt:lpwstr>
      </vt:variant>
      <vt:variant>
        <vt:lpwstr/>
      </vt:variant>
      <vt:variant>
        <vt:i4>1245212</vt:i4>
      </vt:variant>
      <vt:variant>
        <vt:i4>369</vt:i4>
      </vt:variant>
      <vt:variant>
        <vt:i4>0</vt:i4>
      </vt:variant>
      <vt:variant>
        <vt:i4>5</vt:i4>
      </vt:variant>
      <vt:variant>
        <vt:lpwstr>https://doi.org/10.1146/annurev-publhealth-040218-043750</vt:lpwstr>
      </vt:variant>
      <vt:variant>
        <vt:lpwstr/>
      </vt:variant>
      <vt:variant>
        <vt:i4>1245212</vt:i4>
      </vt:variant>
      <vt:variant>
        <vt:i4>366</vt:i4>
      </vt:variant>
      <vt:variant>
        <vt:i4>0</vt:i4>
      </vt:variant>
      <vt:variant>
        <vt:i4>5</vt:i4>
      </vt:variant>
      <vt:variant>
        <vt:lpwstr>https://doi.org/10.1146/annurev-publhealth-040218-043750</vt:lpwstr>
      </vt:variant>
      <vt:variant>
        <vt:lpwstr/>
      </vt:variant>
      <vt:variant>
        <vt:i4>1441817</vt:i4>
      </vt:variant>
      <vt:variant>
        <vt:i4>363</vt:i4>
      </vt:variant>
      <vt:variant>
        <vt:i4>0</vt:i4>
      </vt:variant>
      <vt:variant>
        <vt:i4>5</vt:i4>
      </vt:variant>
      <vt:variant>
        <vt:lpwstr>https://doi.org/10.1146/annurev-publhealth-031912-114402</vt:lpwstr>
      </vt:variant>
      <vt:variant>
        <vt:lpwstr/>
      </vt:variant>
      <vt:variant>
        <vt:i4>19</vt:i4>
      </vt:variant>
      <vt:variant>
        <vt:i4>360</vt:i4>
      </vt:variant>
      <vt:variant>
        <vt:i4>0</vt:i4>
      </vt:variant>
      <vt:variant>
        <vt:i4>5</vt:i4>
      </vt:variant>
      <vt:variant>
        <vt:lpwstr>https://www.penguin.co.uk/books/1005375/the-spirit-level-by-wilkinson-richard-and-kate-pickett/9780241954294</vt:lpwstr>
      </vt:variant>
      <vt:variant>
        <vt:lpwstr/>
      </vt:variant>
      <vt:variant>
        <vt:i4>5177413</vt:i4>
      </vt:variant>
      <vt:variant>
        <vt:i4>357</vt:i4>
      </vt:variant>
      <vt:variant>
        <vt:i4>0</vt:i4>
      </vt:variant>
      <vt:variant>
        <vt:i4>5</vt:i4>
      </vt:variant>
      <vt:variant>
        <vt:lpwstr>https://www.who.int/</vt:lpwstr>
      </vt:variant>
      <vt:variant>
        <vt:lpwstr/>
      </vt:variant>
      <vt:variant>
        <vt:i4>5177413</vt:i4>
      </vt:variant>
      <vt:variant>
        <vt:i4>354</vt:i4>
      </vt:variant>
      <vt:variant>
        <vt:i4>0</vt:i4>
      </vt:variant>
      <vt:variant>
        <vt:i4>5</vt:i4>
      </vt:variant>
      <vt:variant>
        <vt:lpwstr>https://www.who.int/</vt:lpwstr>
      </vt:variant>
      <vt:variant>
        <vt:lpwstr/>
      </vt:variant>
      <vt:variant>
        <vt:i4>1966155</vt:i4>
      </vt:variant>
      <vt:variant>
        <vt:i4>351</vt:i4>
      </vt:variant>
      <vt:variant>
        <vt:i4>0</vt:i4>
      </vt:variant>
      <vt:variant>
        <vt:i4>5</vt:i4>
      </vt:variant>
      <vt:variant>
        <vt:lpwstr>https://www.who.int/publications/i/item/9789241506809</vt:lpwstr>
      </vt:variant>
      <vt:variant>
        <vt:lpwstr/>
      </vt:variant>
      <vt:variant>
        <vt:i4>327755</vt:i4>
      </vt:variant>
      <vt:variant>
        <vt:i4>348</vt:i4>
      </vt:variant>
      <vt:variant>
        <vt:i4>0</vt:i4>
      </vt:variant>
      <vt:variant>
        <vt:i4>5</vt:i4>
      </vt:variant>
      <vt:variant>
        <vt:lpwstr>https://doi.org/10.1080/13613324.2013.843517</vt:lpwstr>
      </vt:variant>
      <vt:variant>
        <vt:lpwstr/>
      </vt:variant>
      <vt:variant>
        <vt:i4>65611</vt:i4>
      </vt:variant>
      <vt:variant>
        <vt:i4>345</vt:i4>
      </vt:variant>
      <vt:variant>
        <vt:i4>0</vt:i4>
      </vt:variant>
      <vt:variant>
        <vt:i4>5</vt:i4>
      </vt:variant>
      <vt:variant>
        <vt:lpwstr>https://doi.org/10.1136/jech-2015-206436</vt:lpwstr>
      </vt:variant>
      <vt:variant>
        <vt:lpwstr/>
      </vt:variant>
      <vt:variant>
        <vt:i4>327704</vt:i4>
      </vt:variant>
      <vt:variant>
        <vt:i4>342</vt:i4>
      </vt:variant>
      <vt:variant>
        <vt:i4>0</vt:i4>
      </vt:variant>
      <vt:variant>
        <vt:i4>5</vt:i4>
      </vt:variant>
      <vt:variant>
        <vt:lpwstr>https://doi.org/10.1007/s00127-015-1095-7</vt:lpwstr>
      </vt:variant>
      <vt:variant>
        <vt:lpwstr/>
      </vt:variant>
      <vt:variant>
        <vt:i4>5177436</vt:i4>
      </vt:variant>
      <vt:variant>
        <vt:i4>339</vt:i4>
      </vt:variant>
      <vt:variant>
        <vt:i4>0</vt:i4>
      </vt:variant>
      <vt:variant>
        <vt:i4>5</vt:i4>
      </vt:variant>
      <vt:variant>
        <vt:lpwstr>https://doi.org/10.1002/wps.20221</vt:lpwstr>
      </vt:variant>
      <vt:variant>
        <vt:lpwstr/>
      </vt:variant>
      <vt:variant>
        <vt:i4>2752618</vt:i4>
      </vt:variant>
      <vt:variant>
        <vt:i4>336</vt:i4>
      </vt:variant>
      <vt:variant>
        <vt:i4>0</vt:i4>
      </vt:variant>
      <vt:variant>
        <vt:i4>5</vt:i4>
      </vt:variant>
      <vt:variant>
        <vt:lpwstr>https://www.routledge.com/Black-White-or-Mixed-Race/Tizard-Phoenix/p/book/9780415289312</vt:lpwstr>
      </vt:variant>
      <vt:variant>
        <vt:lpwstr/>
      </vt:variant>
      <vt:variant>
        <vt:i4>3604522</vt:i4>
      </vt:variant>
      <vt:variant>
        <vt:i4>333</vt:i4>
      </vt:variant>
      <vt:variant>
        <vt:i4>0</vt:i4>
      </vt:variant>
      <vt:variant>
        <vt:i4>5</vt:i4>
      </vt:variant>
      <vt:variant>
        <vt:lpwstr>https://www.cambridge.org/core/books/stigma-and-discrimination/</vt:lpwstr>
      </vt:variant>
      <vt:variant>
        <vt:lpwstr/>
      </vt:variant>
      <vt:variant>
        <vt:i4>2031703</vt:i4>
      </vt:variant>
      <vt:variant>
        <vt:i4>330</vt:i4>
      </vt:variant>
      <vt:variant>
        <vt:i4>0</vt:i4>
      </vt:variant>
      <vt:variant>
        <vt:i4>5</vt:i4>
      </vt:variant>
      <vt:variant>
        <vt:lpwstr>https://doi.org/10.1177/1098214005283748</vt:lpwstr>
      </vt:variant>
      <vt:variant>
        <vt:lpwstr/>
      </vt:variant>
      <vt:variant>
        <vt:i4>7602234</vt:i4>
      </vt:variant>
      <vt:variant>
        <vt:i4>327</vt:i4>
      </vt:variant>
      <vt:variant>
        <vt:i4>0</vt:i4>
      </vt:variant>
      <vt:variant>
        <vt:i4>5</vt:i4>
      </vt:variant>
      <vt:variant>
        <vt:lpwstr>https://www.routledge.com/Multiracial-Identity-and-Mental-Health/Song/p/book/9781138704136</vt:lpwstr>
      </vt:variant>
      <vt:variant>
        <vt:lpwstr/>
      </vt:variant>
      <vt:variant>
        <vt:i4>6881369</vt:i4>
      </vt:variant>
      <vt:variant>
        <vt:i4>324</vt:i4>
      </vt:variant>
      <vt:variant>
        <vt:i4>0</vt:i4>
      </vt:variant>
      <vt:variant>
        <vt:i4>5</vt:i4>
      </vt:variant>
      <vt:variant>
        <vt:lpwstr>https://www.politybooks.com/bookdetail?book_slug=multiracial-identity-and-experiences--9780745698542</vt:lpwstr>
      </vt:variant>
      <vt:variant>
        <vt:lpwstr/>
      </vt:variant>
      <vt:variant>
        <vt:i4>2162736</vt:i4>
      </vt:variant>
      <vt:variant>
        <vt:i4>321</vt:i4>
      </vt:variant>
      <vt:variant>
        <vt:i4>0</vt:i4>
      </vt:variant>
      <vt:variant>
        <vt:i4>5</vt:i4>
      </vt:variant>
      <vt:variant>
        <vt:lpwstr>https://doi.org/10.1038/s41380-021-01161-7</vt:lpwstr>
      </vt:variant>
      <vt:variant>
        <vt:lpwstr/>
      </vt:variant>
      <vt:variant>
        <vt:i4>1245211</vt:i4>
      </vt:variant>
      <vt:variant>
        <vt:i4>318</vt:i4>
      </vt:variant>
      <vt:variant>
        <vt:i4>0</vt:i4>
      </vt:variant>
      <vt:variant>
        <vt:i4>5</vt:i4>
      </vt:variant>
      <vt:variant>
        <vt:lpwstr>https://www.pearson.com/en-gb/subject-catalog/p/research-methods-for-business-students/P200000006416</vt:lpwstr>
      </vt:variant>
      <vt:variant>
        <vt:lpwstr/>
      </vt:variant>
      <vt:variant>
        <vt:i4>7209057</vt:i4>
      </vt:variant>
      <vt:variant>
        <vt:i4>315</vt:i4>
      </vt:variant>
      <vt:variant>
        <vt:i4>0</vt:i4>
      </vt:variant>
      <vt:variant>
        <vt:i4>5</vt:i4>
      </vt:variant>
      <vt:variant>
        <vt:lpwstr>https://doi.org/10.1136/bmjopen-2017-020632</vt:lpwstr>
      </vt:variant>
      <vt:variant>
        <vt:lpwstr/>
      </vt:variant>
      <vt:variant>
        <vt:i4>4784204</vt:i4>
      </vt:variant>
      <vt:variant>
        <vt:i4>312</vt:i4>
      </vt:variant>
      <vt:variant>
        <vt:i4>0</vt:i4>
      </vt:variant>
      <vt:variant>
        <vt:i4>5</vt:i4>
      </vt:variant>
      <vt:variant>
        <vt:lpwstr>https://doi.org/10.7748/nr.2018.e1466</vt:lpwstr>
      </vt:variant>
      <vt:variant>
        <vt:lpwstr/>
      </vt:variant>
      <vt:variant>
        <vt:i4>4784204</vt:i4>
      </vt:variant>
      <vt:variant>
        <vt:i4>309</vt:i4>
      </vt:variant>
      <vt:variant>
        <vt:i4>0</vt:i4>
      </vt:variant>
      <vt:variant>
        <vt:i4>5</vt:i4>
      </vt:variant>
      <vt:variant>
        <vt:lpwstr>https://doi.org/10.7748/nr.2018.e1466</vt:lpwstr>
      </vt:variant>
      <vt:variant>
        <vt:lpwstr/>
      </vt:variant>
      <vt:variant>
        <vt:i4>3014757</vt:i4>
      </vt:variant>
      <vt:variant>
        <vt:i4>306</vt:i4>
      </vt:variant>
      <vt:variant>
        <vt:i4>0</vt:i4>
      </vt:variant>
      <vt:variant>
        <vt:i4>5</vt:i4>
      </vt:variant>
      <vt:variant>
        <vt:lpwstr>https://doi.org/10.1016/j.socscimed.2013.04.011</vt:lpwstr>
      </vt:variant>
      <vt:variant>
        <vt:lpwstr/>
      </vt:variant>
      <vt:variant>
        <vt:i4>5832733</vt:i4>
      </vt:variant>
      <vt:variant>
        <vt:i4>303</vt:i4>
      </vt:variant>
      <vt:variant>
        <vt:i4>0</vt:i4>
      </vt:variant>
      <vt:variant>
        <vt:i4>5</vt:i4>
      </vt:variant>
      <vt:variant>
        <vt:lpwstr>https://doi.org/10.1001/jamapediatrics.2021.2482</vt:lpwstr>
      </vt:variant>
      <vt:variant>
        <vt:lpwstr/>
      </vt:variant>
      <vt:variant>
        <vt:i4>1703956</vt:i4>
      </vt:variant>
      <vt:variant>
        <vt:i4>300</vt:i4>
      </vt:variant>
      <vt:variant>
        <vt:i4>0</vt:i4>
      </vt:variant>
      <vt:variant>
        <vt:i4>5</vt:i4>
      </vt:variant>
      <vt:variant>
        <vt:lpwstr>https://doi.org/10.1017/S0033291715000298</vt:lpwstr>
      </vt:variant>
      <vt:variant>
        <vt:lpwstr/>
      </vt:variant>
      <vt:variant>
        <vt:i4>6488164</vt:i4>
      </vt:variant>
      <vt:variant>
        <vt:i4>297</vt:i4>
      </vt:variant>
      <vt:variant>
        <vt:i4>0</vt:i4>
      </vt:variant>
      <vt:variant>
        <vt:i4>5</vt:i4>
      </vt:variant>
      <vt:variant>
        <vt:lpwstr>https://doi.org/10.11124/JBIES-19-00169</vt:lpwstr>
      </vt:variant>
      <vt:variant>
        <vt:lpwstr/>
      </vt:variant>
      <vt:variant>
        <vt:i4>589833</vt:i4>
      </vt:variant>
      <vt:variant>
        <vt:i4>294</vt:i4>
      </vt:variant>
      <vt:variant>
        <vt:i4>0</vt:i4>
      </vt:variant>
      <vt:variant>
        <vt:i4>5</vt:i4>
      </vt:variant>
      <vt:variant>
        <vt:lpwstr>https://doi.org/10.1016/S0140-6736(18)30160-5</vt:lpwstr>
      </vt:variant>
      <vt:variant>
        <vt:lpwstr/>
      </vt:variant>
      <vt:variant>
        <vt:i4>4915277</vt:i4>
      </vt:variant>
      <vt:variant>
        <vt:i4>291</vt:i4>
      </vt:variant>
      <vt:variant>
        <vt:i4>0</vt:i4>
      </vt:variant>
      <vt:variant>
        <vt:i4>5</vt:i4>
      </vt:variant>
      <vt:variant>
        <vt:lpwstr>https://doi.org/10.1371/journal.pone.0138511</vt:lpwstr>
      </vt:variant>
      <vt:variant>
        <vt:lpwstr/>
      </vt:variant>
      <vt:variant>
        <vt:i4>6553659</vt:i4>
      </vt:variant>
      <vt:variant>
        <vt:i4>288</vt:i4>
      </vt:variant>
      <vt:variant>
        <vt:i4>0</vt:i4>
      </vt:variant>
      <vt:variant>
        <vt:i4>5</vt:i4>
      </vt:variant>
      <vt:variant>
        <vt:lpwstr>https://doi.org/10.1136/bmj.n71</vt:lpwstr>
      </vt:variant>
      <vt:variant>
        <vt:lpwstr/>
      </vt:variant>
      <vt:variant>
        <vt:i4>2228280</vt:i4>
      </vt:variant>
      <vt:variant>
        <vt:i4>285</vt:i4>
      </vt:variant>
      <vt:variant>
        <vt:i4>0</vt:i4>
      </vt:variant>
      <vt:variant>
        <vt:i4>5</vt:i4>
      </vt:variant>
      <vt:variant>
        <vt:lpwstr>https://www.ons.gov.uk/</vt:lpwstr>
      </vt:variant>
      <vt:variant>
        <vt:lpwstr/>
      </vt:variant>
      <vt:variant>
        <vt:i4>1638494</vt:i4>
      </vt:variant>
      <vt:variant>
        <vt:i4>282</vt:i4>
      </vt:variant>
      <vt:variant>
        <vt:i4>0</vt:i4>
      </vt:variant>
      <vt:variant>
        <vt:i4>5</vt:i4>
      </vt:variant>
      <vt:variant>
        <vt:lpwstr>https://doi.org/10.1177/1609406917733847</vt:lpwstr>
      </vt:variant>
      <vt:variant>
        <vt:lpwstr/>
      </vt:variant>
      <vt:variant>
        <vt:i4>1638494</vt:i4>
      </vt:variant>
      <vt:variant>
        <vt:i4>279</vt:i4>
      </vt:variant>
      <vt:variant>
        <vt:i4>0</vt:i4>
      </vt:variant>
      <vt:variant>
        <vt:i4>5</vt:i4>
      </vt:variant>
      <vt:variant>
        <vt:lpwstr>https://doi.org/10.1177/1609406917733847</vt:lpwstr>
      </vt:variant>
      <vt:variant>
        <vt:lpwstr/>
      </vt:variant>
      <vt:variant>
        <vt:i4>3473513</vt:i4>
      </vt:variant>
      <vt:variant>
        <vt:i4>276</vt:i4>
      </vt:variant>
      <vt:variant>
        <vt:i4>0</vt:i4>
      </vt:variant>
      <vt:variant>
        <vt:i4>5</vt:i4>
      </vt:variant>
      <vt:variant>
        <vt:lpwstr>https://www.nhsrho.org/</vt:lpwstr>
      </vt:variant>
      <vt:variant>
        <vt:lpwstr/>
      </vt:variant>
      <vt:variant>
        <vt:i4>7536691</vt:i4>
      </vt:variant>
      <vt:variant>
        <vt:i4>273</vt:i4>
      </vt:variant>
      <vt:variant>
        <vt:i4>0</vt:i4>
      </vt:variant>
      <vt:variant>
        <vt:i4>5</vt:i4>
      </vt:variant>
      <vt:variant>
        <vt:lpwstr>https://digital.nhs.uk/</vt:lpwstr>
      </vt:variant>
      <vt:variant>
        <vt:lpwstr/>
      </vt:variant>
      <vt:variant>
        <vt:i4>917509</vt:i4>
      </vt:variant>
      <vt:variant>
        <vt:i4>270</vt:i4>
      </vt:variant>
      <vt:variant>
        <vt:i4>0</vt:i4>
      </vt:variant>
      <vt:variant>
        <vt:i4>5</vt:i4>
      </vt:variant>
      <vt:variant>
        <vt:lpwstr>https://doi.org/10.1016/S0140-6736(20)30227-9</vt:lpwstr>
      </vt:variant>
      <vt:variant>
        <vt:lpwstr/>
      </vt:variant>
      <vt:variant>
        <vt:i4>1769489</vt:i4>
      </vt:variant>
      <vt:variant>
        <vt:i4>267</vt:i4>
      </vt:variant>
      <vt:variant>
        <vt:i4>0</vt:i4>
      </vt:variant>
      <vt:variant>
        <vt:i4>5</vt:i4>
      </vt:variant>
      <vt:variant>
        <vt:lpwstr>https://doi.org/10.1146/annurev-publhealth-090419-102229</vt:lpwstr>
      </vt:variant>
      <vt:variant>
        <vt:lpwstr/>
      </vt:variant>
      <vt:variant>
        <vt:i4>131101</vt:i4>
      </vt:variant>
      <vt:variant>
        <vt:i4>264</vt:i4>
      </vt:variant>
      <vt:variant>
        <vt:i4>0</vt:i4>
      </vt:variant>
      <vt:variant>
        <vt:i4>5</vt:i4>
      </vt:variant>
      <vt:variant>
        <vt:lpwstr>https://doi.org/10.1186/s12874-018-0611-x</vt:lpwstr>
      </vt:variant>
      <vt:variant>
        <vt:lpwstr/>
      </vt:variant>
      <vt:variant>
        <vt:i4>851972</vt:i4>
      </vt:variant>
      <vt:variant>
        <vt:i4>261</vt:i4>
      </vt:variant>
      <vt:variant>
        <vt:i4>0</vt:i4>
      </vt:variant>
      <vt:variant>
        <vt:i4>5</vt:i4>
      </vt:variant>
      <vt:variant>
        <vt:lpwstr>https://doi.org/10.1016/S2215-0366(20)30223-6</vt:lpwstr>
      </vt:variant>
      <vt:variant>
        <vt:lpwstr/>
      </vt:variant>
      <vt:variant>
        <vt:i4>720916</vt:i4>
      </vt:variant>
      <vt:variant>
        <vt:i4>258</vt:i4>
      </vt:variant>
      <vt:variant>
        <vt:i4>0</vt:i4>
      </vt:variant>
      <vt:variant>
        <vt:i4>5</vt:i4>
      </vt:variant>
      <vt:variant>
        <vt:lpwstr>https://doi.org/10.1186/s12889-019-6829-8</vt:lpwstr>
      </vt:variant>
      <vt:variant>
        <vt:lpwstr/>
      </vt:variant>
      <vt:variant>
        <vt:i4>3801208</vt:i4>
      </vt:variant>
      <vt:variant>
        <vt:i4>255</vt:i4>
      </vt:variant>
      <vt:variant>
        <vt:i4>0</vt:i4>
      </vt:variant>
      <vt:variant>
        <vt:i4>5</vt:i4>
      </vt:variant>
      <vt:variant>
        <vt:lpwstr>https://doi.org/10.1037/0033-2909.129.5.674</vt:lpwstr>
      </vt:variant>
      <vt:variant>
        <vt:lpwstr/>
      </vt:variant>
      <vt:variant>
        <vt:i4>983108</vt:i4>
      </vt:variant>
      <vt:variant>
        <vt:i4>252</vt:i4>
      </vt:variant>
      <vt:variant>
        <vt:i4>0</vt:i4>
      </vt:variant>
      <vt:variant>
        <vt:i4>5</vt:i4>
      </vt:variant>
      <vt:variant>
        <vt:lpwstr>https://doi.org/10.1080/17542863.2015.1128689</vt:lpwstr>
      </vt:variant>
      <vt:variant>
        <vt:lpwstr/>
      </vt:variant>
      <vt:variant>
        <vt:i4>196634</vt:i4>
      </vt:variant>
      <vt:variant>
        <vt:i4>249</vt:i4>
      </vt:variant>
      <vt:variant>
        <vt:i4>0</vt:i4>
      </vt:variant>
      <vt:variant>
        <vt:i4>5</vt:i4>
      </vt:variant>
      <vt:variant>
        <vt:lpwstr>https://doi.org/10.1186/s12888-016-0926-1</vt:lpwstr>
      </vt:variant>
      <vt:variant>
        <vt:lpwstr/>
      </vt:variant>
      <vt:variant>
        <vt:i4>7536691</vt:i4>
      </vt:variant>
      <vt:variant>
        <vt:i4>246</vt:i4>
      </vt:variant>
      <vt:variant>
        <vt:i4>0</vt:i4>
      </vt:variant>
      <vt:variant>
        <vt:i4>5</vt:i4>
      </vt:variant>
      <vt:variant>
        <vt:lpwstr>https://digital.nhs.uk/</vt:lpwstr>
      </vt:variant>
      <vt:variant>
        <vt:lpwstr/>
      </vt:variant>
      <vt:variant>
        <vt:i4>6553659</vt:i4>
      </vt:variant>
      <vt:variant>
        <vt:i4>243</vt:i4>
      </vt:variant>
      <vt:variant>
        <vt:i4>0</vt:i4>
      </vt:variant>
      <vt:variant>
        <vt:i4>5</vt:i4>
      </vt:variant>
      <vt:variant>
        <vt:lpwstr>https://doi.org/10.1136/bmj.n71</vt:lpwstr>
      </vt:variant>
      <vt:variant>
        <vt:lpwstr/>
      </vt:variant>
      <vt:variant>
        <vt:i4>524379</vt:i4>
      </vt:variant>
      <vt:variant>
        <vt:i4>240</vt:i4>
      </vt:variant>
      <vt:variant>
        <vt:i4>0</vt:i4>
      </vt:variant>
      <vt:variant>
        <vt:i4>5</vt:i4>
      </vt:variant>
      <vt:variant>
        <vt:lpwstr>https://www.instituteofhealthequity.org/resources-reports/health-equity-in-england-the-marmot-review-10-years-on</vt:lpwstr>
      </vt:variant>
      <vt:variant>
        <vt:lpwstr/>
      </vt:variant>
      <vt:variant>
        <vt:i4>4063341</vt:i4>
      </vt:variant>
      <vt:variant>
        <vt:i4>237</vt:i4>
      </vt:variant>
      <vt:variant>
        <vt:i4>0</vt:i4>
      </vt:variant>
      <vt:variant>
        <vt:i4>5</vt:i4>
      </vt:variant>
      <vt:variant>
        <vt:lpwstr>https://www.instituteofhealthequity.org/resources-reports/build-back-fairer-the-covid-19-marmot-review</vt:lpwstr>
      </vt:variant>
      <vt:variant>
        <vt:lpwstr/>
      </vt:variant>
      <vt:variant>
        <vt:i4>7536742</vt:i4>
      </vt:variant>
      <vt:variant>
        <vt:i4>234</vt:i4>
      </vt:variant>
      <vt:variant>
        <vt:i4>0</vt:i4>
      </vt:variant>
      <vt:variant>
        <vt:i4>5</vt:i4>
      </vt:variant>
      <vt:variant>
        <vt:lpwstr>https://www.instituteofhealthequity.org/resources-reports/fair-society-healthy-lives-the-marmot-review</vt:lpwstr>
      </vt:variant>
      <vt:variant>
        <vt:lpwstr/>
      </vt:variant>
      <vt:variant>
        <vt:i4>262163</vt:i4>
      </vt:variant>
      <vt:variant>
        <vt:i4>231</vt:i4>
      </vt:variant>
      <vt:variant>
        <vt:i4>0</vt:i4>
      </vt:variant>
      <vt:variant>
        <vt:i4>5</vt:i4>
      </vt:variant>
      <vt:variant>
        <vt:lpwstr>https://doi.org/10.1186/s12888-017-1452-7</vt:lpwstr>
      </vt:variant>
      <vt:variant>
        <vt:lpwstr/>
      </vt:variant>
      <vt:variant>
        <vt:i4>262163</vt:i4>
      </vt:variant>
      <vt:variant>
        <vt:i4>228</vt:i4>
      </vt:variant>
      <vt:variant>
        <vt:i4>0</vt:i4>
      </vt:variant>
      <vt:variant>
        <vt:i4>5</vt:i4>
      </vt:variant>
      <vt:variant>
        <vt:lpwstr>https://doi.org/10.1186/s12888-017-1452-7</vt:lpwstr>
      </vt:variant>
      <vt:variant>
        <vt:lpwstr/>
      </vt:variant>
      <vt:variant>
        <vt:i4>524303</vt:i4>
      </vt:variant>
      <vt:variant>
        <vt:i4>225</vt:i4>
      </vt:variant>
      <vt:variant>
        <vt:i4>0</vt:i4>
      </vt:variant>
      <vt:variant>
        <vt:i4>5</vt:i4>
      </vt:variant>
      <vt:variant>
        <vt:lpwstr>https://doi.org/10.1016/S2215-0366(18)30042-0</vt:lpwstr>
      </vt:variant>
      <vt:variant>
        <vt:lpwstr/>
      </vt:variant>
      <vt:variant>
        <vt:i4>2949154</vt:i4>
      </vt:variant>
      <vt:variant>
        <vt:i4>222</vt:i4>
      </vt:variant>
      <vt:variant>
        <vt:i4>0</vt:i4>
      </vt:variant>
      <vt:variant>
        <vt:i4>5</vt:i4>
      </vt:variant>
      <vt:variant>
        <vt:lpwstr>https://doi.org/10.1111/j.2004.0035-719X.359.x</vt:lpwstr>
      </vt:variant>
      <vt:variant>
        <vt:lpwstr/>
      </vt:variant>
      <vt:variant>
        <vt:i4>2883645</vt:i4>
      </vt:variant>
      <vt:variant>
        <vt:i4>219</vt:i4>
      </vt:variant>
      <vt:variant>
        <vt:i4>0</vt:i4>
      </vt:variant>
      <vt:variant>
        <vt:i4>5</vt:i4>
      </vt:variant>
      <vt:variant>
        <vt:lpwstr>https://doi.org/10.1016/j.jaac.2020.05.009</vt:lpwstr>
      </vt:variant>
      <vt:variant>
        <vt:lpwstr/>
      </vt:variant>
      <vt:variant>
        <vt:i4>1507400</vt:i4>
      </vt:variant>
      <vt:variant>
        <vt:i4>216</vt:i4>
      </vt:variant>
      <vt:variant>
        <vt:i4>0</vt:i4>
      </vt:variant>
      <vt:variant>
        <vt:i4>5</vt:i4>
      </vt:variant>
      <vt:variant>
        <vt:lpwstr>https://us.sagepub.com/en-us/nam/naturalistic-inquiry/book842</vt:lpwstr>
      </vt:variant>
      <vt:variant>
        <vt:lpwstr/>
      </vt:variant>
      <vt:variant>
        <vt:i4>5636181</vt:i4>
      </vt:variant>
      <vt:variant>
        <vt:i4>213</vt:i4>
      </vt:variant>
      <vt:variant>
        <vt:i4>0</vt:i4>
      </vt:variant>
      <vt:variant>
        <vt:i4>5</vt:i4>
      </vt:variant>
      <vt:variant>
        <vt:lpwstr>https://doi.org/10.3102/0013189X035007003</vt:lpwstr>
      </vt:variant>
      <vt:variant>
        <vt:lpwstr/>
      </vt:variant>
      <vt:variant>
        <vt:i4>851979</vt:i4>
      </vt:variant>
      <vt:variant>
        <vt:i4>210</vt:i4>
      </vt:variant>
      <vt:variant>
        <vt:i4>0</vt:i4>
      </vt:variant>
      <vt:variant>
        <vt:i4>5</vt:i4>
      </vt:variant>
      <vt:variant>
        <vt:lpwstr>https://doi.org/10.1016/S0140-6736(11)60827-1</vt:lpwstr>
      </vt:variant>
      <vt:variant>
        <vt:lpwstr/>
      </vt:variant>
      <vt:variant>
        <vt:i4>1441871</vt:i4>
      </vt:variant>
      <vt:variant>
        <vt:i4>207</vt:i4>
      </vt:variant>
      <vt:variant>
        <vt:i4>0</vt:i4>
      </vt:variant>
      <vt:variant>
        <vt:i4>5</vt:i4>
      </vt:variant>
      <vt:variant>
        <vt:lpwstr>https://doi.org/10.1001/archpsyc.62.6.593</vt:lpwstr>
      </vt:variant>
      <vt:variant>
        <vt:lpwstr/>
      </vt:variant>
      <vt:variant>
        <vt:i4>262218</vt:i4>
      </vt:variant>
      <vt:variant>
        <vt:i4>204</vt:i4>
      </vt:variant>
      <vt:variant>
        <vt:i4>0</vt:i4>
      </vt:variant>
      <vt:variant>
        <vt:i4>5</vt:i4>
      </vt:variant>
      <vt:variant>
        <vt:lpwstr>https://doi.org/10.1080/17441692.2017.1371273</vt:lpwstr>
      </vt:variant>
      <vt:variant>
        <vt:lpwstr/>
      </vt:variant>
      <vt:variant>
        <vt:i4>262218</vt:i4>
      </vt:variant>
      <vt:variant>
        <vt:i4>201</vt:i4>
      </vt:variant>
      <vt:variant>
        <vt:i4>0</vt:i4>
      </vt:variant>
      <vt:variant>
        <vt:i4>5</vt:i4>
      </vt:variant>
      <vt:variant>
        <vt:lpwstr>https://doi.org/10.1080/17441692.2017.1371273</vt:lpwstr>
      </vt:variant>
      <vt:variant>
        <vt:lpwstr/>
      </vt:variant>
      <vt:variant>
        <vt:i4>2424935</vt:i4>
      </vt:variant>
      <vt:variant>
        <vt:i4>198</vt:i4>
      </vt:variant>
      <vt:variant>
        <vt:i4>0</vt:i4>
      </vt:variant>
      <vt:variant>
        <vt:i4>5</vt:i4>
      </vt:variant>
      <vt:variant>
        <vt:lpwstr>https://doi.org/10.1016/j.socscimed.2018.06.019</vt:lpwstr>
      </vt:variant>
      <vt:variant>
        <vt:lpwstr/>
      </vt:variant>
      <vt:variant>
        <vt:i4>458758</vt:i4>
      </vt:variant>
      <vt:variant>
        <vt:i4>195</vt:i4>
      </vt:variant>
      <vt:variant>
        <vt:i4>0</vt:i4>
      </vt:variant>
      <vt:variant>
        <vt:i4>5</vt:i4>
      </vt:variant>
      <vt:variant>
        <vt:lpwstr>https://doi.org/10.1016/S2215-0366(21)00485-0</vt:lpwstr>
      </vt:variant>
      <vt:variant>
        <vt:lpwstr/>
      </vt:variant>
      <vt:variant>
        <vt:i4>3342458</vt:i4>
      </vt:variant>
      <vt:variant>
        <vt:i4>192</vt:i4>
      </vt:variant>
      <vt:variant>
        <vt:i4>0</vt:i4>
      </vt:variant>
      <vt:variant>
        <vt:i4>5</vt:i4>
      </vt:variant>
      <vt:variant>
        <vt:lpwstr>https://doi.org/10.1111/1468-0009.12210</vt:lpwstr>
      </vt:variant>
      <vt:variant>
        <vt:lpwstr/>
      </vt:variant>
      <vt:variant>
        <vt:i4>1507412</vt:i4>
      </vt:variant>
      <vt:variant>
        <vt:i4>189</vt:i4>
      </vt:variant>
      <vt:variant>
        <vt:i4>0</vt:i4>
      </vt:variant>
      <vt:variant>
        <vt:i4>5</vt:i4>
      </vt:variant>
      <vt:variant>
        <vt:lpwstr>https://doi.org/10.1002/9781119536604</vt:lpwstr>
      </vt:variant>
      <vt:variant>
        <vt:lpwstr/>
      </vt:variant>
      <vt:variant>
        <vt:i4>4849743</vt:i4>
      </vt:variant>
      <vt:variant>
        <vt:i4>186</vt:i4>
      </vt:variant>
      <vt:variant>
        <vt:i4>0</vt:i4>
      </vt:variant>
      <vt:variant>
        <vt:i4>5</vt:i4>
      </vt:variant>
      <vt:variant>
        <vt:lpwstr>https://doi.org/10.1371/journal.pone.0138237</vt:lpwstr>
      </vt:variant>
      <vt:variant>
        <vt:lpwstr/>
      </vt:variant>
      <vt:variant>
        <vt:i4>393287</vt:i4>
      </vt:variant>
      <vt:variant>
        <vt:i4>183</vt:i4>
      </vt:variant>
      <vt:variant>
        <vt:i4>0</vt:i4>
      </vt:variant>
      <vt:variant>
        <vt:i4>5</vt:i4>
      </vt:variant>
      <vt:variant>
        <vt:lpwstr>https://doi.org/10.1080/13613324.2017.1377418</vt:lpwstr>
      </vt:variant>
      <vt:variant>
        <vt:lpwstr/>
      </vt:variant>
      <vt:variant>
        <vt:i4>2818102</vt:i4>
      </vt:variant>
      <vt:variant>
        <vt:i4>180</vt:i4>
      </vt:variant>
      <vt:variant>
        <vt:i4>0</vt:i4>
      </vt:variant>
      <vt:variant>
        <vt:i4>5</vt:i4>
      </vt:variant>
      <vt:variant>
        <vt:lpwstr>https://www.routledge.com/Racism-and-Education-Coincidence-or-Conspiracy/Gillborn/p/book/9780415357998</vt:lpwstr>
      </vt:variant>
      <vt:variant>
        <vt:lpwstr/>
      </vt:variant>
      <vt:variant>
        <vt:i4>65629</vt:i4>
      </vt:variant>
      <vt:variant>
        <vt:i4>177</vt:i4>
      </vt:variant>
      <vt:variant>
        <vt:i4>0</vt:i4>
      </vt:variant>
      <vt:variant>
        <vt:i4>5</vt:i4>
      </vt:variant>
      <vt:variant>
        <vt:lpwstr>https://doi.org/10.2105/AJPH.2009.171058</vt:lpwstr>
      </vt:variant>
      <vt:variant>
        <vt:lpwstr/>
      </vt:variant>
      <vt:variant>
        <vt:i4>65629</vt:i4>
      </vt:variant>
      <vt:variant>
        <vt:i4>174</vt:i4>
      </vt:variant>
      <vt:variant>
        <vt:i4>0</vt:i4>
      </vt:variant>
      <vt:variant>
        <vt:i4>5</vt:i4>
      </vt:variant>
      <vt:variant>
        <vt:lpwstr>https://doi.org/10.2105/AJPH.2009.171058</vt:lpwstr>
      </vt:variant>
      <vt:variant>
        <vt:lpwstr/>
      </vt:variant>
      <vt:variant>
        <vt:i4>5636181</vt:i4>
      </vt:variant>
      <vt:variant>
        <vt:i4>171</vt:i4>
      </vt:variant>
      <vt:variant>
        <vt:i4>0</vt:i4>
      </vt:variant>
      <vt:variant>
        <vt:i4>5</vt:i4>
      </vt:variant>
      <vt:variant>
        <vt:lpwstr>https://link.springer.com/book/10.1007/978-3-319-50019-9</vt:lpwstr>
      </vt:variant>
      <vt:variant>
        <vt:lpwstr/>
      </vt:variant>
      <vt:variant>
        <vt:i4>589902</vt:i4>
      </vt:variant>
      <vt:variant>
        <vt:i4>168</vt:i4>
      </vt:variant>
      <vt:variant>
        <vt:i4>0</vt:i4>
      </vt:variant>
      <vt:variant>
        <vt:i4>5</vt:i4>
      </vt:variant>
      <vt:variant>
        <vt:lpwstr>https://doi.org/10.1080/09638237.2017.1370638</vt:lpwstr>
      </vt:variant>
      <vt:variant>
        <vt:lpwstr/>
      </vt:variant>
      <vt:variant>
        <vt:i4>1245248</vt:i4>
      </vt:variant>
      <vt:variant>
        <vt:i4>165</vt:i4>
      </vt:variant>
      <vt:variant>
        <vt:i4>0</vt:i4>
      </vt:variant>
      <vt:variant>
        <vt:i4>5</vt:i4>
      </vt:variant>
      <vt:variant>
        <vt:lpwstr>https://www.gov.uk/government/publications/mental-health-act-review-final-report</vt:lpwstr>
      </vt:variant>
      <vt:variant>
        <vt:lpwstr/>
      </vt:variant>
      <vt:variant>
        <vt:i4>4456466</vt:i4>
      </vt:variant>
      <vt:variant>
        <vt:i4>162</vt:i4>
      </vt:variant>
      <vt:variant>
        <vt:i4>0</vt:i4>
      </vt:variant>
      <vt:variant>
        <vt:i4>5</vt:i4>
      </vt:variant>
      <vt:variant>
        <vt:lpwstr>https://www.gov.uk/government/statistics</vt:lpwstr>
      </vt:variant>
      <vt:variant>
        <vt:lpwstr/>
      </vt:variant>
      <vt:variant>
        <vt:i4>3997758</vt:i4>
      </vt:variant>
      <vt:variant>
        <vt:i4>159</vt:i4>
      </vt:variant>
      <vt:variant>
        <vt:i4>0</vt:i4>
      </vt:variant>
      <vt:variant>
        <vt:i4>5</vt:i4>
      </vt:variant>
      <vt:variant>
        <vt:lpwstr>https://nyupress.org/9781479851393/critical-race-theory-third-edition/</vt:lpwstr>
      </vt:variant>
      <vt:variant>
        <vt:lpwstr/>
      </vt:variant>
      <vt:variant>
        <vt:i4>1114135</vt:i4>
      </vt:variant>
      <vt:variant>
        <vt:i4>156</vt:i4>
      </vt:variant>
      <vt:variant>
        <vt:i4>0</vt:i4>
      </vt:variant>
      <vt:variant>
        <vt:i4>5</vt:i4>
      </vt:variant>
      <vt:variant>
        <vt:lpwstr>https://doi.org/10.1017/S0033291716000223</vt:lpwstr>
      </vt:variant>
      <vt:variant>
        <vt:lpwstr/>
      </vt:variant>
      <vt:variant>
        <vt:i4>131092</vt:i4>
      </vt:variant>
      <vt:variant>
        <vt:i4>153</vt:i4>
      </vt:variant>
      <vt:variant>
        <vt:i4>0</vt:i4>
      </vt:variant>
      <vt:variant>
        <vt:i4>5</vt:i4>
      </vt:variant>
      <vt:variant>
        <vt:lpwstr>https://chicagounbound.uchicago.edu/uclf/vol1989/iss1/8/</vt:lpwstr>
      </vt:variant>
      <vt:variant>
        <vt:lpwstr/>
      </vt:variant>
      <vt:variant>
        <vt:i4>2293820</vt:i4>
      </vt:variant>
      <vt:variant>
        <vt:i4>150</vt:i4>
      </vt:variant>
      <vt:variant>
        <vt:i4>0</vt:i4>
      </vt:variant>
      <vt:variant>
        <vt:i4>5</vt:i4>
      </vt:variant>
      <vt:variant>
        <vt:lpwstr>https://us.sagepub.com/en-us/nam/research-design/book255675</vt:lpwstr>
      </vt:variant>
      <vt:variant>
        <vt:lpwstr/>
      </vt:variant>
      <vt:variant>
        <vt:i4>3080207</vt:i4>
      </vt:variant>
      <vt:variant>
        <vt:i4>147</vt:i4>
      </vt:variant>
      <vt:variant>
        <vt:i4>0</vt:i4>
      </vt:variant>
      <vt:variant>
        <vt:i4>5</vt:i4>
      </vt:variant>
      <vt:variant>
        <vt:lpwstr>https://www.politybooks.com/bookdetail?book_slug=intersectionality--9780745699068</vt:lpwstr>
      </vt:variant>
      <vt:variant>
        <vt:lpwstr/>
      </vt:variant>
      <vt:variant>
        <vt:i4>1114134</vt:i4>
      </vt:variant>
      <vt:variant>
        <vt:i4>144</vt:i4>
      </vt:variant>
      <vt:variant>
        <vt:i4>0</vt:i4>
      </vt:variant>
      <vt:variant>
        <vt:i4>5</vt:i4>
      </vt:variant>
      <vt:variant>
        <vt:lpwstr>https://doi.org/10.1017/S0033291714000129</vt:lpwstr>
      </vt:variant>
      <vt:variant>
        <vt:lpwstr/>
      </vt:variant>
      <vt:variant>
        <vt:i4>8323189</vt:i4>
      </vt:variant>
      <vt:variant>
        <vt:i4>141</vt:i4>
      </vt:variant>
      <vt:variant>
        <vt:i4>0</vt:i4>
      </vt:variant>
      <vt:variant>
        <vt:i4>5</vt:i4>
      </vt:variant>
      <vt:variant>
        <vt:lpwstr>https://doi.org/10.1037/amp0000092</vt:lpwstr>
      </vt:variant>
      <vt:variant>
        <vt:lpwstr/>
      </vt:variant>
      <vt:variant>
        <vt:i4>2097213</vt:i4>
      </vt:variant>
      <vt:variant>
        <vt:i4>138</vt:i4>
      </vt:variant>
      <vt:variant>
        <vt:i4>0</vt:i4>
      </vt:variant>
      <vt:variant>
        <vt:i4>5</vt:i4>
      </vt:variant>
      <vt:variant>
        <vt:lpwstr>https://www.cqc.org.uk/</vt:lpwstr>
      </vt:variant>
      <vt:variant>
        <vt:lpwstr/>
      </vt:variant>
      <vt:variant>
        <vt:i4>2621474</vt:i4>
      </vt:variant>
      <vt:variant>
        <vt:i4>135</vt:i4>
      </vt:variant>
      <vt:variant>
        <vt:i4>0</vt:i4>
      </vt:variant>
      <vt:variant>
        <vt:i4>5</vt:i4>
      </vt:variant>
      <vt:variant>
        <vt:lpwstr>https://doi.org/10.1177/00333549141291S206</vt:lpwstr>
      </vt:variant>
      <vt:variant>
        <vt:lpwstr/>
      </vt:variant>
      <vt:variant>
        <vt:i4>1376344</vt:i4>
      </vt:variant>
      <vt:variant>
        <vt:i4>132</vt:i4>
      </vt:variant>
      <vt:variant>
        <vt:i4>0</vt:i4>
      </vt:variant>
      <vt:variant>
        <vt:i4>5</vt:i4>
      </vt:variant>
      <vt:variant>
        <vt:lpwstr>https://doi.org/10.4135/9781526432725</vt:lpwstr>
      </vt:variant>
      <vt:variant>
        <vt:lpwstr/>
      </vt:variant>
      <vt:variant>
        <vt:i4>393238</vt:i4>
      </vt:variant>
      <vt:variant>
        <vt:i4>129</vt:i4>
      </vt:variant>
      <vt:variant>
        <vt:i4>0</vt:i4>
      </vt:variant>
      <vt:variant>
        <vt:i4>5</vt:i4>
      </vt:variant>
      <vt:variant>
        <vt:lpwstr>https://doi.org/10.1191/1478088706qp063oa</vt:lpwstr>
      </vt:variant>
      <vt:variant>
        <vt:lpwstr/>
      </vt:variant>
      <vt:variant>
        <vt:i4>524373</vt:i4>
      </vt:variant>
      <vt:variant>
        <vt:i4>126</vt:i4>
      </vt:variant>
      <vt:variant>
        <vt:i4>0</vt:i4>
      </vt:variant>
      <vt:variant>
        <vt:i4>5</vt:i4>
      </vt:variant>
      <vt:variant>
        <vt:lpwstr>https://doi.org/10.2105/AJPH.2012.300750</vt:lpwstr>
      </vt:variant>
      <vt:variant>
        <vt:lpwstr/>
      </vt:variant>
      <vt:variant>
        <vt:i4>6946875</vt:i4>
      </vt:variant>
      <vt:variant>
        <vt:i4>123</vt:i4>
      </vt:variant>
      <vt:variant>
        <vt:i4>0</vt:i4>
      </vt:variant>
      <vt:variant>
        <vt:i4>5</vt:i4>
      </vt:variant>
      <vt:variant>
        <vt:lpwstr>https://uk.sagepub.com/en-gb/eur/systematic-approaches-to-a-successful-literature-review/book243209</vt:lpwstr>
      </vt:variant>
      <vt:variant>
        <vt:lpwstr/>
      </vt:variant>
      <vt:variant>
        <vt:i4>5701632</vt:i4>
      </vt:variant>
      <vt:variant>
        <vt:i4>120</vt:i4>
      </vt:variant>
      <vt:variant>
        <vt:i4>0</vt:i4>
      </vt:variant>
      <vt:variant>
        <vt:i4>5</vt:i4>
      </vt:variant>
      <vt:variant>
        <vt:lpwstr>https://doi.org/10.1136/bmj.g2261</vt:lpwstr>
      </vt:variant>
      <vt:variant>
        <vt:lpwstr/>
      </vt:variant>
      <vt:variant>
        <vt:i4>5439575</vt:i4>
      </vt:variant>
      <vt:variant>
        <vt:i4>117</vt:i4>
      </vt:variant>
      <vt:variant>
        <vt:i4>0</vt:i4>
      </vt:variant>
      <vt:variant>
        <vt:i4>5</vt:i4>
      </vt:variant>
      <vt:variant>
        <vt:lpwstr>https://doi.org/10.1192/bjp.2018.114</vt:lpwstr>
      </vt:variant>
      <vt:variant>
        <vt:lpwstr/>
      </vt:variant>
      <vt:variant>
        <vt:i4>5374026</vt:i4>
      </vt:variant>
      <vt:variant>
        <vt:i4>114</vt:i4>
      </vt:variant>
      <vt:variant>
        <vt:i4>0</vt:i4>
      </vt:variant>
      <vt:variant>
        <vt:i4>5</vt:i4>
      </vt:variant>
      <vt:variant>
        <vt:lpwstr>https://doi.org/10.1097/YCO.0000000000000411</vt:lpwstr>
      </vt:variant>
      <vt:variant>
        <vt:lpwstr/>
      </vt:variant>
      <vt:variant>
        <vt:i4>2687076</vt:i4>
      </vt:variant>
      <vt:variant>
        <vt:i4>111</vt:i4>
      </vt:variant>
      <vt:variant>
        <vt:i4>0</vt:i4>
      </vt:variant>
      <vt:variant>
        <vt:i4>5</vt:i4>
      </vt:variant>
      <vt:variant>
        <vt:lpwstr>https://doi.org/10.1016/j.socscimed.2015.05.001</vt:lpwstr>
      </vt:variant>
      <vt:variant>
        <vt:lpwstr/>
      </vt:variant>
      <vt:variant>
        <vt:i4>786440</vt:i4>
      </vt:variant>
      <vt:variant>
        <vt:i4>108</vt:i4>
      </vt:variant>
      <vt:variant>
        <vt:i4>0</vt:i4>
      </vt:variant>
      <vt:variant>
        <vt:i4>5</vt:i4>
      </vt:variant>
      <vt:variant>
        <vt:lpwstr>https://doi.org/10.1016/S2215-0366(19)30206-6</vt:lpwstr>
      </vt:variant>
      <vt:variant>
        <vt:lpwstr/>
      </vt:variant>
      <vt:variant>
        <vt:i4>262223</vt:i4>
      </vt:variant>
      <vt:variant>
        <vt:i4>105</vt:i4>
      </vt:variant>
      <vt:variant>
        <vt:i4>0</vt:i4>
      </vt:variant>
      <vt:variant>
        <vt:i4>5</vt:i4>
      </vt:variant>
      <vt:variant>
        <vt:lpwstr>https://doi.org/10.1136/jech-2020-214401</vt:lpwstr>
      </vt:variant>
      <vt:variant>
        <vt:lpwstr/>
      </vt:variant>
      <vt:variant>
        <vt:i4>917507</vt:i4>
      </vt:variant>
      <vt:variant>
        <vt:i4>102</vt:i4>
      </vt:variant>
      <vt:variant>
        <vt:i4>0</vt:i4>
      </vt:variant>
      <vt:variant>
        <vt:i4>5</vt:i4>
      </vt:variant>
      <vt:variant>
        <vt:lpwstr>https://doi.org/10.1016/S0140-6736(21)00524-1</vt:lpwstr>
      </vt:variant>
      <vt:variant>
        <vt:lpwstr/>
      </vt:variant>
      <vt:variant>
        <vt:i4>589835</vt:i4>
      </vt:variant>
      <vt:variant>
        <vt:i4>99</vt:i4>
      </vt:variant>
      <vt:variant>
        <vt:i4>0</vt:i4>
      </vt:variant>
      <vt:variant>
        <vt:i4>5</vt:i4>
      </vt:variant>
      <vt:variant>
        <vt:lpwstr>https://doi.org/10.1016/S0140-6736(17)30569-X</vt:lpwstr>
      </vt:variant>
      <vt:variant>
        <vt:lpwstr/>
      </vt:variant>
      <vt:variant>
        <vt:i4>2752560</vt:i4>
      </vt:variant>
      <vt:variant>
        <vt:i4>96</vt:i4>
      </vt:variant>
      <vt:variant>
        <vt:i4>0</vt:i4>
      </vt:variant>
      <vt:variant>
        <vt:i4>5</vt:i4>
      </vt:variant>
      <vt:variant>
        <vt:lpwstr>https://doi.org/10.1007/s00127-020-01922-4</vt:lpwstr>
      </vt:variant>
      <vt:variant>
        <vt:lpwstr/>
      </vt:variant>
      <vt:variant>
        <vt:i4>7536688</vt:i4>
      </vt:variant>
      <vt:variant>
        <vt:i4>93</vt:i4>
      </vt:variant>
      <vt:variant>
        <vt:i4>0</vt:i4>
      </vt:variant>
      <vt:variant>
        <vt:i4>5</vt:i4>
      </vt:variant>
      <vt:variant>
        <vt:lpwstr>https://doi.org/10.1097/01.NAJ.0000444496.24228.2c</vt:lpwstr>
      </vt:variant>
      <vt:variant>
        <vt:lpwstr/>
      </vt:variant>
      <vt:variant>
        <vt:i4>5570588</vt:i4>
      </vt:variant>
      <vt:variant>
        <vt:i4>90</vt:i4>
      </vt:variant>
      <vt:variant>
        <vt:i4>0</vt:i4>
      </vt:variant>
      <vt:variant>
        <vt:i4>5</vt:i4>
      </vt:variant>
      <vt:variant>
        <vt:lpwstr>https://doi.org/10.3390/socsci7100197</vt:lpwstr>
      </vt:variant>
      <vt:variant>
        <vt:lpwstr/>
      </vt:variant>
      <vt:variant>
        <vt:i4>917535</vt:i4>
      </vt:variant>
      <vt:variant>
        <vt:i4>87</vt:i4>
      </vt:variant>
      <vt:variant>
        <vt:i4>0</vt:i4>
      </vt:variant>
      <vt:variant>
        <vt:i4>5</vt:i4>
      </vt:variant>
      <vt:variant>
        <vt:lpwstr>https://doi.org/10.1007/s10734-017-0152-0</vt:lpwstr>
      </vt:variant>
      <vt:variant>
        <vt:lpwstr/>
      </vt:variant>
      <vt:variant>
        <vt:i4>458766</vt:i4>
      </vt:variant>
      <vt:variant>
        <vt:i4>84</vt:i4>
      </vt:variant>
      <vt:variant>
        <vt:i4>0</vt:i4>
      </vt:variant>
      <vt:variant>
        <vt:i4>5</vt:i4>
      </vt:variant>
      <vt:variant>
        <vt:lpwstr>https://pubmed.ncbi.nlm.nih.gov/17138910/</vt:lpwstr>
      </vt:variant>
      <vt:variant>
        <vt:lpwstr/>
      </vt:variant>
      <vt:variant>
        <vt:i4>131149</vt:i4>
      </vt:variant>
      <vt:variant>
        <vt:i4>81</vt:i4>
      </vt:variant>
      <vt:variant>
        <vt:i4>0</vt:i4>
      </vt:variant>
      <vt:variant>
        <vt:i4>5</vt:i4>
      </vt:variant>
      <vt:variant>
        <vt:lpwstr>https://doi.org/10.3109/09540261.2014.928270</vt:lpwstr>
      </vt:variant>
      <vt:variant>
        <vt:lpwstr/>
      </vt:variant>
      <vt:variant>
        <vt:i4>1507379</vt:i4>
      </vt:variant>
      <vt:variant>
        <vt:i4>74</vt:i4>
      </vt:variant>
      <vt:variant>
        <vt:i4>0</vt:i4>
      </vt:variant>
      <vt:variant>
        <vt:i4>5</vt:i4>
      </vt:variant>
      <vt:variant>
        <vt:lpwstr/>
      </vt:variant>
      <vt:variant>
        <vt:lpwstr>_Toc12224</vt:lpwstr>
      </vt:variant>
      <vt:variant>
        <vt:i4>1507379</vt:i4>
      </vt:variant>
      <vt:variant>
        <vt:i4>68</vt:i4>
      </vt:variant>
      <vt:variant>
        <vt:i4>0</vt:i4>
      </vt:variant>
      <vt:variant>
        <vt:i4>5</vt:i4>
      </vt:variant>
      <vt:variant>
        <vt:lpwstr/>
      </vt:variant>
      <vt:variant>
        <vt:lpwstr>_Toc12223</vt:lpwstr>
      </vt:variant>
      <vt:variant>
        <vt:i4>1507379</vt:i4>
      </vt:variant>
      <vt:variant>
        <vt:i4>62</vt:i4>
      </vt:variant>
      <vt:variant>
        <vt:i4>0</vt:i4>
      </vt:variant>
      <vt:variant>
        <vt:i4>5</vt:i4>
      </vt:variant>
      <vt:variant>
        <vt:lpwstr/>
      </vt:variant>
      <vt:variant>
        <vt:lpwstr>_Toc12222</vt:lpwstr>
      </vt:variant>
      <vt:variant>
        <vt:i4>1507379</vt:i4>
      </vt:variant>
      <vt:variant>
        <vt:i4>56</vt:i4>
      </vt:variant>
      <vt:variant>
        <vt:i4>0</vt:i4>
      </vt:variant>
      <vt:variant>
        <vt:i4>5</vt:i4>
      </vt:variant>
      <vt:variant>
        <vt:lpwstr/>
      </vt:variant>
      <vt:variant>
        <vt:lpwstr>_Toc12221</vt:lpwstr>
      </vt:variant>
      <vt:variant>
        <vt:i4>1507379</vt:i4>
      </vt:variant>
      <vt:variant>
        <vt:i4>50</vt:i4>
      </vt:variant>
      <vt:variant>
        <vt:i4>0</vt:i4>
      </vt:variant>
      <vt:variant>
        <vt:i4>5</vt:i4>
      </vt:variant>
      <vt:variant>
        <vt:lpwstr/>
      </vt:variant>
      <vt:variant>
        <vt:lpwstr>_Toc12220</vt:lpwstr>
      </vt:variant>
      <vt:variant>
        <vt:i4>1310771</vt:i4>
      </vt:variant>
      <vt:variant>
        <vt:i4>44</vt:i4>
      </vt:variant>
      <vt:variant>
        <vt:i4>0</vt:i4>
      </vt:variant>
      <vt:variant>
        <vt:i4>5</vt:i4>
      </vt:variant>
      <vt:variant>
        <vt:lpwstr/>
      </vt:variant>
      <vt:variant>
        <vt:lpwstr>_Toc12219</vt:lpwstr>
      </vt:variant>
      <vt:variant>
        <vt:i4>1310771</vt:i4>
      </vt:variant>
      <vt:variant>
        <vt:i4>38</vt:i4>
      </vt:variant>
      <vt:variant>
        <vt:i4>0</vt:i4>
      </vt:variant>
      <vt:variant>
        <vt:i4>5</vt:i4>
      </vt:variant>
      <vt:variant>
        <vt:lpwstr/>
      </vt:variant>
      <vt:variant>
        <vt:lpwstr>_Toc12218</vt:lpwstr>
      </vt:variant>
      <vt:variant>
        <vt:i4>1310771</vt:i4>
      </vt:variant>
      <vt:variant>
        <vt:i4>32</vt:i4>
      </vt:variant>
      <vt:variant>
        <vt:i4>0</vt:i4>
      </vt:variant>
      <vt:variant>
        <vt:i4>5</vt:i4>
      </vt:variant>
      <vt:variant>
        <vt:lpwstr/>
      </vt:variant>
      <vt:variant>
        <vt:lpwstr>_Toc12217</vt:lpwstr>
      </vt:variant>
      <vt:variant>
        <vt:i4>1310771</vt:i4>
      </vt:variant>
      <vt:variant>
        <vt:i4>26</vt:i4>
      </vt:variant>
      <vt:variant>
        <vt:i4>0</vt:i4>
      </vt:variant>
      <vt:variant>
        <vt:i4>5</vt:i4>
      </vt:variant>
      <vt:variant>
        <vt:lpwstr/>
      </vt:variant>
      <vt:variant>
        <vt:lpwstr>_Toc12216</vt:lpwstr>
      </vt:variant>
      <vt:variant>
        <vt:i4>1310771</vt:i4>
      </vt:variant>
      <vt:variant>
        <vt:i4>20</vt:i4>
      </vt:variant>
      <vt:variant>
        <vt:i4>0</vt:i4>
      </vt:variant>
      <vt:variant>
        <vt:i4>5</vt:i4>
      </vt:variant>
      <vt:variant>
        <vt:lpwstr/>
      </vt:variant>
      <vt:variant>
        <vt:lpwstr>_Toc12215</vt:lpwstr>
      </vt:variant>
      <vt:variant>
        <vt:i4>1310771</vt:i4>
      </vt:variant>
      <vt:variant>
        <vt:i4>14</vt:i4>
      </vt:variant>
      <vt:variant>
        <vt:i4>0</vt:i4>
      </vt:variant>
      <vt:variant>
        <vt:i4>5</vt:i4>
      </vt:variant>
      <vt:variant>
        <vt:lpwstr/>
      </vt:variant>
      <vt:variant>
        <vt:lpwstr>_Toc12214</vt:lpwstr>
      </vt:variant>
      <vt:variant>
        <vt:i4>1310771</vt:i4>
      </vt:variant>
      <vt:variant>
        <vt:i4>8</vt:i4>
      </vt:variant>
      <vt:variant>
        <vt:i4>0</vt:i4>
      </vt:variant>
      <vt:variant>
        <vt:i4>5</vt:i4>
      </vt:variant>
      <vt:variant>
        <vt:lpwstr/>
      </vt:variant>
      <vt:variant>
        <vt:lpwstr>_Toc12213</vt:lpwstr>
      </vt:variant>
      <vt:variant>
        <vt:i4>1310771</vt:i4>
      </vt:variant>
      <vt:variant>
        <vt:i4>2</vt:i4>
      </vt:variant>
      <vt:variant>
        <vt:i4>0</vt:i4>
      </vt:variant>
      <vt:variant>
        <vt:i4>5</vt:i4>
      </vt:variant>
      <vt:variant>
        <vt:lpwstr/>
      </vt:variant>
      <vt:variant>
        <vt:lpwstr>_Toc12212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Iqdad Mohamud Ali (2428690)</cp:lastModifiedBy>
  <cp:revision>37</cp:revision>
  <cp:lastPrinted>2026-06-15T10:06:00Z</cp:lastPrinted>
  <dcterms:created xsi:type="dcterms:W3CDTF">2026-06-15T10:07:00Z</dcterms:created>
  <dcterms:modified xsi:type="dcterms:W3CDTF">2026-06-15T23:17:00Z</dcterms:modified>
</cp:coreProperties>
</file>