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6B47DE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161D2">
              <w:rPr>
                <w:rFonts w:ascii="Times New Roman" w:hAnsi="Times New Roman" w:cs="Times New Roman"/>
                <w:b/>
                <w:color w:val="auto"/>
                <w:sz w:val="48"/>
              </w:rPr>
              <w:t>Elin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0D17617F" w14:textId="1431B30A" w:rsidR="00E608C4" w:rsidRPr="00C61CC9" w:rsidRDefault="009C337F" w:rsidP="00E608C4">
            <w:pPr>
              <w:ind w:right="-957"/>
              <w:rPr>
                <w:rFonts w:ascii="Times New Roman" w:hAnsi="Times New Roman" w:cs="Times New Roman"/>
                <w:b/>
                <w:color w:val="auto"/>
                <w:sz w:val="44"/>
                <w:szCs w:val="22"/>
              </w:rPr>
            </w:pPr>
            <w:r>
              <w:rPr>
                <w:rFonts w:ascii="Times New Roman" w:hAnsi="Times New Roman" w:cs="Times New Roman"/>
                <w:b/>
                <w:color w:val="auto"/>
                <w:sz w:val="48"/>
              </w:rPr>
              <w:t>Email address:</w:t>
            </w:r>
            <w:r w:rsidR="00E608C4">
              <w:t xml:space="preserve"> </w:t>
            </w:r>
            <w:hyperlink r:id="rId11" w:history="1">
              <w:r w:rsidR="00E608C4" w:rsidRPr="00C61CC9">
                <w:rPr>
                  <w:rStyle w:val="Hyperlink"/>
                  <w:rFonts w:ascii="Times New Roman" w:hAnsi="Times New Roman" w:cs="Times New Roman"/>
                  <w:b/>
                  <w:color w:val="auto"/>
                  <w:sz w:val="44"/>
                  <w:szCs w:val="22"/>
                  <w:u w:val="none"/>
                </w:rPr>
                <w:t>2421178@student.uwtsd.ac.uk</w:t>
              </w:r>
            </w:hyperlink>
          </w:p>
          <w:p w14:paraId="3A6EAAC7" w14:textId="5503F743"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891928B" w14:textId="63AFD5EE" w:rsidR="00E608C4" w:rsidRPr="005D3F07" w:rsidRDefault="00E608C4" w:rsidP="005D3F07">
            <w:pPr>
              <w:overflowPunct/>
              <w:autoSpaceDE/>
              <w:autoSpaceDN/>
              <w:adjustRightInd/>
              <w:ind w:right="-957"/>
              <w:textAlignment w:val="auto"/>
              <w:rPr>
                <w:rFonts w:ascii="Times New Roman" w:hAnsi="Times New Roman" w:cs="Times New Roman"/>
                <w:b/>
                <w:color w:val="auto"/>
                <w:sz w:val="48"/>
              </w:rPr>
            </w:pPr>
            <w:r w:rsidRPr="00E608C4">
              <w:rPr>
                <w:rFonts w:ascii="Times New Roman" w:hAnsi="Times New Roman" w:cs="Times New Roman"/>
                <w:b/>
                <w:color w:val="auto"/>
                <w:sz w:val="48"/>
              </w:rPr>
              <w:t>2421178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A9EF3A3" w14:textId="77777777" w:rsidR="001161D2" w:rsidRDefault="001161D2" w:rsidP="00FF7EBB">
            <w:pPr>
              <w:jc w:val="both"/>
              <w:rPr>
                <w:i/>
                <w:sz w:val="24"/>
                <w:szCs w:val="24"/>
              </w:rPr>
            </w:pPr>
          </w:p>
          <w:p w14:paraId="5120B9D2" w14:textId="77777777" w:rsidR="001161D2" w:rsidRPr="001161D2" w:rsidRDefault="001161D2" w:rsidP="001161D2">
            <w:pPr>
              <w:rPr>
                <w:color w:val="auto"/>
                <w:sz w:val="24"/>
                <w:szCs w:val="24"/>
              </w:rPr>
            </w:pPr>
            <w:r w:rsidRPr="001161D2">
              <w:rPr>
                <w:color w:val="auto"/>
                <w:sz w:val="24"/>
                <w:szCs w:val="24"/>
              </w:rPr>
              <w:t xml:space="preserve">In alignment with the Codes of Professional Practice (Social Care Wales, 2017), all individuals referenced in this case study have been anonymised and will </w:t>
            </w:r>
            <w:bookmarkStart w:id="0" w:name="_Int_gHlJTXfM"/>
            <w:r w:rsidRPr="001161D2">
              <w:rPr>
                <w:color w:val="auto"/>
                <w:sz w:val="24"/>
                <w:szCs w:val="24"/>
              </w:rPr>
              <w:t>be referred</w:t>
            </w:r>
            <w:bookmarkEnd w:id="0"/>
            <w:r w:rsidRPr="001161D2">
              <w:rPr>
                <w:color w:val="auto"/>
                <w:sz w:val="24"/>
                <w:szCs w:val="24"/>
              </w:rPr>
              <w:t xml:space="preserve"> to as Parent 1, Parent 2, and the children. This critically reflective case study examines a child protection scenario involving a family in Wales, emphasising safeguarding procedures, legislation, collaborative efforts, and the application of social work theories. It highlights how professional judgment, analytical skills, and multi-agency involvement influenced the case's outcome, particularly within the Welsh context and its interaction with UK and international frameworks.</w:t>
            </w:r>
          </w:p>
          <w:p w14:paraId="6F858960" w14:textId="77777777" w:rsidR="001161D2" w:rsidRPr="001161D2" w:rsidRDefault="001161D2" w:rsidP="001161D2">
            <w:pPr>
              <w:rPr>
                <w:color w:val="auto"/>
                <w:sz w:val="24"/>
                <w:szCs w:val="24"/>
              </w:rPr>
            </w:pPr>
          </w:p>
          <w:p w14:paraId="70F40AC7" w14:textId="77777777" w:rsidR="001161D2" w:rsidRPr="001161D2" w:rsidRDefault="001161D2" w:rsidP="001161D2">
            <w:pPr>
              <w:rPr>
                <w:color w:val="auto"/>
                <w:sz w:val="24"/>
                <w:szCs w:val="24"/>
              </w:rPr>
            </w:pPr>
            <w:r w:rsidRPr="001161D2">
              <w:rPr>
                <w:color w:val="auto"/>
                <w:sz w:val="24"/>
                <w:szCs w:val="24"/>
              </w:rPr>
              <w:t xml:space="preserve">The All-Wales Safeguarding Procedures (2020) categorise abuse into four main types: physical, emotional, sexual, and neglect. This case specifically addresses neglect, characterised as the failure to fulfil a child’s basic physical and psychological needs (Wales Safeguarding Procedures Project Board, 2020). The children involved in this case </w:t>
            </w:r>
            <w:bookmarkStart w:id="1" w:name="_Int_Pja0P8ao"/>
            <w:r w:rsidRPr="001161D2">
              <w:rPr>
                <w:color w:val="auto"/>
                <w:sz w:val="24"/>
                <w:szCs w:val="24"/>
              </w:rPr>
              <w:t>were registered</w:t>
            </w:r>
            <w:bookmarkEnd w:id="1"/>
            <w:r w:rsidRPr="001161D2">
              <w:rPr>
                <w:color w:val="auto"/>
                <w:sz w:val="24"/>
                <w:szCs w:val="24"/>
              </w:rPr>
              <w:t xml:space="preserve"> on the Child Protection Register under the neglect category for two years. During this period, the family underwent the Public Law Outline (PLO) process, which confirmed that the threshold for issuing care proceedings </w:t>
            </w:r>
            <w:bookmarkStart w:id="2" w:name="_Int_lFn6co9j"/>
            <w:r w:rsidRPr="001161D2">
              <w:rPr>
                <w:color w:val="auto"/>
                <w:sz w:val="24"/>
                <w:szCs w:val="24"/>
              </w:rPr>
              <w:t>were met</w:t>
            </w:r>
            <w:bookmarkEnd w:id="2"/>
            <w:r w:rsidRPr="001161D2">
              <w:rPr>
                <w:color w:val="auto"/>
                <w:sz w:val="24"/>
                <w:szCs w:val="24"/>
              </w:rPr>
              <w:t xml:space="preserve">. However, care proceedings </w:t>
            </w:r>
            <w:bookmarkStart w:id="3" w:name="_Int_YTMwNDWC"/>
            <w:r w:rsidRPr="001161D2">
              <w:rPr>
                <w:color w:val="auto"/>
                <w:sz w:val="24"/>
                <w:szCs w:val="24"/>
              </w:rPr>
              <w:t>were not started</w:t>
            </w:r>
            <w:bookmarkEnd w:id="3"/>
            <w:r w:rsidRPr="001161D2">
              <w:rPr>
                <w:color w:val="auto"/>
                <w:sz w:val="24"/>
                <w:szCs w:val="24"/>
              </w:rPr>
              <w:t xml:space="preserve"> due to noticeable improvements in parenting and home conditions. The children remained on the register until a recent review conference, where reregistration </w:t>
            </w:r>
            <w:bookmarkStart w:id="4" w:name="_Int_VK4MGNy8"/>
            <w:r w:rsidRPr="001161D2">
              <w:rPr>
                <w:color w:val="auto"/>
                <w:sz w:val="24"/>
                <w:szCs w:val="24"/>
              </w:rPr>
              <w:t>was agreed</w:t>
            </w:r>
            <w:bookmarkEnd w:id="4"/>
            <w:r w:rsidRPr="001161D2">
              <w:rPr>
                <w:color w:val="auto"/>
                <w:sz w:val="24"/>
                <w:szCs w:val="24"/>
              </w:rPr>
              <w:t xml:space="preserve"> upon by the chairperson amid a divided professional opinion.</w:t>
            </w:r>
          </w:p>
          <w:p w14:paraId="5D4E6B81" w14:textId="77777777" w:rsidR="001161D2" w:rsidRPr="001161D2" w:rsidRDefault="001161D2" w:rsidP="001161D2">
            <w:pPr>
              <w:rPr>
                <w:color w:val="auto"/>
                <w:sz w:val="24"/>
                <w:szCs w:val="24"/>
              </w:rPr>
            </w:pPr>
          </w:p>
          <w:p w14:paraId="247F0D68" w14:textId="77777777" w:rsidR="001161D2" w:rsidRPr="001161D2" w:rsidRDefault="001161D2" w:rsidP="001161D2">
            <w:pPr>
              <w:rPr>
                <w:color w:val="auto"/>
                <w:sz w:val="24"/>
                <w:szCs w:val="24"/>
              </w:rPr>
            </w:pPr>
            <w:r w:rsidRPr="001161D2">
              <w:rPr>
                <w:color w:val="auto"/>
                <w:sz w:val="24"/>
                <w:szCs w:val="24"/>
              </w:rPr>
              <w:t xml:space="preserve">The safeguarding concerns presented in this case were complex, and consensus among professionals </w:t>
            </w:r>
            <w:bookmarkStart w:id="5" w:name="_Int_kQEuzltM"/>
            <w:r w:rsidRPr="001161D2">
              <w:rPr>
                <w:color w:val="auto"/>
                <w:sz w:val="24"/>
                <w:szCs w:val="24"/>
              </w:rPr>
              <w:t>regarding</w:t>
            </w:r>
            <w:bookmarkEnd w:id="5"/>
            <w:r w:rsidRPr="001161D2">
              <w:rPr>
                <w:color w:val="auto"/>
                <w:sz w:val="24"/>
                <w:szCs w:val="24"/>
              </w:rPr>
              <w:t xml:space="preserve"> the family’s situation was often contrasted. Initially, home conditions </w:t>
            </w:r>
            <w:r w:rsidRPr="001161D2">
              <w:rPr>
                <w:color w:val="auto"/>
                <w:sz w:val="24"/>
                <w:szCs w:val="24"/>
              </w:rPr>
              <w:lastRenderedPageBreak/>
              <w:t xml:space="preserve">were inadequate, with hygiene and safety issues posing risks to the children’s health and well-being. The children showed inconsistent school attendance and often missed medical appointments, contributing to the neglect classification. Furthermore, supervision was insufficient, leading to instances of injury due to inadequate parental oversight. These concerns </w:t>
            </w:r>
            <w:bookmarkStart w:id="6" w:name="_Int_2lwIkJOO"/>
            <w:r w:rsidRPr="001161D2">
              <w:rPr>
                <w:color w:val="auto"/>
                <w:sz w:val="24"/>
                <w:szCs w:val="24"/>
              </w:rPr>
              <w:t>were worsened</w:t>
            </w:r>
            <w:bookmarkEnd w:id="6"/>
            <w:r w:rsidRPr="001161D2">
              <w:rPr>
                <w:color w:val="auto"/>
                <w:sz w:val="24"/>
                <w:szCs w:val="24"/>
              </w:rPr>
              <w:t xml:space="preserve"> by the parents’ histories of trauma and their limited engagement with support services. Attachment theory (Bowlby, 1969) played a significant role in understanding the children's emotional responses and developmental needs throughout my engagement. During my visits, I saw signs of clinginess between the siblings when they were experiencing neglect, showing the need of stable caregiving, and guiding my recommendations for ongoing support. I used attachment-informed strategies while engaging with the parents, showing the importance of consistent routines, emotional intelligence, and responsive caregiving. This approach helped the parents grasp the long-term impacts of neglect, motivating them to pursue improvements.</w:t>
            </w:r>
          </w:p>
          <w:p w14:paraId="39320495" w14:textId="77777777" w:rsidR="001161D2" w:rsidRPr="001161D2" w:rsidRDefault="001161D2" w:rsidP="001161D2">
            <w:pPr>
              <w:rPr>
                <w:color w:val="auto"/>
                <w:sz w:val="24"/>
                <w:szCs w:val="24"/>
              </w:rPr>
            </w:pPr>
          </w:p>
          <w:p w14:paraId="4EE68BA4" w14:textId="77777777" w:rsidR="001161D2" w:rsidRPr="001161D2" w:rsidRDefault="001161D2" w:rsidP="001161D2">
            <w:pPr>
              <w:rPr>
                <w:color w:val="auto"/>
                <w:sz w:val="24"/>
                <w:szCs w:val="24"/>
              </w:rPr>
            </w:pPr>
            <w:r w:rsidRPr="001161D2">
              <w:rPr>
                <w:color w:val="auto"/>
                <w:sz w:val="24"/>
                <w:szCs w:val="24"/>
              </w:rPr>
              <w:t>The family's trajectory through the safeguarding system involved multiple interventions, including child protection plans, care and support plans, and participation in the PLO process. Each stage required careful assessment and decision-making, balancing the imperative to protect the children with the aim of empowering the parents to enact sustainable changes. The family's progress was often characterised by cycles of improvement followed by relapse, showing the complexities of risk assessment and the significance of professional judgment.</w:t>
            </w:r>
          </w:p>
          <w:p w14:paraId="7D87DF4D" w14:textId="77777777" w:rsidR="001161D2" w:rsidRPr="001161D2" w:rsidRDefault="001161D2" w:rsidP="001161D2">
            <w:pPr>
              <w:rPr>
                <w:color w:val="auto"/>
                <w:sz w:val="24"/>
                <w:szCs w:val="24"/>
              </w:rPr>
            </w:pPr>
          </w:p>
          <w:p w14:paraId="608E8D2C" w14:textId="77777777" w:rsidR="001161D2" w:rsidRPr="001161D2" w:rsidRDefault="001161D2" w:rsidP="001161D2">
            <w:pPr>
              <w:rPr>
                <w:color w:val="auto"/>
                <w:sz w:val="24"/>
                <w:szCs w:val="24"/>
              </w:rPr>
            </w:pPr>
            <w:r w:rsidRPr="001161D2">
              <w:rPr>
                <w:color w:val="auto"/>
                <w:sz w:val="24"/>
                <w:szCs w:val="24"/>
              </w:rPr>
              <w:t>In compliance with the forthcoming Effective Child Protection model, I conducted a Risk 2 assessment. This tool evaluates parental capabilities, the needs of the children, and the likelihood of harm, offering a structured, evidence-based approach to risk analysis. The assessment showed a reduction in risk, which supported my recommendation for deregistration. Sharing these findings with the core group clarified my rationale and strengthened my confidence in asserting professional judgment, particularly amidst disagreements.</w:t>
            </w:r>
          </w:p>
          <w:p w14:paraId="57CAC918" w14:textId="77777777" w:rsidR="001161D2" w:rsidRPr="001161D2" w:rsidRDefault="001161D2" w:rsidP="001161D2">
            <w:pPr>
              <w:rPr>
                <w:color w:val="auto"/>
                <w:sz w:val="24"/>
                <w:szCs w:val="24"/>
              </w:rPr>
            </w:pPr>
          </w:p>
          <w:p w14:paraId="19917E14" w14:textId="77777777" w:rsidR="001161D2" w:rsidRPr="001161D2" w:rsidRDefault="001161D2" w:rsidP="001161D2">
            <w:pPr>
              <w:rPr>
                <w:color w:val="auto"/>
                <w:sz w:val="24"/>
                <w:szCs w:val="24"/>
              </w:rPr>
            </w:pPr>
            <w:r w:rsidRPr="001161D2">
              <w:rPr>
                <w:color w:val="auto"/>
                <w:sz w:val="24"/>
                <w:szCs w:val="24"/>
              </w:rPr>
              <w:t xml:space="preserve">The Signs of Safety framework </w:t>
            </w:r>
            <w:bookmarkStart w:id="7" w:name="_Int_I5BrVvWt"/>
            <w:r w:rsidRPr="001161D2">
              <w:rPr>
                <w:color w:val="auto"/>
                <w:sz w:val="24"/>
                <w:szCs w:val="24"/>
              </w:rPr>
              <w:t>was consistently used</w:t>
            </w:r>
            <w:bookmarkEnd w:id="7"/>
            <w:r w:rsidRPr="001161D2">
              <w:rPr>
                <w:color w:val="auto"/>
                <w:sz w:val="24"/>
                <w:szCs w:val="24"/>
              </w:rPr>
              <w:t xml:space="preserve"> throughout the assessment and conference reports. This model helps clear analysis by finding strengths, concerns, historical issues, and safety requirements. It serves as a measurable tool for professionals and families to understand risk and safety planning, thereby enhancing transparency and collaborative decision-making. Through this model, I effectively communicated with both the family and other professionals, ensuring a shared understanding of the concerns and the progress made.</w:t>
            </w:r>
          </w:p>
          <w:p w14:paraId="7D9E8F5E" w14:textId="77777777" w:rsidR="001161D2" w:rsidRPr="001161D2" w:rsidRDefault="001161D2" w:rsidP="001161D2">
            <w:pPr>
              <w:rPr>
                <w:color w:val="auto"/>
                <w:sz w:val="24"/>
                <w:szCs w:val="24"/>
              </w:rPr>
            </w:pPr>
          </w:p>
          <w:p w14:paraId="46EEFBA4" w14:textId="77777777" w:rsidR="001161D2" w:rsidRPr="001161D2" w:rsidRDefault="001161D2" w:rsidP="001161D2">
            <w:pPr>
              <w:rPr>
                <w:color w:val="auto"/>
                <w:sz w:val="24"/>
                <w:szCs w:val="24"/>
              </w:rPr>
            </w:pPr>
            <w:r w:rsidRPr="001161D2">
              <w:rPr>
                <w:color w:val="auto"/>
                <w:sz w:val="24"/>
                <w:szCs w:val="24"/>
              </w:rPr>
              <w:t xml:space="preserve">In Wales, safeguarding children </w:t>
            </w:r>
            <w:bookmarkStart w:id="8" w:name="_Int_e1ziEgE7"/>
            <w:r w:rsidRPr="001161D2">
              <w:rPr>
                <w:color w:val="auto"/>
                <w:sz w:val="24"/>
                <w:szCs w:val="24"/>
              </w:rPr>
              <w:t>is primarily governed</w:t>
            </w:r>
            <w:bookmarkEnd w:id="8"/>
            <w:r w:rsidRPr="001161D2">
              <w:rPr>
                <w:color w:val="auto"/>
                <w:sz w:val="24"/>
                <w:szCs w:val="24"/>
              </w:rPr>
              <w:t xml:space="preserve"> by the Social Services and Well-being (Wales) Act 2014, which superseded Part III of the Children Act 1989. The 2014 Act shows a cohesive framework for assessing and meeting care and support needs, with a pronounced emphasis on promoting well-being. Parts 3 and 4 of the Act outline local authorities' obligations to assess individuals and families and provide support when eligible needs </w:t>
            </w:r>
            <w:bookmarkStart w:id="9" w:name="_Int_SgK1dwZ1"/>
            <w:r w:rsidRPr="001161D2">
              <w:rPr>
                <w:color w:val="auto"/>
                <w:sz w:val="24"/>
                <w:szCs w:val="24"/>
              </w:rPr>
              <w:t>are found</w:t>
            </w:r>
            <w:bookmarkEnd w:id="9"/>
            <w:r w:rsidRPr="001161D2">
              <w:rPr>
                <w:color w:val="auto"/>
                <w:sz w:val="24"/>
                <w:szCs w:val="24"/>
              </w:rPr>
              <w:t>. These provisions replaced the “child in need” framework under Section 17 of the Children Act, expanding the focus to include well-being, prevention, and early intervention.</w:t>
            </w:r>
          </w:p>
          <w:p w14:paraId="59388B08" w14:textId="77777777" w:rsidR="001161D2" w:rsidRPr="001161D2" w:rsidRDefault="001161D2" w:rsidP="001161D2">
            <w:pPr>
              <w:rPr>
                <w:color w:val="auto"/>
                <w:sz w:val="24"/>
                <w:szCs w:val="24"/>
              </w:rPr>
            </w:pPr>
          </w:p>
          <w:p w14:paraId="693AA48B" w14:textId="77777777" w:rsidR="001161D2" w:rsidRPr="001161D2" w:rsidRDefault="001161D2" w:rsidP="001161D2">
            <w:pPr>
              <w:rPr>
                <w:color w:val="auto"/>
                <w:sz w:val="24"/>
                <w:szCs w:val="24"/>
              </w:rPr>
            </w:pPr>
            <w:r w:rsidRPr="001161D2">
              <w:rPr>
                <w:color w:val="auto"/>
                <w:sz w:val="24"/>
                <w:szCs w:val="24"/>
              </w:rPr>
              <w:t xml:space="preserve">Although the Social Services and Well-being (Wales) Act 2014 is paramount, the Children Act 1989 </w:t>
            </w:r>
            <w:bookmarkStart w:id="10" w:name="_Int_LiyPpHXZ"/>
            <w:r w:rsidRPr="001161D2">
              <w:rPr>
                <w:color w:val="auto"/>
                <w:sz w:val="24"/>
                <w:szCs w:val="24"/>
              </w:rPr>
              <w:t>remains</w:t>
            </w:r>
            <w:bookmarkEnd w:id="10"/>
            <w:r w:rsidRPr="001161D2">
              <w:rPr>
                <w:color w:val="auto"/>
                <w:sz w:val="24"/>
                <w:szCs w:val="24"/>
              </w:rPr>
              <w:t xml:space="preserve"> relevant in Wales, particularly concerning Section 47 inquiries started when there is reasonable cause to suspect a child is suffering or at risk of suffering significant harm. These inquiries are agreed during strategy meetings and dictate </w:t>
            </w:r>
            <w:bookmarkStart w:id="11" w:name="_Int_eP4NaAu0"/>
            <w:r w:rsidRPr="001161D2">
              <w:rPr>
                <w:color w:val="auto"/>
                <w:sz w:val="24"/>
                <w:szCs w:val="24"/>
              </w:rPr>
              <w:t>subsequent</w:t>
            </w:r>
            <w:bookmarkEnd w:id="11"/>
            <w:r w:rsidRPr="001161D2">
              <w:rPr>
                <w:color w:val="auto"/>
                <w:sz w:val="24"/>
                <w:szCs w:val="24"/>
              </w:rPr>
              <w:t xml:space="preserve"> safeguarding steps, including whether a child protection conference </w:t>
            </w:r>
            <w:bookmarkStart w:id="12" w:name="_Int_pWu2rfSK"/>
            <w:r w:rsidRPr="001161D2">
              <w:rPr>
                <w:color w:val="auto"/>
                <w:sz w:val="24"/>
                <w:szCs w:val="24"/>
              </w:rPr>
              <w:t>is called</w:t>
            </w:r>
            <w:bookmarkEnd w:id="12"/>
            <w:r w:rsidRPr="001161D2">
              <w:rPr>
                <w:color w:val="auto"/>
                <w:sz w:val="24"/>
                <w:szCs w:val="24"/>
              </w:rPr>
              <w:t xml:space="preserve"> for. In this case, Section 47 inquiries </w:t>
            </w:r>
            <w:bookmarkStart w:id="13" w:name="_Int_l7CUIJWM"/>
            <w:r w:rsidRPr="001161D2">
              <w:rPr>
                <w:color w:val="auto"/>
                <w:sz w:val="24"/>
                <w:szCs w:val="24"/>
              </w:rPr>
              <w:t>were conducted</w:t>
            </w:r>
            <w:bookmarkEnd w:id="13"/>
            <w:r w:rsidRPr="001161D2">
              <w:rPr>
                <w:color w:val="auto"/>
                <w:sz w:val="24"/>
                <w:szCs w:val="24"/>
              </w:rPr>
              <w:t xml:space="preserve"> during periods of escalated concern, such as when one of the children </w:t>
            </w:r>
            <w:bookmarkStart w:id="14" w:name="_Int_OIyhHq41"/>
            <w:r w:rsidRPr="001161D2">
              <w:rPr>
                <w:color w:val="auto"/>
                <w:sz w:val="24"/>
                <w:szCs w:val="24"/>
              </w:rPr>
              <w:t>disclosed</w:t>
            </w:r>
            <w:bookmarkEnd w:id="14"/>
            <w:r w:rsidRPr="001161D2">
              <w:rPr>
                <w:color w:val="auto"/>
                <w:sz w:val="24"/>
                <w:szCs w:val="24"/>
              </w:rPr>
              <w:t xml:space="preserve"> instances of physical harm.</w:t>
            </w:r>
          </w:p>
          <w:p w14:paraId="09C76541" w14:textId="77777777" w:rsidR="001161D2" w:rsidRPr="001161D2" w:rsidRDefault="001161D2" w:rsidP="001161D2">
            <w:pPr>
              <w:rPr>
                <w:color w:val="auto"/>
                <w:sz w:val="24"/>
                <w:szCs w:val="24"/>
              </w:rPr>
            </w:pPr>
          </w:p>
          <w:p w14:paraId="418432A6" w14:textId="77777777" w:rsidR="001161D2" w:rsidRPr="001161D2" w:rsidRDefault="001161D2" w:rsidP="001161D2">
            <w:pPr>
              <w:rPr>
                <w:color w:val="auto"/>
                <w:sz w:val="24"/>
                <w:szCs w:val="24"/>
              </w:rPr>
            </w:pPr>
            <w:r w:rsidRPr="001161D2">
              <w:rPr>
                <w:color w:val="auto"/>
                <w:sz w:val="24"/>
                <w:szCs w:val="24"/>
              </w:rPr>
              <w:t xml:space="preserve">The concept of significant harm is critical in child protection decision-making, yet it </w:t>
            </w:r>
            <w:bookmarkStart w:id="15" w:name="_Int_tTllkc0a"/>
            <w:r w:rsidRPr="001161D2">
              <w:rPr>
                <w:color w:val="auto"/>
                <w:sz w:val="24"/>
                <w:szCs w:val="24"/>
              </w:rPr>
              <w:t>remains</w:t>
            </w:r>
            <w:bookmarkEnd w:id="15"/>
            <w:r w:rsidRPr="001161D2">
              <w:rPr>
                <w:color w:val="auto"/>
                <w:sz w:val="24"/>
                <w:szCs w:val="24"/>
              </w:rPr>
              <w:t xml:space="preserve"> complex and subjective. The All-Wales Safeguarding Procedures (2020) show significant harm as the threshold for statutory intervention, although interpretations vary across agencies. This ambiguity can lead to inconsistent decisions and professional disagreements, as illustrated in this case. Some professionals contended that the family had not met the criteria for deregistration, while others, including myself, believed there had been a sufficient reduction in risk to justify a transition to a care and support plan.</w:t>
            </w:r>
          </w:p>
          <w:p w14:paraId="0797E173" w14:textId="77777777" w:rsidR="001161D2" w:rsidRPr="001161D2" w:rsidRDefault="001161D2" w:rsidP="001161D2">
            <w:pPr>
              <w:rPr>
                <w:color w:val="auto"/>
                <w:sz w:val="24"/>
                <w:szCs w:val="24"/>
              </w:rPr>
            </w:pPr>
          </w:p>
          <w:p w14:paraId="68B0B5C4" w14:textId="77777777" w:rsidR="001161D2" w:rsidRPr="001161D2" w:rsidRDefault="001161D2" w:rsidP="001161D2">
            <w:pPr>
              <w:rPr>
                <w:color w:val="auto"/>
                <w:sz w:val="24"/>
                <w:szCs w:val="24"/>
              </w:rPr>
            </w:pPr>
            <w:r w:rsidRPr="001161D2">
              <w:rPr>
                <w:color w:val="auto"/>
                <w:sz w:val="24"/>
                <w:szCs w:val="24"/>
              </w:rPr>
              <w:t xml:space="preserve">In making these determinations, I </w:t>
            </w:r>
            <w:bookmarkStart w:id="16" w:name="_Int_c3jxIkGO"/>
            <w:r w:rsidRPr="001161D2">
              <w:rPr>
                <w:color w:val="auto"/>
                <w:sz w:val="24"/>
                <w:szCs w:val="24"/>
              </w:rPr>
              <w:t>was guided</w:t>
            </w:r>
            <w:bookmarkEnd w:id="16"/>
            <w:r w:rsidRPr="001161D2">
              <w:rPr>
                <w:color w:val="auto"/>
                <w:sz w:val="24"/>
                <w:szCs w:val="24"/>
              </w:rPr>
              <w:t xml:space="preserve"> by the Human Rights Act 1998, which integrates the European Convention on Human Rights into UK law. Article 8 safeguards the right to family life, stipulating that any interference must be lawful, necessary, and proportionate. Ongoing child protection registration imposes restrictions on family autonomy and can be stigmatising. I contemplated whether these restrictions were justifiable considering the family's progress. I concluded that deregistration </w:t>
            </w:r>
            <w:bookmarkStart w:id="17" w:name="_Int_LekEvbdO"/>
            <w:r w:rsidRPr="001161D2">
              <w:rPr>
                <w:color w:val="auto"/>
                <w:sz w:val="24"/>
                <w:szCs w:val="24"/>
              </w:rPr>
              <w:t>was called</w:t>
            </w:r>
            <w:bookmarkEnd w:id="17"/>
            <w:r w:rsidRPr="001161D2">
              <w:rPr>
                <w:color w:val="auto"/>
                <w:sz w:val="24"/>
                <w:szCs w:val="24"/>
              </w:rPr>
              <w:t xml:space="preserve"> for, with ongoing support available through a less intrusive framework.</w:t>
            </w:r>
          </w:p>
          <w:p w14:paraId="5E3A1ADC" w14:textId="77777777" w:rsidR="001161D2" w:rsidRPr="001161D2" w:rsidRDefault="001161D2" w:rsidP="001161D2">
            <w:pPr>
              <w:rPr>
                <w:color w:val="auto"/>
                <w:sz w:val="24"/>
                <w:szCs w:val="24"/>
              </w:rPr>
            </w:pPr>
          </w:p>
          <w:p w14:paraId="76255105" w14:textId="77777777" w:rsidR="001161D2" w:rsidRPr="001161D2" w:rsidRDefault="001161D2" w:rsidP="001161D2">
            <w:pPr>
              <w:rPr>
                <w:color w:val="auto"/>
                <w:sz w:val="24"/>
                <w:szCs w:val="24"/>
              </w:rPr>
            </w:pPr>
            <w:r w:rsidRPr="001161D2">
              <w:rPr>
                <w:color w:val="auto"/>
                <w:sz w:val="24"/>
                <w:szCs w:val="24"/>
              </w:rPr>
              <w:t xml:space="preserve">The United Nations Convention on the Rights of the Child (UNCRC), adopted by the Welsh Government in 2004, further informed my practice. Article 19 mandates that states protect children from all forms of abuse, neglect, and maltreatment, while Article 12 ensures that children's perspectives </w:t>
            </w:r>
            <w:bookmarkStart w:id="18" w:name="_Int_kbKoz6VY"/>
            <w:r w:rsidRPr="001161D2">
              <w:rPr>
                <w:color w:val="auto"/>
                <w:sz w:val="24"/>
                <w:szCs w:val="24"/>
              </w:rPr>
              <w:t>are respected</w:t>
            </w:r>
            <w:bookmarkEnd w:id="18"/>
            <w:r w:rsidRPr="001161D2">
              <w:rPr>
                <w:color w:val="auto"/>
                <w:sz w:val="24"/>
                <w:szCs w:val="24"/>
              </w:rPr>
              <w:t xml:space="preserve"> in decisions affecting them. During the assessment, I engaged with the children to grasp their experiences and viewpoints. Their voices </w:t>
            </w:r>
            <w:bookmarkStart w:id="19" w:name="_Int_WX9sRSwg"/>
            <w:r w:rsidRPr="001161D2">
              <w:rPr>
                <w:color w:val="auto"/>
                <w:sz w:val="24"/>
                <w:szCs w:val="24"/>
              </w:rPr>
              <w:t>were incorporated</w:t>
            </w:r>
            <w:bookmarkEnd w:id="19"/>
            <w:r w:rsidRPr="001161D2">
              <w:rPr>
                <w:color w:val="auto"/>
                <w:sz w:val="24"/>
                <w:szCs w:val="24"/>
              </w:rPr>
              <w:t xml:space="preserve"> into conference reports and core group discussions, ensuring that the decisions remained child-centered and rights-based.</w:t>
            </w:r>
          </w:p>
          <w:p w14:paraId="10A22AA0" w14:textId="77777777" w:rsidR="001161D2" w:rsidRPr="001161D2" w:rsidRDefault="001161D2" w:rsidP="001161D2">
            <w:pPr>
              <w:rPr>
                <w:color w:val="auto"/>
                <w:sz w:val="24"/>
                <w:szCs w:val="24"/>
              </w:rPr>
            </w:pPr>
          </w:p>
          <w:p w14:paraId="3849EEB4" w14:textId="77777777" w:rsidR="001161D2" w:rsidRPr="001161D2" w:rsidRDefault="001161D2" w:rsidP="001161D2">
            <w:pPr>
              <w:rPr>
                <w:color w:val="auto"/>
                <w:sz w:val="24"/>
                <w:szCs w:val="24"/>
              </w:rPr>
            </w:pPr>
            <w:r w:rsidRPr="001161D2">
              <w:rPr>
                <w:color w:val="auto"/>
                <w:sz w:val="24"/>
                <w:szCs w:val="24"/>
              </w:rPr>
              <w:t>The Children’s Commissioner for Wales plays a pivotal role in advocating for and safeguarding children's rights. The Commissioner's office evaluates the impact of public services on children and promotes policies and practices that uphold the UNCRC. As a social worker, I am accountable to these standards and must ensure my interventions uphold dignity, fairness, and well-being, recognising the cultural and linguistic contexts of families living in Wales.</w:t>
            </w:r>
          </w:p>
          <w:p w14:paraId="07573A2C" w14:textId="77777777" w:rsidR="001161D2" w:rsidRPr="001161D2" w:rsidRDefault="001161D2" w:rsidP="001161D2">
            <w:pPr>
              <w:rPr>
                <w:color w:val="auto"/>
                <w:sz w:val="24"/>
                <w:szCs w:val="24"/>
              </w:rPr>
            </w:pPr>
          </w:p>
          <w:p w14:paraId="385F681A" w14:textId="77777777" w:rsidR="001161D2" w:rsidRPr="001161D2" w:rsidRDefault="001161D2" w:rsidP="001161D2">
            <w:pPr>
              <w:rPr>
                <w:color w:val="auto"/>
                <w:sz w:val="24"/>
                <w:szCs w:val="24"/>
              </w:rPr>
            </w:pPr>
            <w:r w:rsidRPr="001161D2">
              <w:rPr>
                <w:color w:val="auto"/>
                <w:sz w:val="24"/>
                <w:szCs w:val="24"/>
              </w:rPr>
              <w:t xml:space="preserve">In this instance, the family moved from England to a coastal town in Wales, facing housing challenges, including overcrowding in a three-bedroom home and an eviction notice. Help </w:t>
            </w:r>
            <w:bookmarkStart w:id="20" w:name="_Int_o1YO9cxB"/>
            <w:r w:rsidRPr="001161D2">
              <w:rPr>
                <w:color w:val="auto"/>
                <w:sz w:val="24"/>
                <w:szCs w:val="24"/>
              </w:rPr>
              <w:t>was provided</w:t>
            </w:r>
            <w:bookmarkEnd w:id="20"/>
            <w:r w:rsidRPr="001161D2">
              <w:rPr>
                <w:color w:val="auto"/>
                <w:sz w:val="24"/>
                <w:szCs w:val="24"/>
              </w:rPr>
              <w:t xml:space="preserve"> by both in-house workers and external agencies such as Shelter. Parent 1 articulated difficulties in adjusting to the cultural transition, often contrasting their urban origins in England with their unfamiliar environment in Wales. Feelings of isolation hindered their engagement and confidence. During interventions, I used systems theory, viewing </w:t>
            </w:r>
            <w:r w:rsidRPr="001161D2">
              <w:rPr>
                <w:color w:val="auto"/>
                <w:sz w:val="24"/>
                <w:szCs w:val="24"/>
              </w:rPr>
              <w:lastRenderedPageBreak/>
              <w:t xml:space="preserve">individuals as components of interconnected systems encompassing family, community, services, and society. The family's challenges </w:t>
            </w:r>
            <w:bookmarkStart w:id="21" w:name="_Int_K3WPLKMD"/>
            <w:r w:rsidRPr="001161D2">
              <w:rPr>
                <w:color w:val="auto"/>
                <w:sz w:val="24"/>
                <w:szCs w:val="24"/>
              </w:rPr>
              <w:t>were not isolated</w:t>
            </w:r>
            <w:bookmarkEnd w:id="21"/>
            <w:r w:rsidRPr="001161D2">
              <w:rPr>
                <w:color w:val="auto"/>
                <w:sz w:val="24"/>
                <w:szCs w:val="24"/>
              </w:rPr>
              <w:t xml:space="preserve"> but shaped by housing instability, limited social support, and earlier trauma. These external pressures influenced their parenting capacity and engagement with services. By Bronfenbrenner’s ecological systems model (1979), I considered how parent-child relationships </w:t>
            </w:r>
            <w:bookmarkStart w:id="22" w:name="_Int_HSzLI8in"/>
            <w:r w:rsidRPr="001161D2">
              <w:rPr>
                <w:color w:val="auto"/>
                <w:sz w:val="24"/>
                <w:szCs w:val="24"/>
              </w:rPr>
              <w:t>were influenced</w:t>
            </w:r>
            <w:bookmarkEnd w:id="22"/>
            <w:r w:rsidRPr="001161D2">
              <w:rPr>
                <w:color w:val="auto"/>
                <w:sz w:val="24"/>
                <w:szCs w:val="24"/>
              </w:rPr>
              <w:t xml:space="preserve"> by macro-level factors such as housing and policy, advocating for holistic support, including housing </w:t>
            </w:r>
            <w:bookmarkStart w:id="23" w:name="_Int_3NQ9gl9g"/>
            <w:r w:rsidRPr="001161D2">
              <w:rPr>
                <w:color w:val="auto"/>
                <w:sz w:val="24"/>
                <w:szCs w:val="24"/>
              </w:rPr>
              <w:t>assistance</w:t>
            </w:r>
            <w:bookmarkEnd w:id="23"/>
            <w:r w:rsidRPr="001161D2">
              <w:rPr>
                <w:color w:val="auto"/>
                <w:sz w:val="24"/>
                <w:szCs w:val="24"/>
              </w:rPr>
              <w:t xml:space="preserve"> and trauma-informed care, rather than focusing solely on parenting behaviours. This approach showed the need of multi-agency collaboration, as no single service could independently address all needs.</w:t>
            </w:r>
          </w:p>
          <w:p w14:paraId="3F29772D" w14:textId="77777777" w:rsidR="001161D2" w:rsidRPr="001161D2" w:rsidRDefault="001161D2" w:rsidP="001161D2">
            <w:pPr>
              <w:rPr>
                <w:color w:val="auto"/>
                <w:sz w:val="24"/>
                <w:szCs w:val="24"/>
              </w:rPr>
            </w:pPr>
          </w:p>
          <w:p w14:paraId="34CDC8FF" w14:textId="77777777" w:rsidR="001161D2" w:rsidRPr="001161D2" w:rsidRDefault="001161D2" w:rsidP="001161D2">
            <w:pPr>
              <w:rPr>
                <w:color w:val="auto"/>
                <w:sz w:val="24"/>
                <w:szCs w:val="24"/>
              </w:rPr>
            </w:pPr>
            <w:r w:rsidRPr="001161D2">
              <w:rPr>
                <w:color w:val="auto"/>
                <w:sz w:val="24"/>
                <w:szCs w:val="24"/>
              </w:rPr>
              <w:t xml:space="preserve">During </w:t>
            </w:r>
            <w:bookmarkStart w:id="24" w:name="_Int_gpeYX9i9"/>
            <w:r w:rsidRPr="001161D2">
              <w:rPr>
                <w:color w:val="auto"/>
                <w:sz w:val="24"/>
                <w:szCs w:val="24"/>
              </w:rPr>
              <w:t>initial</w:t>
            </w:r>
            <w:bookmarkEnd w:id="24"/>
            <w:r w:rsidRPr="001161D2">
              <w:rPr>
                <w:color w:val="auto"/>
                <w:sz w:val="24"/>
                <w:szCs w:val="24"/>
              </w:rPr>
              <w:t xml:space="preserve"> visits, I inquired about the family's preferred language, which led to a conversation about the use of the Welsh language. The parents initially appeared defensive, questioning whether they </w:t>
            </w:r>
            <w:bookmarkStart w:id="25" w:name="_Int_SHnmUih5"/>
            <w:r w:rsidRPr="001161D2">
              <w:rPr>
                <w:color w:val="auto"/>
                <w:sz w:val="24"/>
                <w:szCs w:val="24"/>
              </w:rPr>
              <w:t>were expected</w:t>
            </w:r>
            <w:bookmarkEnd w:id="25"/>
            <w:r w:rsidRPr="001161D2">
              <w:rPr>
                <w:color w:val="auto"/>
                <w:sz w:val="24"/>
                <w:szCs w:val="24"/>
              </w:rPr>
              <w:t xml:space="preserve"> to converse in Welsh. I clarified that this inquiry was part of the 'active offer,' a Welsh Government initiative ensuring individuals receive services in their preferred language, be it Welsh, English, or another. This initiative </w:t>
            </w:r>
            <w:bookmarkStart w:id="26" w:name="_Int_YGM5UqyV"/>
            <w:r w:rsidRPr="001161D2">
              <w:rPr>
                <w:color w:val="auto"/>
                <w:sz w:val="24"/>
                <w:szCs w:val="24"/>
              </w:rPr>
              <w:t>is embedded</w:t>
            </w:r>
            <w:bookmarkEnd w:id="26"/>
            <w:r w:rsidRPr="001161D2">
              <w:rPr>
                <w:color w:val="auto"/>
                <w:sz w:val="24"/>
                <w:szCs w:val="24"/>
              </w:rPr>
              <w:t xml:space="preserve"> in the Welsh Language (Wales) Measure (2011), which grants Welsh equal status to English in public services. The 2011 Measure showed Welsh as an official language in Wales, placing a legal obligation on public bodies to actively offer services in Welsh and ensure individuals can access support in their language of choice.</w:t>
            </w:r>
          </w:p>
          <w:p w14:paraId="55A4BBB2" w14:textId="77777777" w:rsidR="001161D2" w:rsidRPr="001161D2" w:rsidRDefault="001161D2" w:rsidP="001161D2">
            <w:pPr>
              <w:rPr>
                <w:color w:val="auto"/>
                <w:sz w:val="24"/>
                <w:szCs w:val="24"/>
              </w:rPr>
            </w:pPr>
          </w:p>
          <w:p w14:paraId="2BC18C6F" w14:textId="77777777" w:rsidR="001161D2" w:rsidRPr="001161D2" w:rsidRDefault="001161D2" w:rsidP="001161D2">
            <w:pPr>
              <w:rPr>
                <w:color w:val="auto"/>
                <w:sz w:val="24"/>
                <w:szCs w:val="24"/>
              </w:rPr>
            </w:pPr>
            <w:r w:rsidRPr="001161D2">
              <w:rPr>
                <w:color w:val="auto"/>
                <w:sz w:val="24"/>
                <w:szCs w:val="24"/>
              </w:rPr>
              <w:t>Although the family did not need services in Welsh, acknowledging their language preference was crucial for inclusive practice. It showed respect for their identity and fostered trust. The Well-being of Future Generations (Wales) Act 2015 further supports this by promoting the use of Welsh in health and social care settings, emphasising long-term thinking, prevention, and collaboration principles that closely align with strengths-based and trauma-informed approaches.</w:t>
            </w:r>
          </w:p>
          <w:p w14:paraId="3B353FF6" w14:textId="77777777" w:rsidR="001161D2" w:rsidRPr="001161D2" w:rsidRDefault="001161D2" w:rsidP="001161D2">
            <w:pPr>
              <w:rPr>
                <w:color w:val="auto"/>
                <w:sz w:val="24"/>
                <w:szCs w:val="24"/>
              </w:rPr>
            </w:pPr>
          </w:p>
          <w:p w14:paraId="04E39EB5" w14:textId="77777777" w:rsidR="001161D2" w:rsidRPr="001161D2" w:rsidRDefault="001161D2" w:rsidP="001161D2">
            <w:pPr>
              <w:rPr>
                <w:color w:val="auto"/>
                <w:sz w:val="24"/>
                <w:szCs w:val="24"/>
              </w:rPr>
            </w:pPr>
            <w:r w:rsidRPr="001161D2">
              <w:rPr>
                <w:color w:val="auto"/>
                <w:sz w:val="24"/>
                <w:szCs w:val="24"/>
              </w:rPr>
              <w:t xml:space="preserve">The family’s experiences showed the significance of cultural sensitivity in safeguarding practice. Parent 1 often expressed feeling misunderstood by professionals who did not consider her background or lived experiences. She often showed her frustrations about professionals not being forthright, which created mistrust. She expressed exasperation about referrals made without concerns </w:t>
            </w:r>
            <w:bookmarkStart w:id="27" w:name="_Int_5UPEmB3I"/>
            <w:r w:rsidRPr="001161D2">
              <w:rPr>
                <w:color w:val="auto"/>
                <w:sz w:val="24"/>
                <w:szCs w:val="24"/>
              </w:rPr>
              <w:t>being communicated</w:t>
            </w:r>
            <w:bookmarkEnd w:id="27"/>
            <w:r w:rsidRPr="001161D2">
              <w:rPr>
                <w:color w:val="auto"/>
                <w:sz w:val="24"/>
                <w:szCs w:val="24"/>
              </w:rPr>
              <w:t xml:space="preserve"> to the family, suggesting that professionals were reluctant to engage in difficult conversations, harming relationships. I used this information to address concerns with professionals, showing the impact their practices have on individuals' trust in professionals and their willingness to engage.</w:t>
            </w:r>
          </w:p>
          <w:p w14:paraId="2B4C2D2B" w14:textId="77777777" w:rsidR="001161D2" w:rsidRPr="001161D2" w:rsidRDefault="001161D2" w:rsidP="001161D2">
            <w:pPr>
              <w:rPr>
                <w:color w:val="auto"/>
                <w:sz w:val="24"/>
                <w:szCs w:val="24"/>
              </w:rPr>
            </w:pPr>
          </w:p>
          <w:p w14:paraId="246D92EE" w14:textId="77777777" w:rsidR="001161D2" w:rsidRPr="001161D2" w:rsidRDefault="001161D2" w:rsidP="001161D2">
            <w:pPr>
              <w:rPr>
                <w:color w:val="auto"/>
                <w:sz w:val="24"/>
                <w:szCs w:val="24"/>
              </w:rPr>
            </w:pPr>
            <w:r w:rsidRPr="001161D2">
              <w:rPr>
                <w:color w:val="auto"/>
                <w:sz w:val="24"/>
                <w:szCs w:val="24"/>
              </w:rPr>
              <w:t xml:space="preserve">I also evaluated the consequences of housing instability on the family's well-being. Overcrowding and the threat of eviction generated stress and uncertainty, affecting the parents’ ability to keep routines and engage with services. The Housing (Wales) Act 2014 mandates local authorities to prevent homelessness and help families at risk. I collaborated closely with housing officers to explore rehousing options and ensure the family’s accommodation needs </w:t>
            </w:r>
            <w:bookmarkStart w:id="28" w:name="_Int_MLw5AxXJ"/>
            <w:r w:rsidRPr="001161D2">
              <w:rPr>
                <w:color w:val="auto"/>
                <w:sz w:val="24"/>
                <w:szCs w:val="24"/>
              </w:rPr>
              <w:t>were addressed</w:t>
            </w:r>
            <w:bookmarkEnd w:id="28"/>
            <w:r w:rsidRPr="001161D2">
              <w:rPr>
                <w:color w:val="auto"/>
                <w:sz w:val="24"/>
                <w:szCs w:val="24"/>
              </w:rPr>
              <w:t xml:space="preserve"> as part of the care and support plan.</w:t>
            </w:r>
          </w:p>
          <w:p w14:paraId="1AAA72CE" w14:textId="77777777" w:rsidR="001161D2" w:rsidRPr="001161D2" w:rsidRDefault="001161D2" w:rsidP="001161D2">
            <w:pPr>
              <w:rPr>
                <w:color w:val="auto"/>
                <w:sz w:val="24"/>
                <w:szCs w:val="24"/>
              </w:rPr>
            </w:pPr>
          </w:p>
          <w:p w14:paraId="1803011C" w14:textId="77777777" w:rsidR="001161D2" w:rsidRPr="001161D2" w:rsidRDefault="001161D2" w:rsidP="001161D2">
            <w:pPr>
              <w:rPr>
                <w:color w:val="auto"/>
                <w:sz w:val="24"/>
                <w:szCs w:val="24"/>
              </w:rPr>
            </w:pPr>
            <w:r w:rsidRPr="001161D2">
              <w:rPr>
                <w:color w:val="auto"/>
                <w:sz w:val="24"/>
                <w:szCs w:val="24"/>
              </w:rPr>
              <w:t xml:space="preserve">The safeguarding process for this family caused an understanding of risk, resilience, and the dynamics of professional collaboration. As the social worker, I </w:t>
            </w:r>
            <w:bookmarkStart w:id="29" w:name="_Int_B3Y90CNM"/>
            <w:r w:rsidRPr="001161D2">
              <w:rPr>
                <w:color w:val="auto"/>
                <w:sz w:val="24"/>
                <w:szCs w:val="24"/>
              </w:rPr>
              <w:t>was tasked</w:t>
            </w:r>
            <w:bookmarkEnd w:id="29"/>
            <w:r w:rsidRPr="001161D2">
              <w:rPr>
                <w:color w:val="auto"/>
                <w:sz w:val="24"/>
                <w:szCs w:val="24"/>
              </w:rPr>
              <w:t xml:space="preserve"> with assessing the risk of significant harm to the children and deciding the necessity of continued </w:t>
            </w:r>
            <w:r w:rsidRPr="001161D2">
              <w:rPr>
                <w:color w:val="auto"/>
                <w:sz w:val="24"/>
                <w:szCs w:val="24"/>
              </w:rPr>
              <w:lastRenderedPageBreak/>
              <w:t>registration under child protection. To carry out this, I completed a Risk 2 assessment, which is a part of the Effective Child Protection model utilised in Wales. This tool assesses parental capacity, the needs of the children, and the likelihood of harm, providing a structured and evidence-based framework for risk analysis.</w:t>
            </w:r>
          </w:p>
          <w:p w14:paraId="464E5275" w14:textId="77777777" w:rsidR="001161D2" w:rsidRPr="001161D2" w:rsidRDefault="001161D2" w:rsidP="001161D2">
            <w:pPr>
              <w:rPr>
                <w:color w:val="auto"/>
                <w:sz w:val="24"/>
                <w:szCs w:val="24"/>
              </w:rPr>
            </w:pPr>
          </w:p>
          <w:p w14:paraId="45BE30B0" w14:textId="77777777" w:rsidR="001161D2" w:rsidRPr="001161D2" w:rsidRDefault="001161D2" w:rsidP="001161D2">
            <w:pPr>
              <w:rPr>
                <w:color w:val="auto"/>
                <w:sz w:val="24"/>
                <w:szCs w:val="24"/>
              </w:rPr>
            </w:pPr>
            <w:r w:rsidRPr="001161D2">
              <w:rPr>
                <w:color w:val="auto"/>
                <w:sz w:val="24"/>
                <w:szCs w:val="24"/>
              </w:rPr>
              <w:t>Throughout the assessment, I drew upon both quantitative data, such as school attendance records and medical appointment logs, and qualitative observations from home visits and core group discussions. The Risk 2 assessment showed a reduction in risk, supporting my recommendation for deregistration. Sharing these findings with the core group clarified my rationale and highlighted my confidence in asserting professional judgment.</w:t>
            </w:r>
          </w:p>
          <w:p w14:paraId="2C5EB624" w14:textId="77777777" w:rsidR="001161D2" w:rsidRPr="001161D2" w:rsidRDefault="001161D2" w:rsidP="001161D2">
            <w:pPr>
              <w:rPr>
                <w:color w:val="auto"/>
                <w:sz w:val="24"/>
                <w:szCs w:val="24"/>
              </w:rPr>
            </w:pPr>
          </w:p>
          <w:p w14:paraId="487E53A0" w14:textId="77777777" w:rsidR="001161D2" w:rsidRPr="001161D2" w:rsidRDefault="001161D2" w:rsidP="001161D2">
            <w:pPr>
              <w:rPr>
                <w:color w:val="auto"/>
                <w:sz w:val="24"/>
                <w:szCs w:val="24"/>
              </w:rPr>
            </w:pPr>
            <w:r w:rsidRPr="001161D2">
              <w:rPr>
                <w:color w:val="auto"/>
                <w:sz w:val="24"/>
                <w:szCs w:val="24"/>
              </w:rPr>
              <w:t>Professional judgment is a fundamental principle of social work; however, it can be challenging when other professionals support opposing viewpoints. In this case, some core group members, such as the health visitor and one of the school’s safeguarding officers, expressed concerns about the sustainability of the family’s progress, fearing that improvements might be temporary and that the parents could revert to neglectful behaviours. Others, including myself, believed that the family's showed changes called for a shift from child protection to a care and support plan that could better manage the children's improved circumstances.</w:t>
            </w:r>
          </w:p>
          <w:p w14:paraId="315B0515" w14:textId="77777777" w:rsidR="001161D2" w:rsidRPr="001161D2" w:rsidRDefault="001161D2" w:rsidP="001161D2">
            <w:pPr>
              <w:rPr>
                <w:color w:val="auto"/>
                <w:sz w:val="24"/>
                <w:szCs w:val="24"/>
              </w:rPr>
            </w:pPr>
          </w:p>
          <w:p w14:paraId="0BDEB5F2" w14:textId="77777777" w:rsidR="001161D2" w:rsidRPr="001161D2" w:rsidRDefault="001161D2" w:rsidP="001161D2">
            <w:pPr>
              <w:rPr>
                <w:color w:val="auto"/>
                <w:sz w:val="24"/>
                <w:szCs w:val="24"/>
              </w:rPr>
            </w:pPr>
            <w:r w:rsidRPr="001161D2">
              <w:rPr>
                <w:color w:val="auto"/>
                <w:sz w:val="24"/>
                <w:szCs w:val="24"/>
              </w:rPr>
              <w:t>Initially, I found it difficult to advocate for my views and recommendations about the reduced risk to the children. I deferred to more experienced colleagues and heavily relied on procedural safeguards instead of trusting my own analysis. This lack of confidence may have contributed to the prolonged registration of the children. However, the National Occupational Standards for social work emphasises the need of making independent judgments, even when collaborating. Over time, I learned to balance partnership working with professional autonomy, ensuring that my decisions were evidence-based and proportionate.</w:t>
            </w:r>
          </w:p>
          <w:p w14:paraId="79F6CB0B" w14:textId="77777777" w:rsidR="001161D2" w:rsidRPr="001161D2" w:rsidRDefault="001161D2" w:rsidP="001161D2">
            <w:pPr>
              <w:rPr>
                <w:color w:val="auto"/>
                <w:sz w:val="24"/>
                <w:szCs w:val="24"/>
              </w:rPr>
            </w:pPr>
          </w:p>
          <w:p w14:paraId="0BD865CD" w14:textId="77777777" w:rsidR="001161D2" w:rsidRPr="001161D2" w:rsidRDefault="001161D2" w:rsidP="001161D2">
            <w:pPr>
              <w:rPr>
                <w:color w:val="auto"/>
                <w:sz w:val="24"/>
                <w:szCs w:val="24"/>
              </w:rPr>
            </w:pPr>
            <w:r w:rsidRPr="001161D2">
              <w:rPr>
                <w:color w:val="auto"/>
                <w:sz w:val="24"/>
                <w:szCs w:val="24"/>
              </w:rPr>
              <w:t xml:space="preserve">The notion of "significant harm" was central to this discourse, yet it </w:t>
            </w:r>
            <w:bookmarkStart w:id="30" w:name="_Int_JYFzgGxC"/>
            <w:r w:rsidRPr="001161D2">
              <w:rPr>
                <w:color w:val="auto"/>
                <w:sz w:val="24"/>
                <w:szCs w:val="24"/>
              </w:rPr>
              <w:t>remains</w:t>
            </w:r>
            <w:bookmarkEnd w:id="30"/>
            <w:r w:rsidRPr="001161D2">
              <w:rPr>
                <w:color w:val="auto"/>
                <w:sz w:val="24"/>
                <w:szCs w:val="24"/>
              </w:rPr>
              <w:t xml:space="preserve"> contested and subjective. The All-Wales Safeguarding Procedures (2020) outline significant harm as the threshold for statutory intervention, but interpretations differ across agencies. This ambiguity can lead to inconsistent decisions and professional conflicts. In this case, the lack of consensus surrounding what constituted "good enough" parenting further complicated matters. I utilised meetings to help open discussions about thresholds, proportionality, and the ethical implications of continued registration.</w:t>
            </w:r>
          </w:p>
          <w:p w14:paraId="07C6263E" w14:textId="77777777" w:rsidR="001161D2" w:rsidRPr="001161D2" w:rsidRDefault="001161D2" w:rsidP="001161D2">
            <w:pPr>
              <w:rPr>
                <w:color w:val="auto"/>
                <w:sz w:val="24"/>
                <w:szCs w:val="24"/>
              </w:rPr>
            </w:pPr>
          </w:p>
          <w:p w14:paraId="57B5D7E9" w14:textId="77777777" w:rsidR="001161D2" w:rsidRPr="001161D2" w:rsidRDefault="001161D2" w:rsidP="001161D2">
            <w:pPr>
              <w:rPr>
                <w:color w:val="auto"/>
                <w:sz w:val="24"/>
                <w:szCs w:val="24"/>
              </w:rPr>
            </w:pPr>
            <w:r w:rsidRPr="001161D2">
              <w:rPr>
                <w:color w:val="auto"/>
                <w:sz w:val="24"/>
                <w:szCs w:val="24"/>
              </w:rPr>
              <w:t xml:space="preserve">The family’s progress was clear in several key areas. Home conditions had improved significantly, with the parents keeping a cleaner and safer environment for the children. School attendance, previously sporadic, became more consistent, and medical appointments </w:t>
            </w:r>
            <w:bookmarkStart w:id="31" w:name="_Int_1HFVXNYv"/>
            <w:r w:rsidRPr="001161D2">
              <w:rPr>
                <w:color w:val="auto"/>
                <w:sz w:val="24"/>
                <w:szCs w:val="24"/>
              </w:rPr>
              <w:t>were attended</w:t>
            </w:r>
            <w:bookmarkEnd w:id="31"/>
            <w:r w:rsidRPr="001161D2">
              <w:rPr>
                <w:color w:val="auto"/>
                <w:sz w:val="24"/>
                <w:szCs w:val="24"/>
              </w:rPr>
              <w:t xml:space="preserve"> more regularly. The children received right supervision, and these changes were not only observable but also sustained over several months, showing a genuine shift in parental behaviour.</w:t>
            </w:r>
          </w:p>
          <w:p w14:paraId="7628F91B" w14:textId="77777777" w:rsidR="001161D2" w:rsidRPr="001161D2" w:rsidRDefault="001161D2" w:rsidP="001161D2">
            <w:pPr>
              <w:rPr>
                <w:color w:val="auto"/>
                <w:sz w:val="24"/>
                <w:szCs w:val="24"/>
              </w:rPr>
            </w:pPr>
          </w:p>
          <w:p w14:paraId="1CE97D7E" w14:textId="77777777" w:rsidR="001161D2" w:rsidRPr="001161D2" w:rsidRDefault="001161D2" w:rsidP="001161D2">
            <w:pPr>
              <w:rPr>
                <w:color w:val="auto"/>
                <w:sz w:val="24"/>
                <w:szCs w:val="24"/>
              </w:rPr>
            </w:pPr>
            <w:r w:rsidRPr="001161D2">
              <w:rPr>
                <w:color w:val="auto"/>
                <w:sz w:val="24"/>
                <w:szCs w:val="24"/>
              </w:rPr>
              <w:t xml:space="preserve">Despite these advancements, concerns persisted about the family's ability to </w:t>
            </w:r>
            <w:bookmarkStart w:id="32" w:name="_Int_7l5rL8cR"/>
            <w:r w:rsidRPr="001161D2">
              <w:rPr>
                <w:color w:val="auto"/>
                <w:sz w:val="24"/>
                <w:szCs w:val="24"/>
              </w:rPr>
              <w:t>maintain</w:t>
            </w:r>
            <w:bookmarkEnd w:id="32"/>
            <w:r w:rsidRPr="001161D2">
              <w:rPr>
                <w:color w:val="auto"/>
                <w:sz w:val="24"/>
                <w:szCs w:val="24"/>
              </w:rPr>
              <w:t xml:space="preserve"> progress. The parents had a history of relapse, and professionals worried that without the </w:t>
            </w:r>
            <w:r w:rsidRPr="001161D2">
              <w:rPr>
                <w:color w:val="auto"/>
                <w:sz w:val="24"/>
                <w:szCs w:val="24"/>
              </w:rPr>
              <w:lastRenderedPageBreak/>
              <w:t>structure of a child protection plan, they might revert to earlier patterns. I advocated for a care and support plan that would continue to provide oversight and help without the restrictive and potentially stigmatising label of child protection registration.</w:t>
            </w:r>
          </w:p>
          <w:p w14:paraId="448007D7" w14:textId="77777777" w:rsidR="001161D2" w:rsidRPr="001161D2" w:rsidRDefault="001161D2" w:rsidP="001161D2">
            <w:pPr>
              <w:rPr>
                <w:color w:val="auto"/>
                <w:sz w:val="24"/>
                <w:szCs w:val="24"/>
              </w:rPr>
            </w:pPr>
          </w:p>
          <w:p w14:paraId="7EB99E5D" w14:textId="77777777" w:rsidR="001161D2" w:rsidRPr="001161D2" w:rsidRDefault="001161D2" w:rsidP="001161D2">
            <w:pPr>
              <w:rPr>
                <w:color w:val="auto"/>
                <w:sz w:val="24"/>
                <w:szCs w:val="24"/>
              </w:rPr>
            </w:pPr>
            <w:r w:rsidRPr="001161D2">
              <w:rPr>
                <w:color w:val="auto"/>
                <w:sz w:val="24"/>
                <w:szCs w:val="24"/>
              </w:rPr>
              <w:t xml:space="preserve">Reflecting on the Human Rights Act (1998), I evaluated whether continued registration stood for a proportionate response. Article 8 protects the right to family life, asserting that any interference must be necessary and lawful. In this case, I decided that the restrictions imposed by child protection registration </w:t>
            </w:r>
            <w:bookmarkStart w:id="33" w:name="_Int_LxAGmJjE"/>
            <w:r w:rsidRPr="001161D2">
              <w:rPr>
                <w:color w:val="auto"/>
                <w:sz w:val="24"/>
                <w:szCs w:val="24"/>
              </w:rPr>
              <w:t>were no longer justified</w:t>
            </w:r>
            <w:bookmarkEnd w:id="33"/>
            <w:r w:rsidRPr="001161D2">
              <w:rPr>
                <w:color w:val="auto"/>
                <w:sz w:val="24"/>
                <w:szCs w:val="24"/>
              </w:rPr>
              <w:t>, given the family’s progress. I encouraged professionals to focus on collaboratively managing potential future risks rather than relying solely on historical concerns.</w:t>
            </w:r>
          </w:p>
          <w:p w14:paraId="31FD5F21" w14:textId="77777777" w:rsidR="001161D2" w:rsidRPr="001161D2" w:rsidRDefault="001161D2" w:rsidP="001161D2">
            <w:pPr>
              <w:rPr>
                <w:color w:val="auto"/>
                <w:sz w:val="24"/>
                <w:szCs w:val="24"/>
              </w:rPr>
            </w:pPr>
          </w:p>
          <w:p w14:paraId="60374CE1" w14:textId="77777777" w:rsidR="001161D2" w:rsidRPr="001161D2" w:rsidRDefault="001161D2" w:rsidP="001161D2">
            <w:pPr>
              <w:rPr>
                <w:color w:val="auto"/>
                <w:sz w:val="24"/>
                <w:szCs w:val="24"/>
              </w:rPr>
            </w:pPr>
            <w:r w:rsidRPr="001161D2">
              <w:rPr>
                <w:color w:val="auto"/>
                <w:sz w:val="24"/>
                <w:szCs w:val="24"/>
              </w:rPr>
              <w:t>The family's journey through various interventions, including care and support plans, child protection processes, and the PLO process, reflected shifts within the Cycle of Change (Prochaska &amp; DiClemente). This model encompasses six stages: pre-contemplation, contemplation, preparation, action, maintenance, and relapse. Initially, the parents were in the contemplation stage, aware of concerns but not yet committed to change. As interventions progressed, they transitioned into action and maintenance, showing improved routines, home conditions, and engagement with professionals. However, the risk of relapse stayed, especially under stress. By mapping their journey against this model, I tailored interventions to their readiness, predicted setbacks, and developed a safety plan that supported long-term change. This approach also aided professionals in understanding that setbacks do not necessarily signify failure but rather show a need for renewed support.</w:t>
            </w:r>
          </w:p>
          <w:p w14:paraId="448D300D" w14:textId="77777777" w:rsidR="001161D2" w:rsidRPr="001161D2" w:rsidRDefault="001161D2" w:rsidP="001161D2">
            <w:pPr>
              <w:rPr>
                <w:color w:val="auto"/>
                <w:sz w:val="24"/>
                <w:szCs w:val="24"/>
              </w:rPr>
            </w:pPr>
          </w:p>
          <w:p w14:paraId="7779342B" w14:textId="77777777" w:rsidR="001161D2" w:rsidRPr="001161D2" w:rsidRDefault="001161D2" w:rsidP="001161D2">
            <w:pPr>
              <w:rPr>
                <w:color w:val="auto"/>
                <w:sz w:val="24"/>
                <w:szCs w:val="24"/>
              </w:rPr>
            </w:pPr>
            <w:r w:rsidRPr="001161D2">
              <w:rPr>
                <w:color w:val="auto"/>
                <w:sz w:val="24"/>
                <w:szCs w:val="24"/>
              </w:rPr>
              <w:t>The parents found themselves in the maintenance stage, having replaced old behaviours with new ones. We explored the possibility of relapse and formulated a safety plan to support them, ensuring they could seek help before putting the children at risk again. This plan included practical strategies such as showing trusted support persons, setting reminders for appointments, and keeping regular contact with key professionals. By involving the family in creating this plan, we promoted agency and accountability, reinforcing their commitment to sustained change.</w:t>
            </w:r>
          </w:p>
          <w:p w14:paraId="7FD34077" w14:textId="77777777" w:rsidR="001161D2" w:rsidRPr="001161D2" w:rsidRDefault="001161D2" w:rsidP="001161D2">
            <w:pPr>
              <w:rPr>
                <w:color w:val="auto"/>
                <w:sz w:val="24"/>
                <w:szCs w:val="24"/>
              </w:rPr>
            </w:pPr>
          </w:p>
          <w:p w14:paraId="665D1654" w14:textId="77777777" w:rsidR="001161D2" w:rsidRPr="001161D2" w:rsidRDefault="001161D2" w:rsidP="001161D2">
            <w:pPr>
              <w:rPr>
                <w:color w:val="auto"/>
                <w:sz w:val="24"/>
                <w:szCs w:val="24"/>
              </w:rPr>
            </w:pPr>
            <w:r w:rsidRPr="001161D2">
              <w:rPr>
                <w:color w:val="auto"/>
                <w:sz w:val="24"/>
                <w:szCs w:val="24"/>
              </w:rPr>
              <w:t>Collaborative working was essential throughout this process, yet it was not without challenges. Separating professional perspectives, organisational priorities, and personal biases influenced decision-making. I found that open communication, transparency, and a shared commitment to the children's well-being were key to overcoming these barriers. I also recognised the importance of clearly documenting decisions, using evidence to support recommendations, and staying receptive to feedback.</w:t>
            </w:r>
          </w:p>
          <w:p w14:paraId="1C2E9386" w14:textId="77777777" w:rsidR="001161D2" w:rsidRPr="001161D2" w:rsidRDefault="001161D2" w:rsidP="001161D2">
            <w:pPr>
              <w:rPr>
                <w:color w:val="auto"/>
                <w:sz w:val="24"/>
                <w:szCs w:val="24"/>
              </w:rPr>
            </w:pPr>
          </w:p>
          <w:p w14:paraId="41DE2A96" w14:textId="77777777" w:rsidR="001161D2" w:rsidRPr="001161D2" w:rsidRDefault="001161D2" w:rsidP="001161D2">
            <w:pPr>
              <w:rPr>
                <w:color w:val="auto"/>
                <w:sz w:val="24"/>
                <w:szCs w:val="24"/>
              </w:rPr>
            </w:pPr>
            <w:r w:rsidRPr="001161D2">
              <w:rPr>
                <w:color w:val="auto"/>
                <w:sz w:val="24"/>
                <w:szCs w:val="24"/>
              </w:rPr>
              <w:t>One of the most challenging aspects of this case was navigating the tension between safeguarding and empowerment. While some professionals advocated for continued registration as a precautionary measure, this approach risked undermining the family’s progress and damaging relationships. I had to weigh the potential benefits of ongoing oversight against the ethical implications of unnecessary intervention. This required careful reflection, consultation with colleagues, and a willingness to challenge other professionals.</w:t>
            </w:r>
          </w:p>
          <w:p w14:paraId="03148B19" w14:textId="77777777" w:rsidR="001161D2" w:rsidRPr="001161D2" w:rsidRDefault="001161D2" w:rsidP="001161D2">
            <w:pPr>
              <w:rPr>
                <w:color w:val="auto"/>
                <w:sz w:val="24"/>
                <w:szCs w:val="24"/>
              </w:rPr>
            </w:pPr>
          </w:p>
          <w:p w14:paraId="4628DFF3" w14:textId="77777777" w:rsidR="001161D2" w:rsidRPr="001161D2" w:rsidRDefault="001161D2" w:rsidP="001161D2">
            <w:pPr>
              <w:rPr>
                <w:color w:val="auto"/>
                <w:sz w:val="24"/>
                <w:szCs w:val="24"/>
              </w:rPr>
            </w:pPr>
            <w:r w:rsidRPr="001161D2">
              <w:rPr>
                <w:color w:val="auto"/>
                <w:sz w:val="24"/>
                <w:szCs w:val="24"/>
              </w:rPr>
              <w:lastRenderedPageBreak/>
              <w:t>I also contemplated the impact of professional disagreement on the family. Parent 1 expressed confusion and frustration over receiving mixed messages from various agencies. She felt that her efforts were unrecognised and that the goals kept shifting. This feedback shows the need of consistency and clarity in multi-agency collaboration. I made a deliberate effort to ensure my communication was transparent, empathetic, and evidence based.</w:t>
            </w:r>
          </w:p>
          <w:p w14:paraId="29244B04" w14:textId="77777777" w:rsidR="001161D2" w:rsidRPr="001161D2" w:rsidRDefault="001161D2" w:rsidP="001161D2">
            <w:pPr>
              <w:rPr>
                <w:color w:val="auto"/>
                <w:sz w:val="24"/>
                <w:szCs w:val="24"/>
              </w:rPr>
            </w:pPr>
          </w:p>
          <w:p w14:paraId="705EABD8" w14:textId="77777777" w:rsidR="001161D2" w:rsidRPr="001161D2" w:rsidRDefault="001161D2" w:rsidP="001161D2">
            <w:pPr>
              <w:rPr>
                <w:color w:val="auto"/>
                <w:sz w:val="24"/>
                <w:szCs w:val="24"/>
              </w:rPr>
            </w:pPr>
            <w:r w:rsidRPr="001161D2">
              <w:rPr>
                <w:color w:val="auto"/>
                <w:sz w:val="24"/>
                <w:szCs w:val="24"/>
              </w:rPr>
              <w:t>Throughout the assessment, I stayed mindful of the ethical principles outlined in the BASW Code of Ethics (2021), which include respect for human dignity, social justice, and professional integrity. These principles guided my decision-making and aided me in navigating complex dilemmas. I also utilised supervision to reflect on my practice, explore alternative perspectives, and ensure my interventions were proportionate and rights based.</w:t>
            </w:r>
          </w:p>
          <w:p w14:paraId="7AF38409" w14:textId="77777777" w:rsidR="001161D2" w:rsidRPr="001161D2" w:rsidRDefault="001161D2" w:rsidP="001161D2">
            <w:pPr>
              <w:rPr>
                <w:color w:val="auto"/>
                <w:sz w:val="24"/>
                <w:szCs w:val="24"/>
              </w:rPr>
            </w:pPr>
          </w:p>
          <w:p w14:paraId="6B1D5629" w14:textId="77777777" w:rsidR="001161D2" w:rsidRPr="001161D2" w:rsidRDefault="001161D2" w:rsidP="001161D2">
            <w:pPr>
              <w:rPr>
                <w:color w:val="auto"/>
                <w:sz w:val="24"/>
                <w:szCs w:val="24"/>
              </w:rPr>
            </w:pPr>
            <w:r w:rsidRPr="001161D2">
              <w:rPr>
                <w:color w:val="auto"/>
                <w:sz w:val="24"/>
                <w:szCs w:val="24"/>
              </w:rPr>
              <w:t>This section of the case emphasises the complexity of safeguarding work and the necessity for a balanced, reflective approach. It illustrates how professional judgment, supported by structured assessment tools and collaborative efforts, can lead to more proportionate and effective interventions. It also highlights the importance of confidence, resilience, and ethical awareness in navigating tough decisions.</w:t>
            </w:r>
          </w:p>
          <w:p w14:paraId="5F7F5DB3" w14:textId="77777777" w:rsidR="001161D2" w:rsidRPr="001161D2" w:rsidRDefault="001161D2" w:rsidP="001161D2">
            <w:pPr>
              <w:rPr>
                <w:color w:val="auto"/>
                <w:sz w:val="24"/>
                <w:szCs w:val="24"/>
              </w:rPr>
            </w:pPr>
          </w:p>
          <w:p w14:paraId="343A9124" w14:textId="77777777" w:rsidR="001161D2" w:rsidRPr="001161D2" w:rsidRDefault="001161D2" w:rsidP="001161D2">
            <w:pPr>
              <w:rPr>
                <w:color w:val="auto"/>
                <w:sz w:val="24"/>
                <w:szCs w:val="24"/>
              </w:rPr>
            </w:pPr>
            <w:r w:rsidRPr="001161D2">
              <w:rPr>
                <w:color w:val="auto"/>
                <w:sz w:val="24"/>
                <w:szCs w:val="24"/>
              </w:rPr>
              <w:t xml:space="preserve">As I navigated disagreements within the core group, I became increasingly aware of the power dynamics that influence multi-agency decision-making. While collaboration is crucial, it can sometimes obscure unequal influences where dominant voices dictate outcomes, and less experienced professionals hesitate to challenge. I reflected on how my first reluctance to assert my judgment might have stemmed from being a newly qualified social worker and new to the family rather than from a lack of evidence. This realisation prompted me to engage more critically with the group, ensuring that all perspectives, including my own, </w:t>
            </w:r>
            <w:bookmarkStart w:id="34" w:name="_Int_oZTWoO2W"/>
            <w:r w:rsidRPr="001161D2">
              <w:rPr>
                <w:color w:val="auto"/>
                <w:sz w:val="24"/>
                <w:szCs w:val="24"/>
              </w:rPr>
              <w:t>were grounded</w:t>
            </w:r>
            <w:bookmarkEnd w:id="34"/>
            <w:r w:rsidRPr="001161D2">
              <w:rPr>
                <w:color w:val="auto"/>
                <w:sz w:val="24"/>
                <w:szCs w:val="24"/>
              </w:rPr>
              <w:t xml:space="preserve"> in the child’s best interests. I also recognised the significance of professional curiosity: asking questions, exploring opposition, and resisting groupthink. These skills are vital in safeguarding, where assumptions can obscure risk or progress. By developing confidence in my analysis and learning to respectfully challenge others, I contributed to a more balanced and transparent decision-making process.</w:t>
            </w:r>
          </w:p>
          <w:p w14:paraId="45DEE83F" w14:textId="77777777" w:rsidR="001161D2" w:rsidRPr="001161D2" w:rsidRDefault="001161D2" w:rsidP="001161D2">
            <w:pPr>
              <w:rPr>
                <w:color w:val="auto"/>
                <w:sz w:val="24"/>
                <w:szCs w:val="24"/>
              </w:rPr>
            </w:pPr>
          </w:p>
          <w:p w14:paraId="13808E62" w14:textId="77777777" w:rsidR="001161D2" w:rsidRPr="001161D2" w:rsidRDefault="001161D2" w:rsidP="001161D2">
            <w:pPr>
              <w:rPr>
                <w:color w:val="auto"/>
                <w:sz w:val="24"/>
                <w:szCs w:val="24"/>
              </w:rPr>
            </w:pPr>
            <w:r w:rsidRPr="001161D2">
              <w:rPr>
                <w:color w:val="auto"/>
                <w:sz w:val="24"/>
                <w:szCs w:val="24"/>
              </w:rPr>
              <w:t>Reflecting on this case has helped my understanding of safeguarding practice, particularly the complexities of assessing risk, exercising professional judgment, and collaborating across agencies. The family’s journey through various stages of intervention, from child protection to the PLO process, clarified the recurring nature of change and the challenges of sustaining progress. It also unveiled the emotional and ethical tensions that arise when balancing risk management with empowerment.</w:t>
            </w:r>
          </w:p>
          <w:p w14:paraId="45E302BE" w14:textId="77777777" w:rsidR="001161D2" w:rsidRPr="001161D2" w:rsidRDefault="001161D2" w:rsidP="001161D2">
            <w:pPr>
              <w:rPr>
                <w:color w:val="auto"/>
                <w:sz w:val="24"/>
                <w:szCs w:val="24"/>
              </w:rPr>
            </w:pPr>
          </w:p>
          <w:p w14:paraId="30ED1541" w14:textId="77777777" w:rsidR="001161D2" w:rsidRPr="001161D2" w:rsidRDefault="001161D2" w:rsidP="001161D2">
            <w:pPr>
              <w:rPr>
                <w:color w:val="auto"/>
                <w:sz w:val="24"/>
                <w:szCs w:val="24"/>
              </w:rPr>
            </w:pPr>
            <w:r w:rsidRPr="001161D2">
              <w:rPr>
                <w:color w:val="auto"/>
                <w:sz w:val="24"/>
                <w:szCs w:val="24"/>
              </w:rPr>
              <w:t>A significant learning point for me was recognising how initially my lack of confidence affected decision-making. At the beginning, I relied heavily on protocols and deferred to more experienced professionals, even when my assessment showed improvements in the family’s circumstances. I questioned whether the extended registration of the children stemmed from my reluctance to assert professional judgment or my discomfort in challenging other professionals. This reflection led me to consider how power dynamics in multi-agency settings can shape outcomes and the importance of social workers developing the confidence to advocate for proportionate, evidence-based interventions.</w:t>
            </w:r>
          </w:p>
          <w:p w14:paraId="12553D7A" w14:textId="77777777" w:rsidR="001161D2" w:rsidRPr="001161D2" w:rsidRDefault="001161D2" w:rsidP="001161D2">
            <w:pPr>
              <w:rPr>
                <w:color w:val="auto"/>
                <w:sz w:val="24"/>
                <w:szCs w:val="24"/>
              </w:rPr>
            </w:pPr>
          </w:p>
          <w:p w14:paraId="6B242325" w14:textId="77777777" w:rsidR="001161D2" w:rsidRPr="001161D2" w:rsidRDefault="001161D2" w:rsidP="001161D2">
            <w:pPr>
              <w:rPr>
                <w:color w:val="auto"/>
                <w:sz w:val="24"/>
                <w:szCs w:val="24"/>
              </w:rPr>
            </w:pPr>
            <w:r w:rsidRPr="001161D2">
              <w:rPr>
                <w:color w:val="auto"/>
                <w:sz w:val="24"/>
                <w:szCs w:val="24"/>
              </w:rPr>
              <w:t>As my confidence grew, I became more comfortable sharing my assessments and owning my decisions. I learned to use tools like the Risk 2 assessment and the Signs of Safety model not only to structure my analysis but also to show my reasoning clearly to others. These tools provided a shared language for discussing risk and safety, which helped bridge differences in professional opinion. I also discovered that being transparent about my thought process-maintained relationships and helped understanding.</w:t>
            </w:r>
          </w:p>
          <w:p w14:paraId="64653AA0" w14:textId="77777777" w:rsidR="001161D2" w:rsidRPr="001161D2" w:rsidRDefault="001161D2" w:rsidP="001161D2">
            <w:pPr>
              <w:rPr>
                <w:color w:val="auto"/>
                <w:sz w:val="24"/>
                <w:szCs w:val="24"/>
              </w:rPr>
            </w:pPr>
          </w:p>
          <w:p w14:paraId="1A86F374" w14:textId="77777777" w:rsidR="001161D2" w:rsidRPr="001161D2" w:rsidRDefault="001161D2" w:rsidP="001161D2">
            <w:pPr>
              <w:rPr>
                <w:color w:val="auto"/>
                <w:sz w:val="24"/>
                <w:szCs w:val="24"/>
              </w:rPr>
            </w:pPr>
            <w:r w:rsidRPr="001161D2">
              <w:rPr>
                <w:color w:val="auto"/>
                <w:sz w:val="24"/>
                <w:szCs w:val="24"/>
              </w:rPr>
              <w:t xml:space="preserve">Another critical area of growth was my comprehension of the concept of "good enough" parenting. Initially, I found this challenging, especially when improvements were inconsistent or did not meet idealised standards. However, through reflective supervision and discussions with colleagues, I learned that "good enough" is not a fixed benchmark but a contextual judgment based on whether a child's needs are </w:t>
            </w:r>
            <w:bookmarkStart w:id="35" w:name="_Int_a4dyDpIJ"/>
            <w:r w:rsidRPr="001161D2">
              <w:rPr>
                <w:color w:val="auto"/>
                <w:sz w:val="24"/>
                <w:szCs w:val="24"/>
              </w:rPr>
              <w:t>being met</w:t>
            </w:r>
            <w:bookmarkEnd w:id="35"/>
            <w:r w:rsidRPr="001161D2">
              <w:rPr>
                <w:color w:val="auto"/>
                <w:sz w:val="24"/>
                <w:szCs w:val="24"/>
              </w:rPr>
              <w:t xml:space="preserve"> and whether they are safe. This shift in perspective enabled me to focus more on the family's strengths and capacity for change rather than solely on their past failures.</w:t>
            </w:r>
          </w:p>
          <w:p w14:paraId="46366F20" w14:textId="77777777" w:rsidR="001161D2" w:rsidRPr="001161D2" w:rsidRDefault="001161D2" w:rsidP="001161D2">
            <w:pPr>
              <w:rPr>
                <w:color w:val="auto"/>
                <w:sz w:val="24"/>
                <w:szCs w:val="24"/>
              </w:rPr>
            </w:pPr>
          </w:p>
          <w:p w14:paraId="3151EB21" w14:textId="77777777" w:rsidR="001161D2" w:rsidRPr="001161D2" w:rsidRDefault="001161D2" w:rsidP="001161D2">
            <w:pPr>
              <w:rPr>
                <w:color w:val="auto"/>
                <w:sz w:val="24"/>
                <w:szCs w:val="24"/>
              </w:rPr>
            </w:pPr>
            <w:r w:rsidRPr="001161D2">
              <w:rPr>
                <w:color w:val="auto"/>
                <w:sz w:val="24"/>
                <w:szCs w:val="24"/>
              </w:rPr>
              <w:t xml:space="preserve">The ethical dimension of this case was also significant. I often reflected on the principles outlined in the BASW Code of Ethics (2021), which include respect for human dignity, social justice, and professional integrity. These principles guided my practice and aided me in navigating tough decisions, such as whether continued registration was proportionate or whether the family’s rights were </w:t>
            </w:r>
            <w:bookmarkStart w:id="36" w:name="_Int_sjNIg2SR"/>
            <w:r w:rsidRPr="001161D2">
              <w:rPr>
                <w:color w:val="auto"/>
                <w:sz w:val="24"/>
                <w:szCs w:val="24"/>
              </w:rPr>
              <w:t>being infringed</w:t>
            </w:r>
            <w:bookmarkEnd w:id="36"/>
            <w:r w:rsidRPr="001161D2">
              <w:rPr>
                <w:color w:val="auto"/>
                <w:sz w:val="24"/>
                <w:szCs w:val="24"/>
              </w:rPr>
              <w:t>. I considered the impact of intervention not only on the children's safety but also on the family's autonomy, identity, and emotional well-being.</w:t>
            </w:r>
          </w:p>
          <w:p w14:paraId="2EB615EC" w14:textId="77777777" w:rsidR="001161D2" w:rsidRPr="001161D2" w:rsidRDefault="001161D2" w:rsidP="001161D2">
            <w:pPr>
              <w:rPr>
                <w:color w:val="auto"/>
                <w:sz w:val="24"/>
                <w:szCs w:val="24"/>
              </w:rPr>
            </w:pPr>
          </w:p>
          <w:p w14:paraId="1A73DCC6" w14:textId="77777777" w:rsidR="001161D2" w:rsidRPr="001161D2" w:rsidRDefault="001161D2" w:rsidP="001161D2">
            <w:pPr>
              <w:rPr>
                <w:color w:val="auto"/>
                <w:sz w:val="24"/>
                <w:szCs w:val="24"/>
              </w:rPr>
            </w:pPr>
            <w:r w:rsidRPr="001161D2">
              <w:rPr>
                <w:color w:val="auto"/>
                <w:sz w:val="24"/>
                <w:szCs w:val="24"/>
              </w:rPr>
              <w:t xml:space="preserve">The Human Rights Act (1998) was particularly pertinent in this context. Article 8, safeguarding the right to family life, mandates that any interference be lawful, necessary, and proportionate. I reflected on whether the continued registration under child protection met this threshold, especially considering the family’s progress. I decided that deregistration was </w:t>
            </w:r>
            <w:bookmarkStart w:id="37" w:name="_Int_iIZtiilb"/>
            <w:r w:rsidRPr="001161D2">
              <w:rPr>
                <w:color w:val="auto"/>
                <w:sz w:val="24"/>
                <w:szCs w:val="24"/>
              </w:rPr>
              <w:t>appropriate</w:t>
            </w:r>
            <w:bookmarkEnd w:id="37"/>
            <w:r w:rsidRPr="001161D2">
              <w:rPr>
                <w:color w:val="auto"/>
                <w:sz w:val="24"/>
                <w:szCs w:val="24"/>
              </w:rPr>
              <w:t xml:space="preserve">, with ongoing support available through a care and support plan. This decision </w:t>
            </w:r>
            <w:bookmarkStart w:id="38" w:name="_Int_X0pMhz1I"/>
            <w:r w:rsidRPr="001161D2">
              <w:rPr>
                <w:color w:val="auto"/>
                <w:sz w:val="24"/>
                <w:szCs w:val="24"/>
              </w:rPr>
              <w:t>was not unive</w:t>
            </w:r>
            <w:bookmarkEnd w:id="38"/>
            <w:r w:rsidRPr="001161D2">
              <w:rPr>
                <w:color w:val="auto"/>
                <w:sz w:val="24"/>
                <w:szCs w:val="24"/>
              </w:rPr>
              <w:t xml:space="preserve">rsally agreed, yet I was able to articulate my rationale and advocate for a strengths-based, trauma-informed approach. </w:t>
            </w:r>
          </w:p>
          <w:p w14:paraId="69E949D4" w14:textId="77777777" w:rsidR="001161D2" w:rsidRPr="001161D2" w:rsidRDefault="001161D2" w:rsidP="001161D2">
            <w:pPr>
              <w:rPr>
                <w:color w:val="auto"/>
                <w:sz w:val="24"/>
                <w:szCs w:val="24"/>
              </w:rPr>
            </w:pPr>
          </w:p>
          <w:p w14:paraId="35C2492B" w14:textId="77777777" w:rsidR="001161D2" w:rsidRPr="001161D2" w:rsidRDefault="001161D2" w:rsidP="001161D2">
            <w:pPr>
              <w:rPr>
                <w:color w:val="auto"/>
                <w:sz w:val="24"/>
                <w:szCs w:val="24"/>
              </w:rPr>
            </w:pPr>
            <w:r w:rsidRPr="001161D2">
              <w:rPr>
                <w:color w:val="auto"/>
                <w:sz w:val="24"/>
                <w:szCs w:val="24"/>
              </w:rPr>
              <w:t xml:space="preserve">The strengths-based approach is rooted in the belief that individuals have their own resources and capacities that can </w:t>
            </w:r>
            <w:bookmarkStart w:id="39" w:name="_Int_OG5NpfG2"/>
            <w:r w:rsidRPr="001161D2">
              <w:rPr>
                <w:color w:val="auto"/>
                <w:sz w:val="24"/>
                <w:szCs w:val="24"/>
              </w:rPr>
              <w:t>be used</w:t>
            </w:r>
            <w:bookmarkEnd w:id="39"/>
            <w:r w:rsidRPr="001161D2">
              <w:rPr>
                <w:color w:val="auto"/>
                <w:sz w:val="24"/>
                <w:szCs w:val="24"/>
              </w:rPr>
              <w:t xml:space="preserve"> to promote change. Rather than solely focusing on deficits, I found the family’s resilience, adaptability, and willingness to engage. This approach aligns with Saleeby’s (1996) principles, which emphasise empowerment, collaboration, and respect for lived experiences. By highlighting strengths in core group meetings, I helped shift the narrative from risk to potential, encouraging professionals to support the family’s progress rather than expecting failure or fixating solely on concerns. This also improved the parents’ confidence and engagement, as they felt acknowledged and valued rather than judged.</w:t>
            </w:r>
          </w:p>
          <w:p w14:paraId="797DD9D3" w14:textId="77777777" w:rsidR="001161D2" w:rsidRPr="001161D2" w:rsidRDefault="001161D2" w:rsidP="001161D2">
            <w:pPr>
              <w:rPr>
                <w:color w:val="auto"/>
                <w:sz w:val="24"/>
                <w:szCs w:val="24"/>
              </w:rPr>
            </w:pPr>
          </w:p>
          <w:p w14:paraId="6C1A605F" w14:textId="77777777" w:rsidR="001161D2" w:rsidRPr="001161D2" w:rsidRDefault="001161D2" w:rsidP="001161D2">
            <w:pPr>
              <w:rPr>
                <w:color w:val="auto"/>
                <w:sz w:val="24"/>
                <w:szCs w:val="24"/>
              </w:rPr>
            </w:pPr>
            <w:r w:rsidRPr="001161D2">
              <w:rPr>
                <w:color w:val="auto"/>
                <w:sz w:val="24"/>
                <w:szCs w:val="24"/>
              </w:rPr>
              <w:t xml:space="preserve">The family’s experience showed the importance of cultural sensitivity and contextual awareness. Parent 1 often conveyed feelings of judgment and misunderstanding, particularly </w:t>
            </w:r>
            <w:bookmarkStart w:id="40" w:name="_Int_v3MP5XpN"/>
            <w:r w:rsidRPr="001161D2">
              <w:rPr>
                <w:color w:val="auto"/>
                <w:sz w:val="24"/>
                <w:szCs w:val="24"/>
              </w:rPr>
              <w:t>regarding</w:t>
            </w:r>
            <w:bookmarkEnd w:id="40"/>
            <w:r w:rsidRPr="001161D2">
              <w:rPr>
                <w:color w:val="auto"/>
                <w:sz w:val="24"/>
                <w:szCs w:val="24"/>
              </w:rPr>
              <w:t xml:space="preserve"> her background and lived experiences. She described how comparisons to other families in the area made her feel inadequate and alienated. This </w:t>
            </w:r>
            <w:r w:rsidRPr="001161D2">
              <w:rPr>
                <w:color w:val="auto"/>
                <w:sz w:val="24"/>
                <w:szCs w:val="24"/>
              </w:rPr>
              <w:lastRenderedPageBreak/>
              <w:t xml:space="preserve">feedback prompted me to reflect on how assessments can unintentionally reinforce stigma or </w:t>
            </w:r>
            <w:bookmarkStart w:id="41" w:name="_Int_MJlWSK2i"/>
            <w:r w:rsidRPr="001161D2">
              <w:rPr>
                <w:color w:val="auto"/>
                <w:sz w:val="24"/>
                <w:szCs w:val="24"/>
              </w:rPr>
              <w:t>fail to</w:t>
            </w:r>
            <w:bookmarkEnd w:id="41"/>
            <w:r w:rsidRPr="001161D2">
              <w:rPr>
                <w:color w:val="auto"/>
                <w:sz w:val="24"/>
                <w:szCs w:val="24"/>
              </w:rPr>
              <w:t xml:space="preserve"> account for individual circumstances. I made a conscious effort to ensure my practice was inclusive, respectful, and responsive to the family’s unique context.</w:t>
            </w:r>
          </w:p>
          <w:p w14:paraId="4AF00BEE" w14:textId="77777777" w:rsidR="001161D2" w:rsidRPr="001161D2" w:rsidRDefault="001161D2" w:rsidP="001161D2">
            <w:pPr>
              <w:rPr>
                <w:color w:val="auto"/>
                <w:sz w:val="24"/>
                <w:szCs w:val="24"/>
              </w:rPr>
            </w:pPr>
          </w:p>
          <w:p w14:paraId="76068731" w14:textId="77777777" w:rsidR="001161D2" w:rsidRPr="001161D2" w:rsidRDefault="001161D2" w:rsidP="001161D2">
            <w:pPr>
              <w:rPr>
                <w:color w:val="auto"/>
                <w:sz w:val="24"/>
                <w:szCs w:val="24"/>
              </w:rPr>
            </w:pPr>
            <w:r w:rsidRPr="001161D2">
              <w:rPr>
                <w:color w:val="auto"/>
                <w:sz w:val="24"/>
                <w:szCs w:val="24"/>
              </w:rPr>
              <w:t xml:space="preserve">Trauma-informed practice was essential in creating trust and engagement. Both parents had </w:t>
            </w:r>
            <w:bookmarkStart w:id="42" w:name="_Int_a9U6PJCz"/>
            <w:r w:rsidRPr="001161D2">
              <w:rPr>
                <w:color w:val="auto"/>
                <w:sz w:val="24"/>
                <w:szCs w:val="24"/>
              </w:rPr>
              <w:t>encountered</w:t>
            </w:r>
            <w:bookmarkEnd w:id="42"/>
            <w:r w:rsidRPr="001161D2">
              <w:rPr>
                <w:color w:val="auto"/>
                <w:sz w:val="24"/>
                <w:szCs w:val="24"/>
              </w:rPr>
              <w:t xml:space="preserve"> significant trauma, including abuse and bereavement, which affected their emotional regulation and capacity to engage with services. I adhered to the five principles of trauma-informed care, safety, trust, choice, collaboration, and empowerment throughout my involvement. I created safe spaces for discussion, respected the family’s preferences, and involved them in decision-making. This approach not only enhanced engagement but also supported the family’s emotional recovery and resilience. In addition to the five principles of trauma-informed interventions, I considered the neurodevelopment implications of trauma. Research shows that chronic stress and adverse childhood experiences (ACEs) can affect brain development, emotional regulation, and executive functioning. Parent 1 had experienced significant trauma, including domestic abuse and bereavement, which influenced her responses to stress. By understanding these patterns, I adapted my approach through calm, predictable interactions and by avoiding patronising language. Trauma-informed theory reminded me that behaviour often serves as a survival response and that empathy and consistency are vital in setting up trust.</w:t>
            </w:r>
          </w:p>
          <w:p w14:paraId="737D6BEB" w14:textId="77777777" w:rsidR="001161D2" w:rsidRPr="001161D2" w:rsidRDefault="001161D2" w:rsidP="001161D2">
            <w:pPr>
              <w:rPr>
                <w:color w:val="auto"/>
                <w:sz w:val="24"/>
                <w:szCs w:val="24"/>
              </w:rPr>
            </w:pPr>
          </w:p>
          <w:p w14:paraId="2DA1FFCC" w14:textId="77777777" w:rsidR="001161D2" w:rsidRPr="001161D2" w:rsidRDefault="001161D2" w:rsidP="001161D2">
            <w:pPr>
              <w:rPr>
                <w:color w:val="auto"/>
                <w:sz w:val="24"/>
                <w:szCs w:val="24"/>
              </w:rPr>
            </w:pPr>
            <w:r w:rsidRPr="001161D2">
              <w:rPr>
                <w:color w:val="auto"/>
                <w:sz w:val="24"/>
                <w:szCs w:val="24"/>
              </w:rPr>
              <w:t>I also recognised the importance of consistency and transparency in multi-agency collaboration. The family expressed frustration over receiving mixed messages from different professionals, which undermined their trust and created confusion. I made a concerted effort to ensure my communication was clear, empathetic, and evidence based. I also challenged poor practice when professionals did not communicate concerns directly with the family, advocating for more ethical and respectful engagement.</w:t>
            </w:r>
          </w:p>
          <w:p w14:paraId="3ADEFE77" w14:textId="77777777" w:rsidR="001161D2" w:rsidRPr="001161D2" w:rsidRDefault="001161D2" w:rsidP="001161D2">
            <w:pPr>
              <w:rPr>
                <w:color w:val="auto"/>
                <w:sz w:val="24"/>
                <w:szCs w:val="24"/>
              </w:rPr>
            </w:pPr>
          </w:p>
          <w:p w14:paraId="17D4EE67" w14:textId="77777777" w:rsidR="001161D2" w:rsidRPr="001161D2" w:rsidRDefault="001161D2" w:rsidP="001161D2">
            <w:pPr>
              <w:rPr>
                <w:color w:val="auto"/>
                <w:sz w:val="24"/>
                <w:szCs w:val="24"/>
              </w:rPr>
            </w:pPr>
            <w:r w:rsidRPr="001161D2">
              <w:rPr>
                <w:color w:val="auto"/>
                <w:sz w:val="24"/>
                <w:szCs w:val="24"/>
              </w:rPr>
              <w:t>Looking forward, this case has influenced how I will approach future safeguarding assessments. I will continue to apply strengths-based and trauma-informed methodologies, ensuring that families receive support that promotes dignity, fairness, and well-being. I will remain vigilant of the Welsh context, including language rights, cultural sensitivity, and legislative frameworks. Additionally, I will strive to improve collaborative relationships with professionals while supporting the independence necessary to make sound judgments.</w:t>
            </w:r>
          </w:p>
          <w:p w14:paraId="5ECAB0B8" w14:textId="77777777" w:rsidR="001161D2" w:rsidRPr="001161D2" w:rsidRDefault="001161D2" w:rsidP="001161D2">
            <w:pPr>
              <w:rPr>
                <w:color w:val="auto"/>
                <w:sz w:val="24"/>
                <w:szCs w:val="24"/>
              </w:rPr>
            </w:pPr>
          </w:p>
          <w:p w14:paraId="20EA71BD" w14:textId="77777777" w:rsidR="001161D2" w:rsidRPr="001161D2" w:rsidRDefault="001161D2" w:rsidP="001161D2">
            <w:pPr>
              <w:rPr>
                <w:color w:val="auto"/>
                <w:sz w:val="24"/>
                <w:szCs w:val="24"/>
              </w:rPr>
            </w:pPr>
            <w:r w:rsidRPr="001161D2">
              <w:rPr>
                <w:color w:val="auto"/>
                <w:sz w:val="24"/>
                <w:szCs w:val="24"/>
              </w:rPr>
              <w:t>Supervision played an important role in my development throughout this case, providing a protected space to explore uncertainties, process emotional responses, and critically examine my practice. In the early sessions, I often sought reassurance, unsure of the validity of my judgments. Over time, supervision helped me recognise the strength of my analysis and the necessity of trusting my judgments, especially when supported by evidence.</w:t>
            </w:r>
          </w:p>
          <w:p w14:paraId="5D1A32E7" w14:textId="77777777" w:rsidR="001161D2" w:rsidRPr="001161D2" w:rsidRDefault="001161D2" w:rsidP="001161D2">
            <w:pPr>
              <w:rPr>
                <w:color w:val="auto"/>
                <w:sz w:val="24"/>
                <w:szCs w:val="24"/>
              </w:rPr>
            </w:pPr>
          </w:p>
          <w:p w14:paraId="511FC08D" w14:textId="77777777" w:rsidR="001161D2" w:rsidRPr="001161D2" w:rsidRDefault="001161D2" w:rsidP="001161D2">
            <w:pPr>
              <w:rPr>
                <w:color w:val="auto"/>
                <w:sz w:val="24"/>
                <w:szCs w:val="24"/>
              </w:rPr>
            </w:pPr>
            <w:r w:rsidRPr="001161D2">
              <w:rPr>
                <w:color w:val="auto"/>
                <w:sz w:val="24"/>
                <w:szCs w:val="24"/>
              </w:rPr>
              <w:t>In conclusion, this case study has given me a valuable opportunity for critical reflection on the challenges and rewards of safeguarding in this context. It shows the significance of legislation, collaborative working, professional judgment, and the integration of theory into practice while emphasising the need for confidence, resilience, and ethical awareness in navigating complex decisions.</w:t>
            </w:r>
          </w:p>
          <w:p w14:paraId="3DC1DBF9" w14:textId="77777777" w:rsidR="001161D2" w:rsidRPr="001161D2" w:rsidRDefault="001161D2" w:rsidP="00FF7EBB">
            <w:pPr>
              <w:jc w:val="both"/>
              <w:rPr>
                <w:color w:val="auto"/>
                <w:sz w:val="24"/>
                <w:szCs w:val="24"/>
              </w:rPr>
            </w:pPr>
          </w:p>
          <w:p w14:paraId="7D44859C" w14:textId="03E88278" w:rsidR="001161D2" w:rsidRPr="001161D2" w:rsidRDefault="001161D2" w:rsidP="00FF7EBB">
            <w:pPr>
              <w:jc w:val="both"/>
              <w:rPr>
                <w:color w:val="auto"/>
                <w:sz w:val="24"/>
                <w:szCs w:val="24"/>
              </w:rPr>
            </w:pPr>
            <w:r w:rsidRPr="001161D2">
              <w:rPr>
                <w:color w:val="auto"/>
                <w:sz w:val="24"/>
                <w:szCs w:val="24"/>
              </w:rPr>
              <w:t>Word Count: 4026</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A6791" w14:textId="77777777" w:rsidR="00D2673B" w:rsidRDefault="00D2673B">
      <w:r>
        <w:separator/>
      </w:r>
    </w:p>
  </w:endnote>
  <w:endnote w:type="continuationSeparator" w:id="0">
    <w:p w14:paraId="59B743CF" w14:textId="77777777" w:rsidR="00D2673B" w:rsidRDefault="00D26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7AC65" w14:textId="77777777" w:rsidR="00D2673B" w:rsidRDefault="00D2673B">
      <w:r>
        <w:separator/>
      </w:r>
    </w:p>
  </w:footnote>
  <w:footnote w:type="continuationSeparator" w:id="0">
    <w:p w14:paraId="6F45E1C8" w14:textId="77777777" w:rsidR="00D2673B" w:rsidRDefault="00D26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1D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2592"/>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145"/>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673B"/>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8C4"/>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4%32%31%31%37%38@%73%74%75%64%65n%74%2euw%74%73d%2eac%2e%75%6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4850</Words>
  <Characters>25415</Characters>
  <Application>Microsoft Office Word</Application>
  <DocSecurity>0</DocSecurity>
  <Lines>1058</Lines>
  <Paragraphs>445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Elin Allington</cp:lastModifiedBy>
  <cp:revision>3</cp:revision>
  <cp:lastPrinted>2020-02-11T19:20:00Z</cp:lastPrinted>
  <dcterms:created xsi:type="dcterms:W3CDTF">2025-10-07T20:02:00Z</dcterms:created>
  <dcterms:modified xsi:type="dcterms:W3CDTF">2025-10-07T20:06:00Z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