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76C36AB0" w14:textId="133A6BC1" w:rsidR="005145FF" w:rsidRDefault="005145FF" w:rsidP="005145FF">
      <w:pPr>
        <w:ind w:right="237"/>
        <w:rPr>
          <w:sz w:val="24"/>
          <w:szCs w:val="24"/>
        </w:rPr>
      </w:pPr>
      <w:r w:rsidRPr="005145FF">
        <w:rPr>
          <w:sz w:val="24"/>
          <w:szCs w:val="24"/>
        </w:rPr>
        <w:t>The role and responsibilities of a police officer are that of variety. They support communities, build relationships within those communities and, fundamentally, police tackle crime (Cumbria Constabulary, 2023). Turvey (2022, pp.332) states that for every crime that is committed, there is a victim. Therefore, policing is not only about tackling crime, but also supporting the victims of crime. This is established in the Code of Practice for Victims of Crime also referred to as the Victim’s Code which dictates the minimum standards that should be provided to victims by the organisation. According to the Victims Code, a victim of crime is any person who has suffered harm directly caused by a criminal offence. The harm can include physical harm, emotional harm, mental harm, or financial loss. (Home Office, 2021).</w:t>
      </w:r>
    </w:p>
    <w:p w14:paraId="43448435" w14:textId="77777777" w:rsidR="005145FF" w:rsidRPr="005145FF" w:rsidRDefault="005145FF" w:rsidP="005145FF">
      <w:pPr>
        <w:ind w:right="237"/>
        <w:rPr>
          <w:sz w:val="24"/>
          <w:szCs w:val="24"/>
        </w:rPr>
      </w:pPr>
    </w:p>
    <w:p w14:paraId="41E0CA63" w14:textId="3690CED4" w:rsidR="005145FF" w:rsidRDefault="005145FF" w:rsidP="005145FF">
      <w:pPr>
        <w:ind w:right="237"/>
        <w:rPr>
          <w:sz w:val="24"/>
          <w:szCs w:val="24"/>
        </w:rPr>
      </w:pPr>
      <w:r w:rsidRPr="005145FF">
        <w:rPr>
          <w:sz w:val="24"/>
          <w:szCs w:val="24"/>
        </w:rPr>
        <w:t>Throughout this answer, I will discuss an incident in which I had a role in dealing with a victim of crime and I will evaluate different approaches that were used or could have been used in dealing with the victim. Furthermore, I will discuss various approaches that could be used to prevent re-offending and repeat victimisation. To reflect and learn from the event, I will use Driscoll’s Reflective Model which consist of 3 elements or questions that one must be answered during reflection. The first element is “What?” This is where the user describes the event. The second element is “So what?” which is where an analysis of the event is undertaken. The final element is “Now what?” which is where actions the actions following the event are established (Driscoll, 2006, pp. 45).</w:t>
      </w:r>
    </w:p>
    <w:p w14:paraId="6C5B723B" w14:textId="77777777" w:rsidR="005145FF" w:rsidRPr="005145FF" w:rsidRDefault="005145FF" w:rsidP="005145FF">
      <w:pPr>
        <w:ind w:right="237"/>
        <w:rPr>
          <w:sz w:val="24"/>
          <w:szCs w:val="24"/>
        </w:rPr>
      </w:pPr>
    </w:p>
    <w:p w14:paraId="67C119E5" w14:textId="0B3A2BC3" w:rsidR="005145FF" w:rsidRDefault="005145FF" w:rsidP="005145FF">
      <w:pPr>
        <w:ind w:right="237"/>
        <w:rPr>
          <w:sz w:val="24"/>
          <w:szCs w:val="24"/>
        </w:rPr>
      </w:pPr>
      <w:r w:rsidRPr="005145FF">
        <w:rPr>
          <w:sz w:val="24"/>
          <w:szCs w:val="24"/>
        </w:rPr>
        <w:lastRenderedPageBreak/>
        <w:t>As a police officer, I have attended many incidents where I have played a crucial part in dealing with a victim of crime. One such incident began when I attended an incident where a female’s friend reported that the female was assaulted by her partner. I was provided with information that the victim is a high-risk domestic abuse victim.</w:t>
      </w:r>
    </w:p>
    <w:p w14:paraId="51AD81B9" w14:textId="77777777" w:rsidR="005145FF" w:rsidRPr="005145FF" w:rsidRDefault="005145FF" w:rsidP="005145FF">
      <w:pPr>
        <w:ind w:right="237"/>
        <w:rPr>
          <w:sz w:val="24"/>
          <w:szCs w:val="24"/>
        </w:rPr>
      </w:pPr>
    </w:p>
    <w:p w14:paraId="760B4F8A" w14:textId="7D03223A" w:rsidR="005145FF" w:rsidRDefault="005145FF" w:rsidP="005145FF">
      <w:pPr>
        <w:ind w:right="237"/>
        <w:rPr>
          <w:sz w:val="24"/>
          <w:szCs w:val="24"/>
        </w:rPr>
      </w:pPr>
      <w:r w:rsidRPr="005145FF">
        <w:rPr>
          <w:sz w:val="24"/>
          <w:szCs w:val="24"/>
        </w:rPr>
        <w:t>I attended the reporting person’s address, and I was introduced to the female who had been assaulted. Immediately, I saw that the victim had a black eye. I attempted to speak with the victim to ascertain what had happened to cause the injury, but she was very quiet and seemed very withdrawn. I asked if her partner assaulted her causing the bruising. She remined quiet and avoided eye contact with me. I explained that I was there to help and that she could take her time to tell the story. The victim then told me that her and her partner were drinking, and she fell over. As she got up, she hit her eye on her partner’s chin. I knew this story was far-fetched, but I listened to her anyway. I used active listening skills to understand what she had to say, and I tried to empathise with her to build rapport, before asking more questions. Active listening a way to communicate using empathy and body language. It is an effective method to establish rapport. This can be linked to emotional intelligence where one must understand another’s emotions and empathise with them as well as understanding their behaviour (College of Policing 2020).</w:t>
      </w:r>
    </w:p>
    <w:p w14:paraId="7C44F398" w14:textId="77777777" w:rsidR="005145FF" w:rsidRPr="005145FF" w:rsidRDefault="005145FF" w:rsidP="005145FF">
      <w:pPr>
        <w:ind w:right="237"/>
        <w:rPr>
          <w:sz w:val="24"/>
          <w:szCs w:val="24"/>
        </w:rPr>
      </w:pPr>
    </w:p>
    <w:p w14:paraId="2AF749CF" w14:textId="7C41F70A" w:rsidR="005145FF" w:rsidRDefault="005145FF" w:rsidP="005145FF">
      <w:pPr>
        <w:ind w:right="237"/>
        <w:rPr>
          <w:sz w:val="24"/>
          <w:szCs w:val="24"/>
        </w:rPr>
      </w:pPr>
      <w:r w:rsidRPr="005145FF">
        <w:rPr>
          <w:sz w:val="24"/>
          <w:szCs w:val="24"/>
        </w:rPr>
        <w:t>By empathising and building rapport, I asked if her partner hit her causing the bruise. She began crying and nodded her head. She stated that her and her partner had an argument which escalated to the point where he punched her to the face, causing a black eye. After establishing her account, I summed up what happened and clarified what she told me. In hindsight, the way in which I engaged with the victim of the assault closely follows the LEAPS model. This mnemonic stands for: listen, empathise, ask, paraphrase, and summarise (College of Policing, 2020). Although, I did not know I was using this model at the time of this incidents, my actions demonstrate that the model can be effectively adhered to unconsciously.</w:t>
      </w:r>
    </w:p>
    <w:p w14:paraId="09AF3F56" w14:textId="77777777" w:rsidR="005145FF" w:rsidRPr="005145FF" w:rsidRDefault="005145FF" w:rsidP="005145FF">
      <w:pPr>
        <w:ind w:right="237"/>
        <w:rPr>
          <w:sz w:val="24"/>
          <w:szCs w:val="24"/>
        </w:rPr>
      </w:pPr>
    </w:p>
    <w:p w14:paraId="6BD75A98" w14:textId="231D6DBB" w:rsidR="005145FF" w:rsidRDefault="005145FF" w:rsidP="005145FF">
      <w:pPr>
        <w:ind w:right="237"/>
        <w:rPr>
          <w:sz w:val="24"/>
          <w:szCs w:val="24"/>
        </w:rPr>
      </w:pPr>
      <w:r w:rsidRPr="005145FF">
        <w:rPr>
          <w:sz w:val="24"/>
          <w:szCs w:val="24"/>
        </w:rPr>
        <w:t>After establishing what had happened, I asked if the victim wanted to provide a statement. She refused. Therefore, I took a very detailed account in a pocket notebook entry, and she signed it to say she did not want to make a statement I also took a picture of her injury. Although there was no complaint from the victim, policy states that police must take positive action when dealing with domestic incidents. Positive action, in relation to domestic violence, means that an officer must take proportionate measures to prevent escalation and repeat victimisation. The victim must be safeguarded. (Essex Police, 2021). To take positive action, safeguard the victim and prevent escalation, I informed the victim that her partner was going to be arrested and I asked her where he was. She stated that he was at his home address, but she was adamant that she did not want him to be arrested. I explained why he needed arresting and provided the victim with safety advice. I also offered her a Domestic Abuse, Stalking and Harassment (DASH) form, but she refused.</w:t>
      </w:r>
    </w:p>
    <w:p w14:paraId="3B076E35" w14:textId="77777777" w:rsidR="005145FF" w:rsidRPr="005145FF" w:rsidRDefault="005145FF" w:rsidP="005145FF">
      <w:pPr>
        <w:ind w:right="237"/>
        <w:rPr>
          <w:sz w:val="24"/>
          <w:szCs w:val="24"/>
        </w:rPr>
      </w:pPr>
    </w:p>
    <w:p w14:paraId="3FBB759A" w14:textId="6FCE3BC0" w:rsidR="005145FF" w:rsidRDefault="005145FF" w:rsidP="005145FF">
      <w:pPr>
        <w:ind w:right="237"/>
        <w:rPr>
          <w:sz w:val="24"/>
          <w:szCs w:val="24"/>
        </w:rPr>
      </w:pPr>
      <w:r w:rsidRPr="005145FF">
        <w:rPr>
          <w:sz w:val="24"/>
          <w:szCs w:val="24"/>
        </w:rPr>
        <w:t xml:space="preserve">The victim was advised to block the offender on all platforms, keep her windows and doors locked, dial 999 if he comes to the address, and consider CCTV to </w:t>
      </w:r>
      <w:r w:rsidRPr="005145FF">
        <w:rPr>
          <w:sz w:val="24"/>
          <w:szCs w:val="24"/>
        </w:rPr>
        <w:lastRenderedPageBreak/>
        <w:t>target harden the property. Target hardening is where measures are taken to strengthen the security of a property (West Yorkshire Police, 2023). By target hardening the property, the victim is denying the offender access to herself and the location. This, in theory, prevents the problem from re-occurring. This is closely linked to the Problem Analysis Triangle, which is theory that suggest for a problem occur, there must be an offender, victim, and a location without an effective deterrent (College of Policing, 2013b). This could also prevent repeat victimisation. Repeat victimisation is when a person is the victim of the same type of crime more than once (ONS, 2018).</w:t>
      </w:r>
    </w:p>
    <w:p w14:paraId="55D71AE0" w14:textId="77777777" w:rsidR="005145FF" w:rsidRPr="005145FF" w:rsidRDefault="005145FF" w:rsidP="005145FF">
      <w:pPr>
        <w:ind w:right="237"/>
        <w:rPr>
          <w:sz w:val="24"/>
          <w:szCs w:val="24"/>
        </w:rPr>
      </w:pPr>
    </w:p>
    <w:p w14:paraId="159B5C81" w14:textId="77777777" w:rsidR="005145FF" w:rsidRPr="005145FF" w:rsidRDefault="005145FF" w:rsidP="005145FF">
      <w:pPr>
        <w:ind w:right="237"/>
        <w:rPr>
          <w:sz w:val="24"/>
          <w:szCs w:val="24"/>
        </w:rPr>
      </w:pPr>
      <w:r w:rsidRPr="005145FF">
        <w:rPr>
          <w:sz w:val="24"/>
          <w:szCs w:val="24"/>
        </w:rPr>
        <w:t xml:space="preserve">Against the victim’s wishes, I arrested her partner for assault occasioning actual bodily harm, cautioned him, and informed him of the necessity of arrest. This was for the prompt and effective investigation of the offence and to prevent further injury. An arrest is only lawful if it is necessary. This is stated under Code G of the Police and Criminal Evidence Act 1984 (PACE). PACE aims to balance the powers the police have with the freedoms of the public (Home Office, 2013). </w:t>
      </w:r>
    </w:p>
    <w:p w14:paraId="04388640" w14:textId="56B4CF2A" w:rsidR="005145FF" w:rsidRDefault="005145FF" w:rsidP="005145FF">
      <w:pPr>
        <w:ind w:right="237"/>
        <w:rPr>
          <w:sz w:val="24"/>
          <w:szCs w:val="24"/>
        </w:rPr>
      </w:pPr>
      <w:r w:rsidRPr="005145FF">
        <w:rPr>
          <w:sz w:val="24"/>
          <w:szCs w:val="24"/>
        </w:rPr>
        <w:t xml:space="preserve">The offender was later interviewed and remanded in police custody. This was due to the victim being at risk if he was released and the evidence that was obtained during interview as well as the photographs. This shows that, even though the victim did not want to make a complaint, positive action was taken to safeguard the victim. One </w:t>
      </w:r>
      <w:r>
        <w:rPr>
          <w:sz w:val="24"/>
          <w:szCs w:val="24"/>
        </w:rPr>
        <w:t>method</w:t>
      </w:r>
      <w:r w:rsidRPr="005145FF">
        <w:rPr>
          <w:sz w:val="24"/>
          <w:szCs w:val="24"/>
        </w:rPr>
        <w:t xml:space="preserve"> of safeguarding was the arrest. Another method was the offering of the DASH f</w:t>
      </w:r>
      <w:r>
        <w:rPr>
          <w:sz w:val="24"/>
          <w:szCs w:val="24"/>
        </w:rPr>
        <w:t>or</w:t>
      </w:r>
      <w:r w:rsidRPr="005145FF">
        <w:rPr>
          <w:sz w:val="24"/>
          <w:szCs w:val="24"/>
        </w:rPr>
        <w:t>m. Although she refused, one must be completed based on police observations.</w:t>
      </w:r>
    </w:p>
    <w:p w14:paraId="717C71CB" w14:textId="77777777" w:rsidR="005145FF" w:rsidRPr="005145FF" w:rsidRDefault="005145FF" w:rsidP="005145FF">
      <w:pPr>
        <w:ind w:right="237"/>
        <w:rPr>
          <w:sz w:val="24"/>
          <w:szCs w:val="24"/>
        </w:rPr>
      </w:pPr>
    </w:p>
    <w:p w14:paraId="0783005F" w14:textId="4E267C65" w:rsidR="005145FF" w:rsidRDefault="005145FF" w:rsidP="005145FF">
      <w:pPr>
        <w:ind w:right="237"/>
        <w:rPr>
          <w:sz w:val="24"/>
          <w:szCs w:val="24"/>
        </w:rPr>
      </w:pPr>
      <w:r w:rsidRPr="005145FF">
        <w:rPr>
          <w:sz w:val="24"/>
          <w:szCs w:val="24"/>
        </w:rPr>
        <w:t>A DASH is a risk assessment form offered to all victims of domestic abuse. Its aim is to capture risk factors of the incident to determine a risk level (College of Policing, 2016). This forms part of a Public Protection Notification report (PPN). The report is completed by the police and the information on it can be shared with multiple agencies so the best possible support can be provided. A PPN summarises the vulnerabilities of an individual. This is then passed on to the forces Public Protection Unit (PPU) who assess the risk kevel (HMIC, 2015). This paves the way for further safeguarding.</w:t>
      </w:r>
    </w:p>
    <w:p w14:paraId="357F0E13" w14:textId="77777777" w:rsidR="005145FF" w:rsidRPr="005145FF" w:rsidRDefault="005145FF" w:rsidP="005145FF">
      <w:pPr>
        <w:ind w:right="237"/>
        <w:rPr>
          <w:sz w:val="24"/>
          <w:szCs w:val="24"/>
        </w:rPr>
      </w:pPr>
    </w:p>
    <w:p w14:paraId="47B1FC0D" w14:textId="32BEB006" w:rsidR="005145FF" w:rsidRDefault="005145FF" w:rsidP="005145FF">
      <w:pPr>
        <w:ind w:right="237"/>
        <w:rPr>
          <w:sz w:val="24"/>
          <w:szCs w:val="24"/>
        </w:rPr>
      </w:pPr>
      <w:r w:rsidRPr="005145FF">
        <w:rPr>
          <w:sz w:val="24"/>
          <w:szCs w:val="24"/>
        </w:rPr>
        <w:t>After a DASH and PPN are submitted by the police a Multi-Agency Risk Assessment Conference (MARAC) can take place, depending on the risk level. MARAC is a method, specifically in cases of domestic abuse, where information is shared between different agencies and organisations through a meeting of various representatives. These representatives can be</w:t>
      </w:r>
      <w:r>
        <w:rPr>
          <w:sz w:val="24"/>
          <w:szCs w:val="24"/>
        </w:rPr>
        <w:t xml:space="preserve"> Independent Domestic Violence Advisors</w:t>
      </w:r>
      <w:r w:rsidRPr="005145FF">
        <w:rPr>
          <w:sz w:val="24"/>
          <w:szCs w:val="24"/>
        </w:rPr>
        <w:t xml:space="preserve"> </w:t>
      </w:r>
      <w:r>
        <w:rPr>
          <w:sz w:val="24"/>
          <w:szCs w:val="24"/>
        </w:rPr>
        <w:t>(</w:t>
      </w:r>
      <w:r w:rsidRPr="005145FF">
        <w:rPr>
          <w:sz w:val="24"/>
          <w:szCs w:val="24"/>
        </w:rPr>
        <w:t>IDVAs</w:t>
      </w:r>
      <w:r>
        <w:rPr>
          <w:sz w:val="24"/>
          <w:szCs w:val="24"/>
        </w:rPr>
        <w:t>)</w:t>
      </w:r>
      <w:r w:rsidRPr="005145FF">
        <w:rPr>
          <w:sz w:val="24"/>
          <w:szCs w:val="24"/>
        </w:rPr>
        <w:t>, representatives from the police, child protection services, probation services as well as others. They share the relevant information about the victim and options are discussed to increase the victim’s safety and provide support to them (IDAS, 2023). The collaboration between agencies is an advantage of MARAC because it allows the agencies to work together and share information to tailor an effective safeguarding approach to the victim’s needs. However, if the agencies fail to cooperate with each other, the information may not be shared which would negatively impact the safeguarding put in place to protect the vulnerable person. Therefore, it could be argued that MARACs are only effective if the agencies involved cooperate and share their information with each other. This is supported by Steel, Bl</w:t>
      </w:r>
      <w:r>
        <w:rPr>
          <w:sz w:val="24"/>
          <w:szCs w:val="24"/>
        </w:rPr>
        <w:t>ake</w:t>
      </w:r>
      <w:r w:rsidRPr="005145FF">
        <w:rPr>
          <w:sz w:val="24"/>
          <w:szCs w:val="24"/>
        </w:rPr>
        <w:t xml:space="preserve">borough and Nicholas (2011) who found </w:t>
      </w:r>
      <w:r w:rsidRPr="005145FF">
        <w:rPr>
          <w:sz w:val="24"/>
          <w:szCs w:val="24"/>
        </w:rPr>
        <w:lastRenderedPageBreak/>
        <w:t>that the key to MARAC being effective is the enhanced information sharing between agencies and strong partnership links.</w:t>
      </w:r>
    </w:p>
    <w:p w14:paraId="58739E42" w14:textId="77777777" w:rsidR="005145FF" w:rsidRPr="005145FF" w:rsidRDefault="005145FF" w:rsidP="005145FF">
      <w:pPr>
        <w:ind w:right="237"/>
        <w:rPr>
          <w:sz w:val="24"/>
          <w:szCs w:val="24"/>
        </w:rPr>
      </w:pPr>
    </w:p>
    <w:p w14:paraId="121F59C3" w14:textId="77777777" w:rsidR="005145FF" w:rsidRPr="005145FF" w:rsidRDefault="005145FF" w:rsidP="005145FF">
      <w:pPr>
        <w:ind w:right="237"/>
        <w:rPr>
          <w:sz w:val="24"/>
          <w:szCs w:val="24"/>
        </w:rPr>
      </w:pPr>
      <w:r w:rsidRPr="005145FF">
        <w:rPr>
          <w:sz w:val="24"/>
          <w:szCs w:val="24"/>
        </w:rPr>
        <w:t xml:space="preserve">In the incident I attended, both strategies were appropriate to safeguard the victim and prevent repeat victimisation. The DASH and PPN were beneficial in the long term as they provided the basis for a risk assessment, and they triggered a MARAC meeting which led to the victim being safeguarded from the offender. </w:t>
      </w:r>
    </w:p>
    <w:p w14:paraId="57C35BEA" w14:textId="668B4023" w:rsidR="005145FF" w:rsidRDefault="005145FF" w:rsidP="005145FF">
      <w:pPr>
        <w:ind w:right="237"/>
        <w:rPr>
          <w:sz w:val="24"/>
          <w:szCs w:val="24"/>
        </w:rPr>
      </w:pPr>
      <w:r w:rsidRPr="005145FF">
        <w:rPr>
          <w:sz w:val="24"/>
          <w:szCs w:val="24"/>
        </w:rPr>
        <w:t>By conducting a thorough risk assessment and submitting the relevant referrals, I was attempting to prevent the further incidents in the future thus preventing repeat victimisation. This is Problem Oriented Policing (POP) approach to the incident. POP is an approach to policing with a view of understanding the underlying causes of the problem so targeted interventions can take place to prevent it re-occurring (College of Policing, 2017).</w:t>
      </w:r>
    </w:p>
    <w:p w14:paraId="072869B7" w14:textId="77777777" w:rsidR="005145FF" w:rsidRPr="005145FF" w:rsidRDefault="005145FF" w:rsidP="005145FF">
      <w:pPr>
        <w:ind w:right="237"/>
        <w:rPr>
          <w:sz w:val="24"/>
          <w:szCs w:val="24"/>
        </w:rPr>
      </w:pPr>
    </w:p>
    <w:p w14:paraId="7CAA042F" w14:textId="77777777" w:rsidR="005145FF" w:rsidRPr="005145FF" w:rsidRDefault="005145FF" w:rsidP="005145FF">
      <w:pPr>
        <w:ind w:right="237"/>
        <w:rPr>
          <w:sz w:val="24"/>
          <w:szCs w:val="24"/>
        </w:rPr>
      </w:pPr>
      <w:r w:rsidRPr="005145FF">
        <w:rPr>
          <w:sz w:val="24"/>
          <w:szCs w:val="24"/>
        </w:rPr>
        <w:t xml:space="preserve">Although the victim was initially not willing to engage with police, she began engaging with domestic abuse support agencies over </w:t>
      </w:r>
      <w:proofErr w:type="gramStart"/>
      <w:r w:rsidRPr="005145FF">
        <w:rPr>
          <w:sz w:val="24"/>
          <w:szCs w:val="24"/>
        </w:rPr>
        <w:t>a period of time</w:t>
      </w:r>
      <w:proofErr w:type="gramEnd"/>
      <w:r w:rsidRPr="005145FF">
        <w:rPr>
          <w:sz w:val="24"/>
          <w:szCs w:val="24"/>
        </w:rPr>
        <w:t>. The victim later provided a statement. This specific incident went to court and the victim was offered addition services due to her vulnerability of being a high-risk domestic abuse victim. These services are highlighted under The Victim’s Code.</w:t>
      </w:r>
    </w:p>
    <w:p w14:paraId="216F79A9" w14:textId="346C53A5" w:rsidR="005145FF" w:rsidRDefault="005145FF" w:rsidP="005145FF">
      <w:pPr>
        <w:ind w:right="237"/>
        <w:rPr>
          <w:sz w:val="24"/>
          <w:szCs w:val="24"/>
        </w:rPr>
      </w:pPr>
      <w:r w:rsidRPr="005145FF">
        <w:rPr>
          <w:sz w:val="24"/>
          <w:szCs w:val="24"/>
        </w:rPr>
        <w:t>Under the victim’s code, every victim has the right to be supported after a crime. Support can include referral to the Victim Contact Scheme where a professional, called a Victim Liaison Officer, keeps in contact with the victim throughout the offender’s sentence. The answer the victim’s questions and provide them with information in relation to how the criminal justice system works as well as information about the offender’s sentence, such as release date or parole date. This service is optional (Home Office, 2022). This could be considered as an advantageous service as it provides a point of contact with the victim of crime after the offender has been sentenced so the victim can feel supported continuously. However, this service is only available if the offence is a serious violent or sexual offence, and the offender has received a custodial sentence of 12 months or more (Home Officer, 2022). This could be considered a disadvantage as some victims of violent offences, although to a lesser degree, may not fall under the victims contact scheme and could therefore feel unsupported during the aftermath of the offender’s sentencing, although victim’s will be supported for a period by the Witness Care Unit (Victim Support, 2022).</w:t>
      </w:r>
    </w:p>
    <w:p w14:paraId="3AD1A354" w14:textId="77777777" w:rsidR="005145FF" w:rsidRPr="005145FF" w:rsidRDefault="005145FF" w:rsidP="005145FF">
      <w:pPr>
        <w:ind w:right="237"/>
        <w:rPr>
          <w:sz w:val="24"/>
          <w:szCs w:val="24"/>
        </w:rPr>
      </w:pPr>
    </w:p>
    <w:p w14:paraId="4A866421" w14:textId="77777777" w:rsidR="005145FF" w:rsidRDefault="005145FF" w:rsidP="005145FF">
      <w:pPr>
        <w:ind w:right="237"/>
        <w:rPr>
          <w:sz w:val="24"/>
          <w:szCs w:val="24"/>
        </w:rPr>
      </w:pPr>
      <w:r w:rsidRPr="005145FF">
        <w:rPr>
          <w:sz w:val="24"/>
          <w:szCs w:val="24"/>
        </w:rPr>
        <w:t>Witness Care Units are responsible for providing support and information to victims and witnesses as the case progresses through the Criminal Justice System. The unit provides support by informing witnesses of court hearings and trial dates, they monitor the dates the victim cannot attended court, they answer any questions the witness or victim may have, and they communicate the outcome of any special measure’s application. The witness care unit is beneficial to victims and witnesses as it tailors their support for each witness. Also, by supporting and tailoring the support to the victim’s needs, the victims or witnesses could feel more confident with the court process and support it for its duration which, in turn, increases the chance of a case having a positive outcome (College of Policing, 2013).</w:t>
      </w:r>
    </w:p>
    <w:p w14:paraId="4C9B022A" w14:textId="1773A4CF" w:rsidR="005145FF" w:rsidRPr="005145FF" w:rsidRDefault="005145FF" w:rsidP="005145FF">
      <w:pPr>
        <w:ind w:right="237"/>
        <w:rPr>
          <w:sz w:val="24"/>
          <w:szCs w:val="24"/>
        </w:rPr>
      </w:pPr>
      <w:r w:rsidRPr="005145FF">
        <w:rPr>
          <w:sz w:val="24"/>
          <w:szCs w:val="24"/>
        </w:rPr>
        <w:t xml:space="preserve"> </w:t>
      </w:r>
    </w:p>
    <w:p w14:paraId="0D98F273" w14:textId="77777777" w:rsidR="005145FF" w:rsidRDefault="005145FF" w:rsidP="005145FF">
      <w:pPr>
        <w:ind w:right="237"/>
        <w:rPr>
          <w:sz w:val="24"/>
          <w:szCs w:val="24"/>
        </w:rPr>
      </w:pPr>
      <w:r w:rsidRPr="005145FF">
        <w:rPr>
          <w:sz w:val="24"/>
          <w:szCs w:val="24"/>
        </w:rPr>
        <w:t xml:space="preserve">Special measures are specific support systems that can be put in place for vulnerable or intimidated witnesses, and they are detailed in The Youth Justice </w:t>
      </w:r>
      <w:r w:rsidRPr="005145FF">
        <w:rPr>
          <w:sz w:val="24"/>
          <w:szCs w:val="24"/>
        </w:rPr>
        <w:lastRenderedPageBreak/>
        <w:t>and Criminal Evidence Act. There are various measures that can be out put in place such as the removal of wigs and gowns, screening the witness from the defendant, providing evidence via a live link, providing evidence through an intermediary as well as other options (Legilation.gov.uk, 2023). The police can apply for special measures, but it is the court who decides if the measures will be granted (College of Policing, 2013).</w:t>
      </w:r>
    </w:p>
    <w:p w14:paraId="71AEE0D1" w14:textId="6A0CF17B" w:rsidR="005145FF" w:rsidRPr="005145FF" w:rsidRDefault="005145FF" w:rsidP="005145FF">
      <w:pPr>
        <w:ind w:right="237"/>
        <w:rPr>
          <w:sz w:val="24"/>
          <w:szCs w:val="24"/>
        </w:rPr>
      </w:pPr>
      <w:r w:rsidRPr="005145FF">
        <w:rPr>
          <w:sz w:val="24"/>
          <w:szCs w:val="24"/>
        </w:rPr>
        <w:t xml:space="preserve"> </w:t>
      </w:r>
    </w:p>
    <w:p w14:paraId="1E96D16A" w14:textId="3F99D56F" w:rsidR="5B843AF0" w:rsidRPr="005145FF" w:rsidRDefault="005145FF" w:rsidP="005145FF">
      <w:pPr>
        <w:ind w:right="237"/>
        <w:rPr>
          <w:sz w:val="24"/>
          <w:szCs w:val="24"/>
        </w:rPr>
      </w:pPr>
      <w:r w:rsidRPr="005145FF">
        <w:rPr>
          <w:sz w:val="24"/>
          <w:szCs w:val="24"/>
        </w:rPr>
        <w:t>By reflecting on this incident, I have learned the importance of safeguarding vulnerable people. Police must be patient with vulnerable victims of crime, especially victims of domestic violence because there may be times where the victim will not engage, and officers must safeguard them in the best possible way based on the very limited information obtained during their interaction. Positive action must always be taken even when the victim does not want police to be involved. Although I believed that the PPN had was submitted with limited information, this proved to be a</w:t>
      </w:r>
      <w:r>
        <w:rPr>
          <w:sz w:val="24"/>
          <w:szCs w:val="24"/>
        </w:rPr>
        <w:t>n</w:t>
      </w:r>
      <w:r w:rsidRPr="005145FF">
        <w:rPr>
          <w:sz w:val="24"/>
          <w:szCs w:val="24"/>
        </w:rPr>
        <w:t xml:space="preserve"> effective tool in safeguarding the victim as it brought professionals across multiple agencies together to discuss the victim’s safety during a MARAC meeting. Furthermore, although I went against the victim’s wishes and arrested the offender, this ultimately led to his imprisonment and ensured the safety of the vulnerable person and prevented repeat victimisation in the future.</w:t>
      </w:r>
    </w:p>
    <w:p w14:paraId="5A14BEB8" w14:textId="69952D76" w:rsidR="5B843AF0" w:rsidRPr="00E676F7" w:rsidRDefault="5B843AF0" w:rsidP="5B843AF0">
      <w:pPr>
        <w:ind w:right="237"/>
        <w:jc w:val="center"/>
        <w:rPr>
          <w:b/>
          <w:bCs/>
          <w:sz w:val="24"/>
          <w:szCs w:val="24"/>
        </w:rPr>
      </w:pPr>
    </w:p>
    <w:p w14:paraId="68317E39" w14:textId="6E01AC61" w:rsidR="00E676F7" w:rsidRPr="005145FF" w:rsidRDefault="005145FF">
      <w:pPr>
        <w:overflowPunct/>
        <w:autoSpaceDE/>
        <w:autoSpaceDN/>
        <w:adjustRightInd/>
        <w:textAlignment w:val="auto"/>
        <w:rPr>
          <w:sz w:val="24"/>
          <w:szCs w:val="24"/>
        </w:rPr>
      </w:pPr>
      <w:r w:rsidRPr="005145FF">
        <w:rPr>
          <w:sz w:val="24"/>
          <w:szCs w:val="24"/>
        </w:rPr>
        <w:t>Word Count: 219</w:t>
      </w:r>
      <w:r>
        <w:rPr>
          <w:sz w:val="24"/>
          <w:szCs w:val="24"/>
        </w:rPr>
        <w:t>6</w:t>
      </w:r>
      <w:r w:rsidR="00E676F7" w:rsidRPr="005145FF">
        <w:rPr>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25B12F0C" w14:textId="77777777" w:rsidR="009574BF" w:rsidRDefault="009574BF" w:rsidP="009574BF">
      <w:pPr>
        <w:ind w:right="237"/>
        <w:jc w:val="both"/>
        <w:rPr>
          <w:color w:val="000000" w:themeColor="text1"/>
          <w:sz w:val="24"/>
          <w:szCs w:val="24"/>
        </w:rPr>
      </w:pPr>
      <w:r w:rsidRPr="009574BF">
        <w:rPr>
          <w:color w:val="000000" w:themeColor="text1"/>
          <w:sz w:val="24"/>
          <w:szCs w:val="24"/>
        </w:rPr>
        <w:t>According to the Office of National Statistics (2022), it was estimated by the Crime Survey for England and Wales that around 5% of adults of the age of 16, with the majority being women, experienced domestic abuse in the year ending March 2022. This equates to approximately 2.4 million adults in England and Wales. The number of recorded domestic abuse incidents also increased from the year before. Domestic abuse or domestic violence is abuse that occurs between two persons who are personally connected by family or intimate relationship, and they are both aged 16 or over. The abuse can include physical, sexual, and mental abuse (National Health Service, 2022).</w:t>
      </w:r>
    </w:p>
    <w:p w14:paraId="28E802D3" w14:textId="77777777" w:rsidR="008B330E" w:rsidRPr="009574BF" w:rsidRDefault="008B330E" w:rsidP="009574BF">
      <w:pPr>
        <w:ind w:right="237"/>
        <w:jc w:val="both"/>
        <w:rPr>
          <w:color w:val="000000" w:themeColor="text1"/>
          <w:sz w:val="24"/>
          <w:szCs w:val="24"/>
        </w:rPr>
      </w:pPr>
    </w:p>
    <w:p w14:paraId="1966B48E" w14:textId="37A01610" w:rsidR="009574BF" w:rsidRDefault="009574BF" w:rsidP="009574BF">
      <w:pPr>
        <w:ind w:right="237"/>
        <w:jc w:val="both"/>
        <w:rPr>
          <w:color w:val="000000" w:themeColor="text1"/>
          <w:sz w:val="24"/>
          <w:szCs w:val="24"/>
        </w:rPr>
      </w:pPr>
      <w:r w:rsidRPr="009574BF">
        <w:rPr>
          <w:color w:val="000000" w:themeColor="text1"/>
          <w:sz w:val="24"/>
          <w:szCs w:val="24"/>
        </w:rPr>
        <w:t>During this answer, I will discuss a complex domestic incident I attended, and I will critically assess the challenges I faced throughout the investigation and how each challenge was overcome. To reflect upon the incident, I will use an established reflective model as highlighted in Driscoll (2006, p.</w:t>
      </w:r>
      <w:r w:rsidR="008F45E3">
        <w:rPr>
          <w:color w:val="000000" w:themeColor="text1"/>
          <w:sz w:val="24"/>
          <w:szCs w:val="24"/>
        </w:rPr>
        <w:t xml:space="preserve"> </w:t>
      </w:r>
      <w:r w:rsidRPr="009574BF">
        <w:rPr>
          <w:color w:val="000000" w:themeColor="text1"/>
          <w:sz w:val="24"/>
          <w:szCs w:val="24"/>
        </w:rPr>
        <w:t>45). This is called Driscoll’s Reflective Model and it consists of 3 elements. The first element is “What?” This is where the user describes the event. The second element is “So what?” which is where the user analyses the event. The final element is “now what?” which is where actions the actions following the event are established.</w:t>
      </w:r>
    </w:p>
    <w:p w14:paraId="77F1D201" w14:textId="77777777" w:rsidR="008B330E" w:rsidRPr="009574BF" w:rsidRDefault="008B330E" w:rsidP="009574BF">
      <w:pPr>
        <w:ind w:right="237"/>
        <w:jc w:val="both"/>
        <w:rPr>
          <w:color w:val="000000" w:themeColor="text1"/>
          <w:sz w:val="24"/>
          <w:szCs w:val="24"/>
        </w:rPr>
      </w:pPr>
    </w:p>
    <w:p w14:paraId="14297338" w14:textId="77777777" w:rsidR="009574BF" w:rsidRDefault="009574BF" w:rsidP="009574BF">
      <w:pPr>
        <w:ind w:right="237"/>
        <w:jc w:val="both"/>
        <w:rPr>
          <w:color w:val="000000" w:themeColor="text1"/>
          <w:sz w:val="24"/>
          <w:szCs w:val="24"/>
        </w:rPr>
      </w:pPr>
      <w:r w:rsidRPr="009574BF">
        <w:rPr>
          <w:color w:val="000000" w:themeColor="text1"/>
          <w:sz w:val="24"/>
          <w:szCs w:val="24"/>
        </w:rPr>
        <w:t>Throughout my time as a police officer, I have attended many domestic incidents. These range from verbal arguments to assault or coercive control. The incident I shall reflect on however, is a case of stalking and harassment.</w:t>
      </w:r>
    </w:p>
    <w:p w14:paraId="45D9D7F9" w14:textId="77777777" w:rsidR="008B330E" w:rsidRPr="009574BF" w:rsidRDefault="008B330E" w:rsidP="009574BF">
      <w:pPr>
        <w:ind w:right="237"/>
        <w:jc w:val="both"/>
        <w:rPr>
          <w:color w:val="000000" w:themeColor="text1"/>
          <w:sz w:val="24"/>
          <w:szCs w:val="24"/>
        </w:rPr>
      </w:pPr>
    </w:p>
    <w:p w14:paraId="1535F7B3" w14:textId="77777777" w:rsidR="009574BF" w:rsidRDefault="009574BF" w:rsidP="009574BF">
      <w:pPr>
        <w:ind w:right="237"/>
        <w:jc w:val="both"/>
        <w:rPr>
          <w:color w:val="000000" w:themeColor="text1"/>
          <w:sz w:val="24"/>
          <w:szCs w:val="24"/>
        </w:rPr>
      </w:pPr>
      <w:r w:rsidRPr="009574BF">
        <w:rPr>
          <w:color w:val="000000" w:themeColor="text1"/>
          <w:sz w:val="24"/>
          <w:szCs w:val="24"/>
        </w:rPr>
        <w:t xml:space="preserve">I attended an incident where a female reported that her ex-partner had been harassing her since their relationship ended. She stated that over the course of two months, ever since the relationship ended, her ex-partner had been sending her multiple unwanted text messages through various social media platforms such as WhatsApp, </w:t>
      </w:r>
      <w:proofErr w:type="gramStart"/>
      <w:r w:rsidRPr="009574BF">
        <w:rPr>
          <w:color w:val="000000" w:themeColor="text1"/>
          <w:sz w:val="24"/>
          <w:szCs w:val="24"/>
        </w:rPr>
        <w:t>Facebook</w:t>
      </w:r>
      <w:proofErr w:type="gramEnd"/>
      <w:r w:rsidRPr="009574BF">
        <w:rPr>
          <w:color w:val="000000" w:themeColor="text1"/>
          <w:sz w:val="24"/>
          <w:szCs w:val="24"/>
        </w:rPr>
        <w:t xml:space="preserve"> and Instagram, even after she told him to stop contacting her. She would block him on the platforms, but he would then create another account and continue to message her. Furthermore, the victim stated that she would receive multiple calls from him, often from withheld numbers. This occurred mainly during the night. The victim stated that she had already reported this to the police, but the offender was only given a warning regarding his conduct, but he has continued the unwanted contact. The victim then began to cry and stated that she felt trapped in her own home. I asked if she was willing to provide a statement detailing the harassment. Initially she refused. This is where I encountered the first challenge of this incident because the victim was unwilling to engage in a prosecution.</w:t>
      </w:r>
    </w:p>
    <w:p w14:paraId="00F98151" w14:textId="77777777" w:rsidR="008B330E" w:rsidRPr="009574BF" w:rsidRDefault="008B330E" w:rsidP="009574BF">
      <w:pPr>
        <w:ind w:right="237"/>
        <w:jc w:val="both"/>
        <w:rPr>
          <w:color w:val="000000" w:themeColor="text1"/>
          <w:sz w:val="24"/>
          <w:szCs w:val="24"/>
        </w:rPr>
      </w:pPr>
    </w:p>
    <w:p w14:paraId="526C4506" w14:textId="77777777" w:rsidR="009574BF" w:rsidRDefault="009574BF" w:rsidP="009574BF">
      <w:pPr>
        <w:ind w:right="237"/>
        <w:jc w:val="both"/>
        <w:rPr>
          <w:color w:val="000000" w:themeColor="text1"/>
          <w:sz w:val="24"/>
          <w:szCs w:val="24"/>
        </w:rPr>
      </w:pPr>
      <w:r w:rsidRPr="009574BF">
        <w:rPr>
          <w:color w:val="000000" w:themeColor="text1"/>
          <w:sz w:val="24"/>
          <w:szCs w:val="24"/>
        </w:rPr>
        <w:t xml:space="preserve">Although the victim was unwilling to support a prosecution, I had to ensure she would be safe. Regardless of the type of domestic incident, it is paramount that the victim is safe, and that positive action is taken. Positive action is where police are duty bound to protect people from acts or other that breach their human rights and investigate the breach effectively (College of Policing, 2015). Simply put, an officer </w:t>
      </w:r>
      <w:r w:rsidRPr="009574BF">
        <w:rPr>
          <w:color w:val="000000" w:themeColor="text1"/>
          <w:sz w:val="24"/>
          <w:szCs w:val="24"/>
        </w:rPr>
        <w:lastRenderedPageBreak/>
        <w:t xml:space="preserve">must take all reasonable steps to prevent escalation in the future and safeguard the victim to prevent repeat victimisation (Metropolitan Police, 2001). In domestic abuse incidents where the victim is unwilling to engage, </w:t>
      </w:r>
      <w:proofErr w:type="gramStart"/>
      <w:r w:rsidRPr="009574BF">
        <w:rPr>
          <w:color w:val="000000" w:themeColor="text1"/>
          <w:sz w:val="24"/>
          <w:szCs w:val="24"/>
        </w:rPr>
        <w:t>an evidence</w:t>
      </w:r>
      <w:proofErr w:type="gramEnd"/>
      <w:r w:rsidRPr="009574BF">
        <w:rPr>
          <w:color w:val="000000" w:themeColor="text1"/>
          <w:sz w:val="24"/>
          <w:szCs w:val="24"/>
        </w:rPr>
        <w:t xml:space="preserve"> led prosecution can be considered.</w:t>
      </w:r>
    </w:p>
    <w:p w14:paraId="56E37BB5" w14:textId="77777777" w:rsidR="008B330E" w:rsidRPr="009574BF" w:rsidRDefault="008B330E" w:rsidP="009574BF">
      <w:pPr>
        <w:ind w:right="237"/>
        <w:jc w:val="both"/>
        <w:rPr>
          <w:color w:val="000000" w:themeColor="text1"/>
          <w:sz w:val="24"/>
          <w:szCs w:val="24"/>
        </w:rPr>
      </w:pPr>
    </w:p>
    <w:p w14:paraId="1EA0DD76" w14:textId="77777777" w:rsidR="009574BF" w:rsidRDefault="009574BF" w:rsidP="009574BF">
      <w:pPr>
        <w:ind w:right="237"/>
        <w:jc w:val="both"/>
        <w:rPr>
          <w:color w:val="000000" w:themeColor="text1"/>
          <w:sz w:val="24"/>
          <w:szCs w:val="24"/>
        </w:rPr>
      </w:pPr>
      <w:r w:rsidRPr="009574BF">
        <w:rPr>
          <w:color w:val="000000" w:themeColor="text1"/>
          <w:sz w:val="24"/>
          <w:szCs w:val="24"/>
        </w:rPr>
        <w:t>The Crown Prosecution Service (2022) states that evidence led prosecutions should be considered from the outset. A prosecution being evidence led means that the prosecution will use other evidence other than the victim. This evidence can include body worn video footage, 999 recordings, witness statements, CCTV and other forms of evidence that are available. Evidence led prosecutions can be effective because they allow the police and the CPS to continue a case without the victim’s support. However, if the victim is unsupportive, it could be argued that there is a lack of methods to ascertain how effective the prosecution is and if it even impacted the victim’s situation positively (HMICFRS and HMCPSI, 2020).</w:t>
      </w:r>
    </w:p>
    <w:p w14:paraId="57BBD8DF" w14:textId="77777777" w:rsidR="008B330E" w:rsidRPr="009574BF" w:rsidRDefault="008B330E" w:rsidP="009574BF">
      <w:pPr>
        <w:ind w:right="237"/>
        <w:jc w:val="both"/>
        <w:rPr>
          <w:color w:val="000000" w:themeColor="text1"/>
          <w:sz w:val="24"/>
          <w:szCs w:val="24"/>
        </w:rPr>
      </w:pPr>
    </w:p>
    <w:p w14:paraId="1C5CA906" w14:textId="77777777" w:rsidR="009574BF" w:rsidRDefault="009574BF" w:rsidP="009574BF">
      <w:pPr>
        <w:ind w:right="237"/>
        <w:jc w:val="both"/>
        <w:rPr>
          <w:color w:val="000000" w:themeColor="text1"/>
          <w:sz w:val="24"/>
          <w:szCs w:val="24"/>
        </w:rPr>
      </w:pPr>
      <w:r w:rsidRPr="009574BF">
        <w:rPr>
          <w:color w:val="000000" w:themeColor="text1"/>
          <w:sz w:val="24"/>
          <w:szCs w:val="24"/>
        </w:rPr>
        <w:t xml:space="preserve">Although I considered </w:t>
      </w:r>
      <w:proofErr w:type="gramStart"/>
      <w:r w:rsidRPr="009574BF">
        <w:rPr>
          <w:color w:val="000000" w:themeColor="text1"/>
          <w:sz w:val="24"/>
          <w:szCs w:val="24"/>
        </w:rPr>
        <w:t>an evidence</w:t>
      </w:r>
      <w:proofErr w:type="gramEnd"/>
      <w:r w:rsidRPr="009574BF">
        <w:rPr>
          <w:color w:val="000000" w:themeColor="text1"/>
          <w:sz w:val="24"/>
          <w:szCs w:val="24"/>
        </w:rPr>
        <w:t xml:space="preserve"> led prosecution in this instance, I believed that the evidence without the victim was sorely lacking in this case. It was evident that the offender did not heed police warnings in the past, which meant that has arrest was necessary, but I needed further information before acting. I asked the victim questions on why she did not want to make a statement and engage with a prosecution, but she refused to answer.</w:t>
      </w:r>
    </w:p>
    <w:p w14:paraId="13EBB325" w14:textId="77777777" w:rsidR="008B330E" w:rsidRPr="009574BF" w:rsidRDefault="008B330E" w:rsidP="009574BF">
      <w:pPr>
        <w:ind w:right="237"/>
        <w:jc w:val="both"/>
        <w:rPr>
          <w:color w:val="000000" w:themeColor="text1"/>
          <w:sz w:val="24"/>
          <w:szCs w:val="24"/>
        </w:rPr>
      </w:pPr>
    </w:p>
    <w:p w14:paraId="29CD04A7" w14:textId="544443AB" w:rsidR="009574BF" w:rsidRDefault="009574BF" w:rsidP="009574BF">
      <w:pPr>
        <w:ind w:right="237"/>
        <w:jc w:val="both"/>
        <w:rPr>
          <w:color w:val="000000" w:themeColor="text1"/>
          <w:sz w:val="24"/>
          <w:szCs w:val="24"/>
        </w:rPr>
      </w:pPr>
      <w:r w:rsidRPr="009574BF">
        <w:rPr>
          <w:color w:val="000000" w:themeColor="text1"/>
          <w:sz w:val="24"/>
          <w:szCs w:val="24"/>
        </w:rPr>
        <w:t>There are many reasons for a victim of domestic abuse to not engage with police or seek help when they need it. Harbour House (2023) highlights potential reasons why persons who suffer from domestic abuse may not seek the help they need, this is because they feel too embarrassed, they are fearful of retaliation, they think there could be financial issues, they hope the abuser will change, they have been let down by police in the past.</w:t>
      </w:r>
    </w:p>
    <w:p w14:paraId="3C2288AB" w14:textId="77777777" w:rsidR="008B330E" w:rsidRPr="009574BF" w:rsidRDefault="008B330E" w:rsidP="009574BF">
      <w:pPr>
        <w:ind w:right="237"/>
        <w:jc w:val="both"/>
        <w:rPr>
          <w:color w:val="000000" w:themeColor="text1"/>
          <w:sz w:val="24"/>
          <w:szCs w:val="24"/>
        </w:rPr>
      </w:pPr>
    </w:p>
    <w:p w14:paraId="39383A5C" w14:textId="77777777" w:rsidR="009574BF" w:rsidRDefault="009574BF" w:rsidP="009574BF">
      <w:pPr>
        <w:ind w:right="237"/>
        <w:jc w:val="both"/>
        <w:rPr>
          <w:color w:val="000000" w:themeColor="text1"/>
          <w:sz w:val="24"/>
          <w:szCs w:val="24"/>
        </w:rPr>
      </w:pPr>
      <w:r w:rsidRPr="009574BF">
        <w:rPr>
          <w:color w:val="000000" w:themeColor="text1"/>
          <w:sz w:val="24"/>
          <w:szCs w:val="24"/>
        </w:rPr>
        <w:t>To overcome the challenge of the victim not engaging with a prosecution, I showed empathy and understanding while I listened to her. This is referred to as active listening which is a recognised skill by the College of Policing (2020) which states that active listening is a way of maintaining communication through positive body language and empathy. By actively listening, the victim began to explain her situation in greater detail. She stated that her ex-partner had also damaged her car, and has attended the address late at night, unannounced, and knocked the door before running away. I explained that the harassment has escalated from unwanted calls and messages to the offender attending the address announced. Although this may seem a scary comment to state to a victim of domestic abuse, I believed that it was necessary for the victim to understand the reality of situation she was in and that the police could help. This could prevent further victimisation.</w:t>
      </w:r>
    </w:p>
    <w:p w14:paraId="5839B37B" w14:textId="77777777" w:rsidR="008B330E" w:rsidRPr="009574BF" w:rsidRDefault="008B330E" w:rsidP="009574BF">
      <w:pPr>
        <w:ind w:right="237"/>
        <w:jc w:val="both"/>
        <w:rPr>
          <w:color w:val="000000" w:themeColor="text1"/>
          <w:sz w:val="24"/>
          <w:szCs w:val="24"/>
        </w:rPr>
      </w:pPr>
    </w:p>
    <w:p w14:paraId="3D239E09" w14:textId="77777777" w:rsidR="009574BF" w:rsidRPr="009574BF" w:rsidRDefault="009574BF" w:rsidP="009574BF">
      <w:pPr>
        <w:ind w:right="237"/>
        <w:jc w:val="both"/>
        <w:rPr>
          <w:color w:val="000000" w:themeColor="text1"/>
          <w:sz w:val="24"/>
          <w:szCs w:val="24"/>
        </w:rPr>
      </w:pPr>
      <w:r w:rsidRPr="009574BF">
        <w:rPr>
          <w:color w:val="000000" w:themeColor="text1"/>
          <w:sz w:val="24"/>
          <w:szCs w:val="24"/>
        </w:rPr>
        <w:t>By speaking with the victim and allowing her to understand the situation she was in, she then wished to provide a statement. This shows that showing empathy and listening to victims can build rapport and trust. This closely links with the LEAPS model of communication. listen, empathise, ask, paraphrase, and summarise. The model provides a structured approach to effective communication (College of Policing, 2020). I did not necessarily consider this model while trying to overcome the problem of the victim not engaging, but, in hindsight, I did use this model but in a more passive, unconscious context.</w:t>
      </w:r>
    </w:p>
    <w:p w14:paraId="09F54791" w14:textId="77777777" w:rsidR="008B330E" w:rsidRDefault="009574BF" w:rsidP="009574BF">
      <w:pPr>
        <w:ind w:right="237"/>
        <w:jc w:val="both"/>
        <w:rPr>
          <w:color w:val="000000" w:themeColor="text1"/>
          <w:sz w:val="24"/>
          <w:szCs w:val="24"/>
        </w:rPr>
      </w:pPr>
      <w:r w:rsidRPr="009574BF">
        <w:rPr>
          <w:color w:val="000000" w:themeColor="text1"/>
          <w:sz w:val="24"/>
          <w:szCs w:val="24"/>
        </w:rPr>
        <w:lastRenderedPageBreak/>
        <w:t>After completing the victim’s statement, I offered the victim a Domestic Abuse Stalking and Harassment (DASH) form and she completed it. A DASH is a risk assessment form offered to all victims of domestic abuse. It captures risk factors associated with the abuse to determine a risk level (College of Policing, 2016).</w:t>
      </w:r>
    </w:p>
    <w:p w14:paraId="1A72851B" w14:textId="38A76C5F" w:rsidR="009574BF" w:rsidRPr="009574BF" w:rsidRDefault="009574BF" w:rsidP="009574BF">
      <w:pPr>
        <w:ind w:right="237"/>
        <w:jc w:val="both"/>
        <w:rPr>
          <w:color w:val="000000" w:themeColor="text1"/>
          <w:sz w:val="24"/>
          <w:szCs w:val="24"/>
        </w:rPr>
      </w:pPr>
      <w:r w:rsidRPr="009574BF">
        <w:rPr>
          <w:color w:val="000000" w:themeColor="text1"/>
          <w:sz w:val="24"/>
          <w:szCs w:val="24"/>
        </w:rPr>
        <w:t xml:space="preserve"> </w:t>
      </w:r>
    </w:p>
    <w:p w14:paraId="36691B60" w14:textId="77777777" w:rsidR="009574BF" w:rsidRDefault="009574BF" w:rsidP="009574BF">
      <w:pPr>
        <w:ind w:right="237"/>
        <w:jc w:val="both"/>
        <w:rPr>
          <w:color w:val="000000" w:themeColor="text1"/>
          <w:sz w:val="24"/>
          <w:szCs w:val="24"/>
        </w:rPr>
      </w:pPr>
      <w:r w:rsidRPr="009574BF">
        <w:rPr>
          <w:color w:val="000000" w:themeColor="text1"/>
          <w:sz w:val="24"/>
          <w:szCs w:val="24"/>
        </w:rPr>
        <w:t>Once the risk assessment was completed, I arrested her ex-partner for harassment and stalking. At this point in the investigation, there was little supporting evidence regarding the harassment because there was no CCTV and no witnesses to prove he attended the address unannounced. The evidence at this point were messages on the victim’s phone from the suspect, calls from an unknown number and messages from unknown social media accounts. This meant that proving the offence may be difficult as there was only the victim’s belief that the unknown accounts and numbers related to the suspect. Armstrong and Taylor (2017, pp. 513) state that cases of harassment can be difficult to prove because there is usually a lack of witnesses, and the case oftentimes resorts to one word against the other. Due to this, I had to consider the potential for no further action taking place against the suspect. This presented me with another challenge which was that the victim had to be safeguarded if this decision was made. One such avenue I explored was a Domestic Violence Protection Notice (DVPN).</w:t>
      </w:r>
    </w:p>
    <w:p w14:paraId="70C91748" w14:textId="77777777" w:rsidR="008B330E" w:rsidRPr="009574BF" w:rsidRDefault="008B330E" w:rsidP="009574BF">
      <w:pPr>
        <w:ind w:right="237"/>
        <w:jc w:val="both"/>
        <w:rPr>
          <w:color w:val="000000" w:themeColor="text1"/>
          <w:sz w:val="24"/>
          <w:szCs w:val="24"/>
        </w:rPr>
      </w:pPr>
    </w:p>
    <w:p w14:paraId="794BFF0C" w14:textId="1BFDBDF2" w:rsidR="009574BF" w:rsidRDefault="009574BF" w:rsidP="009574BF">
      <w:pPr>
        <w:ind w:right="237"/>
        <w:jc w:val="both"/>
        <w:rPr>
          <w:color w:val="000000" w:themeColor="text1"/>
          <w:sz w:val="24"/>
          <w:szCs w:val="24"/>
        </w:rPr>
      </w:pPr>
      <w:r w:rsidRPr="009574BF">
        <w:rPr>
          <w:color w:val="000000" w:themeColor="text1"/>
          <w:sz w:val="24"/>
          <w:szCs w:val="24"/>
        </w:rPr>
        <w:t>A DVPN is an emergency non-molestation notice issued by the police after a domestic incident where there may be insufficient evidence to charge the suspect. It places conditions on the perpetrator and safeguards the victim. After a DVPN has been issued, the police must apply to the court for a Domestic Violence Protection Order (DVPO) within 48 hours (Home Office, 2022). If the suspect does not adhere to the conditions, he can be arrested.</w:t>
      </w:r>
    </w:p>
    <w:p w14:paraId="14ECD000" w14:textId="77777777" w:rsidR="005E7801" w:rsidRPr="009574BF" w:rsidRDefault="005E7801" w:rsidP="009574BF">
      <w:pPr>
        <w:ind w:right="237"/>
        <w:jc w:val="both"/>
        <w:rPr>
          <w:color w:val="000000" w:themeColor="text1"/>
          <w:sz w:val="24"/>
          <w:szCs w:val="24"/>
        </w:rPr>
      </w:pPr>
    </w:p>
    <w:p w14:paraId="73847301" w14:textId="77777777" w:rsidR="009574BF" w:rsidRDefault="009574BF" w:rsidP="009574BF">
      <w:pPr>
        <w:ind w:right="237"/>
        <w:jc w:val="both"/>
        <w:rPr>
          <w:color w:val="000000" w:themeColor="text1"/>
          <w:sz w:val="24"/>
          <w:szCs w:val="24"/>
        </w:rPr>
      </w:pPr>
      <w:r w:rsidRPr="009574BF">
        <w:rPr>
          <w:color w:val="000000" w:themeColor="text1"/>
          <w:sz w:val="24"/>
          <w:szCs w:val="24"/>
        </w:rPr>
        <w:t>I considered a DVPN because it can safeguard a victim if no further action is taken, and it prevents repat victimisation. This is supported by the Home Office (2016) which states that after a study ended in 2012, it was found that DVPOs reduce re-victimisation if an arrest is made, and no further action is taken. DVPOs last a minimum of 14 days and a maximum of 28 days. This shows that the victim is only safeguarded in the short term. Longer term options such as a restraining order was considered but these are only granted on conviction or acquittal of the defendant (CPS, 2019). Thus, a DVPN was the most appropriate safeguarding measure to take on this occasion. I also considered that the victim would feel safer and have a better perception of the police if she was properly safeguarded in the event no further action took place. This is supported by the Home Office (2013) which states that victims of domestic abuse view DVPOs positively as they make the victim feel safer and provide them with space and time to consider their position and options they may have.</w:t>
      </w:r>
    </w:p>
    <w:p w14:paraId="4534EC56" w14:textId="77777777" w:rsidR="005E7801" w:rsidRPr="009574BF" w:rsidRDefault="005E7801" w:rsidP="009574BF">
      <w:pPr>
        <w:ind w:right="237"/>
        <w:jc w:val="both"/>
        <w:rPr>
          <w:color w:val="000000" w:themeColor="text1"/>
          <w:sz w:val="24"/>
          <w:szCs w:val="24"/>
        </w:rPr>
      </w:pPr>
    </w:p>
    <w:p w14:paraId="3B3CF31C" w14:textId="77777777" w:rsidR="009574BF" w:rsidRDefault="009574BF" w:rsidP="009574BF">
      <w:pPr>
        <w:ind w:right="237"/>
        <w:jc w:val="both"/>
        <w:rPr>
          <w:color w:val="000000" w:themeColor="text1"/>
          <w:sz w:val="24"/>
          <w:szCs w:val="24"/>
        </w:rPr>
      </w:pPr>
      <w:r w:rsidRPr="009574BF">
        <w:rPr>
          <w:color w:val="000000" w:themeColor="text1"/>
          <w:sz w:val="24"/>
          <w:szCs w:val="24"/>
        </w:rPr>
        <w:t xml:space="preserve">After being granted the DVPN, I interviewed the suspect. During the interview, the suspect denied the offence and stated that there was no harassment as the communication went both ways. This led to the next challenge which was gather further evidence by seizing and examining the subject’s phone. In hindsight, I should have seized and examined the phone prior to the interview because the suspect was then released from custody on police bail for that inquiry to take place. As the suspect was released on bail, he had conditions to not contact the victim or attend the address. This meant that the victim was still safeguarded. However, this also </w:t>
      </w:r>
      <w:r w:rsidRPr="009574BF">
        <w:rPr>
          <w:color w:val="000000" w:themeColor="text1"/>
          <w:sz w:val="24"/>
          <w:szCs w:val="24"/>
        </w:rPr>
        <w:lastRenderedPageBreak/>
        <w:t>meant that there was now a delay in a charging decision as more investigation was needed by examining the suspect’s phone.</w:t>
      </w:r>
    </w:p>
    <w:p w14:paraId="42F32448" w14:textId="77777777" w:rsidR="005E7801" w:rsidRPr="009574BF" w:rsidRDefault="005E7801" w:rsidP="009574BF">
      <w:pPr>
        <w:ind w:right="237"/>
        <w:jc w:val="both"/>
        <w:rPr>
          <w:color w:val="000000" w:themeColor="text1"/>
          <w:sz w:val="24"/>
          <w:szCs w:val="24"/>
        </w:rPr>
      </w:pPr>
    </w:p>
    <w:p w14:paraId="2C475BDB" w14:textId="04C3C496" w:rsidR="009574BF" w:rsidRDefault="009574BF" w:rsidP="009574BF">
      <w:pPr>
        <w:ind w:right="237"/>
        <w:jc w:val="both"/>
        <w:rPr>
          <w:color w:val="000000" w:themeColor="text1"/>
          <w:sz w:val="24"/>
          <w:szCs w:val="24"/>
        </w:rPr>
      </w:pPr>
      <w:r w:rsidRPr="009574BF">
        <w:rPr>
          <w:color w:val="000000" w:themeColor="text1"/>
          <w:sz w:val="24"/>
          <w:szCs w:val="24"/>
        </w:rPr>
        <w:t>It was necessary and relevant to examine the suspect’s phone to either prove or disprove his involvement in the offence. This is supported by The Crown Prosecution Service (2022) which explains that police should identify and pursue all lines of inquiry which are reasonable whether these lines of enquiry point towards or away from the suspect. Examining mobile phones and other devices that store data can be intrusive which means that the police must balance the rights of the person under investigation with the need to carry out the investigation of the relevant offence. It balances the right to privacy with the right to have a fair trial (College of Policing, 2021). This shows that police can only have access to material on a personal device which is proportionate and necessary to the investigation. Although the rights of the suspect must be upheld during the investigation, it could be suggested that the investigator must be very thorough when examining digital data as the consequences could be that of losing potential evidence. Therefore, when I submitted the application for the phone to be examined, I was particularly careful when stating what needed examining. This included calls between the suspect and the victim, text messages, as well as social media data. The examining of the phone was time consuming, and it was challenging because it is difficult to balance the suspects privacy with collecting evidence because I was looking through personal messages he sent to the victim. This challenge was overcome by me being justified and proportionate when making the examination report in the sense that only information relevant to the investigation was collected.</w:t>
      </w:r>
    </w:p>
    <w:p w14:paraId="32CDC4B9" w14:textId="77777777" w:rsidR="005E7801" w:rsidRPr="009574BF" w:rsidRDefault="005E7801" w:rsidP="009574BF">
      <w:pPr>
        <w:ind w:right="237"/>
        <w:jc w:val="both"/>
        <w:rPr>
          <w:color w:val="000000" w:themeColor="text1"/>
          <w:sz w:val="24"/>
          <w:szCs w:val="24"/>
        </w:rPr>
      </w:pPr>
    </w:p>
    <w:p w14:paraId="489B9C80" w14:textId="77777777" w:rsidR="009574BF" w:rsidRDefault="009574BF" w:rsidP="009574BF">
      <w:pPr>
        <w:ind w:right="237"/>
        <w:jc w:val="both"/>
        <w:rPr>
          <w:color w:val="000000" w:themeColor="text1"/>
          <w:sz w:val="24"/>
          <w:szCs w:val="24"/>
        </w:rPr>
      </w:pPr>
      <w:r w:rsidRPr="009574BF">
        <w:rPr>
          <w:color w:val="000000" w:themeColor="text1"/>
          <w:sz w:val="24"/>
          <w:szCs w:val="24"/>
        </w:rPr>
        <w:t>There was evidence of harassment which was found on his phone in the form of text messages after the victim told him to stop messaging her. There were also messages sent from fake social media accounts he had set up to message her after he was blocked. Furthermore, the examination showed that there were many phone calls to the victim which went unanswered. Due to there being evidence of a course of conduct that amounted to harassment, the findings were collated, and all the evidence was sent to the Crown Prosecution Service for a charging decision.</w:t>
      </w:r>
    </w:p>
    <w:p w14:paraId="4372F767" w14:textId="77777777" w:rsidR="008A43F3" w:rsidRPr="009574BF" w:rsidRDefault="008A43F3" w:rsidP="009574BF">
      <w:pPr>
        <w:ind w:right="237"/>
        <w:jc w:val="both"/>
        <w:rPr>
          <w:color w:val="000000" w:themeColor="text1"/>
          <w:sz w:val="24"/>
          <w:szCs w:val="24"/>
        </w:rPr>
      </w:pPr>
    </w:p>
    <w:p w14:paraId="14CFC055" w14:textId="77777777" w:rsidR="009574BF" w:rsidRPr="009574BF" w:rsidRDefault="009574BF" w:rsidP="009574BF">
      <w:pPr>
        <w:ind w:right="237"/>
        <w:jc w:val="both"/>
        <w:rPr>
          <w:color w:val="000000" w:themeColor="text1"/>
          <w:sz w:val="24"/>
          <w:szCs w:val="24"/>
        </w:rPr>
      </w:pPr>
      <w:r w:rsidRPr="009574BF">
        <w:rPr>
          <w:color w:val="000000" w:themeColor="text1"/>
          <w:sz w:val="24"/>
          <w:szCs w:val="24"/>
        </w:rPr>
        <w:t>By reflecting on this incident, I have established that harassment is a difficult offence to prove but all every effort needs to be made to investigate the offence thoroughly. The investigation had many challenging aspects many of which were overcome through effective communication and considering alternative options to ensure the victim’s safety. I believe I considered the victim’s needs throughout the investigation and took reasonable steps to ensure she felt safe. However, in hindsight, I could have gathered all the available evidence prior to interviewing the suspect which may have prevented any delay in a charging decision. In future, I will consider that delays in domestic abuse investigations may have a negative impact on the victim and jeopardise their safety as well as their perception of the police.</w:t>
      </w:r>
    </w:p>
    <w:p w14:paraId="042CB012" w14:textId="45AF066D" w:rsidR="00025650" w:rsidRDefault="00025650" w:rsidP="009574BF">
      <w:pPr>
        <w:ind w:right="237"/>
        <w:jc w:val="both"/>
        <w:rPr>
          <w:color w:val="000000" w:themeColor="text1"/>
          <w:sz w:val="24"/>
          <w:szCs w:val="24"/>
        </w:rPr>
      </w:pPr>
    </w:p>
    <w:p w14:paraId="2EDF4224" w14:textId="77777777" w:rsidR="009574BF" w:rsidRDefault="009574BF" w:rsidP="009574BF">
      <w:pPr>
        <w:ind w:right="237"/>
        <w:jc w:val="both"/>
        <w:rPr>
          <w:color w:val="000000" w:themeColor="text1"/>
          <w:sz w:val="24"/>
          <w:szCs w:val="24"/>
        </w:rPr>
      </w:pPr>
    </w:p>
    <w:p w14:paraId="0279FE89" w14:textId="1980DD8F" w:rsidR="009574BF" w:rsidRPr="00E676F7" w:rsidRDefault="009574BF" w:rsidP="009574BF">
      <w:pPr>
        <w:ind w:right="237"/>
        <w:jc w:val="both"/>
        <w:rPr>
          <w:color w:val="000000" w:themeColor="text1"/>
          <w:sz w:val="24"/>
          <w:szCs w:val="24"/>
        </w:rPr>
      </w:pPr>
      <w:r>
        <w:rPr>
          <w:color w:val="000000" w:themeColor="text1"/>
          <w:sz w:val="24"/>
          <w:szCs w:val="24"/>
        </w:rPr>
        <w:t>Word Count: 2194</w:t>
      </w: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AACA3" w14:textId="77777777" w:rsidR="00C2782F" w:rsidRDefault="00C2782F">
      <w:r>
        <w:separator/>
      </w:r>
    </w:p>
  </w:endnote>
  <w:endnote w:type="continuationSeparator" w:id="0">
    <w:p w14:paraId="0EE08172" w14:textId="77777777" w:rsidR="00C2782F" w:rsidRDefault="00C27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0C7B9" w14:textId="77777777" w:rsidR="005145FF" w:rsidRDefault="005145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DCA3" w14:textId="77777777" w:rsidR="005145FF" w:rsidRDefault="00514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8967C" w14:textId="77777777" w:rsidR="00C2782F" w:rsidRDefault="00C2782F">
      <w:r>
        <w:separator/>
      </w:r>
    </w:p>
  </w:footnote>
  <w:footnote w:type="continuationSeparator" w:id="0">
    <w:p w14:paraId="4ECB0B99" w14:textId="77777777" w:rsidR="00C2782F" w:rsidRDefault="00C27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D057C" w14:textId="77777777" w:rsidR="005145FF" w:rsidRDefault="005145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CEBF3" w14:textId="77777777" w:rsidR="005145FF" w:rsidRDefault="005145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7CEC8" w14:textId="77777777" w:rsidR="005145FF" w:rsidRDefault="005145FF">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3C8AE2BC"/>
    <w:lvl w:ilvl="0" w:tplc="DA92C888">
      <w:start w:val="1"/>
      <w:numFmt w:val="decimal"/>
      <w:lvlText w:val="%1."/>
      <w:lvlJc w:val="left"/>
      <w:pPr>
        <w:ind w:left="720" w:hanging="360"/>
      </w:pPr>
    </w:lvl>
    <w:lvl w:ilvl="1" w:tplc="9D7E6764">
      <w:start w:val="1"/>
      <w:numFmt w:val="lowerLetter"/>
      <w:lvlText w:val="%2."/>
      <w:lvlJc w:val="left"/>
      <w:pPr>
        <w:ind w:left="1440" w:hanging="360"/>
      </w:pPr>
    </w:lvl>
    <w:lvl w:ilvl="2" w:tplc="01624EA4">
      <w:start w:val="1"/>
      <w:numFmt w:val="lowerRoman"/>
      <w:lvlText w:val="%3."/>
      <w:lvlJc w:val="right"/>
      <w:pPr>
        <w:ind w:left="2160" w:hanging="180"/>
      </w:pPr>
    </w:lvl>
    <w:lvl w:ilvl="3" w:tplc="562AE136">
      <w:start w:val="1"/>
      <w:numFmt w:val="decimal"/>
      <w:lvlText w:val="%4."/>
      <w:lvlJc w:val="left"/>
      <w:pPr>
        <w:ind w:left="2880" w:hanging="360"/>
      </w:pPr>
    </w:lvl>
    <w:lvl w:ilvl="4" w:tplc="6ED2F5C2">
      <w:start w:val="1"/>
      <w:numFmt w:val="lowerLetter"/>
      <w:lvlText w:val="%5."/>
      <w:lvlJc w:val="left"/>
      <w:pPr>
        <w:ind w:left="3600" w:hanging="360"/>
      </w:pPr>
    </w:lvl>
    <w:lvl w:ilvl="5" w:tplc="DCAAED64">
      <w:start w:val="1"/>
      <w:numFmt w:val="lowerRoman"/>
      <w:lvlText w:val="%6."/>
      <w:lvlJc w:val="right"/>
      <w:pPr>
        <w:ind w:left="4320" w:hanging="180"/>
      </w:pPr>
    </w:lvl>
    <w:lvl w:ilvl="6" w:tplc="9F167E2C">
      <w:start w:val="1"/>
      <w:numFmt w:val="decimal"/>
      <w:lvlText w:val="%7."/>
      <w:lvlJc w:val="left"/>
      <w:pPr>
        <w:ind w:left="5040" w:hanging="360"/>
      </w:pPr>
    </w:lvl>
    <w:lvl w:ilvl="7" w:tplc="FD46192E">
      <w:start w:val="1"/>
      <w:numFmt w:val="lowerLetter"/>
      <w:lvlText w:val="%8."/>
      <w:lvlJc w:val="left"/>
      <w:pPr>
        <w:ind w:left="5760" w:hanging="360"/>
      </w:pPr>
    </w:lvl>
    <w:lvl w:ilvl="8" w:tplc="3A02B1DC">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B4DE4A12"/>
    <w:lvl w:ilvl="0" w:tplc="231672AC">
      <w:start w:val="1"/>
      <w:numFmt w:val="decimal"/>
      <w:lvlText w:val="%1."/>
      <w:lvlJc w:val="left"/>
      <w:pPr>
        <w:ind w:left="720" w:hanging="360"/>
      </w:pPr>
    </w:lvl>
    <w:lvl w:ilvl="1" w:tplc="92AAFFB8">
      <w:start w:val="1"/>
      <w:numFmt w:val="decimal"/>
      <w:lvlText w:val="%2."/>
      <w:lvlJc w:val="left"/>
      <w:pPr>
        <w:ind w:left="1440" w:hanging="360"/>
      </w:pPr>
    </w:lvl>
    <w:lvl w:ilvl="2" w:tplc="03821360">
      <w:start w:val="1"/>
      <w:numFmt w:val="lowerRoman"/>
      <w:lvlText w:val="%3."/>
      <w:lvlJc w:val="right"/>
      <w:pPr>
        <w:ind w:left="2160" w:hanging="180"/>
      </w:pPr>
    </w:lvl>
    <w:lvl w:ilvl="3" w:tplc="9C087A52">
      <w:start w:val="1"/>
      <w:numFmt w:val="decimal"/>
      <w:lvlText w:val="%4."/>
      <w:lvlJc w:val="left"/>
      <w:pPr>
        <w:ind w:left="2880" w:hanging="360"/>
      </w:pPr>
    </w:lvl>
    <w:lvl w:ilvl="4" w:tplc="31BC7D44">
      <w:start w:val="1"/>
      <w:numFmt w:val="lowerLetter"/>
      <w:lvlText w:val="%5."/>
      <w:lvlJc w:val="left"/>
      <w:pPr>
        <w:ind w:left="3600" w:hanging="360"/>
      </w:pPr>
    </w:lvl>
    <w:lvl w:ilvl="5" w:tplc="FDE0202E">
      <w:start w:val="1"/>
      <w:numFmt w:val="lowerRoman"/>
      <w:lvlText w:val="%6."/>
      <w:lvlJc w:val="right"/>
      <w:pPr>
        <w:ind w:left="4320" w:hanging="180"/>
      </w:pPr>
    </w:lvl>
    <w:lvl w:ilvl="6" w:tplc="004A6B3E">
      <w:start w:val="1"/>
      <w:numFmt w:val="decimal"/>
      <w:lvlText w:val="%7."/>
      <w:lvlJc w:val="left"/>
      <w:pPr>
        <w:ind w:left="5040" w:hanging="360"/>
      </w:pPr>
    </w:lvl>
    <w:lvl w:ilvl="7" w:tplc="B84A6EE4">
      <w:start w:val="1"/>
      <w:numFmt w:val="lowerLetter"/>
      <w:lvlText w:val="%8."/>
      <w:lvlJc w:val="left"/>
      <w:pPr>
        <w:ind w:left="5760" w:hanging="360"/>
      </w:pPr>
    </w:lvl>
    <w:lvl w:ilvl="8" w:tplc="9EB4DEF2">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4356091">
    <w:abstractNumId w:val="47"/>
  </w:num>
  <w:num w:numId="2" w16cid:durableId="1553272454">
    <w:abstractNumId w:val="10"/>
  </w:num>
  <w:num w:numId="3" w16cid:durableId="1629628502">
    <w:abstractNumId w:val="1"/>
    <w:lvlOverride w:ilvl="0">
      <w:lvl w:ilvl="0">
        <w:start w:val="1"/>
        <w:numFmt w:val="bullet"/>
        <w:lvlText w:val=""/>
        <w:lvlJc w:val="left"/>
        <w:pPr>
          <w:ind w:left="720" w:hanging="360"/>
        </w:pPr>
        <w:rPr>
          <w:rFonts w:ascii="Symbol" w:hAnsi="Symbol" w:hint="default"/>
        </w:rPr>
      </w:lvl>
    </w:lvlOverride>
  </w:num>
  <w:num w:numId="4" w16cid:durableId="1744837252">
    <w:abstractNumId w:val="22"/>
  </w:num>
  <w:num w:numId="5" w16cid:durableId="514924513">
    <w:abstractNumId w:val="44"/>
  </w:num>
  <w:num w:numId="6" w16cid:durableId="1768764819">
    <w:abstractNumId w:val="46"/>
  </w:num>
  <w:num w:numId="7" w16cid:durableId="1912306547">
    <w:abstractNumId w:val="34"/>
  </w:num>
  <w:num w:numId="8" w16cid:durableId="2106345497">
    <w:abstractNumId w:val="32"/>
  </w:num>
  <w:num w:numId="9" w16cid:durableId="1906530401">
    <w:abstractNumId w:val="29"/>
  </w:num>
  <w:num w:numId="10" w16cid:durableId="1686713307">
    <w:abstractNumId w:val="30"/>
  </w:num>
  <w:num w:numId="11" w16cid:durableId="309402560">
    <w:abstractNumId w:val="9"/>
  </w:num>
  <w:num w:numId="12" w16cid:durableId="567961100">
    <w:abstractNumId w:val="33"/>
  </w:num>
  <w:num w:numId="13" w16cid:durableId="604046418">
    <w:abstractNumId w:val="17"/>
  </w:num>
  <w:num w:numId="14" w16cid:durableId="1319459159">
    <w:abstractNumId w:val="16"/>
  </w:num>
  <w:num w:numId="15" w16cid:durableId="1067149223">
    <w:abstractNumId w:val="26"/>
  </w:num>
  <w:num w:numId="16" w16cid:durableId="1649746593">
    <w:abstractNumId w:val="7"/>
  </w:num>
  <w:num w:numId="17" w16cid:durableId="626397678">
    <w:abstractNumId w:val="25"/>
  </w:num>
  <w:num w:numId="18" w16cid:durableId="179592027">
    <w:abstractNumId w:val="15"/>
  </w:num>
  <w:num w:numId="19" w16cid:durableId="335615492">
    <w:abstractNumId w:val="13"/>
  </w:num>
  <w:num w:numId="20" w16cid:durableId="3670307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7454598">
    <w:abstractNumId w:val="23"/>
  </w:num>
  <w:num w:numId="22" w16cid:durableId="578292106">
    <w:abstractNumId w:val="18"/>
  </w:num>
  <w:num w:numId="23" w16cid:durableId="500200501">
    <w:abstractNumId w:val="14"/>
  </w:num>
  <w:num w:numId="24" w16cid:durableId="2005011994">
    <w:abstractNumId w:val="11"/>
  </w:num>
  <w:num w:numId="25" w16cid:durableId="415595058">
    <w:abstractNumId w:val="27"/>
  </w:num>
  <w:num w:numId="26" w16cid:durableId="897739933">
    <w:abstractNumId w:val="19"/>
  </w:num>
  <w:num w:numId="27" w16cid:durableId="266887126">
    <w:abstractNumId w:val="40"/>
  </w:num>
  <w:num w:numId="28" w16cid:durableId="166138991">
    <w:abstractNumId w:val="35"/>
  </w:num>
  <w:num w:numId="29" w16cid:durableId="370225373">
    <w:abstractNumId w:val="39"/>
  </w:num>
  <w:num w:numId="30" w16cid:durableId="897545758">
    <w:abstractNumId w:val="20"/>
  </w:num>
  <w:num w:numId="31" w16cid:durableId="515774638">
    <w:abstractNumId w:val="42"/>
  </w:num>
  <w:num w:numId="32" w16cid:durableId="1225261924">
    <w:abstractNumId w:val="31"/>
  </w:num>
  <w:num w:numId="33" w16cid:durableId="758408930">
    <w:abstractNumId w:val="12"/>
  </w:num>
  <w:num w:numId="34" w16cid:durableId="850489457">
    <w:abstractNumId w:val="43"/>
  </w:num>
  <w:num w:numId="35" w16cid:durableId="970553777">
    <w:abstractNumId w:val="38"/>
  </w:num>
  <w:num w:numId="36" w16cid:durableId="1761639421">
    <w:abstractNumId w:val="4"/>
  </w:num>
  <w:num w:numId="37" w16cid:durableId="427195788">
    <w:abstractNumId w:val="45"/>
  </w:num>
  <w:num w:numId="38" w16cid:durableId="767776260">
    <w:abstractNumId w:val="41"/>
  </w:num>
  <w:num w:numId="39" w16cid:durableId="1281063140">
    <w:abstractNumId w:val="36"/>
  </w:num>
  <w:num w:numId="40" w16cid:durableId="923103898">
    <w:abstractNumId w:val="37"/>
  </w:num>
  <w:num w:numId="41" w16cid:durableId="889268264">
    <w:abstractNumId w:val="3"/>
  </w:num>
  <w:num w:numId="42" w16cid:durableId="1710686650">
    <w:abstractNumId w:val="5"/>
  </w:num>
  <w:num w:numId="43" w16cid:durableId="1188909371">
    <w:abstractNumId w:val="24"/>
  </w:num>
  <w:num w:numId="44" w16cid:durableId="1627588222">
    <w:abstractNumId w:val="6"/>
  </w:num>
  <w:num w:numId="45" w16cid:durableId="253591395">
    <w:abstractNumId w:val="2"/>
  </w:num>
  <w:num w:numId="46" w16cid:durableId="805122494">
    <w:abstractNumId w:val="0"/>
  </w:num>
  <w:num w:numId="47" w16cid:durableId="924150045">
    <w:abstractNumId w:val="21"/>
  </w:num>
  <w:num w:numId="48" w16cid:durableId="1865706977">
    <w:abstractNumId w:val="28"/>
  </w:num>
  <w:num w:numId="49" w16cid:durableId="77321163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45FF"/>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E7801"/>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3F3"/>
    <w:rsid w:val="008A4576"/>
    <w:rsid w:val="008B07DE"/>
    <w:rsid w:val="008B28E7"/>
    <w:rsid w:val="008B330E"/>
    <w:rsid w:val="008C14C7"/>
    <w:rsid w:val="008C2FFB"/>
    <w:rsid w:val="008C6EEA"/>
    <w:rsid w:val="008D5813"/>
    <w:rsid w:val="008D634E"/>
    <w:rsid w:val="008D778A"/>
    <w:rsid w:val="008F22BD"/>
    <w:rsid w:val="008F45E3"/>
    <w:rsid w:val="009079BD"/>
    <w:rsid w:val="00912BD9"/>
    <w:rsid w:val="00916CFB"/>
    <w:rsid w:val="00920E5B"/>
    <w:rsid w:val="009249F8"/>
    <w:rsid w:val="00926436"/>
    <w:rsid w:val="0093018C"/>
    <w:rsid w:val="00932CCA"/>
    <w:rsid w:val="009544C0"/>
    <w:rsid w:val="00954FA4"/>
    <w:rsid w:val="00956AE9"/>
    <w:rsid w:val="009574BF"/>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82F"/>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23</Pages>
  <Words>5794</Words>
  <Characters>33031</Characters>
  <Application>Microsoft Office Word</Application>
  <DocSecurity>0</DocSecurity>
  <Lines>275</Lines>
  <Paragraphs>77</Paragraphs>
  <ScaleCrop>false</ScaleCrop>
  <Company>Powys County Council</Company>
  <LinksUpToDate>false</LinksUpToDate>
  <CharactersWithSpaces>38748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Omar, Adam</cp:lastModifiedBy>
  <cp:revision>7</cp:revision>
  <cp:lastPrinted>2014-08-26T08:55:00Z</cp:lastPrinted>
  <dcterms:created xsi:type="dcterms:W3CDTF">2023-07-18T06:53:00Z</dcterms:created>
  <dcterms:modified xsi:type="dcterms:W3CDTF">2023-07-18T07:04:00Z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2023-07-18T06:46:06Z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4106bad2-ed12-41ea-bcf2-79d932da8b86</vt:lpwstr>
  </property>
  <property fmtid="{D5CDD505-2E9C-101B-9397-08002B2CF9AE}" pid="9" name="MSIP_Label_f2acd28b-79a3-4a0f-b0ff-4b75658b1549_ContentBits">
    <vt:lpwstr>0</vt:lpwstr>
  </property>
</Properties>
</file>