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20940405"/>
        <w:docPartObj>
          <w:docPartGallery w:val="Cover Pages"/>
          <w:docPartUnique/>
        </w:docPartObj>
      </w:sdtPr>
      <w:sdtContent>
        <w:p w14:paraId="50F13695" w14:textId="008E88F8" w:rsidR="00556C99" w:rsidRDefault="00556C99">
          <w:r>
            <w:rPr>
              <w:noProof/>
            </w:rPr>
            <mc:AlternateContent>
              <mc:Choice Requires="wpg">
                <w:drawing>
                  <wp:anchor distT="0" distB="0" distL="114300" distR="114300" simplePos="0" relativeHeight="251662336" behindDoc="0" locked="0" layoutInCell="1" allowOverlap="1" wp14:anchorId="50C7DEA0" wp14:editId="1EB4860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4FDF4C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E869596" wp14:editId="5C25433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E87B59F" w14:textId="534385CE" w:rsidR="00D563D9" w:rsidRDefault="00D563D9">
                                    <w:pPr>
                                      <w:pStyle w:val="NoSpacing"/>
                                      <w:jc w:val="right"/>
                                      <w:rPr>
                                        <w:color w:val="595959" w:themeColor="text1" w:themeTint="A6"/>
                                        <w:sz w:val="28"/>
                                        <w:szCs w:val="28"/>
                                      </w:rPr>
                                    </w:pPr>
                                    <w:r>
                                      <w:rPr>
                                        <w:color w:val="595959" w:themeColor="text1" w:themeTint="A6"/>
                                        <w:sz w:val="28"/>
                                        <w:szCs w:val="28"/>
                                      </w:rPr>
                                      <w:t>Andrew McGleish</w:t>
                                    </w:r>
                                  </w:p>
                                </w:sdtContent>
                              </w:sdt>
                              <w:p w14:paraId="774F5D11" w14:textId="1BB35C25" w:rsidR="00D563D9" w:rsidRDefault="00D563D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1908919@student.uwtsd.ac.uk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E86959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E87B59F" w14:textId="534385CE" w:rsidR="00D563D9" w:rsidRDefault="00D563D9">
                              <w:pPr>
                                <w:pStyle w:val="NoSpacing"/>
                                <w:jc w:val="right"/>
                                <w:rPr>
                                  <w:color w:val="595959" w:themeColor="text1" w:themeTint="A6"/>
                                  <w:sz w:val="28"/>
                                  <w:szCs w:val="28"/>
                                </w:rPr>
                              </w:pPr>
                              <w:r>
                                <w:rPr>
                                  <w:color w:val="595959" w:themeColor="text1" w:themeTint="A6"/>
                                  <w:sz w:val="28"/>
                                  <w:szCs w:val="28"/>
                                </w:rPr>
                                <w:t>Andrew McGleish</w:t>
                              </w:r>
                            </w:p>
                          </w:sdtContent>
                        </w:sdt>
                        <w:p w14:paraId="774F5D11" w14:textId="1BB35C25" w:rsidR="00D563D9" w:rsidRDefault="00D563D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1908919@student.uwtsd.ac.uk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934569B" wp14:editId="772941A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514978" w14:textId="5B6FE65C" w:rsidR="00D563D9" w:rsidRDefault="00D563D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Strategic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97C5125" w14:textId="710144E8" w:rsidR="00D563D9" w:rsidRDefault="00955C93">
                                    <w:pPr>
                                      <w:jc w:val="right"/>
                                      <w:rPr>
                                        <w:smallCaps/>
                                        <w:color w:val="404040" w:themeColor="text1" w:themeTint="BF"/>
                                        <w:sz w:val="36"/>
                                        <w:szCs w:val="36"/>
                                      </w:rPr>
                                    </w:pPr>
                                    <w:r>
                                      <w:rPr>
                                        <w:color w:val="404040" w:themeColor="text1" w:themeTint="BF"/>
                                        <w:sz w:val="36"/>
                                        <w:szCs w:val="36"/>
                                      </w:rPr>
                                      <w:t>Creating innovative customer care to gain a sustainable competitive advantage</w:t>
                                    </w:r>
                                  </w:p>
                                </w:sdtContent>
                              </w:sdt>
                              <w:p w14:paraId="2E58A1DE" w14:textId="77777777" w:rsidR="00D563D9" w:rsidRDefault="00D563D9"/>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934569B"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40514978" w14:textId="5B6FE65C" w:rsidR="00D563D9" w:rsidRDefault="00D563D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Strategic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97C5125" w14:textId="710144E8" w:rsidR="00D563D9" w:rsidRDefault="00955C93">
                              <w:pPr>
                                <w:jc w:val="right"/>
                                <w:rPr>
                                  <w:smallCaps/>
                                  <w:color w:val="404040" w:themeColor="text1" w:themeTint="BF"/>
                                  <w:sz w:val="36"/>
                                  <w:szCs w:val="36"/>
                                </w:rPr>
                              </w:pPr>
                              <w:r>
                                <w:rPr>
                                  <w:color w:val="404040" w:themeColor="text1" w:themeTint="BF"/>
                                  <w:sz w:val="36"/>
                                  <w:szCs w:val="36"/>
                                </w:rPr>
                                <w:t>Creating innovative customer care to gain a sustainable competitive advantage</w:t>
                              </w:r>
                            </w:p>
                          </w:sdtContent>
                        </w:sdt>
                        <w:p w14:paraId="2E58A1DE" w14:textId="77777777" w:rsidR="00D563D9" w:rsidRDefault="00D563D9"/>
                      </w:txbxContent>
                    </v:textbox>
                    <w10:wrap type="square" anchorx="page" anchory="page"/>
                  </v:shape>
                </w:pict>
              </mc:Fallback>
            </mc:AlternateContent>
          </w:r>
        </w:p>
        <w:p w14:paraId="3B5B32A1" w14:textId="77777777" w:rsidR="00B52860" w:rsidRDefault="00556C99">
          <w:r>
            <w:br w:type="page"/>
          </w:r>
        </w:p>
        <w:p w14:paraId="30EC1EE8" w14:textId="6F372D9A" w:rsidR="00B52860" w:rsidRDefault="00B52860" w:rsidP="00B52860">
          <w:pPr>
            <w:pStyle w:val="Heading1"/>
          </w:pPr>
          <w:bookmarkStart w:id="0" w:name="_Toc59100984"/>
          <w:r>
            <w:lastRenderedPageBreak/>
            <w:t>Executive Summary</w:t>
          </w:r>
          <w:bookmarkEnd w:id="0"/>
        </w:p>
        <w:p w14:paraId="2602FCFC" w14:textId="688F995A" w:rsidR="00B52860" w:rsidRDefault="00316BE8">
          <w:r>
            <w:t>On the backdrop of a pandemic ACIEM Group Ltd. assign</w:t>
          </w:r>
          <w:r w:rsidR="005004E2">
            <w:t xml:space="preserve">ed a group to develop an innovative way of delivering customer care to provide a sustainable competitive advantage. The group carried out initial analysis of the </w:t>
          </w:r>
          <w:r w:rsidR="00955C93">
            <w:t>company’s</w:t>
          </w:r>
          <w:r w:rsidR="005004E2">
            <w:t xml:space="preserve"> current strategic position utilising PESTLE, Porters Five </w:t>
          </w:r>
          <w:r w:rsidR="00955C93">
            <w:t>Forces,</w:t>
          </w:r>
          <w:r w:rsidR="005004E2">
            <w:t xml:space="preserve"> and a SWOT analysis to understand external and internal strategic position. </w:t>
          </w:r>
        </w:p>
        <w:p w14:paraId="63F2350D" w14:textId="07CB7084" w:rsidR="005004E2" w:rsidRDefault="005004E2">
          <w:r>
            <w:t xml:space="preserve">When determining the strategic </w:t>
          </w:r>
          <w:r w:rsidR="00955C93">
            <w:t>positions,</w:t>
          </w:r>
          <w:r>
            <w:t xml:space="preserve"> the initial focus was utilising Porters Generic Strategies however, it became apparent that due to its more product focus an alternative framework was sought after. The group utilised </w:t>
          </w:r>
          <w:proofErr w:type="spellStart"/>
          <w:r>
            <w:t>Hax</w:t>
          </w:r>
          <w:proofErr w:type="spellEnd"/>
          <w:r>
            <w:t xml:space="preserve"> and Wilde Delta Model due to its shift from a product focus to a customer focus, which was believed to be more beneficial when looking to gain a competitive advantage with regards to customer care. It was determined that due to the nature of the </w:t>
          </w:r>
          <w:proofErr w:type="spellStart"/>
          <w:r>
            <w:t>hyperpersonalization</w:t>
          </w:r>
          <w:proofErr w:type="spellEnd"/>
          <w:r>
            <w:t xml:space="preserve"> and ACIEM’s concentrate portfolio of clients a “Total Customer Solution” would be the strategic option that ACIEM would </w:t>
          </w:r>
          <w:r w:rsidR="00955C93">
            <w:t>pursue</w:t>
          </w:r>
          <w:r>
            <w:t>.</w:t>
          </w:r>
        </w:p>
        <w:p w14:paraId="0DACA99C" w14:textId="77777777" w:rsidR="00B52860" w:rsidRDefault="00B52860"/>
        <w:p w14:paraId="1EC6351E" w14:textId="77777777" w:rsidR="00B52860" w:rsidRDefault="00B52860"/>
        <w:p w14:paraId="08A66E9E" w14:textId="77777777" w:rsidR="00B52860" w:rsidRDefault="00B52860"/>
        <w:p w14:paraId="1AF1D0C1" w14:textId="77777777" w:rsidR="00B52860" w:rsidRDefault="00B52860"/>
        <w:p w14:paraId="07E36787" w14:textId="77777777" w:rsidR="00B52860" w:rsidRDefault="00B52860"/>
        <w:p w14:paraId="4763D097" w14:textId="77777777" w:rsidR="00B52860" w:rsidRDefault="00B52860"/>
        <w:p w14:paraId="2B038A18" w14:textId="77777777" w:rsidR="00B52860" w:rsidRDefault="00B52860"/>
        <w:p w14:paraId="39F9630A" w14:textId="319D56BC" w:rsidR="00556C99" w:rsidRDefault="00955C93" w:rsidP="00955C93">
          <w:pPr>
            <w:spacing w:after="160" w:line="259" w:lineRule="auto"/>
          </w:pPr>
          <w:r>
            <w:br w:type="page"/>
          </w:r>
        </w:p>
      </w:sdtContent>
    </w:sdt>
    <w:sdt>
      <w:sdtPr>
        <w:rPr>
          <w:rFonts w:ascii="Arial" w:eastAsiaTheme="minorHAnsi" w:hAnsi="Arial" w:cstheme="minorBidi"/>
          <w:color w:val="auto"/>
          <w:sz w:val="24"/>
          <w:szCs w:val="22"/>
          <w:lang w:val="en-GB"/>
        </w:rPr>
        <w:id w:val="1952207987"/>
        <w:docPartObj>
          <w:docPartGallery w:val="Table of Contents"/>
          <w:docPartUnique/>
        </w:docPartObj>
      </w:sdtPr>
      <w:sdtEndPr>
        <w:rPr>
          <w:b/>
          <w:bCs/>
          <w:noProof/>
        </w:rPr>
      </w:sdtEndPr>
      <w:sdtContent>
        <w:p w14:paraId="3BBDE748" w14:textId="77D46E3E" w:rsidR="00491531" w:rsidRDefault="00491531">
          <w:pPr>
            <w:pStyle w:val="TOCHeading"/>
          </w:pPr>
          <w:r>
            <w:t>Contents</w:t>
          </w:r>
        </w:p>
        <w:p w14:paraId="774EAE15" w14:textId="7C7D5523" w:rsidR="00955C93" w:rsidRDefault="00491531">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9100984" w:history="1">
            <w:r w:rsidR="00955C93" w:rsidRPr="008F7667">
              <w:rPr>
                <w:rStyle w:val="Hyperlink"/>
                <w:noProof/>
              </w:rPr>
              <w:t>Executive Summary</w:t>
            </w:r>
            <w:r w:rsidR="00955C93">
              <w:rPr>
                <w:noProof/>
                <w:webHidden/>
              </w:rPr>
              <w:tab/>
            </w:r>
            <w:r w:rsidR="00955C93">
              <w:rPr>
                <w:noProof/>
                <w:webHidden/>
              </w:rPr>
              <w:fldChar w:fldCharType="begin"/>
            </w:r>
            <w:r w:rsidR="00955C93">
              <w:rPr>
                <w:noProof/>
                <w:webHidden/>
              </w:rPr>
              <w:instrText xml:space="preserve"> PAGEREF _Toc59100984 \h </w:instrText>
            </w:r>
            <w:r w:rsidR="00955C93">
              <w:rPr>
                <w:noProof/>
                <w:webHidden/>
              </w:rPr>
            </w:r>
            <w:r w:rsidR="00955C93">
              <w:rPr>
                <w:noProof/>
                <w:webHidden/>
              </w:rPr>
              <w:fldChar w:fldCharType="separate"/>
            </w:r>
            <w:r w:rsidR="00955C93">
              <w:rPr>
                <w:noProof/>
                <w:webHidden/>
              </w:rPr>
              <w:t>1</w:t>
            </w:r>
            <w:r w:rsidR="00955C93">
              <w:rPr>
                <w:noProof/>
                <w:webHidden/>
              </w:rPr>
              <w:fldChar w:fldCharType="end"/>
            </w:r>
          </w:hyperlink>
        </w:p>
        <w:p w14:paraId="20794462" w14:textId="1A55B8D7" w:rsidR="00955C93" w:rsidRDefault="00955C93">
          <w:pPr>
            <w:pStyle w:val="TOC1"/>
            <w:tabs>
              <w:tab w:val="right" w:leader="dot" w:pos="9016"/>
            </w:tabs>
            <w:rPr>
              <w:rFonts w:asciiTheme="minorHAnsi" w:eastAsiaTheme="minorEastAsia" w:hAnsiTheme="minorHAnsi"/>
              <w:noProof/>
              <w:sz w:val="22"/>
              <w:lang w:eastAsia="en-GB"/>
            </w:rPr>
          </w:pPr>
          <w:hyperlink w:anchor="_Toc59100985" w:history="1">
            <w:r w:rsidRPr="008F7667">
              <w:rPr>
                <w:rStyle w:val="Hyperlink"/>
                <w:noProof/>
              </w:rPr>
              <w:t>List of Tables and Figures</w:t>
            </w:r>
            <w:r>
              <w:rPr>
                <w:noProof/>
                <w:webHidden/>
              </w:rPr>
              <w:tab/>
            </w:r>
            <w:r>
              <w:rPr>
                <w:noProof/>
                <w:webHidden/>
              </w:rPr>
              <w:fldChar w:fldCharType="begin"/>
            </w:r>
            <w:r>
              <w:rPr>
                <w:noProof/>
                <w:webHidden/>
              </w:rPr>
              <w:instrText xml:space="preserve"> PAGEREF _Toc59100985 \h </w:instrText>
            </w:r>
            <w:r>
              <w:rPr>
                <w:noProof/>
                <w:webHidden/>
              </w:rPr>
            </w:r>
            <w:r>
              <w:rPr>
                <w:noProof/>
                <w:webHidden/>
              </w:rPr>
              <w:fldChar w:fldCharType="separate"/>
            </w:r>
            <w:r>
              <w:rPr>
                <w:noProof/>
                <w:webHidden/>
              </w:rPr>
              <w:t>4</w:t>
            </w:r>
            <w:r>
              <w:rPr>
                <w:noProof/>
                <w:webHidden/>
              </w:rPr>
              <w:fldChar w:fldCharType="end"/>
            </w:r>
          </w:hyperlink>
        </w:p>
        <w:p w14:paraId="674114AD" w14:textId="59C575EE" w:rsidR="00955C93" w:rsidRDefault="00955C93">
          <w:pPr>
            <w:pStyle w:val="TOC1"/>
            <w:tabs>
              <w:tab w:val="right" w:leader="dot" w:pos="9016"/>
            </w:tabs>
            <w:rPr>
              <w:rFonts w:asciiTheme="minorHAnsi" w:eastAsiaTheme="minorEastAsia" w:hAnsiTheme="minorHAnsi"/>
              <w:noProof/>
              <w:sz w:val="22"/>
              <w:lang w:eastAsia="en-GB"/>
            </w:rPr>
          </w:pPr>
          <w:hyperlink w:anchor="_Toc59100986" w:history="1">
            <w:r w:rsidRPr="008F7667">
              <w:rPr>
                <w:rStyle w:val="Hyperlink"/>
                <w:noProof/>
              </w:rPr>
              <w:t>Introduction</w:t>
            </w:r>
            <w:r>
              <w:rPr>
                <w:noProof/>
                <w:webHidden/>
              </w:rPr>
              <w:tab/>
            </w:r>
            <w:r>
              <w:rPr>
                <w:noProof/>
                <w:webHidden/>
              </w:rPr>
              <w:fldChar w:fldCharType="begin"/>
            </w:r>
            <w:r>
              <w:rPr>
                <w:noProof/>
                <w:webHidden/>
              </w:rPr>
              <w:instrText xml:space="preserve"> PAGEREF _Toc59100986 \h </w:instrText>
            </w:r>
            <w:r>
              <w:rPr>
                <w:noProof/>
                <w:webHidden/>
              </w:rPr>
            </w:r>
            <w:r>
              <w:rPr>
                <w:noProof/>
                <w:webHidden/>
              </w:rPr>
              <w:fldChar w:fldCharType="separate"/>
            </w:r>
            <w:r>
              <w:rPr>
                <w:noProof/>
                <w:webHidden/>
              </w:rPr>
              <w:t>5</w:t>
            </w:r>
            <w:r>
              <w:rPr>
                <w:noProof/>
                <w:webHidden/>
              </w:rPr>
              <w:fldChar w:fldCharType="end"/>
            </w:r>
          </w:hyperlink>
        </w:p>
        <w:p w14:paraId="46C33013" w14:textId="64049D8F" w:rsidR="00955C93" w:rsidRDefault="00955C93">
          <w:pPr>
            <w:pStyle w:val="TOC1"/>
            <w:tabs>
              <w:tab w:val="right" w:leader="dot" w:pos="9016"/>
            </w:tabs>
            <w:rPr>
              <w:rFonts w:asciiTheme="minorHAnsi" w:eastAsiaTheme="minorEastAsia" w:hAnsiTheme="minorHAnsi"/>
              <w:noProof/>
              <w:sz w:val="22"/>
              <w:lang w:eastAsia="en-GB"/>
            </w:rPr>
          </w:pPr>
          <w:hyperlink w:anchor="_Toc59100987" w:history="1">
            <w:r w:rsidRPr="008F7667">
              <w:rPr>
                <w:rStyle w:val="Hyperlink"/>
                <w:noProof/>
              </w:rPr>
              <w:t>Strategic Position</w:t>
            </w:r>
            <w:r>
              <w:rPr>
                <w:noProof/>
                <w:webHidden/>
              </w:rPr>
              <w:tab/>
            </w:r>
            <w:r>
              <w:rPr>
                <w:noProof/>
                <w:webHidden/>
              </w:rPr>
              <w:fldChar w:fldCharType="begin"/>
            </w:r>
            <w:r>
              <w:rPr>
                <w:noProof/>
                <w:webHidden/>
              </w:rPr>
              <w:instrText xml:space="preserve"> PAGEREF _Toc59100987 \h </w:instrText>
            </w:r>
            <w:r>
              <w:rPr>
                <w:noProof/>
                <w:webHidden/>
              </w:rPr>
            </w:r>
            <w:r>
              <w:rPr>
                <w:noProof/>
                <w:webHidden/>
              </w:rPr>
              <w:fldChar w:fldCharType="separate"/>
            </w:r>
            <w:r>
              <w:rPr>
                <w:noProof/>
                <w:webHidden/>
              </w:rPr>
              <w:t>6</w:t>
            </w:r>
            <w:r>
              <w:rPr>
                <w:noProof/>
                <w:webHidden/>
              </w:rPr>
              <w:fldChar w:fldCharType="end"/>
            </w:r>
          </w:hyperlink>
        </w:p>
        <w:p w14:paraId="49183313" w14:textId="0977A347" w:rsidR="00955C93" w:rsidRDefault="00955C93">
          <w:pPr>
            <w:pStyle w:val="TOC2"/>
            <w:tabs>
              <w:tab w:val="right" w:leader="dot" w:pos="9016"/>
            </w:tabs>
            <w:rPr>
              <w:rFonts w:asciiTheme="minorHAnsi" w:eastAsiaTheme="minorEastAsia" w:hAnsiTheme="minorHAnsi"/>
              <w:noProof/>
              <w:sz w:val="22"/>
              <w:lang w:eastAsia="en-GB"/>
            </w:rPr>
          </w:pPr>
          <w:hyperlink w:anchor="_Toc59100988" w:history="1">
            <w:r w:rsidRPr="008F7667">
              <w:rPr>
                <w:rStyle w:val="Hyperlink"/>
                <w:noProof/>
              </w:rPr>
              <w:t>Macro-Environment</w:t>
            </w:r>
            <w:r>
              <w:rPr>
                <w:noProof/>
                <w:webHidden/>
              </w:rPr>
              <w:tab/>
            </w:r>
            <w:r>
              <w:rPr>
                <w:noProof/>
                <w:webHidden/>
              </w:rPr>
              <w:fldChar w:fldCharType="begin"/>
            </w:r>
            <w:r>
              <w:rPr>
                <w:noProof/>
                <w:webHidden/>
              </w:rPr>
              <w:instrText xml:space="preserve"> PAGEREF _Toc59100988 \h </w:instrText>
            </w:r>
            <w:r>
              <w:rPr>
                <w:noProof/>
                <w:webHidden/>
              </w:rPr>
            </w:r>
            <w:r>
              <w:rPr>
                <w:noProof/>
                <w:webHidden/>
              </w:rPr>
              <w:fldChar w:fldCharType="separate"/>
            </w:r>
            <w:r>
              <w:rPr>
                <w:noProof/>
                <w:webHidden/>
              </w:rPr>
              <w:t>6</w:t>
            </w:r>
            <w:r>
              <w:rPr>
                <w:noProof/>
                <w:webHidden/>
              </w:rPr>
              <w:fldChar w:fldCharType="end"/>
            </w:r>
          </w:hyperlink>
        </w:p>
        <w:p w14:paraId="406C4881" w14:textId="1C56E6C5" w:rsidR="00955C93" w:rsidRDefault="00955C93">
          <w:pPr>
            <w:pStyle w:val="TOC3"/>
            <w:tabs>
              <w:tab w:val="right" w:leader="dot" w:pos="9016"/>
            </w:tabs>
            <w:rPr>
              <w:rFonts w:asciiTheme="minorHAnsi" w:eastAsiaTheme="minorEastAsia" w:hAnsiTheme="minorHAnsi"/>
              <w:noProof/>
              <w:sz w:val="22"/>
              <w:lang w:eastAsia="en-GB"/>
            </w:rPr>
          </w:pPr>
          <w:hyperlink w:anchor="_Toc59100989" w:history="1">
            <w:r w:rsidRPr="008F7667">
              <w:rPr>
                <w:rStyle w:val="Hyperlink"/>
                <w:noProof/>
              </w:rPr>
              <w:t>Political</w:t>
            </w:r>
            <w:r>
              <w:rPr>
                <w:noProof/>
                <w:webHidden/>
              </w:rPr>
              <w:tab/>
            </w:r>
            <w:r>
              <w:rPr>
                <w:noProof/>
                <w:webHidden/>
              </w:rPr>
              <w:fldChar w:fldCharType="begin"/>
            </w:r>
            <w:r>
              <w:rPr>
                <w:noProof/>
                <w:webHidden/>
              </w:rPr>
              <w:instrText xml:space="preserve"> PAGEREF _Toc59100989 \h </w:instrText>
            </w:r>
            <w:r>
              <w:rPr>
                <w:noProof/>
                <w:webHidden/>
              </w:rPr>
            </w:r>
            <w:r>
              <w:rPr>
                <w:noProof/>
                <w:webHidden/>
              </w:rPr>
              <w:fldChar w:fldCharType="separate"/>
            </w:r>
            <w:r>
              <w:rPr>
                <w:noProof/>
                <w:webHidden/>
              </w:rPr>
              <w:t>7</w:t>
            </w:r>
            <w:r>
              <w:rPr>
                <w:noProof/>
                <w:webHidden/>
              </w:rPr>
              <w:fldChar w:fldCharType="end"/>
            </w:r>
          </w:hyperlink>
        </w:p>
        <w:p w14:paraId="15264639" w14:textId="568E5D51" w:rsidR="00955C93" w:rsidRDefault="00955C93">
          <w:pPr>
            <w:pStyle w:val="TOC3"/>
            <w:tabs>
              <w:tab w:val="right" w:leader="dot" w:pos="9016"/>
            </w:tabs>
            <w:rPr>
              <w:rFonts w:asciiTheme="minorHAnsi" w:eastAsiaTheme="minorEastAsia" w:hAnsiTheme="minorHAnsi"/>
              <w:noProof/>
              <w:sz w:val="22"/>
              <w:lang w:eastAsia="en-GB"/>
            </w:rPr>
          </w:pPr>
          <w:hyperlink w:anchor="_Toc59100990" w:history="1">
            <w:r w:rsidRPr="008F7667">
              <w:rPr>
                <w:rStyle w:val="Hyperlink"/>
                <w:noProof/>
              </w:rPr>
              <w:t>Economic</w:t>
            </w:r>
            <w:r>
              <w:rPr>
                <w:noProof/>
                <w:webHidden/>
              </w:rPr>
              <w:tab/>
            </w:r>
            <w:r>
              <w:rPr>
                <w:noProof/>
                <w:webHidden/>
              </w:rPr>
              <w:fldChar w:fldCharType="begin"/>
            </w:r>
            <w:r>
              <w:rPr>
                <w:noProof/>
                <w:webHidden/>
              </w:rPr>
              <w:instrText xml:space="preserve"> PAGEREF _Toc59100990 \h </w:instrText>
            </w:r>
            <w:r>
              <w:rPr>
                <w:noProof/>
                <w:webHidden/>
              </w:rPr>
            </w:r>
            <w:r>
              <w:rPr>
                <w:noProof/>
                <w:webHidden/>
              </w:rPr>
              <w:fldChar w:fldCharType="separate"/>
            </w:r>
            <w:r>
              <w:rPr>
                <w:noProof/>
                <w:webHidden/>
              </w:rPr>
              <w:t>7</w:t>
            </w:r>
            <w:r>
              <w:rPr>
                <w:noProof/>
                <w:webHidden/>
              </w:rPr>
              <w:fldChar w:fldCharType="end"/>
            </w:r>
          </w:hyperlink>
        </w:p>
        <w:p w14:paraId="7860A583" w14:textId="596BE270" w:rsidR="00955C93" w:rsidRDefault="00955C93">
          <w:pPr>
            <w:pStyle w:val="TOC3"/>
            <w:tabs>
              <w:tab w:val="right" w:leader="dot" w:pos="9016"/>
            </w:tabs>
            <w:rPr>
              <w:rFonts w:asciiTheme="minorHAnsi" w:eastAsiaTheme="minorEastAsia" w:hAnsiTheme="minorHAnsi"/>
              <w:noProof/>
              <w:sz w:val="22"/>
              <w:lang w:eastAsia="en-GB"/>
            </w:rPr>
          </w:pPr>
          <w:hyperlink w:anchor="_Toc59100991" w:history="1">
            <w:r w:rsidRPr="008F7667">
              <w:rPr>
                <w:rStyle w:val="Hyperlink"/>
                <w:noProof/>
              </w:rPr>
              <w:t>Social</w:t>
            </w:r>
            <w:r>
              <w:rPr>
                <w:noProof/>
                <w:webHidden/>
              </w:rPr>
              <w:tab/>
            </w:r>
            <w:r>
              <w:rPr>
                <w:noProof/>
                <w:webHidden/>
              </w:rPr>
              <w:fldChar w:fldCharType="begin"/>
            </w:r>
            <w:r>
              <w:rPr>
                <w:noProof/>
                <w:webHidden/>
              </w:rPr>
              <w:instrText xml:space="preserve"> PAGEREF _Toc59100991 \h </w:instrText>
            </w:r>
            <w:r>
              <w:rPr>
                <w:noProof/>
                <w:webHidden/>
              </w:rPr>
            </w:r>
            <w:r>
              <w:rPr>
                <w:noProof/>
                <w:webHidden/>
              </w:rPr>
              <w:fldChar w:fldCharType="separate"/>
            </w:r>
            <w:r>
              <w:rPr>
                <w:noProof/>
                <w:webHidden/>
              </w:rPr>
              <w:t>8</w:t>
            </w:r>
            <w:r>
              <w:rPr>
                <w:noProof/>
                <w:webHidden/>
              </w:rPr>
              <w:fldChar w:fldCharType="end"/>
            </w:r>
          </w:hyperlink>
        </w:p>
        <w:p w14:paraId="2EBA8442" w14:textId="454ED8AA" w:rsidR="00955C93" w:rsidRDefault="00955C93">
          <w:pPr>
            <w:pStyle w:val="TOC3"/>
            <w:tabs>
              <w:tab w:val="right" w:leader="dot" w:pos="9016"/>
            </w:tabs>
            <w:rPr>
              <w:rFonts w:asciiTheme="minorHAnsi" w:eastAsiaTheme="minorEastAsia" w:hAnsiTheme="minorHAnsi"/>
              <w:noProof/>
              <w:sz w:val="22"/>
              <w:lang w:eastAsia="en-GB"/>
            </w:rPr>
          </w:pPr>
          <w:hyperlink w:anchor="_Toc59100992" w:history="1">
            <w:r w:rsidRPr="008F7667">
              <w:rPr>
                <w:rStyle w:val="Hyperlink"/>
                <w:noProof/>
              </w:rPr>
              <w:t>Technology</w:t>
            </w:r>
            <w:r>
              <w:rPr>
                <w:noProof/>
                <w:webHidden/>
              </w:rPr>
              <w:tab/>
            </w:r>
            <w:r>
              <w:rPr>
                <w:noProof/>
                <w:webHidden/>
              </w:rPr>
              <w:fldChar w:fldCharType="begin"/>
            </w:r>
            <w:r>
              <w:rPr>
                <w:noProof/>
                <w:webHidden/>
              </w:rPr>
              <w:instrText xml:space="preserve"> PAGEREF _Toc59100992 \h </w:instrText>
            </w:r>
            <w:r>
              <w:rPr>
                <w:noProof/>
                <w:webHidden/>
              </w:rPr>
            </w:r>
            <w:r>
              <w:rPr>
                <w:noProof/>
                <w:webHidden/>
              </w:rPr>
              <w:fldChar w:fldCharType="separate"/>
            </w:r>
            <w:r>
              <w:rPr>
                <w:noProof/>
                <w:webHidden/>
              </w:rPr>
              <w:t>8</w:t>
            </w:r>
            <w:r>
              <w:rPr>
                <w:noProof/>
                <w:webHidden/>
              </w:rPr>
              <w:fldChar w:fldCharType="end"/>
            </w:r>
          </w:hyperlink>
        </w:p>
        <w:p w14:paraId="4470A095" w14:textId="0D10EA41" w:rsidR="00955C93" w:rsidRDefault="00955C93">
          <w:pPr>
            <w:pStyle w:val="TOC3"/>
            <w:tabs>
              <w:tab w:val="right" w:leader="dot" w:pos="9016"/>
            </w:tabs>
            <w:rPr>
              <w:rFonts w:asciiTheme="minorHAnsi" w:eastAsiaTheme="minorEastAsia" w:hAnsiTheme="minorHAnsi"/>
              <w:noProof/>
              <w:sz w:val="22"/>
              <w:lang w:eastAsia="en-GB"/>
            </w:rPr>
          </w:pPr>
          <w:hyperlink w:anchor="_Toc59100993" w:history="1">
            <w:r w:rsidRPr="008F7667">
              <w:rPr>
                <w:rStyle w:val="Hyperlink"/>
                <w:noProof/>
              </w:rPr>
              <w:t>Legal</w:t>
            </w:r>
            <w:r>
              <w:rPr>
                <w:noProof/>
                <w:webHidden/>
              </w:rPr>
              <w:tab/>
            </w:r>
            <w:r>
              <w:rPr>
                <w:noProof/>
                <w:webHidden/>
              </w:rPr>
              <w:fldChar w:fldCharType="begin"/>
            </w:r>
            <w:r>
              <w:rPr>
                <w:noProof/>
                <w:webHidden/>
              </w:rPr>
              <w:instrText xml:space="preserve"> PAGEREF _Toc59100993 \h </w:instrText>
            </w:r>
            <w:r>
              <w:rPr>
                <w:noProof/>
                <w:webHidden/>
              </w:rPr>
            </w:r>
            <w:r>
              <w:rPr>
                <w:noProof/>
                <w:webHidden/>
              </w:rPr>
              <w:fldChar w:fldCharType="separate"/>
            </w:r>
            <w:r>
              <w:rPr>
                <w:noProof/>
                <w:webHidden/>
              </w:rPr>
              <w:t>9</w:t>
            </w:r>
            <w:r>
              <w:rPr>
                <w:noProof/>
                <w:webHidden/>
              </w:rPr>
              <w:fldChar w:fldCharType="end"/>
            </w:r>
          </w:hyperlink>
        </w:p>
        <w:p w14:paraId="2FCD4E58" w14:textId="0174D37E" w:rsidR="00955C93" w:rsidRDefault="00955C93">
          <w:pPr>
            <w:pStyle w:val="TOC3"/>
            <w:tabs>
              <w:tab w:val="right" w:leader="dot" w:pos="9016"/>
            </w:tabs>
            <w:rPr>
              <w:rFonts w:asciiTheme="minorHAnsi" w:eastAsiaTheme="minorEastAsia" w:hAnsiTheme="minorHAnsi"/>
              <w:noProof/>
              <w:sz w:val="22"/>
              <w:lang w:eastAsia="en-GB"/>
            </w:rPr>
          </w:pPr>
          <w:hyperlink w:anchor="_Toc59100994" w:history="1">
            <w:r w:rsidRPr="008F7667">
              <w:rPr>
                <w:rStyle w:val="Hyperlink"/>
                <w:noProof/>
              </w:rPr>
              <w:t>Environmental</w:t>
            </w:r>
            <w:r>
              <w:rPr>
                <w:noProof/>
                <w:webHidden/>
              </w:rPr>
              <w:tab/>
            </w:r>
            <w:r>
              <w:rPr>
                <w:noProof/>
                <w:webHidden/>
              </w:rPr>
              <w:fldChar w:fldCharType="begin"/>
            </w:r>
            <w:r>
              <w:rPr>
                <w:noProof/>
                <w:webHidden/>
              </w:rPr>
              <w:instrText xml:space="preserve"> PAGEREF _Toc59100994 \h </w:instrText>
            </w:r>
            <w:r>
              <w:rPr>
                <w:noProof/>
                <w:webHidden/>
              </w:rPr>
            </w:r>
            <w:r>
              <w:rPr>
                <w:noProof/>
                <w:webHidden/>
              </w:rPr>
              <w:fldChar w:fldCharType="separate"/>
            </w:r>
            <w:r>
              <w:rPr>
                <w:noProof/>
                <w:webHidden/>
              </w:rPr>
              <w:t>9</w:t>
            </w:r>
            <w:r>
              <w:rPr>
                <w:noProof/>
                <w:webHidden/>
              </w:rPr>
              <w:fldChar w:fldCharType="end"/>
            </w:r>
          </w:hyperlink>
        </w:p>
        <w:p w14:paraId="7243541E" w14:textId="0107B5D8" w:rsidR="00955C93" w:rsidRDefault="00955C93">
          <w:pPr>
            <w:pStyle w:val="TOC2"/>
            <w:tabs>
              <w:tab w:val="right" w:leader="dot" w:pos="9016"/>
            </w:tabs>
            <w:rPr>
              <w:rFonts w:asciiTheme="minorHAnsi" w:eastAsiaTheme="minorEastAsia" w:hAnsiTheme="minorHAnsi"/>
              <w:noProof/>
              <w:sz w:val="22"/>
              <w:lang w:eastAsia="en-GB"/>
            </w:rPr>
          </w:pPr>
          <w:hyperlink w:anchor="_Toc59100995" w:history="1">
            <w:r w:rsidRPr="008F7667">
              <w:rPr>
                <w:rStyle w:val="Hyperlink"/>
                <w:noProof/>
              </w:rPr>
              <w:t>Industry Environment Analysis</w:t>
            </w:r>
            <w:r>
              <w:rPr>
                <w:noProof/>
                <w:webHidden/>
              </w:rPr>
              <w:tab/>
            </w:r>
            <w:r>
              <w:rPr>
                <w:noProof/>
                <w:webHidden/>
              </w:rPr>
              <w:fldChar w:fldCharType="begin"/>
            </w:r>
            <w:r>
              <w:rPr>
                <w:noProof/>
                <w:webHidden/>
              </w:rPr>
              <w:instrText xml:space="preserve"> PAGEREF _Toc59100995 \h </w:instrText>
            </w:r>
            <w:r>
              <w:rPr>
                <w:noProof/>
                <w:webHidden/>
              </w:rPr>
            </w:r>
            <w:r>
              <w:rPr>
                <w:noProof/>
                <w:webHidden/>
              </w:rPr>
              <w:fldChar w:fldCharType="separate"/>
            </w:r>
            <w:r>
              <w:rPr>
                <w:noProof/>
                <w:webHidden/>
              </w:rPr>
              <w:t>10</w:t>
            </w:r>
            <w:r>
              <w:rPr>
                <w:noProof/>
                <w:webHidden/>
              </w:rPr>
              <w:fldChar w:fldCharType="end"/>
            </w:r>
          </w:hyperlink>
        </w:p>
        <w:p w14:paraId="1BFEEE0C" w14:textId="75B98EDB" w:rsidR="00955C93" w:rsidRDefault="00955C93">
          <w:pPr>
            <w:pStyle w:val="TOC3"/>
            <w:tabs>
              <w:tab w:val="right" w:leader="dot" w:pos="9016"/>
            </w:tabs>
            <w:rPr>
              <w:rFonts w:asciiTheme="minorHAnsi" w:eastAsiaTheme="minorEastAsia" w:hAnsiTheme="minorHAnsi"/>
              <w:noProof/>
              <w:sz w:val="22"/>
              <w:lang w:eastAsia="en-GB"/>
            </w:rPr>
          </w:pPr>
          <w:hyperlink w:anchor="_Toc59100996" w:history="1">
            <w:r w:rsidRPr="008F7667">
              <w:rPr>
                <w:rStyle w:val="Hyperlink"/>
                <w:noProof/>
              </w:rPr>
              <w:t>Competitors Rivalry</w:t>
            </w:r>
            <w:r>
              <w:rPr>
                <w:noProof/>
                <w:webHidden/>
              </w:rPr>
              <w:tab/>
            </w:r>
            <w:r>
              <w:rPr>
                <w:noProof/>
                <w:webHidden/>
              </w:rPr>
              <w:fldChar w:fldCharType="begin"/>
            </w:r>
            <w:r>
              <w:rPr>
                <w:noProof/>
                <w:webHidden/>
              </w:rPr>
              <w:instrText xml:space="preserve"> PAGEREF _Toc59100996 \h </w:instrText>
            </w:r>
            <w:r>
              <w:rPr>
                <w:noProof/>
                <w:webHidden/>
              </w:rPr>
            </w:r>
            <w:r>
              <w:rPr>
                <w:noProof/>
                <w:webHidden/>
              </w:rPr>
              <w:fldChar w:fldCharType="separate"/>
            </w:r>
            <w:r>
              <w:rPr>
                <w:noProof/>
                <w:webHidden/>
              </w:rPr>
              <w:t>11</w:t>
            </w:r>
            <w:r>
              <w:rPr>
                <w:noProof/>
                <w:webHidden/>
              </w:rPr>
              <w:fldChar w:fldCharType="end"/>
            </w:r>
          </w:hyperlink>
        </w:p>
        <w:p w14:paraId="1DFF129C" w14:textId="2C911DCD" w:rsidR="00955C93" w:rsidRDefault="00955C93">
          <w:pPr>
            <w:pStyle w:val="TOC3"/>
            <w:tabs>
              <w:tab w:val="right" w:leader="dot" w:pos="9016"/>
            </w:tabs>
            <w:rPr>
              <w:rFonts w:asciiTheme="minorHAnsi" w:eastAsiaTheme="minorEastAsia" w:hAnsiTheme="minorHAnsi"/>
              <w:noProof/>
              <w:sz w:val="22"/>
              <w:lang w:eastAsia="en-GB"/>
            </w:rPr>
          </w:pPr>
          <w:hyperlink w:anchor="_Toc59100997" w:history="1">
            <w:r w:rsidRPr="008F7667">
              <w:rPr>
                <w:rStyle w:val="Hyperlink"/>
                <w:noProof/>
              </w:rPr>
              <w:t>Supplier Power</w:t>
            </w:r>
            <w:r>
              <w:rPr>
                <w:noProof/>
                <w:webHidden/>
              </w:rPr>
              <w:tab/>
            </w:r>
            <w:r>
              <w:rPr>
                <w:noProof/>
                <w:webHidden/>
              </w:rPr>
              <w:fldChar w:fldCharType="begin"/>
            </w:r>
            <w:r>
              <w:rPr>
                <w:noProof/>
                <w:webHidden/>
              </w:rPr>
              <w:instrText xml:space="preserve"> PAGEREF _Toc59100997 \h </w:instrText>
            </w:r>
            <w:r>
              <w:rPr>
                <w:noProof/>
                <w:webHidden/>
              </w:rPr>
            </w:r>
            <w:r>
              <w:rPr>
                <w:noProof/>
                <w:webHidden/>
              </w:rPr>
              <w:fldChar w:fldCharType="separate"/>
            </w:r>
            <w:r>
              <w:rPr>
                <w:noProof/>
                <w:webHidden/>
              </w:rPr>
              <w:t>12</w:t>
            </w:r>
            <w:r>
              <w:rPr>
                <w:noProof/>
                <w:webHidden/>
              </w:rPr>
              <w:fldChar w:fldCharType="end"/>
            </w:r>
          </w:hyperlink>
        </w:p>
        <w:p w14:paraId="5D79B2C0" w14:textId="04CAC18E" w:rsidR="00955C93" w:rsidRDefault="00955C93">
          <w:pPr>
            <w:pStyle w:val="TOC3"/>
            <w:tabs>
              <w:tab w:val="right" w:leader="dot" w:pos="9016"/>
            </w:tabs>
            <w:rPr>
              <w:rFonts w:asciiTheme="minorHAnsi" w:eastAsiaTheme="minorEastAsia" w:hAnsiTheme="minorHAnsi"/>
              <w:noProof/>
              <w:sz w:val="22"/>
              <w:lang w:eastAsia="en-GB"/>
            </w:rPr>
          </w:pPr>
          <w:hyperlink w:anchor="_Toc59100998" w:history="1">
            <w:r w:rsidRPr="008F7667">
              <w:rPr>
                <w:rStyle w:val="Hyperlink"/>
                <w:noProof/>
              </w:rPr>
              <w:t>Buyer Power</w:t>
            </w:r>
            <w:r>
              <w:rPr>
                <w:noProof/>
                <w:webHidden/>
              </w:rPr>
              <w:tab/>
            </w:r>
            <w:r>
              <w:rPr>
                <w:noProof/>
                <w:webHidden/>
              </w:rPr>
              <w:fldChar w:fldCharType="begin"/>
            </w:r>
            <w:r>
              <w:rPr>
                <w:noProof/>
                <w:webHidden/>
              </w:rPr>
              <w:instrText xml:space="preserve"> PAGEREF _Toc59100998 \h </w:instrText>
            </w:r>
            <w:r>
              <w:rPr>
                <w:noProof/>
                <w:webHidden/>
              </w:rPr>
            </w:r>
            <w:r>
              <w:rPr>
                <w:noProof/>
                <w:webHidden/>
              </w:rPr>
              <w:fldChar w:fldCharType="separate"/>
            </w:r>
            <w:r>
              <w:rPr>
                <w:noProof/>
                <w:webHidden/>
              </w:rPr>
              <w:t>13</w:t>
            </w:r>
            <w:r>
              <w:rPr>
                <w:noProof/>
                <w:webHidden/>
              </w:rPr>
              <w:fldChar w:fldCharType="end"/>
            </w:r>
          </w:hyperlink>
        </w:p>
        <w:p w14:paraId="20CB65EA" w14:textId="331DE2DC" w:rsidR="00955C93" w:rsidRDefault="00955C93">
          <w:pPr>
            <w:pStyle w:val="TOC3"/>
            <w:tabs>
              <w:tab w:val="right" w:leader="dot" w:pos="9016"/>
            </w:tabs>
            <w:rPr>
              <w:rFonts w:asciiTheme="minorHAnsi" w:eastAsiaTheme="minorEastAsia" w:hAnsiTheme="minorHAnsi"/>
              <w:noProof/>
              <w:sz w:val="22"/>
              <w:lang w:eastAsia="en-GB"/>
            </w:rPr>
          </w:pPr>
          <w:hyperlink w:anchor="_Toc59100999" w:history="1">
            <w:r w:rsidRPr="008F7667">
              <w:rPr>
                <w:rStyle w:val="Hyperlink"/>
                <w:noProof/>
              </w:rPr>
              <w:t>Threat of substitution</w:t>
            </w:r>
            <w:r>
              <w:rPr>
                <w:noProof/>
                <w:webHidden/>
              </w:rPr>
              <w:tab/>
            </w:r>
            <w:r>
              <w:rPr>
                <w:noProof/>
                <w:webHidden/>
              </w:rPr>
              <w:fldChar w:fldCharType="begin"/>
            </w:r>
            <w:r>
              <w:rPr>
                <w:noProof/>
                <w:webHidden/>
              </w:rPr>
              <w:instrText xml:space="preserve"> PAGEREF _Toc59100999 \h </w:instrText>
            </w:r>
            <w:r>
              <w:rPr>
                <w:noProof/>
                <w:webHidden/>
              </w:rPr>
            </w:r>
            <w:r>
              <w:rPr>
                <w:noProof/>
                <w:webHidden/>
              </w:rPr>
              <w:fldChar w:fldCharType="separate"/>
            </w:r>
            <w:r>
              <w:rPr>
                <w:noProof/>
                <w:webHidden/>
              </w:rPr>
              <w:t>14</w:t>
            </w:r>
            <w:r>
              <w:rPr>
                <w:noProof/>
                <w:webHidden/>
              </w:rPr>
              <w:fldChar w:fldCharType="end"/>
            </w:r>
          </w:hyperlink>
        </w:p>
        <w:p w14:paraId="361186A5" w14:textId="6471A3D8" w:rsidR="00955C93" w:rsidRDefault="00955C93">
          <w:pPr>
            <w:pStyle w:val="TOC3"/>
            <w:tabs>
              <w:tab w:val="right" w:leader="dot" w:pos="9016"/>
            </w:tabs>
            <w:rPr>
              <w:rFonts w:asciiTheme="minorHAnsi" w:eastAsiaTheme="minorEastAsia" w:hAnsiTheme="minorHAnsi"/>
              <w:noProof/>
              <w:sz w:val="22"/>
              <w:lang w:eastAsia="en-GB"/>
            </w:rPr>
          </w:pPr>
          <w:hyperlink w:anchor="_Toc59101000" w:history="1">
            <w:r w:rsidRPr="008F7667">
              <w:rPr>
                <w:rStyle w:val="Hyperlink"/>
                <w:noProof/>
              </w:rPr>
              <w:t>Threat of new entry</w:t>
            </w:r>
            <w:r>
              <w:rPr>
                <w:noProof/>
                <w:webHidden/>
              </w:rPr>
              <w:tab/>
            </w:r>
            <w:r>
              <w:rPr>
                <w:noProof/>
                <w:webHidden/>
              </w:rPr>
              <w:fldChar w:fldCharType="begin"/>
            </w:r>
            <w:r>
              <w:rPr>
                <w:noProof/>
                <w:webHidden/>
              </w:rPr>
              <w:instrText xml:space="preserve"> PAGEREF _Toc59101000 \h </w:instrText>
            </w:r>
            <w:r>
              <w:rPr>
                <w:noProof/>
                <w:webHidden/>
              </w:rPr>
            </w:r>
            <w:r>
              <w:rPr>
                <w:noProof/>
                <w:webHidden/>
              </w:rPr>
              <w:fldChar w:fldCharType="separate"/>
            </w:r>
            <w:r>
              <w:rPr>
                <w:noProof/>
                <w:webHidden/>
              </w:rPr>
              <w:t>14</w:t>
            </w:r>
            <w:r>
              <w:rPr>
                <w:noProof/>
                <w:webHidden/>
              </w:rPr>
              <w:fldChar w:fldCharType="end"/>
            </w:r>
          </w:hyperlink>
        </w:p>
        <w:p w14:paraId="59672A1A" w14:textId="3EB62085" w:rsidR="00955C93" w:rsidRDefault="00955C93">
          <w:pPr>
            <w:pStyle w:val="TOC2"/>
            <w:tabs>
              <w:tab w:val="right" w:leader="dot" w:pos="9016"/>
            </w:tabs>
            <w:rPr>
              <w:rFonts w:asciiTheme="minorHAnsi" w:eastAsiaTheme="minorEastAsia" w:hAnsiTheme="minorHAnsi"/>
              <w:noProof/>
              <w:sz w:val="22"/>
              <w:lang w:eastAsia="en-GB"/>
            </w:rPr>
          </w:pPr>
          <w:hyperlink w:anchor="_Toc59101001" w:history="1">
            <w:r w:rsidRPr="008F7667">
              <w:rPr>
                <w:rStyle w:val="Hyperlink"/>
                <w:noProof/>
              </w:rPr>
              <w:t>Resources and Capability – SWOT Analysis</w:t>
            </w:r>
            <w:r>
              <w:rPr>
                <w:noProof/>
                <w:webHidden/>
              </w:rPr>
              <w:tab/>
            </w:r>
            <w:r>
              <w:rPr>
                <w:noProof/>
                <w:webHidden/>
              </w:rPr>
              <w:fldChar w:fldCharType="begin"/>
            </w:r>
            <w:r>
              <w:rPr>
                <w:noProof/>
                <w:webHidden/>
              </w:rPr>
              <w:instrText xml:space="preserve"> PAGEREF _Toc59101001 \h </w:instrText>
            </w:r>
            <w:r>
              <w:rPr>
                <w:noProof/>
                <w:webHidden/>
              </w:rPr>
            </w:r>
            <w:r>
              <w:rPr>
                <w:noProof/>
                <w:webHidden/>
              </w:rPr>
              <w:fldChar w:fldCharType="separate"/>
            </w:r>
            <w:r>
              <w:rPr>
                <w:noProof/>
                <w:webHidden/>
              </w:rPr>
              <w:t>15</w:t>
            </w:r>
            <w:r>
              <w:rPr>
                <w:noProof/>
                <w:webHidden/>
              </w:rPr>
              <w:fldChar w:fldCharType="end"/>
            </w:r>
          </w:hyperlink>
        </w:p>
        <w:p w14:paraId="65C71031" w14:textId="37AE87BD" w:rsidR="00955C93" w:rsidRDefault="00955C93">
          <w:pPr>
            <w:pStyle w:val="TOC2"/>
            <w:tabs>
              <w:tab w:val="right" w:leader="dot" w:pos="9016"/>
            </w:tabs>
            <w:rPr>
              <w:rFonts w:asciiTheme="minorHAnsi" w:eastAsiaTheme="minorEastAsia" w:hAnsiTheme="minorHAnsi"/>
              <w:noProof/>
              <w:sz w:val="22"/>
              <w:lang w:eastAsia="en-GB"/>
            </w:rPr>
          </w:pPr>
          <w:hyperlink w:anchor="_Toc59101002" w:history="1">
            <w:r w:rsidRPr="008F7667">
              <w:rPr>
                <w:rStyle w:val="Hyperlink"/>
                <w:noProof/>
              </w:rPr>
              <w:t>Review of Strategic Position</w:t>
            </w:r>
            <w:r>
              <w:rPr>
                <w:noProof/>
                <w:webHidden/>
              </w:rPr>
              <w:tab/>
            </w:r>
            <w:r>
              <w:rPr>
                <w:noProof/>
                <w:webHidden/>
              </w:rPr>
              <w:fldChar w:fldCharType="begin"/>
            </w:r>
            <w:r>
              <w:rPr>
                <w:noProof/>
                <w:webHidden/>
              </w:rPr>
              <w:instrText xml:space="preserve"> PAGEREF _Toc59101002 \h </w:instrText>
            </w:r>
            <w:r>
              <w:rPr>
                <w:noProof/>
                <w:webHidden/>
              </w:rPr>
            </w:r>
            <w:r>
              <w:rPr>
                <w:noProof/>
                <w:webHidden/>
              </w:rPr>
              <w:fldChar w:fldCharType="separate"/>
            </w:r>
            <w:r>
              <w:rPr>
                <w:noProof/>
                <w:webHidden/>
              </w:rPr>
              <w:t>16</w:t>
            </w:r>
            <w:r>
              <w:rPr>
                <w:noProof/>
                <w:webHidden/>
              </w:rPr>
              <w:fldChar w:fldCharType="end"/>
            </w:r>
          </w:hyperlink>
        </w:p>
        <w:p w14:paraId="20C52575" w14:textId="5C72E421" w:rsidR="00955C93" w:rsidRDefault="00955C93">
          <w:pPr>
            <w:pStyle w:val="TOC1"/>
            <w:tabs>
              <w:tab w:val="right" w:leader="dot" w:pos="9016"/>
            </w:tabs>
            <w:rPr>
              <w:rFonts w:asciiTheme="minorHAnsi" w:eastAsiaTheme="minorEastAsia" w:hAnsiTheme="minorHAnsi"/>
              <w:noProof/>
              <w:sz w:val="22"/>
              <w:lang w:eastAsia="en-GB"/>
            </w:rPr>
          </w:pPr>
          <w:hyperlink w:anchor="_Toc59101003" w:history="1">
            <w:r w:rsidRPr="008F7667">
              <w:rPr>
                <w:rStyle w:val="Hyperlink"/>
                <w:noProof/>
              </w:rPr>
              <w:t>Strategic Options</w:t>
            </w:r>
            <w:r>
              <w:rPr>
                <w:noProof/>
                <w:webHidden/>
              </w:rPr>
              <w:tab/>
            </w:r>
            <w:r>
              <w:rPr>
                <w:noProof/>
                <w:webHidden/>
              </w:rPr>
              <w:fldChar w:fldCharType="begin"/>
            </w:r>
            <w:r>
              <w:rPr>
                <w:noProof/>
                <w:webHidden/>
              </w:rPr>
              <w:instrText xml:space="preserve"> PAGEREF _Toc59101003 \h </w:instrText>
            </w:r>
            <w:r>
              <w:rPr>
                <w:noProof/>
                <w:webHidden/>
              </w:rPr>
            </w:r>
            <w:r>
              <w:rPr>
                <w:noProof/>
                <w:webHidden/>
              </w:rPr>
              <w:fldChar w:fldCharType="separate"/>
            </w:r>
            <w:r>
              <w:rPr>
                <w:noProof/>
                <w:webHidden/>
              </w:rPr>
              <w:t>17</w:t>
            </w:r>
            <w:r>
              <w:rPr>
                <w:noProof/>
                <w:webHidden/>
              </w:rPr>
              <w:fldChar w:fldCharType="end"/>
            </w:r>
          </w:hyperlink>
        </w:p>
        <w:p w14:paraId="463AC46F" w14:textId="2C70033B" w:rsidR="00955C93" w:rsidRDefault="00955C93">
          <w:pPr>
            <w:pStyle w:val="TOC2"/>
            <w:tabs>
              <w:tab w:val="right" w:leader="dot" w:pos="9016"/>
            </w:tabs>
            <w:rPr>
              <w:rFonts w:asciiTheme="minorHAnsi" w:eastAsiaTheme="minorEastAsia" w:hAnsiTheme="minorHAnsi"/>
              <w:noProof/>
              <w:sz w:val="22"/>
              <w:lang w:eastAsia="en-GB"/>
            </w:rPr>
          </w:pPr>
          <w:hyperlink w:anchor="_Toc59101004" w:history="1">
            <w:r w:rsidRPr="008F7667">
              <w:rPr>
                <w:rStyle w:val="Hyperlink"/>
                <w:noProof/>
              </w:rPr>
              <w:t>The Delta Model</w:t>
            </w:r>
            <w:r>
              <w:rPr>
                <w:noProof/>
                <w:webHidden/>
              </w:rPr>
              <w:tab/>
            </w:r>
            <w:r>
              <w:rPr>
                <w:noProof/>
                <w:webHidden/>
              </w:rPr>
              <w:fldChar w:fldCharType="begin"/>
            </w:r>
            <w:r>
              <w:rPr>
                <w:noProof/>
                <w:webHidden/>
              </w:rPr>
              <w:instrText xml:space="preserve"> PAGEREF _Toc59101004 \h </w:instrText>
            </w:r>
            <w:r>
              <w:rPr>
                <w:noProof/>
                <w:webHidden/>
              </w:rPr>
            </w:r>
            <w:r>
              <w:rPr>
                <w:noProof/>
                <w:webHidden/>
              </w:rPr>
              <w:fldChar w:fldCharType="separate"/>
            </w:r>
            <w:r>
              <w:rPr>
                <w:noProof/>
                <w:webHidden/>
              </w:rPr>
              <w:t>20</w:t>
            </w:r>
            <w:r>
              <w:rPr>
                <w:noProof/>
                <w:webHidden/>
              </w:rPr>
              <w:fldChar w:fldCharType="end"/>
            </w:r>
          </w:hyperlink>
        </w:p>
        <w:p w14:paraId="578EA260" w14:textId="5E94AF5B" w:rsidR="00955C93" w:rsidRDefault="00955C93">
          <w:pPr>
            <w:pStyle w:val="TOC3"/>
            <w:tabs>
              <w:tab w:val="right" w:leader="dot" w:pos="9016"/>
            </w:tabs>
            <w:rPr>
              <w:rFonts w:asciiTheme="minorHAnsi" w:eastAsiaTheme="minorEastAsia" w:hAnsiTheme="minorHAnsi"/>
              <w:noProof/>
              <w:sz w:val="22"/>
              <w:lang w:eastAsia="en-GB"/>
            </w:rPr>
          </w:pPr>
          <w:hyperlink w:anchor="_Toc59101005" w:history="1">
            <w:r w:rsidRPr="008F7667">
              <w:rPr>
                <w:rStyle w:val="Hyperlink"/>
                <w:noProof/>
              </w:rPr>
              <w:t>Best Product</w:t>
            </w:r>
            <w:r>
              <w:rPr>
                <w:noProof/>
                <w:webHidden/>
              </w:rPr>
              <w:tab/>
            </w:r>
            <w:r>
              <w:rPr>
                <w:noProof/>
                <w:webHidden/>
              </w:rPr>
              <w:fldChar w:fldCharType="begin"/>
            </w:r>
            <w:r>
              <w:rPr>
                <w:noProof/>
                <w:webHidden/>
              </w:rPr>
              <w:instrText xml:space="preserve"> PAGEREF _Toc59101005 \h </w:instrText>
            </w:r>
            <w:r>
              <w:rPr>
                <w:noProof/>
                <w:webHidden/>
              </w:rPr>
            </w:r>
            <w:r>
              <w:rPr>
                <w:noProof/>
                <w:webHidden/>
              </w:rPr>
              <w:fldChar w:fldCharType="separate"/>
            </w:r>
            <w:r>
              <w:rPr>
                <w:noProof/>
                <w:webHidden/>
              </w:rPr>
              <w:t>20</w:t>
            </w:r>
            <w:r>
              <w:rPr>
                <w:noProof/>
                <w:webHidden/>
              </w:rPr>
              <w:fldChar w:fldCharType="end"/>
            </w:r>
          </w:hyperlink>
        </w:p>
        <w:p w14:paraId="15F824BA" w14:textId="1F910B78" w:rsidR="00955C93" w:rsidRDefault="00955C93">
          <w:pPr>
            <w:pStyle w:val="TOC3"/>
            <w:tabs>
              <w:tab w:val="right" w:leader="dot" w:pos="9016"/>
            </w:tabs>
            <w:rPr>
              <w:rFonts w:asciiTheme="minorHAnsi" w:eastAsiaTheme="minorEastAsia" w:hAnsiTheme="minorHAnsi"/>
              <w:noProof/>
              <w:sz w:val="22"/>
              <w:lang w:eastAsia="en-GB"/>
            </w:rPr>
          </w:pPr>
          <w:hyperlink w:anchor="_Toc59101006" w:history="1">
            <w:r w:rsidRPr="008F7667">
              <w:rPr>
                <w:rStyle w:val="Hyperlink"/>
                <w:noProof/>
              </w:rPr>
              <w:t>System Lock-in</w:t>
            </w:r>
            <w:r>
              <w:rPr>
                <w:noProof/>
                <w:webHidden/>
              </w:rPr>
              <w:tab/>
            </w:r>
            <w:r>
              <w:rPr>
                <w:noProof/>
                <w:webHidden/>
              </w:rPr>
              <w:fldChar w:fldCharType="begin"/>
            </w:r>
            <w:r>
              <w:rPr>
                <w:noProof/>
                <w:webHidden/>
              </w:rPr>
              <w:instrText xml:space="preserve"> PAGEREF _Toc59101006 \h </w:instrText>
            </w:r>
            <w:r>
              <w:rPr>
                <w:noProof/>
                <w:webHidden/>
              </w:rPr>
            </w:r>
            <w:r>
              <w:rPr>
                <w:noProof/>
                <w:webHidden/>
              </w:rPr>
              <w:fldChar w:fldCharType="separate"/>
            </w:r>
            <w:r>
              <w:rPr>
                <w:noProof/>
                <w:webHidden/>
              </w:rPr>
              <w:t>20</w:t>
            </w:r>
            <w:r>
              <w:rPr>
                <w:noProof/>
                <w:webHidden/>
              </w:rPr>
              <w:fldChar w:fldCharType="end"/>
            </w:r>
          </w:hyperlink>
        </w:p>
        <w:p w14:paraId="6BA5C3F7" w14:textId="542BAA22" w:rsidR="00955C93" w:rsidRDefault="00955C93">
          <w:pPr>
            <w:pStyle w:val="TOC3"/>
            <w:tabs>
              <w:tab w:val="right" w:leader="dot" w:pos="9016"/>
            </w:tabs>
            <w:rPr>
              <w:rFonts w:asciiTheme="minorHAnsi" w:eastAsiaTheme="minorEastAsia" w:hAnsiTheme="minorHAnsi"/>
              <w:noProof/>
              <w:sz w:val="22"/>
              <w:lang w:eastAsia="en-GB"/>
            </w:rPr>
          </w:pPr>
          <w:hyperlink w:anchor="_Toc59101007" w:history="1">
            <w:r w:rsidRPr="008F7667">
              <w:rPr>
                <w:rStyle w:val="Hyperlink"/>
                <w:noProof/>
              </w:rPr>
              <w:t>Total Customer Solution</w:t>
            </w:r>
            <w:r>
              <w:rPr>
                <w:noProof/>
                <w:webHidden/>
              </w:rPr>
              <w:tab/>
            </w:r>
            <w:r>
              <w:rPr>
                <w:noProof/>
                <w:webHidden/>
              </w:rPr>
              <w:fldChar w:fldCharType="begin"/>
            </w:r>
            <w:r>
              <w:rPr>
                <w:noProof/>
                <w:webHidden/>
              </w:rPr>
              <w:instrText xml:space="preserve"> PAGEREF _Toc59101007 \h </w:instrText>
            </w:r>
            <w:r>
              <w:rPr>
                <w:noProof/>
                <w:webHidden/>
              </w:rPr>
            </w:r>
            <w:r>
              <w:rPr>
                <w:noProof/>
                <w:webHidden/>
              </w:rPr>
              <w:fldChar w:fldCharType="separate"/>
            </w:r>
            <w:r>
              <w:rPr>
                <w:noProof/>
                <w:webHidden/>
              </w:rPr>
              <w:t>21</w:t>
            </w:r>
            <w:r>
              <w:rPr>
                <w:noProof/>
                <w:webHidden/>
              </w:rPr>
              <w:fldChar w:fldCharType="end"/>
            </w:r>
          </w:hyperlink>
        </w:p>
        <w:p w14:paraId="515BD71C" w14:textId="1A86F952" w:rsidR="00955C93" w:rsidRDefault="00955C93">
          <w:pPr>
            <w:pStyle w:val="TOC1"/>
            <w:tabs>
              <w:tab w:val="right" w:leader="dot" w:pos="9016"/>
            </w:tabs>
            <w:rPr>
              <w:rFonts w:asciiTheme="minorHAnsi" w:eastAsiaTheme="minorEastAsia" w:hAnsiTheme="minorHAnsi"/>
              <w:noProof/>
              <w:sz w:val="22"/>
              <w:lang w:eastAsia="en-GB"/>
            </w:rPr>
          </w:pPr>
          <w:hyperlink w:anchor="_Toc59101008" w:history="1">
            <w:r w:rsidRPr="008F7667">
              <w:rPr>
                <w:rStyle w:val="Hyperlink"/>
                <w:noProof/>
              </w:rPr>
              <w:t>Strategic Action</w:t>
            </w:r>
            <w:r>
              <w:rPr>
                <w:noProof/>
                <w:webHidden/>
              </w:rPr>
              <w:tab/>
            </w:r>
            <w:r>
              <w:rPr>
                <w:noProof/>
                <w:webHidden/>
              </w:rPr>
              <w:fldChar w:fldCharType="begin"/>
            </w:r>
            <w:r>
              <w:rPr>
                <w:noProof/>
                <w:webHidden/>
              </w:rPr>
              <w:instrText xml:space="preserve"> PAGEREF _Toc59101008 \h </w:instrText>
            </w:r>
            <w:r>
              <w:rPr>
                <w:noProof/>
                <w:webHidden/>
              </w:rPr>
            </w:r>
            <w:r>
              <w:rPr>
                <w:noProof/>
                <w:webHidden/>
              </w:rPr>
              <w:fldChar w:fldCharType="separate"/>
            </w:r>
            <w:r>
              <w:rPr>
                <w:noProof/>
                <w:webHidden/>
              </w:rPr>
              <w:t>23</w:t>
            </w:r>
            <w:r>
              <w:rPr>
                <w:noProof/>
                <w:webHidden/>
              </w:rPr>
              <w:fldChar w:fldCharType="end"/>
            </w:r>
          </w:hyperlink>
        </w:p>
        <w:p w14:paraId="4B583B17" w14:textId="62C38707" w:rsidR="00955C93" w:rsidRDefault="00955C93">
          <w:pPr>
            <w:pStyle w:val="TOC2"/>
            <w:tabs>
              <w:tab w:val="right" w:leader="dot" w:pos="9016"/>
            </w:tabs>
            <w:rPr>
              <w:rFonts w:asciiTheme="minorHAnsi" w:eastAsiaTheme="minorEastAsia" w:hAnsiTheme="minorHAnsi"/>
              <w:noProof/>
              <w:sz w:val="22"/>
              <w:lang w:eastAsia="en-GB"/>
            </w:rPr>
          </w:pPr>
          <w:hyperlink w:anchor="_Toc59101009" w:history="1">
            <w:r w:rsidRPr="008F7667">
              <w:rPr>
                <w:rStyle w:val="Hyperlink"/>
                <w:noProof/>
              </w:rPr>
              <w:t>McKinsey 7-S Framework</w:t>
            </w:r>
            <w:r>
              <w:rPr>
                <w:noProof/>
                <w:webHidden/>
              </w:rPr>
              <w:tab/>
            </w:r>
            <w:r>
              <w:rPr>
                <w:noProof/>
                <w:webHidden/>
              </w:rPr>
              <w:fldChar w:fldCharType="begin"/>
            </w:r>
            <w:r>
              <w:rPr>
                <w:noProof/>
                <w:webHidden/>
              </w:rPr>
              <w:instrText xml:space="preserve"> PAGEREF _Toc59101009 \h </w:instrText>
            </w:r>
            <w:r>
              <w:rPr>
                <w:noProof/>
                <w:webHidden/>
              </w:rPr>
            </w:r>
            <w:r>
              <w:rPr>
                <w:noProof/>
                <w:webHidden/>
              </w:rPr>
              <w:fldChar w:fldCharType="separate"/>
            </w:r>
            <w:r>
              <w:rPr>
                <w:noProof/>
                <w:webHidden/>
              </w:rPr>
              <w:t>23</w:t>
            </w:r>
            <w:r>
              <w:rPr>
                <w:noProof/>
                <w:webHidden/>
              </w:rPr>
              <w:fldChar w:fldCharType="end"/>
            </w:r>
          </w:hyperlink>
        </w:p>
        <w:p w14:paraId="12DFCD1B" w14:textId="7CB0CC5A" w:rsidR="00955C93" w:rsidRDefault="00955C93">
          <w:pPr>
            <w:pStyle w:val="TOC3"/>
            <w:tabs>
              <w:tab w:val="right" w:leader="dot" w:pos="9016"/>
            </w:tabs>
            <w:rPr>
              <w:rFonts w:asciiTheme="minorHAnsi" w:eastAsiaTheme="minorEastAsia" w:hAnsiTheme="minorHAnsi"/>
              <w:noProof/>
              <w:sz w:val="22"/>
              <w:lang w:eastAsia="en-GB"/>
            </w:rPr>
          </w:pPr>
          <w:hyperlink w:anchor="_Toc59101010" w:history="1">
            <w:r w:rsidRPr="008F7667">
              <w:rPr>
                <w:rStyle w:val="Hyperlink"/>
                <w:noProof/>
              </w:rPr>
              <w:t>Style</w:t>
            </w:r>
            <w:r>
              <w:rPr>
                <w:noProof/>
                <w:webHidden/>
              </w:rPr>
              <w:tab/>
            </w:r>
            <w:r>
              <w:rPr>
                <w:noProof/>
                <w:webHidden/>
              </w:rPr>
              <w:fldChar w:fldCharType="begin"/>
            </w:r>
            <w:r>
              <w:rPr>
                <w:noProof/>
                <w:webHidden/>
              </w:rPr>
              <w:instrText xml:space="preserve"> PAGEREF _Toc59101010 \h </w:instrText>
            </w:r>
            <w:r>
              <w:rPr>
                <w:noProof/>
                <w:webHidden/>
              </w:rPr>
            </w:r>
            <w:r>
              <w:rPr>
                <w:noProof/>
                <w:webHidden/>
              </w:rPr>
              <w:fldChar w:fldCharType="separate"/>
            </w:r>
            <w:r>
              <w:rPr>
                <w:noProof/>
                <w:webHidden/>
              </w:rPr>
              <w:t>23</w:t>
            </w:r>
            <w:r>
              <w:rPr>
                <w:noProof/>
                <w:webHidden/>
              </w:rPr>
              <w:fldChar w:fldCharType="end"/>
            </w:r>
          </w:hyperlink>
        </w:p>
        <w:p w14:paraId="2ECC3FEE" w14:textId="4598D887" w:rsidR="00955C93" w:rsidRDefault="00955C93">
          <w:pPr>
            <w:pStyle w:val="TOC3"/>
            <w:tabs>
              <w:tab w:val="right" w:leader="dot" w:pos="9016"/>
            </w:tabs>
            <w:rPr>
              <w:rFonts w:asciiTheme="minorHAnsi" w:eastAsiaTheme="minorEastAsia" w:hAnsiTheme="minorHAnsi"/>
              <w:noProof/>
              <w:sz w:val="22"/>
              <w:lang w:eastAsia="en-GB"/>
            </w:rPr>
          </w:pPr>
          <w:hyperlink w:anchor="_Toc59101011" w:history="1">
            <w:r w:rsidRPr="008F7667">
              <w:rPr>
                <w:rStyle w:val="Hyperlink"/>
                <w:noProof/>
              </w:rPr>
              <w:t>Staff</w:t>
            </w:r>
            <w:r>
              <w:rPr>
                <w:noProof/>
                <w:webHidden/>
              </w:rPr>
              <w:tab/>
            </w:r>
            <w:r>
              <w:rPr>
                <w:noProof/>
                <w:webHidden/>
              </w:rPr>
              <w:fldChar w:fldCharType="begin"/>
            </w:r>
            <w:r>
              <w:rPr>
                <w:noProof/>
                <w:webHidden/>
              </w:rPr>
              <w:instrText xml:space="preserve"> PAGEREF _Toc59101011 \h </w:instrText>
            </w:r>
            <w:r>
              <w:rPr>
                <w:noProof/>
                <w:webHidden/>
              </w:rPr>
            </w:r>
            <w:r>
              <w:rPr>
                <w:noProof/>
                <w:webHidden/>
              </w:rPr>
              <w:fldChar w:fldCharType="separate"/>
            </w:r>
            <w:r>
              <w:rPr>
                <w:noProof/>
                <w:webHidden/>
              </w:rPr>
              <w:t>24</w:t>
            </w:r>
            <w:r>
              <w:rPr>
                <w:noProof/>
                <w:webHidden/>
              </w:rPr>
              <w:fldChar w:fldCharType="end"/>
            </w:r>
          </w:hyperlink>
        </w:p>
        <w:p w14:paraId="6CBD4CFF" w14:textId="33D6C1A0" w:rsidR="00955C93" w:rsidRDefault="00955C93">
          <w:pPr>
            <w:pStyle w:val="TOC3"/>
            <w:tabs>
              <w:tab w:val="right" w:leader="dot" w:pos="9016"/>
            </w:tabs>
            <w:rPr>
              <w:rFonts w:asciiTheme="minorHAnsi" w:eastAsiaTheme="minorEastAsia" w:hAnsiTheme="minorHAnsi"/>
              <w:noProof/>
              <w:sz w:val="22"/>
              <w:lang w:eastAsia="en-GB"/>
            </w:rPr>
          </w:pPr>
          <w:hyperlink w:anchor="_Toc59101012" w:history="1">
            <w:r w:rsidRPr="008F7667">
              <w:rPr>
                <w:rStyle w:val="Hyperlink"/>
                <w:noProof/>
              </w:rPr>
              <w:t>Superordinate Goals</w:t>
            </w:r>
            <w:r>
              <w:rPr>
                <w:noProof/>
                <w:webHidden/>
              </w:rPr>
              <w:tab/>
            </w:r>
            <w:r>
              <w:rPr>
                <w:noProof/>
                <w:webHidden/>
              </w:rPr>
              <w:fldChar w:fldCharType="begin"/>
            </w:r>
            <w:r>
              <w:rPr>
                <w:noProof/>
                <w:webHidden/>
              </w:rPr>
              <w:instrText xml:space="preserve"> PAGEREF _Toc59101012 \h </w:instrText>
            </w:r>
            <w:r>
              <w:rPr>
                <w:noProof/>
                <w:webHidden/>
              </w:rPr>
            </w:r>
            <w:r>
              <w:rPr>
                <w:noProof/>
                <w:webHidden/>
              </w:rPr>
              <w:fldChar w:fldCharType="separate"/>
            </w:r>
            <w:r>
              <w:rPr>
                <w:noProof/>
                <w:webHidden/>
              </w:rPr>
              <w:t>24</w:t>
            </w:r>
            <w:r>
              <w:rPr>
                <w:noProof/>
                <w:webHidden/>
              </w:rPr>
              <w:fldChar w:fldCharType="end"/>
            </w:r>
          </w:hyperlink>
        </w:p>
        <w:p w14:paraId="353FD40A" w14:textId="319B58BB" w:rsidR="00955C93" w:rsidRDefault="00955C93">
          <w:pPr>
            <w:pStyle w:val="TOC1"/>
            <w:tabs>
              <w:tab w:val="right" w:leader="dot" w:pos="9016"/>
            </w:tabs>
            <w:rPr>
              <w:rFonts w:asciiTheme="minorHAnsi" w:eastAsiaTheme="minorEastAsia" w:hAnsiTheme="minorHAnsi"/>
              <w:noProof/>
              <w:sz w:val="22"/>
              <w:lang w:eastAsia="en-GB"/>
            </w:rPr>
          </w:pPr>
          <w:hyperlink w:anchor="_Toc59101013" w:history="1">
            <w:r w:rsidRPr="008F7667">
              <w:rPr>
                <w:rStyle w:val="Hyperlink"/>
                <w:noProof/>
              </w:rPr>
              <w:t>Conclusion</w:t>
            </w:r>
            <w:r>
              <w:rPr>
                <w:noProof/>
                <w:webHidden/>
              </w:rPr>
              <w:tab/>
            </w:r>
            <w:r>
              <w:rPr>
                <w:noProof/>
                <w:webHidden/>
              </w:rPr>
              <w:fldChar w:fldCharType="begin"/>
            </w:r>
            <w:r>
              <w:rPr>
                <w:noProof/>
                <w:webHidden/>
              </w:rPr>
              <w:instrText xml:space="preserve"> PAGEREF _Toc59101013 \h </w:instrText>
            </w:r>
            <w:r>
              <w:rPr>
                <w:noProof/>
                <w:webHidden/>
              </w:rPr>
            </w:r>
            <w:r>
              <w:rPr>
                <w:noProof/>
                <w:webHidden/>
              </w:rPr>
              <w:fldChar w:fldCharType="separate"/>
            </w:r>
            <w:r>
              <w:rPr>
                <w:noProof/>
                <w:webHidden/>
              </w:rPr>
              <w:t>25</w:t>
            </w:r>
            <w:r>
              <w:rPr>
                <w:noProof/>
                <w:webHidden/>
              </w:rPr>
              <w:fldChar w:fldCharType="end"/>
            </w:r>
          </w:hyperlink>
        </w:p>
        <w:p w14:paraId="6CB651C8" w14:textId="097AA678" w:rsidR="00955C93" w:rsidRDefault="00955C93">
          <w:pPr>
            <w:pStyle w:val="TOC1"/>
            <w:tabs>
              <w:tab w:val="right" w:leader="dot" w:pos="9016"/>
            </w:tabs>
            <w:rPr>
              <w:rFonts w:asciiTheme="minorHAnsi" w:eastAsiaTheme="minorEastAsia" w:hAnsiTheme="minorHAnsi"/>
              <w:noProof/>
              <w:sz w:val="22"/>
              <w:lang w:eastAsia="en-GB"/>
            </w:rPr>
          </w:pPr>
          <w:hyperlink w:anchor="_Toc59101014" w:history="1">
            <w:r w:rsidRPr="008F7667">
              <w:rPr>
                <w:rStyle w:val="Hyperlink"/>
                <w:noProof/>
              </w:rPr>
              <w:t>Recommendations</w:t>
            </w:r>
            <w:r>
              <w:rPr>
                <w:noProof/>
                <w:webHidden/>
              </w:rPr>
              <w:tab/>
            </w:r>
            <w:r>
              <w:rPr>
                <w:noProof/>
                <w:webHidden/>
              </w:rPr>
              <w:fldChar w:fldCharType="begin"/>
            </w:r>
            <w:r>
              <w:rPr>
                <w:noProof/>
                <w:webHidden/>
              </w:rPr>
              <w:instrText xml:space="preserve"> PAGEREF _Toc59101014 \h </w:instrText>
            </w:r>
            <w:r>
              <w:rPr>
                <w:noProof/>
                <w:webHidden/>
              </w:rPr>
            </w:r>
            <w:r>
              <w:rPr>
                <w:noProof/>
                <w:webHidden/>
              </w:rPr>
              <w:fldChar w:fldCharType="separate"/>
            </w:r>
            <w:r>
              <w:rPr>
                <w:noProof/>
                <w:webHidden/>
              </w:rPr>
              <w:t>25</w:t>
            </w:r>
            <w:r>
              <w:rPr>
                <w:noProof/>
                <w:webHidden/>
              </w:rPr>
              <w:fldChar w:fldCharType="end"/>
            </w:r>
          </w:hyperlink>
        </w:p>
        <w:p w14:paraId="296C50CE" w14:textId="6A685DFA" w:rsidR="00955C93" w:rsidRDefault="00955C93">
          <w:pPr>
            <w:pStyle w:val="TOC1"/>
            <w:tabs>
              <w:tab w:val="right" w:leader="dot" w:pos="9016"/>
            </w:tabs>
            <w:rPr>
              <w:rFonts w:asciiTheme="minorHAnsi" w:eastAsiaTheme="minorEastAsia" w:hAnsiTheme="minorHAnsi"/>
              <w:noProof/>
              <w:sz w:val="22"/>
              <w:lang w:eastAsia="en-GB"/>
            </w:rPr>
          </w:pPr>
          <w:hyperlink w:anchor="_Toc59101015" w:history="1">
            <w:r w:rsidRPr="008F7667">
              <w:rPr>
                <w:rStyle w:val="Hyperlink"/>
                <w:noProof/>
              </w:rPr>
              <w:t>References</w:t>
            </w:r>
            <w:r>
              <w:rPr>
                <w:noProof/>
                <w:webHidden/>
              </w:rPr>
              <w:tab/>
            </w:r>
            <w:r>
              <w:rPr>
                <w:noProof/>
                <w:webHidden/>
              </w:rPr>
              <w:fldChar w:fldCharType="begin"/>
            </w:r>
            <w:r>
              <w:rPr>
                <w:noProof/>
                <w:webHidden/>
              </w:rPr>
              <w:instrText xml:space="preserve"> PAGEREF _Toc59101015 \h </w:instrText>
            </w:r>
            <w:r>
              <w:rPr>
                <w:noProof/>
                <w:webHidden/>
              </w:rPr>
            </w:r>
            <w:r>
              <w:rPr>
                <w:noProof/>
                <w:webHidden/>
              </w:rPr>
              <w:fldChar w:fldCharType="separate"/>
            </w:r>
            <w:r>
              <w:rPr>
                <w:noProof/>
                <w:webHidden/>
              </w:rPr>
              <w:t>27</w:t>
            </w:r>
            <w:r>
              <w:rPr>
                <w:noProof/>
                <w:webHidden/>
              </w:rPr>
              <w:fldChar w:fldCharType="end"/>
            </w:r>
          </w:hyperlink>
        </w:p>
        <w:p w14:paraId="7F5E9416" w14:textId="3B64BF16" w:rsidR="00491531" w:rsidRDefault="00491531">
          <w:r>
            <w:rPr>
              <w:b/>
              <w:bCs/>
              <w:noProof/>
            </w:rPr>
            <w:fldChar w:fldCharType="end"/>
          </w:r>
        </w:p>
      </w:sdtContent>
    </w:sdt>
    <w:p w14:paraId="346E6BBE" w14:textId="7C7767F4" w:rsidR="009D2F7C" w:rsidRDefault="009D2F7C" w:rsidP="003921F3">
      <w:pPr>
        <w:pStyle w:val="Heading1"/>
        <w:spacing w:line="600" w:lineRule="auto"/>
      </w:pPr>
    </w:p>
    <w:p w14:paraId="0BDBF900" w14:textId="10EC2422" w:rsidR="00921AA9" w:rsidRDefault="00921AA9" w:rsidP="00921AA9"/>
    <w:p w14:paraId="4E32E97E" w14:textId="12346902" w:rsidR="00921AA9" w:rsidRDefault="00921AA9" w:rsidP="00921AA9"/>
    <w:p w14:paraId="7FAD2A38" w14:textId="3139A4E6" w:rsidR="00921AA9" w:rsidRDefault="00921AA9" w:rsidP="00921AA9"/>
    <w:p w14:paraId="0B77DD74" w14:textId="10777313" w:rsidR="00921AA9" w:rsidRDefault="00921AA9" w:rsidP="00921AA9"/>
    <w:p w14:paraId="518661C3" w14:textId="2B616915" w:rsidR="00921AA9" w:rsidRDefault="00921AA9" w:rsidP="00921AA9"/>
    <w:p w14:paraId="53090C0A" w14:textId="77777777" w:rsidR="00921AA9" w:rsidRPr="00921AA9" w:rsidRDefault="00921AA9" w:rsidP="00921AA9"/>
    <w:p w14:paraId="36737A17" w14:textId="1E4DB305" w:rsidR="00EE0862" w:rsidRDefault="00B52860" w:rsidP="003921F3">
      <w:pPr>
        <w:pStyle w:val="Heading1"/>
        <w:spacing w:line="600" w:lineRule="auto"/>
      </w:pPr>
      <w:bookmarkStart w:id="1" w:name="_Toc59100985"/>
      <w:r>
        <w:lastRenderedPageBreak/>
        <w:t>List of Tables and Figures</w:t>
      </w:r>
      <w:bookmarkEnd w:id="1"/>
    </w:p>
    <w:p w14:paraId="25D982C3" w14:textId="1037884B" w:rsidR="00D563D9" w:rsidRDefault="00D563D9" w:rsidP="00D563D9">
      <w:pPr>
        <w:pStyle w:val="ListParagraph"/>
        <w:numPr>
          <w:ilvl w:val="0"/>
          <w:numId w:val="8"/>
        </w:numPr>
      </w:pPr>
      <w:r>
        <w:t>Table 1. Financial analysis of competitors</w:t>
      </w:r>
    </w:p>
    <w:p w14:paraId="3D746CBA" w14:textId="180C13BB" w:rsidR="00D563D9" w:rsidRPr="00D563D9" w:rsidRDefault="00D563D9" w:rsidP="00D563D9">
      <w:pPr>
        <w:pStyle w:val="ListParagraph"/>
        <w:numPr>
          <w:ilvl w:val="0"/>
          <w:numId w:val="8"/>
        </w:numPr>
      </w:pPr>
      <w:r>
        <w:t>Table 2. SWOT Analysis of ACIEM Group Ltd.</w:t>
      </w:r>
    </w:p>
    <w:p w14:paraId="21EA2E59" w14:textId="22903604" w:rsidR="00D563D9" w:rsidRDefault="00D563D9">
      <w:pPr>
        <w:spacing w:after="160" w:line="259" w:lineRule="auto"/>
      </w:pPr>
      <w:r>
        <w:br w:type="page"/>
      </w:r>
    </w:p>
    <w:p w14:paraId="3BEBAECA" w14:textId="2B96C64E" w:rsidR="00976417" w:rsidRDefault="00D563D9" w:rsidP="003921F3">
      <w:pPr>
        <w:pStyle w:val="Heading1"/>
        <w:spacing w:line="600" w:lineRule="auto"/>
      </w:pPr>
      <w:bookmarkStart w:id="2" w:name="_Toc59100986"/>
      <w:r>
        <w:lastRenderedPageBreak/>
        <w:t>I</w:t>
      </w:r>
      <w:r w:rsidR="00317CD7">
        <w:t>ntroduction</w:t>
      </w:r>
      <w:bookmarkEnd w:id="2"/>
    </w:p>
    <w:p w14:paraId="0F9D5E0F" w14:textId="02AE88A8" w:rsidR="00317CD7" w:rsidRDefault="00DE350D" w:rsidP="002E42EE">
      <w:pPr>
        <w:spacing w:line="600" w:lineRule="auto"/>
      </w:pPr>
      <w:r>
        <w:t>On 11</w:t>
      </w:r>
      <w:r w:rsidRPr="00DE350D">
        <w:rPr>
          <w:vertAlign w:val="superscript"/>
        </w:rPr>
        <w:t>th</w:t>
      </w:r>
      <w:r>
        <w:t xml:space="preserve"> March 2020 the World Health Organisation declared </w:t>
      </w:r>
      <w:r w:rsidR="009C15BC">
        <w:t xml:space="preserve">a pandemic following the </w:t>
      </w:r>
      <w:r w:rsidR="006A5B6E">
        <w:t xml:space="preserve">Coronavirus outbreak across the globe (BBC News, 2020). </w:t>
      </w:r>
      <w:r w:rsidR="00121EB5">
        <w:t>Following the</w:t>
      </w:r>
      <w:r w:rsidR="00813575">
        <w:t xml:space="preserve"> pandemic and also </w:t>
      </w:r>
      <w:r w:rsidR="00C3018F">
        <w:t>recent changes within the business,</w:t>
      </w:r>
      <w:r w:rsidR="00121EB5">
        <w:t xml:space="preserve"> ACIEM Group </w:t>
      </w:r>
      <w:r w:rsidR="004319B5">
        <w:t xml:space="preserve">Senior Management team </w:t>
      </w:r>
      <w:r w:rsidR="002242D9">
        <w:t>tasked a group to reshape the current strategic direction being undertaking by the business</w:t>
      </w:r>
      <w:r w:rsidR="00D10B52">
        <w:t xml:space="preserve"> to </w:t>
      </w:r>
      <w:r w:rsidR="00152CA1">
        <w:t>develop innovative customer care while provid</w:t>
      </w:r>
      <w:r w:rsidR="00D563D9">
        <w:t>ing</w:t>
      </w:r>
      <w:r w:rsidR="00152CA1">
        <w:t xml:space="preserve"> a sustainable competitive advantage. This report will </w:t>
      </w:r>
      <w:r w:rsidR="0024004E">
        <w:t xml:space="preserve">provide </w:t>
      </w:r>
      <w:r w:rsidR="002D4B92">
        <w:t xml:space="preserve">strategic analysis </w:t>
      </w:r>
      <w:r w:rsidR="00FC0E44">
        <w:t xml:space="preserve">while critically evaluating </w:t>
      </w:r>
      <w:r w:rsidR="0048501E">
        <w:t xml:space="preserve">the </w:t>
      </w:r>
      <w:r w:rsidR="001E3C83">
        <w:t>company’s</w:t>
      </w:r>
      <w:r w:rsidR="0048501E">
        <w:t xml:space="preserve"> strategic options. </w:t>
      </w:r>
    </w:p>
    <w:p w14:paraId="2FC1E9E9" w14:textId="4052F94B" w:rsidR="0048501E" w:rsidRDefault="0048501E" w:rsidP="002E42EE">
      <w:pPr>
        <w:spacing w:line="600" w:lineRule="auto"/>
      </w:pPr>
      <w:r>
        <w:t xml:space="preserve">ACIEM Group </w:t>
      </w:r>
      <w:r w:rsidR="00466594">
        <w:t xml:space="preserve">aim </w:t>
      </w:r>
      <w:r w:rsidR="00D563D9">
        <w:t xml:space="preserve">is </w:t>
      </w:r>
      <w:r w:rsidR="00466594">
        <w:t xml:space="preserve">to provide </w:t>
      </w:r>
      <w:r w:rsidR="00BE02A8">
        <w:t>innovative and sustainable solution</w:t>
      </w:r>
      <w:r w:rsidR="00D563D9">
        <w:t>s</w:t>
      </w:r>
      <w:r w:rsidR="00BE02A8">
        <w:t xml:space="preserve"> to complex engineering projects mainly within the UK water industry. The business has been operating for over 25 years with many </w:t>
      </w:r>
      <w:r w:rsidR="00DA20E1">
        <w:t xml:space="preserve">shifts in that </w:t>
      </w:r>
      <w:r w:rsidR="00697179">
        <w:t>period</w:t>
      </w:r>
      <w:r w:rsidR="002D3EB3">
        <w:t xml:space="preserve">, which has seen it mould itself into a nationwide </w:t>
      </w:r>
      <w:r w:rsidR="003B4EA5">
        <w:t>multi-disciplined engineering organisation (ACIEM</w:t>
      </w:r>
      <w:r w:rsidR="000538AA">
        <w:t xml:space="preserve"> Group Ltd</w:t>
      </w:r>
      <w:r w:rsidR="003B4EA5">
        <w:t xml:space="preserve">, 2020). </w:t>
      </w:r>
      <w:r w:rsidR="00DA20E1">
        <w:t xml:space="preserve"> </w:t>
      </w:r>
    </w:p>
    <w:p w14:paraId="1F108EB8" w14:textId="356E05B1" w:rsidR="00E3614B" w:rsidRDefault="00E3614B" w:rsidP="002E42EE">
      <w:pPr>
        <w:spacing w:line="600" w:lineRule="auto"/>
      </w:pPr>
      <w:r>
        <w:t xml:space="preserve">Prior to the global pandemic ACIEM underwent some significant </w:t>
      </w:r>
      <w:r w:rsidR="002421E5">
        <w:t xml:space="preserve">changes to it shareholding and ownership within the business. </w:t>
      </w:r>
      <w:r w:rsidR="00470182">
        <w:t>RSE (</w:t>
      </w:r>
      <w:proofErr w:type="spellStart"/>
      <w:r w:rsidR="00470182">
        <w:t>Rosshire</w:t>
      </w:r>
      <w:proofErr w:type="spellEnd"/>
      <w:r w:rsidR="00470182">
        <w:t xml:space="preserve"> Engineering) a Scottish </w:t>
      </w:r>
      <w:r w:rsidR="0047393F">
        <w:t xml:space="preserve">Engineering group in water treatment and clean energy solutions </w:t>
      </w:r>
      <w:r w:rsidR="00814A0F">
        <w:t xml:space="preserve">made the acquisition of ACIEM into </w:t>
      </w:r>
      <w:r w:rsidR="00C3018F">
        <w:t>its</w:t>
      </w:r>
      <w:r w:rsidR="00814A0F">
        <w:t xml:space="preserve"> group of companies on 5</w:t>
      </w:r>
      <w:r w:rsidR="00814A0F" w:rsidRPr="00814A0F">
        <w:rPr>
          <w:vertAlign w:val="superscript"/>
        </w:rPr>
        <w:t>th</w:t>
      </w:r>
      <w:r w:rsidR="00814A0F">
        <w:t xml:space="preserve"> March 2020</w:t>
      </w:r>
      <w:r w:rsidR="00C3018F">
        <w:t xml:space="preserve"> to enhance RSE’s offering south of the Scottish border. The </w:t>
      </w:r>
      <w:r w:rsidR="00AE6537">
        <w:t xml:space="preserve">acquisition </w:t>
      </w:r>
      <w:r w:rsidR="00F64FBE">
        <w:t xml:space="preserve">saw RSE become the majority shareholder within ACIEM however its strategy was to </w:t>
      </w:r>
      <w:r w:rsidR="00A66620">
        <w:t>maintain the current key skills of the ACIEM management team (RSE, 2020</w:t>
      </w:r>
      <w:r w:rsidR="002A0A53">
        <w:t>a</w:t>
      </w:r>
      <w:r w:rsidR="00A66620">
        <w:t xml:space="preserve">). </w:t>
      </w:r>
      <w:r w:rsidR="00AE6537">
        <w:t xml:space="preserve"> </w:t>
      </w:r>
    </w:p>
    <w:p w14:paraId="165D931F" w14:textId="7A7E1F41" w:rsidR="004C1E1D" w:rsidRDefault="000438EF" w:rsidP="002E42EE">
      <w:pPr>
        <w:pStyle w:val="Heading1"/>
        <w:spacing w:line="600" w:lineRule="auto"/>
      </w:pPr>
      <w:bookmarkStart w:id="3" w:name="_Toc59100987"/>
      <w:r>
        <w:lastRenderedPageBreak/>
        <w:t>Strategic Position</w:t>
      </w:r>
      <w:bookmarkEnd w:id="3"/>
      <w:r>
        <w:t xml:space="preserve"> </w:t>
      </w:r>
    </w:p>
    <w:p w14:paraId="5382053C" w14:textId="01022DE8" w:rsidR="000438EF" w:rsidRDefault="009E796C" w:rsidP="002E42EE">
      <w:pPr>
        <w:spacing w:line="600" w:lineRule="auto"/>
      </w:pPr>
      <w:r>
        <w:t xml:space="preserve">When </w:t>
      </w:r>
      <w:r w:rsidR="003E6ED4">
        <w:t>analysing</w:t>
      </w:r>
      <w:r w:rsidR="00316A23">
        <w:t xml:space="preserve"> the strategic </w:t>
      </w:r>
      <w:r w:rsidR="0094475A">
        <w:t>position,</w:t>
      </w:r>
      <w:r w:rsidR="00316A23">
        <w:t xml:space="preserve"> </w:t>
      </w:r>
      <w:r w:rsidR="003E6ED4">
        <w:t xml:space="preserve">it </w:t>
      </w:r>
      <w:r w:rsidR="0094475A">
        <w:t>studies</w:t>
      </w:r>
      <w:r w:rsidR="003E6ED4">
        <w:t xml:space="preserve"> the impact that the macro-environment</w:t>
      </w:r>
      <w:r w:rsidR="00862CB0">
        <w:t xml:space="preserve">, industry environment, a </w:t>
      </w:r>
      <w:r w:rsidR="004B1F7C">
        <w:t>business’s</w:t>
      </w:r>
      <w:r w:rsidR="00862CB0">
        <w:t xml:space="preserve"> capabilities, </w:t>
      </w:r>
      <w:r w:rsidR="006312B9">
        <w:t>stakeholders,</w:t>
      </w:r>
      <w:r w:rsidR="00862CB0">
        <w:t xml:space="preserve"> and </w:t>
      </w:r>
      <w:r w:rsidR="001A7046">
        <w:t xml:space="preserve">the culture within an organisation (Johnson </w:t>
      </w:r>
      <w:r w:rsidR="001A7046">
        <w:rPr>
          <w:i/>
          <w:iCs/>
        </w:rPr>
        <w:t xml:space="preserve">et al, </w:t>
      </w:r>
      <w:r w:rsidR="001D2B12">
        <w:t>2017)</w:t>
      </w:r>
      <w:r w:rsidR="00985E54">
        <w:t xml:space="preserve">. </w:t>
      </w:r>
      <w:r w:rsidR="0071695B">
        <w:t xml:space="preserve">It has been argued that </w:t>
      </w:r>
      <w:r w:rsidR="00C8722D">
        <w:t>a</w:t>
      </w:r>
      <w:r w:rsidR="00EA4D50">
        <w:t xml:space="preserve"> lack of </w:t>
      </w:r>
      <w:r w:rsidR="00C8722D">
        <w:t>ability by business</w:t>
      </w:r>
      <w:r w:rsidR="00EA4D50">
        <w:t>es</w:t>
      </w:r>
      <w:r w:rsidR="00C8722D">
        <w:t xml:space="preserve"> to carry out </w:t>
      </w:r>
      <w:r w:rsidR="00F936E4">
        <w:t xml:space="preserve">analysis and develop adequate </w:t>
      </w:r>
      <w:r w:rsidR="00EA4D50">
        <w:t xml:space="preserve">knowledge of their environments </w:t>
      </w:r>
      <w:r w:rsidR="003039F1">
        <w:t xml:space="preserve">can lead to </w:t>
      </w:r>
      <w:r w:rsidR="00535027">
        <w:t>short-sightedness</w:t>
      </w:r>
      <w:r w:rsidR="003039F1">
        <w:t xml:space="preserve"> </w:t>
      </w:r>
      <w:r w:rsidR="00D72302">
        <w:t xml:space="preserve">in the approach to a </w:t>
      </w:r>
      <w:r w:rsidR="004B1F7C">
        <w:t>company’s</w:t>
      </w:r>
      <w:r w:rsidR="00D72302">
        <w:t xml:space="preserve"> strategic direction (</w:t>
      </w:r>
      <w:proofErr w:type="spellStart"/>
      <w:r w:rsidR="004B1F7C">
        <w:t>Gnjidic</w:t>
      </w:r>
      <w:proofErr w:type="spellEnd"/>
      <w:r w:rsidR="004B1F7C">
        <w:t xml:space="preserve">, 2018). </w:t>
      </w:r>
      <w:r w:rsidR="00DD14A7">
        <w:t xml:space="preserve">However, </w:t>
      </w:r>
      <w:r w:rsidR="00D85F37">
        <w:t>w</w:t>
      </w:r>
      <w:r w:rsidR="009306E5">
        <w:t>h</w:t>
      </w:r>
      <w:r w:rsidR="00D85F37">
        <w:t>e</w:t>
      </w:r>
      <w:r w:rsidR="009306E5">
        <w:t>n</w:t>
      </w:r>
      <w:r w:rsidR="00D85F37">
        <w:t xml:space="preserve"> undertaking the analytical </w:t>
      </w:r>
      <w:r w:rsidR="00D563D9">
        <w:t>process,</w:t>
      </w:r>
      <w:r w:rsidR="00D85F37">
        <w:t xml:space="preserve"> </w:t>
      </w:r>
      <w:r w:rsidR="009306E5">
        <w:t xml:space="preserve">it is not without its pitfalls </w:t>
      </w:r>
      <w:r w:rsidR="00EB6BF4">
        <w:t xml:space="preserve">as </w:t>
      </w:r>
      <w:r w:rsidR="00D85F37">
        <w:t xml:space="preserve">things may </w:t>
      </w:r>
      <w:r w:rsidR="00C61BD5">
        <w:t>be unsuccessful as misjudgements may be made</w:t>
      </w:r>
      <w:r w:rsidR="00EB6BF4">
        <w:t>. T</w:t>
      </w:r>
      <w:r w:rsidR="009651FD">
        <w:t xml:space="preserve">his could be due to </w:t>
      </w:r>
      <w:r w:rsidR="00D563D9">
        <w:t>several</w:t>
      </w:r>
      <w:r w:rsidR="009651FD">
        <w:t xml:space="preserve"> factors such </w:t>
      </w:r>
      <w:r w:rsidR="006E2F99">
        <w:t>as</w:t>
      </w:r>
      <w:r w:rsidR="009651FD">
        <w:t xml:space="preserve"> </w:t>
      </w:r>
      <w:r w:rsidR="0051101F">
        <w:t>carry</w:t>
      </w:r>
      <w:r w:rsidR="00D563D9">
        <w:t>ing</w:t>
      </w:r>
      <w:r w:rsidR="0051101F">
        <w:t xml:space="preserve"> out the correct analysis, misuse</w:t>
      </w:r>
      <w:r w:rsidR="00D85704">
        <w:t xml:space="preserve"> or have issues with the</w:t>
      </w:r>
      <w:r w:rsidR="009306E5">
        <w:t xml:space="preserve"> </w:t>
      </w:r>
      <w:r w:rsidR="0051101F">
        <w:t xml:space="preserve">tools </w:t>
      </w:r>
      <w:r w:rsidR="00D85704">
        <w:t xml:space="preserve">and techniques and also </w:t>
      </w:r>
      <w:r w:rsidR="009651FD">
        <w:t>fail to interpret the analysis a</w:t>
      </w:r>
      <w:r w:rsidR="009306E5">
        <w:t xml:space="preserve">long with the potential of </w:t>
      </w:r>
      <w:r w:rsidR="009651FD">
        <w:t>be</w:t>
      </w:r>
      <w:r w:rsidR="009306E5">
        <w:t>ing</w:t>
      </w:r>
      <w:r w:rsidR="009651FD">
        <w:t xml:space="preserve"> influenced by </w:t>
      </w:r>
      <w:r w:rsidR="0051101F">
        <w:t>behaviours</w:t>
      </w:r>
      <w:r w:rsidR="00737395">
        <w:t xml:space="preserve">. Therefore, </w:t>
      </w:r>
      <w:r w:rsidR="00DC3595">
        <w:t>good quality</w:t>
      </w:r>
      <w:r w:rsidR="0040221D">
        <w:t xml:space="preserve"> creative thinking accompanied by </w:t>
      </w:r>
      <w:r w:rsidR="00DC3595">
        <w:t>mediocre</w:t>
      </w:r>
      <w:r w:rsidR="0040221D">
        <w:t xml:space="preserve"> analysis can be argued to reduce the success </w:t>
      </w:r>
      <w:r w:rsidR="00DC3595">
        <w:t>of a business’s strategy</w:t>
      </w:r>
      <w:r w:rsidR="009306E5">
        <w:t xml:space="preserve"> (Hussey, 2001).</w:t>
      </w:r>
      <w:r w:rsidR="0051101F">
        <w:t xml:space="preserve"> </w:t>
      </w:r>
      <w:r w:rsidR="00D85F37">
        <w:t xml:space="preserve"> </w:t>
      </w:r>
    </w:p>
    <w:p w14:paraId="1DFCD6B8" w14:textId="095B1029" w:rsidR="00176954" w:rsidRDefault="00F52175" w:rsidP="002E42EE">
      <w:pPr>
        <w:pStyle w:val="Heading2"/>
        <w:spacing w:line="600" w:lineRule="auto"/>
      </w:pPr>
      <w:bookmarkStart w:id="4" w:name="_Toc59100988"/>
      <w:r>
        <w:t>Macro-Environment</w:t>
      </w:r>
      <w:bookmarkEnd w:id="4"/>
    </w:p>
    <w:p w14:paraId="57541C2C" w14:textId="6DF930F0" w:rsidR="004D5453" w:rsidRDefault="000104E2" w:rsidP="002E42EE">
      <w:pPr>
        <w:spacing w:line="600" w:lineRule="auto"/>
      </w:pPr>
      <w:r>
        <w:t xml:space="preserve">It is believed that </w:t>
      </w:r>
      <w:r w:rsidR="00B73A0B">
        <w:t xml:space="preserve">events in the environment will have an impact </w:t>
      </w:r>
      <w:r w:rsidR="00695E9D">
        <w:t>potentially on the success or</w:t>
      </w:r>
      <w:r w:rsidR="00063748">
        <w:t xml:space="preserve"> failure of companies effected (Hussey, 1998)</w:t>
      </w:r>
      <w:r w:rsidR="001643A2">
        <w:t xml:space="preserve">. However, it is argued that there is a predisposition that managers </w:t>
      </w:r>
      <w:r w:rsidR="008F1EEA">
        <w:t xml:space="preserve">will use external events to blame for failures </w:t>
      </w:r>
      <w:r w:rsidR="00A670C3">
        <w:t>met in business’s (</w:t>
      </w:r>
      <w:proofErr w:type="spellStart"/>
      <w:r w:rsidR="00A670C3">
        <w:t>Kald</w:t>
      </w:r>
      <w:proofErr w:type="spellEnd"/>
      <w:r w:rsidR="00A670C3">
        <w:t xml:space="preserve">, </w:t>
      </w:r>
      <w:r w:rsidR="00A670C3">
        <w:rPr>
          <w:i/>
          <w:iCs/>
        </w:rPr>
        <w:t xml:space="preserve">et al., </w:t>
      </w:r>
      <w:r w:rsidR="00924B40">
        <w:t xml:space="preserve">2000). </w:t>
      </w:r>
      <w:r w:rsidR="001643A2">
        <w:t xml:space="preserve"> </w:t>
      </w:r>
      <w:r w:rsidR="00CC7D72">
        <w:t>To</w:t>
      </w:r>
      <w:r w:rsidR="00A31DF8">
        <w:t xml:space="preserve"> understand the macro-environment in which ACIEM operate </w:t>
      </w:r>
      <w:r w:rsidR="00CC7D72">
        <w:t xml:space="preserve">within </w:t>
      </w:r>
      <w:r w:rsidR="00C16511">
        <w:t xml:space="preserve">a PESTLE analysis was undertaking with the findings below: </w:t>
      </w:r>
    </w:p>
    <w:p w14:paraId="1BF7EBD2" w14:textId="40FA246C" w:rsidR="00336F85" w:rsidRPr="00336F85" w:rsidRDefault="00336F85" w:rsidP="002E42EE">
      <w:pPr>
        <w:pStyle w:val="Heading3"/>
        <w:spacing w:line="600" w:lineRule="auto"/>
        <w:rPr>
          <w:rFonts w:ascii="Times New Roman" w:hAnsi="Times New Roman"/>
        </w:rPr>
      </w:pPr>
      <w:bookmarkStart w:id="5" w:name="_Toc59100989"/>
      <w:r w:rsidRPr="00336F85">
        <w:lastRenderedPageBreak/>
        <w:t>Political</w:t>
      </w:r>
      <w:bookmarkEnd w:id="5"/>
    </w:p>
    <w:p w14:paraId="111E933C" w14:textId="0BD754F6" w:rsidR="00336F85" w:rsidRDefault="00336F85" w:rsidP="002E42EE">
      <w:pPr>
        <w:spacing w:line="600" w:lineRule="auto"/>
      </w:pPr>
      <w:r>
        <w:t xml:space="preserve">Brexit has the potential to affect all businesses in the United Kingdom, this may </w:t>
      </w:r>
      <w:r w:rsidR="0095636B">
        <w:t>influence</w:t>
      </w:r>
      <w:r>
        <w:t xml:space="preserve"> the industries ACIEM operate due to increase in cost of material</w:t>
      </w:r>
      <w:r w:rsidR="0095636B">
        <w:t>s</w:t>
      </w:r>
      <w:r>
        <w:t xml:space="preserve"> imported into the UK, availability of skilled labour and many other factors.</w:t>
      </w:r>
      <w:r w:rsidR="00787D34">
        <w:t xml:space="preserve"> The current UK government are attempting to draw up negotiations however </w:t>
      </w:r>
      <w:r w:rsidR="00B506C3">
        <w:t xml:space="preserve">there is a potential for a no deal Brexit </w:t>
      </w:r>
      <w:r w:rsidR="00EA5509">
        <w:t>highlighting the volatility of politics (BBC News, 2020b)</w:t>
      </w:r>
      <w:r w:rsidR="00CC7D72">
        <w:t>.</w:t>
      </w:r>
    </w:p>
    <w:p w14:paraId="5D032442" w14:textId="54D709D8" w:rsidR="00336F85" w:rsidRDefault="00630039" w:rsidP="002E42EE">
      <w:pPr>
        <w:spacing w:line="600" w:lineRule="auto"/>
      </w:pPr>
      <w:r>
        <w:t>Furthermore, a</w:t>
      </w:r>
      <w:r w:rsidR="00336F85">
        <w:t xml:space="preserve"> UK General Election </w:t>
      </w:r>
      <w:r>
        <w:t xml:space="preserve">may change </w:t>
      </w:r>
      <w:r w:rsidR="007F2840">
        <w:t>the sector in which we operate</w:t>
      </w:r>
      <w:r w:rsidR="00336F85">
        <w:t>,</w:t>
      </w:r>
      <w:r w:rsidR="007F2840">
        <w:t xml:space="preserve"> an example is the </w:t>
      </w:r>
      <w:r w:rsidR="00FF15DD">
        <w:t>most recent general election posed the possibility that one</w:t>
      </w:r>
      <w:r w:rsidR="00336F85">
        <w:t xml:space="preserve"> of the leading parties labour were looking to “re-nationalise” the water industry (</w:t>
      </w:r>
      <w:proofErr w:type="spellStart"/>
      <w:r w:rsidR="00336F85">
        <w:t>Kussenburg</w:t>
      </w:r>
      <w:proofErr w:type="spellEnd"/>
      <w:r w:rsidR="00336F85">
        <w:t>, 2017). This would have had a huge impact on a large percentage of ACIEM’s key clients and therefore on ACIEM directly.</w:t>
      </w:r>
    </w:p>
    <w:p w14:paraId="5C92F268" w14:textId="77777777" w:rsidR="00336F85" w:rsidRPr="00336F85" w:rsidRDefault="00336F85" w:rsidP="002E42EE">
      <w:pPr>
        <w:pStyle w:val="Heading3"/>
        <w:spacing w:line="600" w:lineRule="auto"/>
      </w:pPr>
      <w:bookmarkStart w:id="6" w:name="_Toc59100990"/>
      <w:r w:rsidRPr="00336F85">
        <w:t>Economic</w:t>
      </w:r>
      <w:bookmarkEnd w:id="6"/>
    </w:p>
    <w:p w14:paraId="0C6A7858" w14:textId="3F21995A" w:rsidR="00336F85" w:rsidRDefault="0054566B" w:rsidP="002E42EE">
      <w:pPr>
        <w:spacing w:line="600" w:lineRule="auto"/>
      </w:pPr>
      <w:r>
        <w:t xml:space="preserve">Economies affect all </w:t>
      </w:r>
      <w:r w:rsidR="002C6F8B">
        <w:t xml:space="preserve">organisations </w:t>
      </w:r>
      <w:r w:rsidR="00983A9A">
        <w:t xml:space="preserve">in the service, </w:t>
      </w:r>
      <w:r w:rsidR="003D555B">
        <w:t>retail</w:t>
      </w:r>
      <w:r w:rsidR="00983A9A">
        <w:t xml:space="preserve">, </w:t>
      </w:r>
      <w:r w:rsidR="00CC7D72">
        <w:t>government,</w:t>
      </w:r>
      <w:r w:rsidR="00983A9A">
        <w:t xml:space="preserve"> and </w:t>
      </w:r>
      <w:r w:rsidR="003D555B">
        <w:t>non-profit</w:t>
      </w:r>
      <w:r w:rsidR="00983A9A">
        <w:t xml:space="preserve"> sectors</w:t>
      </w:r>
      <w:r w:rsidR="00EE0E1D">
        <w:t xml:space="preserve"> (Dess </w:t>
      </w:r>
      <w:r w:rsidR="00EE0E1D">
        <w:rPr>
          <w:i/>
          <w:iCs/>
        </w:rPr>
        <w:t xml:space="preserve">et al, </w:t>
      </w:r>
      <w:r w:rsidR="00953BCE">
        <w:t xml:space="preserve">2014). </w:t>
      </w:r>
      <w:r w:rsidR="009779D6">
        <w:t xml:space="preserve">The </w:t>
      </w:r>
      <w:r w:rsidR="001F39D7">
        <w:t xml:space="preserve">clients that ACIEM serve are regulated by </w:t>
      </w:r>
      <w:r w:rsidR="00336F85">
        <w:t xml:space="preserve">OFWAT </w:t>
      </w:r>
      <w:r w:rsidR="001F39D7">
        <w:t xml:space="preserve">in which it provides each </w:t>
      </w:r>
      <w:r w:rsidR="00347969">
        <w:t xml:space="preserve">water company with a financial determination which </w:t>
      </w:r>
      <w:r w:rsidR="00CC7D72">
        <w:t xml:space="preserve">is </w:t>
      </w:r>
      <w:r w:rsidR="00347969">
        <w:t>allocated</w:t>
      </w:r>
      <w:r w:rsidR="00CC7D72">
        <w:t xml:space="preserve"> to</w:t>
      </w:r>
      <w:r w:rsidR="00347969">
        <w:t xml:space="preserve"> the </w:t>
      </w:r>
      <w:r w:rsidR="00336F85">
        <w:t xml:space="preserve">Asset Management Periods (AMP) </w:t>
      </w:r>
      <w:r w:rsidR="00347969">
        <w:t xml:space="preserve">budget. This </w:t>
      </w:r>
      <w:r w:rsidR="00336F85">
        <w:t>has a significant economic role in the funding and spend profiling for many of ACIEM’s key client</w:t>
      </w:r>
      <w:r w:rsidR="00B757CF">
        <w:t xml:space="preserve"> for example Wessex Water and Yorkshire Water</w:t>
      </w:r>
      <w:r w:rsidR="00336F85">
        <w:t xml:space="preserve">. This will then be spent during an AMP period which runs over 5 years with AMP7 being the next AMP to commence (2020-2025). These budgets will </w:t>
      </w:r>
      <w:r w:rsidR="002B1D81">
        <w:t>influence</w:t>
      </w:r>
      <w:r w:rsidR="00336F85">
        <w:t xml:space="preserve"> the scale and size of the market that ACIEM can </w:t>
      </w:r>
      <w:r w:rsidR="00336F85">
        <w:lastRenderedPageBreak/>
        <w:t>target and dictate what the money will be utilised for, such as improvement of existing infrastructure or development of new.</w:t>
      </w:r>
      <w:r w:rsidR="000132BA">
        <w:t xml:space="preserve"> </w:t>
      </w:r>
      <w:r w:rsidR="005F32A1">
        <w:t xml:space="preserve">OFWAT have highlighted concerns at </w:t>
      </w:r>
      <w:r w:rsidR="00D31159">
        <w:t>several</w:t>
      </w:r>
      <w:r w:rsidR="005F32A1">
        <w:t xml:space="preserve"> water companies </w:t>
      </w:r>
      <w:r w:rsidR="00D31159">
        <w:t xml:space="preserve">with one being Yorkshire Water, </w:t>
      </w:r>
      <w:r w:rsidR="00502897">
        <w:t>on their proposed costs to operate their business during the 2020-2025 period</w:t>
      </w:r>
      <w:r w:rsidR="00D31159">
        <w:t xml:space="preserve"> and asked them to review their costs</w:t>
      </w:r>
      <w:r w:rsidR="00E10BC4">
        <w:t xml:space="preserve"> (</w:t>
      </w:r>
      <w:proofErr w:type="spellStart"/>
      <w:r w:rsidR="00E10BC4">
        <w:t>WaterBriefing</w:t>
      </w:r>
      <w:proofErr w:type="spellEnd"/>
      <w:r w:rsidR="00E10BC4">
        <w:t>, 2019</w:t>
      </w:r>
      <w:r w:rsidR="00D51850">
        <w:t>a</w:t>
      </w:r>
      <w:r w:rsidR="00E10BC4">
        <w:t xml:space="preserve">). </w:t>
      </w:r>
    </w:p>
    <w:p w14:paraId="6B978568" w14:textId="77777777" w:rsidR="00336F85" w:rsidRPr="00336F85" w:rsidRDefault="00336F85" w:rsidP="002E42EE">
      <w:pPr>
        <w:pStyle w:val="Heading3"/>
        <w:spacing w:line="600" w:lineRule="auto"/>
      </w:pPr>
      <w:bookmarkStart w:id="7" w:name="_Toc59100991"/>
      <w:r w:rsidRPr="00336F85">
        <w:t>Social</w:t>
      </w:r>
      <w:bookmarkEnd w:id="7"/>
    </w:p>
    <w:p w14:paraId="2EE5E4E3" w14:textId="0704E3D2" w:rsidR="00336F85" w:rsidRDefault="00775C04" w:rsidP="002E42EE">
      <w:pPr>
        <w:spacing w:line="600" w:lineRule="auto"/>
      </w:pPr>
      <w:r>
        <w:t xml:space="preserve">When </w:t>
      </w:r>
      <w:r w:rsidR="00A23AC3">
        <w:t>analysing</w:t>
      </w:r>
      <w:r>
        <w:t xml:space="preserve"> the social elements of a macro-environment it is known that </w:t>
      </w:r>
      <w:r w:rsidR="002D62FD">
        <w:t>it can have two impacts on organisations</w:t>
      </w:r>
      <w:r w:rsidR="00C05471">
        <w:t>, the</w:t>
      </w:r>
      <w:r w:rsidR="000E556A">
        <w:t xml:space="preserve"> supply and demand, and the effectiveness and power of organisations.</w:t>
      </w:r>
      <w:r w:rsidR="002D62FD">
        <w:t xml:space="preserve"> </w:t>
      </w:r>
      <w:r w:rsidR="000E556A">
        <w:t xml:space="preserve">On affect on the supply and demand associated is correlated with the </w:t>
      </w:r>
      <w:r w:rsidR="00336F85">
        <w:t xml:space="preserve">population </w:t>
      </w:r>
      <w:r w:rsidR="000E556A">
        <w:t xml:space="preserve">increase </w:t>
      </w:r>
      <w:r w:rsidR="00336F85">
        <w:t xml:space="preserve">within the UK with </w:t>
      </w:r>
      <w:r w:rsidR="000E556A">
        <w:t>figures showing a rise</w:t>
      </w:r>
      <w:r w:rsidR="00336F85">
        <w:t xml:space="preserve"> from 65.86million in 2015 to 67.53million in 2019 (United Nations Department of Economic and Social Affairs Population Dynamics, 2019). With an increasing population it is inevitable that it will result in the increase in infrastructure to be able to cope with increase in demand. Therefore, this will directly correlate with the water sector.</w:t>
      </w:r>
    </w:p>
    <w:p w14:paraId="448AA6EA" w14:textId="77777777" w:rsidR="00336F85" w:rsidRPr="00336F85" w:rsidRDefault="00336F85" w:rsidP="002E42EE">
      <w:pPr>
        <w:pStyle w:val="Heading3"/>
        <w:spacing w:line="600" w:lineRule="auto"/>
      </w:pPr>
      <w:bookmarkStart w:id="8" w:name="_Toc59100992"/>
      <w:r w:rsidRPr="00336F85">
        <w:t>Technology</w:t>
      </w:r>
      <w:bookmarkEnd w:id="8"/>
    </w:p>
    <w:p w14:paraId="16323FAB" w14:textId="74A9DE34" w:rsidR="00336F85" w:rsidRDefault="0063358D" w:rsidP="002E42EE">
      <w:pPr>
        <w:spacing w:line="600" w:lineRule="auto"/>
      </w:pPr>
      <w:r>
        <w:t xml:space="preserve">With innovation being at the forefront of many UK water companies </w:t>
      </w:r>
      <w:r w:rsidR="007F563C">
        <w:t>goals and in particular one of ACIEM’s key clients Wessex Water</w:t>
      </w:r>
      <w:r w:rsidR="00193C7A">
        <w:t xml:space="preserve"> it is important that the company is aware of the latest te</w:t>
      </w:r>
      <w:r w:rsidR="00336F85">
        <w:t xml:space="preserve">chnology developing in all manners across the globe, with that in mind it is crucial that as a business, it must be aware of the latest or new </w:t>
      </w:r>
      <w:r w:rsidR="00336F85">
        <w:lastRenderedPageBreak/>
        <w:t>innovative ways in utilising technology within its sectors.</w:t>
      </w:r>
      <w:r w:rsidR="00A94465">
        <w:t xml:space="preserve"> Wessex Water PR 19 (Wessex Water, 2019) stipulates that their looking to innovation to provide </w:t>
      </w:r>
      <w:r w:rsidR="00837E04">
        <w:t xml:space="preserve">improvements in efficiencies by doing more with less. </w:t>
      </w:r>
    </w:p>
    <w:p w14:paraId="20C142BD" w14:textId="77777777" w:rsidR="00336F85" w:rsidRPr="00336F85" w:rsidRDefault="00336F85" w:rsidP="002E42EE">
      <w:pPr>
        <w:pStyle w:val="Heading3"/>
        <w:spacing w:line="600" w:lineRule="auto"/>
      </w:pPr>
      <w:bookmarkStart w:id="9" w:name="_Toc59100993"/>
      <w:r w:rsidRPr="00336F85">
        <w:t>Legal</w:t>
      </w:r>
      <w:bookmarkEnd w:id="9"/>
    </w:p>
    <w:p w14:paraId="312A084E" w14:textId="569D4B5E" w:rsidR="00336F85" w:rsidRDefault="00BC3059" w:rsidP="002E42EE">
      <w:pPr>
        <w:spacing w:line="600" w:lineRule="auto"/>
      </w:pPr>
      <w:r>
        <w:t xml:space="preserve">Legislation </w:t>
      </w:r>
      <w:r w:rsidR="00A63FA6">
        <w:t xml:space="preserve">determinations </w:t>
      </w:r>
      <w:r>
        <w:t>can</w:t>
      </w:r>
      <w:r w:rsidR="00A63FA6">
        <w:t xml:space="preserve"> rapidly </w:t>
      </w:r>
      <w:r w:rsidR="00A24780">
        <w:t>alter the rules in which business can operate within (Fahy and Jobber,</w:t>
      </w:r>
      <w:r w:rsidR="00F21CA4">
        <w:t xml:space="preserve"> 2019). </w:t>
      </w:r>
      <w:r>
        <w:t xml:space="preserve"> </w:t>
      </w:r>
      <w:r w:rsidR="00336F85">
        <w:t>With the likes of OFWAT providing governance on spending, there is also a requirement to ensure that current codes of practice are being followed and monitored for updates. Such as Water Industry Mechanical and Electrical Standards (WIMES).</w:t>
      </w:r>
      <w:r w:rsidR="00237616">
        <w:t xml:space="preserve"> </w:t>
      </w:r>
      <w:r w:rsidR="00E5648C">
        <w:t xml:space="preserve">It Environment Agency (EA) provides a huge driver to ACIEM clients to undertake and complete projects by specific regulation dates to ensure </w:t>
      </w:r>
      <w:r w:rsidR="00151973">
        <w:t>environmental compliance</w:t>
      </w:r>
      <w:r w:rsidR="001B6CB8">
        <w:t>. It will set its guidelines and performance expectations for water and sewerage companies in England</w:t>
      </w:r>
      <w:r w:rsidR="00151973">
        <w:t xml:space="preserve"> </w:t>
      </w:r>
      <w:r w:rsidR="00F56894">
        <w:t xml:space="preserve">(Environment Agency, 2020). </w:t>
      </w:r>
      <w:r w:rsidR="00B31F59">
        <w:t xml:space="preserve">With the EA opinion that the performance by Water companies is poor </w:t>
      </w:r>
      <w:r w:rsidR="009C507A">
        <w:t xml:space="preserve">it could lead to these companies embarking on several projects to meet this performance demand and ACIEM will potentially be able to position itself to </w:t>
      </w:r>
      <w:r w:rsidR="0084422B">
        <w:t xml:space="preserve">provide a service on these projects. </w:t>
      </w:r>
    </w:p>
    <w:p w14:paraId="348D624B" w14:textId="77777777" w:rsidR="00336F85" w:rsidRPr="00336F85" w:rsidRDefault="00336F85" w:rsidP="002E42EE">
      <w:pPr>
        <w:pStyle w:val="Heading3"/>
        <w:spacing w:line="600" w:lineRule="auto"/>
      </w:pPr>
      <w:bookmarkStart w:id="10" w:name="_Toc59100994"/>
      <w:r w:rsidRPr="00336F85">
        <w:t>Environmental</w:t>
      </w:r>
      <w:bookmarkEnd w:id="10"/>
    </w:p>
    <w:p w14:paraId="2F009570" w14:textId="7606596B" w:rsidR="00336F85" w:rsidRDefault="00336F85" w:rsidP="002E42EE">
      <w:pPr>
        <w:spacing w:line="600" w:lineRule="auto"/>
      </w:pPr>
      <w:r>
        <w:t>With climate change, a hot topic across the globe and the emphasis on reducing carbon footprints, plastic and becoming more sustainable it is essential that the organisation must monitor it environmental management.</w:t>
      </w:r>
      <w:r w:rsidR="006D1E28">
        <w:t xml:space="preserve"> Wessex Waters aim of </w:t>
      </w:r>
      <w:r w:rsidR="006D1E28">
        <w:lastRenderedPageBreak/>
        <w:t>being an environmental leader</w:t>
      </w:r>
      <w:r w:rsidR="00764553">
        <w:t xml:space="preserve"> (Wessex Water, 2019) will drive ACIEM to follow suit</w:t>
      </w:r>
      <w:r w:rsidR="00B83CE9">
        <w:t xml:space="preserve">. Not only aligning our environmental goals with one of our key </w:t>
      </w:r>
      <w:r w:rsidR="0047345E">
        <w:t>clients</w:t>
      </w:r>
      <w:r w:rsidR="00B83CE9">
        <w:t xml:space="preserve"> it is important to note the intention of strategic capital investment in order to achieve their goals will </w:t>
      </w:r>
      <w:r w:rsidR="00540EE4">
        <w:t xml:space="preserve">provide a potential avenue for ACIEM to utilise.  </w:t>
      </w:r>
    </w:p>
    <w:p w14:paraId="0587AC0C" w14:textId="0A758D49" w:rsidR="00F52175" w:rsidRDefault="001E05C7" w:rsidP="002E42EE">
      <w:pPr>
        <w:pStyle w:val="Heading2"/>
        <w:spacing w:line="600" w:lineRule="auto"/>
      </w:pPr>
      <w:bookmarkStart w:id="11" w:name="_Toc59100995"/>
      <w:r>
        <w:t xml:space="preserve">Industry </w:t>
      </w:r>
      <w:r w:rsidR="009045FE">
        <w:t xml:space="preserve">Environment </w:t>
      </w:r>
      <w:r>
        <w:t>Analysis</w:t>
      </w:r>
      <w:bookmarkEnd w:id="11"/>
    </w:p>
    <w:p w14:paraId="5E84BEF7" w14:textId="5BFE5272" w:rsidR="001E05C7" w:rsidRPr="001E05C7" w:rsidRDefault="00855457" w:rsidP="002E42EE">
      <w:pPr>
        <w:spacing w:line="600" w:lineRule="auto"/>
      </w:pPr>
      <w:r>
        <w:t xml:space="preserve">The competitive environment as it is also referred to </w:t>
      </w:r>
      <w:r w:rsidR="0031091D">
        <w:t xml:space="preserve">investigates the </w:t>
      </w:r>
      <w:r w:rsidR="0045763B">
        <w:t>nature of the competition in an industry</w:t>
      </w:r>
      <w:r w:rsidR="00FF5475">
        <w:t xml:space="preserve">, it consists of supplier, competitors and </w:t>
      </w:r>
      <w:r w:rsidR="00605A4A">
        <w:t xml:space="preserve">customers which will all have relevance to an organisations strategy (Dess </w:t>
      </w:r>
      <w:r w:rsidR="00605A4A">
        <w:rPr>
          <w:i/>
          <w:iCs/>
        </w:rPr>
        <w:t>et al,</w:t>
      </w:r>
      <w:r w:rsidR="003D34AC">
        <w:t xml:space="preserve"> 2014).</w:t>
      </w:r>
      <w:r w:rsidR="0031091D">
        <w:t xml:space="preserve"> </w:t>
      </w:r>
      <w:r w:rsidR="007B5D5E">
        <w:t xml:space="preserve">It is believed that </w:t>
      </w:r>
      <w:r w:rsidR="00E160A3">
        <w:t>competition and the strength of buyers and suppliers can be the det</w:t>
      </w:r>
      <w:r w:rsidR="004B6104">
        <w:t xml:space="preserve">erminant of profitability and when analysing competitive forces </w:t>
      </w:r>
      <w:r w:rsidR="00345237">
        <w:t xml:space="preserve">and it will highlight industries attractiveness </w:t>
      </w:r>
      <w:r w:rsidR="00605F26">
        <w:t>and the measure of profitability for participating organisations (</w:t>
      </w:r>
      <w:r w:rsidR="0077594F">
        <w:t xml:space="preserve">Johnson </w:t>
      </w:r>
      <w:r w:rsidR="0077594F">
        <w:rPr>
          <w:i/>
          <w:iCs/>
        </w:rPr>
        <w:t xml:space="preserve">et al, </w:t>
      </w:r>
      <w:r w:rsidR="0077594F">
        <w:t>2017).</w:t>
      </w:r>
      <w:r w:rsidR="00E160A3">
        <w:t xml:space="preserve"> </w:t>
      </w:r>
      <w:r w:rsidR="003E3901">
        <w:t xml:space="preserve">One </w:t>
      </w:r>
      <w:r w:rsidR="00697382">
        <w:t xml:space="preserve">framework to </w:t>
      </w:r>
      <w:r w:rsidR="00A91ACE">
        <w:t>analyse</w:t>
      </w:r>
      <w:r w:rsidR="00697382">
        <w:t xml:space="preserve"> these factors i</w:t>
      </w:r>
      <w:r w:rsidR="00FA06F2">
        <w:t xml:space="preserve">s Porters Five-Forces </w:t>
      </w:r>
      <w:r w:rsidR="00A91ACE">
        <w:t>Framework</w:t>
      </w:r>
      <w:r w:rsidR="00CD5DE7">
        <w:t xml:space="preserve"> (Porter, 1980). </w:t>
      </w:r>
      <w:r w:rsidR="00925658">
        <w:t xml:space="preserve">The Five Forces Framework is seen as one of the </w:t>
      </w:r>
      <w:r w:rsidR="000309D6">
        <w:t xml:space="preserve">most useful and distinct </w:t>
      </w:r>
      <w:r w:rsidR="00023832">
        <w:t xml:space="preserve">strategic </w:t>
      </w:r>
      <w:r w:rsidR="00930D7C">
        <w:t>tools</w:t>
      </w:r>
      <w:r w:rsidR="00023832">
        <w:t xml:space="preserve"> utilised in industrial analysis (</w:t>
      </w:r>
      <w:proofErr w:type="spellStart"/>
      <w:r w:rsidR="00023832">
        <w:t>Gnjidic</w:t>
      </w:r>
      <w:proofErr w:type="spellEnd"/>
      <w:r w:rsidR="00023832">
        <w:t>, 2018</w:t>
      </w:r>
      <w:r w:rsidR="00E16BF5">
        <w:t xml:space="preserve">). </w:t>
      </w:r>
      <w:r w:rsidR="000309D6">
        <w:t xml:space="preserve"> </w:t>
      </w:r>
      <w:r w:rsidR="00013316">
        <w:t xml:space="preserve">However, using the tools </w:t>
      </w:r>
      <w:r w:rsidR="00C1648D">
        <w:t xml:space="preserve">is not without its pitfalls and mistakes such as defining the industry too broadly and </w:t>
      </w:r>
      <w:r w:rsidR="0075777F">
        <w:t>narrowly</w:t>
      </w:r>
      <w:r w:rsidR="00C1648D">
        <w:t xml:space="preserve">, </w:t>
      </w:r>
      <w:r w:rsidR="00A612A8">
        <w:t xml:space="preserve">ensuring equal attention is paid to each force and using the framework to determine the attractiveness of an industry rather that using it </w:t>
      </w:r>
      <w:r w:rsidR="00FC0069">
        <w:t xml:space="preserve">to guide strategic choices. </w:t>
      </w:r>
      <w:r w:rsidR="00D15A84">
        <w:t xml:space="preserve">The framework is proposed to be used not only to analyse the </w:t>
      </w:r>
      <w:r w:rsidR="00D14834">
        <w:t xml:space="preserve">drivers of the industry competition of those nearest competitors but should also view </w:t>
      </w:r>
      <w:r w:rsidR="00930D7C">
        <w:t xml:space="preserve">beyond this short-sightedness (Porter, 2008). </w:t>
      </w:r>
    </w:p>
    <w:p w14:paraId="3304B510" w14:textId="77777777" w:rsidR="006208EA" w:rsidRDefault="006208EA" w:rsidP="002E42EE">
      <w:pPr>
        <w:pStyle w:val="Heading3"/>
        <w:spacing w:line="600" w:lineRule="auto"/>
      </w:pPr>
      <w:bookmarkStart w:id="12" w:name="_Toc29799290"/>
      <w:bookmarkStart w:id="13" w:name="_Toc59100996"/>
      <w:r>
        <w:lastRenderedPageBreak/>
        <w:t>Competitors Rivalry</w:t>
      </w:r>
      <w:bookmarkEnd w:id="12"/>
      <w:bookmarkEnd w:id="13"/>
    </w:p>
    <w:p w14:paraId="2F368B59" w14:textId="1135CAC2" w:rsidR="00793F79" w:rsidRDefault="00D344FA" w:rsidP="002E42EE">
      <w:pPr>
        <w:spacing w:line="600" w:lineRule="auto"/>
      </w:pPr>
      <w:r>
        <w:t xml:space="preserve">When analysing the rivalry between </w:t>
      </w:r>
      <w:r w:rsidR="00221190">
        <w:t xml:space="preserve">established business if it perceived to be intense this could </w:t>
      </w:r>
      <w:r w:rsidR="006C7FF3">
        <w:t xml:space="preserve">lead to the assumption that there is a great threat to the profitability </w:t>
      </w:r>
      <w:r w:rsidR="00D20E4A">
        <w:t>within that industry (</w:t>
      </w:r>
      <w:proofErr w:type="spellStart"/>
      <w:r w:rsidR="00AA38BB">
        <w:t>Yunna</w:t>
      </w:r>
      <w:proofErr w:type="spellEnd"/>
      <w:r w:rsidR="00AA38BB">
        <w:t xml:space="preserve"> and </w:t>
      </w:r>
      <w:proofErr w:type="spellStart"/>
      <w:r w:rsidR="00AA38BB">
        <w:t>Yisheng</w:t>
      </w:r>
      <w:proofErr w:type="spellEnd"/>
      <w:r w:rsidR="00AA38BB">
        <w:t>, 2014).</w:t>
      </w:r>
      <w:r w:rsidR="00626EC0">
        <w:t xml:space="preserve"> The review </w:t>
      </w:r>
      <w:r w:rsidR="0045245B">
        <w:t xml:space="preserve">undertaking </w:t>
      </w:r>
      <w:r w:rsidR="00BB3030">
        <w:t>h</w:t>
      </w:r>
      <w:r w:rsidR="006208EA">
        <w:t xml:space="preserve">as highlighted although there </w:t>
      </w:r>
      <w:r w:rsidR="00A91ACE">
        <w:t>are</w:t>
      </w:r>
      <w:r w:rsidR="006208EA">
        <w:t xml:space="preserve"> a select few direct competitors to ACIEM their strengths within the market are strong. </w:t>
      </w:r>
      <w:r w:rsidR="00F757DF">
        <w:t xml:space="preserve">With the UK Water Industry procurement being highly regulated by previously mentioned Ofwat </w:t>
      </w:r>
      <w:r w:rsidR="001E4907">
        <w:t>many of</w:t>
      </w:r>
      <w:r w:rsidR="00310AAD">
        <w:t xml:space="preserve"> the markets ACIEM ply their trade within are in fixed frameworks over a fixed </w:t>
      </w:r>
      <w:r w:rsidR="00A91ACE">
        <w:t>period</w:t>
      </w:r>
      <w:r w:rsidR="00310AAD">
        <w:t xml:space="preserve">. This therefore limits the competitors </w:t>
      </w:r>
      <w:r w:rsidR="001E4907">
        <w:t>during those periods however it does provide portion of well-defined competition</w:t>
      </w:r>
      <w:r w:rsidR="00D51850">
        <w:t xml:space="preserve"> (</w:t>
      </w:r>
      <w:proofErr w:type="spellStart"/>
      <w:r w:rsidR="00D51850">
        <w:t>WaterBriefing</w:t>
      </w:r>
      <w:proofErr w:type="spellEnd"/>
      <w:r w:rsidR="00D51850">
        <w:t>, 2019b)</w:t>
      </w:r>
      <w:r w:rsidR="001E4907">
        <w:t xml:space="preserve">. </w:t>
      </w:r>
      <w:r w:rsidR="008F2CA0">
        <w:t xml:space="preserve">However, </w:t>
      </w:r>
      <w:r w:rsidR="006E2F1B">
        <w:t xml:space="preserve">it could be argued that </w:t>
      </w:r>
      <w:r w:rsidR="00087073">
        <w:t xml:space="preserve">due to the low number of </w:t>
      </w:r>
      <w:r w:rsidR="00746683">
        <w:t>competitors,</w:t>
      </w:r>
      <w:r w:rsidR="00087073">
        <w:t xml:space="preserve"> but all evenly balanced </w:t>
      </w:r>
      <w:r w:rsidR="00AF350A">
        <w:t>this could be classified as an intense rivalry</w:t>
      </w:r>
      <w:r w:rsidR="00423983">
        <w:t xml:space="preserve"> (Fahy and Jobber,</w:t>
      </w:r>
      <w:r w:rsidR="00247D25">
        <w:t xml:space="preserve"> 2019). </w:t>
      </w:r>
      <w:r w:rsidR="00756DED">
        <w:t xml:space="preserve">Two of ACIEM’s main competitors would be identified as Bridges Electrical Services Ltd. and Northavon Ltd. both situated in similar geographical area of the United Kingdom both have very similar operating </w:t>
      </w:r>
      <w:r w:rsidR="00C121DE">
        <w:t xml:space="preserve">models and delivery </w:t>
      </w:r>
      <w:r w:rsidR="00D801DA">
        <w:t>strategy;</w:t>
      </w:r>
      <w:r w:rsidR="00C121DE">
        <w:t xml:space="preserve"> this will therefore lead to intense competition.</w:t>
      </w:r>
      <w:r w:rsidR="00024134">
        <w:t xml:space="preserve"> Table 1. </w:t>
      </w:r>
      <w:r w:rsidR="00C032A8">
        <w:t xml:space="preserve">Analyses the </w:t>
      </w:r>
      <w:r w:rsidR="00A91ACE">
        <w:t>company’s</w:t>
      </w:r>
      <w:r w:rsidR="00C032A8">
        <w:t xml:space="preserve"> performance of industry competitors and their profitability performance ranging from 2016 – 2019. The </w:t>
      </w:r>
      <w:r w:rsidR="003965A3">
        <w:t>information produced clearly demonstrates a trend and average EBITDA profit performance within the sector</w:t>
      </w:r>
      <w:r w:rsidR="000C4857">
        <w:t xml:space="preserve"> and it could be argued not large profit margins. </w:t>
      </w:r>
      <w:r w:rsidR="0073647D">
        <w:t>This intense rivalry within the sector therefore may be a reflection of the previous judgement with regards to profitability.</w:t>
      </w:r>
      <w:r w:rsidR="00C121DE">
        <w:t xml:space="preserve"> </w:t>
      </w:r>
    </w:p>
    <w:tbl>
      <w:tblPr>
        <w:tblW w:w="9823" w:type="dxa"/>
        <w:tblInd w:w="-152" w:type="dxa"/>
        <w:tblLayout w:type="fixed"/>
        <w:tblLook w:val="04A0" w:firstRow="1" w:lastRow="0" w:firstColumn="1" w:lastColumn="0" w:noHBand="0" w:noVBand="1"/>
      </w:tblPr>
      <w:tblGrid>
        <w:gridCol w:w="1239"/>
        <w:gridCol w:w="729"/>
        <w:gridCol w:w="761"/>
        <w:gridCol w:w="865"/>
        <w:gridCol w:w="781"/>
        <w:gridCol w:w="943"/>
        <w:gridCol w:w="609"/>
        <w:gridCol w:w="668"/>
        <w:gridCol w:w="696"/>
        <w:gridCol w:w="648"/>
        <w:gridCol w:w="738"/>
        <w:gridCol w:w="573"/>
        <w:gridCol w:w="573"/>
      </w:tblGrid>
      <w:tr w:rsidR="00C948FF" w:rsidRPr="00C948FF" w14:paraId="2B908109" w14:textId="77777777" w:rsidTr="003A5E0E">
        <w:trPr>
          <w:trHeight w:val="451"/>
        </w:trPr>
        <w:tc>
          <w:tcPr>
            <w:tcW w:w="1239" w:type="dxa"/>
            <w:tcBorders>
              <w:top w:val="single" w:sz="8" w:space="0" w:color="auto"/>
              <w:left w:val="single" w:sz="8" w:space="0" w:color="auto"/>
              <w:bottom w:val="single" w:sz="4" w:space="0" w:color="auto"/>
              <w:right w:val="single" w:sz="4" w:space="0" w:color="auto"/>
            </w:tcBorders>
            <w:shd w:val="clear" w:color="666666" w:fill="666666"/>
            <w:noWrap/>
            <w:vAlign w:val="center"/>
            <w:hideMark/>
          </w:tcPr>
          <w:p w14:paraId="7B769AF5" w14:textId="77777777" w:rsidR="00C948FF" w:rsidRPr="00C948FF" w:rsidRDefault="00C948FF" w:rsidP="00C948FF">
            <w:pPr>
              <w:spacing w:line="240" w:lineRule="auto"/>
              <w:rPr>
                <w:rFonts w:ascii="Century Gothic" w:eastAsia="Times New Roman" w:hAnsi="Century Gothic" w:cs="Calibri"/>
                <w:b/>
                <w:bCs/>
                <w:color w:val="000000"/>
                <w:sz w:val="18"/>
                <w:szCs w:val="18"/>
                <w:lang w:eastAsia="en-GB"/>
              </w:rPr>
            </w:pPr>
            <w:r w:rsidRPr="00C948FF">
              <w:rPr>
                <w:rFonts w:ascii="Century Gothic" w:eastAsia="Times New Roman" w:hAnsi="Century Gothic" w:cs="Calibri"/>
                <w:b/>
                <w:bCs/>
                <w:color w:val="000000"/>
                <w:sz w:val="18"/>
                <w:szCs w:val="18"/>
                <w:lang w:eastAsia="en-GB"/>
              </w:rPr>
              <w:lastRenderedPageBreak/>
              <w:t> </w:t>
            </w:r>
          </w:p>
        </w:tc>
        <w:tc>
          <w:tcPr>
            <w:tcW w:w="729" w:type="dxa"/>
            <w:tcBorders>
              <w:top w:val="single" w:sz="8" w:space="0" w:color="auto"/>
              <w:left w:val="nil"/>
              <w:bottom w:val="single" w:sz="4" w:space="0" w:color="auto"/>
              <w:right w:val="single" w:sz="4" w:space="0" w:color="auto"/>
            </w:tcBorders>
            <w:shd w:val="clear" w:color="666666" w:fill="666666"/>
            <w:noWrap/>
            <w:vAlign w:val="center"/>
            <w:hideMark/>
          </w:tcPr>
          <w:p w14:paraId="1023B2A7" w14:textId="77777777" w:rsidR="00C948FF" w:rsidRPr="00C948FF" w:rsidRDefault="00C948FF" w:rsidP="00C948FF">
            <w:pPr>
              <w:spacing w:line="240" w:lineRule="auto"/>
              <w:jc w:val="center"/>
              <w:rPr>
                <w:rFonts w:ascii="Century Gothic" w:eastAsia="Times New Roman" w:hAnsi="Century Gothic" w:cs="Calibri"/>
                <w:b/>
                <w:bCs/>
                <w:color w:val="FFFFFF"/>
                <w:sz w:val="18"/>
                <w:szCs w:val="18"/>
                <w:lang w:eastAsia="en-GB"/>
              </w:rPr>
            </w:pPr>
            <w:r w:rsidRPr="00C948FF">
              <w:rPr>
                <w:rFonts w:ascii="Century Gothic" w:eastAsia="Times New Roman" w:hAnsi="Century Gothic" w:cs="Calibri"/>
                <w:b/>
                <w:bCs/>
                <w:color w:val="FFFFFF"/>
                <w:sz w:val="18"/>
                <w:szCs w:val="18"/>
                <w:lang w:eastAsia="en-GB"/>
              </w:rPr>
              <w:t>Sales</w:t>
            </w:r>
          </w:p>
        </w:tc>
        <w:tc>
          <w:tcPr>
            <w:tcW w:w="761" w:type="dxa"/>
            <w:tcBorders>
              <w:top w:val="single" w:sz="8" w:space="0" w:color="auto"/>
              <w:left w:val="nil"/>
              <w:bottom w:val="single" w:sz="4" w:space="0" w:color="auto"/>
              <w:right w:val="single" w:sz="4" w:space="0" w:color="auto"/>
            </w:tcBorders>
            <w:shd w:val="clear" w:color="666666" w:fill="666666"/>
            <w:noWrap/>
            <w:vAlign w:val="center"/>
            <w:hideMark/>
          </w:tcPr>
          <w:p w14:paraId="448957B5" w14:textId="77777777" w:rsidR="00C948FF" w:rsidRPr="00C948FF" w:rsidRDefault="00C948FF" w:rsidP="00C948FF">
            <w:pPr>
              <w:spacing w:line="240" w:lineRule="auto"/>
              <w:jc w:val="center"/>
              <w:rPr>
                <w:rFonts w:ascii="Century Gothic" w:eastAsia="Times New Roman" w:hAnsi="Century Gothic" w:cs="Calibri"/>
                <w:b/>
                <w:bCs/>
                <w:color w:val="FFFFFF"/>
                <w:sz w:val="18"/>
                <w:szCs w:val="18"/>
                <w:lang w:eastAsia="en-GB"/>
              </w:rPr>
            </w:pPr>
            <w:r w:rsidRPr="00C948FF">
              <w:rPr>
                <w:rFonts w:ascii="Century Gothic" w:eastAsia="Times New Roman" w:hAnsi="Century Gothic" w:cs="Calibri"/>
                <w:b/>
                <w:bCs/>
                <w:color w:val="FFFFFF"/>
                <w:sz w:val="18"/>
                <w:szCs w:val="18"/>
                <w:lang w:eastAsia="en-GB"/>
              </w:rPr>
              <w:t>2019</w:t>
            </w:r>
          </w:p>
        </w:tc>
        <w:tc>
          <w:tcPr>
            <w:tcW w:w="865" w:type="dxa"/>
            <w:tcBorders>
              <w:top w:val="single" w:sz="8" w:space="0" w:color="auto"/>
              <w:left w:val="nil"/>
              <w:bottom w:val="single" w:sz="4" w:space="0" w:color="auto"/>
              <w:right w:val="single" w:sz="4" w:space="0" w:color="auto"/>
            </w:tcBorders>
            <w:shd w:val="clear" w:color="666666" w:fill="666666"/>
            <w:noWrap/>
            <w:vAlign w:val="center"/>
            <w:hideMark/>
          </w:tcPr>
          <w:p w14:paraId="63F68694" w14:textId="77777777" w:rsidR="00C948FF" w:rsidRPr="00C948FF" w:rsidRDefault="00C948FF" w:rsidP="00C948FF">
            <w:pPr>
              <w:spacing w:line="240" w:lineRule="auto"/>
              <w:jc w:val="center"/>
              <w:rPr>
                <w:rFonts w:ascii="Century Gothic" w:eastAsia="Times New Roman" w:hAnsi="Century Gothic" w:cs="Calibri"/>
                <w:b/>
                <w:bCs/>
                <w:color w:val="FFFFFF"/>
                <w:sz w:val="18"/>
                <w:szCs w:val="18"/>
                <w:lang w:eastAsia="en-GB"/>
              </w:rPr>
            </w:pPr>
            <w:r w:rsidRPr="00C948FF">
              <w:rPr>
                <w:rFonts w:ascii="Century Gothic" w:eastAsia="Times New Roman" w:hAnsi="Century Gothic" w:cs="Calibri"/>
                <w:b/>
                <w:bCs/>
                <w:color w:val="FFFFFF"/>
                <w:sz w:val="18"/>
                <w:szCs w:val="18"/>
                <w:lang w:eastAsia="en-GB"/>
              </w:rPr>
              <w:t>2018</w:t>
            </w:r>
          </w:p>
        </w:tc>
        <w:tc>
          <w:tcPr>
            <w:tcW w:w="781" w:type="dxa"/>
            <w:tcBorders>
              <w:top w:val="single" w:sz="8" w:space="0" w:color="auto"/>
              <w:left w:val="nil"/>
              <w:bottom w:val="single" w:sz="4" w:space="0" w:color="auto"/>
              <w:right w:val="single" w:sz="4" w:space="0" w:color="auto"/>
            </w:tcBorders>
            <w:shd w:val="clear" w:color="666666" w:fill="666666"/>
            <w:noWrap/>
            <w:vAlign w:val="center"/>
            <w:hideMark/>
          </w:tcPr>
          <w:p w14:paraId="0395D514" w14:textId="77777777" w:rsidR="00C948FF" w:rsidRPr="00C948FF" w:rsidRDefault="00C948FF" w:rsidP="00C948FF">
            <w:pPr>
              <w:spacing w:line="240" w:lineRule="auto"/>
              <w:jc w:val="center"/>
              <w:rPr>
                <w:rFonts w:ascii="Century Gothic" w:eastAsia="Times New Roman" w:hAnsi="Century Gothic" w:cs="Calibri"/>
                <w:b/>
                <w:bCs/>
                <w:color w:val="FFFFFF"/>
                <w:sz w:val="18"/>
                <w:szCs w:val="18"/>
                <w:lang w:eastAsia="en-GB"/>
              </w:rPr>
            </w:pPr>
            <w:r w:rsidRPr="00C948FF">
              <w:rPr>
                <w:rFonts w:ascii="Century Gothic" w:eastAsia="Times New Roman" w:hAnsi="Century Gothic" w:cs="Calibri"/>
                <w:b/>
                <w:bCs/>
                <w:color w:val="FFFFFF"/>
                <w:sz w:val="18"/>
                <w:szCs w:val="18"/>
                <w:lang w:eastAsia="en-GB"/>
              </w:rPr>
              <w:t>2017</w:t>
            </w:r>
          </w:p>
        </w:tc>
        <w:tc>
          <w:tcPr>
            <w:tcW w:w="943" w:type="dxa"/>
            <w:tcBorders>
              <w:top w:val="single" w:sz="8" w:space="0" w:color="auto"/>
              <w:left w:val="nil"/>
              <w:bottom w:val="single" w:sz="4" w:space="0" w:color="auto"/>
              <w:right w:val="single" w:sz="4" w:space="0" w:color="auto"/>
            </w:tcBorders>
            <w:shd w:val="clear" w:color="666666" w:fill="666666"/>
            <w:noWrap/>
            <w:vAlign w:val="center"/>
            <w:hideMark/>
          </w:tcPr>
          <w:p w14:paraId="261C16AA" w14:textId="77777777" w:rsidR="00C948FF" w:rsidRPr="00C948FF" w:rsidRDefault="00C948FF" w:rsidP="00C948FF">
            <w:pPr>
              <w:spacing w:line="240" w:lineRule="auto"/>
              <w:jc w:val="center"/>
              <w:rPr>
                <w:rFonts w:ascii="Century Gothic" w:eastAsia="Times New Roman" w:hAnsi="Century Gothic" w:cs="Calibri"/>
                <w:b/>
                <w:bCs/>
                <w:color w:val="FFFFFF"/>
                <w:sz w:val="18"/>
                <w:szCs w:val="18"/>
                <w:lang w:eastAsia="en-GB"/>
              </w:rPr>
            </w:pPr>
            <w:r w:rsidRPr="00C948FF">
              <w:rPr>
                <w:rFonts w:ascii="Century Gothic" w:eastAsia="Times New Roman" w:hAnsi="Century Gothic" w:cs="Calibri"/>
                <w:b/>
                <w:bCs/>
                <w:color w:val="FFFFFF"/>
                <w:sz w:val="18"/>
                <w:szCs w:val="18"/>
                <w:lang w:eastAsia="en-GB"/>
              </w:rPr>
              <w:t>EBITDA</w:t>
            </w:r>
          </w:p>
        </w:tc>
        <w:tc>
          <w:tcPr>
            <w:tcW w:w="609" w:type="dxa"/>
            <w:tcBorders>
              <w:top w:val="single" w:sz="8" w:space="0" w:color="auto"/>
              <w:left w:val="nil"/>
              <w:bottom w:val="single" w:sz="4" w:space="0" w:color="auto"/>
              <w:right w:val="single" w:sz="4" w:space="0" w:color="auto"/>
            </w:tcBorders>
            <w:shd w:val="clear" w:color="666666" w:fill="666666"/>
            <w:noWrap/>
            <w:vAlign w:val="center"/>
            <w:hideMark/>
          </w:tcPr>
          <w:p w14:paraId="1E9E4CA7" w14:textId="77777777" w:rsidR="00C948FF" w:rsidRPr="00C948FF" w:rsidRDefault="00C948FF" w:rsidP="00C948FF">
            <w:pPr>
              <w:spacing w:line="240" w:lineRule="auto"/>
              <w:jc w:val="center"/>
              <w:rPr>
                <w:rFonts w:ascii="Century Gothic" w:eastAsia="Times New Roman" w:hAnsi="Century Gothic" w:cs="Calibri"/>
                <w:b/>
                <w:bCs/>
                <w:color w:val="FFFFFF"/>
                <w:sz w:val="18"/>
                <w:szCs w:val="18"/>
                <w:lang w:eastAsia="en-GB"/>
              </w:rPr>
            </w:pPr>
            <w:r w:rsidRPr="00C948FF">
              <w:rPr>
                <w:rFonts w:ascii="Century Gothic" w:eastAsia="Times New Roman" w:hAnsi="Century Gothic" w:cs="Calibri"/>
                <w:b/>
                <w:bCs/>
                <w:color w:val="FFFFFF"/>
                <w:sz w:val="18"/>
                <w:szCs w:val="18"/>
                <w:lang w:eastAsia="en-GB"/>
              </w:rPr>
              <w:t>2019</w:t>
            </w:r>
          </w:p>
        </w:tc>
        <w:tc>
          <w:tcPr>
            <w:tcW w:w="668" w:type="dxa"/>
            <w:tcBorders>
              <w:top w:val="single" w:sz="8" w:space="0" w:color="auto"/>
              <w:left w:val="nil"/>
              <w:bottom w:val="single" w:sz="4" w:space="0" w:color="auto"/>
              <w:right w:val="single" w:sz="4" w:space="0" w:color="auto"/>
            </w:tcBorders>
            <w:shd w:val="clear" w:color="666666" w:fill="666666"/>
            <w:noWrap/>
            <w:vAlign w:val="center"/>
            <w:hideMark/>
          </w:tcPr>
          <w:p w14:paraId="39EF74CA" w14:textId="77777777" w:rsidR="00C948FF" w:rsidRPr="00C948FF" w:rsidRDefault="00C948FF" w:rsidP="00C948FF">
            <w:pPr>
              <w:spacing w:line="240" w:lineRule="auto"/>
              <w:jc w:val="center"/>
              <w:rPr>
                <w:rFonts w:ascii="Century Gothic" w:eastAsia="Times New Roman" w:hAnsi="Century Gothic" w:cs="Calibri"/>
                <w:b/>
                <w:bCs/>
                <w:color w:val="FFFFFF"/>
                <w:sz w:val="18"/>
                <w:szCs w:val="18"/>
                <w:lang w:eastAsia="en-GB"/>
              </w:rPr>
            </w:pPr>
            <w:r w:rsidRPr="00C948FF">
              <w:rPr>
                <w:rFonts w:ascii="Century Gothic" w:eastAsia="Times New Roman" w:hAnsi="Century Gothic" w:cs="Calibri"/>
                <w:b/>
                <w:bCs/>
                <w:color w:val="FFFFFF"/>
                <w:sz w:val="18"/>
                <w:szCs w:val="18"/>
                <w:lang w:eastAsia="en-GB"/>
              </w:rPr>
              <w:t>2018</w:t>
            </w:r>
          </w:p>
        </w:tc>
        <w:tc>
          <w:tcPr>
            <w:tcW w:w="696" w:type="dxa"/>
            <w:tcBorders>
              <w:top w:val="single" w:sz="8" w:space="0" w:color="auto"/>
              <w:left w:val="nil"/>
              <w:bottom w:val="single" w:sz="4" w:space="0" w:color="auto"/>
              <w:right w:val="single" w:sz="4" w:space="0" w:color="auto"/>
            </w:tcBorders>
            <w:shd w:val="clear" w:color="666666" w:fill="666666"/>
            <w:noWrap/>
            <w:vAlign w:val="center"/>
            <w:hideMark/>
          </w:tcPr>
          <w:p w14:paraId="32604638" w14:textId="77777777" w:rsidR="00C948FF" w:rsidRPr="00C948FF" w:rsidRDefault="00C948FF" w:rsidP="00C948FF">
            <w:pPr>
              <w:spacing w:line="240" w:lineRule="auto"/>
              <w:jc w:val="center"/>
              <w:rPr>
                <w:rFonts w:ascii="Century Gothic" w:eastAsia="Times New Roman" w:hAnsi="Century Gothic" w:cs="Calibri"/>
                <w:b/>
                <w:bCs/>
                <w:color w:val="FFFFFF"/>
                <w:sz w:val="18"/>
                <w:szCs w:val="18"/>
                <w:lang w:eastAsia="en-GB"/>
              </w:rPr>
            </w:pPr>
            <w:r w:rsidRPr="00C948FF">
              <w:rPr>
                <w:rFonts w:ascii="Century Gothic" w:eastAsia="Times New Roman" w:hAnsi="Century Gothic" w:cs="Calibri"/>
                <w:b/>
                <w:bCs/>
                <w:color w:val="FFFFFF"/>
                <w:sz w:val="18"/>
                <w:szCs w:val="18"/>
                <w:lang w:eastAsia="en-GB"/>
              </w:rPr>
              <w:t>2017</w:t>
            </w:r>
          </w:p>
        </w:tc>
        <w:tc>
          <w:tcPr>
            <w:tcW w:w="648" w:type="dxa"/>
            <w:tcBorders>
              <w:top w:val="single" w:sz="8" w:space="0" w:color="auto"/>
              <w:left w:val="nil"/>
              <w:bottom w:val="single" w:sz="4" w:space="0" w:color="auto"/>
              <w:right w:val="single" w:sz="4" w:space="0" w:color="auto"/>
            </w:tcBorders>
            <w:shd w:val="clear" w:color="666666" w:fill="666666"/>
            <w:noWrap/>
            <w:vAlign w:val="center"/>
            <w:hideMark/>
          </w:tcPr>
          <w:p w14:paraId="3272AE35" w14:textId="6FB7E09B" w:rsidR="00C948FF" w:rsidRPr="00C948FF" w:rsidRDefault="00C948FF" w:rsidP="00C948FF">
            <w:pPr>
              <w:spacing w:line="240" w:lineRule="auto"/>
              <w:jc w:val="center"/>
              <w:rPr>
                <w:rFonts w:ascii="Century Gothic" w:eastAsia="Times New Roman" w:hAnsi="Century Gothic" w:cs="Calibri"/>
                <w:b/>
                <w:bCs/>
                <w:color w:val="FFFFFF"/>
                <w:sz w:val="18"/>
                <w:szCs w:val="18"/>
                <w:lang w:eastAsia="en-GB"/>
              </w:rPr>
            </w:pPr>
            <w:r w:rsidRPr="00C948FF">
              <w:rPr>
                <w:rFonts w:ascii="Century Gothic" w:eastAsia="Times New Roman" w:hAnsi="Century Gothic" w:cs="Calibri"/>
                <w:b/>
                <w:bCs/>
                <w:color w:val="FFFFFF"/>
                <w:sz w:val="18"/>
                <w:szCs w:val="18"/>
                <w:lang w:eastAsia="en-GB"/>
              </w:rPr>
              <w:t>Margin</w:t>
            </w:r>
          </w:p>
        </w:tc>
        <w:tc>
          <w:tcPr>
            <w:tcW w:w="738" w:type="dxa"/>
            <w:tcBorders>
              <w:top w:val="single" w:sz="8" w:space="0" w:color="auto"/>
              <w:left w:val="nil"/>
              <w:bottom w:val="single" w:sz="4" w:space="0" w:color="auto"/>
              <w:right w:val="single" w:sz="4" w:space="0" w:color="auto"/>
            </w:tcBorders>
            <w:shd w:val="clear" w:color="666666" w:fill="666666"/>
            <w:noWrap/>
            <w:vAlign w:val="center"/>
            <w:hideMark/>
          </w:tcPr>
          <w:p w14:paraId="7491F540" w14:textId="77777777" w:rsidR="00C948FF" w:rsidRPr="00C948FF" w:rsidRDefault="00C948FF" w:rsidP="00C948FF">
            <w:pPr>
              <w:spacing w:line="240" w:lineRule="auto"/>
              <w:jc w:val="center"/>
              <w:rPr>
                <w:rFonts w:ascii="Century Gothic" w:eastAsia="Times New Roman" w:hAnsi="Century Gothic" w:cs="Calibri"/>
                <w:b/>
                <w:bCs/>
                <w:color w:val="FFFFFF"/>
                <w:sz w:val="18"/>
                <w:szCs w:val="18"/>
                <w:lang w:eastAsia="en-GB"/>
              </w:rPr>
            </w:pPr>
            <w:r w:rsidRPr="00C948FF">
              <w:rPr>
                <w:rFonts w:ascii="Century Gothic" w:eastAsia="Times New Roman" w:hAnsi="Century Gothic" w:cs="Calibri"/>
                <w:b/>
                <w:bCs/>
                <w:color w:val="FFFFFF"/>
                <w:sz w:val="18"/>
                <w:szCs w:val="18"/>
                <w:lang w:eastAsia="en-GB"/>
              </w:rPr>
              <w:t>2019</w:t>
            </w:r>
          </w:p>
        </w:tc>
        <w:tc>
          <w:tcPr>
            <w:tcW w:w="573" w:type="dxa"/>
            <w:tcBorders>
              <w:top w:val="single" w:sz="8" w:space="0" w:color="auto"/>
              <w:left w:val="nil"/>
              <w:bottom w:val="single" w:sz="4" w:space="0" w:color="auto"/>
              <w:right w:val="single" w:sz="4" w:space="0" w:color="auto"/>
            </w:tcBorders>
            <w:shd w:val="clear" w:color="666666" w:fill="666666"/>
            <w:noWrap/>
            <w:vAlign w:val="center"/>
            <w:hideMark/>
          </w:tcPr>
          <w:p w14:paraId="1E7A9BD4" w14:textId="77777777" w:rsidR="00C948FF" w:rsidRPr="00C948FF" w:rsidRDefault="00C948FF" w:rsidP="00C948FF">
            <w:pPr>
              <w:spacing w:line="240" w:lineRule="auto"/>
              <w:jc w:val="center"/>
              <w:rPr>
                <w:rFonts w:ascii="Century Gothic" w:eastAsia="Times New Roman" w:hAnsi="Century Gothic" w:cs="Calibri"/>
                <w:b/>
                <w:bCs/>
                <w:color w:val="FFFFFF"/>
                <w:sz w:val="18"/>
                <w:szCs w:val="18"/>
                <w:lang w:eastAsia="en-GB"/>
              </w:rPr>
            </w:pPr>
            <w:r w:rsidRPr="00C948FF">
              <w:rPr>
                <w:rFonts w:ascii="Century Gothic" w:eastAsia="Times New Roman" w:hAnsi="Century Gothic" w:cs="Calibri"/>
                <w:b/>
                <w:bCs/>
                <w:color w:val="FFFFFF"/>
                <w:sz w:val="18"/>
                <w:szCs w:val="18"/>
                <w:lang w:eastAsia="en-GB"/>
              </w:rPr>
              <w:t>2018</w:t>
            </w:r>
          </w:p>
        </w:tc>
        <w:tc>
          <w:tcPr>
            <w:tcW w:w="573" w:type="dxa"/>
            <w:tcBorders>
              <w:top w:val="single" w:sz="8" w:space="0" w:color="auto"/>
              <w:left w:val="nil"/>
              <w:bottom w:val="single" w:sz="4" w:space="0" w:color="auto"/>
              <w:right w:val="single" w:sz="8" w:space="0" w:color="auto"/>
            </w:tcBorders>
            <w:shd w:val="clear" w:color="666666" w:fill="666666"/>
            <w:noWrap/>
            <w:vAlign w:val="center"/>
            <w:hideMark/>
          </w:tcPr>
          <w:p w14:paraId="60B8C5FE" w14:textId="77777777" w:rsidR="00C948FF" w:rsidRPr="00C948FF" w:rsidRDefault="00C948FF" w:rsidP="00C948FF">
            <w:pPr>
              <w:spacing w:line="240" w:lineRule="auto"/>
              <w:jc w:val="center"/>
              <w:rPr>
                <w:rFonts w:ascii="Century Gothic" w:eastAsia="Times New Roman" w:hAnsi="Century Gothic" w:cs="Calibri"/>
                <w:b/>
                <w:bCs/>
                <w:color w:val="FFFFFF"/>
                <w:sz w:val="18"/>
                <w:szCs w:val="18"/>
                <w:lang w:eastAsia="en-GB"/>
              </w:rPr>
            </w:pPr>
            <w:r w:rsidRPr="00C948FF">
              <w:rPr>
                <w:rFonts w:ascii="Century Gothic" w:eastAsia="Times New Roman" w:hAnsi="Century Gothic" w:cs="Calibri"/>
                <w:b/>
                <w:bCs/>
                <w:color w:val="FFFFFF"/>
                <w:sz w:val="18"/>
                <w:szCs w:val="18"/>
                <w:lang w:eastAsia="en-GB"/>
              </w:rPr>
              <w:t>2017</w:t>
            </w:r>
          </w:p>
        </w:tc>
      </w:tr>
      <w:tr w:rsidR="00C948FF" w:rsidRPr="00C948FF" w14:paraId="37AFB003" w14:textId="77777777" w:rsidTr="003A5E0E">
        <w:trPr>
          <w:trHeight w:val="451"/>
        </w:trPr>
        <w:tc>
          <w:tcPr>
            <w:tcW w:w="1239" w:type="dxa"/>
            <w:tcBorders>
              <w:top w:val="nil"/>
              <w:left w:val="single" w:sz="8" w:space="0" w:color="auto"/>
              <w:bottom w:val="single" w:sz="4" w:space="0" w:color="auto"/>
              <w:right w:val="single" w:sz="4" w:space="0" w:color="auto"/>
            </w:tcBorders>
            <w:shd w:val="clear" w:color="auto" w:fill="auto"/>
            <w:noWrap/>
            <w:vAlign w:val="bottom"/>
            <w:hideMark/>
          </w:tcPr>
          <w:p w14:paraId="61B2EEFD" w14:textId="77777777" w:rsidR="00C948FF" w:rsidRPr="00C948FF" w:rsidRDefault="00C948FF" w:rsidP="00C948FF">
            <w:pPr>
              <w:spacing w:line="240" w:lineRule="auto"/>
              <w:rPr>
                <w:rFonts w:ascii="Calibri" w:eastAsia="Times New Roman" w:hAnsi="Calibri" w:cs="Calibri"/>
                <w:color w:val="000000"/>
                <w:sz w:val="22"/>
                <w:lang w:eastAsia="en-GB"/>
              </w:rPr>
            </w:pPr>
            <w:r w:rsidRPr="00C948FF">
              <w:rPr>
                <w:rFonts w:ascii="Calibri" w:eastAsia="Times New Roman" w:hAnsi="Calibri" w:cs="Calibri"/>
                <w:color w:val="000000"/>
                <w:sz w:val="22"/>
                <w:lang w:eastAsia="en-GB"/>
              </w:rPr>
              <w:t>Bridges</w:t>
            </w:r>
          </w:p>
        </w:tc>
        <w:tc>
          <w:tcPr>
            <w:tcW w:w="729" w:type="dxa"/>
            <w:tcBorders>
              <w:top w:val="nil"/>
              <w:left w:val="nil"/>
              <w:bottom w:val="single" w:sz="4" w:space="0" w:color="auto"/>
              <w:right w:val="single" w:sz="4" w:space="0" w:color="auto"/>
            </w:tcBorders>
            <w:shd w:val="clear" w:color="auto" w:fill="auto"/>
            <w:noWrap/>
            <w:vAlign w:val="bottom"/>
            <w:hideMark/>
          </w:tcPr>
          <w:p w14:paraId="28874D02" w14:textId="77777777" w:rsidR="00C948FF" w:rsidRPr="00C948FF" w:rsidRDefault="00C948FF" w:rsidP="00C948FF">
            <w:pPr>
              <w:spacing w:line="240" w:lineRule="auto"/>
              <w:rPr>
                <w:rFonts w:ascii="Calibri" w:eastAsia="Times New Roman" w:hAnsi="Calibri" w:cs="Calibri"/>
                <w:color w:val="000000"/>
                <w:sz w:val="22"/>
                <w:lang w:eastAsia="en-GB"/>
              </w:rPr>
            </w:pPr>
            <w:r w:rsidRPr="00C948FF">
              <w:rPr>
                <w:rFonts w:ascii="Calibri" w:eastAsia="Times New Roman" w:hAnsi="Calibri" w:cs="Calibri"/>
                <w:color w:val="000000"/>
                <w:sz w:val="22"/>
                <w:lang w:eastAsia="en-GB"/>
              </w:rPr>
              <w:t> </w:t>
            </w:r>
          </w:p>
        </w:tc>
        <w:tc>
          <w:tcPr>
            <w:tcW w:w="761" w:type="dxa"/>
            <w:tcBorders>
              <w:top w:val="nil"/>
              <w:left w:val="nil"/>
              <w:bottom w:val="single" w:sz="4" w:space="0" w:color="auto"/>
              <w:right w:val="single" w:sz="4" w:space="0" w:color="auto"/>
            </w:tcBorders>
            <w:shd w:val="clear" w:color="auto" w:fill="auto"/>
            <w:hideMark/>
          </w:tcPr>
          <w:p w14:paraId="69A20B2F" w14:textId="77777777" w:rsidR="00C948FF" w:rsidRPr="00C948FF" w:rsidRDefault="00C948FF" w:rsidP="00C948FF">
            <w:pPr>
              <w:spacing w:line="240" w:lineRule="auto"/>
              <w:jc w:val="right"/>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£30,594</w:t>
            </w:r>
          </w:p>
        </w:tc>
        <w:tc>
          <w:tcPr>
            <w:tcW w:w="865" w:type="dxa"/>
            <w:tcBorders>
              <w:top w:val="nil"/>
              <w:left w:val="nil"/>
              <w:bottom w:val="single" w:sz="4" w:space="0" w:color="auto"/>
              <w:right w:val="single" w:sz="4" w:space="0" w:color="auto"/>
            </w:tcBorders>
            <w:shd w:val="clear" w:color="auto" w:fill="auto"/>
            <w:hideMark/>
          </w:tcPr>
          <w:p w14:paraId="0893F287" w14:textId="77777777" w:rsidR="00C948FF" w:rsidRPr="00C948FF" w:rsidRDefault="00C948FF" w:rsidP="00C948FF">
            <w:pPr>
              <w:spacing w:line="240" w:lineRule="auto"/>
              <w:jc w:val="right"/>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£26,133</w:t>
            </w:r>
          </w:p>
        </w:tc>
        <w:tc>
          <w:tcPr>
            <w:tcW w:w="781" w:type="dxa"/>
            <w:tcBorders>
              <w:top w:val="nil"/>
              <w:left w:val="nil"/>
              <w:bottom w:val="single" w:sz="4" w:space="0" w:color="auto"/>
              <w:right w:val="single" w:sz="4" w:space="0" w:color="auto"/>
            </w:tcBorders>
            <w:shd w:val="clear" w:color="auto" w:fill="auto"/>
            <w:hideMark/>
          </w:tcPr>
          <w:p w14:paraId="2ECBE076" w14:textId="77777777" w:rsidR="00C948FF" w:rsidRPr="00C948FF" w:rsidRDefault="00C948FF" w:rsidP="00C948FF">
            <w:pPr>
              <w:spacing w:line="240" w:lineRule="auto"/>
              <w:jc w:val="right"/>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£18,405</w:t>
            </w:r>
          </w:p>
        </w:tc>
        <w:tc>
          <w:tcPr>
            <w:tcW w:w="943" w:type="dxa"/>
            <w:tcBorders>
              <w:top w:val="nil"/>
              <w:left w:val="nil"/>
              <w:bottom w:val="single" w:sz="4" w:space="0" w:color="auto"/>
              <w:right w:val="single" w:sz="4" w:space="0" w:color="auto"/>
            </w:tcBorders>
            <w:shd w:val="clear" w:color="auto" w:fill="auto"/>
            <w:hideMark/>
          </w:tcPr>
          <w:p w14:paraId="5E6EEA47" w14:textId="77777777" w:rsidR="00C948FF" w:rsidRPr="00C948FF" w:rsidRDefault="00C948FF" w:rsidP="00C948FF">
            <w:pPr>
              <w:spacing w:line="240" w:lineRule="auto"/>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 </w:t>
            </w:r>
          </w:p>
        </w:tc>
        <w:tc>
          <w:tcPr>
            <w:tcW w:w="609" w:type="dxa"/>
            <w:tcBorders>
              <w:top w:val="nil"/>
              <w:left w:val="nil"/>
              <w:bottom w:val="single" w:sz="4" w:space="0" w:color="auto"/>
              <w:right w:val="single" w:sz="4" w:space="0" w:color="auto"/>
            </w:tcBorders>
            <w:shd w:val="clear" w:color="auto" w:fill="auto"/>
            <w:hideMark/>
          </w:tcPr>
          <w:p w14:paraId="601E96B5" w14:textId="77777777" w:rsidR="00C948FF" w:rsidRPr="00C948FF" w:rsidRDefault="00C948FF" w:rsidP="00C948FF">
            <w:pPr>
              <w:spacing w:line="240" w:lineRule="auto"/>
              <w:jc w:val="right"/>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£1,255</w:t>
            </w:r>
          </w:p>
        </w:tc>
        <w:tc>
          <w:tcPr>
            <w:tcW w:w="668" w:type="dxa"/>
            <w:tcBorders>
              <w:top w:val="nil"/>
              <w:left w:val="nil"/>
              <w:bottom w:val="single" w:sz="4" w:space="0" w:color="auto"/>
              <w:right w:val="single" w:sz="4" w:space="0" w:color="auto"/>
            </w:tcBorders>
            <w:shd w:val="clear" w:color="auto" w:fill="auto"/>
            <w:hideMark/>
          </w:tcPr>
          <w:p w14:paraId="108893B2" w14:textId="77777777" w:rsidR="00C948FF" w:rsidRPr="00C948FF" w:rsidRDefault="00C948FF" w:rsidP="00C948FF">
            <w:pPr>
              <w:spacing w:line="240" w:lineRule="auto"/>
              <w:jc w:val="right"/>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£273</w:t>
            </w:r>
          </w:p>
        </w:tc>
        <w:tc>
          <w:tcPr>
            <w:tcW w:w="696" w:type="dxa"/>
            <w:tcBorders>
              <w:top w:val="nil"/>
              <w:left w:val="nil"/>
              <w:bottom w:val="single" w:sz="4" w:space="0" w:color="auto"/>
              <w:right w:val="single" w:sz="4" w:space="0" w:color="auto"/>
            </w:tcBorders>
            <w:shd w:val="clear" w:color="auto" w:fill="auto"/>
            <w:hideMark/>
          </w:tcPr>
          <w:p w14:paraId="6296C364" w14:textId="77777777" w:rsidR="00C948FF" w:rsidRPr="00C948FF" w:rsidRDefault="00C948FF" w:rsidP="00C948FF">
            <w:pPr>
              <w:spacing w:line="240" w:lineRule="auto"/>
              <w:jc w:val="right"/>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£683</w:t>
            </w:r>
          </w:p>
        </w:tc>
        <w:tc>
          <w:tcPr>
            <w:tcW w:w="648" w:type="dxa"/>
            <w:tcBorders>
              <w:top w:val="nil"/>
              <w:left w:val="nil"/>
              <w:bottom w:val="single" w:sz="4" w:space="0" w:color="auto"/>
              <w:right w:val="single" w:sz="4" w:space="0" w:color="auto"/>
            </w:tcBorders>
            <w:shd w:val="clear" w:color="auto" w:fill="auto"/>
            <w:noWrap/>
            <w:vAlign w:val="bottom"/>
            <w:hideMark/>
          </w:tcPr>
          <w:p w14:paraId="4CD2C837" w14:textId="77777777" w:rsidR="00C948FF" w:rsidRPr="00C948FF" w:rsidRDefault="00C948FF" w:rsidP="00C948FF">
            <w:pPr>
              <w:spacing w:line="240" w:lineRule="auto"/>
              <w:rPr>
                <w:rFonts w:ascii="Calibri" w:eastAsia="Times New Roman" w:hAnsi="Calibri" w:cs="Calibri"/>
                <w:color w:val="000000"/>
                <w:sz w:val="22"/>
                <w:lang w:eastAsia="en-GB"/>
              </w:rPr>
            </w:pPr>
            <w:r w:rsidRPr="00C948FF">
              <w:rPr>
                <w:rFonts w:ascii="Calibri" w:eastAsia="Times New Roman" w:hAnsi="Calibri" w:cs="Calibri"/>
                <w:color w:val="000000"/>
                <w:sz w:val="22"/>
                <w:lang w:eastAsia="en-GB"/>
              </w:rPr>
              <w:t> </w:t>
            </w:r>
          </w:p>
        </w:tc>
        <w:tc>
          <w:tcPr>
            <w:tcW w:w="738" w:type="dxa"/>
            <w:tcBorders>
              <w:top w:val="nil"/>
              <w:left w:val="nil"/>
              <w:bottom w:val="single" w:sz="4" w:space="0" w:color="auto"/>
              <w:right w:val="single" w:sz="4" w:space="0" w:color="auto"/>
            </w:tcBorders>
            <w:shd w:val="clear" w:color="auto" w:fill="auto"/>
            <w:noWrap/>
            <w:vAlign w:val="bottom"/>
            <w:hideMark/>
          </w:tcPr>
          <w:p w14:paraId="4D57CD9B" w14:textId="77777777" w:rsidR="00C948FF" w:rsidRPr="00C948FF" w:rsidRDefault="00C948FF" w:rsidP="00C948FF">
            <w:pPr>
              <w:spacing w:line="240" w:lineRule="auto"/>
              <w:jc w:val="right"/>
              <w:rPr>
                <w:rFonts w:ascii="Century Gothic" w:eastAsia="Times New Roman" w:hAnsi="Century Gothic" w:cs="Calibri"/>
                <w:color w:val="000000"/>
                <w:sz w:val="18"/>
                <w:szCs w:val="18"/>
                <w:lang w:eastAsia="en-GB"/>
              </w:rPr>
            </w:pPr>
            <w:r w:rsidRPr="00C948FF">
              <w:rPr>
                <w:rFonts w:ascii="Century Gothic" w:eastAsia="Times New Roman" w:hAnsi="Century Gothic" w:cs="Calibri"/>
                <w:color w:val="000000"/>
                <w:sz w:val="18"/>
                <w:szCs w:val="18"/>
                <w:lang w:eastAsia="en-GB"/>
              </w:rPr>
              <w:t>4%</w:t>
            </w:r>
          </w:p>
        </w:tc>
        <w:tc>
          <w:tcPr>
            <w:tcW w:w="573" w:type="dxa"/>
            <w:tcBorders>
              <w:top w:val="nil"/>
              <w:left w:val="nil"/>
              <w:bottom w:val="single" w:sz="4" w:space="0" w:color="auto"/>
              <w:right w:val="single" w:sz="4" w:space="0" w:color="auto"/>
            </w:tcBorders>
            <w:shd w:val="clear" w:color="auto" w:fill="auto"/>
            <w:noWrap/>
            <w:vAlign w:val="bottom"/>
            <w:hideMark/>
          </w:tcPr>
          <w:p w14:paraId="3C77952A" w14:textId="77777777" w:rsidR="00C948FF" w:rsidRPr="00C948FF" w:rsidRDefault="00C948FF" w:rsidP="00C948FF">
            <w:pPr>
              <w:spacing w:line="240" w:lineRule="auto"/>
              <w:jc w:val="right"/>
              <w:rPr>
                <w:rFonts w:ascii="Century Gothic" w:eastAsia="Times New Roman" w:hAnsi="Century Gothic" w:cs="Calibri"/>
                <w:color w:val="000000"/>
                <w:sz w:val="18"/>
                <w:szCs w:val="18"/>
                <w:lang w:eastAsia="en-GB"/>
              </w:rPr>
            </w:pPr>
            <w:r w:rsidRPr="00C948FF">
              <w:rPr>
                <w:rFonts w:ascii="Century Gothic" w:eastAsia="Times New Roman" w:hAnsi="Century Gothic" w:cs="Calibri"/>
                <w:color w:val="000000"/>
                <w:sz w:val="18"/>
                <w:szCs w:val="18"/>
                <w:lang w:eastAsia="en-GB"/>
              </w:rPr>
              <w:t>1%</w:t>
            </w:r>
          </w:p>
        </w:tc>
        <w:tc>
          <w:tcPr>
            <w:tcW w:w="573" w:type="dxa"/>
            <w:tcBorders>
              <w:top w:val="nil"/>
              <w:left w:val="nil"/>
              <w:bottom w:val="single" w:sz="4" w:space="0" w:color="auto"/>
              <w:right w:val="single" w:sz="8" w:space="0" w:color="auto"/>
            </w:tcBorders>
            <w:shd w:val="clear" w:color="auto" w:fill="auto"/>
            <w:noWrap/>
            <w:vAlign w:val="bottom"/>
            <w:hideMark/>
          </w:tcPr>
          <w:p w14:paraId="52A24EA3" w14:textId="77777777" w:rsidR="00C948FF" w:rsidRPr="00C948FF" w:rsidRDefault="00C948FF" w:rsidP="00C948FF">
            <w:pPr>
              <w:spacing w:line="240" w:lineRule="auto"/>
              <w:jc w:val="right"/>
              <w:rPr>
                <w:rFonts w:ascii="Century Gothic" w:eastAsia="Times New Roman" w:hAnsi="Century Gothic" w:cs="Calibri"/>
                <w:color w:val="000000"/>
                <w:sz w:val="18"/>
                <w:szCs w:val="18"/>
                <w:lang w:eastAsia="en-GB"/>
              </w:rPr>
            </w:pPr>
            <w:r w:rsidRPr="00C948FF">
              <w:rPr>
                <w:rFonts w:ascii="Century Gothic" w:eastAsia="Times New Roman" w:hAnsi="Century Gothic" w:cs="Calibri"/>
                <w:color w:val="000000"/>
                <w:sz w:val="18"/>
                <w:szCs w:val="18"/>
                <w:lang w:eastAsia="en-GB"/>
              </w:rPr>
              <w:t>4%</w:t>
            </w:r>
          </w:p>
        </w:tc>
      </w:tr>
      <w:tr w:rsidR="00C948FF" w:rsidRPr="00C948FF" w14:paraId="1EBE4509" w14:textId="77777777" w:rsidTr="003A5E0E">
        <w:trPr>
          <w:trHeight w:val="451"/>
        </w:trPr>
        <w:tc>
          <w:tcPr>
            <w:tcW w:w="1239" w:type="dxa"/>
            <w:tcBorders>
              <w:top w:val="nil"/>
              <w:left w:val="single" w:sz="8" w:space="0" w:color="auto"/>
              <w:bottom w:val="single" w:sz="4" w:space="0" w:color="auto"/>
              <w:right w:val="single" w:sz="4" w:space="0" w:color="auto"/>
            </w:tcBorders>
            <w:shd w:val="clear" w:color="auto" w:fill="auto"/>
            <w:noWrap/>
            <w:vAlign w:val="bottom"/>
            <w:hideMark/>
          </w:tcPr>
          <w:p w14:paraId="6A003309" w14:textId="77777777" w:rsidR="00C948FF" w:rsidRPr="00C948FF" w:rsidRDefault="00C948FF" w:rsidP="00C948FF">
            <w:pPr>
              <w:spacing w:line="240" w:lineRule="auto"/>
              <w:rPr>
                <w:rFonts w:ascii="Calibri" w:eastAsia="Times New Roman" w:hAnsi="Calibri" w:cs="Calibri"/>
                <w:color w:val="000000"/>
                <w:sz w:val="22"/>
                <w:lang w:eastAsia="en-GB"/>
              </w:rPr>
            </w:pPr>
            <w:r w:rsidRPr="00C948FF">
              <w:rPr>
                <w:rFonts w:ascii="Calibri" w:eastAsia="Times New Roman" w:hAnsi="Calibri" w:cs="Calibri"/>
                <w:color w:val="000000"/>
                <w:sz w:val="22"/>
                <w:lang w:eastAsia="en-GB"/>
              </w:rPr>
              <w:t>Northavon</w:t>
            </w:r>
          </w:p>
        </w:tc>
        <w:tc>
          <w:tcPr>
            <w:tcW w:w="729" w:type="dxa"/>
            <w:tcBorders>
              <w:top w:val="nil"/>
              <w:left w:val="nil"/>
              <w:bottom w:val="single" w:sz="4" w:space="0" w:color="auto"/>
              <w:right w:val="single" w:sz="4" w:space="0" w:color="auto"/>
            </w:tcBorders>
            <w:shd w:val="clear" w:color="auto" w:fill="auto"/>
            <w:noWrap/>
            <w:vAlign w:val="bottom"/>
            <w:hideMark/>
          </w:tcPr>
          <w:p w14:paraId="24B2D935" w14:textId="77777777" w:rsidR="00C948FF" w:rsidRPr="00C948FF" w:rsidRDefault="00C948FF" w:rsidP="00C948FF">
            <w:pPr>
              <w:spacing w:line="240" w:lineRule="auto"/>
              <w:rPr>
                <w:rFonts w:ascii="Calibri" w:eastAsia="Times New Roman" w:hAnsi="Calibri" w:cs="Calibri"/>
                <w:color w:val="000000"/>
                <w:sz w:val="22"/>
                <w:lang w:eastAsia="en-GB"/>
              </w:rPr>
            </w:pPr>
            <w:r w:rsidRPr="00C948FF">
              <w:rPr>
                <w:rFonts w:ascii="Calibri" w:eastAsia="Times New Roman" w:hAnsi="Calibri" w:cs="Calibri"/>
                <w:color w:val="000000"/>
                <w:sz w:val="22"/>
                <w:lang w:eastAsia="en-GB"/>
              </w:rPr>
              <w:t> </w:t>
            </w:r>
          </w:p>
        </w:tc>
        <w:tc>
          <w:tcPr>
            <w:tcW w:w="761" w:type="dxa"/>
            <w:tcBorders>
              <w:top w:val="nil"/>
              <w:left w:val="nil"/>
              <w:bottom w:val="single" w:sz="4" w:space="0" w:color="auto"/>
              <w:right w:val="single" w:sz="4" w:space="0" w:color="auto"/>
            </w:tcBorders>
            <w:shd w:val="clear" w:color="auto" w:fill="auto"/>
            <w:hideMark/>
          </w:tcPr>
          <w:p w14:paraId="7C43802C" w14:textId="77777777" w:rsidR="00C948FF" w:rsidRPr="00C948FF" w:rsidRDefault="00C948FF" w:rsidP="00C948FF">
            <w:pPr>
              <w:spacing w:line="240" w:lineRule="auto"/>
              <w:jc w:val="right"/>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£15,526</w:t>
            </w:r>
          </w:p>
        </w:tc>
        <w:tc>
          <w:tcPr>
            <w:tcW w:w="865" w:type="dxa"/>
            <w:tcBorders>
              <w:top w:val="nil"/>
              <w:left w:val="nil"/>
              <w:bottom w:val="single" w:sz="4" w:space="0" w:color="auto"/>
              <w:right w:val="single" w:sz="4" w:space="0" w:color="auto"/>
            </w:tcBorders>
            <w:shd w:val="clear" w:color="auto" w:fill="auto"/>
            <w:hideMark/>
          </w:tcPr>
          <w:p w14:paraId="4499017C" w14:textId="77777777" w:rsidR="00C948FF" w:rsidRPr="00C948FF" w:rsidRDefault="00C948FF" w:rsidP="00C948FF">
            <w:pPr>
              <w:spacing w:line="240" w:lineRule="auto"/>
              <w:jc w:val="right"/>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£9,407</w:t>
            </w:r>
          </w:p>
        </w:tc>
        <w:tc>
          <w:tcPr>
            <w:tcW w:w="781" w:type="dxa"/>
            <w:tcBorders>
              <w:top w:val="nil"/>
              <w:left w:val="nil"/>
              <w:bottom w:val="single" w:sz="4" w:space="0" w:color="auto"/>
              <w:right w:val="single" w:sz="4" w:space="0" w:color="auto"/>
            </w:tcBorders>
            <w:shd w:val="clear" w:color="auto" w:fill="auto"/>
            <w:hideMark/>
          </w:tcPr>
          <w:p w14:paraId="3CDAC24C" w14:textId="77777777" w:rsidR="00C948FF" w:rsidRPr="00C948FF" w:rsidRDefault="00C948FF" w:rsidP="00C948FF">
            <w:pPr>
              <w:spacing w:line="240" w:lineRule="auto"/>
              <w:jc w:val="right"/>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£7,196</w:t>
            </w:r>
          </w:p>
        </w:tc>
        <w:tc>
          <w:tcPr>
            <w:tcW w:w="943" w:type="dxa"/>
            <w:tcBorders>
              <w:top w:val="nil"/>
              <w:left w:val="nil"/>
              <w:bottom w:val="single" w:sz="4" w:space="0" w:color="auto"/>
              <w:right w:val="single" w:sz="4" w:space="0" w:color="auto"/>
            </w:tcBorders>
            <w:shd w:val="clear" w:color="auto" w:fill="auto"/>
            <w:hideMark/>
          </w:tcPr>
          <w:p w14:paraId="2F5CA5B1" w14:textId="77777777" w:rsidR="00C948FF" w:rsidRPr="00C948FF" w:rsidRDefault="00C948FF" w:rsidP="00C948FF">
            <w:pPr>
              <w:spacing w:line="240" w:lineRule="auto"/>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 </w:t>
            </w:r>
          </w:p>
        </w:tc>
        <w:tc>
          <w:tcPr>
            <w:tcW w:w="609" w:type="dxa"/>
            <w:tcBorders>
              <w:top w:val="nil"/>
              <w:left w:val="nil"/>
              <w:bottom w:val="single" w:sz="4" w:space="0" w:color="auto"/>
              <w:right w:val="single" w:sz="4" w:space="0" w:color="auto"/>
            </w:tcBorders>
            <w:shd w:val="clear" w:color="auto" w:fill="auto"/>
            <w:hideMark/>
          </w:tcPr>
          <w:p w14:paraId="104D471A" w14:textId="77777777" w:rsidR="00C948FF" w:rsidRPr="00C948FF" w:rsidRDefault="00C948FF" w:rsidP="00C948FF">
            <w:pPr>
              <w:spacing w:line="240" w:lineRule="auto"/>
              <w:jc w:val="right"/>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£677</w:t>
            </w:r>
          </w:p>
        </w:tc>
        <w:tc>
          <w:tcPr>
            <w:tcW w:w="668" w:type="dxa"/>
            <w:tcBorders>
              <w:top w:val="nil"/>
              <w:left w:val="nil"/>
              <w:bottom w:val="single" w:sz="4" w:space="0" w:color="auto"/>
              <w:right w:val="single" w:sz="4" w:space="0" w:color="auto"/>
            </w:tcBorders>
            <w:shd w:val="clear" w:color="auto" w:fill="auto"/>
            <w:hideMark/>
          </w:tcPr>
          <w:p w14:paraId="7FAD7513" w14:textId="77777777" w:rsidR="00C948FF" w:rsidRPr="00C948FF" w:rsidRDefault="00C948FF" w:rsidP="00C948FF">
            <w:pPr>
              <w:spacing w:line="240" w:lineRule="auto"/>
              <w:jc w:val="right"/>
              <w:rPr>
                <w:rFonts w:ascii="Century Gothic" w:eastAsia="Times New Roman" w:hAnsi="Century Gothic" w:cs="Calibri"/>
                <w:sz w:val="18"/>
                <w:szCs w:val="18"/>
                <w:lang w:eastAsia="en-GB"/>
              </w:rPr>
            </w:pPr>
            <w:r w:rsidRPr="00C948FF">
              <w:rPr>
                <w:rFonts w:ascii="Century Gothic" w:eastAsia="Times New Roman" w:hAnsi="Century Gothic" w:cs="Calibri"/>
                <w:color w:val="FF0000"/>
                <w:sz w:val="18"/>
                <w:szCs w:val="18"/>
                <w:lang w:eastAsia="en-GB"/>
              </w:rPr>
              <w:t>-£142</w:t>
            </w:r>
          </w:p>
        </w:tc>
        <w:tc>
          <w:tcPr>
            <w:tcW w:w="696" w:type="dxa"/>
            <w:tcBorders>
              <w:top w:val="nil"/>
              <w:left w:val="nil"/>
              <w:bottom w:val="single" w:sz="4" w:space="0" w:color="auto"/>
              <w:right w:val="single" w:sz="4" w:space="0" w:color="auto"/>
            </w:tcBorders>
            <w:shd w:val="clear" w:color="auto" w:fill="auto"/>
            <w:hideMark/>
          </w:tcPr>
          <w:p w14:paraId="3C7168CB" w14:textId="77777777" w:rsidR="00C948FF" w:rsidRPr="00C948FF" w:rsidRDefault="00C948FF" w:rsidP="00C948FF">
            <w:pPr>
              <w:spacing w:line="240" w:lineRule="auto"/>
              <w:jc w:val="right"/>
              <w:rPr>
                <w:rFonts w:ascii="Century Gothic" w:eastAsia="Times New Roman" w:hAnsi="Century Gothic" w:cs="Calibri"/>
                <w:sz w:val="18"/>
                <w:szCs w:val="18"/>
                <w:lang w:eastAsia="en-GB"/>
              </w:rPr>
            </w:pPr>
            <w:r w:rsidRPr="00C948FF">
              <w:rPr>
                <w:rFonts w:ascii="Century Gothic" w:eastAsia="Times New Roman" w:hAnsi="Century Gothic" w:cs="Calibri"/>
                <w:color w:val="FF0000"/>
                <w:sz w:val="18"/>
                <w:szCs w:val="18"/>
                <w:lang w:eastAsia="en-GB"/>
              </w:rPr>
              <w:t>-£1</w:t>
            </w:r>
          </w:p>
        </w:tc>
        <w:tc>
          <w:tcPr>
            <w:tcW w:w="648" w:type="dxa"/>
            <w:tcBorders>
              <w:top w:val="nil"/>
              <w:left w:val="nil"/>
              <w:bottom w:val="single" w:sz="4" w:space="0" w:color="auto"/>
              <w:right w:val="single" w:sz="4" w:space="0" w:color="auto"/>
            </w:tcBorders>
            <w:shd w:val="clear" w:color="auto" w:fill="auto"/>
            <w:noWrap/>
            <w:vAlign w:val="bottom"/>
            <w:hideMark/>
          </w:tcPr>
          <w:p w14:paraId="65CDF635" w14:textId="77777777" w:rsidR="00C948FF" w:rsidRPr="00C948FF" w:rsidRDefault="00C948FF" w:rsidP="00C948FF">
            <w:pPr>
              <w:spacing w:line="240" w:lineRule="auto"/>
              <w:rPr>
                <w:rFonts w:ascii="Calibri" w:eastAsia="Times New Roman" w:hAnsi="Calibri" w:cs="Calibri"/>
                <w:color w:val="000000"/>
                <w:sz w:val="22"/>
                <w:lang w:eastAsia="en-GB"/>
              </w:rPr>
            </w:pPr>
            <w:r w:rsidRPr="00C948FF">
              <w:rPr>
                <w:rFonts w:ascii="Calibri" w:eastAsia="Times New Roman" w:hAnsi="Calibri" w:cs="Calibri"/>
                <w:color w:val="000000"/>
                <w:sz w:val="22"/>
                <w:lang w:eastAsia="en-GB"/>
              </w:rPr>
              <w:t> </w:t>
            </w:r>
          </w:p>
        </w:tc>
        <w:tc>
          <w:tcPr>
            <w:tcW w:w="738" w:type="dxa"/>
            <w:tcBorders>
              <w:top w:val="nil"/>
              <w:left w:val="nil"/>
              <w:bottom w:val="single" w:sz="4" w:space="0" w:color="auto"/>
              <w:right w:val="single" w:sz="4" w:space="0" w:color="auto"/>
            </w:tcBorders>
            <w:shd w:val="clear" w:color="auto" w:fill="auto"/>
            <w:noWrap/>
            <w:vAlign w:val="bottom"/>
            <w:hideMark/>
          </w:tcPr>
          <w:p w14:paraId="296B2D84" w14:textId="77777777" w:rsidR="00C948FF" w:rsidRPr="00C948FF" w:rsidRDefault="00C948FF" w:rsidP="00C948FF">
            <w:pPr>
              <w:spacing w:line="240" w:lineRule="auto"/>
              <w:jc w:val="right"/>
              <w:rPr>
                <w:rFonts w:ascii="Century Gothic" w:eastAsia="Times New Roman" w:hAnsi="Century Gothic" w:cs="Calibri"/>
                <w:color w:val="000000"/>
                <w:sz w:val="18"/>
                <w:szCs w:val="18"/>
                <w:lang w:eastAsia="en-GB"/>
              </w:rPr>
            </w:pPr>
            <w:r w:rsidRPr="00C948FF">
              <w:rPr>
                <w:rFonts w:ascii="Century Gothic" w:eastAsia="Times New Roman" w:hAnsi="Century Gothic" w:cs="Calibri"/>
                <w:color w:val="000000"/>
                <w:sz w:val="18"/>
                <w:szCs w:val="18"/>
                <w:lang w:eastAsia="en-GB"/>
              </w:rPr>
              <w:t>4%</w:t>
            </w:r>
          </w:p>
        </w:tc>
        <w:tc>
          <w:tcPr>
            <w:tcW w:w="573" w:type="dxa"/>
            <w:tcBorders>
              <w:top w:val="nil"/>
              <w:left w:val="nil"/>
              <w:bottom w:val="single" w:sz="4" w:space="0" w:color="auto"/>
              <w:right w:val="single" w:sz="4" w:space="0" w:color="auto"/>
            </w:tcBorders>
            <w:shd w:val="clear" w:color="auto" w:fill="auto"/>
            <w:noWrap/>
            <w:vAlign w:val="bottom"/>
            <w:hideMark/>
          </w:tcPr>
          <w:p w14:paraId="0FBDE7C3" w14:textId="77777777" w:rsidR="00C948FF" w:rsidRPr="00C948FF" w:rsidRDefault="00C948FF" w:rsidP="00C948FF">
            <w:pPr>
              <w:spacing w:line="240" w:lineRule="auto"/>
              <w:jc w:val="right"/>
              <w:rPr>
                <w:rFonts w:ascii="Century Gothic" w:eastAsia="Times New Roman" w:hAnsi="Century Gothic" w:cs="Calibri"/>
                <w:color w:val="000000"/>
                <w:sz w:val="18"/>
                <w:szCs w:val="18"/>
                <w:lang w:eastAsia="en-GB"/>
              </w:rPr>
            </w:pPr>
            <w:r w:rsidRPr="00C948FF">
              <w:rPr>
                <w:rFonts w:ascii="Century Gothic" w:eastAsia="Times New Roman" w:hAnsi="Century Gothic" w:cs="Calibri"/>
                <w:color w:val="000000"/>
                <w:sz w:val="18"/>
                <w:szCs w:val="18"/>
                <w:lang w:eastAsia="en-GB"/>
              </w:rPr>
              <w:t>-2%</w:t>
            </w:r>
          </w:p>
        </w:tc>
        <w:tc>
          <w:tcPr>
            <w:tcW w:w="573" w:type="dxa"/>
            <w:tcBorders>
              <w:top w:val="nil"/>
              <w:left w:val="nil"/>
              <w:bottom w:val="single" w:sz="4" w:space="0" w:color="auto"/>
              <w:right w:val="single" w:sz="8" w:space="0" w:color="auto"/>
            </w:tcBorders>
            <w:shd w:val="clear" w:color="auto" w:fill="auto"/>
            <w:noWrap/>
            <w:vAlign w:val="bottom"/>
            <w:hideMark/>
          </w:tcPr>
          <w:p w14:paraId="0370F045" w14:textId="77777777" w:rsidR="00C948FF" w:rsidRPr="00C948FF" w:rsidRDefault="00C948FF" w:rsidP="00C948FF">
            <w:pPr>
              <w:spacing w:line="240" w:lineRule="auto"/>
              <w:jc w:val="right"/>
              <w:rPr>
                <w:rFonts w:ascii="Century Gothic" w:eastAsia="Times New Roman" w:hAnsi="Century Gothic" w:cs="Calibri"/>
                <w:color w:val="000000"/>
                <w:sz w:val="18"/>
                <w:szCs w:val="18"/>
                <w:lang w:eastAsia="en-GB"/>
              </w:rPr>
            </w:pPr>
            <w:r w:rsidRPr="00C948FF">
              <w:rPr>
                <w:rFonts w:ascii="Century Gothic" w:eastAsia="Times New Roman" w:hAnsi="Century Gothic" w:cs="Calibri"/>
                <w:color w:val="000000"/>
                <w:sz w:val="18"/>
                <w:szCs w:val="18"/>
                <w:lang w:eastAsia="en-GB"/>
              </w:rPr>
              <w:t>0%</w:t>
            </w:r>
          </w:p>
        </w:tc>
      </w:tr>
      <w:tr w:rsidR="00C948FF" w:rsidRPr="00C948FF" w14:paraId="11B8C17C" w14:textId="77777777" w:rsidTr="003A5E0E">
        <w:trPr>
          <w:trHeight w:val="451"/>
        </w:trPr>
        <w:tc>
          <w:tcPr>
            <w:tcW w:w="1239" w:type="dxa"/>
            <w:tcBorders>
              <w:top w:val="nil"/>
              <w:left w:val="single" w:sz="8" w:space="0" w:color="auto"/>
              <w:bottom w:val="single" w:sz="4" w:space="0" w:color="auto"/>
              <w:right w:val="single" w:sz="4" w:space="0" w:color="auto"/>
            </w:tcBorders>
            <w:shd w:val="clear" w:color="auto" w:fill="auto"/>
            <w:noWrap/>
            <w:vAlign w:val="bottom"/>
            <w:hideMark/>
          </w:tcPr>
          <w:p w14:paraId="046B2611" w14:textId="77777777" w:rsidR="00C948FF" w:rsidRPr="00C948FF" w:rsidRDefault="00C948FF" w:rsidP="00C948FF">
            <w:pPr>
              <w:spacing w:line="240" w:lineRule="auto"/>
              <w:rPr>
                <w:rFonts w:ascii="Calibri" w:eastAsia="Times New Roman" w:hAnsi="Calibri" w:cs="Calibri"/>
                <w:color w:val="000000"/>
                <w:sz w:val="22"/>
                <w:lang w:eastAsia="en-GB"/>
              </w:rPr>
            </w:pPr>
            <w:r w:rsidRPr="00C948FF">
              <w:rPr>
                <w:rFonts w:ascii="Calibri" w:eastAsia="Times New Roman" w:hAnsi="Calibri" w:cs="Calibri"/>
                <w:color w:val="000000"/>
                <w:sz w:val="22"/>
                <w:lang w:eastAsia="en-GB"/>
              </w:rPr>
              <w:t>ACIEM</w:t>
            </w:r>
          </w:p>
        </w:tc>
        <w:tc>
          <w:tcPr>
            <w:tcW w:w="729" w:type="dxa"/>
            <w:tcBorders>
              <w:top w:val="nil"/>
              <w:left w:val="nil"/>
              <w:bottom w:val="single" w:sz="4" w:space="0" w:color="auto"/>
              <w:right w:val="single" w:sz="4" w:space="0" w:color="auto"/>
            </w:tcBorders>
            <w:shd w:val="clear" w:color="auto" w:fill="auto"/>
            <w:noWrap/>
            <w:vAlign w:val="bottom"/>
            <w:hideMark/>
          </w:tcPr>
          <w:p w14:paraId="1DA00BB5" w14:textId="77777777" w:rsidR="00C948FF" w:rsidRPr="00C948FF" w:rsidRDefault="00C948FF" w:rsidP="00C948FF">
            <w:pPr>
              <w:spacing w:line="240" w:lineRule="auto"/>
              <w:rPr>
                <w:rFonts w:ascii="Calibri" w:eastAsia="Times New Roman" w:hAnsi="Calibri" w:cs="Calibri"/>
                <w:color w:val="000000"/>
                <w:sz w:val="22"/>
                <w:lang w:eastAsia="en-GB"/>
              </w:rPr>
            </w:pPr>
            <w:r w:rsidRPr="00C948FF">
              <w:rPr>
                <w:rFonts w:ascii="Calibri" w:eastAsia="Times New Roman" w:hAnsi="Calibri" w:cs="Calibri"/>
                <w:color w:val="000000"/>
                <w:sz w:val="22"/>
                <w:lang w:eastAsia="en-GB"/>
              </w:rPr>
              <w:t> </w:t>
            </w:r>
          </w:p>
        </w:tc>
        <w:tc>
          <w:tcPr>
            <w:tcW w:w="761" w:type="dxa"/>
            <w:tcBorders>
              <w:top w:val="nil"/>
              <w:left w:val="nil"/>
              <w:bottom w:val="single" w:sz="4" w:space="0" w:color="auto"/>
              <w:right w:val="single" w:sz="4" w:space="0" w:color="auto"/>
            </w:tcBorders>
            <w:shd w:val="clear" w:color="auto" w:fill="auto"/>
            <w:hideMark/>
          </w:tcPr>
          <w:p w14:paraId="1FEDD4B4" w14:textId="77777777" w:rsidR="00C948FF" w:rsidRPr="00C948FF" w:rsidRDefault="00C948FF" w:rsidP="00C948FF">
            <w:pPr>
              <w:spacing w:line="240" w:lineRule="auto"/>
              <w:jc w:val="right"/>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£13,927</w:t>
            </w:r>
          </w:p>
        </w:tc>
        <w:tc>
          <w:tcPr>
            <w:tcW w:w="865" w:type="dxa"/>
            <w:tcBorders>
              <w:top w:val="nil"/>
              <w:left w:val="nil"/>
              <w:bottom w:val="single" w:sz="4" w:space="0" w:color="auto"/>
              <w:right w:val="single" w:sz="4" w:space="0" w:color="auto"/>
            </w:tcBorders>
            <w:shd w:val="clear" w:color="auto" w:fill="auto"/>
            <w:hideMark/>
          </w:tcPr>
          <w:p w14:paraId="0205CED7" w14:textId="77777777" w:rsidR="00C948FF" w:rsidRPr="00C948FF" w:rsidRDefault="00C948FF" w:rsidP="00C948FF">
            <w:pPr>
              <w:spacing w:line="240" w:lineRule="auto"/>
              <w:jc w:val="right"/>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£12,378</w:t>
            </w:r>
          </w:p>
        </w:tc>
        <w:tc>
          <w:tcPr>
            <w:tcW w:w="781" w:type="dxa"/>
            <w:tcBorders>
              <w:top w:val="nil"/>
              <w:left w:val="nil"/>
              <w:bottom w:val="single" w:sz="4" w:space="0" w:color="auto"/>
              <w:right w:val="single" w:sz="4" w:space="0" w:color="auto"/>
            </w:tcBorders>
            <w:shd w:val="clear" w:color="auto" w:fill="auto"/>
            <w:hideMark/>
          </w:tcPr>
          <w:p w14:paraId="33DCD297" w14:textId="77777777" w:rsidR="00C948FF" w:rsidRPr="00C948FF" w:rsidRDefault="00C948FF" w:rsidP="00C948FF">
            <w:pPr>
              <w:spacing w:line="240" w:lineRule="auto"/>
              <w:jc w:val="right"/>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£7,859</w:t>
            </w:r>
          </w:p>
        </w:tc>
        <w:tc>
          <w:tcPr>
            <w:tcW w:w="943" w:type="dxa"/>
            <w:tcBorders>
              <w:top w:val="nil"/>
              <w:left w:val="nil"/>
              <w:bottom w:val="single" w:sz="4" w:space="0" w:color="auto"/>
              <w:right w:val="single" w:sz="4" w:space="0" w:color="auto"/>
            </w:tcBorders>
            <w:shd w:val="clear" w:color="auto" w:fill="auto"/>
            <w:hideMark/>
          </w:tcPr>
          <w:p w14:paraId="3987C572" w14:textId="77777777" w:rsidR="00C948FF" w:rsidRPr="00C948FF" w:rsidRDefault="00C948FF" w:rsidP="00C948FF">
            <w:pPr>
              <w:spacing w:line="240" w:lineRule="auto"/>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 </w:t>
            </w:r>
          </w:p>
        </w:tc>
        <w:tc>
          <w:tcPr>
            <w:tcW w:w="609" w:type="dxa"/>
            <w:tcBorders>
              <w:top w:val="nil"/>
              <w:left w:val="nil"/>
              <w:bottom w:val="single" w:sz="4" w:space="0" w:color="auto"/>
              <w:right w:val="single" w:sz="4" w:space="0" w:color="auto"/>
            </w:tcBorders>
            <w:shd w:val="clear" w:color="auto" w:fill="auto"/>
            <w:hideMark/>
          </w:tcPr>
          <w:p w14:paraId="28AE880C" w14:textId="77777777" w:rsidR="00C948FF" w:rsidRPr="00C948FF" w:rsidRDefault="00C948FF" w:rsidP="00C948FF">
            <w:pPr>
              <w:spacing w:line="240" w:lineRule="auto"/>
              <w:jc w:val="right"/>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£712</w:t>
            </w:r>
          </w:p>
        </w:tc>
        <w:tc>
          <w:tcPr>
            <w:tcW w:w="668" w:type="dxa"/>
            <w:tcBorders>
              <w:top w:val="nil"/>
              <w:left w:val="nil"/>
              <w:bottom w:val="single" w:sz="4" w:space="0" w:color="auto"/>
              <w:right w:val="single" w:sz="4" w:space="0" w:color="auto"/>
            </w:tcBorders>
            <w:shd w:val="clear" w:color="auto" w:fill="auto"/>
            <w:hideMark/>
          </w:tcPr>
          <w:p w14:paraId="4AA601D6" w14:textId="77777777" w:rsidR="00C948FF" w:rsidRPr="00C948FF" w:rsidRDefault="00C948FF" w:rsidP="00C948FF">
            <w:pPr>
              <w:spacing w:line="240" w:lineRule="auto"/>
              <w:jc w:val="right"/>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£524</w:t>
            </w:r>
          </w:p>
        </w:tc>
        <w:tc>
          <w:tcPr>
            <w:tcW w:w="696" w:type="dxa"/>
            <w:tcBorders>
              <w:top w:val="nil"/>
              <w:left w:val="nil"/>
              <w:bottom w:val="single" w:sz="4" w:space="0" w:color="auto"/>
              <w:right w:val="single" w:sz="4" w:space="0" w:color="auto"/>
            </w:tcBorders>
            <w:shd w:val="clear" w:color="auto" w:fill="auto"/>
            <w:hideMark/>
          </w:tcPr>
          <w:p w14:paraId="5DA14189" w14:textId="77777777" w:rsidR="00C948FF" w:rsidRPr="00C948FF" w:rsidRDefault="00C948FF" w:rsidP="00C948FF">
            <w:pPr>
              <w:spacing w:line="240" w:lineRule="auto"/>
              <w:jc w:val="right"/>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£127</w:t>
            </w:r>
          </w:p>
        </w:tc>
        <w:tc>
          <w:tcPr>
            <w:tcW w:w="648" w:type="dxa"/>
            <w:tcBorders>
              <w:top w:val="nil"/>
              <w:left w:val="nil"/>
              <w:bottom w:val="single" w:sz="4" w:space="0" w:color="auto"/>
              <w:right w:val="single" w:sz="4" w:space="0" w:color="auto"/>
            </w:tcBorders>
            <w:shd w:val="clear" w:color="auto" w:fill="auto"/>
            <w:noWrap/>
            <w:vAlign w:val="bottom"/>
            <w:hideMark/>
          </w:tcPr>
          <w:p w14:paraId="0E5C19F6" w14:textId="77777777" w:rsidR="00C948FF" w:rsidRPr="00C948FF" w:rsidRDefault="00C948FF" w:rsidP="00C948FF">
            <w:pPr>
              <w:spacing w:line="240" w:lineRule="auto"/>
              <w:rPr>
                <w:rFonts w:ascii="Calibri" w:eastAsia="Times New Roman" w:hAnsi="Calibri" w:cs="Calibri"/>
                <w:color w:val="000000"/>
                <w:sz w:val="22"/>
                <w:lang w:eastAsia="en-GB"/>
              </w:rPr>
            </w:pPr>
            <w:r w:rsidRPr="00C948FF">
              <w:rPr>
                <w:rFonts w:ascii="Calibri" w:eastAsia="Times New Roman" w:hAnsi="Calibri" w:cs="Calibri"/>
                <w:color w:val="000000"/>
                <w:sz w:val="22"/>
                <w:lang w:eastAsia="en-GB"/>
              </w:rPr>
              <w:t> </w:t>
            </w:r>
          </w:p>
        </w:tc>
        <w:tc>
          <w:tcPr>
            <w:tcW w:w="738" w:type="dxa"/>
            <w:tcBorders>
              <w:top w:val="nil"/>
              <w:left w:val="nil"/>
              <w:bottom w:val="single" w:sz="4" w:space="0" w:color="auto"/>
              <w:right w:val="single" w:sz="4" w:space="0" w:color="auto"/>
            </w:tcBorders>
            <w:shd w:val="clear" w:color="auto" w:fill="auto"/>
            <w:noWrap/>
            <w:vAlign w:val="bottom"/>
            <w:hideMark/>
          </w:tcPr>
          <w:p w14:paraId="7E5CA923" w14:textId="77777777" w:rsidR="00C948FF" w:rsidRPr="00C948FF" w:rsidRDefault="00C948FF" w:rsidP="00C948FF">
            <w:pPr>
              <w:spacing w:line="240" w:lineRule="auto"/>
              <w:jc w:val="right"/>
              <w:rPr>
                <w:rFonts w:ascii="Century Gothic" w:eastAsia="Times New Roman" w:hAnsi="Century Gothic" w:cs="Calibri"/>
                <w:color w:val="000000"/>
                <w:sz w:val="18"/>
                <w:szCs w:val="18"/>
                <w:lang w:eastAsia="en-GB"/>
              </w:rPr>
            </w:pPr>
            <w:r w:rsidRPr="00C948FF">
              <w:rPr>
                <w:rFonts w:ascii="Century Gothic" w:eastAsia="Times New Roman" w:hAnsi="Century Gothic" w:cs="Calibri"/>
                <w:color w:val="000000"/>
                <w:sz w:val="18"/>
                <w:szCs w:val="18"/>
                <w:lang w:eastAsia="en-GB"/>
              </w:rPr>
              <w:t>5%</w:t>
            </w:r>
          </w:p>
        </w:tc>
        <w:tc>
          <w:tcPr>
            <w:tcW w:w="573" w:type="dxa"/>
            <w:tcBorders>
              <w:top w:val="nil"/>
              <w:left w:val="nil"/>
              <w:bottom w:val="single" w:sz="4" w:space="0" w:color="auto"/>
              <w:right w:val="single" w:sz="4" w:space="0" w:color="auto"/>
            </w:tcBorders>
            <w:shd w:val="clear" w:color="auto" w:fill="auto"/>
            <w:noWrap/>
            <w:vAlign w:val="bottom"/>
            <w:hideMark/>
          </w:tcPr>
          <w:p w14:paraId="43D19B73" w14:textId="77777777" w:rsidR="00C948FF" w:rsidRPr="00C948FF" w:rsidRDefault="00C948FF" w:rsidP="00C948FF">
            <w:pPr>
              <w:spacing w:line="240" w:lineRule="auto"/>
              <w:jc w:val="right"/>
              <w:rPr>
                <w:rFonts w:ascii="Century Gothic" w:eastAsia="Times New Roman" w:hAnsi="Century Gothic" w:cs="Calibri"/>
                <w:color w:val="000000"/>
                <w:sz w:val="18"/>
                <w:szCs w:val="18"/>
                <w:lang w:eastAsia="en-GB"/>
              </w:rPr>
            </w:pPr>
            <w:r w:rsidRPr="00C948FF">
              <w:rPr>
                <w:rFonts w:ascii="Century Gothic" w:eastAsia="Times New Roman" w:hAnsi="Century Gothic" w:cs="Calibri"/>
                <w:color w:val="000000"/>
                <w:sz w:val="18"/>
                <w:szCs w:val="18"/>
                <w:lang w:eastAsia="en-GB"/>
              </w:rPr>
              <w:t>4%</w:t>
            </w:r>
          </w:p>
        </w:tc>
        <w:tc>
          <w:tcPr>
            <w:tcW w:w="573" w:type="dxa"/>
            <w:tcBorders>
              <w:top w:val="nil"/>
              <w:left w:val="nil"/>
              <w:bottom w:val="single" w:sz="4" w:space="0" w:color="auto"/>
              <w:right w:val="single" w:sz="8" w:space="0" w:color="auto"/>
            </w:tcBorders>
            <w:shd w:val="clear" w:color="auto" w:fill="auto"/>
            <w:noWrap/>
            <w:vAlign w:val="bottom"/>
            <w:hideMark/>
          </w:tcPr>
          <w:p w14:paraId="5B456ECE" w14:textId="77777777" w:rsidR="00C948FF" w:rsidRPr="00C948FF" w:rsidRDefault="00C948FF" w:rsidP="00C948FF">
            <w:pPr>
              <w:spacing w:line="240" w:lineRule="auto"/>
              <w:jc w:val="right"/>
              <w:rPr>
                <w:rFonts w:ascii="Century Gothic" w:eastAsia="Times New Roman" w:hAnsi="Century Gothic" w:cs="Calibri"/>
                <w:color w:val="000000"/>
                <w:sz w:val="18"/>
                <w:szCs w:val="18"/>
                <w:lang w:eastAsia="en-GB"/>
              </w:rPr>
            </w:pPr>
            <w:r w:rsidRPr="00C948FF">
              <w:rPr>
                <w:rFonts w:ascii="Century Gothic" w:eastAsia="Times New Roman" w:hAnsi="Century Gothic" w:cs="Calibri"/>
                <w:color w:val="000000"/>
                <w:sz w:val="18"/>
                <w:szCs w:val="18"/>
                <w:lang w:eastAsia="en-GB"/>
              </w:rPr>
              <w:t>2%</w:t>
            </w:r>
          </w:p>
        </w:tc>
      </w:tr>
      <w:tr w:rsidR="00C948FF" w:rsidRPr="00C948FF" w14:paraId="0A7F9D99" w14:textId="77777777" w:rsidTr="003A5E0E">
        <w:trPr>
          <w:trHeight w:val="451"/>
        </w:trPr>
        <w:tc>
          <w:tcPr>
            <w:tcW w:w="1239" w:type="dxa"/>
            <w:tcBorders>
              <w:top w:val="nil"/>
              <w:left w:val="single" w:sz="8" w:space="0" w:color="auto"/>
              <w:bottom w:val="single" w:sz="4" w:space="0" w:color="auto"/>
              <w:right w:val="single" w:sz="4" w:space="0" w:color="auto"/>
            </w:tcBorders>
            <w:shd w:val="clear" w:color="auto" w:fill="auto"/>
            <w:noWrap/>
            <w:vAlign w:val="bottom"/>
            <w:hideMark/>
          </w:tcPr>
          <w:p w14:paraId="77E3740E" w14:textId="77777777" w:rsidR="00C948FF" w:rsidRPr="00C948FF" w:rsidRDefault="00C948FF" w:rsidP="00C948FF">
            <w:pPr>
              <w:spacing w:line="240" w:lineRule="auto"/>
              <w:rPr>
                <w:rFonts w:ascii="Calibri" w:eastAsia="Times New Roman" w:hAnsi="Calibri" w:cs="Calibri"/>
                <w:color w:val="000000"/>
                <w:sz w:val="22"/>
                <w:lang w:eastAsia="en-GB"/>
              </w:rPr>
            </w:pPr>
            <w:proofErr w:type="spellStart"/>
            <w:r w:rsidRPr="00C948FF">
              <w:rPr>
                <w:rFonts w:ascii="Calibri" w:eastAsia="Times New Roman" w:hAnsi="Calibri" w:cs="Calibri"/>
                <w:color w:val="000000"/>
                <w:sz w:val="22"/>
                <w:lang w:eastAsia="en-GB"/>
              </w:rPr>
              <w:t>Nomenca</w:t>
            </w:r>
            <w:proofErr w:type="spellEnd"/>
          </w:p>
        </w:tc>
        <w:tc>
          <w:tcPr>
            <w:tcW w:w="729" w:type="dxa"/>
            <w:tcBorders>
              <w:top w:val="nil"/>
              <w:left w:val="nil"/>
              <w:bottom w:val="single" w:sz="4" w:space="0" w:color="auto"/>
              <w:right w:val="single" w:sz="4" w:space="0" w:color="auto"/>
            </w:tcBorders>
            <w:shd w:val="clear" w:color="auto" w:fill="auto"/>
            <w:noWrap/>
            <w:vAlign w:val="bottom"/>
            <w:hideMark/>
          </w:tcPr>
          <w:p w14:paraId="6BE83E43" w14:textId="77777777" w:rsidR="00C948FF" w:rsidRPr="00C948FF" w:rsidRDefault="00C948FF" w:rsidP="00C948FF">
            <w:pPr>
              <w:spacing w:line="240" w:lineRule="auto"/>
              <w:rPr>
                <w:rFonts w:ascii="Calibri" w:eastAsia="Times New Roman" w:hAnsi="Calibri" w:cs="Calibri"/>
                <w:color w:val="000000"/>
                <w:sz w:val="22"/>
                <w:lang w:eastAsia="en-GB"/>
              </w:rPr>
            </w:pPr>
            <w:r w:rsidRPr="00C948FF">
              <w:rPr>
                <w:rFonts w:ascii="Calibri" w:eastAsia="Times New Roman" w:hAnsi="Calibri" w:cs="Calibri"/>
                <w:color w:val="000000"/>
                <w:sz w:val="22"/>
                <w:lang w:eastAsia="en-GB"/>
              </w:rPr>
              <w:t> </w:t>
            </w:r>
          </w:p>
        </w:tc>
        <w:tc>
          <w:tcPr>
            <w:tcW w:w="761" w:type="dxa"/>
            <w:tcBorders>
              <w:top w:val="nil"/>
              <w:left w:val="nil"/>
              <w:bottom w:val="single" w:sz="4" w:space="0" w:color="auto"/>
              <w:right w:val="single" w:sz="4" w:space="0" w:color="auto"/>
            </w:tcBorders>
            <w:shd w:val="clear" w:color="auto" w:fill="auto"/>
            <w:hideMark/>
          </w:tcPr>
          <w:p w14:paraId="47A96FE0" w14:textId="77777777" w:rsidR="00C948FF" w:rsidRPr="00C948FF" w:rsidRDefault="00C948FF" w:rsidP="00C948FF">
            <w:pPr>
              <w:spacing w:line="240" w:lineRule="auto"/>
              <w:jc w:val="right"/>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£68,967</w:t>
            </w:r>
          </w:p>
        </w:tc>
        <w:tc>
          <w:tcPr>
            <w:tcW w:w="865" w:type="dxa"/>
            <w:tcBorders>
              <w:top w:val="nil"/>
              <w:left w:val="nil"/>
              <w:bottom w:val="single" w:sz="4" w:space="0" w:color="auto"/>
              <w:right w:val="single" w:sz="4" w:space="0" w:color="auto"/>
            </w:tcBorders>
            <w:shd w:val="clear" w:color="auto" w:fill="auto"/>
            <w:hideMark/>
          </w:tcPr>
          <w:p w14:paraId="4A35AEA1" w14:textId="77777777" w:rsidR="00C948FF" w:rsidRPr="00C948FF" w:rsidRDefault="00C948FF" w:rsidP="00C948FF">
            <w:pPr>
              <w:spacing w:line="240" w:lineRule="auto"/>
              <w:jc w:val="right"/>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£54,690</w:t>
            </w:r>
          </w:p>
        </w:tc>
        <w:tc>
          <w:tcPr>
            <w:tcW w:w="781" w:type="dxa"/>
            <w:tcBorders>
              <w:top w:val="nil"/>
              <w:left w:val="nil"/>
              <w:bottom w:val="single" w:sz="4" w:space="0" w:color="auto"/>
              <w:right w:val="single" w:sz="4" w:space="0" w:color="auto"/>
            </w:tcBorders>
            <w:shd w:val="clear" w:color="auto" w:fill="auto"/>
            <w:hideMark/>
          </w:tcPr>
          <w:p w14:paraId="0879308E" w14:textId="77777777" w:rsidR="00C948FF" w:rsidRPr="00C948FF" w:rsidRDefault="00C948FF" w:rsidP="00C948FF">
            <w:pPr>
              <w:spacing w:line="240" w:lineRule="auto"/>
              <w:jc w:val="right"/>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£44,887</w:t>
            </w:r>
          </w:p>
        </w:tc>
        <w:tc>
          <w:tcPr>
            <w:tcW w:w="943" w:type="dxa"/>
            <w:tcBorders>
              <w:top w:val="nil"/>
              <w:left w:val="nil"/>
              <w:bottom w:val="single" w:sz="4" w:space="0" w:color="auto"/>
              <w:right w:val="single" w:sz="4" w:space="0" w:color="auto"/>
            </w:tcBorders>
            <w:shd w:val="clear" w:color="auto" w:fill="auto"/>
            <w:hideMark/>
          </w:tcPr>
          <w:p w14:paraId="2C4877CD" w14:textId="77777777" w:rsidR="00C948FF" w:rsidRPr="00C948FF" w:rsidRDefault="00C948FF" w:rsidP="00C948FF">
            <w:pPr>
              <w:spacing w:line="240" w:lineRule="auto"/>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 </w:t>
            </w:r>
          </w:p>
        </w:tc>
        <w:tc>
          <w:tcPr>
            <w:tcW w:w="609" w:type="dxa"/>
            <w:tcBorders>
              <w:top w:val="nil"/>
              <w:left w:val="nil"/>
              <w:bottom w:val="single" w:sz="4" w:space="0" w:color="auto"/>
              <w:right w:val="single" w:sz="4" w:space="0" w:color="auto"/>
            </w:tcBorders>
            <w:shd w:val="clear" w:color="auto" w:fill="auto"/>
            <w:hideMark/>
          </w:tcPr>
          <w:p w14:paraId="7328C07F" w14:textId="77777777" w:rsidR="00C948FF" w:rsidRPr="00C948FF" w:rsidRDefault="00C948FF" w:rsidP="00C948FF">
            <w:pPr>
              <w:spacing w:line="240" w:lineRule="auto"/>
              <w:jc w:val="right"/>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£1,805</w:t>
            </w:r>
          </w:p>
        </w:tc>
        <w:tc>
          <w:tcPr>
            <w:tcW w:w="668" w:type="dxa"/>
            <w:tcBorders>
              <w:top w:val="nil"/>
              <w:left w:val="nil"/>
              <w:bottom w:val="single" w:sz="4" w:space="0" w:color="auto"/>
              <w:right w:val="single" w:sz="4" w:space="0" w:color="auto"/>
            </w:tcBorders>
            <w:shd w:val="clear" w:color="auto" w:fill="auto"/>
            <w:hideMark/>
          </w:tcPr>
          <w:p w14:paraId="7D6DBDD8" w14:textId="77777777" w:rsidR="00C948FF" w:rsidRPr="00C948FF" w:rsidRDefault="00C948FF" w:rsidP="00C948FF">
            <w:pPr>
              <w:spacing w:line="240" w:lineRule="auto"/>
              <w:jc w:val="right"/>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£1,001</w:t>
            </w:r>
          </w:p>
        </w:tc>
        <w:tc>
          <w:tcPr>
            <w:tcW w:w="696" w:type="dxa"/>
            <w:tcBorders>
              <w:top w:val="nil"/>
              <w:left w:val="nil"/>
              <w:bottom w:val="single" w:sz="4" w:space="0" w:color="auto"/>
              <w:right w:val="single" w:sz="4" w:space="0" w:color="auto"/>
            </w:tcBorders>
            <w:shd w:val="clear" w:color="auto" w:fill="auto"/>
            <w:hideMark/>
          </w:tcPr>
          <w:p w14:paraId="76191574" w14:textId="77777777" w:rsidR="00C948FF" w:rsidRPr="00C948FF" w:rsidRDefault="00C948FF" w:rsidP="00C948FF">
            <w:pPr>
              <w:spacing w:line="240" w:lineRule="auto"/>
              <w:jc w:val="right"/>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£677</w:t>
            </w:r>
          </w:p>
        </w:tc>
        <w:tc>
          <w:tcPr>
            <w:tcW w:w="648" w:type="dxa"/>
            <w:tcBorders>
              <w:top w:val="nil"/>
              <w:left w:val="nil"/>
              <w:bottom w:val="single" w:sz="4" w:space="0" w:color="auto"/>
              <w:right w:val="single" w:sz="4" w:space="0" w:color="auto"/>
            </w:tcBorders>
            <w:shd w:val="clear" w:color="auto" w:fill="auto"/>
            <w:noWrap/>
            <w:vAlign w:val="bottom"/>
            <w:hideMark/>
          </w:tcPr>
          <w:p w14:paraId="3B590B70" w14:textId="77777777" w:rsidR="00C948FF" w:rsidRPr="00C948FF" w:rsidRDefault="00C948FF" w:rsidP="00C948FF">
            <w:pPr>
              <w:spacing w:line="240" w:lineRule="auto"/>
              <w:rPr>
                <w:rFonts w:ascii="Calibri" w:eastAsia="Times New Roman" w:hAnsi="Calibri" w:cs="Calibri"/>
                <w:color w:val="000000"/>
                <w:sz w:val="22"/>
                <w:lang w:eastAsia="en-GB"/>
              </w:rPr>
            </w:pPr>
            <w:r w:rsidRPr="00C948FF">
              <w:rPr>
                <w:rFonts w:ascii="Calibri" w:eastAsia="Times New Roman" w:hAnsi="Calibri" w:cs="Calibri"/>
                <w:color w:val="000000"/>
                <w:sz w:val="22"/>
                <w:lang w:eastAsia="en-GB"/>
              </w:rPr>
              <w:t> </w:t>
            </w:r>
          </w:p>
        </w:tc>
        <w:tc>
          <w:tcPr>
            <w:tcW w:w="738" w:type="dxa"/>
            <w:tcBorders>
              <w:top w:val="nil"/>
              <w:left w:val="nil"/>
              <w:bottom w:val="single" w:sz="4" w:space="0" w:color="auto"/>
              <w:right w:val="single" w:sz="4" w:space="0" w:color="auto"/>
            </w:tcBorders>
            <w:shd w:val="clear" w:color="auto" w:fill="auto"/>
            <w:noWrap/>
            <w:vAlign w:val="bottom"/>
            <w:hideMark/>
          </w:tcPr>
          <w:p w14:paraId="62188ABF" w14:textId="77777777" w:rsidR="00C948FF" w:rsidRPr="00C948FF" w:rsidRDefault="00C948FF" w:rsidP="00C948FF">
            <w:pPr>
              <w:spacing w:line="240" w:lineRule="auto"/>
              <w:jc w:val="right"/>
              <w:rPr>
                <w:rFonts w:ascii="Century Gothic" w:eastAsia="Times New Roman" w:hAnsi="Century Gothic" w:cs="Calibri"/>
                <w:color w:val="000000"/>
                <w:sz w:val="18"/>
                <w:szCs w:val="18"/>
                <w:lang w:eastAsia="en-GB"/>
              </w:rPr>
            </w:pPr>
            <w:r w:rsidRPr="00C948FF">
              <w:rPr>
                <w:rFonts w:ascii="Century Gothic" w:eastAsia="Times New Roman" w:hAnsi="Century Gothic" w:cs="Calibri"/>
                <w:color w:val="000000"/>
                <w:sz w:val="18"/>
                <w:szCs w:val="18"/>
                <w:lang w:eastAsia="en-GB"/>
              </w:rPr>
              <w:t>3%</w:t>
            </w:r>
          </w:p>
        </w:tc>
        <w:tc>
          <w:tcPr>
            <w:tcW w:w="573" w:type="dxa"/>
            <w:tcBorders>
              <w:top w:val="nil"/>
              <w:left w:val="nil"/>
              <w:bottom w:val="single" w:sz="4" w:space="0" w:color="auto"/>
              <w:right w:val="single" w:sz="4" w:space="0" w:color="auto"/>
            </w:tcBorders>
            <w:shd w:val="clear" w:color="auto" w:fill="auto"/>
            <w:noWrap/>
            <w:vAlign w:val="bottom"/>
            <w:hideMark/>
          </w:tcPr>
          <w:p w14:paraId="628FB107" w14:textId="77777777" w:rsidR="00C948FF" w:rsidRPr="00C948FF" w:rsidRDefault="00C948FF" w:rsidP="00C948FF">
            <w:pPr>
              <w:spacing w:line="240" w:lineRule="auto"/>
              <w:jc w:val="right"/>
              <w:rPr>
                <w:rFonts w:ascii="Century Gothic" w:eastAsia="Times New Roman" w:hAnsi="Century Gothic" w:cs="Calibri"/>
                <w:color w:val="000000"/>
                <w:sz w:val="18"/>
                <w:szCs w:val="18"/>
                <w:lang w:eastAsia="en-GB"/>
              </w:rPr>
            </w:pPr>
            <w:r w:rsidRPr="00C948FF">
              <w:rPr>
                <w:rFonts w:ascii="Century Gothic" w:eastAsia="Times New Roman" w:hAnsi="Century Gothic" w:cs="Calibri"/>
                <w:color w:val="000000"/>
                <w:sz w:val="18"/>
                <w:szCs w:val="18"/>
                <w:lang w:eastAsia="en-GB"/>
              </w:rPr>
              <w:t>2%</w:t>
            </w:r>
          </w:p>
        </w:tc>
        <w:tc>
          <w:tcPr>
            <w:tcW w:w="573" w:type="dxa"/>
            <w:tcBorders>
              <w:top w:val="nil"/>
              <w:left w:val="nil"/>
              <w:bottom w:val="single" w:sz="4" w:space="0" w:color="auto"/>
              <w:right w:val="single" w:sz="8" w:space="0" w:color="auto"/>
            </w:tcBorders>
            <w:shd w:val="clear" w:color="auto" w:fill="auto"/>
            <w:noWrap/>
            <w:vAlign w:val="bottom"/>
            <w:hideMark/>
          </w:tcPr>
          <w:p w14:paraId="3D874C1C" w14:textId="77777777" w:rsidR="00C948FF" w:rsidRPr="00C948FF" w:rsidRDefault="00C948FF" w:rsidP="00C948FF">
            <w:pPr>
              <w:spacing w:line="240" w:lineRule="auto"/>
              <w:jc w:val="right"/>
              <w:rPr>
                <w:rFonts w:ascii="Century Gothic" w:eastAsia="Times New Roman" w:hAnsi="Century Gothic" w:cs="Calibri"/>
                <w:color w:val="000000"/>
                <w:sz w:val="18"/>
                <w:szCs w:val="18"/>
                <w:lang w:eastAsia="en-GB"/>
              </w:rPr>
            </w:pPr>
            <w:r w:rsidRPr="00C948FF">
              <w:rPr>
                <w:rFonts w:ascii="Century Gothic" w:eastAsia="Times New Roman" w:hAnsi="Century Gothic" w:cs="Calibri"/>
                <w:color w:val="000000"/>
                <w:sz w:val="18"/>
                <w:szCs w:val="18"/>
                <w:lang w:eastAsia="en-GB"/>
              </w:rPr>
              <w:t>2%</w:t>
            </w:r>
          </w:p>
        </w:tc>
      </w:tr>
      <w:tr w:rsidR="00C948FF" w:rsidRPr="00C948FF" w14:paraId="1ADD467B" w14:textId="77777777" w:rsidTr="003A5E0E">
        <w:trPr>
          <w:trHeight w:val="451"/>
        </w:trPr>
        <w:tc>
          <w:tcPr>
            <w:tcW w:w="1239" w:type="dxa"/>
            <w:tcBorders>
              <w:top w:val="nil"/>
              <w:left w:val="single" w:sz="8" w:space="0" w:color="auto"/>
              <w:bottom w:val="single" w:sz="4" w:space="0" w:color="auto"/>
              <w:right w:val="single" w:sz="4" w:space="0" w:color="auto"/>
            </w:tcBorders>
            <w:shd w:val="clear" w:color="auto" w:fill="auto"/>
            <w:noWrap/>
            <w:vAlign w:val="bottom"/>
            <w:hideMark/>
          </w:tcPr>
          <w:p w14:paraId="5CCDBEBD" w14:textId="77777777" w:rsidR="00C948FF" w:rsidRPr="00C948FF" w:rsidRDefault="00C948FF" w:rsidP="00C948FF">
            <w:pPr>
              <w:spacing w:line="240" w:lineRule="auto"/>
              <w:rPr>
                <w:rFonts w:ascii="Calibri" w:eastAsia="Times New Roman" w:hAnsi="Calibri" w:cs="Calibri"/>
                <w:color w:val="000000"/>
                <w:sz w:val="22"/>
                <w:lang w:eastAsia="en-GB"/>
              </w:rPr>
            </w:pPr>
            <w:r w:rsidRPr="00C948FF">
              <w:rPr>
                <w:rFonts w:ascii="Calibri" w:eastAsia="Times New Roman" w:hAnsi="Calibri" w:cs="Calibri"/>
                <w:color w:val="000000"/>
                <w:sz w:val="22"/>
                <w:lang w:eastAsia="en-GB"/>
              </w:rPr>
              <w:t>ACIEM</w:t>
            </w:r>
          </w:p>
        </w:tc>
        <w:tc>
          <w:tcPr>
            <w:tcW w:w="729" w:type="dxa"/>
            <w:tcBorders>
              <w:top w:val="nil"/>
              <w:left w:val="nil"/>
              <w:bottom w:val="single" w:sz="4" w:space="0" w:color="auto"/>
              <w:right w:val="single" w:sz="4" w:space="0" w:color="auto"/>
            </w:tcBorders>
            <w:shd w:val="clear" w:color="auto" w:fill="auto"/>
            <w:noWrap/>
            <w:vAlign w:val="bottom"/>
            <w:hideMark/>
          </w:tcPr>
          <w:p w14:paraId="5C1B2F6D" w14:textId="77777777" w:rsidR="00C948FF" w:rsidRPr="00C948FF" w:rsidRDefault="00C948FF" w:rsidP="00C948FF">
            <w:pPr>
              <w:spacing w:line="240" w:lineRule="auto"/>
              <w:rPr>
                <w:rFonts w:ascii="Calibri" w:eastAsia="Times New Roman" w:hAnsi="Calibri" w:cs="Calibri"/>
                <w:color w:val="000000"/>
                <w:sz w:val="22"/>
                <w:lang w:eastAsia="en-GB"/>
              </w:rPr>
            </w:pPr>
            <w:r w:rsidRPr="00C948FF">
              <w:rPr>
                <w:rFonts w:ascii="Calibri" w:eastAsia="Times New Roman" w:hAnsi="Calibri" w:cs="Calibri"/>
                <w:color w:val="000000"/>
                <w:sz w:val="22"/>
                <w:lang w:eastAsia="en-GB"/>
              </w:rPr>
              <w:t> </w:t>
            </w:r>
          </w:p>
        </w:tc>
        <w:tc>
          <w:tcPr>
            <w:tcW w:w="761" w:type="dxa"/>
            <w:tcBorders>
              <w:top w:val="nil"/>
              <w:left w:val="nil"/>
              <w:bottom w:val="single" w:sz="4" w:space="0" w:color="auto"/>
              <w:right w:val="single" w:sz="4" w:space="0" w:color="auto"/>
            </w:tcBorders>
            <w:shd w:val="clear" w:color="auto" w:fill="auto"/>
            <w:hideMark/>
          </w:tcPr>
          <w:p w14:paraId="19F74F7A" w14:textId="77777777" w:rsidR="00C948FF" w:rsidRPr="00C948FF" w:rsidRDefault="00C948FF" w:rsidP="00C948FF">
            <w:pPr>
              <w:spacing w:line="240" w:lineRule="auto"/>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 </w:t>
            </w:r>
          </w:p>
        </w:tc>
        <w:tc>
          <w:tcPr>
            <w:tcW w:w="865" w:type="dxa"/>
            <w:tcBorders>
              <w:top w:val="nil"/>
              <w:left w:val="nil"/>
              <w:bottom w:val="single" w:sz="4" w:space="0" w:color="auto"/>
              <w:right w:val="single" w:sz="4" w:space="0" w:color="auto"/>
            </w:tcBorders>
            <w:shd w:val="clear" w:color="auto" w:fill="auto"/>
            <w:hideMark/>
          </w:tcPr>
          <w:p w14:paraId="3FB0BDDB" w14:textId="77777777" w:rsidR="00C948FF" w:rsidRPr="00C948FF" w:rsidRDefault="00C948FF" w:rsidP="00C948FF">
            <w:pPr>
              <w:spacing w:line="240" w:lineRule="auto"/>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 </w:t>
            </w:r>
          </w:p>
        </w:tc>
        <w:tc>
          <w:tcPr>
            <w:tcW w:w="781" w:type="dxa"/>
            <w:tcBorders>
              <w:top w:val="nil"/>
              <w:left w:val="nil"/>
              <w:bottom w:val="single" w:sz="4" w:space="0" w:color="auto"/>
              <w:right w:val="single" w:sz="4" w:space="0" w:color="auto"/>
            </w:tcBorders>
            <w:shd w:val="clear" w:color="auto" w:fill="auto"/>
            <w:hideMark/>
          </w:tcPr>
          <w:p w14:paraId="7A705FC9" w14:textId="77777777" w:rsidR="00C948FF" w:rsidRPr="00C948FF" w:rsidRDefault="00C948FF" w:rsidP="00C948FF">
            <w:pPr>
              <w:spacing w:line="240" w:lineRule="auto"/>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 </w:t>
            </w:r>
          </w:p>
        </w:tc>
        <w:tc>
          <w:tcPr>
            <w:tcW w:w="943" w:type="dxa"/>
            <w:tcBorders>
              <w:top w:val="nil"/>
              <w:left w:val="nil"/>
              <w:bottom w:val="single" w:sz="4" w:space="0" w:color="auto"/>
              <w:right w:val="single" w:sz="4" w:space="0" w:color="auto"/>
            </w:tcBorders>
            <w:shd w:val="clear" w:color="auto" w:fill="auto"/>
            <w:hideMark/>
          </w:tcPr>
          <w:p w14:paraId="44178B12" w14:textId="77777777" w:rsidR="00C948FF" w:rsidRPr="00C948FF" w:rsidRDefault="00C948FF" w:rsidP="00C948FF">
            <w:pPr>
              <w:spacing w:line="240" w:lineRule="auto"/>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 </w:t>
            </w:r>
          </w:p>
        </w:tc>
        <w:tc>
          <w:tcPr>
            <w:tcW w:w="609" w:type="dxa"/>
            <w:tcBorders>
              <w:top w:val="nil"/>
              <w:left w:val="nil"/>
              <w:bottom w:val="single" w:sz="4" w:space="0" w:color="auto"/>
              <w:right w:val="single" w:sz="4" w:space="0" w:color="auto"/>
            </w:tcBorders>
            <w:shd w:val="clear" w:color="auto" w:fill="auto"/>
            <w:hideMark/>
          </w:tcPr>
          <w:p w14:paraId="563EFE7D" w14:textId="77777777" w:rsidR="00C948FF" w:rsidRPr="00C948FF" w:rsidRDefault="00C948FF" w:rsidP="00C948FF">
            <w:pPr>
              <w:spacing w:line="240" w:lineRule="auto"/>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 </w:t>
            </w:r>
          </w:p>
        </w:tc>
        <w:tc>
          <w:tcPr>
            <w:tcW w:w="668" w:type="dxa"/>
            <w:tcBorders>
              <w:top w:val="nil"/>
              <w:left w:val="nil"/>
              <w:bottom w:val="single" w:sz="4" w:space="0" w:color="auto"/>
              <w:right w:val="single" w:sz="4" w:space="0" w:color="auto"/>
            </w:tcBorders>
            <w:shd w:val="clear" w:color="auto" w:fill="auto"/>
            <w:hideMark/>
          </w:tcPr>
          <w:p w14:paraId="49B5F027" w14:textId="77777777" w:rsidR="00C948FF" w:rsidRPr="00C948FF" w:rsidRDefault="00C948FF" w:rsidP="00C948FF">
            <w:pPr>
              <w:spacing w:line="240" w:lineRule="auto"/>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 </w:t>
            </w:r>
          </w:p>
        </w:tc>
        <w:tc>
          <w:tcPr>
            <w:tcW w:w="696" w:type="dxa"/>
            <w:tcBorders>
              <w:top w:val="nil"/>
              <w:left w:val="nil"/>
              <w:bottom w:val="single" w:sz="4" w:space="0" w:color="auto"/>
              <w:right w:val="single" w:sz="4" w:space="0" w:color="auto"/>
            </w:tcBorders>
            <w:shd w:val="clear" w:color="auto" w:fill="auto"/>
            <w:hideMark/>
          </w:tcPr>
          <w:p w14:paraId="63CAF3D7" w14:textId="77777777" w:rsidR="00C948FF" w:rsidRPr="00C948FF" w:rsidRDefault="00C948FF" w:rsidP="00C948FF">
            <w:pPr>
              <w:spacing w:line="240" w:lineRule="auto"/>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 </w:t>
            </w:r>
          </w:p>
        </w:tc>
        <w:tc>
          <w:tcPr>
            <w:tcW w:w="648" w:type="dxa"/>
            <w:tcBorders>
              <w:top w:val="nil"/>
              <w:left w:val="nil"/>
              <w:bottom w:val="single" w:sz="4" w:space="0" w:color="auto"/>
              <w:right w:val="single" w:sz="4" w:space="0" w:color="auto"/>
            </w:tcBorders>
            <w:shd w:val="clear" w:color="auto" w:fill="auto"/>
            <w:noWrap/>
            <w:vAlign w:val="bottom"/>
            <w:hideMark/>
          </w:tcPr>
          <w:p w14:paraId="7BF9599E" w14:textId="77777777" w:rsidR="00C948FF" w:rsidRPr="00C948FF" w:rsidRDefault="00C948FF" w:rsidP="00C948FF">
            <w:pPr>
              <w:spacing w:line="240" w:lineRule="auto"/>
              <w:rPr>
                <w:rFonts w:ascii="Calibri" w:eastAsia="Times New Roman" w:hAnsi="Calibri" w:cs="Calibri"/>
                <w:color w:val="000000"/>
                <w:sz w:val="22"/>
                <w:lang w:eastAsia="en-GB"/>
              </w:rPr>
            </w:pPr>
            <w:r w:rsidRPr="00C948FF">
              <w:rPr>
                <w:rFonts w:ascii="Calibri" w:eastAsia="Times New Roman" w:hAnsi="Calibri" w:cs="Calibri"/>
                <w:color w:val="000000"/>
                <w:sz w:val="22"/>
                <w:lang w:eastAsia="en-GB"/>
              </w:rPr>
              <w:t> </w:t>
            </w:r>
          </w:p>
        </w:tc>
        <w:tc>
          <w:tcPr>
            <w:tcW w:w="738" w:type="dxa"/>
            <w:tcBorders>
              <w:top w:val="nil"/>
              <w:left w:val="nil"/>
              <w:bottom w:val="single" w:sz="4" w:space="0" w:color="auto"/>
              <w:right w:val="single" w:sz="4" w:space="0" w:color="auto"/>
            </w:tcBorders>
            <w:shd w:val="clear" w:color="auto" w:fill="auto"/>
            <w:noWrap/>
            <w:vAlign w:val="bottom"/>
            <w:hideMark/>
          </w:tcPr>
          <w:p w14:paraId="27EFEC6C" w14:textId="77777777" w:rsidR="00C948FF" w:rsidRPr="00C948FF" w:rsidRDefault="00C948FF" w:rsidP="00C948FF">
            <w:pPr>
              <w:spacing w:line="240" w:lineRule="auto"/>
              <w:rPr>
                <w:rFonts w:ascii="Century Gothic" w:eastAsia="Times New Roman" w:hAnsi="Century Gothic" w:cs="Calibri"/>
                <w:color w:val="000000"/>
                <w:sz w:val="18"/>
                <w:szCs w:val="18"/>
                <w:lang w:eastAsia="en-GB"/>
              </w:rPr>
            </w:pPr>
            <w:r w:rsidRPr="00C948FF">
              <w:rPr>
                <w:rFonts w:ascii="Century Gothic" w:eastAsia="Times New Roman" w:hAnsi="Century Gothic" w:cs="Calibri"/>
                <w:color w:val="000000"/>
                <w:sz w:val="18"/>
                <w:szCs w:val="18"/>
                <w:lang w:eastAsia="en-GB"/>
              </w:rPr>
              <w:t> </w:t>
            </w:r>
          </w:p>
        </w:tc>
        <w:tc>
          <w:tcPr>
            <w:tcW w:w="573" w:type="dxa"/>
            <w:tcBorders>
              <w:top w:val="nil"/>
              <w:left w:val="nil"/>
              <w:bottom w:val="single" w:sz="4" w:space="0" w:color="auto"/>
              <w:right w:val="single" w:sz="4" w:space="0" w:color="auto"/>
            </w:tcBorders>
            <w:shd w:val="clear" w:color="auto" w:fill="auto"/>
            <w:noWrap/>
            <w:vAlign w:val="bottom"/>
            <w:hideMark/>
          </w:tcPr>
          <w:p w14:paraId="3A4DC5F9" w14:textId="77777777" w:rsidR="00C948FF" w:rsidRPr="00C948FF" w:rsidRDefault="00C948FF" w:rsidP="00C948FF">
            <w:pPr>
              <w:spacing w:line="240" w:lineRule="auto"/>
              <w:rPr>
                <w:rFonts w:ascii="Century Gothic" w:eastAsia="Times New Roman" w:hAnsi="Century Gothic" w:cs="Calibri"/>
                <w:color w:val="000000"/>
                <w:sz w:val="18"/>
                <w:szCs w:val="18"/>
                <w:lang w:eastAsia="en-GB"/>
              </w:rPr>
            </w:pPr>
            <w:r w:rsidRPr="00C948FF">
              <w:rPr>
                <w:rFonts w:ascii="Century Gothic" w:eastAsia="Times New Roman" w:hAnsi="Century Gothic" w:cs="Calibri"/>
                <w:color w:val="000000"/>
                <w:sz w:val="18"/>
                <w:szCs w:val="18"/>
                <w:lang w:eastAsia="en-GB"/>
              </w:rPr>
              <w:t> </w:t>
            </w:r>
          </w:p>
        </w:tc>
        <w:tc>
          <w:tcPr>
            <w:tcW w:w="573" w:type="dxa"/>
            <w:tcBorders>
              <w:top w:val="nil"/>
              <w:left w:val="nil"/>
              <w:bottom w:val="single" w:sz="4" w:space="0" w:color="auto"/>
              <w:right w:val="single" w:sz="8" w:space="0" w:color="auto"/>
            </w:tcBorders>
            <w:shd w:val="clear" w:color="auto" w:fill="auto"/>
            <w:noWrap/>
            <w:vAlign w:val="bottom"/>
            <w:hideMark/>
          </w:tcPr>
          <w:p w14:paraId="54B0BA05" w14:textId="77777777" w:rsidR="00C948FF" w:rsidRPr="00C948FF" w:rsidRDefault="00C948FF" w:rsidP="00C948FF">
            <w:pPr>
              <w:spacing w:line="240" w:lineRule="auto"/>
              <w:rPr>
                <w:rFonts w:ascii="Century Gothic" w:eastAsia="Times New Roman" w:hAnsi="Century Gothic" w:cs="Calibri"/>
                <w:color w:val="000000"/>
                <w:sz w:val="18"/>
                <w:szCs w:val="18"/>
                <w:lang w:eastAsia="en-GB"/>
              </w:rPr>
            </w:pPr>
            <w:r w:rsidRPr="00C948FF">
              <w:rPr>
                <w:rFonts w:ascii="Century Gothic" w:eastAsia="Times New Roman" w:hAnsi="Century Gothic" w:cs="Calibri"/>
                <w:color w:val="000000"/>
                <w:sz w:val="18"/>
                <w:szCs w:val="18"/>
                <w:lang w:eastAsia="en-GB"/>
              </w:rPr>
              <w:t> </w:t>
            </w:r>
          </w:p>
        </w:tc>
      </w:tr>
      <w:tr w:rsidR="00C948FF" w:rsidRPr="00C948FF" w14:paraId="385FF212" w14:textId="77777777" w:rsidTr="003A5E0E">
        <w:trPr>
          <w:trHeight w:val="470"/>
        </w:trPr>
        <w:tc>
          <w:tcPr>
            <w:tcW w:w="1239" w:type="dxa"/>
            <w:tcBorders>
              <w:top w:val="nil"/>
              <w:left w:val="single" w:sz="8" w:space="0" w:color="auto"/>
              <w:bottom w:val="single" w:sz="8" w:space="0" w:color="auto"/>
              <w:right w:val="single" w:sz="4" w:space="0" w:color="auto"/>
            </w:tcBorders>
            <w:shd w:val="clear" w:color="auto" w:fill="auto"/>
            <w:noWrap/>
            <w:vAlign w:val="bottom"/>
            <w:hideMark/>
          </w:tcPr>
          <w:p w14:paraId="35E5AF68" w14:textId="77777777" w:rsidR="00C948FF" w:rsidRPr="00C948FF" w:rsidRDefault="00C948FF" w:rsidP="00C948FF">
            <w:pPr>
              <w:spacing w:line="240" w:lineRule="auto"/>
              <w:rPr>
                <w:rFonts w:ascii="Calibri" w:eastAsia="Times New Roman" w:hAnsi="Calibri" w:cs="Calibri"/>
                <w:color w:val="000000"/>
                <w:sz w:val="22"/>
                <w:lang w:eastAsia="en-GB"/>
              </w:rPr>
            </w:pPr>
            <w:r w:rsidRPr="00C948FF">
              <w:rPr>
                <w:rFonts w:ascii="Calibri" w:eastAsia="Times New Roman" w:hAnsi="Calibri" w:cs="Calibri"/>
                <w:color w:val="000000"/>
                <w:sz w:val="22"/>
                <w:lang w:eastAsia="en-GB"/>
              </w:rPr>
              <w:t>Total:</w:t>
            </w:r>
          </w:p>
        </w:tc>
        <w:tc>
          <w:tcPr>
            <w:tcW w:w="729" w:type="dxa"/>
            <w:tcBorders>
              <w:top w:val="nil"/>
              <w:left w:val="nil"/>
              <w:bottom w:val="single" w:sz="8" w:space="0" w:color="auto"/>
              <w:right w:val="single" w:sz="4" w:space="0" w:color="auto"/>
            </w:tcBorders>
            <w:shd w:val="clear" w:color="auto" w:fill="auto"/>
            <w:noWrap/>
            <w:vAlign w:val="bottom"/>
            <w:hideMark/>
          </w:tcPr>
          <w:p w14:paraId="4786F0A3" w14:textId="77777777" w:rsidR="00C948FF" w:rsidRPr="00C948FF" w:rsidRDefault="00C948FF" w:rsidP="00C948FF">
            <w:pPr>
              <w:spacing w:line="240" w:lineRule="auto"/>
              <w:rPr>
                <w:rFonts w:ascii="Calibri" w:eastAsia="Times New Roman" w:hAnsi="Calibri" w:cs="Calibri"/>
                <w:color w:val="000000"/>
                <w:sz w:val="22"/>
                <w:lang w:eastAsia="en-GB"/>
              </w:rPr>
            </w:pPr>
            <w:r w:rsidRPr="00C948FF">
              <w:rPr>
                <w:rFonts w:ascii="Calibri" w:eastAsia="Times New Roman" w:hAnsi="Calibri" w:cs="Calibri"/>
                <w:color w:val="000000"/>
                <w:sz w:val="22"/>
                <w:lang w:eastAsia="en-GB"/>
              </w:rPr>
              <w:t> </w:t>
            </w:r>
          </w:p>
        </w:tc>
        <w:tc>
          <w:tcPr>
            <w:tcW w:w="761" w:type="dxa"/>
            <w:tcBorders>
              <w:top w:val="nil"/>
              <w:left w:val="nil"/>
              <w:bottom w:val="single" w:sz="8" w:space="0" w:color="auto"/>
              <w:right w:val="single" w:sz="4" w:space="0" w:color="auto"/>
            </w:tcBorders>
            <w:shd w:val="clear" w:color="auto" w:fill="auto"/>
            <w:hideMark/>
          </w:tcPr>
          <w:p w14:paraId="1ECA7E79" w14:textId="77777777" w:rsidR="00C948FF" w:rsidRPr="00C948FF" w:rsidRDefault="00C948FF" w:rsidP="00C948FF">
            <w:pPr>
              <w:spacing w:line="240" w:lineRule="auto"/>
              <w:jc w:val="right"/>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£129,014</w:t>
            </w:r>
          </w:p>
        </w:tc>
        <w:tc>
          <w:tcPr>
            <w:tcW w:w="865" w:type="dxa"/>
            <w:tcBorders>
              <w:top w:val="nil"/>
              <w:left w:val="nil"/>
              <w:bottom w:val="single" w:sz="8" w:space="0" w:color="auto"/>
              <w:right w:val="single" w:sz="4" w:space="0" w:color="auto"/>
            </w:tcBorders>
            <w:shd w:val="clear" w:color="auto" w:fill="auto"/>
            <w:hideMark/>
          </w:tcPr>
          <w:p w14:paraId="5962B8F4" w14:textId="77777777" w:rsidR="00C948FF" w:rsidRPr="00C948FF" w:rsidRDefault="00C948FF" w:rsidP="00C948FF">
            <w:pPr>
              <w:spacing w:line="240" w:lineRule="auto"/>
              <w:jc w:val="right"/>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£102,608</w:t>
            </w:r>
          </w:p>
        </w:tc>
        <w:tc>
          <w:tcPr>
            <w:tcW w:w="781" w:type="dxa"/>
            <w:tcBorders>
              <w:top w:val="nil"/>
              <w:left w:val="nil"/>
              <w:bottom w:val="single" w:sz="8" w:space="0" w:color="auto"/>
              <w:right w:val="single" w:sz="4" w:space="0" w:color="auto"/>
            </w:tcBorders>
            <w:shd w:val="clear" w:color="auto" w:fill="auto"/>
            <w:hideMark/>
          </w:tcPr>
          <w:p w14:paraId="3B5E500B" w14:textId="77777777" w:rsidR="00C948FF" w:rsidRPr="00C948FF" w:rsidRDefault="00C948FF" w:rsidP="00C948FF">
            <w:pPr>
              <w:spacing w:line="240" w:lineRule="auto"/>
              <w:jc w:val="right"/>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£78,347</w:t>
            </w:r>
          </w:p>
        </w:tc>
        <w:tc>
          <w:tcPr>
            <w:tcW w:w="943" w:type="dxa"/>
            <w:tcBorders>
              <w:top w:val="nil"/>
              <w:left w:val="nil"/>
              <w:bottom w:val="single" w:sz="8" w:space="0" w:color="auto"/>
              <w:right w:val="single" w:sz="4" w:space="0" w:color="auto"/>
            </w:tcBorders>
            <w:shd w:val="clear" w:color="auto" w:fill="auto"/>
            <w:hideMark/>
          </w:tcPr>
          <w:p w14:paraId="2C3182F3" w14:textId="77777777" w:rsidR="00C948FF" w:rsidRPr="00C948FF" w:rsidRDefault="00C948FF" w:rsidP="00C948FF">
            <w:pPr>
              <w:spacing w:line="240" w:lineRule="auto"/>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 </w:t>
            </w:r>
          </w:p>
        </w:tc>
        <w:tc>
          <w:tcPr>
            <w:tcW w:w="609" w:type="dxa"/>
            <w:tcBorders>
              <w:top w:val="nil"/>
              <w:left w:val="nil"/>
              <w:bottom w:val="single" w:sz="8" w:space="0" w:color="auto"/>
              <w:right w:val="single" w:sz="4" w:space="0" w:color="auto"/>
            </w:tcBorders>
            <w:shd w:val="clear" w:color="auto" w:fill="auto"/>
            <w:hideMark/>
          </w:tcPr>
          <w:p w14:paraId="02796CAA" w14:textId="77777777" w:rsidR="00C948FF" w:rsidRPr="00C948FF" w:rsidRDefault="00C948FF" w:rsidP="00C948FF">
            <w:pPr>
              <w:spacing w:line="240" w:lineRule="auto"/>
              <w:jc w:val="right"/>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£4,448</w:t>
            </w:r>
          </w:p>
        </w:tc>
        <w:tc>
          <w:tcPr>
            <w:tcW w:w="668" w:type="dxa"/>
            <w:tcBorders>
              <w:top w:val="nil"/>
              <w:left w:val="nil"/>
              <w:bottom w:val="single" w:sz="8" w:space="0" w:color="auto"/>
              <w:right w:val="single" w:sz="4" w:space="0" w:color="auto"/>
            </w:tcBorders>
            <w:shd w:val="clear" w:color="auto" w:fill="auto"/>
            <w:hideMark/>
          </w:tcPr>
          <w:p w14:paraId="074A54B5" w14:textId="77777777" w:rsidR="00C948FF" w:rsidRPr="00C948FF" w:rsidRDefault="00C948FF" w:rsidP="00C948FF">
            <w:pPr>
              <w:spacing w:line="240" w:lineRule="auto"/>
              <w:jc w:val="right"/>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£1,656</w:t>
            </w:r>
          </w:p>
        </w:tc>
        <w:tc>
          <w:tcPr>
            <w:tcW w:w="696" w:type="dxa"/>
            <w:tcBorders>
              <w:top w:val="nil"/>
              <w:left w:val="nil"/>
              <w:bottom w:val="single" w:sz="8" w:space="0" w:color="auto"/>
              <w:right w:val="single" w:sz="4" w:space="0" w:color="auto"/>
            </w:tcBorders>
            <w:shd w:val="clear" w:color="auto" w:fill="auto"/>
            <w:hideMark/>
          </w:tcPr>
          <w:p w14:paraId="49A057E8" w14:textId="77777777" w:rsidR="00C948FF" w:rsidRPr="00C948FF" w:rsidRDefault="00C948FF" w:rsidP="00C948FF">
            <w:pPr>
              <w:spacing w:line="240" w:lineRule="auto"/>
              <w:jc w:val="right"/>
              <w:rPr>
                <w:rFonts w:ascii="Century Gothic" w:eastAsia="Times New Roman" w:hAnsi="Century Gothic" w:cs="Calibri"/>
                <w:sz w:val="18"/>
                <w:szCs w:val="18"/>
                <w:lang w:eastAsia="en-GB"/>
              </w:rPr>
            </w:pPr>
            <w:r w:rsidRPr="00C948FF">
              <w:rPr>
                <w:rFonts w:ascii="Century Gothic" w:eastAsia="Times New Roman" w:hAnsi="Century Gothic" w:cs="Calibri"/>
                <w:sz w:val="18"/>
                <w:szCs w:val="18"/>
                <w:lang w:eastAsia="en-GB"/>
              </w:rPr>
              <w:t>£1,486</w:t>
            </w:r>
          </w:p>
        </w:tc>
        <w:tc>
          <w:tcPr>
            <w:tcW w:w="648" w:type="dxa"/>
            <w:tcBorders>
              <w:top w:val="nil"/>
              <w:left w:val="nil"/>
              <w:bottom w:val="single" w:sz="8" w:space="0" w:color="auto"/>
              <w:right w:val="single" w:sz="4" w:space="0" w:color="auto"/>
            </w:tcBorders>
            <w:shd w:val="clear" w:color="auto" w:fill="auto"/>
            <w:noWrap/>
            <w:vAlign w:val="bottom"/>
            <w:hideMark/>
          </w:tcPr>
          <w:p w14:paraId="275939F0" w14:textId="77777777" w:rsidR="00C948FF" w:rsidRPr="00C948FF" w:rsidRDefault="00C948FF" w:rsidP="00C948FF">
            <w:pPr>
              <w:spacing w:line="240" w:lineRule="auto"/>
              <w:rPr>
                <w:rFonts w:ascii="Calibri" w:eastAsia="Times New Roman" w:hAnsi="Calibri" w:cs="Calibri"/>
                <w:color w:val="000000"/>
                <w:sz w:val="22"/>
                <w:lang w:eastAsia="en-GB"/>
              </w:rPr>
            </w:pPr>
            <w:r w:rsidRPr="00C948FF">
              <w:rPr>
                <w:rFonts w:ascii="Calibri" w:eastAsia="Times New Roman" w:hAnsi="Calibri" w:cs="Calibri"/>
                <w:color w:val="000000"/>
                <w:sz w:val="22"/>
                <w:lang w:eastAsia="en-GB"/>
              </w:rPr>
              <w:t> </w:t>
            </w:r>
          </w:p>
        </w:tc>
        <w:tc>
          <w:tcPr>
            <w:tcW w:w="738" w:type="dxa"/>
            <w:tcBorders>
              <w:top w:val="nil"/>
              <w:left w:val="nil"/>
              <w:bottom w:val="single" w:sz="8" w:space="0" w:color="auto"/>
              <w:right w:val="single" w:sz="4" w:space="0" w:color="auto"/>
            </w:tcBorders>
            <w:shd w:val="clear" w:color="auto" w:fill="auto"/>
            <w:noWrap/>
            <w:vAlign w:val="bottom"/>
            <w:hideMark/>
          </w:tcPr>
          <w:p w14:paraId="25106E80" w14:textId="77777777" w:rsidR="00C948FF" w:rsidRPr="00C948FF" w:rsidRDefault="00C948FF" w:rsidP="00C948FF">
            <w:pPr>
              <w:spacing w:line="240" w:lineRule="auto"/>
              <w:jc w:val="right"/>
              <w:rPr>
                <w:rFonts w:ascii="Century Gothic" w:eastAsia="Times New Roman" w:hAnsi="Century Gothic" w:cs="Calibri"/>
                <w:color w:val="000000"/>
                <w:sz w:val="18"/>
                <w:szCs w:val="18"/>
                <w:lang w:eastAsia="en-GB"/>
              </w:rPr>
            </w:pPr>
            <w:r w:rsidRPr="00C948FF">
              <w:rPr>
                <w:rFonts w:ascii="Century Gothic" w:eastAsia="Times New Roman" w:hAnsi="Century Gothic" w:cs="Calibri"/>
                <w:color w:val="000000"/>
                <w:sz w:val="18"/>
                <w:szCs w:val="18"/>
                <w:lang w:eastAsia="en-GB"/>
              </w:rPr>
              <w:t>3%</w:t>
            </w:r>
          </w:p>
        </w:tc>
        <w:tc>
          <w:tcPr>
            <w:tcW w:w="573" w:type="dxa"/>
            <w:tcBorders>
              <w:top w:val="nil"/>
              <w:left w:val="nil"/>
              <w:bottom w:val="single" w:sz="8" w:space="0" w:color="auto"/>
              <w:right w:val="single" w:sz="4" w:space="0" w:color="auto"/>
            </w:tcBorders>
            <w:shd w:val="clear" w:color="auto" w:fill="auto"/>
            <w:noWrap/>
            <w:vAlign w:val="bottom"/>
            <w:hideMark/>
          </w:tcPr>
          <w:p w14:paraId="026BF4D4" w14:textId="77777777" w:rsidR="00C948FF" w:rsidRPr="00C948FF" w:rsidRDefault="00C948FF" w:rsidP="00C948FF">
            <w:pPr>
              <w:spacing w:line="240" w:lineRule="auto"/>
              <w:jc w:val="right"/>
              <w:rPr>
                <w:rFonts w:ascii="Century Gothic" w:eastAsia="Times New Roman" w:hAnsi="Century Gothic" w:cs="Calibri"/>
                <w:color w:val="000000"/>
                <w:sz w:val="18"/>
                <w:szCs w:val="18"/>
                <w:lang w:eastAsia="en-GB"/>
              </w:rPr>
            </w:pPr>
            <w:r w:rsidRPr="00C948FF">
              <w:rPr>
                <w:rFonts w:ascii="Century Gothic" w:eastAsia="Times New Roman" w:hAnsi="Century Gothic" w:cs="Calibri"/>
                <w:color w:val="000000"/>
                <w:sz w:val="18"/>
                <w:szCs w:val="18"/>
                <w:lang w:eastAsia="en-GB"/>
              </w:rPr>
              <w:t>2%</w:t>
            </w:r>
          </w:p>
        </w:tc>
        <w:tc>
          <w:tcPr>
            <w:tcW w:w="573" w:type="dxa"/>
            <w:tcBorders>
              <w:top w:val="nil"/>
              <w:left w:val="nil"/>
              <w:bottom w:val="single" w:sz="8" w:space="0" w:color="auto"/>
              <w:right w:val="single" w:sz="8" w:space="0" w:color="auto"/>
            </w:tcBorders>
            <w:shd w:val="clear" w:color="auto" w:fill="auto"/>
            <w:noWrap/>
            <w:vAlign w:val="bottom"/>
            <w:hideMark/>
          </w:tcPr>
          <w:p w14:paraId="029C11B5" w14:textId="77777777" w:rsidR="00C948FF" w:rsidRPr="00C948FF" w:rsidRDefault="00C948FF" w:rsidP="00C948FF">
            <w:pPr>
              <w:spacing w:line="240" w:lineRule="auto"/>
              <w:jc w:val="right"/>
              <w:rPr>
                <w:rFonts w:ascii="Century Gothic" w:eastAsia="Times New Roman" w:hAnsi="Century Gothic" w:cs="Calibri"/>
                <w:color w:val="000000"/>
                <w:sz w:val="18"/>
                <w:szCs w:val="18"/>
                <w:lang w:eastAsia="en-GB"/>
              </w:rPr>
            </w:pPr>
            <w:r w:rsidRPr="00C948FF">
              <w:rPr>
                <w:rFonts w:ascii="Century Gothic" w:eastAsia="Times New Roman" w:hAnsi="Century Gothic" w:cs="Calibri"/>
                <w:color w:val="000000"/>
                <w:sz w:val="18"/>
                <w:szCs w:val="18"/>
                <w:lang w:eastAsia="en-GB"/>
              </w:rPr>
              <w:t>2%</w:t>
            </w:r>
          </w:p>
        </w:tc>
      </w:tr>
    </w:tbl>
    <w:p w14:paraId="6162DF41" w14:textId="241B2DA6" w:rsidR="00C948FF" w:rsidRPr="0073647D" w:rsidRDefault="003A5E0E" w:rsidP="0073647D">
      <w:pPr>
        <w:jc w:val="center"/>
        <w:rPr>
          <w:sz w:val="20"/>
          <w:szCs w:val="20"/>
        </w:rPr>
      </w:pPr>
      <w:r w:rsidRPr="0073647D">
        <w:rPr>
          <w:sz w:val="20"/>
          <w:szCs w:val="20"/>
        </w:rPr>
        <w:t xml:space="preserve">Table 1. Financial Analysis of </w:t>
      </w:r>
      <w:r w:rsidR="00024134" w:rsidRPr="0073647D">
        <w:rPr>
          <w:sz w:val="20"/>
          <w:szCs w:val="20"/>
        </w:rPr>
        <w:t>competitors</w:t>
      </w:r>
    </w:p>
    <w:p w14:paraId="5294158D" w14:textId="77777777" w:rsidR="0073647D" w:rsidRDefault="0073647D" w:rsidP="0073647D">
      <w:bookmarkStart w:id="14" w:name="_Toc29799291"/>
    </w:p>
    <w:p w14:paraId="76F3AE31" w14:textId="66C64F7D" w:rsidR="0073647D" w:rsidRDefault="0073647D" w:rsidP="002E42EE">
      <w:pPr>
        <w:spacing w:line="600" w:lineRule="auto"/>
      </w:pPr>
      <w:r>
        <w:t xml:space="preserve">Not only is the competition from rivals intense the exit barriers could argued to be high. This is due to the niche of working with the UK water industry with limited customers to utilise and therefore difficult to exit. </w:t>
      </w:r>
      <w:r w:rsidR="00432A65">
        <w:t xml:space="preserve">So </w:t>
      </w:r>
      <w:r w:rsidR="0065005E">
        <w:t>therefore,</w:t>
      </w:r>
      <w:r w:rsidR="00432A65">
        <w:t xml:space="preserve"> following the </w:t>
      </w:r>
      <w:r w:rsidR="00B76003">
        <w:t xml:space="preserve">evaluation of </w:t>
      </w:r>
      <w:r w:rsidR="00DB64FF">
        <w:t xml:space="preserve">ACIEM’s competitors it may lead to the view that the industry that ACIEM operate is highly competitive. </w:t>
      </w:r>
      <w:r w:rsidR="00B76003">
        <w:t xml:space="preserve"> </w:t>
      </w:r>
    </w:p>
    <w:p w14:paraId="455D03DA" w14:textId="7E64AAA6" w:rsidR="006208EA" w:rsidRDefault="006208EA" w:rsidP="002E42EE">
      <w:pPr>
        <w:pStyle w:val="Heading3"/>
        <w:spacing w:line="600" w:lineRule="auto"/>
      </w:pPr>
      <w:bookmarkStart w:id="15" w:name="_Toc59100997"/>
      <w:r>
        <w:t>Supplier Power</w:t>
      </w:r>
      <w:bookmarkEnd w:id="14"/>
      <w:bookmarkEnd w:id="15"/>
    </w:p>
    <w:p w14:paraId="1C698ABA" w14:textId="64B6185F" w:rsidR="006208EA" w:rsidRDefault="00C06E5E" w:rsidP="002E42EE">
      <w:pPr>
        <w:spacing w:line="600" w:lineRule="auto"/>
      </w:pPr>
      <w:r>
        <w:t xml:space="preserve">The UK water industry has very particular requirements when it comes to the supply of goods and services. Items such a </w:t>
      </w:r>
      <w:r w:rsidR="00753B90">
        <w:t>pumps,</w:t>
      </w:r>
      <w:r>
        <w:t xml:space="preserve"> chemical dosing equipment </w:t>
      </w:r>
      <w:r w:rsidR="007B77DA">
        <w:t xml:space="preserve">and stee; and Motor Control Centres (MCC) </w:t>
      </w:r>
      <w:r w:rsidR="00B16C14">
        <w:t xml:space="preserve">are highly technical pieces of equipment that play an important role in the delivery and operation the </w:t>
      </w:r>
      <w:r w:rsidR="00753B90">
        <w:t xml:space="preserve">clean and dirty water sites. So similar situation </w:t>
      </w:r>
      <w:r w:rsidR="00912760">
        <w:t>to ACIEM’s procurement</w:t>
      </w:r>
      <w:r w:rsidR="00682ADA">
        <w:t xml:space="preserve">, water companies set up frameworks of supplier of specialist equipment. </w:t>
      </w:r>
      <w:r w:rsidR="004E7FDC">
        <w:t xml:space="preserve">It could be reasoned that it this could cause lack of competition and </w:t>
      </w:r>
      <w:r w:rsidR="007C55F9">
        <w:t xml:space="preserve">competitiveness of pricing from these suppliers, this may cause increase of ACIEM’s costs in </w:t>
      </w:r>
      <w:r w:rsidR="00D30FFC">
        <w:t xml:space="preserve">supplying these products on projects. However, with </w:t>
      </w:r>
      <w:r w:rsidR="00D30FFC">
        <w:lastRenderedPageBreak/>
        <w:t xml:space="preserve">the recent events </w:t>
      </w:r>
      <w:r w:rsidR="00B67E75">
        <w:t xml:space="preserve">undergone in ACIEM with regards to the incorporation into the RSE Group, ACIEM now posses a number of companies within the group </w:t>
      </w:r>
      <w:r w:rsidR="00605861">
        <w:t>that form these keys suppliers</w:t>
      </w:r>
      <w:r w:rsidR="002A0A53">
        <w:t xml:space="preserve"> and therefore may have limited the impact of this threat (RSE, 2020b)</w:t>
      </w:r>
      <w:r w:rsidR="00605861">
        <w:t xml:space="preserve">. </w:t>
      </w:r>
      <w:r w:rsidR="004E7FDC">
        <w:t xml:space="preserve"> </w:t>
      </w:r>
    </w:p>
    <w:p w14:paraId="17FBD4D2" w14:textId="77777777" w:rsidR="006208EA" w:rsidRDefault="006208EA" w:rsidP="002E42EE">
      <w:pPr>
        <w:pStyle w:val="Heading3"/>
        <w:spacing w:line="600" w:lineRule="auto"/>
      </w:pPr>
      <w:bookmarkStart w:id="16" w:name="_Toc29799292"/>
      <w:bookmarkStart w:id="17" w:name="_Toc59100998"/>
      <w:r>
        <w:t>Buyer Power</w:t>
      </w:r>
      <w:bookmarkEnd w:id="16"/>
      <w:bookmarkEnd w:id="17"/>
    </w:p>
    <w:p w14:paraId="044C221D" w14:textId="77777777" w:rsidR="001641C3" w:rsidRDefault="00DD4FC7" w:rsidP="002E42EE">
      <w:pPr>
        <w:spacing w:line="600" w:lineRule="auto"/>
      </w:pPr>
      <w:r>
        <w:t xml:space="preserve">As previously discussed </w:t>
      </w:r>
      <w:r w:rsidR="007D1C56">
        <w:t>in the analysis of the competitors the framework and competitive tendering process is one which the buyer and in this instance the water companies will aim t</w:t>
      </w:r>
      <w:r w:rsidR="00B90520">
        <w:t xml:space="preserve">o capitalise on. </w:t>
      </w:r>
      <w:r w:rsidR="00FF3221">
        <w:t xml:space="preserve">The buyers within the sector could arguably have low switching costs and therefore switch between suppliers within the framework easily, however this could </w:t>
      </w:r>
      <w:r w:rsidR="00FD77D3">
        <w:t xml:space="preserve">alternatively create problems for the buyer in that with such a concentrated pool </w:t>
      </w:r>
      <w:r w:rsidR="004466CF">
        <w:t xml:space="preserve">of contractors it may eventually cause them to </w:t>
      </w:r>
      <w:r w:rsidR="000361F2">
        <w:t xml:space="preserve">pull away from the buyer. </w:t>
      </w:r>
    </w:p>
    <w:p w14:paraId="33202833" w14:textId="064F4278" w:rsidR="006208EA" w:rsidRDefault="001641C3" w:rsidP="002E42EE">
      <w:pPr>
        <w:spacing w:line="600" w:lineRule="auto"/>
      </w:pPr>
      <w:r>
        <w:t xml:space="preserve">Also, in recent times it has been experienced that the buyers are </w:t>
      </w:r>
      <w:r w:rsidR="00E63917">
        <w:t>undertaking</w:t>
      </w:r>
      <w:r>
        <w:t xml:space="preserve"> a “backward</w:t>
      </w:r>
      <w:r w:rsidR="00F233D7">
        <w:t xml:space="preserve"> vertical integration” process which sees them </w:t>
      </w:r>
      <w:r w:rsidR="0084336F">
        <w:t>reverting</w:t>
      </w:r>
      <w:r w:rsidR="00F233D7">
        <w:t xml:space="preserve"> to sources of supply (</w:t>
      </w:r>
      <w:r w:rsidR="00E63917">
        <w:t xml:space="preserve">Johnson </w:t>
      </w:r>
      <w:r w:rsidR="00E63917">
        <w:rPr>
          <w:i/>
          <w:iCs/>
        </w:rPr>
        <w:t>et al, 2017).</w:t>
      </w:r>
      <w:r w:rsidR="006208EA">
        <w:t xml:space="preserve"> </w:t>
      </w:r>
      <w:r w:rsidR="003C2A6A">
        <w:t xml:space="preserve">Due to the nature of ACIEM’s proposal it </w:t>
      </w:r>
      <w:r w:rsidR="00B1681E">
        <w:t xml:space="preserve">delivers projects that integrate the water supply chain, so therefore in an attempt to </w:t>
      </w:r>
      <w:r w:rsidR="000B231F">
        <w:t>improve the buyers profitability it has taken on the option of procuring and delivering a large amount of project</w:t>
      </w:r>
      <w:r w:rsidR="00D10845">
        <w:t>s</w:t>
      </w:r>
      <w:r w:rsidR="000B231F">
        <w:t xml:space="preserve"> internally.</w:t>
      </w:r>
      <w:r w:rsidR="00A34240">
        <w:t xml:space="preserve"> With these factors becoming prevalent it would lead to the suggestion that the buyer groups </w:t>
      </w:r>
      <w:r w:rsidR="003D526F">
        <w:t xml:space="preserve">are of a price sensitive </w:t>
      </w:r>
      <w:proofErr w:type="spellStart"/>
      <w:r w:rsidR="003D526F">
        <w:t>nautre</w:t>
      </w:r>
      <w:proofErr w:type="spellEnd"/>
      <w:r w:rsidR="003D526F">
        <w:t xml:space="preserve"> (Porter, 2008).</w:t>
      </w:r>
    </w:p>
    <w:p w14:paraId="73B2F0EF" w14:textId="77777777" w:rsidR="006208EA" w:rsidRDefault="006208EA" w:rsidP="002E42EE">
      <w:pPr>
        <w:pStyle w:val="Heading3"/>
        <w:spacing w:line="600" w:lineRule="auto"/>
      </w:pPr>
      <w:bookmarkStart w:id="18" w:name="_Toc29799293"/>
      <w:bookmarkStart w:id="19" w:name="_Toc59100999"/>
      <w:r>
        <w:lastRenderedPageBreak/>
        <w:t>Threat of substitution</w:t>
      </w:r>
      <w:bookmarkEnd w:id="18"/>
      <w:bookmarkEnd w:id="19"/>
    </w:p>
    <w:p w14:paraId="32D1FACF" w14:textId="6ED44263" w:rsidR="006208EA" w:rsidRDefault="009637A9" w:rsidP="002E42EE">
      <w:pPr>
        <w:spacing w:line="600" w:lineRule="auto"/>
      </w:pPr>
      <w:r>
        <w:t>A substitute service could be defined as</w:t>
      </w:r>
      <w:r w:rsidR="00F940E3">
        <w:t xml:space="preserve"> a service outside the industry </w:t>
      </w:r>
      <w:r w:rsidR="002E5A2D">
        <w:t xml:space="preserve">that </w:t>
      </w:r>
      <w:r w:rsidR="007D3E64">
        <w:t xml:space="preserve">serve the </w:t>
      </w:r>
      <w:proofErr w:type="spellStart"/>
      <w:r w:rsidR="007D3E64">
        <w:t>customers</w:t>
      </w:r>
      <w:proofErr w:type="spellEnd"/>
      <w:r w:rsidR="007D3E64">
        <w:t xml:space="preserve"> needs (Dess </w:t>
      </w:r>
      <w:r w:rsidR="007D3E64">
        <w:rPr>
          <w:i/>
          <w:iCs/>
        </w:rPr>
        <w:t xml:space="preserve">et al, </w:t>
      </w:r>
      <w:r w:rsidR="003600AD">
        <w:t xml:space="preserve">2014). </w:t>
      </w:r>
      <w:r w:rsidR="00B60E45">
        <w:t>ACIEM are defined as a multi-disciplined engineering contractor which could lead to the assumption that there are several industries such as the oil and gas, manufacturing and renewable industries that would have these types of organisations and may conclude that there could be a high threat of new entry transferring their skills. However, when evaluating over the previous years the amount of these contractors that aim to enter the water industry it could be concluded that there is not a high volume.</w:t>
      </w:r>
      <w:r w:rsidR="003600AD" w:rsidRPr="003600AD">
        <w:t xml:space="preserve"> </w:t>
      </w:r>
      <w:r w:rsidR="00420686">
        <w:t>Additionally,</w:t>
      </w:r>
      <w:r w:rsidR="003600AD">
        <w:t xml:space="preserve"> with many in the industry putting a perceived emphasis on innovation (Wessex Water, 2019) it may lead people to review how they currently operate and aim for more efficient methods</w:t>
      </w:r>
      <w:r w:rsidR="00420686">
        <w:t xml:space="preserve"> and may provide a solution to their needs from an alternative source that may not possess any current correlation with the current service requirements</w:t>
      </w:r>
      <w:r w:rsidR="003600AD">
        <w:t xml:space="preserve">. </w:t>
      </w:r>
      <w:r w:rsidR="00420686">
        <w:t>However, w</w:t>
      </w:r>
      <w:r w:rsidR="003600AD">
        <w:t>ith ACIEM’s skills their people, project management and engineer knowledge it could be argued that this may be hard to be substituted other than a new source or competitor.</w:t>
      </w:r>
    </w:p>
    <w:p w14:paraId="3C8FA5F3" w14:textId="77777777" w:rsidR="006208EA" w:rsidRDefault="006208EA" w:rsidP="002E42EE">
      <w:pPr>
        <w:pStyle w:val="Heading3"/>
        <w:spacing w:line="600" w:lineRule="auto"/>
      </w:pPr>
      <w:bookmarkStart w:id="20" w:name="_Toc29799294"/>
      <w:bookmarkStart w:id="21" w:name="_Toc59101000"/>
      <w:r>
        <w:t>Threat of new entry</w:t>
      </w:r>
      <w:bookmarkEnd w:id="20"/>
      <w:bookmarkEnd w:id="21"/>
      <w:r>
        <w:t xml:space="preserve"> </w:t>
      </w:r>
    </w:p>
    <w:p w14:paraId="5713F482" w14:textId="385B0E3E" w:rsidR="00F27865" w:rsidRDefault="003A1B6C" w:rsidP="002E42EE">
      <w:pPr>
        <w:spacing w:line="600" w:lineRule="auto"/>
      </w:pPr>
      <w:r>
        <w:t xml:space="preserve">Due to the </w:t>
      </w:r>
      <w:r w:rsidR="00F83C1E">
        <w:t>AMP cycles and fixed terms of the framework process,</w:t>
      </w:r>
      <w:r w:rsidR="00F27865">
        <w:t xml:space="preserve"> once the letting process of that is complete any </w:t>
      </w:r>
      <w:r w:rsidR="00805274">
        <w:t>potential new entries</w:t>
      </w:r>
      <w:r w:rsidR="00F27865">
        <w:t xml:space="preserve"> must wait until the next AMP period to have the ability to attempt to gain a foot hold onto these frameworks. </w:t>
      </w:r>
      <w:r w:rsidR="00EB21D9">
        <w:t xml:space="preserve">It is </w:t>
      </w:r>
      <w:r w:rsidR="00EB21D9">
        <w:lastRenderedPageBreak/>
        <w:t xml:space="preserve">therefore determined that </w:t>
      </w:r>
      <w:r w:rsidR="003047CA">
        <w:t xml:space="preserve">the threat of new entry does not pose as great a threat of some of the other forces reviewed. </w:t>
      </w:r>
    </w:p>
    <w:p w14:paraId="183E3E7C" w14:textId="05E6C042" w:rsidR="000B097A" w:rsidRDefault="00860248" w:rsidP="002E42EE">
      <w:pPr>
        <w:pStyle w:val="Heading2"/>
        <w:spacing w:line="600" w:lineRule="auto"/>
      </w:pPr>
      <w:bookmarkStart w:id="22" w:name="_Toc59101001"/>
      <w:r>
        <w:t xml:space="preserve">Resources and Capability </w:t>
      </w:r>
      <w:r w:rsidR="00DC5724">
        <w:t>– SWOT Analysis</w:t>
      </w:r>
      <w:bookmarkEnd w:id="22"/>
    </w:p>
    <w:p w14:paraId="6DDE3171" w14:textId="32441EF2" w:rsidR="006208EA" w:rsidRDefault="00A66D6C" w:rsidP="002E42EE">
      <w:pPr>
        <w:spacing w:before="240" w:line="600" w:lineRule="auto"/>
      </w:pPr>
      <w:r>
        <w:t xml:space="preserve">It is believed that </w:t>
      </w:r>
      <w:r w:rsidR="00F76EC7">
        <w:t>no matter the quality of creative thinking if this is accompanied with poor analysis it reduces the chances of success (Hussey, 200</w:t>
      </w:r>
      <w:r w:rsidR="002E42EE">
        <w:t xml:space="preserve">1). </w:t>
      </w:r>
      <w:r w:rsidR="00A91ACE">
        <w:t>Having</w:t>
      </w:r>
      <w:r w:rsidR="00A12A90">
        <w:t xml:space="preserve"> </w:t>
      </w:r>
      <w:r w:rsidR="002E42EE">
        <w:t xml:space="preserve">already </w:t>
      </w:r>
      <w:r w:rsidR="00A12A90">
        <w:t xml:space="preserve">reviewed the current industry environment and external environment </w:t>
      </w:r>
      <w:r w:rsidR="00914A35">
        <w:t xml:space="preserve">the analysis must be brought internally to review resources and capabilities of </w:t>
      </w:r>
      <w:r w:rsidR="00733C36">
        <w:t>the firm.</w:t>
      </w:r>
      <w:r w:rsidR="0068263A">
        <w:t xml:space="preserve"> The external environment </w:t>
      </w:r>
      <w:r w:rsidR="000700D6">
        <w:t xml:space="preserve">is not the only driver in strategic position and choices, with no </w:t>
      </w:r>
      <w:r w:rsidR="00754946">
        <w:t>organisations</w:t>
      </w:r>
      <w:r w:rsidR="006768B5">
        <w:t xml:space="preserve"> being the same </w:t>
      </w:r>
      <w:r w:rsidR="00754946">
        <w:t xml:space="preserve">and this must be accounted for in the analytical process </w:t>
      </w:r>
      <w:r w:rsidR="006768B5">
        <w:t xml:space="preserve">(Johnson </w:t>
      </w:r>
      <w:r w:rsidR="006768B5">
        <w:rPr>
          <w:i/>
          <w:iCs/>
        </w:rPr>
        <w:t xml:space="preserve">et al, </w:t>
      </w:r>
      <w:r w:rsidR="006768B5">
        <w:t xml:space="preserve">2017). </w:t>
      </w:r>
      <w:r w:rsidR="00733C36">
        <w:t xml:space="preserve"> A method of undertaking this form of analysis is to produce a SWOT analysis</w:t>
      </w:r>
      <w:r w:rsidR="00CB7E72">
        <w:t xml:space="preserve"> (</w:t>
      </w:r>
      <w:r w:rsidR="0074717E">
        <w:t>Strength, Weaknesses, Opportunities and Threats)</w:t>
      </w:r>
      <w:r w:rsidR="00754946">
        <w:t xml:space="preserve"> which provides a view </w:t>
      </w:r>
      <w:r w:rsidR="00B53AE9">
        <w:t xml:space="preserve">of the businesses position and will be utilised in the </w:t>
      </w:r>
      <w:r w:rsidR="000233F2">
        <w:t xml:space="preserve">formation of the strategic options available. </w:t>
      </w:r>
      <w:r w:rsidR="00391BD1">
        <w:t xml:space="preserve">The analysis must have a customer focus </w:t>
      </w:r>
      <w:r w:rsidR="00017705">
        <w:t xml:space="preserve">with the objective of the process to utilise the strategic planning to produce a competitive advantage and it is argued that this cannot be fulfilled if </w:t>
      </w:r>
      <w:r w:rsidR="007350E0">
        <w:t>the customer needs are not addressed (</w:t>
      </w:r>
      <w:proofErr w:type="spellStart"/>
      <w:r w:rsidR="00B554FC">
        <w:t>Zehle</w:t>
      </w:r>
      <w:proofErr w:type="spellEnd"/>
      <w:r w:rsidR="00B554FC">
        <w:t xml:space="preserve"> and Friend, 2008). </w:t>
      </w:r>
      <w:r w:rsidR="00A8112E">
        <w:t xml:space="preserve">The </w:t>
      </w:r>
      <w:r w:rsidR="00DC5724">
        <w:t>strengths and weakness analysis will provide an internal review while the opportunities and threats will be more customer and industry focused (</w:t>
      </w:r>
      <w:r w:rsidR="004304CD">
        <w:t xml:space="preserve">Wilson and Bates, </w:t>
      </w:r>
      <w:r w:rsidR="00200E4E">
        <w:t xml:space="preserve">2003). </w:t>
      </w:r>
      <w:r w:rsidR="00D47F07">
        <w:t xml:space="preserve"> </w:t>
      </w:r>
      <w:r w:rsidR="00754946">
        <w:t xml:space="preserve"> </w:t>
      </w:r>
    </w:p>
    <w:p w14:paraId="0CF33DD6" w14:textId="77777777" w:rsidR="003257AF" w:rsidRDefault="003257AF" w:rsidP="002E42EE">
      <w:pPr>
        <w:spacing w:before="240" w:line="600" w:lineRule="auto"/>
      </w:pPr>
    </w:p>
    <w:p w14:paraId="7C696EB2" w14:textId="77777777" w:rsidR="006A44A3" w:rsidRDefault="006A44A3" w:rsidP="006A44A3">
      <w:pPr>
        <w:rPr>
          <w:rFonts w:asciiTheme="minorHAnsi" w:hAnsiTheme="minorHAnsi"/>
          <w:sz w:val="22"/>
        </w:rPr>
      </w:pPr>
    </w:p>
    <w:tbl>
      <w:tblPr>
        <w:tblStyle w:val="TableGrid"/>
        <w:tblW w:w="10207" w:type="dxa"/>
        <w:tblInd w:w="-431" w:type="dxa"/>
        <w:tblLook w:val="04A0" w:firstRow="1" w:lastRow="0" w:firstColumn="1" w:lastColumn="0" w:noHBand="0" w:noVBand="1"/>
      </w:tblPr>
      <w:tblGrid>
        <w:gridCol w:w="5132"/>
        <w:gridCol w:w="5075"/>
      </w:tblGrid>
      <w:tr w:rsidR="006A44A3" w14:paraId="53E7870F" w14:textId="77777777" w:rsidTr="006A44A3">
        <w:tc>
          <w:tcPr>
            <w:tcW w:w="5132" w:type="dxa"/>
            <w:tcBorders>
              <w:top w:val="single" w:sz="4" w:space="0" w:color="000000"/>
              <w:left w:val="single" w:sz="4" w:space="0" w:color="000000"/>
              <w:bottom w:val="single" w:sz="4" w:space="0" w:color="000000"/>
              <w:right w:val="single" w:sz="4" w:space="0" w:color="000000"/>
            </w:tcBorders>
          </w:tcPr>
          <w:p w14:paraId="73C8A676" w14:textId="77777777" w:rsidR="006A44A3" w:rsidRDefault="006A44A3">
            <w:pPr>
              <w:rPr>
                <w:rFonts w:ascii="Calibri" w:hAnsi="Calibri"/>
                <w:b/>
              </w:rPr>
            </w:pPr>
            <w:r>
              <w:rPr>
                <w:b/>
              </w:rPr>
              <w:t>Strengths</w:t>
            </w:r>
          </w:p>
          <w:p w14:paraId="65730DE0" w14:textId="77777777" w:rsidR="006A44A3" w:rsidRDefault="006A44A3" w:rsidP="00BD2D78">
            <w:pPr>
              <w:pStyle w:val="ListParagraph"/>
              <w:numPr>
                <w:ilvl w:val="0"/>
                <w:numId w:val="5"/>
              </w:numPr>
              <w:spacing w:after="0" w:line="240" w:lineRule="auto"/>
            </w:pPr>
            <w:r>
              <w:t>Multi-discipline team</w:t>
            </w:r>
          </w:p>
          <w:p w14:paraId="09E82D82" w14:textId="77777777" w:rsidR="006A44A3" w:rsidRDefault="006A44A3" w:rsidP="00BD2D78">
            <w:pPr>
              <w:pStyle w:val="ListParagraph"/>
              <w:numPr>
                <w:ilvl w:val="0"/>
                <w:numId w:val="5"/>
              </w:numPr>
              <w:spacing w:after="0" w:line="240" w:lineRule="auto"/>
            </w:pPr>
            <w:r>
              <w:t>Civils delivery abilities (not typical for a MEICA contractor)</w:t>
            </w:r>
          </w:p>
          <w:p w14:paraId="01F9E181" w14:textId="77777777" w:rsidR="006A44A3" w:rsidRDefault="006A44A3" w:rsidP="00BD2D78">
            <w:pPr>
              <w:pStyle w:val="ListParagraph"/>
              <w:numPr>
                <w:ilvl w:val="0"/>
                <w:numId w:val="5"/>
              </w:numPr>
              <w:spacing w:after="0" w:line="240" w:lineRule="auto"/>
            </w:pPr>
            <w:r>
              <w:t>Project management capability</w:t>
            </w:r>
          </w:p>
          <w:p w14:paraId="277AD66A" w14:textId="682D0F13" w:rsidR="00BD2D78" w:rsidRDefault="00BD2D78" w:rsidP="00BD2D78">
            <w:pPr>
              <w:pStyle w:val="ListParagraph"/>
              <w:numPr>
                <w:ilvl w:val="0"/>
                <w:numId w:val="5"/>
              </w:numPr>
              <w:spacing w:after="0" w:line="240" w:lineRule="auto"/>
            </w:pPr>
            <w:r>
              <w:t xml:space="preserve">Design capability </w:t>
            </w:r>
            <w:r w:rsidR="00671463">
              <w:t>in-house</w:t>
            </w:r>
          </w:p>
          <w:p w14:paraId="46516568" w14:textId="42C53B0D" w:rsidR="00C6487D" w:rsidRDefault="00C6487D" w:rsidP="00BD2D78">
            <w:pPr>
              <w:pStyle w:val="ListParagraph"/>
              <w:numPr>
                <w:ilvl w:val="0"/>
                <w:numId w:val="5"/>
              </w:numPr>
              <w:spacing w:after="0" w:line="240" w:lineRule="auto"/>
            </w:pPr>
            <w:r>
              <w:t>RSE Group capability</w:t>
            </w:r>
            <w:r w:rsidR="00AC40EF">
              <w:t xml:space="preserve"> </w:t>
            </w:r>
          </w:p>
          <w:p w14:paraId="6A4CC1D1" w14:textId="48DBA132" w:rsidR="006A44A3" w:rsidRDefault="00C6487D" w:rsidP="00D53EE6">
            <w:pPr>
              <w:pStyle w:val="ListParagraph"/>
              <w:numPr>
                <w:ilvl w:val="0"/>
                <w:numId w:val="5"/>
              </w:numPr>
              <w:spacing w:after="0" w:line="240" w:lineRule="auto"/>
            </w:pPr>
            <w:r>
              <w:t xml:space="preserve">Over 25 </w:t>
            </w:r>
            <w:r w:rsidR="00671463">
              <w:t>years’ experience</w:t>
            </w:r>
          </w:p>
          <w:p w14:paraId="2CC3D11C" w14:textId="51329E26" w:rsidR="00D53EE6" w:rsidRPr="00D53EE6" w:rsidRDefault="00D53EE6" w:rsidP="00D53EE6">
            <w:pPr>
              <w:pStyle w:val="ListParagraph"/>
              <w:numPr>
                <w:ilvl w:val="0"/>
                <w:numId w:val="5"/>
              </w:numPr>
              <w:spacing w:after="0" w:line="240" w:lineRule="auto"/>
            </w:pPr>
            <w:r>
              <w:t>Low</w:t>
            </w:r>
            <w:r w:rsidR="007B6AA8">
              <w:t>-</w:t>
            </w:r>
            <w:r>
              <w:t xml:space="preserve">cost position </w:t>
            </w:r>
          </w:p>
          <w:p w14:paraId="1DB4525C" w14:textId="77777777" w:rsidR="006A44A3" w:rsidRDefault="006A44A3">
            <w:pPr>
              <w:rPr>
                <w:b/>
              </w:rPr>
            </w:pPr>
          </w:p>
        </w:tc>
        <w:tc>
          <w:tcPr>
            <w:tcW w:w="5075" w:type="dxa"/>
            <w:tcBorders>
              <w:top w:val="single" w:sz="4" w:space="0" w:color="000000"/>
              <w:left w:val="single" w:sz="4" w:space="0" w:color="000000"/>
              <w:bottom w:val="single" w:sz="4" w:space="0" w:color="000000"/>
              <w:right w:val="single" w:sz="4" w:space="0" w:color="000000"/>
            </w:tcBorders>
            <w:hideMark/>
          </w:tcPr>
          <w:p w14:paraId="29C85F53" w14:textId="77777777" w:rsidR="006A44A3" w:rsidRDefault="006A44A3">
            <w:pPr>
              <w:rPr>
                <w:b/>
              </w:rPr>
            </w:pPr>
            <w:r>
              <w:rPr>
                <w:b/>
              </w:rPr>
              <w:t>Weaknesses</w:t>
            </w:r>
          </w:p>
          <w:p w14:paraId="361204B0" w14:textId="77777777" w:rsidR="00671463" w:rsidRDefault="00671463" w:rsidP="00671463">
            <w:pPr>
              <w:pStyle w:val="ListParagraph"/>
              <w:numPr>
                <w:ilvl w:val="0"/>
                <w:numId w:val="5"/>
              </w:numPr>
              <w:spacing w:after="0" w:line="240" w:lineRule="auto"/>
            </w:pPr>
            <w:r>
              <w:t>Over-committed project resource</w:t>
            </w:r>
          </w:p>
          <w:p w14:paraId="06FDCD12" w14:textId="2DFEDD0E" w:rsidR="006A44A3" w:rsidRDefault="00671463" w:rsidP="000C5B0B">
            <w:pPr>
              <w:pStyle w:val="ListParagraph"/>
              <w:numPr>
                <w:ilvl w:val="0"/>
                <w:numId w:val="5"/>
              </w:numPr>
              <w:spacing w:after="0" w:line="240" w:lineRule="auto"/>
            </w:pPr>
            <w:r>
              <w:t>Lack of d</w:t>
            </w:r>
            <w:r w:rsidR="006A44A3">
              <w:t>iverse portfolio of clients</w:t>
            </w:r>
          </w:p>
          <w:p w14:paraId="21EEFCC4" w14:textId="77777777" w:rsidR="006A44A3" w:rsidRDefault="006A44A3" w:rsidP="000C5B0B">
            <w:pPr>
              <w:pStyle w:val="ListParagraph"/>
              <w:numPr>
                <w:ilvl w:val="0"/>
                <w:numId w:val="5"/>
              </w:numPr>
              <w:spacing w:after="0" w:line="240" w:lineRule="auto"/>
            </w:pPr>
            <w:r>
              <w:t xml:space="preserve">Process and Procedure adherence </w:t>
            </w:r>
          </w:p>
          <w:p w14:paraId="593816D3" w14:textId="167A8407" w:rsidR="00903FB9" w:rsidRDefault="006A44A3" w:rsidP="000C5B0B">
            <w:pPr>
              <w:pStyle w:val="ListParagraph"/>
              <w:numPr>
                <w:ilvl w:val="0"/>
                <w:numId w:val="5"/>
              </w:numPr>
              <w:spacing w:after="0" w:line="240" w:lineRule="auto"/>
            </w:pPr>
            <w:r>
              <w:t>ACIEM</w:t>
            </w:r>
            <w:r w:rsidR="008524B5">
              <w:t>/RSE</w:t>
            </w:r>
            <w:r>
              <w:t xml:space="preserve"> Brand awareness</w:t>
            </w:r>
            <w:r w:rsidR="00903FB9">
              <w:t xml:space="preserve"> </w:t>
            </w:r>
          </w:p>
          <w:p w14:paraId="6AA89F4D" w14:textId="68FE579B" w:rsidR="00903FB9" w:rsidRDefault="00903FB9" w:rsidP="000C5B0B">
            <w:pPr>
              <w:pStyle w:val="ListParagraph"/>
              <w:numPr>
                <w:ilvl w:val="0"/>
                <w:numId w:val="5"/>
              </w:numPr>
              <w:spacing w:after="0" w:line="240" w:lineRule="auto"/>
            </w:pPr>
            <w:r>
              <w:t>Location of South</w:t>
            </w:r>
            <w:r w:rsidR="007503DE">
              <w:t>ern</w:t>
            </w:r>
            <w:r>
              <w:t xml:space="preserve"> office</w:t>
            </w:r>
          </w:p>
          <w:p w14:paraId="6FD4291A" w14:textId="57F4D78A" w:rsidR="006F2D0E" w:rsidRDefault="006F2D0E" w:rsidP="000C5B0B">
            <w:pPr>
              <w:pStyle w:val="ListParagraph"/>
              <w:numPr>
                <w:ilvl w:val="0"/>
                <w:numId w:val="5"/>
              </w:numPr>
              <w:spacing w:after="0" w:line="240" w:lineRule="auto"/>
            </w:pPr>
            <w:r>
              <w:t>Weak</w:t>
            </w:r>
            <w:r w:rsidR="005B6808">
              <w:t xml:space="preserve"> </w:t>
            </w:r>
            <w:r>
              <w:t>cashflow</w:t>
            </w:r>
          </w:p>
          <w:p w14:paraId="6863B36F" w14:textId="61F43605" w:rsidR="006A44A3" w:rsidRDefault="006A44A3" w:rsidP="00671463">
            <w:pPr>
              <w:pStyle w:val="ListParagraph"/>
              <w:spacing w:after="0" w:line="240" w:lineRule="auto"/>
            </w:pPr>
          </w:p>
        </w:tc>
      </w:tr>
      <w:tr w:rsidR="006A44A3" w14:paraId="6AD4ABDB" w14:textId="77777777" w:rsidTr="006A44A3">
        <w:tc>
          <w:tcPr>
            <w:tcW w:w="5132" w:type="dxa"/>
            <w:tcBorders>
              <w:top w:val="single" w:sz="4" w:space="0" w:color="000000"/>
              <w:left w:val="single" w:sz="4" w:space="0" w:color="000000"/>
              <w:bottom w:val="single" w:sz="4" w:space="0" w:color="000000"/>
              <w:right w:val="single" w:sz="4" w:space="0" w:color="000000"/>
            </w:tcBorders>
          </w:tcPr>
          <w:p w14:paraId="74352D34" w14:textId="77777777" w:rsidR="006A44A3" w:rsidRDefault="006A44A3">
            <w:pPr>
              <w:rPr>
                <w:b/>
              </w:rPr>
            </w:pPr>
            <w:r>
              <w:rPr>
                <w:b/>
              </w:rPr>
              <w:t>Opportunities</w:t>
            </w:r>
          </w:p>
          <w:p w14:paraId="31857F01" w14:textId="1AEC5613" w:rsidR="005332B3" w:rsidRDefault="005332B3" w:rsidP="006A44A3">
            <w:pPr>
              <w:pStyle w:val="ListParagraph"/>
              <w:numPr>
                <w:ilvl w:val="0"/>
                <w:numId w:val="7"/>
              </w:numPr>
              <w:spacing w:after="0" w:line="240" w:lineRule="auto"/>
            </w:pPr>
            <w:proofErr w:type="spellStart"/>
            <w:r>
              <w:t>Covid</w:t>
            </w:r>
            <w:proofErr w:type="spellEnd"/>
            <w:r>
              <w:t xml:space="preserve"> 19 creating back log in programme delivery for clients. ACIEM to assist. </w:t>
            </w:r>
          </w:p>
          <w:p w14:paraId="029B3BEB" w14:textId="287527D3" w:rsidR="006A44A3" w:rsidRDefault="006A44A3" w:rsidP="006A44A3">
            <w:pPr>
              <w:pStyle w:val="ListParagraph"/>
              <w:numPr>
                <w:ilvl w:val="0"/>
                <w:numId w:val="7"/>
              </w:numPr>
              <w:spacing w:after="0" w:line="240" w:lineRule="auto"/>
            </w:pPr>
            <w:r>
              <w:t xml:space="preserve">Expansion in client could provide opportunity to provide EDT with future opportunities to enable them to build a competent team. </w:t>
            </w:r>
          </w:p>
          <w:p w14:paraId="2D4696BD" w14:textId="3712ACF1" w:rsidR="00AC40EF" w:rsidRDefault="00AC40EF" w:rsidP="006A44A3">
            <w:pPr>
              <w:pStyle w:val="ListParagraph"/>
              <w:numPr>
                <w:ilvl w:val="0"/>
                <w:numId w:val="7"/>
              </w:numPr>
              <w:spacing w:after="0" w:line="240" w:lineRule="auto"/>
            </w:pPr>
            <w:r>
              <w:t xml:space="preserve">P-Removal schemes require MEICA and Chemical dosing. (ACIEM and WES Link). </w:t>
            </w:r>
          </w:p>
          <w:p w14:paraId="6281624E" w14:textId="2E25FF74" w:rsidR="0042782A" w:rsidRDefault="0042782A" w:rsidP="006A44A3">
            <w:pPr>
              <w:pStyle w:val="ListParagraph"/>
              <w:numPr>
                <w:ilvl w:val="0"/>
                <w:numId w:val="7"/>
              </w:numPr>
              <w:spacing w:after="0" w:line="240" w:lineRule="auto"/>
            </w:pPr>
            <w:r>
              <w:t xml:space="preserve">Provide existing clients with a more total solution due to </w:t>
            </w:r>
            <w:r w:rsidR="001A506C">
              <w:t xml:space="preserve">many capabilities within the group of companies. </w:t>
            </w:r>
          </w:p>
          <w:p w14:paraId="02C5D70B" w14:textId="10FB046A" w:rsidR="00355C03" w:rsidRDefault="00355C03" w:rsidP="006A44A3">
            <w:pPr>
              <w:pStyle w:val="ListParagraph"/>
              <w:numPr>
                <w:ilvl w:val="0"/>
                <w:numId w:val="7"/>
              </w:numPr>
              <w:spacing w:after="0" w:line="240" w:lineRule="auto"/>
            </w:pPr>
            <w:r>
              <w:t xml:space="preserve">Off-site build </w:t>
            </w:r>
            <w:r w:rsidR="0060183E">
              <w:t>of transportable treatment units being used by RSE in Scottish Water.</w:t>
            </w:r>
          </w:p>
          <w:p w14:paraId="28BE0591" w14:textId="77777777" w:rsidR="00360984" w:rsidRDefault="00360984" w:rsidP="00360984">
            <w:pPr>
              <w:pStyle w:val="ListParagraph"/>
              <w:numPr>
                <w:ilvl w:val="0"/>
                <w:numId w:val="7"/>
              </w:numPr>
              <w:spacing w:after="0" w:line="240" w:lineRule="auto"/>
            </w:pPr>
            <w:r>
              <w:t xml:space="preserve">Non-water opportunities </w:t>
            </w:r>
            <w:proofErr w:type="spellStart"/>
            <w:r>
              <w:t>i.e</w:t>
            </w:r>
            <w:proofErr w:type="spellEnd"/>
            <w:r>
              <w:t xml:space="preserve"> Hinckley Point, Renewable Energies and Oil and Gas</w:t>
            </w:r>
          </w:p>
          <w:p w14:paraId="18564F96" w14:textId="77777777" w:rsidR="006A44A3" w:rsidRDefault="006A44A3">
            <w:pPr>
              <w:rPr>
                <w:b/>
              </w:rPr>
            </w:pPr>
          </w:p>
        </w:tc>
        <w:tc>
          <w:tcPr>
            <w:tcW w:w="5075" w:type="dxa"/>
            <w:tcBorders>
              <w:top w:val="single" w:sz="4" w:space="0" w:color="000000"/>
              <w:left w:val="single" w:sz="4" w:space="0" w:color="000000"/>
              <w:bottom w:val="single" w:sz="4" w:space="0" w:color="000000"/>
              <w:right w:val="single" w:sz="4" w:space="0" w:color="000000"/>
            </w:tcBorders>
          </w:tcPr>
          <w:p w14:paraId="4237DD39" w14:textId="77777777" w:rsidR="006A44A3" w:rsidRDefault="006A44A3">
            <w:pPr>
              <w:rPr>
                <w:b/>
              </w:rPr>
            </w:pPr>
            <w:r>
              <w:rPr>
                <w:b/>
              </w:rPr>
              <w:t>Threats</w:t>
            </w:r>
          </w:p>
          <w:p w14:paraId="742EB93B" w14:textId="75336CEA" w:rsidR="006A44A3" w:rsidRDefault="006A44A3" w:rsidP="006A44A3">
            <w:pPr>
              <w:pStyle w:val="ListParagraph"/>
              <w:numPr>
                <w:ilvl w:val="0"/>
                <w:numId w:val="7"/>
              </w:numPr>
              <w:spacing w:after="0" w:line="240" w:lineRule="auto"/>
            </w:pPr>
            <w:r>
              <w:t xml:space="preserve">Securing </w:t>
            </w:r>
            <w:r w:rsidR="000C5B0B">
              <w:t xml:space="preserve">future </w:t>
            </w:r>
            <w:r>
              <w:t>AMP</w:t>
            </w:r>
            <w:r w:rsidR="000C5B0B">
              <w:t>s</w:t>
            </w:r>
          </w:p>
          <w:p w14:paraId="50E6421F" w14:textId="00BD5746" w:rsidR="00507D6B" w:rsidRDefault="00B55359" w:rsidP="006A44A3">
            <w:pPr>
              <w:pStyle w:val="ListParagraph"/>
              <w:numPr>
                <w:ilvl w:val="0"/>
                <w:numId w:val="7"/>
              </w:numPr>
              <w:spacing w:after="0" w:line="240" w:lineRule="auto"/>
            </w:pPr>
            <w:r>
              <w:t>Quality outputs due to over-commitment</w:t>
            </w:r>
          </w:p>
          <w:p w14:paraId="6C96C0E4" w14:textId="27B96B6B" w:rsidR="00475823" w:rsidRDefault="008524B5" w:rsidP="006A44A3">
            <w:pPr>
              <w:pStyle w:val="ListParagraph"/>
              <w:numPr>
                <w:ilvl w:val="0"/>
                <w:numId w:val="7"/>
              </w:numPr>
              <w:spacing w:after="0" w:line="240" w:lineRule="auto"/>
            </w:pPr>
            <w:r>
              <w:t>Clients</w:t>
            </w:r>
            <w:r w:rsidR="00475823">
              <w:t xml:space="preserve"> spend profiles</w:t>
            </w:r>
            <w:r w:rsidR="00E27797">
              <w:t>.</w:t>
            </w:r>
            <w:r w:rsidR="008C4870">
              <w:t xml:space="preserve"> Emphasised with </w:t>
            </w:r>
            <w:proofErr w:type="spellStart"/>
            <w:r w:rsidR="008C4870">
              <w:t>Covid</w:t>
            </w:r>
            <w:proofErr w:type="spellEnd"/>
            <w:r w:rsidR="008C4870">
              <w:t>.</w:t>
            </w:r>
          </w:p>
          <w:p w14:paraId="2F969EB5" w14:textId="77777777" w:rsidR="006A44A3" w:rsidRDefault="006A44A3" w:rsidP="006A44A3">
            <w:pPr>
              <w:pStyle w:val="ListParagraph"/>
              <w:numPr>
                <w:ilvl w:val="0"/>
                <w:numId w:val="7"/>
              </w:numPr>
              <w:spacing w:after="0" w:line="240" w:lineRule="auto"/>
            </w:pPr>
            <w:r>
              <w:t>H&amp;S incidents</w:t>
            </w:r>
          </w:p>
          <w:p w14:paraId="15935589" w14:textId="7FF6AE22" w:rsidR="006A44A3" w:rsidRDefault="006A44A3" w:rsidP="006A44A3">
            <w:pPr>
              <w:pStyle w:val="ListParagraph"/>
              <w:numPr>
                <w:ilvl w:val="0"/>
                <w:numId w:val="7"/>
              </w:numPr>
              <w:spacing w:after="0" w:line="240" w:lineRule="auto"/>
            </w:pPr>
            <w:r>
              <w:t>Hinkley Point C no skilled workforce available or market rates unachievable</w:t>
            </w:r>
            <w:r w:rsidR="009E4D8E">
              <w:t xml:space="preserve"> in southern area</w:t>
            </w:r>
            <w:r>
              <w:t>.</w:t>
            </w:r>
          </w:p>
          <w:p w14:paraId="5045241D" w14:textId="27A6E27A" w:rsidR="006A44A3" w:rsidRDefault="006A44A3" w:rsidP="006A44A3">
            <w:pPr>
              <w:pStyle w:val="ListParagraph"/>
              <w:numPr>
                <w:ilvl w:val="0"/>
                <w:numId w:val="7"/>
              </w:numPr>
              <w:spacing w:after="0" w:line="240" w:lineRule="auto"/>
            </w:pPr>
            <w:r>
              <w:t xml:space="preserve">Breaking into well-established relationship of competitors formed over </w:t>
            </w:r>
            <w:r w:rsidR="00554A2E">
              <w:t>several</w:t>
            </w:r>
            <w:r>
              <w:t xml:space="preserve"> AMP’s</w:t>
            </w:r>
            <w:r w:rsidR="000C5B0B">
              <w:t xml:space="preserve"> with new clients</w:t>
            </w:r>
          </w:p>
          <w:p w14:paraId="34675094" w14:textId="5654B585" w:rsidR="00EE14BB" w:rsidRDefault="00EE14BB" w:rsidP="006A44A3">
            <w:pPr>
              <w:pStyle w:val="ListParagraph"/>
              <w:numPr>
                <w:ilvl w:val="0"/>
                <w:numId w:val="7"/>
              </w:numPr>
              <w:spacing w:after="0" w:line="240" w:lineRule="auto"/>
            </w:pPr>
            <w:r>
              <w:t>Brexit</w:t>
            </w:r>
          </w:p>
          <w:p w14:paraId="078740FC" w14:textId="77777777" w:rsidR="006A44A3" w:rsidRDefault="006A44A3">
            <w:pPr>
              <w:pStyle w:val="ListParagraph"/>
              <w:spacing w:after="0" w:line="240" w:lineRule="auto"/>
            </w:pPr>
          </w:p>
        </w:tc>
      </w:tr>
    </w:tbl>
    <w:p w14:paraId="56FC7302" w14:textId="517B4485" w:rsidR="00B008C7" w:rsidRPr="00B008C7" w:rsidRDefault="00B008C7" w:rsidP="00B008C7">
      <w:pPr>
        <w:spacing w:before="240" w:line="600" w:lineRule="auto"/>
        <w:jc w:val="center"/>
        <w:rPr>
          <w:sz w:val="18"/>
          <w:szCs w:val="18"/>
        </w:rPr>
      </w:pPr>
      <w:r>
        <w:rPr>
          <w:sz w:val="18"/>
          <w:szCs w:val="18"/>
        </w:rPr>
        <w:t>Table 2. SWOT Analysis of ACIEM Group Ltd.</w:t>
      </w:r>
    </w:p>
    <w:p w14:paraId="5C525F5D" w14:textId="6E3660C5" w:rsidR="006A5B6E" w:rsidRDefault="00A02A1D" w:rsidP="00264D8F">
      <w:pPr>
        <w:pStyle w:val="Heading2"/>
      </w:pPr>
      <w:bookmarkStart w:id="23" w:name="_Toc59101002"/>
      <w:r>
        <w:t>Review</w:t>
      </w:r>
      <w:r w:rsidR="00264D8F">
        <w:t xml:space="preserve"> of Strategic Position</w:t>
      </w:r>
      <w:bookmarkEnd w:id="23"/>
    </w:p>
    <w:p w14:paraId="23AC9151" w14:textId="2AFA80C9" w:rsidR="00264D8F" w:rsidRPr="00264D8F" w:rsidRDefault="00C334D2" w:rsidP="002D23D6">
      <w:pPr>
        <w:spacing w:line="600" w:lineRule="auto"/>
      </w:pPr>
      <w:r>
        <w:t xml:space="preserve">The </w:t>
      </w:r>
      <w:r w:rsidR="00DF6B47">
        <w:t xml:space="preserve">conclusion that could be arguably drawn for the analysis demonstrate that ACIEM operate within a highly regulated industry that is susceptible to </w:t>
      </w:r>
      <w:r w:rsidR="007D0E1A">
        <w:t xml:space="preserve">political and economical impacts. It is debatably operating within an </w:t>
      </w:r>
      <w:r w:rsidR="005B6808">
        <w:t>ever-growing</w:t>
      </w:r>
      <w:r w:rsidR="007D0E1A">
        <w:t xml:space="preserve"> market with the increase in population therefore providing potential correlation to the increase in water industry spend to meet the demands of the population. </w:t>
      </w:r>
      <w:r w:rsidR="00525C61">
        <w:t xml:space="preserve">However, </w:t>
      </w:r>
      <w:r w:rsidR="00712825">
        <w:t xml:space="preserve">it was </w:t>
      </w:r>
      <w:r w:rsidR="00712825">
        <w:lastRenderedPageBreak/>
        <w:t xml:space="preserve">determined that the threat of new </w:t>
      </w:r>
      <w:r w:rsidR="00051446">
        <w:t>entries</w:t>
      </w:r>
      <w:r w:rsidR="00712825">
        <w:t xml:space="preserve"> and substitutions were not </w:t>
      </w:r>
      <w:r w:rsidR="00051446">
        <w:t xml:space="preserve">on </w:t>
      </w:r>
      <w:proofErr w:type="spellStart"/>
      <w:r w:rsidR="00051446">
        <w:t>a</w:t>
      </w:r>
      <w:proofErr w:type="spellEnd"/>
      <w:r w:rsidR="00051446">
        <w:t xml:space="preserve"> intense scale the driving forces of the buyers may cause impact of profitability within the sector. A</w:t>
      </w:r>
      <w:r w:rsidR="00525C61">
        <w:t xml:space="preserve"> large emphasis placed on water companies to provide value for money on the consumer </w:t>
      </w:r>
      <w:r w:rsidR="00003398">
        <w:t>and therefore the</w:t>
      </w:r>
      <w:r w:rsidR="00E31F7C">
        <w:t>ir</w:t>
      </w:r>
      <w:r w:rsidR="00003398">
        <w:t xml:space="preserve"> aim is to achieve more for less (Wessex Water, 2019). </w:t>
      </w:r>
      <w:r w:rsidR="00FB0E7F">
        <w:t xml:space="preserve">Nevertheless, with the recent </w:t>
      </w:r>
      <w:r w:rsidR="00EB3CBA">
        <w:t xml:space="preserve">amalgamation of ACIEM into the RSE Group the company has strengthen it positioned </w:t>
      </w:r>
      <w:r w:rsidR="000E1E87">
        <w:t xml:space="preserve">on forces from suppliers as they now posses many of these industry participants within its armoury. </w:t>
      </w:r>
      <w:r w:rsidR="00FB0E7F">
        <w:t xml:space="preserve"> </w:t>
      </w:r>
    </w:p>
    <w:p w14:paraId="05647664" w14:textId="6008D81D" w:rsidR="005C42AA" w:rsidRDefault="005B6808" w:rsidP="002D23D6">
      <w:pPr>
        <w:spacing w:line="600" w:lineRule="auto"/>
      </w:pPr>
      <w:r>
        <w:t xml:space="preserve">The SWOT analysis draw out the belief that ACIEM’s </w:t>
      </w:r>
      <w:r w:rsidR="00E76123">
        <w:t>multi-disciplined</w:t>
      </w:r>
      <w:r>
        <w:t xml:space="preserve"> </w:t>
      </w:r>
      <w:r w:rsidR="00E76123">
        <w:t xml:space="preserve">capabilities are one of its strength it can utilise therefore potentially providing the client with a more total solution. </w:t>
      </w:r>
      <w:r w:rsidR="00B55359">
        <w:t>Its</w:t>
      </w:r>
      <w:r w:rsidR="00507D6B">
        <w:t xml:space="preserve"> strength associated with its low-cost position may be deemed a benefit to the </w:t>
      </w:r>
      <w:r w:rsidR="005C42AA">
        <w:t>client,</w:t>
      </w:r>
      <w:r w:rsidR="00507D6B">
        <w:t xml:space="preserve"> but all could reflect its weakness of having over-committed resource which therefore is allow the reduction of costs. </w:t>
      </w:r>
      <w:r w:rsidR="003E4AD1">
        <w:t xml:space="preserve">The analyses has also highlighted the weakness that ACIEM do not </w:t>
      </w:r>
      <w:r w:rsidR="002C7918">
        <w:t xml:space="preserve">occupy a diverse portfolio of clients which may have a large impact on a companies profitability and performance if there are struggles with one of the clients. </w:t>
      </w:r>
      <w:r w:rsidR="00F118BC">
        <w:t>Using the analys</w:t>
      </w:r>
      <w:r w:rsidR="005C42AA">
        <w:t>i</w:t>
      </w:r>
      <w:r w:rsidR="00F118BC">
        <w:t>s</w:t>
      </w:r>
      <w:r w:rsidR="005C42AA">
        <w:t>,</w:t>
      </w:r>
      <w:r w:rsidR="00F118BC">
        <w:t xml:space="preserve"> we will now undertake a review of the strategic options </w:t>
      </w:r>
      <w:r w:rsidR="00C72A79">
        <w:t xml:space="preserve">available to the business to provide an innovative customer care </w:t>
      </w:r>
      <w:r w:rsidR="005C42AA">
        <w:t xml:space="preserve">proposal. </w:t>
      </w:r>
    </w:p>
    <w:p w14:paraId="48BFB0F7" w14:textId="77777777" w:rsidR="005C42AA" w:rsidRDefault="005C42AA" w:rsidP="00702F68">
      <w:pPr>
        <w:pStyle w:val="Heading1"/>
        <w:spacing w:line="600" w:lineRule="auto"/>
      </w:pPr>
      <w:bookmarkStart w:id="24" w:name="_Toc59101003"/>
      <w:r>
        <w:t>Strategic Options</w:t>
      </w:r>
      <w:bookmarkEnd w:id="24"/>
      <w:r>
        <w:t xml:space="preserve"> </w:t>
      </w:r>
    </w:p>
    <w:p w14:paraId="30D63788" w14:textId="77777777" w:rsidR="00F8273C" w:rsidRDefault="00F01E3D" w:rsidP="00702F68">
      <w:pPr>
        <w:spacing w:line="600" w:lineRule="auto"/>
      </w:pPr>
      <w:r>
        <w:t xml:space="preserve">It is reasoned that </w:t>
      </w:r>
      <w:r w:rsidR="004325A7">
        <w:t xml:space="preserve">companies who are </w:t>
      </w:r>
      <w:r w:rsidR="00A72057">
        <w:t>engaged</w:t>
      </w:r>
      <w:r w:rsidR="004325A7">
        <w:t xml:space="preserve"> </w:t>
      </w:r>
      <w:r w:rsidR="00A72057">
        <w:t>regular</w:t>
      </w:r>
      <w:r w:rsidR="004325A7">
        <w:t xml:space="preserve"> implementation of a selective strategy </w:t>
      </w:r>
      <w:r w:rsidR="00022D08">
        <w:t xml:space="preserve">should aim to ensure </w:t>
      </w:r>
      <w:r w:rsidR="005F6427">
        <w:t xml:space="preserve">there is </w:t>
      </w:r>
      <w:r w:rsidR="00022D08">
        <w:t xml:space="preserve">sufficient flexibility to </w:t>
      </w:r>
      <w:r w:rsidR="00E92009">
        <w:t xml:space="preserve">enable </w:t>
      </w:r>
      <w:r w:rsidR="00E92009">
        <w:lastRenderedPageBreak/>
        <w:t xml:space="preserve">successful adaptation to changing conditions, which </w:t>
      </w:r>
      <w:r w:rsidR="005F6427">
        <w:t xml:space="preserve">is </w:t>
      </w:r>
      <w:r w:rsidR="00E92009">
        <w:t xml:space="preserve">none more prevalent </w:t>
      </w:r>
      <w:r w:rsidR="002F2CAD">
        <w:t>in these current times of a pandemic (</w:t>
      </w:r>
      <w:proofErr w:type="spellStart"/>
      <w:r w:rsidR="002F2CAD">
        <w:t>Kald</w:t>
      </w:r>
      <w:proofErr w:type="spellEnd"/>
      <w:r w:rsidR="002F2CAD">
        <w:t xml:space="preserve"> </w:t>
      </w:r>
      <w:r w:rsidR="002F2CAD">
        <w:rPr>
          <w:i/>
          <w:iCs/>
        </w:rPr>
        <w:t>et al,</w:t>
      </w:r>
      <w:r w:rsidR="002F2CAD">
        <w:t xml:space="preserve"> 2000). </w:t>
      </w:r>
      <w:r w:rsidR="00D8047B">
        <w:t>However, there is an argument to suggest that to be able to reinvent an industry</w:t>
      </w:r>
      <w:r w:rsidR="00D245D2">
        <w:t xml:space="preserve">, organisations must initially be able to identify its core competencies and </w:t>
      </w:r>
      <w:r w:rsidR="00F46EDB">
        <w:t>concentrate</w:t>
      </w:r>
      <w:r w:rsidR="00D245D2">
        <w:t xml:space="preserve"> on cementing</w:t>
      </w:r>
      <w:r w:rsidR="0058475F">
        <w:t xml:space="preserve"> those core competencies </w:t>
      </w:r>
      <w:r w:rsidR="00D245D2">
        <w:t xml:space="preserve">prior </w:t>
      </w:r>
      <w:r w:rsidR="00F46EDB">
        <w:t>to changing their future</w:t>
      </w:r>
      <w:r w:rsidR="0058475F">
        <w:t xml:space="preserve"> </w:t>
      </w:r>
      <w:r w:rsidR="00390777">
        <w:t xml:space="preserve">(Hamel and </w:t>
      </w:r>
      <w:proofErr w:type="spellStart"/>
      <w:r w:rsidR="00390777">
        <w:t>Prahaled</w:t>
      </w:r>
      <w:proofErr w:type="spellEnd"/>
      <w:r w:rsidR="00C37744">
        <w:t>,</w:t>
      </w:r>
      <w:r w:rsidR="00F87869">
        <w:t xml:space="preserve"> </w:t>
      </w:r>
      <w:r w:rsidR="00C37744">
        <w:t>1994)</w:t>
      </w:r>
      <w:r w:rsidR="00F46EDB">
        <w:t xml:space="preserve">. </w:t>
      </w:r>
    </w:p>
    <w:p w14:paraId="127B8452" w14:textId="77777777" w:rsidR="00C210E8" w:rsidRDefault="00C210E8" w:rsidP="00702F68">
      <w:pPr>
        <w:spacing w:line="600" w:lineRule="auto"/>
      </w:pPr>
    </w:p>
    <w:p w14:paraId="3CF4117D" w14:textId="6821C0B4" w:rsidR="00A923B4" w:rsidRDefault="00F8273C" w:rsidP="00702F68">
      <w:pPr>
        <w:spacing w:line="600" w:lineRule="auto"/>
      </w:pPr>
      <w:r>
        <w:t xml:space="preserve">The aim </w:t>
      </w:r>
      <w:r w:rsidR="00C65CBB">
        <w:t xml:space="preserve">is to produce innovative customer care. </w:t>
      </w:r>
      <w:proofErr w:type="spellStart"/>
      <w:r w:rsidR="000E0AA2">
        <w:t>Heery</w:t>
      </w:r>
      <w:proofErr w:type="spellEnd"/>
      <w:r w:rsidR="000E0AA2">
        <w:t xml:space="preserve"> and Noon (2017) defined customer care</w:t>
      </w:r>
      <w:r w:rsidR="00CC1C6D">
        <w:t xml:space="preserve"> as</w:t>
      </w:r>
      <w:r w:rsidR="00C65CBB">
        <w:t xml:space="preserve"> </w:t>
      </w:r>
      <w:r w:rsidR="00C210E8">
        <w:t>“</w:t>
      </w:r>
      <w:r w:rsidR="00C210E8">
        <w:rPr>
          <w:i/>
          <w:iCs/>
        </w:rPr>
        <w:t>the idea that service organizations and their workers should be highly responsive to the needs of customers and deliver quality services as a means of cultivating customer loyalty and guaranteeing repeat business</w:t>
      </w:r>
      <w:r w:rsidR="005263D8">
        <w:rPr>
          <w:i/>
          <w:iCs/>
        </w:rPr>
        <w:t>. As such, it is a concept that is related to Total Quality Management</w:t>
      </w:r>
      <w:r w:rsidR="00C210E8">
        <w:rPr>
          <w:i/>
          <w:iCs/>
        </w:rPr>
        <w:t xml:space="preserve">”. </w:t>
      </w:r>
      <w:r w:rsidR="00054482">
        <w:t xml:space="preserve"> </w:t>
      </w:r>
      <w:r w:rsidR="00DF52A3">
        <w:t xml:space="preserve">In the current </w:t>
      </w:r>
      <w:r w:rsidR="00666660">
        <w:t xml:space="preserve">environment </w:t>
      </w:r>
      <w:r w:rsidR="00E02A75">
        <w:t>and predominantly through digital channels the “</w:t>
      </w:r>
      <w:r w:rsidR="00E02A75">
        <w:rPr>
          <w:i/>
          <w:iCs/>
        </w:rPr>
        <w:t xml:space="preserve">Care of one” </w:t>
      </w:r>
      <w:r w:rsidR="0079730A">
        <w:t xml:space="preserve">is becoming the emphasis </w:t>
      </w:r>
      <w:r w:rsidR="002608F4">
        <w:t xml:space="preserve">for the standard of customer care. </w:t>
      </w:r>
      <w:r w:rsidR="00711AAE">
        <w:t xml:space="preserve">This centres itself around </w:t>
      </w:r>
      <w:proofErr w:type="spellStart"/>
      <w:r w:rsidR="00711AAE">
        <w:t>hyperpersonalization</w:t>
      </w:r>
      <w:proofErr w:type="spellEnd"/>
      <w:r w:rsidR="00711AAE">
        <w:t xml:space="preserve"> where businesses </w:t>
      </w:r>
      <w:r w:rsidR="00EA4981">
        <w:t xml:space="preserve">my </w:t>
      </w:r>
      <w:r w:rsidR="00D801BE">
        <w:t xml:space="preserve">ensure they genuinely know their customers, </w:t>
      </w:r>
      <w:r w:rsidR="00C45C86">
        <w:t>can</w:t>
      </w:r>
      <w:r w:rsidR="002F77EF">
        <w:t xml:space="preserve"> react to customers without them </w:t>
      </w:r>
      <w:r w:rsidR="004C45D6">
        <w:t xml:space="preserve">knowing there is a need, integrating technologies across all channels and </w:t>
      </w:r>
      <w:r w:rsidR="008C38A0">
        <w:t xml:space="preserve">implementing real-time agent tools </w:t>
      </w:r>
      <w:r w:rsidR="00C653A0">
        <w:t>(McKinsey &amp; Co., 2020a)</w:t>
      </w:r>
      <w:r w:rsidR="008C38A0">
        <w:t xml:space="preserve">. </w:t>
      </w:r>
      <w:r w:rsidR="00A923B4">
        <w:t xml:space="preserve">This being the goal </w:t>
      </w:r>
      <w:r w:rsidR="00591404">
        <w:t xml:space="preserve">evaluation of the strategic options were utilised to develop a business-level strategy. </w:t>
      </w:r>
      <w:r w:rsidR="005A75B9">
        <w:t>One method for this was Porters (</w:t>
      </w:r>
      <w:r w:rsidR="001F49F1">
        <w:t xml:space="preserve">1985) </w:t>
      </w:r>
      <w:r w:rsidR="00407096">
        <w:t>generic strategies which are believed to develop and identify a company’s competitive advantage</w:t>
      </w:r>
      <w:r w:rsidR="009433F1">
        <w:t xml:space="preserve"> and overcome the five forces previously identified within the report.</w:t>
      </w:r>
      <w:r w:rsidR="00407096">
        <w:t xml:space="preserve"> </w:t>
      </w:r>
      <w:r w:rsidR="002C40FA">
        <w:t xml:space="preserve">The </w:t>
      </w:r>
      <w:r w:rsidR="002C40FA">
        <w:lastRenderedPageBreak/>
        <w:t xml:space="preserve">strategy </w:t>
      </w:r>
      <w:r w:rsidR="00E64C5C">
        <w:t xml:space="preserve">is </w:t>
      </w:r>
      <w:r w:rsidR="00E05ACD">
        <w:t xml:space="preserve">focused on three </w:t>
      </w:r>
      <w:r w:rsidR="00F00733">
        <w:t>options</w:t>
      </w:r>
      <w:r w:rsidR="00E05ACD">
        <w:t xml:space="preserve"> centred around the product or offering </w:t>
      </w:r>
      <w:r w:rsidR="00F00733">
        <w:t xml:space="preserve">of a business these </w:t>
      </w:r>
      <w:r w:rsidR="00CA22B3">
        <w:t>are</w:t>
      </w:r>
      <w:r w:rsidR="00F00733">
        <w:t xml:space="preserve"> cost leadership, </w:t>
      </w:r>
      <w:r w:rsidR="00FB4759">
        <w:t>differentiation,</w:t>
      </w:r>
      <w:r w:rsidR="00F00733">
        <w:t xml:space="preserve"> and </w:t>
      </w:r>
      <w:r w:rsidR="00F325CE">
        <w:t>a focus strategy</w:t>
      </w:r>
      <w:r w:rsidR="0078444A">
        <w:t xml:space="preserve"> which essentially </w:t>
      </w:r>
      <w:r w:rsidR="00E325D4">
        <w:t>directs the focus to narrow product</w:t>
      </w:r>
      <w:r w:rsidR="00740E9C">
        <w:t xml:space="preserve"> line and buyer segments utilising the two previous strategies</w:t>
      </w:r>
      <w:r w:rsidR="00F325CE">
        <w:t xml:space="preserve">. </w:t>
      </w:r>
      <w:r w:rsidR="00E05ACD">
        <w:t xml:space="preserve"> </w:t>
      </w:r>
      <w:r w:rsidR="00501A02">
        <w:t xml:space="preserve">The cost leadership strategy focuses on </w:t>
      </w:r>
      <w:r w:rsidR="008753BF">
        <w:t>creating a low</w:t>
      </w:r>
      <w:r w:rsidR="00655EB8">
        <w:t>-</w:t>
      </w:r>
      <w:r w:rsidR="008753BF">
        <w:t xml:space="preserve">cost position </w:t>
      </w:r>
      <w:r w:rsidR="00450CCF">
        <w:t xml:space="preserve">and managing value through the supply chain </w:t>
      </w:r>
      <w:r w:rsidR="00655EB8">
        <w:t xml:space="preserve">(Dess </w:t>
      </w:r>
      <w:r w:rsidR="00655EB8">
        <w:rPr>
          <w:i/>
          <w:iCs/>
        </w:rPr>
        <w:t xml:space="preserve">et al, 2014) </w:t>
      </w:r>
      <w:r w:rsidR="00450CCF">
        <w:t xml:space="preserve">which may </w:t>
      </w:r>
      <w:r w:rsidR="003B552D">
        <w:t>play into ACIEM’s strengths of the group however, would it provide the desired profitability and high level of customer care that is desired. Alternatively</w:t>
      </w:r>
      <w:r w:rsidR="00655EB8">
        <w:t>,</w:t>
      </w:r>
      <w:r w:rsidR="003B552D">
        <w:t xml:space="preserve"> </w:t>
      </w:r>
      <w:r w:rsidR="00C3395A">
        <w:t xml:space="preserve">differentiation </w:t>
      </w:r>
      <w:r w:rsidR="00D228C3">
        <w:t xml:space="preserve">is the creation of unique and valuable products and services, </w:t>
      </w:r>
      <w:r w:rsidR="00C3395A">
        <w:t>could be ar</w:t>
      </w:r>
      <w:r w:rsidR="00655EB8">
        <w:t xml:space="preserve">guably be </w:t>
      </w:r>
      <w:r w:rsidR="00930512">
        <w:t xml:space="preserve">the essence of strategy and provide the prime source of competitive advantage and it is thought that this strategic differentiation and execution </w:t>
      </w:r>
      <w:r w:rsidR="00F92391">
        <w:t>have a greater impact on the performance of a business than the industry it happens to be in (</w:t>
      </w:r>
      <w:r w:rsidR="005D7A3D">
        <w:t xml:space="preserve">Zook and Allen, 2011). </w:t>
      </w:r>
    </w:p>
    <w:p w14:paraId="1822EDCE" w14:textId="33B98800" w:rsidR="006A5B6E" w:rsidRDefault="00676728" w:rsidP="00702F68">
      <w:pPr>
        <w:spacing w:line="600" w:lineRule="auto"/>
      </w:pPr>
      <w:r>
        <w:t>On the contrary</w:t>
      </w:r>
      <w:r w:rsidR="00C5745C">
        <w:t>,</w:t>
      </w:r>
      <w:r>
        <w:t xml:space="preserve"> when aim to utilise Porters generic strategies it was determined that </w:t>
      </w:r>
      <w:r w:rsidR="007E3209">
        <w:t xml:space="preserve">it may not suit our aims and objectives to deliver innovative customer care. </w:t>
      </w:r>
      <w:r w:rsidR="00840A16">
        <w:t>Alternatively</w:t>
      </w:r>
      <w:r w:rsidR="00285CF4">
        <w:t xml:space="preserve">, </w:t>
      </w:r>
      <w:proofErr w:type="spellStart"/>
      <w:r w:rsidR="00285CF4">
        <w:t>Hax</w:t>
      </w:r>
      <w:proofErr w:type="spellEnd"/>
      <w:r w:rsidR="00285CF4">
        <w:t xml:space="preserve"> and Wilde (1999) devel</w:t>
      </w:r>
      <w:r w:rsidR="00757A15">
        <w:t xml:space="preserve">oped the Delta Model </w:t>
      </w:r>
      <w:r w:rsidR="003F5C27">
        <w:t xml:space="preserve">which shifts the focus onto the customer which </w:t>
      </w:r>
      <w:r w:rsidR="00AC1D96">
        <w:t xml:space="preserve">arguably </w:t>
      </w:r>
      <w:r w:rsidR="00AC1D96">
        <w:tab/>
        <w:t>could provide superior</w:t>
      </w:r>
      <w:r w:rsidR="009571CA">
        <w:t xml:space="preserve"> </w:t>
      </w:r>
      <w:r w:rsidR="00B8314A">
        <w:t xml:space="preserve">strategic options for our goal. </w:t>
      </w:r>
      <w:r w:rsidR="004C4824">
        <w:t xml:space="preserve">The model </w:t>
      </w:r>
      <w:r w:rsidR="00BA0B03">
        <w:t xml:space="preserve">was developed to not replace </w:t>
      </w:r>
      <w:r w:rsidR="001750A1">
        <w:t xml:space="preserve">or contradict Porters method but rather compliment </w:t>
      </w:r>
      <w:r w:rsidR="00445374">
        <w:t>the perspectives (</w:t>
      </w:r>
      <w:proofErr w:type="spellStart"/>
      <w:r w:rsidR="00445374">
        <w:t>Hax</w:t>
      </w:r>
      <w:proofErr w:type="spellEnd"/>
      <w:r w:rsidR="00445374">
        <w:t xml:space="preserve"> and Wilde, </w:t>
      </w:r>
      <w:r w:rsidR="006F0A74">
        <w:t xml:space="preserve">2003). </w:t>
      </w:r>
      <w:r w:rsidR="00D665AB">
        <w:t>The three distinct strategic op</w:t>
      </w:r>
      <w:r w:rsidR="004777C7">
        <w:t xml:space="preserve">tions </w:t>
      </w:r>
      <w:r w:rsidR="007A2E1D">
        <w:t xml:space="preserve">that the Delta model </w:t>
      </w:r>
      <w:r w:rsidR="00000C65">
        <w:t xml:space="preserve">possess is a best product focus, total customer solutions and system lock-in. </w:t>
      </w:r>
    </w:p>
    <w:p w14:paraId="6FA33ADE" w14:textId="4D47515F" w:rsidR="00B513F8" w:rsidRDefault="00B513F8" w:rsidP="00702F68">
      <w:pPr>
        <w:pStyle w:val="Heading2"/>
        <w:spacing w:line="600" w:lineRule="auto"/>
      </w:pPr>
      <w:bookmarkStart w:id="25" w:name="_Toc59101004"/>
      <w:r>
        <w:lastRenderedPageBreak/>
        <w:t>The Delta Model</w:t>
      </w:r>
      <w:bookmarkEnd w:id="25"/>
    </w:p>
    <w:p w14:paraId="44099196" w14:textId="411544C4" w:rsidR="00B513F8" w:rsidRDefault="00B513F8" w:rsidP="00702F68">
      <w:pPr>
        <w:pStyle w:val="Heading3"/>
        <w:spacing w:line="600" w:lineRule="auto"/>
      </w:pPr>
      <w:bookmarkStart w:id="26" w:name="_Toc59101005"/>
      <w:r>
        <w:t>Best Product</w:t>
      </w:r>
      <w:bookmarkEnd w:id="26"/>
    </w:p>
    <w:p w14:paraId="67FBF715" w14:textId="734996BE" w:rsidR="00A75C78" w:rsidRPr="00A75C78" w:rsidRDefault="0056544A" w:rsidP="00702F68">
      <w:pPr>
        <w:spacing w:line="600" w:lineRule="auto"/>
      </w:pPr>
      <w:r>
        <w:t xml:space="preserve">When evaluating a best product </w:t>
      </w:r>
      <w:r w:rsidR="00856201">
        <w:t>option,</w:t>
      </w:r>
      <w:r>
        <w:t xml:space="preserve"> it draws the closest parallel withs Porters generic strategies, its focus is on </w:t>
      </w:r>
      <w:r w:rsidR="00827C45">
        <w:t xml:space="preserve">either the low cost or differentiation strategies. </w:t>
      </w:r>
      <w:r w:rsidR="004B071D">
        <w:t xml:space="preserve">It is argued that the </w:t>
      </w:r>
      <w:r w:rsidR="00856201">
        <w:t>low-cost</w:t>
      </w:r>
      <w:r w:rsidR="004B071D">
        <w:t xml:space="preserve"> option is one of the most highly contested places </w:t>
      </w:r>
      <w:r w:rsidR="00F17EE1">
        <w:t>because</w:t>
      </w:r>
      <w:r w:rsidR="004B071D">
        <w:t xml:space="preserve"> only one </w:t>
      </w:r>
      <w:r w:rsidR="00B56DAE">
        <w:t>supplier can be the lowest and therefore could increase pressures of reducing margin (</w:t>
      </w:r>
      <w:proofErr w:type="spellStart"/>
      <w:r w:rsidR="00762978">
        <w:t>Hax</w:t>
      </w:r>
      <w:proofErr w:type="spellEnd"/>
      <w:r w:rsidR="00762978">
        <w:t xml:space="preserve">, 2009). </w:t>
      </w:r>
      <w:r w:rsidR="006C440A">
        <w:t xml:space="preserve">Differentiation can potentially provide its own pitfalls, </w:t>
      </w:r>
      <w:r w:rsidR="006679BD">
        <w:t xml:space="preserve">it can be perceived to be a </w:t>
      </w:r>
      <w:r w:rsidR="00F17EE1">
        <w:t>short-term</w:t>
      </w:r>
      <w:r w:rsidR="006679BD">
        <w:t xml:space="preserve"> win</w:t>
      </w:r>
      <w:r w:rsidR="003D3F1B">
        <w:t xml:space="preserve"> as once the product or service is at the market competitors will aim to replicate it</w:t>
      </w:r>
      <w:r w:rsidR="000329C5">
        <w:t xml:space="preserve"> (Zook and Allen, 2011). </w:t>
      </w:r>
    </w:p>
    <w:p w14:paraId="05537BD2" w14:textId="1741D2D7" w:rsidR="006A5B6E" w:rsidRDefault="00293097" w:rsidP="00930E19">
      <w:pPr>
        <w:pStyle w:val="Heading3"/>
        <w:spacing w:line="600" w:lineRule="auto"/>
      </w:pPr>
      <w:bookmarkStart w:id="27" w:name="_Toc59101006"/>
      <w:r>
        <w:t>System Lock-in</w:t>
      </w:r>
      <w:bookmarkEnd w:id="27"/>
    </w:p>
    <w:p w14:paraId="53423727" w14:textId="19C76662" w:rsidR="00293097" w:rsidRDefault="002153EE" w:rsidP="00930E19">
      <w:pPr>
        <w:spacing w:line="600" w:lineRule="auto"/>
      </w:pPr>
      <w:r>
        <w:t xml:space="preserve">Believed to be the most desirable and </w:t>
      </w:r>
      <w:r w:rsidR="00C60996">
        <w:t xml:space="preserve">profitable, the system lock in </w:t>
      </w:r>
      <w:r w:rsidR="00F34FFF">
        <w:t>strategy looks to achieve market dominance</w:t>
      </w:r>
      <w:r w:rsidR="0058046A">
        <w:t>. This can be from the client desiring the services or product along with the third</w:t>
      </w:r>
      <w:r w:rsidR="0062303B">
        <w:t>-</w:t>
      </w:r>
      <w:r w:rsidR="0058046A">
        <w:t xml:space="preserve">party network developed </w:t>
      </w:r>
      <w:r w:rsidR="00CC0057">
        <w:t xml:space="preserve">to complement the product or service. It also looks to provide </w:t>
      </w:r>
      <w:r w:rsidR="00CB16FF">
        <w:t xml:space="preserve">a setting where buyers and sellers are difficult to displace and finally </w:t>
      </w:r>
      <w:r w:rsidR="00EF70D9">
        <w:t xml:space="preserve">restricted access providing barriers to </w:t>
      </w:r>
      <w:r w:rsidR="0062303B">
        <w:t>competitors</w:t>
      </w:r>
      <w:r w:rsidR="00EF70D9">
        <w:t xml:space="preserve"> to compete for </w:t>
      </w:r>
      <w:r w:rsidR="0062303B">
        <w:t>a company’s customers</w:t>
      </w:r>
      <w:r w:rsidR="00351110">
        <w:t xml:space="preserve"> (</w:t>
      </w:r>
      <w:proofErr w:type="spellStart"/>
      <w:r w:rsidR="00351110">
        <w:t>Hax</w:t>
      </w:r>
      <w:proofErr w:type="spellEnd"/>
      <w:r w:rsidR="00351110">
        <w:t xml:space="preserve">, 2009). </w:t>
      </w:r>
      <w:r w:rsidR="001F3D3B">
        <w:t xml:space="preserve">One could decipher that </w:t>
      </w:r>
      <w:r w:rsidR="00F77CA7">
        <w:t xml:space="preserve">when looking at the strategic position of ACIEM that their strengths of collaborating with key supply chain companies under the RSE banner could provide a </w:t>
      </w:r>
      <w:r w:rsidR="00390452">
        <w:t xml:space="preserve">desirable quality from the customer and are in keeping with </w:t>
      </w:r>
      <w:r w:rsidR="002A6342">
        <w:t xml:space="preserve">one of the main focal points in achieving system lock in. Furthermore, with the frameworks being open approximately every 5 years to </w:t>
      </w:r>
      <w:r w:rsidR="002A6342">
        <w:lastRenderedPageBreak/>
        <w:t xml:space="preserve">suppliers it could be argued that there is also </w:t>
      </w:r>
      <w:r w:rsidR="009A4CBD">
        <w:t xml:space="preserve">many restricted barriers </w:t>
      </w:r>
      <w:r w:rsidR="002B1B3A">
        <w:t xml:space="preserve">in place for competitors to compete for </w:t>
      </w:r>
      <w:r w:rsidR="00AF6D96">
        <w:t>opportunities</w:t>
      </w:r>
      <w:r w:rsidR="002B1B3A">
        <w:t xml:space="preserve"> within the water industry.</w:t>
      </w:r>
      <w:r w:rsidR="00AF6D96">
        <w:t xml:space="preserve"> However, th</w:t>
      </w:r>
      <w:r w:rsidR="00FC61D2">
        <w:t xml:space="preserve">ese </w:t>
      </w:r>
      <w:r w:rsidR="00AF6D96">
        <w:t xml:space="preserve">barriers are not applicable to the concentrated number within these frameworks and with it being a highly regulated </w:t>
      </w:r>
      <w:r w:rsidR="005B4BC4">
        <w:t xml:space="preserve">industry when it comes to its spending the option for this dominance may not be a realistic avenue. </w:t>
      </w:r>
    </w:p>
    <w:p w14:paraId="625876E6" w14:textId="5212D568" w:rsidR="00F647E9" w:rsidRDefault="00F647E9" w:rsidP="00F647E9">
      <w:pPr>
        <w:pStyle w:val="Heading3"/>
      </w:pPr>
      <w:bookmarkStart w:id="28" w:name="_Toc59101007"/>
      <w:r>
        <w:t>Total Customer Solution</w:t>
      </w:r>
      <w:bookmarkEnd w:id="28"/>
    </w:p>
    <w:p w14:paraId="51A60DF6" w14:textId="53356108" w:rsidR="00044E16" w:rsidRDefault="00911588" w:rsidP="00261DFE">
      <w:pPr>
        <w:spacing w:line="600" w:lineRule="auto"/>
      </w:pPr>
      <w:r>
        <w:t xml:space="preserve">Unlike the best product </w:t>
      </w:r>
      <w:r w:rsidR="00261DFE">
        <w:t>strategy,</w:t>
      </w:r>
      <w:r>
        <w:t xml:space="preserve"> the total customer solution strategy shifts its focus away from the product and onto the customer. </w:t>
      </w:r>
      <w:r w:rsidR="000D53B5">
        <w:t xml:space="preserve">Businesses will aim to understand the drivers of customer profitability </w:t>
      </w:r>
      <w:r w:rsidR="007B065A">
        <w:t>and develop ways to aid them achieve their goals. This will then put the spotlight not on product market share but more of the customer market</w:t>
      </w:r>
      <w:r w:rsidR="005A04C4">
        <w:t xml:space="preserve"> </w:t>
      </w:r>
      <w:r w:rsidR="007B065A">
        <w:t>share (</w:t>
      </w:r>
      <w:proofErr w:type="spellStart"/>
      <w:r w:rsidR="005A04C4">
        <w:t>Hax</w:t>
      </w:r>
      <w:proofErr w:type="spellEnd"/>
      <w:r w:rsidR="005A04C4">
        <w:t xml:space="preserve">, 2009). </w:t>
      </w:r>
      <w:r w:rsidR="000207CE">
        <w:t xml:space="preserve">It is the groups view that </w:t>
      </w:r>
      <w:r w:rsidR="00BE2E8D">
        <w:t>this strategy would be most beneficial in order to attain the goal of producing a sustainable competitive advantage.</w:t>
      </w:r>
      <w:r w:rsidR="001F301F">
        <w:t xml:space="preserve"> Initial customers must be </w:t>
      </w:r>
      <w:r w:rsidR="008D50E2">
        <w:t>segmented,</w:t>
      </w:r>
      <w:r w:rsidR="001F301F">
        <w:t xml:space="preserve"> </w:t>
      </w:r>
      <w:r w:rsidR="009414D5">
        <w:t xml:space="preserve">and a profound knowledge of the customers business must be developed to </w:t>
      </w:r>
      <w:r w:rsidR="000676FD">
        <w:t>understand the relation with ACIEM. One of the weaknesses highlighted within the strategic position was ACIEM’s lack of diverse portfolio of clients, arguably th</w:t>
      </w:r>
      <w:r w:rsidR="001435DA">
        <w:t>is</w:t>
      </w:r>
      <w:r w:rsidR="000676FD">
        <w:t xml:space="preserve"> may </w:t>
      </w:r>
      <w:r w:rsidR="00606591">
        <w:t xml:space="preserve">become an opportunity when implementing the total customer solution. With a more concentrate pool of </w:t>
      </w:r>
      <w:r w:rsidR="008D50E2">
        <w:t>clients,</w:t>
      </w:r>
      <w:r w:rsidR="00606591">
        <w:t xml:space="preserve"> it could debatably enable a greater focus to </w:t>
      </w:r>
      <w:r w:rsidR="00746687">
        <w:t>develop this knowledge and cohesion with a customer</w:t>
      </w:r>
      <w:r w:rsidR="005922D9">
        <w:t xml:space="preserve"> and understand their differing needs.</w:t>
      </w:r>
      <w:r w:rsidR="00854572">
        <w:t xml:space="preserve"> </w:t>
      </w:r>
      <w:r w:rsidR="00FE0BB8">
        <w:t>Such a service could be likened to the notion of the “White-glove service</w:t>
      </w:r>
      <w:r w:rsidR="0061134F">
        <w:t xml:space="preserve">” associated with high value customers and </w:t>
      </w:r>
      <w:r w:rsidR="0061134F">
        <w:lastRenderedPageBreak/>
        <w:t xml:space="preserve">transactions. </w:t>
      </w:r>
      <w:r w:rsidR="003E72B2">
        <w:t xml:space="preserve">This </w:t>
      </w:r>
      <w:r w:rsidR="003D1E88">
        <w:t xml:space="preserve">customised service is arguably the future of customer care, however very few are perceived to be carrying it out due to </w:t>
      </w:r>
      <w:r w:rsidR="00AC75C9">
        <w:t xml:space="preserve">the perception it is prohibitively expensive </w:t>
      </w:r>
      <w:r w:rsidR="00B10C22">
        <w:t xml:space="preserve">along with requiring comprehensive customer profiling which in turn requires organisational change and investment to achieve </w:t>
      </w:r>
      <w:r w:rsidR="00C653A0">
        <w:t>(McKinsey &amp; Co., 2020a)</w:t>
      </w:r>
      <w:r w:rsidR="00B10C22">
        <w:t>.</w:t>
      </w:r>
      <w:r w:rsidR="00886A74">
        <w:t xml:space="preserve"> With there being very few undertaking this level of service it is believed that if ACIEM can achieve this level of custo</w:t>
      </w:r>
      <w:r w:rsidR="00E831F8">
        <w:t xml:space="preserve">mer care it could potentially create its desired competitive advantage. </w:t>
      </w:r>
      <w:r w:rsidR="00B10C22">
        <w:t xml:space="preserve"> </w:t>
      </w:r>
      <w:r w:rsidR="00311267">
        <w:t>One of the aspects in achieving total customer solution is that the customer experience must be redefined</w:t>
      </w:r>
      <w:r w:rsidR="009B5C01">
        <w:t xml:space="preserve">, </w:t>
      </w:r>
      <w:r w:rsidR="008E7438">
        <w:t xml:space="preserve">ACIEM must utilise its cross-functional team to interact </w:t>
      </w:r>
      <w:r w:rsidR="00495AE8">
        <w:t>with their customer counterparts. An example of this is delivery managers meet with their delivery managers, ACIEM’s H</w:t>
      </w:r>
      <w:r w:rsidR="00311DE2">
        <w:t xml:space="preserve">ealth </w:t>
      </w:r>
      <w:r w:rsidR="00495AE8">
        <w:t>&amp;</w:t>
      </w:r>
      <w:r w:rsidR="00311DE2">
        <w:t xml:space="preserve"> </w:t>
      </w:r>
      <w:r w:rsidR="00495AE8">
        <w:t>S</w:t>
      </w:r>
      <w:r w:rsidR="00311DE2">
        <w:t>afety (H&amp;S)</w:t>
      </w:r>
      <w:r w:rsidR="00495AE8">
        <w:t xml:space="preserve"> teams to </w:t>
      </w:r>
      <w:r w:rsidR="00311DE2">
        <w:t xml:space="preserve">collaborate with our customers H&amp;S team and our commercial department are working closely to ensure profitability and value is being recognised by the client. </w:t>
      </w:r>
      <w:r w:rsidR="002658C6">
        <w:t xml:space="preserve">This multifaceted approach </w:t>
      </w:r>
      <w:r w:rsidR="009D5373">
        <w:t xml:space="preserve">could be carried out with the aim of creating a </w:t>
      </w:r>
      <w:r w:rsidR="00CA1BBC">
        <w:t>long-term</w:t>
      </w:r>
      <w:r w:rsidR="009D5373">
        <w:t xml:space="preserve"> bond and therefore reduce the threat recognised within the SWOT analysis of not </w:t>
      </w:r>
      <w:r w:rsidR="00B954CC">
        <w:t xml:space="preserve">being a future AMP supplier. </w:t>
      </w:r>
      <w:r w:rsidR="00CA1BBC">
        <w:t xml:space="preserve">Furthermore, to enable a total customer solution </w:t>
      </w:r>
      <w:r w:rsidR="00B2723F">
        <w:t>customer integration must be sought after</w:t>
      </w:r>
      <w:r w:rsidR="00184765">
        <w:t xml:space="preserve"> which is </w:t>
      </w:r>
      <w:r w:rsidR="00AA4A3C">
        <w:t>perceived as satisfying a requirement that the are unable to achieve internally</w:t>
      </w:r>
      <w:r w:rsidR="0097618D">
        <w:t xml:space="preserve"> (</w:t>
      </w:r>
      <w:proofErr w:type="spellStart"/>
      <w:r w:rsidR="0097618D">
        <w:t>Hax</w:t>
      </w:r>
      <w:proofErr w:type="spellEnd"/>
      <w:r w:rsidR="0097618D">
        <w:t xml:space="preserve">, 2009). ACIEM’s strength is its multi-disciplined teams that can design, </w:t>
      </w:r>
      <w:r w:rsidR="00412EE1">
        <w:t>procure,</w:t>
      </w:r>
      <w:r w:rsidR="0097618D">
        <w:t xml:space="preserve"> and deliver projects. With the current pandemic this has seen a reduction in </w:t>
      </w:r>
      <w:r w:rsidR="00412EE1">
        <w:t>required project outputs from clients due to several reasons, but one is volatility of resource</w:t>
      </w:r>
      <w:r w:rsidR="005B67AE">
        <w:t xml:space="preserve"> mainly being unable to </w:t>
      </w:r>
      <w:r w:rsidR="00DF12CF">
        <w:lastRenderedPageBreak/>
        <w:t>produce the initial design and solutions for project</w:t>
      </w:r>
      <w:r w:rsidR="00412EE1">
        <w:t xml:space="preserve">. </w:t>
      </w:r>
      <w:r w:rsidR="005B67AE">
        <w:t xml:space="preserve">ACIEM have the ability to take this aspect </w:t>
      </w:r>
      <w:r w:rsidR="00DF12CF">
        <w:t xml:space="preserve">and assist in moving </w:t>
      </w:r>
      <w:r w:rsidR="004E3559">
        <w:t xml:space="preserve">these projects to avoid the risk of the customer being unsuccessful in achieving its required outputs highlighted within the PESTLE </w:t>
      </w:r>
      <w:r w:rsidR="00302121">
        <w:t xml:space="preserve">analysis. </w:t>
      </w:r>
      <w:r w:rsidR="00E267EC">
        <w:t xml:space="preserve">Finally, </w:t>
      </w:r>
      <w:r w:rsidR="00325E89">
        <w:t xml:space="preserve">the total customer solution should aim to produce a complete set of products and services known as horizontal </w:t>
      </w:r>
      <w:r w:rsidR="00A6770F">
        <w:t>breadth (</w:t>
      </w:r>
      <w:proofErr w:type="spellStart"/>
      <w:r w:rsidR="00A6770F">
        <w:t>Hax</w:t>
      </w:r>
      <w:proofErr w:type="spellEnd"/>
      <w:r w:rsidR="00A6770F">
        <w:t xml:space="preserve">, 2009). </w:t>
      </w:r>
      <w:r w:rsidR="00D57AF1">
        <w:t xml:space="preserve">As previously </w:t>
      </w:r>
      <w:r w:rsidR="002716DE">
        <w:t>discussed,</w:t>
      </w:r>
      <w:r w:rsidR="00D57AF1">
        <w:t xml:space="preserve"> but ACIEM’s merger with the RSE Group has enhanced this propo</w:t>
      </w:r>
      <w:r w:rsidR="00806D92">
        <w:t xml:space="preserve">sition. RSE continued strategy of mergers and acquisitions will </w:t>
      </w:r>
      <w:r w:rsidR="004B2FD7">
        <w:t>continually</w:t>
      </w:r>
      <w:r w:rsidR="00DF39E0">
        <w:t xml:space="preserve"> enhance the ACIEM total solution by providing breadth. </w:t>
      </w:r>
      <w:r w:rsidR="004B2FD7">
        <w:t xml:space="preserve">ACIEM can offer the </w:t>
      </w:r>
      <w:r w:rsidR="00E673E0">
        <w:t xml:space="preserve">single point of contact to </w:t>
      </w:r>
      <w:r w:rsidR="006F6CB7">
        <w:t xml:space="preserve">that may potentially enable a slicker integration of the </w:t>
      </w:r>
      <w:r w:rsidR="00967DC3">
        <w:t>many aspects that usually make up a clean water or sewerage treatment project.</w:t>
      </w:r>
      <w:r w:rsidR="00B85D5A">
        <w:t xml:space="preserve"> </w:t>
      </w:r>
    </w:p>
    <w:p w14:paraId="5287DF5D" w14:textId="77777777" w:rsidR="00044E16" w:rsidRDefault="00044E16" w:rsidP="00044E16">
      <w:pPr>
        <w:pStyle w:val="Heading1"/>
      </w:pPr>
      <w:bookmarkStart w:id="29" w:name="_Toc59101008"/>
      <w:r>
        <w:t>Strategic Action</w:t>
      </w:r>
      <w:bookmarkEnd w:id="29"/>
    </w:p>
    <w:p w14:paraId="24CA0FED" w14:textId="3FBA278F" w:rsidR="00971665" w:rsidRDefault="00971665" w:rsidP="00971665">
      <w:pPr>
        <w:pStyle w:val="Heading2"/>
      </w:pPr>
      <w:bookmarkStart w:id="30" w:name="_Toc59101009"/>
      <w:r>
        <w:t>McKinsey 7-S Framework</w:t>
      </w:r>
      <w:bookmarkEnd w:id="30"/>
    </w:p>
    <w:p w14:paraId="421A47D8" w14:textId="678CEF6D" w:rsidR="00431EE4" w:rsidRDefault="00A472D9" w:rsidP="00A472D9">
      <w:r>
        <w:t xml:space="preserve">With the chosen strategy to aim for a total customer solution defined by </w:t>
      </w:r>
      <w:proofErr w:type="spellStart"/>
      <w:r w:rsidR="003F1129">
        <w:t>Hax</w:t>
      </w:r>
      <w:proofErr w:type="spellEnd"/>
      <w:r w:rsidR="003F1129">
        <w:t xml:space="preserve"> and Wilde (1999) Delta Model it is cr</w:t>
      </w:r>
      <w:r w:rsidR="001C4153">
        <w:t xml:space="preserve">itical that the proposed strategy just not just </w:t>
      </w:r>
      <w:r w:rsidR="00046C7F">
        <w:t xml:space="preserve">fit the structure and systems of an organisation but the style, skills and superordinate goals </w:t>
      </w:r>
      <w:r w:rsidR="0082775E">
        <w:t>of that organisation (</w:t>
      </w:r>
      <w:proofErr w:type="spellStart"/>
      <w:r w:rsidR="005F5994">
        <w:t>Mckeown</w:t>
      </w:r>
      <w:proofErr w:type="spellEnd"/>
      <w:r w:rsidR="0082775E">
        <w:rPr>
          <w:i/>
          <w:iCs/>
        </w:rPr>
        <w:t xml:space="preserve">, </w:t>
      </w:r>
      <w:r w:rsidR="0082775E">
        <w:t>20</w:t>
      </w:r>
      <w:r w:rsidR="005F5994">
        <w:t>20</w:t>
      </w:r>
      <w:r w:rsidR="0082775E">
        <w:t xml:space="preserve">). </w:t>
      </w:r>
      <w:r w:rsidR="000655A4">
        <w:t>This importance is highlighted by the McKinsey 7 – S framework</w:t>
      </w:r>
      <w:r w:rsidR="00604887">
        <w:t xml:space="preserve"> (Waterman </w:t>
      </w:r>
      <w:r w:rsidR="00604887">
        <w:rPr>
          <w:i/>
          <w:iCs/>
        </w:rPr>
        <w:t>et al</w:t>
      </w:r>
      <w:r w:rsidR="000655A4">
        <w:t>,</w:t>
      </w:r>
      <w:r w:rsidR="00604887">
        <w:t xml:space="preserve"> 1980), </w:t>
      </w:r>
      <w:r w:rsidR="00A46FD3">
        <w:t>which review</w:t>
      </w:r>
      <w:r w:rsidR="005B55D4">
        <w:t>s the configuration of the following 7 elements: Structure, Strategy, Systems, Skills, Staff</w:t>
      </w:r>
      <w:r w:rsidR="008A741A">
        <w:t>,</w:t>
      </w:r>
      <w:r w:rsidR="005B55D4">
        <w:t xml:space="preserve"> </w:t>
      </w:r>
      <w:r w:rsidR="002D4703">
        <w:t>Style,</w:t>
      </w:r>
      <w:r w:rsidR="008A741A">
        <w:t xml:space="preserve"> and Superordinate goals</w:t>
      </w:r>
      <w:r w:rsidR="005B55D4">
        <w:t>.</w:t>
      </w:r>
      <w:r w:rsidR="008A741A">
        <w:t xml:space="preserve"> </w:t>
      </w:r>
    </w:p>
    <w:p w14:paraId="21C721D6" w14:textId="77777777" w:rsidR="00971665" w:rsidRDefault="005B55D4" w:rsidP="00971665">
      <w:pPr>
        <w:pStyle w:val="Heading3"/>
      </w:pPr>
      <w:r>
        <w:t xml:space="preserve"> </w:t>
      </w:r>
      <w:bookmarkStart w:id="31" w:name="_Toc59101010"/>
      <w:r w:rsidR="00971665">
        <w:t>Style</w:t>
      </w:r>
      <w:bookmarkEnd w:id="31"/>
    </w:p>
    <w:p w14:paraId="3791DEA2" w14:textId="1D4B25E3" w:rsidR="00F647E9" w:rsidRDefault="00AD7B62" w:rsidP="00AD7B62">
      <w:r>
        <w:t>When evaluating the style</w:t>
      </w:r>
      <w:r w:rsidR="00FE290E">
        <w:t>, we are looking at the leadership style of the business.</w:t>
      </w:r>
      <w:r w:rsidR="009A39F5">
        <w:t xml:space="preserve"> Since </w:t>
      </w:r>
      <w:r w:rsidR="000324AA">
        <w:t xml:space="preserve">joining the RSE Group which is owned </w:t>
      </w:r>
      <w:r w:rsidR="002376FA">
        <w:t xml:space="preserve">by UK investment group Envoy </w:t>
      </w:r>
      <w:r w:rsidR="00384769">
        <w:t xml:space="preserve">the </w:t>
      </w:r>
      <w:r w:rsidR="00384769">
        <w:lastRenderedPageBreak/>
        <w:t xml:space="preserve">emphasis on the leadership style has been one of a “Servant Leadership” (Envoy, 2020). </w:t>
      </w:r>
      <w:r w:rsidR="0014076D">
        <w:t xml:space="preserve">A servant leaders aim </w:t>
      </w:r>
      <w:r w:rsidR="00387C4C">
        <w:t>is to create opportunities for it followers to grow</w:t>
      </w:r>
      <w:r w:rsidR="00A96546">
        <w:t>,</w:t>
      </w:r>
      <w:r w:rsidR="00D661C9">
        <w:t xml:space="preserve"> </w:t>
      </w:r>
      <w:r w:rsidR="00AC3461">
        <w:t xml:space="preserve">it is argued that this form of leadership will bring about </w:t>
      </w:r>
      <w:r w:rsidR="00AC5922">
        <w:t>innovation and employee well-being</w:t>
      </w:r>
      <w:r w:rsidR="00B75BB6">
        <w:t xml:space="preserve"> (</w:t>
      </w:r>
      <w:r w:rsidR="006C2720">
        <w:t xml:space="preserve">Van </w:t>
      </w:r>
      <w:proofErr w:type="spellStart"/>
      <w:r w:rsidR="006C2720">
        <w:t>Dierendonck</w:t>
      </w:r>
      <w:proofErr w:type="spellEnd"/>
      <w:r w:rsidR="00E71E14">
        <w:t xml:space="preserve">, 2010). </w:t>
      </w:r>
      <w:r w:rsidR="005117BB">
        <w:t xml:space="preserve">With the aim to provide a cross-functional approach </w:t>
      </w:r>
      <w:r w:rsidR="00CC2287">
        <w:t xml:space="preserve">to </w:t>
      </w:r>
      <w:r w:rsidR="00795F4C">
        <w:t>the customer this form of empowerment and innovation could prove to be p</w:t>
      </w:r>
      <w:r w:rsidR="00D1692D">
        <w:t xml:space="preserve">owerful. </w:t>
      </w:r>
    </w:p>
    <w:p w14:paraId="66F92DBC" w14:textId="3BF7009D" w:rsidR="007A1746" w:rsidRDefault="007A1746" w:rsidP="007A1746">
      <w:pPr>
        <w:pStyle w:val="Heading3"/>
      </w:pPr>
      <w:bookmarkStart w:id="32" w:name="_Toc59101011"/>
      <w:r>
        <w:t>Staff</w:t>
      </w:r>
      <w:bookmarkEnd w:id="32"/>
      <w:r>
        <w:t xml:space="preserve"> </w:t>
      </w:r>
    </w:p>
    <w:p w14:paraId="0DDF6BBE" w14:textId="20F0FD4E" w:rsidR="007A1746" w:rsidRDefault="00B276D3" w:rsidP="007A1746">
      <w:r>
        <w:t xml:space="preserve">One of the main criteria on whether a strategy can be feasible is the </w:t>
      </w:r>
      <w:r w:rsidR="00811BE9">
        <w:t>whether the organisation possess the people required to implement that strategy</w:t>
      </w:r>
      <w:r w:rsidR="00391A23">
        <w:t>,</w:t>
      </w:r>
      <w:r w:rsidR="00811BE9">
        <w:t xml:space="preserve"> or the availability to </w:t>
      </w:r>
      <w:r w:rsidR="00E452D6">
        <w:t xml:space="preserve">recruit the personnel to achieve </w:t>
      </w:r>
      <w:r w:rsidR="00391A23">
        <w:t xml:space="preserve">the desired output (Johnson </w:t>
      </w:r>
      <w:r w:rsidR="00391A23">
        <w:rPr>
          <w:i/>
          <w:iCs/>
        </w:rPr>
        <w:t xml:space="preserve">et al, </w:t>
      </w:r>
      <w:r w:rsidR="002A41D1">
        <w:t>2017). With one of the weaknesses associated within the business</w:t>
      </w:r>
      <w:r w:rsidR="00091D23">
        <w:t>,</w:t>
      </w:r>
      <w:r w:rsidR="002A41D1">
        <w:t xml:space="preserve"> </w:t>
      </w:r>
      <w:r w:rsidR="00091D23">
        <w:t xml:space="preserve">resource being over-stretched along with the threat of the availability of skilled workforce due to neighbouring projects, ACIEM must develop a recruitment strategy to ensure </w:t>
      </w:r>
      <w:r w:rsidR="005B2156">
        <w:t xml:space="preserve">competent workforce is developed. </w:t>
      </w:r>
      <w:r w:rsidR="00895E09">
        <w:t xml:space="preserve">With future talent and customer care individuals </w:t>
      </w:r>
      <w:r w:rsidR="00383849">
        <w:t xml:space="preserve">believed to now becoming a </w:t>
      </w:r>
      <w:r w:rsidR="00B625CA">
        <w:t xml:space="preserve">premium </w:t>
      </w:r>
      <w:r w:rsidR="00C653A0">
        <w:t>(McKinsey &amp; Co., 2020a)</w:t>
      </w:r>
      <w:r w:rsidR="00B625CA">
        <w:t xml:space="preserve"> it is</w:t>
      </w:r>
      <w:r w:rsidR="001607AB">
        <w:t xml:space="preserve"> essential</w:t>
      </w:r>
      <w:r w:rsidR="00B625CA">
        <w:t xml:space="preserve"> </w:t>
      </w:r>
      <w:r w:rsidR="001607AB">
        <w:t xml:space="preserve">that ACIEM’s strategy and structure accommodate these requirements. </w:t>
      </w:r>
    </w:p>
    <w:p w14:paraId="1DCC46AC" w14:textId="05EA027E" w:rsidR="002853EC" w:rsidRDefault="002853EC" w:rsidP="002853EC">
      <w:pPr>
        <w:pStyle w:val="Heading3"/>
      </w:pPr>
      <w:bookmarkStart w:id="33" w:name="_Toc59101012"/>
      <w:r>
        <w:t>Superordinate Goals</w:t>
      </w:r>
      <w:bookmarkEnd w:id="33"/>
    </w:p>
    <w:p w14:paraId="7D6E3E89" w14:textId="1D75FD94" w:rsidR="002853EC" w:rsidRDefault="00AC215F" w:rsidP="002853EC">
      <w:r>
        <w:t xml:space="preserve">ACIEM’s Mission, Vision and Values are currently undergoing a change </w:t>
      </w:r>
      <w:r w:rsidR="00D23174">
        <w:t xml:space="preserve">since its </w:t>
      </w:r>
      <w:r w:rsidR="006F5301">
        <w:t>amalgamation</w:t>
      </w:r>
      <w:r w:rsidR="00D23174">
        <w:t xml:space="preserve"> within the RSE and Envoy Group to be closer aligned with our partners. The current</w:t>
      </w:r>
      <w:r>
        <w:t xml:space="preserve"> mission </w:t>
      </w:r>
      <w:r w:rsidR="00D23174">
        <w:t>statement</w:t>
      </w:r>
      <w:r>
        <w:t xml:space="preserve">: </w:t>
      </w:r>
    </w:p>
    <w:p w14:paraId="6C9D4ACD" w14:textId="77777777" w:rsidR="00D23174" w:rsidRDefault="004C3073" w:rsidP="00D23174">
      <w:pPr>
        <w:ind w:left="720"/>
        <w:rPr>
          <w:i/>
          <w:iCs/>
        </w:rPr>
      </w:pPr>
      <w:r>
        <w:rPr>
          <w:i/>
          <w:iCs/>
        </w:rPr>
        <w:t xml:space="preserve">“To delivered inspired outcomes by engineering smart solutions” </w:t>
      </w:r>
    </w:p>
    <w:p w14:paraId="2F7DB8AA" w14:textId="528DD089" w:rsidR="00AC215F" w:rsidRDefault="004C3073" w:rsidP="00D23174">
      <w:pPr>
        <w:ind w:left="720"/>
        <w:rPr>
          <w:i/>
          <w:iCs/>
        </w:rPr>
      </w:pPr>
      <w:r>
        <w:rPr>
          <w:i/>
          <w:iCs/>
        </w:rPr>
        <w:t>(ACIEM, 2020)</w:t>
      </w:r>
    </w:p>
    <w:p w14:paraId="2585F355" w14:textId="3CC94FE3" w:rsidR="006F5301" w:rsidRPr="0022653D" w:rsidRDefault="0022653D" w:rsidP="006F5301">
      <w:r>
        <w:t xml:space="preserve">This has since been amended to </w:t>
      </w:r>
      <w:r>
        <w:rPr>
          <w:i/>
          <w:iCs/>
        </w:rPr>
        <w:t xml:space="preserve">“To be the Delivery Partner of choice”. </w:t>
      </w:r>
      <w:r>
        <w:t xml:space="preserve">This shift is on the emphasis of </w:t>
      </w:r>
      <w:r w:rsidR="0005017A">
        <w:t xml:space="preserve">being the customers choice of contractor </w:t>
      </w:r>
      <w:r w:rsidR="006014EF">
        <w:t xml:space="preserve">but with an emphasis </w:t>
      </w:r>
      <w:r w:rsidR="006014EF">
        <w:lastRenderedPageBreak/>
        <w:t xml:space="preserve">on collaboration and partnership, which arguably draws on correlations with the total customer solution. </w:t>
      </w:r>
    </w:p>
    <w:p w14:paraId="140B2122" w14:textId="5054B5D0" w:rsidR="00D23174" w:rsidRDefault="00CD17F3" w:rsidP="00CD17F3">
      <w:pPr>
        <w:pStyle w:val="Heading1"/>
      </w:pPr>
      <w:bookmarkStart w:id="34" w:name="_Toc59101013"/>
      <w:r>
        <w:t>Conclusion</w:t>
      </w:r>
      <w:bookmarkEnd w:id="34"/>
      <w:r w:rsidR="005817CB">
        <w:t xml:space="preserve"> </w:t>
      </w:r>
    </w:p>
    <w:p w14:paraId="07C798D8" w14:textId="56F4E913" w:rsidR="005817CB" w:rsidRPr="005817CB" w:rsidRDefault="0036740F" w:rsidP="005817CB">
      <w:r>
        <w:t xml:space="preserve">From the analysis </w:t>
      </w:r>
      <w:r w:rsidR="00ED054F">
        <w:t>carried out that both external and internal environments have an impact on strategic positioning and choices.</w:t>
      </w:r>
      <w:r w:rsidR="00715CBC">
        <w:t xml:space="preserve"> What has become apparent is that </w:t>
      </w:r>
      <w:r w:rsidR="009B5CC1">
        <w:t xml:space="preserve">a lack of knowledge or analysis of an environment can </w:t>
      </w:r>
      <w:r w:rsidR="00922C9F">
        <w:t>cause a short-sight</w:t>
      </w:r>
      <w:r w:rsidR="00167B5C">
        <w:t>edness, but poor analysis can reduce the chance of success.</w:t>
      </w:r>
      <w:r w:rsidR="00ED054F">
        <w:t xml:space="preserve"> </w:t>
      </w:r>
      <w:r w:rsidR="00D176ED">
        <w:t xml:space="preserve">Porters five forces model </w:t>
      </w:r>
      <w:r w:rsidR="00A06826">
        <w:t xml:space="preserve">tended to be one of the most utilised techniques for strategist when analysing industry forces. </w:t>
      </w:r>
      <w:r w:rsidR="00EF53D6">
        <w:t xml:space="preserve">However, when evaluating the strategic options for ACIEM in provides innovative customer care, Porters generic strategies seemed to be product focused and the alternative </w:t>
      </w:r>
      <w:proofErr w:type="spellStart"/>
      <w:r w:rsidR="00EF53D6">
        <w:t>Hax</w:t>
      </w:r>
      <w:proofErr w:type="spellEnd"/>
      <w:r w:rsidR="00EF53D6">
        <w:t xml:space="preserve"> and Wilde Delta Model </w:t>
      </w:r>
      <w:r w:rsidR="0012118C">
        <w:t xml:space="preserve">(1999) </w:t>
      </w:r>
      <w:r w:rsidR="00EF53D6">
        <w:t xml:space="preserve">was perceived to be more suitable in </w:t>
      </w:r>
      <w:r w:rsidR="005D7315">
        <w:t>developing a relative strategic direction. With the new focus of “Care of one” and “</w:t>
      </w:r>
      <w:proofErr w:type="spellStart"/>
      <w:r w:rsidR="005D7315">
        <w:t>Hyperpersonalzation</w:t>
      </w:r>
      <w:proofErr w:type="spellEnd"/>
      <w:r w:rsidR="005D7315">
        <w:t xml:space="preserve">” (McKinsey, 2020) seemingly being are the forefront of customer care it was felt that the </w:t>
      </w:r>
      <w:r w:rsidR="00581583">
        <w:t>Total Customer Solution strategy outlined within the Delta Model would fit this direction</w:t>
      </w:r>
      <w:r w:rsidR="009430CB">
        <w:t xml:space="preserve"> with emphasis being put onto customer focus than product.</w:t>
      </w:r>
      <w:r w:rsidR="00D143DD">
        <w:t xml:space="preserve"> However, developing </w:t>
      </w:r>
      <w:r w:rsidR="004265CF">
        <w:t xml:space="preserve">strategic options cannot be achieved if the capabilities within the organisation are not present. </w:t>
      </w:r>
      <w:proofErr w:type="spellStart"/>
      <w:r w:rsidR="004265CF">
        <w:t>McKinseys</w:t>
      </w:r>
      <w:proofErr w:type="spellEnd"/>
      <w:r w:rsidR="004265CF">
        <w:t xml:space="preserve"> 7-S frameworks acts a</w:t>
      </w:r>
      <w:r w:rsidR="00DF022A">
        <w:t>cted as a checklist to ensure that a either the capabilities are available at present or will provide direction to ensure they</w:t>
      </w:r>
      <w:r w:rsidR="00C21337">
        <w:t xml:space="preserve"> will be present moving forward during strategic implementation. </w:t>
      </w:r>
    </w:p>
    <w:p w14:paraId="4046B162" w14:textId="55180536" w:rsidR="00CD17F3" w:rsidRDefault="00EC3EB5" w:rsidP="00EC3EB5">
      <w:pPr>
        <w:pStyle w:val="Heading1"/>
      </w:pPr>
      <w:bookmarkStart w:id="35" w:name="_Toc59101014"/>
      <w:r>
        <w:t>Recommendations</w:t>
      </w:r>
      <w:bookmarkEnd w:id="35"/>
    </w:p>
    <w:p w14:paraId="158CBC8A" w14:textId="1144024E" w:rsidR="00EC3EB5" w:rsidRPr="00EC3EB5" w:rsidRDefault="00167B53" w:rsidP="00EC3EB5">
      <w:r>
        <w:t xml:space="preserve">It is recommended that </w:t>
      </w:r>
      <w:r w:rsidR="007803CE">
        <w:t xml:space="preserve">through the evaluation of the strategic position and options available that ACIEM should adopt the total customer solution approach in delivering their key clients Asset Management Programmes. </w:t>
      </w:r>
      <w:r w:rsidR="001F7498">
        <w:t xml:space="preserve">The view is that they will offer a </w:t>
      </w:r>
      <w:r w:rsidR="001F7498">
        <w:lastRenderedPageBreak/>
        <w:t xml:space="preserve">total solution utilising their breadth of skills within the newly formed RSE Group to provide the client </w:t>
      </w:r>
      <w:r w:rsidR="000F02B9">
        <w:t>with an avenue in achieving their regulatory dates placed on them by governing bodies</w:t>
      </w:r>
      <w:r w:rsidR="00984AD0">
        <w:t xml:space="preserve">. It is believed that this White Glove Service approach can produce </w:t>
      </w:r>
      <w:r w:rsidR="00984E04">
        <w:t xml:space="preserve">high returns on investment </w:t>
      </w:r>
      <w:r w:rsidR="00C653A0">
        <w:t>(McKinsey &amp; Co., 2020a)</w:t>
      </w:r>
      <w:r w:rsidR="00984E04">
        <w:t xml:space="preserve"> and it will play into its current strengths. </w:t>
      </w:r>
      <w:r w:rsidR="00CB39F2">
        <w:t xml:space="preserve">It is argued that reinvention is the incorrect avenue with years of research </w:t>
      </w:r>
      <w:r w:rsidR="00FE4307">
        <w:t xml:space="preserve">into high performance demonstrating that </w:t>
      </w:r>
      <w:r w:rsidR="005B2298">
        <w:t xml:space="preserve">periodic strategies of reinvention do not provide success but </w:t>
      </w:r>
      <w:r w:rsidR="00D049D2">
        <w:t xml:space="preserve">strategies building on the </w:t>
      </w:r>
      <w:r w:rsidR="009D2F7C">
        <w:t>fundamental’s</w:t>
      </w:r>
      <w:r w:rsidR="00D049D2">
        <w:t xml:space="preserve"> differentiation of a company (Zook and Allen, 2011). </w:t>
      </w:r>
      <w:r w:rsidR="000F02B9">
        <w:t xml:space="preserve"> </w:t>
      </w:r>
      <w:r w:rsidR="00305CC0">
        <w:t xml:space="preserve">With executives mainly focusing on maintaining business continuity </w:t>
      </w:r>
      <w:r w:rsidR="00E71C06">
        <w:t>and predominantly in their core (McKinsey &amp; Co., 2020b) we recommend ACIEM adopt a similar approach within the current pandemic times</w:t>
      </w:r>
      <w:r w:rsidR="00E90694">
        <w:t xml:space="preserve">, by focusing on its concentrated cliental </w:t>
      </w:r>
      <w:r w:rsidR="00B81F31">
        <w:t xml:space="preserve">and delivering a total customer solution utilising the foundations it has in place within the </w:t>
      </w:r>
      <w:r w:rsidR="009D2F7C">
        <w:t>organisation</w:t>
      </w:r>
      <w:r w:rsidR="00B81F31">
        <w:t xml:space="preserve"> and it partner group. </w:t>
      </w:r>
    </w:p>
    <w:p w14:paraId="1B35026F" w14:textId="5BAB1797" w:rsidR="006A5B6E" w:rsidRDefault="006A5B6E" w:rsidP="00317CD7"/>
    <w:p w14:paraId="4DB4EFB2" w14:textId="315C5276" w:rsidR="006A5B6E" w:rsidRDefault="006A5B6E" w:rsidP="00317CD7"/>
    <w:p w14:paraId="3DD447B1" w14:textId="13CF2E71" w:rsidR="006A5B6E" w:rsidRDefault="006A5B6E" w:rsidP="00317CD7"/>
    <w:p w14:paraId="0E355010" w14:textId="1198A7D1" w:rsidR="00D563D9" w:rsidRDefault="00D563D9">
      <w:pPr>
        <w:spacing w:after="160" w:line="259" w:lineRule="auto"/>
      </w:pPr>
      <w:r>
        <w:br w:type="page"/>
      </w:r>
    </w:p>
    <w:p w14:paraId="6EE3D281" w14:textId="0760A9DE" w:rsidR="006A5B6E" w:rsidRDefault="006A5B6E" w:rsidP="006A5B6E">
      <w:pPr>
        <w:pStyle w:val="Heading1"/>
      </w:pPr>
      <w:bookmarkStart w:id="36" w:name="_Toc59101015"/>
      <w:r>
        <w:lastRenderedPageBreak/>
        <w:t>References</w:t>
      </w:r>
      <w:bookmarkEnd w:id="36"/>
    </w:p>
    <w:p w14:paraId="57E553E3" w14:textId="50A092A1" w:rsidR="00465643" w:rsidRDefault="00465643" w:rsidP="006A5B6E">
      <w:r>
        <w:t xml:space="preserve">ACIEM Group Ltd. (2020). </w:t>
      </w:r>
      <w:r w:rsidR="00682FE2">
        <w:rPr>
          <w:i/>
          <w:iCs/>
        </w:rPr>
        <w:t>Home Page</w:t>
      </w:r>
      <w:r w:rsidR="001E2A34">
        <w:t xml:space="preserve">. [Online]. (Last updated 28 July 2020). Available at: </w:t>
      </w:r>
      <w:hyperlink r:id="rId11" w:history="1">
        <w:r w:rsidR="000538AA">
          <w:rPr>
            <w:rStyle w:val="Hyperlink"/>
          </w:rPr>
          <w:t>ACIEM - Delivering sustainable &amp; economic solutions to complex engineering projects (aciemgroup.co.uk)</w:t>
        </w:r>
      </w:hyperlink>
      <w:r w:rsidR="000538AA">
        <w:t xml:space="preserve"> [Accessed 01 December 2020]. </w:t>
      </w:r>
    </w:p>
    <w:p w14:paraId="22615EED" w14:textId="467A8730" w:rsidR="006A5B6E" w:rsidRDefault="00917121" w:rsidP="006A5B6E">
      <w:r>
        <w:t>BBC News (2020</w:t>
      </w:r>
      <w:r w:rsidR="00EA5509">
        <w:t>a</w:t>
      </w:r>
      <w:r>
        <w:t xml:space="preserve">). </w:t>
      </w:r>
      <w:r w:rsidR="00C00E9D" w:rsidRPr="008C3814">
        <w:rPr>
          <w:i/>
          <w:iCs/>
        </w:rPr>
        <w:t>Coronavirus confirmed as pandemic by World Health Organisation</w:t>
      </w:r>
      <w:r w:rsidR="008C3814">
        <w:rPr>
          <w:i/>
          <w:iCs/>
        </w:rPr>
        <w:t xml:space="preserve"> </w:t>
      </w:r>
      <w:r w:rsidR="008C3814">
        <w:t xml:space="preserve">[Online]. (Last updated </w:t>
      </w:r>
      <w:r w:rsidR="00C039A0">
        <w:t>11 March 2020). Available at:</w:t>
      </w:r>
      <w:r w:rsidR="00EF072A" w:rsidRPr="00EF072A">
        <w:t xml:space="preserve"> </w:t>
      </w:r>
      <w:hyperlink r:id="rId12" w:history="1">
        <w:r w:rsidR="00EF072A">
          <w:rPr>
            <w:rStyle w:val="Hyperlink"/>
          </w:rPr>
          <w:t>Coronavirus confirmed as pandemic by World Health Organization - BBC News</w:t>
        </w:r>
      </w:hyperlink>
      <w:r w:rsidR="00EF072A">
        <w:t xml:space="preserve"> [Accessed 01 December 2020]</w:t>
      </w:r>
      <w:r w:rsidR="004D5B8F">
        <w:t>.</w:t>
      </w:r>
    </w:p>
    <w:p w14:paraId="65A103C5" w14:textId="77777777" w:rsidR="00630039" w:rsidRDefault="00630039" w:rsidP="006A5B6E"/>
    <w:p w14:paraId="3BE2A007" w14:textId="13C7623D" w:rsidR="00592DC4" w:rsidRPr="00592DC4" w:rsidRDefault="00EA5509" w:rsidP="00592DC4">
      <w:pPr>
        <w:rPr>
          <w:rFonts w:ascii="Helvetica" w:hAnsi="Helvetica"/>
          <w:color w:val="3F3F42"/>
          <w:sz w:val="48"/>
        </w:rPr>
      </w:pPr>
      <w:r>
        <w:t>BBC News (2020b)</w:t>
      </w:r>
      <w:r w:rsidR="00592DC4">
        <w:t xml:space="preserve">. </w:t>
      </w:r>
      <w:r w:rsidR="00592DC4" w:rsidRPr="00592DC4">
        <w:rPr>
          <w:i/>
          <w:iCs/>
        </w:rPr>
        <w:t>Brexit: What are the UK and EU doing to prepare for no deal?</w:t>
      </w:r>
      <w:r w:rsidR="00592DC4">
        <w:rPr>
          <w:i/>
          <w:iCs/>
        </w:rPr>
        <w:t xml:space="preserve"> </w:t>
      </w:r>
      <w:r w:rsidR="00592DC4">
        <w:t>[On</w:t>
      </w:r>
      <w:r w:rsidR="00452D9D">
        <w:t xml:space="preserve">line]. (Last updated 11 December 2020). Available at: </w:t>
      </w:r>
      <w:hyperlink r:id="rId13" w:history="1">
        <w:r w:rsidR="00A421AC">
          <w:rPr>
            <w:rStyle w:val="Hyperlink"/>
          </w:rPr>
          <w:t>Brexit: What are the UK and EU doing to prepare for no deal? - BBC News</w:t>
        </w:r>
      </w:hyperlink>
      <w:r w:rsidR="00A421AC">
        <w:t xml:space="preserve"> [Accessed 12 December 2020].</w:t>
      </w:r>
    </w:p>
    <w:p w14:paraId="37370940" w14:textId="77777777" w:rsidR="009A04E4" w:rsidRDefault="009A04E4" w:rsidP="003B7490"/>
    <w:p w14:paraId="2436BC04" w14:textId="1B30B907" w:rsidR="003B7490" w:rsidRDefault="003B7490" w:rsidP="003B7490">
      <w:r>
        <w:t xml:space="preserve">Dess, G., Lumpkin, G., Eisner, A. and McNamara, G. (2014). </w:t>
      </w:r>
      <w:r>
        <w:rPr>
          <w:i/>
          <w:iCs/>
        </w:rPr>
        <w:t xml:space="preserve">Strategic Management Text and Cases. </w:t>
      </w:r>
      <w:r>
        <w:t>Seventh Edition Global Edition. Berkshire: McGraw-Hill Education.</w:t>
      </w:r>
    </w:p>
    <w:p w14:paraId="6B3CEBD8" w14:textId="77777777" w:rsidR="009A04E4" w:rsidRDefault="009A04E4" w:rsidP="00F21CA4">
      <w:pPr>
        <w:spacing w:line="600" w:lineRule="auto"/>
        <w:jc w:val="both"/>
      </w:pPr>
    </w:p>
    <w:p w14:paraId="424BE7F9" w14:textId="6FE71EB5" w:rsidR="00F21CA4" w:rsidRDefault="0084422B" w:rsidP="00F21CA4">
      <w:pPr>
        <w:spacing w:line="600" w:lineRule="auto"/>
        <w:jc w:val="both"/>
      </w:pPr>
      <w:r>
        <w:t>Environment Agency</w:t>
      </w:r>
      <w:r w:rsidR="003C4BFE">
        <w:t>,</w:t>
      </w:r>
      <w:r>
        <w:t xml:space="preserve"> (2020). </w:t>
      </w:r>
      <w:r w:rsidR="009A04E4">
        <w:rPr>
          <w:i/>
          <w:iCs/>
        </w:rPr>
        <w:t>Water and Sewerage companies in England: environmental performance report for 2019.</w:t>
      </w:r>
      <w:r w:rsidR="009A04E4">
        <w:t xml:space="preserve"> </w:t>
      </w:r>
      <w:r w:rsidR="00C00641">
        <w:t>[Online]. (Last updated 2 October 2020). Available at:</w:t>
      </w:r>
      <w:r w:rsidR="00C00641" w:rsidRPr="00C00641">
        <w:t xml:space="preserve"> </w:t>
      </w:r>
      <w:hyperlink r:id="rId14" w:anchor="Our-performance" w:history="1">
        <w:r w:rsidR="00C00641">
          <w:rPr>
            <w:rStyle w:val="Hyperlink"/>
          </w:rPr>
          <w:t>Water and sewerage companies in England: environmental performance report for 2019 - GOV.UK (www.gov.uk)</w:t>
        </w:r>
      </w:hyperlink>
      <w:r w:rsidR="00C00641">
        <w:t xml:space="preserve"> [Accessed 01 December 2020</w:t>
      </w:r>
      <w:r w:rsidR="003C4BFE">
        <w:t>].</w:t>
      </w:r>
    </w:p>
    <w:p w14:paraId="1091FB8B" w14:textId="77777777" w:rsidR="009A39F5" w:rsidRPr="009A04E4" w:rsidRDefault="009A39F5" w:rsidP="00F21CA4">
      <w:pPr>
        <w:spacing w:line="600" w:lineRule="auto"/>
        <w:jc w:val="both"/>
      </w:pPr>
    </w:p>
    <w:p w14:paraId="78DE4D47" w14:textId="4B6BCBA7" w:rsidR="009A04E4" w:rsidRDefault="00590D5C" w:rsidP="00F21CA4">
      <w:pPr>
        <w:spacing w:line="600" w:lineRule="auto"/>
        <w:jc w:val="both"/>
      </w:pPr>
      <w:r>
        <w:t>Envoy Group</w:t>
      </w:r>
      <w:r w:rsidR="008D754B">
        <w:t xml:space="preserve">, (2020). </w:t>
      </w:r>
      <w:r w:rsidR="0014025C">
        <w:rPr>
          <w:i/>
          <w:iCs/>
        </w:rPr>
        <w:t>Values</w:t>
      </w:r>
      <w:r w:rsidR="0014025C">
        <w:t xml:space="preserve">. [Online]. (Update </w:t>
      </w:r>
      <w:r w:rsidR="009A39F5">
        <w:t xml:space="preserve">July 2020). Available at: </w:t>
      </w:r>
      <w:hyperlink r:id="rId15" w:history="1">
        <w:r w:rsidR="009A39F5">
          <w:rPr>
            <w:rStyle w:val="Hyperlink"/>
          </w:rPr>
          <w:t>Our Core Values: What We Believe In | Envoy Group</w:t>
        </w:r>
      </w:hyperlink>
      <w:r w:rsidR="009A39F5">
        <w:t xml:space="preserve"> [Accessed 13 December 2020]</w:t>
      </w:r>
    </w:p>
    <w:p w14:paraId="01709C70" w14:textId="77777777" w:rsidR="009A39F5" w:rsidRPr="0014025C" w:rsidRDefault="009A39F5" w:rsidP="00F21CA4">
      <w:pPr>
        <w:spacing w:line="600" w:lineRule="auto"/>
        <w:jc w:val="both"/>
      </w:pPr>
    </w:p>
    <w:p w14:paraId="5CD2E5DE" w14:textId="4C80B902" w:rsidR="00F21CA4" w:rsidRDefault="00F21CA4" w:rsidP="00F21CA4">
      <w:pPr>
        <w:spacing w:line="600" w:lineRule="auto"/>
        <w:jc w:val="both"/>
      </w:pPr>
      <w:r>
        <w:t>Fahy</w:t>
      </w:r>
      <w:r w:rsidR="003C4BFE">
        <w:t>, J.</w:t>
      </w:r>
      <w:r>
        <w:t xml:space="preserve"> and Jobber</w:t>
      </w:r>
      <w:r w:rsidR="003C4BFE">
        <w:t>, D.</w:t>
      </w:r>
      <w:r>
        <w:t xml:space="preserve"> (2019) </w:t>
      </w:r>
      <w:r w:rsidRPr="00854BDC">
        <w:rPr>
          <w:i/>
          <w:iCs/>
        </w:rPr>
        <w:t>Foundation of Marketing</w:t>
      </w:r>
      <w:r>
        <w:t>. 6th Edition. London: McGraw-Hill Education</w:t>
      </w:r>
    </w:p>
    <w:p w14:paraId="3C751FF6" w14:textId="77777777" w:rsidR="00DC7C7D" w:rsidRDefault="00DC7C7D" w:rsidP="00A16314"/>
    <w:p w14:paraId="5BEEDBBE" w14:textId="099054E6" w:rsidR="00895B94" w:rsidRDefault="00895B94" w:rsidP="00A16314">
      <w:r>
        <w:t>Hame</w:t>
      </w:r>
      <w:r w:rsidR="001D16A9">
        <w:t>l,</w:t>
      </w:r>
      <w:r>
        <w:t xml:space="preserve"> G, and Prahalad</w:t>
      </w:r>
      <w:r w:rsidR="001D16A9">
        <w:t>,</w:t>
      </w:r>
      <w:r>
        <w:t xml:space="preserve"> C</w:t>
      </w:r>
      <w:r w:rsidR="001D16A9">
        <w:t>.</w:t>
      </w:r>
      <w:r>
        <w:t xml:space="preserve">K. (1994). </w:t>
      </w:r>
      <w:r w:rsidRPr="00895B94">
        <w:rPr>
          <w:i/>
          <w:iCs/>
        </w:rPr>
        <w:t xml:space="preserve">Competing </w:t>
      </w:r>
      <w:r w:rsidR="001D16A9">
        <w:rPr>
          <w:i/>
          <w:iCs/>
        </w:rPr>
        <w:t>f</w:t>
      </w:r>
      <w:r w:rsidRPr="00895B94">
        <w:rPr>
          <w:i/>
          <w:iCs/>
        </w:rPr>
        <w:t>or The Future.</w:t>
      </w:r>
      <w:r>
        <w:t xml:space="preserve"> </w:t>
      </w:r>
      <w:r w:rsidR="001D16A9">
        <w:t xml:space="preserve">Boston: </w:t>
      </w:r>
      <w:r>
        <w:t>Harvard Business School Press</w:t>
      </w:r>
      <w:r w:rsidR="001D16A9">
        <w:t>.</w:t>
      </w:r>
    </w:p>
    <w:p w14:paraId="0115AF1C" w14:textId="77777777" w:rsidR="00A10240" w:rsidRDefault="00A10240" w:rsidP="00A16314"/>
    <w:p w14:paraId="37325F77" w14:textId="4690D54D" w:rsidR="0091684C" w:rsidRDefault="00757A15" w:rsidP="00A16314">
      <w:proofErr w:type="spellStart"/>
      <w:r>
        <w:t>Hax</w:t>
      </w:r>
      <w:proofErr w:type="spellEnd"/>
      <w:r>
        <w:t xml:space="preserve">, A. and </w:t>
      </w:r>
      <w:r w:rsidR="00AE45C8">
        <w:t xml:space="preserve">Wilde, D. (1999) </w:t>
      </w:r>
      <w:r w:rsidR="00AE45C8">
        <w:rPr>
          <w:i/>
          <w:iCs/>
        </w:rPr>
        <w:t>The Delta Model: Adaptive Management for a Changing World</w:t>
      </w:r>
      <w:r w:rsidR="00BC4B71">
        <w:t>. Sloan Management Review, Volume 40 (2)</w:t>
      </w:r>
      <w:r w:rsidR="00A10240">
        <w:t xml:space="preserve">, pp. 11-28. Available at: </w:t>
      </w:r>
      <w:hyperlink r:id="rId16" w:history="1">
        <w:r w:rsidR="00A10240" w:rsidRPr="000B5313">
          <w:rPr>
            <w:rStyle w:val="Hyperlink"/>
          </w:rPr>
          <w:t>https://search-proquest-com.ezproxy.uwtsd.ac.uk/docview/224966780?accountid=130472&amp;pq-origsite=primo</w:t>
        </w:r>
      </w:hyperlink>
      <w:r w:rsidR="00A10240">
        <w:t xml:space="preserve"> [Accessed on 12 December 2020]</w:t>
      </w:r>
    </w:p>
    <w:p w14:paraId="3D53C99C" w14:textId="77777777" w:rsidR="009B6394" w:rsidRDefault="009B6394" w:rsidP="00A16314"/>
    <w:p w14:paraId="12636116" w14:textId="70474C56" w:rsidR="00A10240" w:rsidRDefault="006F0A74" w:rsidP="00A16314">
      <w:proofErr w:type="spellStart"/>
      <w:r>
        <w:t>Hax</w:t>
      </w:r>
      <w:proofErr w:type="spellEnd"/>
      <w:r>
        <w:t xml:space="preserve">, A. and Wilde, D. (2003) </w:t>
      </w:r>
      <w:r>
        <w:rPr>
          <w:i/>
          <w:iCs/>
        </w:rPr>
        <w:t xml:space="preserve">The Delta Model: A New Framework of Strategy. </w:t>
      </w:r>
      <w:r>
        <w:t>Journal of Strategic Management Education. Volume 1 (1)</w:t>
      </w:r>
      <w:r w:rsidR="00903708">
        <w:t xml:space="preserve">, pp. 1 – 21. Available at: </w:t>
      </w:r>
      <w:hyperlink r:id="rId17" w:history="1">
        <w:r w:rsidR="00903708" w:rsidRPr="000B5313">
          <w:rPr>
            <w:rStyle w:val="Hyperlink"/>
          </w:rPr>
          <w:t>https://moodle.uwtsd.ac.uk/pluginfile.php/37350/mod_resource/content/1/The%20Delta%20Model%20Framework%20for%20Strategy.pdf</w:t>
        </w:r>
      </w:hyperlink>
      <w:r w:rsidR="00903708">
        <w:t xml:space="preserve"> [Accessed 12 December 2020]</w:t>
      </w:r>
    </w:p>
    <w:p w14:paraId="48078418" w14:textId="77777777" w:rsidR="005A04C4" w:rsidRDefault="005A04C4" w:rsidP="00A16314"/>
    <w:p w14:paraId="7A48667D" w14:textId="7449A338" w:rsidR="009B6394" w:rsidRPr="00D714C5" w:rsidRDefault="000A01ED" w:rsidP="00A16314">
      <w:proofErr w:type="spellStart"/>
      <w:r>
        <w:t>Hax</w:t>
      </w:r>
      <w:proofErr w:type="spellEnd"/>
      <w:r>
        <w:t xml:space="preserve">, A. (2009) </w:t>
      </w:r>
      <w:r>
        <w:rPr>
          <w:i/>
          <w:iCs/>
        </w:rPr>
        <w:t>The Delta Model: Reinventing Your Business Strategy</w:t>
      </w:r>
      <w:r w:rsidR="00D714C5">
        <w:rPr>
          <w:i/>
          <w:iCs/>
        </w:rPr>
        <w:t xml:space="preserve">. </w:t>
      </w:r>
      <w:r w:rsidR="00D714C5">
        <w:t xml:space="preserve"> </w:t>
      </w:r>
      <w:r w:rsidR="005A04C4">
        <w:t>New York: Springer</w:t>
      </w:r>
    </w:p>
    <w:p w14:paraId="770651C2" w14:textId="77777777" w:rsidR="005A04C4" w:rsidRDefault="005A04C4" w:rsidP="00A16314"/>
    <w:p w14:paraId="4D5499E4" w14:textId="63636429" w:rsidR="00895B94" w:rsidRDefault="00CC1C6D" w:rsidP="00A16314">
      <w:proofErr w:type="spellStart"/>
      <w:r>
        <w:t>Heery</w:t>
      </w:r>
      <w:proofErr w:type="spellEnd"/>
      <w:r>
        <w:t>, E and Noon, M. (2017</w:t>
      </w:r>
      <w:r w:rsidR="00C62965">
        <w:t xml:space="preserve">). </w:t>
      </w:r>
      <w:r w:rsidR="00C62965">
        <w:rPr>
          <w:i/>
          <w:iCs/>
        </w:rPr>
        <w:t xml:space="preserve">A Dictionary of Human Resource Management. </w:t>
      </w:r>
      <w:r w:rsidR="00C62965">
        <w:t xml:space="preserve">Third Edition. </w:t>
      </w:r>
      <w:r w:rsidR="00F1503C">
        <w:t xml:space="preserve">Online: Oxford University Press. Available at: </w:t>
      </w:r>
      <w:hyperlink r:id="rId18" w:history="1">
        <w:r w:rsidR="0091684C" w:rsidRPr="000B5313">
          <w:rPr>
            <w:rStyle w:val="Hyperlink"/>
          </w:rPr>
          <w:t>https://www-oxfordreference-com.ezproxy.uwtsd.ac.uk/view/10.1093/acref/9780191827822.001.0001/acref-9780191827822-e-253?rskey=apndvj&amp;result=361</w:t>
        </w:r>
      </w:hyperlink>
      <w:r w:rsidR="0091684C">
        <w:t xml:space="preserve"> [Accessed 11 December 2020]</w:t>
      </w:r>
    </w:p>
    <w:p w14:paraId="7B192918" w14:textId="77777777" w:rsidR="0091684C" w:rsidRPr="00C62965" w:rsidRDefault="0091684C" w:rsidP="00A16314"/>
    <w:p w14:paraId="4E9BCBF7" w14:textId="5C5FA2A1" w:rsidR="00205489" w:rsidRDefault="00F3335B" w:rsidP="00A16314">
      <w:r>
        <w:t xml:space="preserve">Hussey, D. (1998). </w:t>
      </w:r>
      <w:r w:rsidR="00755FDB">
        <w:rPr>
          <w:i/>
          <w:iCs/>
        </w:rPr>
        <w:t>Strategic management: from theory to implementation</w:t>
      </w:r>
      <w:r w:rsidR="009069CB">
        <w:rPr>
          <w:i/>
          <w:iCs/>
        </w:rPr>
        <w:t xml:space="preserve">. </w:t>
      </w:r>
      <w:r w:rsidR="009069CB">
        <w:t xml:space="preserve">Fourth Edition. </w:t>
      </w:r>
      <w:r w:rsidR="00DC7C7D">
        <w:t>Oxford: Butterworth-</w:t>
      </w:r>
      <w:proofErr w:type="spellStart"/>
      <w:r w:rsidR="00DC7C7D">
        <w:t>Heinmann</w:t>
      </w:r>
      <w:proofErr w:type="spellEnd"/>
      <w:r w:rsidR="00DC7C7D">
        <w:t>.</w:t>
      </w:r>
    </w:p>
    <w:p w14:paraId="1A7274E3" w14:textId="77777777" w:rsidR="00DC7C7D" w:rsidRDefault="00DC7C7D" w:rsidP="00A16314"/>
    <w:p w14:paraId="04A6660D" w14:textId="72C8BFC9" w:rsidR="00834A80" w:rsidRPr="008A19BD" w:rsidRDefault="00CD50F7" w:rsidP="00A16314">
      <w:r>
        <w:t xml:space="preserve">Hussey, </w:t>
      </w:r>
      <w:r w:rsidR="00A204D3">
        <w:t xml:space="preserve">D. (2001). </w:t>
      </w:r>
      <w:r w:rsidR="008A19BD" w:rsidRPr="008A19BD">
        <w:rPr>
          <w:i/>
          <w:iCs/>
        </w:rPr>
        <w:t>Creative strategic thinking and the analytical process</w:t>
      </w:r>
      <w:r w:rsidR="008A19BD" w:rsidRPr="008A19BD">
        <w:rPr>
          <w:rFonts w:ascii="Source Sans Pro" w:hAnsi="Source Sans Pro"/>
          <w:i/>
          <w:iCs/>
          <w:color w:val="3A3A3A"/>
          <w:sz w:val="23"/>
          <w:szCs w:val="23"/>
          <w:shd w:val="clear" w:color="auto" w:fill="F3F3F3"/>
        </w:rPr>
        <w:t>: </w:t>
      </w:r>
      <w:r w:rsidR="008A19BD" w:rsidRPr="008A19BD">
        <w:rPr>
          <w:i/>
          <w:iCs/>
        </w:rPr>
        <w:t>critical factors for strategic success</w:t>
      </w:r>
      <w:r w:rsidR="008A19BD">
        <w:rPr>
          <w:i/>
          <w:iCs/>
        </w:rPr>
        <w:t xml:space="preserve">. </w:t>
      </w:r>
      <w:r w:rsidR="008A19BD">
        <w:t>Strategic Change</w:t>
      </w:r>
      <w:r w:rsidR="0061590A">
        <w:t>, Volume 10</w:t>
      </w:r>
      <w:r w:rsidR="0073025F">
        <w:t xml:space="preserve"> (4), pp. 201-213</w:t>
      </w:r>
      <w:r w:rsidR="00975086">
        <w:t xml:space="preserve">. Available at: </w:t>
      </w:r>
      <w:hyperlink r:id="rId19" w:history="1">
        <w:r w:rsidR="00205489" w:rsidRPr="000B5313">
          <w:rPr>
            <w:rStyle w:val="Hyperlink"/>
          </w:rPr>
          <w:t>https://search-proquest-com.ezproxy.uwtsd.ac.uk/docview/216500419?accountid=130472&amp;pq-origsite=primo</w:t>
        </w:r>
      </w:hyperlink>
      <w:r w:rsidR="00205489">
        <w:t xml:space="preserve"> [Accessed: 24 November 2020]</w:t>
      </w:r>
    </w:p>
    <w:p w14:paraId="16FCEAAB" w14:textId="77777777" w:rsidR="00205489" w:rsidRDefault="00205489" w:rsidP="00A16314"/>
    <w:p w14:paraId="417721F0" w14:textId="1B79C691" w:rsidR="005E1D56" w:rsidRDefault="009428F4" w:rsidP="005E1D56">
      <w:r>
        <w:t>Johnson, G., Whittingham, R., Scholes, K., Angwin</w:t>
      </w:r>
      <w:r w:rsidR="00025C97">
        <w:t xml:space="preserve">, D. and </w:t>
      </w:r>
      <w:proofErr w:type="spellStart"/>
      <w:r w:rsidR="00025C97">
        <w:t>Regner</w:t>
      </w:r>
      <w:proofErr w:type="spellEnd"/>
      <w:r w:rsidR="00025C97">
        <w:t xml:space="preserve">, P. (2017) </w:t>
      </w:r>
      <w:r w:rsidR="00025C97">
        <w:rPr>
          <w:i/>
          <w:iCs/>
        </w:rPr>
        <w:t xml:space="preserve">Exploring Strategy: Text and Cases. </w:t>
      </w:r>
      <w:r w:rsidR="00636F9E">
        <w:t xml:space="preserve">Eleventh Edition. </w:t>
      </w:r>
      <w:r w:rsidR="00834A80">
        <w:t>Harlow: Person Education Limited.</w:t>
      </w:r>
    </w:p>
    <w:p w14:paraId="29C35E7A" w14:textId="77777777" w:rsidR="00E154B5" w:rsidRDefault="00E154B5" w:rsidP="005E1D56"/>
    <w:p w14:paraId="31AA8BC1" w14:textId="7D515B28" w:rsidR="005E1D56" w:rsidRDefault="00924B40" w:rsidP="005E1D56">
      <w:proofErr w:type="spellStart"/>
      <w:r>
        <w:t>Kald</w:t>
      </w:r>
      <w:proofErr w:type="spellEnd"/>
      <w:r>
        <w:t xml:space="preserve">, M. Fredrik Nilsson, F., and </w:t>
      </w:r>
      <w:proofErr w:type="spellStart"/>
      <w:r>
        <w:t>Rappt</w:t>
      </w:r>
      <w:proofErr w:type="spellEnd"/>
      <w:r>
        <w:t xml:space="preserve">, B. (2000). </w:t>
      </w:r>
      <w:r w:rsidRPr="00924B40">
        <w:rPr>
          <w:i/>
          <w:iCs/>
        </w:rPr>
        <w:t>On Strategy and Management Control: The Importance of Classifying the Strategy of the Business</w:t>
      </w:r>
      <w:r>
        <w:t xml:space="preserve">. British Journal of Management, </w:t>
      </w:r>
      <w:r w:rsidR="00FF0AE6">
        <w:t xml:space="preserve">Volume </w:t>
      </w:r>
      <w:r>
        <w:t xml:space="preserve">11, </w:t>
      </w:r>
      <w:r w:rsidR="00FF0AE6">
        <w:t>pp.</w:t>
      </w:r>
      <w:r>
        <w:t>197-212.</w:t>
      </w:r>
      <w:r w:rsidR="0071430E">
        <w:t xml:space="preserve"> </w:t>
      </w:r>
    </w:p>
    <w:p w14:paraId="352304BE" w14:textId="77777777" w:rsidR="00E154B5" w:rsidRPr="0071430E" w:rsidRDefault="00E154B5" w:rsidP="005E1D56"/>
    <w:p w14:paraId="41036746" w14:textId="0563A466" w:rsidR="005E1D56" w:rsidRDefault="005E1D56" w:rsidP="005E1D56">
      <w:proofErr w:type="spellStart"/>
      <w:r>
        <w:t>Kuenssberg</w:t>
      </w:r>
      <w:proofErr w:type="spellEnd"/>
      <w:r>
        <w:t xml:space="preserve">, L (2017) General Election 2017: Labour Play’s Water Industry Nationalisation [Online] Available at: </w:t>
      </w:r>
      <w:hyperlink r:id="rId20" w:history="1">
        <w:r w:rsidRPr="003E5370">
          <w:rPr>
            <w:rStyle w:val="Hyperlink"/>
          </w:rPr>
          <w:t>https://www.bbc.co.uk/news/election-2017-39930278</w:t>
        </w:r>
      </w:hyperlink>
      <w:r w:rsidRPr="003E5370">
        <w:rPr>
          <w:u w:val="single"/>
        </w:rPr>
        <w:t xml:space="preserve"> </w:t>
      </w:r>
      <w:r>
        <w:t>(Accessed 12/</w:t>
      </w:r>
      <w:r w:rsidR="00295583">
        <w:t>11</w:t>
      </w:r>
      <w:r>
        <w:t>/2020)</w:t>
      </w:r>
    </w:p>
    <w:p w14:paraId="6E6127CE" w14:textId="77777777" w:rsidR="00B4205B" w:rsidRDefault="00B4205B" w:rsidP="005E1D56"/>
    <w:p w14:paraId="7347102C" w14:textId="433F4C5B" w:rsidR="009045A4" w:rsidRPr="005F5994" w:rsidRDefault="005F5994" w:rsidP="005E1D56">
      <w:r>
        <w:t xml:space="preserve">McKeown, M. (2020) </w:t>
      </w:r>
      <w:r>
        <w:rPr>
          <w:i/>
          <w:iCs/>
        </w:rPr>
        <w:t xml:space="preserve">The Strategy Book. </w:t>
      </w:r>
      <w:r>
        <w:t>Third Edition</w:t>
      </w:r>
      <w:r w:rsidR="00B4205B">
        <w:t>. Harlow: Person Education Limited</w:t>
      </w:r>
    </w:p>
    <w:p w14:paraId="79C937C6" w14:textId="77777777" w:rsidR="00B4205B" w:rsidRDefault="00B4205B" w:rsidP="005E1D56"/>
    <w:p w14:paraId="5AA67DA6" w14:textId="4C8E3192" w:rsidR="00E154B5" w:rsidRDefault="00B57884" w:rsidP="005E1D56">
      <w:proofErr w:type="spellStart"/>
      <w:r>
        <w:lastRenderedPageBreak/>
        <w:t>Mckinsey</w:t>
      </w:r>
      <w:proofErr w:type="spellEnd"/>
      <w:r>
        <w:t xml:space="preserve"> &amp; Co. (</w:t>
      </w:r>
      <w:r w:rsidR="00515421">
        <w:t>2020</w:t>
      </w:r>
      <w:r w:rsidR="0029009E">
        <w:t>a</w:t>
      </w:r>
      <w:r w:rsidR="00515421">
        <w:t xml:space="preserve">) </w:t>
      </w:r>
      <w:r w:rsidR="00515421">
        <w:rPr>
          <w:i/>
          <w:iCs/>
        </w:rPr>
        <w:t xml:space="preserve">The care of one: </w:t>
      </w:r>
      <w:proofErr w:type="spellStart"/>
      <w:r w:rsidR="00515421">
        <w:rPr>
          <w:i/>
          <w:iCs/>
        </w:rPr>
        <w:t>Hyperpersonalization</w:t>
      </w:r>
      <w:proofErr w:type="spellEnd"/>
      <w:r w:rsidR="00515421">
        <w:rPr>
          <w:i/>
          <w:iCs/>
        </w:rPr>
        <w:t xml:space="preserve"> of customer care. </w:t>
      </w:r>
      <w:r w:rsidR="00515421">
        <w:t>[Online]</w:t>
      </w:r>
      <w:r w:rsidR="00A63907">
        <w:t xml:space="preserve"> Available at: </w:t>
      </w:r>
      <w:hyperlink r:id="rId21" w:history="1">
        <w:r w:rsidR="009045A4" w:rsidRPr="000B5313">
          <w:rPr>
            <w:rStyle w:val="Hyperlink"/>
          </w:rPr>
          <w:t>https://moodle.uwtsd.ac.uk/pluginfile.php/401844/mod_resource/content/1/ASSIGNMENT%20ARTICLE%20-%20The-care-of-one-Hyperpersonalization-of-customer-care%20%281%29%20-%20Copy.pdf</w:t>
        </w:r>
      </w:hyperlink>
      <w:r w:rsidR="009045A4">
        <w:t xml:space="preserve"> [Accessed 20 November 2020]</w:t>
      </w:r>
    </w:p>
    <w:p w14:paraId="06108B2E" w14:textId="77777777" w:rsidR="000E3478" w:rsidRDefault="000E3478" w:rsidP="005E1D56"/>
    <w:p w14:paraId="68612F68" w14:textId="4F09E70B" w:rsidR="009045A4" w:rsidRDefault="0008143A" w:rsidP="005E1D56">
      <w:r>
        <w:t xml:space="preserve">McKinsey &amp; Co. (2020b) </w:t>
      </w:r>
      <w:r>
        <w:rPr>
          <w:i/>
          <w:iCs/>
        </w:rPr>
        <w:t>Innovation in a Crisis</w:t>
      </w:r>
      <w:r w:rsidR="009829AA">
        <w:rPr>
          <w:i/>
          <w:iCs/>
        </w:rPr>
        <w:t>: Why it is more critical than ever</w:t>
      </w:r>
      <w:r>
        <w:rPr>
          <w:i/>
          <w:iCs/>
        </w:rPr>
        <w:t xml:space="preserve"> </w:t>
      </w:r>
      <w:r>
        <w:t>[Online] Available at:</w:t>
      </w:r>
      <w:r w:rsidR="000E3478">
        <w:t xml:space="preserve"> </w:t>
      </w:r>
      <w:hyperlink r:id="rId22" w:history="1">
        <w:r w:rsidR="000E3478" w:rsidRPr="000B5313">
          <w:rPr>
            <w:rStyle w:val="Hyperlink"/>
          </w:rPr>
          <w:t>https://moodle.uwtsd.ac.uk/pluginfile.php/443147/mod_resource/content/1/Innovation-in-a-crisis-Why-it-is-more-critical-than-ever-vF.pdf</w:t>
        </w:r>
      </w:hyperlink>
      <w:r w:rsidR="000E3478">
        <w:t xml:space="preserve"> [Accessed 12 December 2020]</w:t>
      </w:r>
    </w:p>
    <w:p w14:paraId="49F163CB" w14:textId="77777777" w:rsidR="000E3478" w:rsidRPr="0008143A" w:rsidRDefault="000E3478" w:rsidP="005E1D56"/>
    <w:p w14:paraId="6B783335" w14:textId="114386E3" w:rsidR="00E154B5" w:rsidRDefault="00C465AB" w:rsidP="00A16314">
      <w:r>
        <w:t xml:space="preserve">Porter, M. E. (1980) </w:t>
      </w:r>
      <w:r w:rsidR="00274D00">
        <w:rPr>
          <w:i/>
          <w:iCs/>
        </w:rPr>
        <w:t xml:space="preserve">Competitive Strategy: Techniques for </w:t>
      </w:r>
      <w:proofErr w:type="spellStart"/>
      <w:r w:rsidR="00274D00">
        <w:rPr>
          <w:i/>
          <w:iCs/>
        </w:rPr>
        <w:t>analy</w:t>
      </w:r>
      <w:r w:rsidR="001419A0">
        <w:rPr>
          <w:i/>
          <w:iCs/>
        </w:rPr>
        <w:t>zing</w:t>
      </w:r>
      <w:proofErr w:type="spellEnd"/>
      <w:r w:rsidR="001419A0">
        <w:rPr>
          <w:i/>
          <w:iCs/>
        </w:rPr>
        <w:t xml:space="preserve"> industries competitors. </w:t>
      </w:r>
      <w:r w:rsidR="001419A0">
        <w:t>New York: Free Press</w:t>
      </w:r>
      <w:r w:rsidR="00E154B5">
        <w:t>.</w:t>
      </w:r>
    </w:p>
    <w:p w14:paraId="6E4B7627" w14:textId="77777777" w:rsidR="00FD7411" w:rsidRDefault="00FD7411" w:rsidP="00A16314"/>
    <w:p w14:paraId="669A71ED" w14:textId="41DA49BC" w:rsidR="00D10845" w:rsidRPr="00FD7411" w:rsidRDefault="0012455E" w:rsidP="00A16314">
      <w:r>
        <w:t>Porter, M. E. (1985)</w:t>
      </w:r>
      <w:r w:rsidR="00FD7411">
        <w:t xml:space="preserve"> </w:t>
      </w:r>
      <w:r w:rsidR="00FD7411">
        <w:rPr>
          <w:i/>
          <w:iCs/>
        </w:rPr>
        <w:t xml:space="preserve">Competitive Advantage: Creating and Sustaining Superior Performance. </w:t>
      </w:r>
      <w:r w:rsidR="00FD7411">
        <w:t>New York: Free Press</w:t>
      </w:r>
    </w:p>
    <w:p w14:paraId="15F6D11F" w14:textId="77777777" w:rsidR="00FD7411" w:rsidRDefault="00FD7411" w:rsidP="00F717FC">
      <w:pPr>
        <w:spacing w:line="600" w:lineRule="auto"/>
        <w:jc w:val="both"/>
      </w:pPr>
    </w:p>
    <w:p w14:paraId="6DD91383" w14:textId="6000B399" w:rsidR="00F717FC" w:rsidRDefault="00F717FC" w:rsidP="00F717FC">
      <w:pPr>
        <w:spacing w:line="600" w:lineRule="auto"/>
        <w:jc w:val="both"/>
      </w:pPr>
      <w:r>
        <w:t xml:space="preserve">Porter, M (2008) </w:t>
      </w:r>
      <w:r w:rsidRPr="00CE3963">
        <w:rPr>
          <w:i/>
          <w:iCs/>
        </w:rPr>
        <w:t>The Five Competitive Forces that Shape Strategy</w:t>
      </w:r>
      <w:r>
        <w:t xml:space="preserve">. </w:t>
      </w:r>
      <w:r w:rsidRPr="00854BDC">
        <w:rPr>
          <w:i/>
          <w:iCs/>
        </w:rPr>
        <w:t>Harvard Business Review</w:t>
      </w:r>
      <w:r>
        <w:t>. [Online] Available</w:t>
      </w:r>
      <w:r w:rsidR="00D10845">
        <w:t xml:space="preserve"> </w:t>
      </w:r>
      <w:r>
        <w:t xml:space="preserve">at: </w:t>
      </w:r>
      <w:bookmarkStart w:id="37" w:name="_Hlk25525008"/>
      <w:r w:rsidR="00D10845" w:rsidRPr="00D10845">
        <w:t xml:space="preserve">https://moodle.uwtsd.ac.uk/pluginfile.php/37341/mod_resource/content/1/The%20Five%20Forces%20that%20Shape%20Strategy.pdf </w:t>
      </w:r>
      <w:r w:rsidR="00D10845">
        <w:t>[</w:t>
      </w:r>
      <w:r>
        <w:t xml:space="preserve">Accessed </w:t>
      </w:r>
      <w:r w:rsidR="00D10845">
        <w:t>09 December 2020</w:t>
      </w:r>
      <w:bookmarkEnd w:id="37"/>
      <w:r w:rsidR="00D10845">
        <w:t>]</w:t>
      </w:r>
    </w:p>
    <w:p w14:paraId="5DA43D81" w14:textId="402F23AB" w:rsidR="009428F4" w:rsidRPr="00025C97" w:rsidRDefault="00636F9E" w:rsidP="00A16314">
      <w:r>
        <w:tab/>
      </w:r>
    </w:p>
    <w:p w14:paraId="7A4A5DBF" w14:textId="0B33935A" w:rsidR="00A16314" w:rsidRDefault="00A16314" w:rsidP="00A16314">
      <w:r>
        <w:lastRenderedPageBreak/>
        <w:t>RSE (2020</w:t>
      </w:r>
      <w:r w:rsidR="002A0A53">
        <w:t>a</w:t>
      </w:r>
      <w:r w:rsidR="00E10BC4">
        <w:t>)</w:t>
      </w:r>
      <w:r>
        <w:t xml:space="preserve">. </w:t>
      </w:r>
      <w:r>
        <w:rPr>
          <w:i/>
          <w:iCs/>
        </w:rPr>
        <w:t xml:space="preserve">RSE Announce second major UK acquisition </w:t>
      </w:r>
      <w:r w:rsidR="00AA3005">
        <w:t xml:space="preserve">[Online]. (Last updated 5 March 2020). Available at: </w:t>
      </w:r>
      <w:hyperlink r:id="rId23" w:history="1">
        <w:r w:rsidR="00866D9B">
          <w:rPr>
            <w:rStyle w:val="Hyperlink"/>
          </w:rPr>
          <w:t>RSE Announce Second Major UK Acquisition - Ross-shire Engineering (ross-eng.com)</w:t>
        </w:r>
      </w:hyperlink>
      <w:r w:rsidR="00866D9B">
        <w:t xml:space="preserve"> [Accessed 01 December 2020]</w:t>
      </w:r>
    </w:p>
    <w:p w14:paraId="2EF984F2" w14:textId="77777777" w:rsidR="002A0A53" w:rsidRDefault="002A0A53" w:rsidP="002A0A53"/>
    <w:p w14:paraId="7E6887ED" w14:textId="606C1F4C" w:rsidR="002A0A53" w:rsidRPr="00330E98" w:rsidRDefault="002A0A53" w:rsidP="002A0A53">
      <w:r>
        <w:t xml:space="preserve">RSE (2020b). </w:t>
      </w:r>
      <w:r>
        <w:rPr>
          <w:i/>
          <w:iCs/>
        </w:rPr>
        <w:t xml:space="preserve">RSE Group. </w:t>
      </w:r>
      <w:r>
        <w:t xml:space="preserve">[Online]. (Last updated 12 November 2020). Available at: </w:t>
      </w:r>
      <w:hyperlink r:id="rId24" w:history="1">
        <w:r>
          <w:rPr>
            <w:rStyle w:val="Hyperlink"/>
          </w:rPr>
          <w:t>RSE Group - Ross-shire Engineering (ross-eng.com)</w:t>
        </w:r>
      </w:hyperlink>
      <w:r>
        <w:t xml:space="preserve"> [Accessed 09 December 2020].</w:t>
      </w:r>
    </w:p>
    <w:p w14:paraId="2334E237" w14:textId="77777777" w:rsidR="00085E4D" w:rsidRDefault="00085E4D" w:rsidP="00085E4D">
      <w:pPr>
        <w:spacing w:line="600" w:lineRule="auto"/>
        <w:jc w:val="both"/>
      </w:pPr>
    </w:p>
    <w:p w14:paraId="73E22EBC" w14:textId="32BD89D0" w:rsidR="002F5DDF" w:rsidRDefault="002F5DDF" w:rsidP="00085E4D">
      <w:pPr>
        <w:spacing w:line="600" w:lineRule="auto"/>
        <w:jc w:val="both"/>
      </w:pPr>
      <w:r>
        <w:t>United Nations (2019) Department of Economic and Social Affairs Population Dynamics [Online] Available at</w:t>
      </w:r>
      <w:r w:rsidRPr="00835AAE">
        <w:t xml:space="preserve">: </w:t>
      </w:r>
      <w:hyperlink r:id="rId25" w:history="1">
        <w:r w:rsidRPr="003E5370">
          <w:rPr>
            <w:rStyle w:val="Hyperlink"/>
          </w:rPr>
          <w:t>https://population.un.org/wpp/</w:t>
        </w:r>
      </w:hyperlink>
      <w:r>
        <w:t xml:space="preserve"> </w:t>
      </w:r>
      <w:r w:rsidR="00D21F4A">
        <w:t>[</w:t>
      </w:r>
      <w:r>
        <w:t xml:space="preserve">Accessed </w:t>
      </w:r>
      <w:r w:rsidR="008353C7">
        <w:t>01</w:t>
      </w:r>
      <w:r w:rsidR="00D21F4A">
        <w:t xml:space="preserve"> December </w:t>
      </w:r>
      <w:r>
        <w:t>2020</w:t>
      </w:r>
      <w:r w:rsidR="00D21F4A">
        <w:t>]</w:t>
      </w:r>
    </w:p>
    <w:p w14:paraId="2C5CD0B2" w14:textId="77777777" w:rsidR="00D563D9" w:rsidRDefault="00D563D9" w:rsidP="00085E4D">
      <w:pPr>
        <w:spacing w:line="600" w:lineRule="auto"/>
        <w:jc w:val="both"/>
      </w:pPr>
    </w:p>
    <w:p w14:paraId="275D74DD" w14:textId="08BA12DC" w:rsidR="00E71E14" w:rsidRPr="0021273C" w:rsidRDefault="00E71E14" w:rsidP="00085E4D">
      <w:pPr>
        <w:spacing w:line="600" w:lineRule="auto"/>
        <w:jc w:val="both"/>
      </w:pPr>
      <w:r>
        <w:t xml:space="preserve">Van </w:t>
      </w:r>
      <w:proofErr w:type="spellStart"/>
      <w:r>
        <w:t>Dierendonck</w:t>
      </w:r>
      <w:proofErr w:type="spellEnd"/>
      <w:r>
        <w:t>, D. (</w:t>
      </w:r>
      <w:r w:rsidR="0021273C">
        <w:t xml:space="preserve">2010). </w:t>
      </w:r>
      <w:r w:rsidR="0021273C">
        <w:rPr>
          <w:i/>
          <w:iCs/>
        </w:rPr>
        <w:t xml:space="preserve">Servant Leadership: A Review and Synthesis. </w:t>
      </w:r>
      <w:r w:rsidR="0021273C">
        <w:t>Journal of Management</w:t>
      </w:r>
      <w:r w:rsidR="009479E5">
        <w:t xml:space="preserve">. Volume 37 (4) pp. 1228 – 1261. </w:t>
      </w:r>
    </w:p>
    <w:p w14:paraId="76B1B6A0" w14:textId="6FD4F4D3" w:rsidR="00D03F8B" w:rsidRDefault="00D03F8B" w:rsidP="00A16314">
      <w:pPr>
        <w:rPr>
          <w:rStyle w:val="Hyperlink"/>
        </w:rPr>
      </w:pPr>
    </w:p>
    <w:p w14:paraId="08E3BD3A" w14:textId="05BB0CF0" w:rsidR="00E10BC4" w:rsidRDefault="00E10BC4" w:rsidP="00E10BC4">
      <w:proofErr w:type="spellStart"/>
      <w:r>
        <w:t>WaterBriefing</w:t>
      </w:r>
      <w:proofErr w:type="spellEnd"/>
      <w:r>
        <w:t xml:space="preserve"> (2019</w:t>
      </w:r>
      <w:r w:rsidR="00D51850">
        <w:t>a</w:t>
      </w:r>
      <w:r>
        <w:t xml:space="preserve">). </w:t>
      </w:r>
      <w:r w:rsidR="00241CBA">
        <w:rPr>
          <w:i/>
          <w:iCs/>
        </w:rPr>
        <w:t xml:space="preserve">Ofwat provides early notice of concerns with 2020-25 AMP7 efficiency for four water companies. </w:t>
      </w:r>
      <w:r w:rsidR="0056461E">
        <w:t>[Online]. (Last updated 04 July 2019). Available at:</w:t>
      </w:r>
      <w:r w:rsidR="00D03F8B">
        <w:t xml:space="preserve"> </w:t>
      </w:r>
      <w:hyperlink r:id="rId26" w:history="1">
        <w:r w:rsidR="00D03F8B">
          <w:rPr>
            <w:rStyle w:val="Hyperlink"/>
          </w:rPr>
          <w:t>Ofwat provides early notice of concerns with 2020-25 AMP7 efficiency for four water companies (waterbriefing.org)</w:t>
        </w:r>
      </w:hyperlink>
      <w:r w:rsidR="00D03F8B">
        <w:t xml:space="preserve"> [Accessed 01 December 2020</w:t>
      </w:r>
      <w:r w:rsidR="002B1D81">
        <w:t xml:space="preserve">]. </w:t>
      </w:r>
    </w:p>
    <w:p w14:paraId="73EC0BD5" w14:textId="77777777" w:rsidR="00840002" w:rsidRDefault="00840002" w:rsidP="00E10BC4"/>
    <w:p w14:paraId="67F979EC" w14:textId="1E142423" w:rsidR="00D51850" w:rsidRDefault="00D51850" w:rsidP="00D51850">
      <w:proofErr w:type="spellStart"/>
      <w:r>
        <w:t>WaterBriefing</w:t>
      </w:r>
      <w:proofErr w:type="spellEnd"/>
      <w:r>
        <w:t xml:space="preserve"> (2019b). </w:t>
      </w:r>
      <w:r w:rsidR="00D22513">
        <w:rPr>
          <w:i/>
          <w:iCs/>
        </w:rPr>
        <w:t xml:space="preserve">Wessex Water invites contractors and consultants to register </w:t>
      </w:r>
      <w:r w:rsidR="00121B75">
        <w:rPr>
          <w:i/>
          <w:iCs/>
        </w:rPr>
        <w:t xml:space="preserve">for AMP7 work opportunities </w:t>
      </w:r>
      <w:r>
        <w:t xml:space="preserve">[Online]. (Last updated </w:t>
      </w:r>
      <w:r w:rsidR="00121B75">
        <w:t>18 December</w:t>
      </w:r>
      <w:r>
        <w:t xml:space="preserve"> 2019). Available at: </w:t>
      </w:r>
      <w:hyperlink r:id="rId27" w:history="1">
        <w:r w:rsidR="00840002">
          <w:rPr>
            <w:rStyle w:val="Hyperlink"/>
          </w:rPr>
          <w:t>Wessex Water invites contractors and consultants to register for AMP7 work opportunities (waterbriefing.org)</w:t>
        </w:r>
      </w:hyperlink>
      <w:r w:rsidR="00840002">
        <w:t xml:space="preserve"> </w:t>
      </w:r>
      <w:r>
        <w:t xml:space="preserve">[Accessed </w:t>
      </w:r>
      <w:r w:rsidR="00840002">
        <w:t>06</w:t>
      </w:r>
      <w:r>
        <w:t xml:space="preserve"> December 2020]. </w:t>
      </w:r>
    </w:p>
    <w:p w14:paraId="50733862" w14:textId="77777777" w:rsidR="00E860B1" w:rsidRDefault="00E860B1" w:rsidP="00E10BC4"/>
    <w:p w14:paraId="6136368C" w14:textId="203A515D" w:rsidR="00085E4D" w:rsidRDefault="00C00529" w:rsidP="00E10BC4">
      <w:r>
        <w:t>Waterman, R.</w:t>
      </w:r>
      <w:r w:rsidR="00B52906">
        <w:t xml:space="preserve">, Peters, T., and Phillips, J. </w:t>
      </w:r>
      <w:r w:rsidR="00046AF4">
        <w:t>(19</w:t>
      </w:r>
      <w:r w:rsidR="00EA7282">
        <w:t>80)</w:t>
      </w:r>
      <w:r w:rsidR="00E860B1">
        <w:t xml:space="preserve"> </w:t>
      </w:r>
      <w:r w:rsidR="00B52906">
        <w:rPr>
          <w:i/>
          <w:iCs/>
        </w:rPr>
        <w:t>Structure is not organisation</w:t>
      </w:r>
      <w:r w:rsidR="00913B70">
        <w:rPr>
          <w:i/>
          <w:iCs/>
        </w:rPr>
        <w:t xml:space="preserve">, </w:t>
      </w:r>
      <w:r w:rsidR="00913B70">
        <w:t>Business Horizons</w:t>
      </w:r>
      <w:r w:rsidR="00EA7282">
        <w:t xml:space="preserve">. Volume 23 (3) pp. 14 – 26. </w:t>
      </w:r>
    </w:p>
    <w:p w14:paraId="78501188" w14:textId="77777777" w:rsidR="00D563D9" w:rsidRPr="00913B70" w:rsidRDefault="00D563D9" w:rsidP="00E10BC4"/>
    <w:p w14:paraId="09995CBF" w14:textId="36B73A0D" w:rsidR="002B1D81" w:rsidRDefault="000914C5" w:rsidP="00E10BC4">
      <w:r>
        <w:t xml:space="preserve">Wessex Water (2019). </w:t>
      </w:r>
      <w:r w:rsidR="009D7D2D">
        <w:rPr>
          <w:i/>
          <w:iCs/>
        </w:rPr>
        <w:t>Business Plan 2020 – 2025.</w:t>
      </w:r>
      <w:r w:rsidR="00B23129">
        <w:t xml:space="preserve"> [Online]. (Last Updated January 2020)</w:t>
      </w:r>
      <w:r w:rsidR="00965CDE">
        <w:t xml:space="preserve">. Available at: </w:t>
      </w:r>
      <w:hyperlink r:id="rId28" w:history="1">
        <w:r w:rsidR="00965CDE" w:rsidRPr="000B5313">
          <w:rPr>
            <w:rStyle w:val="Hyperlink"/>
          </w:rPr>
          <w:t>https://www.wessexwater.co.uk/corporate/strategy-and-reports/business-plan-2020</w:t>
        </w:r>
      </w:hyperlink>
      <w:r w:rsidR="00965CDE">
        <w:t xml:space="preserve"> </w:t>
      </w:r>
      <w:r w:rsidR="00085E4D">
        <w:t>[Accessed 26 November 2020].</w:t>
      </w:r>
    </w:p>
    <w:p w14:paraId="2E3AC8E9" w14:textId="77777777" w:rsidR="00D563D9" w:rsidRDefault="00D563D9" w:rsidP="00E10BC4"/>
    <w:p w14:paraId="0BF438AE" w14:textId="2A134F50" w:rsidR="00AA38BB" w:rsidRDefault="00E41C35" w:rsidP="00E10BC4">
      <w:proofErr w:type="spellStart"/>
      <w:r>
        <w:t>Yunna</w:t>
      </w:r>
      <w:proofErr w:type="spellEnd"/>
      <w:r>
        <w:t xml:space="preserve">, W. and </w:t>
      </w:r>
      <w:proofErr w:type="spellStart"/>
      <w:r>
        <w:t>Yisheng</w:t>
      </w:r>
      <w:proofErr w:type="spellEnd"/>
      <w:r>
        <w:t>, Y. (2014)</w:t>
      </w:r>
      <w:r w:rsidR="008C43ED">
        <w:t xml:space="preserve"> </w:t>
      </w:r>
      <w:r w:rsidR="008C43ED">
        <w:rPr>
          <w:i/>
          <w:iCs/>
        </w:rPr>
        <w:t xml:space="preserve">The competition situation analysis of shale gas industry in China: </w:t>
      </w:r>
      <w:r w:rsidR="005D34F7">
        <w:rPr>
          <w:i/>
          <w:iCs/>
        </w:rPr>
        <w:t>Applying Porters five forces and scenario model</w:t>
      </w:r>
      <w:r w:rsidR="005D34F7">
        <w:t xml:space="preserve">. </w:t>
      </w:r>
      <w:r w:rsidR="00E339DB">
        <w:t>Renewable and Sustainability Energy Reviews</w:t>
      </w:r>
      <w:r w:rsidR="004A3B14">
        <w:t>. Volume 40 pp. 795 – 805.</w:t>
      </w:r>
    </w:p>
    <w:p w14:paraId="41D66915" w14:textId="77777777" w:rsidR="005B6D0D" w:rsidRDefault="005B6D0D" w:rsidP="00E10BC4"/>
    <w:p w14:paraId="2474FA06" w14:textId="063BC53C" w:rsidR="00B554FC" w:rsidRDefault="00200E4E" w:rsidP="00E10BC4">
      <w:r>
        <w:t xml:space="preserve">Wilson, P. and Bates, S. (2003). </w:t>
      </w:r>
      <w:r w:rsidR="00A95AAE">
        <w:rPr>
          <w:i/>
          <w:iCs/>
        </w:rPr>
        <w:t xml:space="preserve">The essential guide to managing small business growth. </w:t>
      </w:r>
      <w:r w:rsidR="005B6D0D">
        <w:t xml:space="preserve">Chichester: J. Wiley and Sons </w:t>
      </w:r>
    </w:p>
    <w:p w14:paraId="3E0A3EAD" w14:textId="77777777" w:rsidR="005B6D0D" w:rsidRPr="00A95AAE" w:rsidRDefault="005B6D0D" w:rsidP="00E10BC4"/>
    <w:p w14:paraId="5F430917" w14:textId="1F51B8DA" w:rsidR="00B554FC" w:rsidRDefault="00B554FC" w:rsidP="00E10BC4">
      <w:proofErr w:type="spellStart"/>
      <w:r>
        <w:t>Zehle</w:t>
      </w:r>
      <w:proofErr w:type="spellEnd"/>
      <w:r>
        <w:t xml:space="preserve">, S. and Friend, G. (2008) </w:t>
      </w:r>
      <w:r w:rsidR="0050078D">
        <w:rPr>
          <w:i/>
          <w:iCs/>
        </w:rPr>
        <w:t>Guide</w:t>
      </w:r>
      <w:r>
        <w:rPr>
          <w:i/>
          <w:iCs/>
        </w:rPr>
        <w:t xml:space="preserve"> to Business Planning</w:t>
      </w:r>
      <w:r w:rsidR="00FD3A43">
        <w:t xml:space="preserve">. London: Economist Books </w:t>
      </w:r>
    </w:p>
    <w:p w14:paraId="1D2D474F" w14:textId="77777777" w:rsidR="00D563D9" w:rsidRDefault="00D563D9" w:rsidP="00E10BC4"/>
    <w:p w14:paraId="122EEA24" w14:textId="6E955C04" w:rsidR="00F70D36" w:rsidRPr="00F70D36" w:rsidRDefault="00F70D36" w:rsidP="00F70D36">
      <w:r>
        <w:t xml:space="preserve">Zook, C and Allen, J (2011) </w:t>
      </w:r>
      <w:r>
        <w:rPr>
          <w:i/>
          <w:iCs/>
        </w:rPr>
        <w:t xml:space="preserve">The Great Repeatable Business Model. </w:t>
      </w:r>
      <w:r>
        <w:t xml:space="preserve">Harvard Business Review [Online]. Available at: </w:t>
      </w:r>
      <w:hyperlink r:id="rId29" w:history="1">
        <w:r w:rsidR="00CA22B3" w:rsidRPr="000B5313">
          <w:rPr>
            <w:rStyle w:val="Hyperlink"/>
          </w:rPr>
          <w:t>https://moodle.uwtsd.ac.uk/pluginfile.php/37376/mod_resource/content/1/DIFFERENTIATION%20hbr-repeatable-business-model.pdf</w:t>
        </w:r>
      </w:hyperlink>
      <w:r w:rsidR="00CA22B3">
        <w:t xml:space="preserve"> [Accessed 11 December 2020]</w:t>
      </w:r>
    </w:p>
    <w:sectPr w:rsidR="00F70D36" w:rsidRPr="00F70D36" w:rsidSect="00556C99">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93DFC9" w14:textId="77777777" w:rsidR="005138CE" w:rsidRDefault="005138CE" w:rsidP="00AA38BB">
      <w:pPr>
        <w:spacing w:line="240" w:lineRule="auto"/>
      </w:pPr>
      <w:r>
        <w:separator/>
      </w:r>
    </w:p>
  </w:endnote>
  <w:endnote w:type="continuationSeparator" w:id="0">
    <w:p w14:paraId="2AC6BC88" w14:textId="77777777" w:rsidR="005138CE" w:rsidRDefault="005138CE" w:rsidP="00AA38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entury Gothic">
    <w:panose1 w:val="020B0502020202020204"/>
    <w:charset w:val="00"/>
    <w:family w:val="swiss"/>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78196543"/>
      <w:docPartObj>
        <w:docPartGallery w:val="Page Numbers (Bottom of Page)"/>
        <w:docPartUnique/>
      </w:docPartObj>
    </w:sdtPr>
    <w:sdtEndPr>
      <w:rPr>
        <w:noProof/>
      </w:rPr>
    </w:sdtEndPr>
    <w:sdtContent>
      <w:p w14:paraId="13AF4DFB" w14:textId="483CA4E5" w:rsidR="00D563D9" w:rsidRDefault="00D563D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8C7524" w14:textId="77777777" w:rsidR="00D563D9" w:rsidRDefault="00D563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2055F6" w14:textId="77777777" w:rsidR="005138CE" w:rsidRDefault="005138CE" w:rsidP="00AA38BB">
      <w:pPr>
        <w:spacing w:line="240" w:lineRule="auto"/>
      </w:pPr>
      <w:r>
        <w:separator/>
      </w:r>
    </w:p>
  </w:footnote>
  <w:footnote w:type="continuationSeparator" w:id="0">
    <w:p w14:paraId="4D308BF1" w14:textId="77777777" w:rsidR="005138CE" w:rsidRDefault="005138CE" w:rsidP="00AA38B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83342F"/>
    <w:multiLevelType w:val="hybridMultilevel"/>
    <w:tmpl w:val="744877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0DA3E21"/>
    <w:multiLevelType w:val="hybridMultilevel"/>
    <w:tmpl w:val="88E8AD5E"/>
    <w:lvl w:ilvl="0" w:tplc="5BBCC0BA">
      <w:start w:val="1"/>
      <w:numFmt w:val="bullet"/>
      <w:lvlText w:val=""/>
      <w:lvlJc w:val="left"/>
      <w:pPr>
        <w:tabs>
          <w:tab w:val="num" w:pos="720"/>
        </w:tabs>
        <w:ind w:left="720" w:hanging="360"/>
      </w:pPr>
      <w:rPr>
        <w:rFonts w:ascii="Symbol" w:hAnsi="Symbol" w:hint="default"/>
      </w:rPr>
    </w:lvl>
    <w:lvl w:ilvl="1" w:tplc="2AFA107A" w:tentative="1">
      <w:start w:val="1"/>
      <w:numFmt w:val="bullet"/>
      <w:lvlText w:val=""/>
      <w:lvlJc w:val="left"/>
      <w:pPr>
        <w:tabs>
          <w:tab w:val="num" w:pos="1440"/>
        </w:tabs>
        <w:ind w:left="1440" w:hanging="360"/>
      </w:pPr>
      <w:rPr>
        <w:rFonts w:ascii="Symbol" w:hAnsi="Symbol" w:hint="default"/>
      </w:rPr>
    </w:lvl>
    <w:lvl w:ilvl="2" w:tplc="8EDE71A8" w:tentative="1">
      <w:start w:val="1"/>
      <w:numFmt w:val="bullet"/>
      <w:lvlText w:val=""/>
      <w:lvlJc w:val="left"/>
      <w:pPr>
        <w:tabs>
          <w:tab w:val="num" w:pos="2160"/>
        </w:tabs>
        <w:ind w:left="2160" w:hanging="360"/>
      </w:pPr>
      <w:rPr>
        <w:rFonts w:ascii="Symbol" w:hAnsi="Symbol" w:hint="default"/>
      </w:rPr>
    </w:lvl>
    <w:lvl w:ilvl="3" w:tplc="9C0C1840" w:tentative="1">
      <w:start w:val="1"/>
      <w:numFmt w:val="bullet"/>
      <w:lvlText w:val=""/>
      <w:lvlJc w:val="left"/>
      <w:pPr>
        <w:tabs>
          <w:tab w:val="num" w:pos="2880"/>
        </w:tabs>
        <w:ind w:left="2880" w:hanging="360"/>
      </w:pPr>
      <w:rPr>
        <w:rFonts w:ascii="Symbol" w:hAnsi="Symbol" w:hint="default"/>
      </w:rPr>
    </w:lvl>
    <w:lvl w:ilvl="4" w:tplc="D5022672" w:tentative="1">
      <w:start w:val="1"/>
      <w:numFmt w:val="bullet"/>
      <w:lvlText w:val=""/>
      <w:lvlJc w:val="left"/>
      <w:pPr>
        <w:tabs>
          <w:tab w:val="num" w:pos="3600"/>
        </w:tabs>
        <w:ind w:left="3600" w:hanging="360"/>
      </w:pPr>
      <w:rPr>
        <w:rFonts w:ascii="Symbol" w:hAnsi="Symbol" w:hint="default"/>
      </w:rPr>
    </w:lvl>
    <w:lvl w:ilvl="5" w:tplc="2C00892A" w:tentative="1">
      <w:start w:val="1"/>
      <w:numFmt w:val="bullet"/>
      <w:lvlText w:val=""/>
      <w:lvlJc w:val="left"/>
      <w:pPr>
        <w:tabs>
          <w:tab w:val="num" w:pos="4320"/>
        </w:tabs>
        <w:ind w:left="4320" w:hanging="360"/>
      </w:pPr>
      <w:rPr>
        <w:rFonts w:ascii="Symbol" w:hAnsi="Symbol" w:hint="default"/>
      </w:rPr>
    </w:lvl>
    <w:lvl w:ilvl="6" w:tplc="98C68E68" w:tentative="1">
      <w:start w:val="1"/>
      <w:numFmt w:val="bullet"/>
      <w:lvlText w:val=""/>
      <w:lvlJc w:val="left"/>
      <w:pPr>
        <w:tabs>
          <w:tab w:val="num" w:pos="5040"/>
        </w:tabs>
        <w:ind w:left="5040" w:hanging="360"/>
      </w:pPr>
      <w:rPr>
        <w:rFonts w:ascii="Symbol" w:hAnsi="Symbol" w:hint="default"/>
      </w:rPr>
    </w:lvl>
    <w:lvl w:ilvl="7" w:tplc="C916C972" w:tentative="1">
      <w:start w:val="1"/>
      <w:numFmt w:val="bullet"/>
      <w:lvlText w:val=""/>
      <w:lvlJc w:val="left"/>
      <w:pPr>
        <w:tabs>
          <w:tab w:val="num" w:pos="5760"/>
        </w:tabs>
        <w:ind w:left="5760" w:hanging="360"/>
      </w:pPr>
      <w:rPr>
        <w:rFonts w:ascii="Symbol" w:hAnsi="Symbol" w:hint="default"/>
      </w:rPr>
    </w:lvl>
    <w:lvl w:ilvl="8" w:tplc="B7DAB548"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2AC74CA8"/>
    <w:multiLevelType w:val="hybridMultilevel"/>
    <w:tmpl w:val="3B9417BC"/>
    <w:lvl w:ilvl="0" w:tplc="D52A29AA">
      <w:start w:val="1"/>
      <w:numFmt w:val="bullet"/>
      <w:lvlText w:val=""/>
      <w:lvlJc w:val="left"/>
      <w:pPr>
        <w:tabs>
          <w:tab w:val="num" w:pos="720"/>
        </w:tabs>
        <w:ind w:left="720" w:hanging="360"/>
      </w:pPr>
      <w:rPr>
        <w:rFonts w:ascii="Symbol" w:hAnsi="Symbol" w:hint="default"/>
      </w:rPr>
    </w:lvl>
    <w:lvl w:ilvl="1" w:tplc="C72EDE5E" w:tentative="1">
      <w:start w:val="1"/>
      <w:numFmt w:val="bullet"/>
      <w:lvlText w:val=""/>
      <w:lvlJc w:val="left"/>
      <w:pPr>
        <w:tabs>
          <w:tab w:val="num" w:pos="1440"/>
        </w:tabs>
        <w:ind w:left="1440" w:hanging="360"/>
      </w:pPr>
      <w:rPr>
        <w:rFonts w:ascii="Symbol" w:hAnsi="Symbol" w:hint="default"/>
      </w:rPr>
    </w:lvl>
    <w:lvl w:ilvl="2" w:tplc="701094B4" w:tentative="1">
      <w:start w:val="1"/>
      <w:numFmt w:val="bullet"/>
      <w:lvlText w:val=""/>
      <w:lvlJc w:val="left"/>
      <w:pPr>
        <w:tabs>
          <w:tab w:val="num" w:pos="2160"/>
        </w:tabs>
        <w:ind w:left="2160" w:hanging="360"/>
      </w:pPr>
      <w:rPr>
        <w:rFonts w:ascii="Symbol" w:hAnsi="Symbol" w:hint="default"/>
      </w:rPr>
    </w:lvl>
    <w:lvl w:ilvl="3" w:tplc="4D6EF71A" w:tentative="1">
      <w:start w:val="1"/>
      <w:numFmt w:val="bullet"/>
      <w:lvlText w:val=""/>
      <w:lvlJc w:val="left"/>
      <w:pPr>
        <w:tabs>
          <w:tab w:val="num" w:pos="2880"/>
        </w:tabs>
        <w:ind w:left="2880" w:hanging="360"/>
      </w:pPr>
      <w:rPr>
        <w:rFonts w:ascii="Symbol" w:hAnsi="Symbol" w:hint="default"/>
      </w:rPr>
    </w:lvl>
    <w:lvl w:ilvl="4" w:tplc="3F96B152" w:tentative="1">
      <w:start w:val="1"/>
      <w:numFmt w:val="bullet"/>
      <w:lvlText w:val=""/>
      <w:lvlJc w:val="left"/>
      <w:pPr>
        <w:tabs>
          <w:tab w:val="num" w:pos="3600"/>
        </w:tabs>
        <w:ind w:left="3600" w:hanging="360"/>
      </w:pPr>
      <w:rPr>
        <w:rFonts w:ascii="Symbol" w:hAnsi="Symbol" w:hint="default"/>
      </w:rPr>
    </w:lvl>
    <w:lvl w:ilvl="5" w:tplc="0B30A3DA" w:tentative="1">
      <w:start w:val="1"/>
      <w:numFmt w:val="bullet"/>
      <w:lvlText w:val=""/>
      <w:lvlJc w:val="left"/>
      <w:pPr>
        <w:tabs>
          <w:tab w:val="num" w:pos="4320"/>
        </w:tabs>
        <w:ind w:left="4320" w:hanging="360"/>
      </w:pPr>
      <w:rPr>
        <w:rFonts w:ascii="Symbol" w:hAnsi="Symbol" w:hint="default"/>
      </w:rPr>
    </w:lvl>
    <w:lvl w:ilvl="6" w:tplc="5384453A" w:tentative="1">
      <w:start w:val="1"/>
      <w:numFmt w:val="bullet"/>
      <w:lvlText w:val=""/>
      <w:lvlJc w:val="left"/>
      <w:pPr>
        <w:tabs>
          <w:tab w:val="num" w:pos="5040"/>
        </w:tabs>
        <w:ind w:left="5040" w:hanging="360"/>
      </w:pPr>
      <w:rPr>
        <w:rFonts w:ascii="Symbol" w:hAnsi="Symbol" w:hint="default"/>
      </w:rPr>
    </w:lvl>
    <w:lvl w:ilvl="7" w:tplc="55BC5EF8" w:tentative="1">
      <w:start w:val="1"/>
      <w:numFmt w:val="bullet"/>
      <w:lvlText w:val=""/>
      <w:lvlJc w:val="left"/>
      <w:pPr>
        <w:tabs>
          <w:tab w:val="num" w:pos="5760"/>
        </w:tabs>
        <w:ind w:left="5760" w:hanging="360"/>
      </w:pPr>
      <w:rPr>
        <w:rFonts w:ascii="Symbol" w:hAnsi="Symbol" w:hint="default"/>
      </w:rPr>
    </w:lvl>
    <w:lvl w:ilvl="8" w:tplc="B40CA35C"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3042054A"/>
    <w:multiLevelType w:val="hybridMultilevel"/>
    <w:tmpl w:val="690682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4DC70DD1"/>
    <w:multiLevelType w:val="hybridMultilevel"/>
    <w:tmpl w:val="85AA44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61956AFB"/>
    <w:multiLevelType w:val="hybridMultilevel"/>
    <w:tmpl w:val="DF320E5C"/>
    <w:lvl w:ilvl="0" w:tplc="256025A6">
      <w:start w:val="1"/>
      <w:numFmt w:val="bullet"/>
      <w:lvlText w:val=""/>
      <w:lvlJc w:val="left"/>
      <w:pPr>
        <w:tabs>
          <w:tab w:val="num" w:pos="720"/>
        </w:tabs>
        <w:ind w:left="720" w:hanging="360"/>
      </w:pPr>
      <w:rPr>
        <w:rFonts w:ascii="Symbol" w:hAnsi="Symbol" w:hint="default"/>
      </w:rPr>
    </w:lvl>
    <w:lvl w:ilvl="1" w:tplc="CFF69D2C" w:tentative="1">
      <w:start w:val="1"/>
      <w:numFmt w:val="bullet"/>
      <w:lvlText w:val=""/>
      <w:lvlJc w:val="left"/>
      <w:pPr>
        <w:tabs>
          <w:tab w:val="num" w:pos="1440"/>
        </w:tabs>
        <w:ind w:left="1440" w:hanging="360"/>
      </w:pPr>
      <w:rPr>
        <w:rFonts w:ascii="Symbol" w:hAnsi="Symbol" w:hint="default"/>
      </w:rPr>
    </w:lvl>
    <w:lvl w:ilvl="2" w:tplc="2B002222" w:tentative="1">
      <w:start w:val="1"/>
      <w:numFmt w:val="bullet"/>
      <w:lvlText w:val=""/>
      <w:lvlJc w:val="left"/>
      <w:pPr>
        <w:tabs>
          <w:tab w:val="num" w:pos="2160"/>
        </w:tabs>
        <w:ind w:left="2160" w:hanging="360"/>
      </w:pPr>
      <w:rPr>
        <w:rFonts w:ascii="Symbol" w:hAnsi="Symbol" w:hint="default"/>
      </w:rPr>
    </w:lvl>
    <w:lvl w:ilvl="3" w:tplc="CC10346A" w:tentative="1">
      <w:start w:val="1"/>
      <w:numFmt w:val="bullet"/>
      <w:lvlText w:val=""/>
      <w:lvlJc w:val="left"/>
      <w:pPr>
        <w:tabs>
          <w:tab w:val="num" w:pos="2880"/>
        </w:tabs>
        <w:ind w:left="2880" w:hanging="360"/>
      </w:pPr>
      <w:rPr>
        <w:rFonts w:ascii="Symbol" w:hAnsi="Symbol" w:hint="default"/>
      </w:rPr>
    </w:lvl>
    <w:lvl w:ilvl="4" w:tplc="477230D4" w:tentative="1">
      <w:start w:val="1"/>
      <w:numFmt w:val="bullet"/>
      <w:lvlText w:val=""/>
      <w:lvlJc w:val="left"/>
      <w:pPr>
        <w:tabs>
          <w:tab w:val="num" w:pos="3600"/>
        </w:tabs>
        <w:ind w:left="3600" w:hanging="360"/>
      </w:pPr>
      <w:rPr>
        <w:rFonts w:ascii="Symbol" w:hAnsi="Symbol" w:hint="default"/>
      </w:rPr>
    </w:lvl>
    <w:lvl w:ilvl="5" w:tplc="A1B887B6" w:tentative="1">
      <w:start w:val="1"/>
      <w:numFmt w:val="bullet"/>
      <w:lvlText w:val=""/>
      <w:lvlJc w:val="left"/>
      <w:pPr>
        <w:tabs>
          <w:tab w:val="num" w:pos="4320"/>
        </w:tabs>
        <w:ind w:left="4320" w:hanging="360"/>
      </w:pPr>
      <w:rPr>
        <w:rFonts w:ascii="Symbol" w:hAnsi="Symbol" w:hint="default"/>
      </w:rPr>
    </w:lvl>
    <w:lvl w:ilvl="6" w:tplc="CC6CCE3C" w:tentative="1">
      <w:start w:val="1"/>
      <w:numFmt w:val="bullet"/>
      <w:lvlText w:val=""/>
      <w:lvlJc w:val="left"/>
      <w:pPr>
        <w:tabs>
          <w:tab w:val="num" w:pos="5040"/>
        </w:tabs>
        <w:ind w:left="5040" w:hanging="360"/>
      </w:pPr>
      <w:rPr>
        <w:rFonts w:ascii="Symbol" w:hAnsi="Symbol" w:hint="default"/>
      </w:rPr>
    </w:lvl>
    <w:lvl w:ilvl="7" w:tplc="7E3A0552" w:tentative="1">
      <w:start w:val="1"/>
      <w:numFmt w:val="bullet"/>
      <w:lvlText w:val=""/>
      <w:lvlJc w:val="left"/>
      <w:pPr>
        <w:tabs>
          <w:tab w:val="num" w:pos="5760"/>
        </w:tabs>
        <w:ind w:left="5760" w:hanging="360"/>
      </w:pPr>
      <w:rPr>
        <w:rFonts w:ascii="Symbol" w:hAnsi="Symbol" w:hint="default"/>
      </w:rPr>
    </w:lvl>
    <w:lvl w:ilvl="8" w:tplc="8F005DB0"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6AF33CA1"/>
    <w:multiLevelType w:val="hybridMultilevel"/>
    <w:tmpl w:val="41A4B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AF618B"/>
    <w:multiLevelType w:val="hybridMultilevel"/>
    <w:tmpl w:val="AE94E0C4"/>
    <w:lvl w:ilvl="0" w:tplc="75F602A4">
      <w:start w:val="1"/>
      <w:numFmt w:val="bullet"/>
      <w:lvlText w:val=""/>
      <w:lvlJc w:val="left"/>
      <w:pPr>
        <w:tabs>
          <w:tab w:val="num" w:pos="720"/>
        </w:tabs>
        <w:ind w:left="720" w:hanging="360"/>
      </w:pPr>
      <w:rPr>
        <w:rFonts w:ascii="Symbol" w:hAnsi="Symbol" w:hint="default"/>
      </w:rPr>
    </w:lvl>
    <w:lvl w:ilvl="1" w:tplc="B8E82CDE" w:tentative="1">
      <w:start w:val="1"/>
      <w:numFmt w:val="bullet"/>
      <w:lvlText w:val=""/>
      <w:lvlJc w:val="left"/>
      <w:pPr>
        <w:tabs>
          <w:tab w:val="num" w:pos="1440"/>
        </w:tabs>
        <w:ind w:left="1440" w:hanging="360"/>
      </w:pPr>
      <w:rPr>
        <w:rFonts w:ascii="Symbol" w:hAnsi="Symbol" w:hint="default"/>
      </w:rPr>
    </w:lvl>
    <w:lvl w:ilvl="2" w:tplc="AFFE442C" w:tentative="1">
      <w:start w:val="1"/>
      <w:numFmt w:val="bullet"/>
      <w:lvlText w:val=""/>
      <w:lvlJc w:val="left"/>
      <w:pPr>
        <w:tabs>
          <w:tab w:val="num" w:pos="2160"/>
        </w:tabs>
        <w:ind w:left="2160" w:hanging="360"/>
      </w:pPr>
      <w:rPr>
        <w:rFonts w:ascii="Symbol" w:hAnsi="Symbol" w:hint="default"/>
      </w:rPr>
    </w:lvl>
    <w:lvl w:ilvl="3" w:tplc="C2BAFD32" w:tentative="1">
      <w:start w:val="1"/>
      <w:numFmt w:val="bullet"/>
      <w:lvlText w:val=""/>
      <w:lvlJc w:val="left"/>
      <w:pPr>
        <w:tabs>
          <w:tab w:val="num" w:pos="2880"/>
        </w:tabs>
        <w:ind w:left="2880" w:hanging="360"/>
      </w:pPr>
      <w:rPr>
        <w:rFonts w:ascii="Symbol" w:hAnsi="Symbol" w:hint="default"/>
      </w:rPr>
    </w:lvl>
    <w:lvl w:ilvl="4" w:tplc="EB083BDA" w:tentative="1">
      <w:start w:val="1"/>
      <w:numFmt w:val="bullet"/>
      <w:lvlText w:val=""/>
      <w:lvlJc w:val="left"/>
      <w:pPr>
        <w:tabs>
          <w:tab w:val="num" w:pos="3600"/>
        </w:tabs>
        <w:ind w:left="3600" w:hanging="360"/>
      </w:pPr>
      <w:rPr>
        <w:rFonts w:ascii="Symbol" w:hAnsi="Symbol" w:hint="default"/>
      </w:rPr>
    </w:lvl>
    <w:lvl w:ilvl="5" w:tplc="99280FDE" w:tentative="1">
      <w:start w:val="1"/>
      <w:numFmt w:val="bullet"/>
      <w:lvlText w:val=""/>
      <w:lvlJc w:val="left"/>
      <w:pPr>
        <w:tabs>
          <w:tab w:val="num" w:pos="4320"/>
        </w:tabs>
        <w:ind w:left="4320" w:hanging="360"/>
      </w:pPr>
      <w:rPr>
        <w:rFonts w:ascii="Symbol" w:hAnsi="Symbol" w:hint="default"/>
      </w:rPr>
    </w:lvl>
    <w:lvl w:ilvl="6" w:tplc="32D6971C" w:tentative="1">
      <w:start w:val="1"/>
      <w:numFmt w:val="bullet"/>
      <w:lvlText w:val=""/>
      <w:lvlJc w:val="left"/>
      <w:pPr>
        <w:tabs>
          <w:tab w:val="num" w:pos="5040"/>
        </w:tabs>
        <w:ind w:left="5040" w:hanging="360"/>
      </w:pPr>
      <w:rPr>
        <w:rFonts w:ascii="Symbol" w:hAnsi="Symbol" w:hint="default"/>
      </w:rPr>
    </w:lvl>
    <w:lvl w:ilvl="7" w:tplc="93AA4B28" w:tentative="1">
      <w:start w:val="1"/>
      <w:numFmt w:val="bullet"/>
      <w:lvlText w:val=""/>
      <w:lvlJc w:val="left"/>
      <w:pPr>
        <w:tabs>
          <w:tab w:val="num" w:pos="5760"/>
        </w:tabs>
        <w:ind w:left="5760" w:hanging="360"/>
      </w:pPr>
      <w:rPr>
        <w:rFonts w:ascii="Symbol" w:hAnsi="Symbol" w:hint="default"/>
      </w:rPr>
    </w:lvl>
    <w:lvl w:ilvl="8" w:tplc="BC1857D2" w:tentative="1">
      <w:start w:val="1"/>
      <w:numFmt w:val="bullet"/>
      <w:lvlText w:val=""/>
      <w:lvlJc w:val="left"/>
      <w:pPr>
        <w:tabs>
          <w:tab w:val="num" w:pos="6480"/>
        </w:tabs>
        <w:ind w:left="6480" w:hanging="360"/>
      </w:pPr>
      <w:rPr>
        <w:rFonts w:ascii="Symbol" w:hAnsi="Symbol" w:hint="default"/>
      </w:rPr>
    </w:lvl>
  </w:abstractNum>
  <w:num w:numId="1">
    <w:abstractNumId w:val="7"/>
  </w:num>
  <w:num w:numId="2">
    <w:abstractNumId w:val="5"/>
  </w:num>
  <w:num w:numId="3">
    <w:abstractNumId w:val="2"/>
  </w:num>
  <w:num w:numId="4">
    <w:abstractNumId w:val="1"/>
  </w:num>
  <w:num w:numId="5">
    <w:abstractNumId w:val="0"/>
  </w:num>
  <w:num w:numId="6">
    <w:abstractNumId w:val="4"/>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C99"/>
    <w:rsid w:val="00000C65"/>
    <w:rsid w:val="00003398"/>
    <w:rsid w:val="000104E2"/>
    <w:rsid w:val="000132BA"/>
    <w:rsid w:val="00013316"/>
    <w:rsid w:val="00017705"/>
    <w:rsid w:val="000207CE"/>
    <w:rsid w:val="00022D08"/>
    <w:rsid w:val="000233F2"/>
    <w:rsid w:val="00023832"/>
    <w:rsid w:val="00024134"/>
    <w:rsid w:val="00025C97"/>
    <w:rsid w:val="000309D6"/>
    <w:rsid w:val="000324AA"/>
    <w:rsid w:val="000329C5"/>
    <w:rsid w:val="000361F2"/>
    <w:rsid w:val="00037AA7"/>
    <w:rsid w:val="000438EF"/>
    <w:rsid w:val="00044E16"/>
    <w:rsid w:val="00046AF4"/>
    <w:rsid w:val="00046C7F"/>
    <w:rsid w:val="0005017A"/>
    <w:rsid w:val="00051446"/>
    <w:rsid w:val="000538AA"/>
    <w:rsid w:val="00054482"/>
    <w:rsid w:val="00063748"/>
    <w:rsid w:val="000655A4"/>
    <w:rsid w:val="000671A7"/>
    <w:rsid w:val="000676FD"/>
    <w:rsid w:val="000700D6"/>
    <w:rsid w:val="00070EA5"/>
    <w:rsid w:val="0008143A"/>
    <w:rsid w:val="00083094"/>
    <w:rsid w:val="00085E4D"/>
    <w:rsid w:val="00087073"/>
    <w:rsid w:val="000914C5"/>
    <w:rsid w:val="00091D23"/>
    <w:rsid w:val="000A01ED"/>
    <w:rsid w:val="000B097A"/>
    <w:rsid w:val="000B231F"/>
    <w:rsid w:val="000B5780"/>
    <w:rsid w:val="000C4857"/>
    <w:rsid w:val="000C5B0B"/>
    <w:rsid w:val="000D53B5"/>
    <w:rsid w:val="000E0AA2"/>
    <w:rsid w:val="000E1E87"/>
    <w:rsid w:val="000E3478"/>
    <w:rsid w:val="000E556A"/>
    <w:rsid w:val="000F02B9"/>
    <w:rsid w:val="000F3258"/>
    <w:rsid w:val="0012118C"/>
    <w:rsid w:val="00121B75"/>
    <w:rsid w:val="00121EB5"/>
    <w:rsid w:val="0012455E"/>
    <w:rsid w:val="0014025C"/>
    <w:rsid w:val="0014076D"/>
    <w:rsid w:val="001419A0"/>
    <w:rsid w:val="001435DA"/>
    <w:rsid w:val="00151973"/>
    <w:rsid w:val="00151C37"/>
    <w:rsid w:val="00152CA1"/>
    <w:rsid w:val="001607AB"/>
    <w:rsid w:val="001641C3"/>
    <w:rsid w:val="001643A2"/>
    <w:rsid w:val="00167B53"/>
    <w:rsid w:val="00167B5C"/>
    <w:rsid w:val="001750A1"/>
    <w:rsid w:val="00176954"/>
    <w:rsid w:val="00184765"/>
    <w:rsid w:val="00193C7A"/>
    <w:rsid w:val="001A506C"/>
    <w:rsid w:val="001A7046"/>
    <w:rsid w:val="001B6CB8"/>
    <w:rsid w:val="001C4153"/>
    <w:rsid w:val="001D16A9"/>
    <w:rsid w:val="001D2B12"/>
    <w:rsid w:val="001E05C7"/>
    <w:rsid w:val="001E2A34"/>
    <w:rsid w:val="001E3C83"/>
    <w:rsid w:val="001E4907"/>
    <w:rsid w:val="001F301F"/>
    <w:rsid w:val="001F39D7"/>
    <w:rsid w:val="001F3D3B"/>
    <w:rsid w:val="001F49F1"/>
    <w:rsid w:val="001F55D0"/>
    <w:rsid w:val="001F7498"/>
    <w:rsid w:val="00200E4E"/>
    <w:rsid w:val="00205489"/>
    <w:rsid w:val="00211D1E"/>
    <w:rsid w:val="0021273C"/>
    <w:rsid w:val="002153EE"/>
    <w:rsid w:val="00221190"/>
    <w:rsid w:val="002242D9"/>
    <w:rsid w:val="0022653D"/>
    <w:rsid w:val="00237616"/>
    <w:rsid w:val="002376FA"/>
    <w:rsid w:val="0024004E"/>
    <w:rsid w:val="00241CBA"/>
    <w:rsid w:val="002421E5"/>
    <w:rsid w:val="00247D25"/>
    <w:rsid w:val="002608F4"/>
    <w:rsid w:val="00261DFE"/>
    <w:rsid w:val="002649EA"/>
    <w:rsid w:val="00264D8F"/>
    <w:rsid w:val="002658C6"/>
    <w:rsid w:val="002716DE"/>
    <w:rsid w:val="00274D00"/>
    <w:rsid w:val="002853EC"/>
    <w:rsid w:val="00285CF4"/>
    <w:rsid w:val="002873F9"/>
    <w:rsid w:val="0029009E"/>
    <w:rsid w:val="00293097"/>
    <w:rsid w:val="00295583"/>
    <w:rsid w:val="002A028F"/>
    <w:rsid w:val="002A0A53"/>
    <w:rsid w:val="002A41D1"/>
    <w:rsid w:val="002A6342"/>
    <w:rsid w:val="002B1B3A"/>
    <w:rsid w:val="002B1D81"/>
    <w:rsid w:val="002C278B"/>
    <w:rsid w:val="002C40FA"/>
    <w:rsid w:val="002C671B"/>
    <w:rsid w:val="002C6F8B"/>
    <w:rsid w:val="002C7918"/>
    <w:rsid w:val="002D23D6"/>
    <w:rsid w:val="002D3EB3"/>
    <w:rsid w:val="002D4703"/>
    <w:rsid w:val="002D4B92"/>
    <w:rsid w:val="002D62FD"/>
    <w:rsid w:val="002E42EE"/>
    <w:rsid w:val="002E5A2D"/>
    <w:rsid w:val="002F2CAD"/>
    <w:rsid w:val="002F2CD1"/>
    <w:rsid w:val="002F5DDF"/>
    <w:rsid w:val="002F77EF"/>
    <w:rsid w:val="00302121"/>
    <w:rsid w:val="003039F1"/>
    <w:rsid w:val="003047CA"/>
    <w:rsid w:val="00305CC0"/>
    <w:rsid w:val="0031091D"/>
    <w:rsid w:val="00310AAD"/>
    <w:rsid w:val="00311267"/>
    <w:rsid w:val="00311DE2"/>
    <w:rsid w:val="00316A23"/>
    <w:rsid w:val="00316BE8"/>
    <w:rsid w:val="00317CD7"/>
    <w:rsid w:val="003257AF"/>
    <w:rsid w:val="00325E89"/>
    <w:rsid w:val="00330E98"/>
    <w:rsid w:val="00336F85"/>
    <w:rsid w:val="00345237"/>
    <w:rsid w:val="00347969"/>
    <w:rsid w:val="00351110"/>
    <w:rsid w:val="00355C03"/>
    <w:rsid w:val="003600AD"/>
    <w:rsid w:val="00360984"/>
    <w:rsid w:val="0036740F"/>
    <w:rsid w:val="00374069"/>
    <w:rsid w:val="00383849"/>
    <w:rsid w:val="00384769"/>
    <w:rsid w:val="00387C4C"/>
    <w:rsid w:val="00390452"/>
    <w:rsid w:val="00390777"/>
    <w:rsid w:val="00391A23"/>
    <w:rsid w:val="00391BD1"/>
    <w:rsid w:val="003921F3"/>
    <w:rsid w:val="003965A3"/>
    <w:rsid w:val="003A1B6C"/>
    <w:rsid w:val="003A5E0E"/>
    <w:rsid w:val="003B4EA5"/>
    <w:rsid w:val="003B552D"/>
    <w:rsid w:val="003B7490"/>
    <w:rsid w:val="003B7808"/>
    <w:rsid w:val="003C2A6A"/>
    <w:rsid w:val="003C4BFE"/>
    <w:rsid w:val="003D1E88"/>
    <w:rsid w:val="003D34AC"/>
    <w:rsid w:val="003D3F1B"/>
    <w:rsid w:val="003D526F"/>
    <w:rsid w:val="003D555B"/>
    <w:rsid w:val="003E3901"/>
    <w:rsid w:val="003E4AD1"/>
    <w:rsid w:val="003E6ED4"/>
    <w:rsid w:val="003E72B2"/>
    <w:rsid w:val="003F1129"/>
    <w:rsid w:val="003F5C27"/>
    <w:rsid w:val="0040221D"/>
    <w:rsid w:val="00407096"/>
    <w:rsid w:val="00412EE1"/>
    <w:rsid w:val="00420686"/>
    <w:rsid w:val="00423983"/>
    <w:rsid w:val="004265CF"/>
    <w:rsid w:val="0042782A"/>
    <w:rsid w:val="004304CD"/>
    <w:rsid w:val="004319B5"/>
    <w:rsid w:val="00431EE4"/>
    <w:rsid w:val="004325A7"/>
    <w:rsid w:val="00432A65"/>
    <w:rsid w:val="00434D0D"/>
    <w:rsid w:val="00445374"/>
    <w:rsid w:val="004466CF"/>
    <w:rsid w:val="00450CCF"/>
    <w:rsid w:val="0045245B"/>
    <w:rsid w:val="00452D9D"/>
    <w:rsid w:val="0045763B"/>
    <w:rsid w:val="00465643"/>
    <w:rsid w:val="00466594"/>
    <w:rsid w:val="00470182"/>
    <w:rsid w:val="0047345E"/>
    <w:rsid w:val="0047393F"/>
    <w:rsid w:val="00475823"/>
    <w:rsid w:val="004777C7"/>
    <w:rsid w:val="00483044"/>
    <w:rsid w:val="0048501E"/>
    <w:rsid w:val="00491531"/>
    <w:rsid w:val="00495AE8"/>
    <w:rsid w:val="004A3B14"/>
    <w:rsid w:val="004B071D"/>
    <w:rsid w:val="004B1F7C"/>
    <w:rsid w:val="004B2FD7"/>
    <w:rsid w:val="004B6104"/>
    <w:rsid w:val="004C1E1D"/>
    <w:rsid w:val="004C3073"/>
    <w:rsid w:val="004C45D6"/>
    <w:rsid w:val="004C4824"/>
    <w:rsid w:val="004D5453"/>
    <w:rsid w:val="004D5B8F"/>
    <w:rsid w:val="004E3559"/>
    <w:rsid w:val="004E6BA6"/>
    <w:rsid w:val="004E7FDC"/>
    <w:rsid w:val="005004E2"/>
    <w:rsid w:val="00500743"/>
    <w:rsid w:val="0050078D"/>
    <w:rsid w:val="00501A02"/>
    <w:rsid w:val="00502897"/>
    <w:rsid w:val="00503B9A"/>
    <w:rsid w:val="00507D6B"/>
    <w:rsid w:val="0051101F"/>
    <w:rsid w:val="005117BB"/>
    <w:rsid w:val="005138CE"/>
    <w:rsid w:val="00515421"/>
    <w:rsid w:val="00525C61"/>
    <w:rsid w:val="005263D8"/>
    <w:rsid w:val="00527360"/>
    <w:rsid w:val="005332B3"/>
    <w:rsid w:val="00533576"/>
    <w:rsid w:val="00535027"/>
    <w:rsid w:val="00540EE4"/>
    <w:rsid w:val="0054566B"/>
    <w:rsid w:val="00545F1D"/>
    <w:rsid w:val="00554A2E"/>
    <w:rsid w:val="00556C99"/>
    <w:rsid w:val="0056461E"/>
    <w:rsid w:val="0056544A"/>
    <w:rsid w:val="0058046A"/>
    <w:rsid w:val="00581583"/>
    <w:rsid w:val="005817CB"/>
    <w:rsid w:val="0058475F"/>
    <w:rsid w:val="00590D5C"/>
    <w:rsid w:val="00591404"/>
    <w:rsid w:val="005922D9"/>
    <w:rsid w:val="00592DC4"/>
    <w:rsid w:val="005A04C4"/>
    <w:rsid w:val="005A75B9"/>
    <w:rsid w:val="005B2156"/>
    <w:rsid w:val="005B2298"/>
    <w:rsid w:val="005B4BC4"/>
    <w:rsid w:val="005B55D4"/>
    <w:rsid w:val="005B67AE"/>
    <w:rsid w:val="005B6808"/>
    <w:rsid w:val="005B6D0D"/>
    <w:rsid w:val="005C42AA"/>
    <w:rsid w:val="005D01AD"/>
    <w:rsid w:val="005D34F7"/>
    <w:rsid w:val="005D7315"/>
    <w:rsid w:val="005D7A3D"/>
    <w:rsid w:val="005E1D56"/>
    <w:rsid w:val="005E5589"/>
    <w:rsid w:val="005F32A1"/>
    <w:rsid w:val="005F5994"/>
    <w:rsid w:val="005F6427"/>
    <w:rsid w:val="006014EF"/>
    <w:rsid w:val="0060183E"/>
    <w:rsid w:val="00604887"/>
    <w:rsid w:val="00605861"/>
    <w:rsid w:val="00605A4A"/>
    <w:rsid w:val="00605F26"/>
    <w:rsid w:val="00606591"/>
    <w:rsid w:val="0061134F"/>
    <w:rsid w:val="0061590A"/>
    <w:rsid w:val="006208EA"/>
    <w:rsid w:val="0062303B"/>
    <w:rsid w:val="00626EC0"/>
    <w:rsid w:val="00630039"/>
    <w:rsid w:val="006312B9"/>
    <w:rsid w:val="0063358D"/>
    <w:rsid w:val="00636F9E"/>
    <w:rsid w:val="00640FEA"/>
    <w:rsid w:val="0065005E"/>
    <w:rsid w:val="00650A6C"/>
    <w:rsid w:val="00655EB8"/>
    <w:rsid w:val="00666660"/>
    <w:rsid w:val="006670F0"/>
    <w:rsid w:val="006679BD"/>
    <w:rsid w:val="00671463"/>
    <w:rsid w:val="00676728"/>
    <w:rsid w:val="0067684A"/>
    <w:rsid w:val="006768B5"/>
    <w:rsid w:val="006805D4"/>
    <w:rsid w:val="0068263A"/>
    <w:rsid w:val="00682ADA"/>
    <w:rsid w:val="00682FE2"/>
    <w:rsid w:val="00695E9D"/>
    <w:rsid w:val="0069648D"/>
    <w:rsid w:val="00697179"/>
    <w:rsid w:val="00697382"/>
    <w:rsid w:val="006A44A3"/>
    <w:rsid w:val="006A5B6E"/>
    <w:rsid w:val="006C2720"/>
    <w:rsid w:val="006C440A"/>
    <w:rsid w:val="006C7FF3"/>
    <w:rsid w:val="006D1E28"/>
    <w:rsid w:val="006E2F1B"/>
    <w:rsid w:val="006E2F99"/>
    <w:rsid w:val="006F0A74"/>
    <w:rsid w:val="006F2D0E"/>
    <w:rsid w:val="006F5301"/>
    <w:rsid w:val="006F6CB7"/>
    <w:rsid w:val="00702F68"/>
    <w:rsid w:val="00711AAE"/>
    <w:rsid w:val="00712825"/>
    <w:rsid w:val="0071430E"/>
    <w:rsid w:val="00715CBC"/>
    <w:rsid w:val="0071695B"/>
    <w:rsid w:val="0073025F"/>
    <w:rsid w:val="00733C36"/>
    <w:rsid w:val="007350E0"/>
    <w:rsid w:val="0073647D"/>
    <w:rsid w:val="00737395"/>
    <w:rsid w:val="00740E9C"/>
    <w:rsid w:val="00743D56"/>
    <w:rsid w:val="00746683"/>
    <w:rsid w:val="00746687"/>
    <w:rsid w:val="0074717E"/>
    <w:rsid w:val="007503DE"/>
    <w:rsid w:val="00753B90"/>
    <w:rsid w:val="00754946"/>
    <w:rsid w:val="00755FDB"/>
    <w:rsid w:val="00756DED"/>
    <w:rsid w:val="0075777F"/>
    <w:rsid w:val="00757A15"/>
    <w:rsid w:val="00762978"/>
    <w:rsid w:val="00764553"/>
    <w:rsid w:val="00764CEA"/>
    <w:rsid w:val="0077161F"/>
    <w:rsid w:val="0077594F"/>
    <w:rsid w:val="00775C04"/>
    <w:rsid w:val="007803CE"/>
    <w:rsid w:val="0078444A"/>
    <w:rsid w:val="00787D34"/>
    <w:rsid w:val="00793F79"/>
    <w:rsid w:val="00794713"/>
    <w:rsid w:val="00795F4C"/>
    <w:rsid w:val="0079730A"/>
    <w:rsid w:val="007A1746"/>
    <w:rsid w:val="007A2E1D"/>
    <w:rsid w:val="007B065A"/>
    <w:rsid w:val="007B5D5E"/>
    <w:rsid w:val="007B6AA8"/>
    <w:rsid w:val="007B77DA"/>
    <w:rsid w:val="007C55F9"/>
    <w:rsid w:val="007D0E1A"/>
    <w:rsid w:val="007D1C56"/>
    <w:rsid w:val="007D3E64"/>
    <w:rsid w:val="007E1D49"/>
    <w:rsid w:val="007E3209"/>
    <w:rsid w:val="007F2840"/>
    <w:rsid w:val="007F563C"/>
    <w:rsid w:val="00805274"/>
    <w:rsid w:val="00806AE3"/>
    <w:rsid w:val="00806D92"/>
    <w:rsid w:val="00811BE9"/>
    <w:rsid w:val="00813575"/>
    <w:rsid w:val="00814A0F"/>
    <w:rsid w:val="0082775E"/>
    <w:rsid w:val="00827C45"/>
    <w:rsid w:val="00834A80"/>
    <w:rsid w:val="008353C7"/>
    <w:rsid w:val="00837E04"/>
    <w:rsid w:val="00840002"/>
    <w:rsid w:val="00840A16"/>
    <w:rsid w:val="0084336F"/>
    <w:rsid w:val="0084422B"/>
    <w:rsid w:val="008524B5"/>
    <w:rsid w:val="00854572"/>
    <w:rsid w:val="00855457"/>
    <w:rsid w:val="00856201"/>
    <w:rsid w:val="00860248"/>
    <w:rsid w:val="00862CB0"/>
    <w:rsid w:val="00866D9B"/>
    <w:rsid w:val="008753BF"/>
    <w:rsid w:val="00883C41"/>
    <w:rsid w:val="00886A74"/>
    <w:rsid w:val="00895B94"/>
    <w:rsid w:val="00895E09"/>
    <w:rsid w:val="008A19BD"/>
    <w:rsid w:val="008A741A"/>
    <w:rsid w:val="008C3814"/>
    <w:rsid w:val="008C38A0"/>
    <w:rsid w:val="008C43ED"/>
    <w:rsid w:val="008C4870"/>
    <w:rsid w:val="008D50E2"/>
    <w:rsid w:val="008D754B"/>
    <w:rsid w:val="008E7438"/>
    <w:rsid w:val="008F1EEA"/>
    <w:rsid w:val="008F2CA0"/>
    <w:rsid w:val="00903708"/>
    <w:rsid w:val="00903FB9"/>
    <w:rsid w:val="009045A4"/>
    <w:rsid w:val="009045FE"/>
    <w:rsid w:val="009069CB"/>
    <w:rsid w:val="00911588"/>
    <w:rsid w:val="00912760"/>
    <w:rsid w:val="00913B70"/>
    <w:rsid w:val="00914A35"/>
    <w:rsid w:val="0091684C"/>
    <w:rsid w:val="00917121"/>
    <w:rsid w:val="00921AA9"/>
    <w:rsid w:val="00922C9F"/>
    <w:rsid w:val="00924B40"/>
    <w:rsid w:val="00925658"/>
    <w:rsid w:val="00930512"/>
    <w:rsid w:val="009306E5"/>
    <w:rsid w:val="00930D7C"/>
    <w:rsid w:val="00930E19"/>
    <w:rsid w:val="009414D5"/>
    <w:rsid w:val="009428F4"/>
    <w:rsid w:val="009430CB"/>
    <w:rsid w:val="009433F1"/>
    <w:rsid w:val="0094475A"/>
    <w:rsid w:val="009479E5"/>
    <w:rsid w:val="00953BCE"/>
    <w:rsid w:val="00955C93"/>
    <w:rsid w:val="0095636B"/>
    <w:rsid w:val="009571CA"/>
    <w:rsid w:val="009637A9"/>
    <w:rsid w:val="009651FD"/>
    <w:rsid w:val="00965CDE"/>
    <w:rsid w:val="00967DC3"/>
    <w:rsid w:val="00971665"/>
    <w:rsid w:val="00975086"/>
    <w:rsid w:val="0097618D"/>
    <w:rsid w:val="00976417"/>
    <w:rsid w:val="009779D6"/>
    <w:rsid w:val="009829AA"/>
    <w:rsid w:val="00983A9A"/>
    <w:rsid w:val="00984AD0"/>
    <w:rsid w:val="00984E04"/>
    <w:rsid w:val="00985E54"/>
    <w:rsid w:val="009A04E4"/>
    <w:rsid w:val="009A39F5"/>
    <w:rsid w:val="009A4CBD"/>
    <w:rsid w:val="009B177F"/>
    <w:rsid w:val="009B5C01"/>
    <w:rsid w:val="009B5CC1"/>
    <w:rsid w:val="009B6394"/>
    <w:rsid w:val="009C15BC"/>
    <w:rsid w:val="009C507A"/>
    <w:rsid w:val="009D2F7C"/>
    <w:rsid w:val="009D5373"/>
    <w:rsid w:val="009D7D2D"/>
    <w:rsid w:val="009E4D8E"/>
    <w:rsid w:val="009E796C"/>
    <w:rsid w:val="009F6C98"/>
    <w:rsid w:val="00A02A1D"/>
    <w:rsid w:val="00A06826"/>
    <w:rsid w:val="00A10240"/>
    <w:rsid w:val="00A106AD"/>
    <w:rsid w:val="00A12A90"/>
    <w:rsid w:val="00A16314"/>
    <w:rsid w:val="00A204D3"/>
    <w:rsid w:val="00A23AC3"/>
    <w:rsid w:val="00A24780"/>
    <w:rsid w:val="00A31DF8"/>
    <w:rsid w:val="00A34240"/>
    <w:rsid w:val="00A421AC"/>
    <w:rsid w:val="00A45EFC"/>
    <w:rsid w:val="00A46FD3"/>
    <w:rsid w:val="00A472D9"/>
    <w:rsid w:val="00A612A8"/>
    <w:rsid w:val="00A63907"/>
    <w:rsid w:val="00A63FA6"/>
    <w:rsid w:val="00A66620"/>
    <w:rsid w:val="00A66D6C"/>
    <w:rsid w:val="00A670C3"/>
    <w:rsid w:val="00A6770F"/>
    <w:rsid w:val="00A72057"/>
    <w:rsid w:val="00A75C78"/>
    <w:rsid w:val="00A8112E"/>
    <w:rsid w:val="00A91ACE"/>
    <w:rsid w:val="00A923B4"/>
    <w:rsid w:val="00A94465"/>
    <w:rsid w:val="00A95AAE"/>
    <w:rsid w:val="00A96546"/>
    <w:rsid w:val="00AA3005"/>
    <w:rsid w:val="00AA38BB"/>
    <w:rsid w:val="00AA4A3C"/>
    <w:rsid w:val="00AC1D96"/>
    <w:rsid w:val="00AC215F"/>
    <w:rsid w:val="00AC3461"/>
    <w:rsid w:val="00AC40EF"/>
    <w:rsid w:val="00AC5922"/>
    <w:rsid w:val="00AC75C9"/>
    <w:rsid w:val="00AD7B62"/>
    <w:rsid w:val="00AE45C8"/>
    <w:rsid w:val="00AE6537"/>
    <w:rsid w:val="00AF350A"/>
    <w:rsid w:val="00AF6D96"/>
    <w:rsid w:val="00B008C7"/>
    <w:rsid w:val="00B10C22"/>
    <w:rsid w:val="00B1681E"/>
    <w:rsid w:val="00B16C14"/>
    <w:rsid w:val="00B23129"/>
    <w:rsid w:val="00B2723F"/>
    <w:rsid w:val="00B276D3"/>
    <w:rsid w:val="00B31F59"/>
    <w:rsid w:val="00B4205B"/>
    <w:rsid w:val="00B45B00"/>
    <w:rsid w:val="00B506C3"/>
    <w:rsid w:val="00B513F8"/>
    <w:rsid w:val="00B52860"/>
    <w:rsid w:val="00B52906"/>
    <w:rsid w:val="00B53AE9"/>
    <w:rsid w:val="00B55359"/>
    <w:rsid w:val="00B554FC"/>
    <w:rsid w:val="00B56DAE"/>
    <w:rsid w:val="00B57884"/>
    <w:rsid w:val="00B60E45"/>
    <w:rsid w:val="00B625CA"/>
    <w:rsid w:val="00B65395"/>
    <w:rsid w:val="00B67E75"/>
    <w:rsid w:val="00B73A0B"/>
    <w:rsid w:val="00B757CF"/>
    <w:rsid w:val="00B75BB6"/>
    <w:rsid w:val="00B76003"/>
    <w:rsid w:val="00B81F31"/>
    <w:rsid w:val="00B8314A"/>
    <w:rsid w:val="00B83CE9"/>
    <w:rsid w:val="00B85D5A"/>
    <w:rsid w:val="00B87EA5"/>
    <w:rsid w:val="00B90520"/>
    <w:rsid w:val="00B954CC"/>
    <w:rsid w:val="00BA0B03"/>
    <w:rsid w:val="00BB3030"/>
    <w:rsid w:val="00BC3059"/>
    <w:rsid w:val="00BC4B71"/>
    <w:rsid w:val="00BD0B4A"/>
    <w:rsid w:val="00BD2D78"/>
    <w:rsid w:val="00BE02A8"/>
    <w:rsid w:val="00BE2E8D"/>
    <w:rsid w:val="00C00529"/>
    <w:rsid w:val="00C00641"/>
    <w:rsid w:val="00C00E9D"/>
    <w:rsid w:val="00C032A8"/>
    <w:rsid w:val="00C039A0"/>
    <w:rsid w:val="00C05471"/>
    <w:rsid w:val="00C06E5E"/>
    <w:rsid w:val="00C121DE"/>
    <w:rsid w:val="00C1416E"/>
    <w:rsid w:val="00C1648D"/>
    <w:rsid w:val="00C16511"/>
    <w:rsid w:val="00C210E8"/>
    <w:rsid w:val="00C21337"/>
    <w:rsid w:val="00C3018F"/>
    <w:rsid w:val="00C334D2"/>
    <w:rsid w:val="00C3395A"/>
    <w:rsid w:val="00C37744"/>
    <w:rsid w:val="00C45C86"/>
    <w:rsid w:val="00C465AB"/>
    <w:rsid w:val="00C5745C"/>
    <w:rsid w:val="00C60996"/>
    <w:rsid w:val="00C61BD5"/>
    <w:rsid w:val="00C62965"/>
    <w:rsid w:val="00C6487D"/>
    <w:rsid w:val="00C653A0"/>
    <w:rsid w:val="00C65CBB"/>
    <w:rsid w:val="00C715D1"/>
    <w:rsid w:val="00C72A79"/>
    <w:rsid w:val="00C747DE"/>
    <w:rsid w:val="00C8722D"/>
    <w:rsid w:val="00C948FF"/>
    <w:rsid w:val="00CA1BBC"/>
    <w:rsid w:val="00CA22B3"/>
    <w:rsid w:val="00CB16FF"/>
    <w:rsid w:val="00CB23AD"/>
    <w:rsid w:val="00CB39F2"/>
    <w:rsid w:val="00CB7E72"/>
    <w:rsid w:val="00CC0057"/>
    <w:rsid w:val="00CC1C6D"/>
    <w:rsid w:val="00CC2287"/>
    <w:rsid w:val="00CC7D72"/>
    <w:rsid w:val="00CD17F3"/>
    <w:rsid w:val="00CD3285"/>
    <w:rsid w:val="00CD50F7"/>
    <w:rsid w:val="00CD5DE7"/>
    <w:rsid w:val="00CE3963"/>
    <w:rsid w:val="00CF2912"/>
    <w:rsid w:val="00D03F8B"/>
    <w:rsid w:val="00D049D2"/>
    <w:rsid w:val="00D10845"/>
    <w:rsid w:val="00D10B52"/>
    <w:rsid w:val="00D143DD"/>
    <w:rsid w:val="00D14834"/>
    <w:rsid w:val="00D15A84"/>
    <w:rsid w:val="00D1692D"/>
    <w:rsid w:val="00D176ED"/>
    <w:rsid w:val="00D20E4A"/>
    <w:rsid w:val="00D21F4A"/>
    <w:rsid w:val="00D22513"/>
    <w:rsid w:val="00D228C3"/>
    <w:rsid w:val="00D23174"/>
    <w:rsid w:val="00D245D2"/>
    <w:rsid w:val="00D26806"/>
    <w:rsid w:val="00D30FFC"/>
    <w:rsid w:val="00D31159"/>
    <w:rsid w:val="00D344FA"/>
    <w:rsid w:val="00D362E4"/>
    <w:rsid w:val="00D47F07"/>
    <w:rsid w:val="00D51850"/>
    <w:rsid w:val="00D53EE6"/>
    <w:rsid w:val="00D563D9"/>
    <w:rsid w:val="00D57AF1"/>
    <w:rsid w:val="00D661C9"/>
    <w:rsid w:val="00D665AB"/>
    <w:rsid w:val="00D714C5"/>
    <w:rsid w:val="00D72302"/>
    <w:rsid w:val="00D73D2C"/>
    <w:rsid w:val="00D801BE"/>
    <w:rsid w:val="00D801DA"/>
    <w:rsid w:val="00D8047B"/>
    <w:rsid w:val="00D8557B"/>
    <w:rsid w:val="00D85704"/>
    <w:rsid w:val="00D85F37"/>
    <w:rsid w:val="00DA20E1"/>
    <w:rsid w:val="00DB64FF"/>
    <w:rsid w:val="00DC3595"/>
    <w:rsid w:val="00DC5724"/>
    <w:rsid w:val="00DC7C7D"/>
    <w:rsid w:val="00DD14A7"/>
    <w:rsid w:val="00DD4FC7"/>
    <w:rsid w:val="00DE350D"/>
    <w:rsid w:val="00DF022A"/>
    <w:rsid w:val="00DF12CF"/>
    <w:rsid w:val="00DF324A"/>
    <w:rsid w:val="00DF39E0"/>
    <w:rsid w:val="00DF52A3"/>
    <w:rsid w:val="00DF6B47"/>
    <w:rsid w:val="00DF76B4"/>
    <w:rsid w:val="00E02A75"/>
    <w:rsid w:val="00E05ACD"/>
    <w:rsid w:val="00E10BC4"/>
    <w:rsid w:val="00E12F60"/>
    <w:rsid w:val="00E1529E"/>
    <w:rsid w:val="00E154B5"/>
    <w:rsid w:val="00E160A3"/>
    <w:rsid w:val="00E16BF5"/>
    <w:rsid w:val="00E267EC"/>
    <w:rsid w:val="00E27797"/>
    <w:rsid w:val="00E31F7C"/>
    <w:rsid w:val="00E325D4"/>
    <w:rsid w:val="00E339DB"/>
    <w:rsid w:val="00E3614B"/>
    <w:rsid w:val="00E41C35"/>
    <w:rsid w:val="00E452D6"/>
    <w:rsid w:val="00E5648C"/>
    <w:rsid w:val="00E63917"/>
    <w:rsid w:val="00E64C5C"/>
    <w:rsid w:val="00E673E0"/>
    <w:rsid w:val="00E71C06"/>
    <w:rsid w:val="00E71E14"/>
    <w:rsid w:val="00E76123"/>
    <w:rsid w:val="00E831F8"/>
    <w:rsid w:val="00E860B1"/>
    <w:rsid w:val="00E90694"/>
    <w:rsid w:val="00E92009"/>
    <w:rsid w:val="00EA4981"/>
    <w:rsid w:val="00EA4D50"/>
    <w:rsid w:val="00EA5509"/>
    <w:rsid w:val="00EA7282"/>
    <w:rsid w:val="00EB1566"/>
    <w:rsid w:val="00EB21D9"/>
    <w:rsid w:val="00EB3CBA"/>
    <w:rsid w:val="00EB6BF4"/>
    <w:rsid w:val="00EC3EB5"/>
    <w:rsid w:val="00ED054F"/>
    <w:rsid w:val="00ED4BBF"/>
    <w:rsid w:val="00EE0862"/>
    <w:rsid w:val="00EE0E1D"/>
    <w:rsid w:val="00EE14BB"/>
    <w:rsid w:val="00EF072A"/>
    <w:rsid w:val="00EF53D6"/>
    <w:rsid w:val="00EF70D9"/>
    <w:rsid w:val="00F00733"/>
    <w:rsid w:val="00F01E3D"/>
    <w:rsid w:val="00F118BC"/>
    <w:rsid w:val="00F1503C"/>
    <w:rsid w:val="00F17EE1"/>
    <w:rsid w:val="00F21CA4"/>
    <w:rsid w:val="00F233D7"/>
    <w:rsid w:val="00F27865"/>
    <w:rsid w:val="00F3213B"/>
    <w:rsid w:val="00F325CE"/>
    <w:rsid w:val="00F3335B"/>
    <w:rsid w:val="00F34FFF"/>
    <w:rsid w:val="00F46EDB"/>
    <w:rsid w:val="00F51849"/>
    <w:rsid w:val="00F52175"/>
    <w:rsid w:val="00F52AC3"/>
    <w:rsid w:val="00F56894"/>
    <w:rsid w:val="00F647E9"/>
    <w:rsid w:val="00F64FBE"/>
    <w:rsid w:val="00F70D36"/>
    <w:rsid w:val="00F717FC"/>
    <w:rsid w:val="00F757DF"/>
    <w:rsid w:val="00F76EC7"/>
    <w:rsid w:val="00F77CA7"/>
    <w:rsid w:val="00F8273C"/>
    <w:rsid w:val="00F83C1E"/>
    <w:rsid w:val="00F87869"/>
    <w:rsid w:val="00F90260"/>
    <w:rsid w:val="00F92391"/>
    <w:rsid w:val="00F936E4"/>
    <w:rsid w:val="00F940E3"/>
    <w:rsid w:val="00FA06F2"/>
    <w:rsid w:val="00FB0E7F"/>
    <w:rsid w:val="00FB4759"/>
    <w:rsid w:val="00FC0069"/>
    <w:rsid w:val="00FC0E44"/>
    <w:rsid w:val="00FC61D2"/>
    <w:rsid w:val="00FD3A43"/>
    <w:rsid w:val="00FD7411"/>
    <w:rsid w:val="00FD77D3"/>
    <w:rsid w:val="00FE0BB8"/>
    <w:rsid w:val="00FE290E"/>
    <w:rsid w:val="00FE4307"/>
    <w:rsid w:val="00FE5312"/>
    <w:rsid w:val="00FF0AE6"/>
    <w:rsid w:val="00FF15DD"/>
    <w:rsid w:val="00FF3221"/>
    <w:rsid w:val="00FF54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E852F"/>
  <w15:chartTrackingRefBased/>
  <w15:docId w15:val="{01A2D325-B59C-4E5C-A6F4-EC0EFBD12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3285"/>
    <w:pPr>
      <w:spacing w:after="0" w:line="480" w:lineRule="auto"/>
    </w:pPr>
    <w:rPr>
      <w:rFonts w:ascii="Arial" w:hAnsi="Arial"/>
      <w:sz w:val="24"/>
    </w:rPr>
  </w:style>
  <w:style w:type="paragraph" w:styleId="Heading1">
    <w:name w:val="heading 1"/>
    <w:basedOn w:val="Normal"/>
    <w:next w:val="Normal"/>
    <w:link w:val="Heading1Char"/>
    <w:uiPriority w:val="9"/>
    <w:qFormat/>
    <w:rsid w:val="0049153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70F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40EE4"/>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6C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6C99"/>
    <w:rPr>
      <w:rFonts w:eastAsiaTheme="minorEastAsia"/>
      <w:lang w:val="en-US"/>
    </w:rPr>
  </w:style>
  <w:style w:type="character" w:customStyle="1" w:styleId="Heading1Char">
    <w:name w:val="Heading 1 Char"/>
    <w:basedOn w:val="DefaultParagraphFont"/>
    <w:link w:val="Heading1"/>
    <w:uiPriority w:val="9"/>
    <w:rsid w:val="0049153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1531"/>
    <w:pPr>
      <w:outlineLvl w:val="9"/>
    </w:pPr>
    <w:rPr>
      <w:lang w:val="en-US"/>
    </w:rPr>
  </w:style>
  <w:style w:type="character" w:styleId="Hyperlink">
    <w:name w:val="Hyperlink"/>
    <w:basedOn w:val="DefaultParagraphFont"/>
    <w:uiPriority w:val="99"/>
    <w:unhideWhenUsed/>
    <w:rsid w:val="00EF072A"/>
    <w:rPr>
      <w:color w:val="0000FF"/>
      <w:u w:val="single"/>
    </w:rPr>
  </w:style>
  <w:style w:type="character" w:styleId="UnresolvedMention">
    <w:name w:val="Unresolved Mention"/>
    <w:basedOn w:val="DefaultParagraphFont"/>
    <w:uiPriority w:val="99"/>
    <w:semiHidden/>
    <w:unhideWhenUsed/>
    <w:rsid w:val="00205489"/>
    <w:rPr>
      <w:color w:val="605E5C"/>
      <w:shd w:val="clear" w:color="auto" w:fill="E1DFDD"/>
    </w:rPr>
  </w:style>
  <w:style w:type="character" w:customStyle="1" w:styleId="Heading2Char">
    <w:name w:val="Heading 2 Char"/>
    <w:basedOn w:val="DefaultParagraphFont"/>
    <w:link w:val="Heading2"/>
    <w:uiPriority w:val="9"/>
    <w:rsid w:val="006670F0"/>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336F85"/>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eading3Char">
    <w:name w:val="Heading 3 Char"/>
    <w:basedOn w:val="DefaultParagraphFont"/>
    <w:link w:val="Heading3"/>
    <w:uiPriority w:val="9"/>
    <w:rsid w:val="00540EE4"/>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AA38BB"/>
    <w:pPr>
      <w:tabs>
        <w:tab w:val="center" w:pos="4513"/>
        <w:tab w:val="right" w:pos="9026"/>
      </w:tabs>
      <w:spacing w:line="240" w:lineRule="auto"/>
    </w:pPr>
  </w:style>
  <w:style w:type="character" w:customStyle="1" w:styleId="HeaderChar">
    <w:name w:val="Header Char"/>
    <w:basedOn w:val="DefaultParagraphFont"/>
    <w:link w:val="Header"/>
    <w:uiPriority w:val="99"/>
    <w:rsid w:val="00AA38BB"/>
    <w:rPr>
      <w:rFonts w:ascii="Arial" w:hAnsi="Arial"/>
      <w:sz w:val="24"/>
    </w:rPr>
  </w:style>
  <w:style w:type="paragraph" w:styleId="Footer">
    <w:name w:val="footer"/>
    <w:basedOn w:val="Normal"/>
    <w:link w:val="FooterChar"/>
    <w:uiPriority w:val="99"/>
    <w:unhideWhenUsed/>
    <w:rsid w:val="00AA38BB"/>
    <w:pPr>
      <w:tabs>
        <w:tab w:val="center" w:pos="4513"/>
        <w:tab w:val="right" w:pos="9026"/>
      </w:tabs>
      <w:spacing w:line="240" w:lineRule="auto"/>
    </w:pPr>
  </w:style>
  <w:style w:type="character" w:customStyle="1" w:styleId="FooterChar">
    <w:name w:val="Footer Char"/>
    <w:basedOn w:val="DefaultParagraphFont"/>
    <w:link w:val="Footer"/>
    <w:uiPriority w:val="99"/>
    <w:rsid w:val="00AA38BB"/>
    <w:rPr>
      <w:rFonts w:ascii="Arial" w:hAnsi="Arial"/>
      <w:sz w:val="24"/>
    </w:rPr>
  </w:style>
  <w:style w:type="paragraph" w:styleId="ListParagraph">
    <w:name w:val="List Paragraph"/>
    <w:basedOn w:val="Normal"/>
    <w:uiPriority w:val="34"/>
    <w:qFormat/>
    <w:rsid w:val="006A44A3"/>
    <w:pPr>
      <w:spacing w:after="200" w:line="276" w:lineRule="auto"/>
      <w:ind w:left="720"/>
      <w:contextualSpacing/>
    </w:pPr>
    <w:rPr>
      <w:rFonts w:ascii="Calibri" w:eastAsia="Calibri" w:hAnsi="Calibri" w:cs="Times New Roman"/>
      <w:sz w:val="22"/>
    </w:rPr>
  </w:style>
  <w:style w:type="table" w:styleId="TableGrid">
    <w:name w:val="Table Grid"/>
    <w:basedOn w:val="TableNormal"/>
    <w:uiPriority w:val="39"/>
    <w:rsid w:val="006A44A3"/>
    <w:pPr>
      <w:spacing w:after="0" w:line="240" w:lineRule="auto"/>
    </w:pPr>
    <w:rPr>
      <w:rFonts w:ascii="Calibri" w:eastAsia="Calibri" w:hAnsi="Calibri" w:cs="Times New Roman"/>
      <w:sz w:val="20"/>
      <w:szCs w:val="20"/>
      <w:lang w:eastAsia="en-GB"/>
    </w:rPr>
    <w:tblPr>
      <w:tblInd w:w="0" w:type="nil"/>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TOC1">
    <w:name w:val="toc 1"/>
    <w:basedOn w:val="Normal"/>
    <w:next w:val="Normal"/>
    <w:autoRedefine/>
    <w:uiPriority w:val="39"/>
    <w:unhideWhenUsed/>
    <w:rsid w:val="00503B9A"/>
    <w:pPr>
      <w:spacing w:after="100"/>
    </w:pPr>
  </w:style>
  <w:style w:type="paragraph" w:styleId="TOC2">
    <w:name w:val="toc 2"/>
    <w:basedOn w:val="Normal"/>
    <w:next w:val="Normal"/>
    <w:autoRedefine/>
    <w:uiPriority w:val="39"/>
    <w:unhideWhenUsed/>
    <w:rsid w:val="00503B9A"/>
    <w:pPr>
      <w:spacing w:after="100"/>
      <w:ind w:left="240"/>
    </w:pPr>
  </w:style>
  <w:style w:type="paragraph" w:styleId="TOC3">
    <w:name w:val="toc 3"/>
    <w:basedOn w:val="Normal"/>
    <w:next w:val="Normal"/>
    <w:autoRedefine/>
    <w:uiPriority w:val="39"/>
    <w:unhideWhenUsed/>
    <w:rsid w:val="00503B9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0431201">
      <w:bodyDiv w:val="1"/>
      <w:marLeft w:val="0"/>
      <w:marRight w:val="0"/>
      <w:marTop w:val="0"/>
      <w:marBottom w:val="0"/>
      <w:divBdr>
        <w:top w:val="none" w:sz="0" w:space="0" w:color="auto"/>
        <w:left w:val="none" w:sz="0" w:space="0" w:color="auto"/>
        <w:bottom w:val="none" w:sz="0" w:space="0" w:color="auto"/>
        <w:right w:val="none" w:sz="0" w:space="0" w:color="auto"/>
      </w:divBdr>
    </w:div>
    <w:div w:id="369572465">
      <w:bodyDiv w:val="1"/>
      <w:marLeft w:val="0"/>
      <w:marRight w:val="0"/>
      <w:marTop w:val="0"/>
      <w:marBottom w:val="0"/>
      <w:divBdr>
        <w:top w:val="none" w:sz="0" w:space="0" w:color="auto"/>
        <w:left w:val="none" w:sz="0" w:space="0" w:color="auto"/>
        <w:bottom w:val="none" w:sz="0" w:space="0" w:color="auto"/>
        <w:right w:val="none" w:sz="0" w:space="0" w:color="auto"/>
      </w:divBdr>
    </w:div>
    <w:div w:id="897283514">
      <w:bodyDiv w:val="1"/>
      <w:marLeft w:val="0"/>
      <w:marRight w:val="0"/>
      <w:marTop w:val="0"/>
      <w:marBottom w:val="0"/>
      <w:divBdr>
        <w:top w:val="none" w:sz="0" w:space="0" w:color="auto"/>
        <w:left w:val="none" w:sz="0" w:space="0" w:color="auto"/>
        <w:bottom w:val="none" w:sz="0" w:space="0" w:color="auto"/>
        <w:right w:val="none" w:sz="0" w:space="0" w:color="auto"/>
      </w:divBdr>
    </w:div>
    <w:div w:id="1213470086">
      <w:bodyDiv w:val="1"/>
      <w:marLeft w:val="0"/>
      <w:marRight w:val="0"/>
      <w:marTop w:val="0"/>
      <w:marBottom w:val="0"/>
      <w:divBdr>
        <w:top w:val="none" w:sz="0" w:space="0" w:color="auto"/>
        <w:left w:val="none" w:sz="0" w:space="0" w:color="auto"/>
        <w:bottom w:val="none" w:sz="0" w:space="0" w:color="auto"/>
        <w:right w:val="none" w:sz="0" w:space="0" w:color="auto"/>
      </w:divBdr>
    </w:div>
    <w:div w:id="1880244062">
      <w:bodyDiv w:val="1"/>
      <w:marLeft w:val="0"/>
      <w:marRight w:val="0"/>
      <w:marTop w:val="0"/>
      <w:marBottom w:val="0"/>
      <w:divBdr>
        <w:top w:val="none" w:sz="0" w:space="0" w:color="auto"/>
        <w:left w:val="none" w:sz="0" w:space="0" w:color="auto"/>
        <w:bottom w:val="none" w:sz="0" w:space="0" w:color="auto"/>
        <w:right w:val="none" w:sz="0" w:space="0" w:color="auto"/>
      </w:divBdr>
    </w:div>
    <w:div w:id="2144346627">
      <w:bodyDiv w:val="1"/>
      <w:marLeft w:val="0"/>
      <w:marRight w:val="0"/>
      <w:marTop w:val="0"/>
      <w:marBottom w:val="0"/>
      <w:divBdr>
        <w:top w:val="none" w:sz="0" w:space="0" w:color="auto"/>
        <w:left w:val="none" w:sz="0" w:space="0" w:color="auto"/>
        <w:bottom w:val="none" w:sz="0" w:space="0" w:color="auto"/>
        <w:right w:val="none" w:sz="0" w:space="0" w:color="auto"/>
      </w:divBdr>
    </w:div>
    <w:div w:id="2147311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bbc.co.uk/news/world-europe-46064836" TargetMode="External"/><Relationship Id="rId18" Type="http://schemas.openxmlformats.org/officeDocument/2006/relationships/hyperlink" Target="https://www-oxfordreference-com.ezproxy.uwtsd.ac.uk/view/10.1093/acref/9780191827822.001.0001/acref-9780191827822-e-253?rskey=apndvj&amp;result=361" TargetMode="External"/><Relationship Id="rId26" Type="http://schemas.openxmlformats.org/officeDocument/2006/relationships/hyperlink" Target="https://www.waterbriefing.org/home/regulation-and-legislation/item/16251-ofwat-provides-early-notice-of-concerns-with-2020-25-amp7-efficiency-for-four-water-companies" TargetMode="External"/><Relationship Id="rId3" Type="http://schemas.openxmlformats.org/officeDocument/2006/relationships/numbering" Target="numbering.xml"/><Relationship Id="rId21" Type="http://schemas.openxmlformats.org/officeDocument/2006/relationships/hyperlink" Target="https://moodle.uwtsd.ac.uk/pluginfile.php/401844/mod_resource/content/1/ASSIGNMENT%20ARTICLE%20-%20The-care-of-one-Hyperpersonalization-of-customer-care%20%281%29%20-%20Copy.pdf" TargetMode="External"/><Relationship Id="rId7" Type="http://schemas.openxmlformats.org/officeDocument/2006/relationships/footnotes" Target="footnotes.xml"/><Relationship Id="rId12" Type="http://schemas.openxmlformats.org/officeDocument/2006/relationships/hyperlink" Target="https://www.bbc.co.uk/news/world-51839944" TargetMode="External"/><Relationship Id="rId17" Type="http://schemas.openxmlformats.org/officeDocument/2006/relationships/hyperlink" Target="https://moodle.uwtsd.ac.uk/pluginfile.php/37350/mod_resource/content/1/The%20Delta%20Model%20Framework%20for%20Strategy.pdf" TargetMode="External"/><Relationship Id="rId25" Type="http://schemas.openxmlformats.org/officeDocument/2006/relationships/hyperlink" Target="https://population.un.org/wpp/" TargetMode="External"/><Relationship Id="rId2" Type="http://schemas.openxmlformats.org/officeDocument/2006/relationships/customXml" Target="../customXml/item2.xml"/><Relationship Id="rId16" Type="http://schemas.openxmlformats.org/officeDocument/2006/relationships/hyperlink" Target="https://search-proquest-com.ezproxy.uwtsd.ac.uk/docview/224966780?accountid=130472&amp;pq-origsite=primo" TargetMode="External"/><Relationship Id="rId20" Type="http://schemas.openxmlformats.org/officeDocument/2006/relationships/hyperlink" Target="https://www.bbc.co.uk/news/election-2017-39930278" TargetMode="External"/><Relationship Id="rId29" Type="http://schemas.openxmlformats.org/officeDocument/2006/relationships/hyperlink" Target="https://moodle.uwtsd.ac.uk/pluginfile.php/37376/mod_resource/content/1/DIFFERENTIATION%20hbr-repeatable-business-model.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ciemgroup.co.uk/" TargetMode="External"/><Relationship Id="rId24" Type="http://schemas.openxmlformats.org/officeDocument/2006/relationships/hyperlink" Target="https://www.ross-eng.com/about-rse/rse-group/"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envoygroup.com/values/" TargetMode="External"/><Relationship Id="rId23" Type="http://schemas.openxmlformats.org/officeDocument/2006/relationships/hyperlink" Target="https://www.ross-eng.com/rse-announce-second-major-uk-acquisition/" TargetMode="External"/><Relationship Id="rId28" Type="http://schemas.openxmlformats.org/officeDocument/2006/relationships/hyperlink" Target="https://www.wessexwater.co.uk/corporate/strategy-and-reports/business-plan-2020" TargetMode="External"/><Relationship Id="rId10" Type="http://schemas.openxmlformats.org/officeDocument/2006/relationships/image" Target="media/image2.png"/><Relationship Id="rId19" Type="http://schemas.openxmlformats.org/officeDocument/2006/relationships/hyperlink" Target="https://search-proquest-com.ezproxy.uwtsd.ac.uk/docview/216500419?accountid=130472&amp;pq-origsite=primo"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gov.uk/government/publications/water-and-sewerage-companies-in-england-environmental-performance-report-2019/water-and-sewerage-companies-in-england-environmental-performance-report-for-2019" TargetMode="External"/><Relationship Id="rId22" Type="http://schemas.openxmlformats.org/officeDocument/2006/relationships/hyperlink" Target="https://moodle.uwtsd.ac.uk/pluginfile.php/443147/mod_resource/content/1/Innovation-in-a-crisis-Why-it-is-more-critical-than-ever-vF.pdf" TargetMode="External"/><Relationship Id="rId27" Type="http://schemas.openxmlformats.org/officeDocument/2006/relationships/hyperlink" Target="https://www.waterbriefing.org/home/contracts/item/16772-wessex-water-invites-contractors-and-consultants-to-register-for-amp7-work-opportunities"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1908919@student.uwtsd.ac.uk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552FCD-3BF9-4430-BE5A-F419DD8658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3503</TotalTime>
  <Pages>33</Pages>
  <Words>6826</Words>
  <Characters>38910</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Strategic Management</vt:lpstr>
    </vt:vector>
  </TitlesOfParts>
  <Company/>
  <LinksUpToDate>false</LinksUpToDate>
  <CharactersWithSpaces>45645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
  <dc:creator>Andrew McGleish</dc:creator>
  <cp:keywords/>
  <dc:description/>
  <cp:lastModifiedBy>Eva Lo Designs</cp:lastModifiedBy>
  <cp:revision>577</cp:revision>
  <dcterms:created xsi:type="dcterms:W3CDTF">2020-12-12T18:11:00Z</dcterms:created>
  <dcterms:modified xsi:type="dcterms:W3CDTF">2020-12-17T12:39:00Z</dcterms:modified>
</cp:coreProperties>
</file>