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3B968B11"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Emily Georgina Driffield </w:t>
            </w:r>
          </w:p>
          <w:p w14:paraId="1961D416"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p>
          <w:p w14:paraId="591204D1"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Emily.driffield@yahoo.co.uk</w:t>
            </w:r>
          </w:p>
          <w:p w14:paraId="234FA1F1" w14:textId="77777777" w:rsidR="00AD5B98" w:rsidRDefault="00AD5B98" w:rsidP="00AD5B98">
            <w:pPr>
              <w:overflowPunct/>
              <w:autoSpaceDE/>
              <w:autoSpaceDN/>
              <w:adjustRightInd/>
              <w:ind w:right="-957"/>
              <w:textAlignment w:val="auto"/>
              <w:rPr>
                <w:rFonts w:ascii="Times New Roman" w:hAnsi="Times New Roman" w:cs="Times New Roman"/>
                <w:b/>
                <w:color w:val="auto"/>
                <w:sz w:val="48"/>
              </w:rPr>
            </w:pPr>
          </w:p>
          <w:p w14:paraId="41045020" w14:textId="77777777" w:rsidR="00AD5B98" w:rsidRPr="005D3F07" w:rsidRDefault="00AD5B98" w:rsidP="00AD5B98">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sidRPr="00627193">
              <w:rPr>
                <w:b/>
                <w:color w:val="auto"/>
                <w:sz w:val="28"/>
                <w:szCs w:val="28"/>
              </w:rPr>
              <w:t xml:space="preserve"> 1914969</w:t>
            </w:r>
          </w:p>
          <w:p w14:paraId="5D82B098" w14:textId="77777777" w:rsidR="00AD5B98" w:rsidRPr="005D3F07" w:rsidRDefault="00AD5B98" w:rsidP="00AD5B98">
            <w:pPr>
              <w:overflowPunct/>
              <w:autoSpaceDE/>
              <w:autoSpaceDN/>
              <w:adjustRightInd/>
              <w:ind w:right="-957"/>
              <w:textAlignment w:val="auto"/>
              <w:rPr>
                <w:rFonts w:ascii="Times New Roman" w:hAnsi="Times New Roman" w:cs="Times New Roman"/>
                <w:b/>
                <w:color w:val="auto"/>
                <w:sz w:val="48"/>
              </w:rPr>
            </w:pPr>
          </w:p>
          <w:p w14:paraId="5F84129B" w14:textId="79BD904E" w:rsidR="0085230E" w:rsidRPr="005D3F07" w:rsidRDefault="00AD5B98" w:rsidP="00AD5B98">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21E43C8"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E1B31F7" w14:textId="6C641A22" w:rsidR="005C6188" w:rsidRDefault="005C6188" w:rsidP="00FF7EBB">
            <w:pPr>
              <w:jc w:val="both"/>
              <w:rPr>
                <w:i/>
                <w:sz w:val="24"/>
                <w:szCs w:val="24"/>
              </w:rPr>
            </w:pPr>
          </w:p>
          <w:p w14:paraId="3CB7A487" w14:textId="28DB198B"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The case study I will critically reflect upon is from my first year working within the Hospital Social Work</w:t>
            </w:r>
            <w:r w:rsidR="00A31870">
              <w:rPr>
                <w:rFonts w:eastAsia="Calibri"/>
                <w:color w:val="auto"/>
                <w:sz w:val="24"/>
                <w:szCs w:val="24"/>
                <w:lang w:eastAsia="en-US"/>
              </w:rPr>
              <w:t xml:space="preserve"> (SW)</w:t>
            </w:r>
            <w:r w:rsidRPr="005C6188">
              <w:rPr>
                <w:rFonts w:eastAsia="Calibri"/>
                <w:color w:val="auto"/>
                <w:sz w:val="24"/>
                <w:szCs w:val="24"/>
                <w:lang w:eastAsia="en-US"/>
              </w:rPr>
              <w:t xml:space="preserve"> Discharge Team. The individual was an older person who had experienced a life changing stroke and required an assessment of their care and support needs to facilitate a safe discharge out of hospital. Because the stroke had impacted on their cognitive and physical abilities an assessment of their mental capacity was required alongside Best Interest decision making as well as ensuring any safeguarding risks were considered and managed.</w:t>
            </w:r>
          </w:p>
          <w:p w14:paraId="6C2FB23F"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7CD61E9B"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I will consider and critically reflect upon the processes that I followed, alongside the adherence to relevant legislation, policies, and guidance. I will also incorporate the social work theories and methodologies that supported my practice and professional role.</w:t>
            </w:r>
          </w:p>
          <w:p w14:paraId="3D612D19"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540BFD9C" w14:textId="34C211C1"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For confidentiality purposes, I will not disclose specifics in relation to the locality or the identity of any individuals and will reference the individual as </w:t>
            </w:r>
            <w:r w:rsidR="00573A12">
              <w:rPr>
                <w:rFonts w:eastAsia="Calibri"/>
                <w:color w:val="auto"/>
                <w:sz w:val="24"/>
                <w:szCs w:val="24"/>
                <w:lang w:eastAsia="en-US"/>
              </w:rPr>
              <w:t>1</w:t>
            </w:r>
            <w:r w:rsidRPr="005C6188">
              <w:rPr>
                <w:rFonts w:eastAsia="Calibri"/>
                <w:color w:val="auto"/>
                <w:sz w:val="24"/>
                <w:szCs w:val="24"/>
                <w:lang w:eastAsia="en-US"/>
              </w:rPr>
              <w:t xml:space="preserve"> for ease. </w:t>
            </w:r>
          </w:p>
          <w:p w14:paraId="6B0D283B"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72CD421D"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Throughout my time reflecting I have utilised and incorporated the Kolb’s reflective model (Kolb, 2014), and evidenced how this supported my analytical and critical decision making. </w:t>
            </w:r>
          </w:p>
          <w:p w14:paraId="476E34EA"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69F0E1E0" w14:textId="02A72AAB"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The Case Study focuses on a 60-year-old male, who is white Welsh origin, and preferred language was spoken English. </w:t>
            </w:r>
            <w:r w:rsidR="00952C9C">
              <w:rPr>
                <w:rFonts w:eastAsia="Calibri"/>
                <w:color w:val="auto"/>
                <w:sz w:val="24"/>
                <w:szCs w:val="24"/>
                <w:lang w:eastAsia="en-US"/>
              </w:rPr>
              <w:t>1</w:t>
            </w:r>
            <w:r w:rsidRPr="005C6188">
              <w:rPr>
                <w:rFonts w:eastAsia="Calibri"/>
                <w:color w:val="auto"/>
                <w:sz w:val="24"/>
                <w:szCs w:val="24"/>
                <w:lang w:eastAsia="en-US"/>
              </w:rPr>
              <w:t xml:space="preserve"> lived in an urban area that experienced high levels of deprivation and poverty. When an individual is described as experiencing relative income poverty in Wales, this means that the individuals’ total everyday income is no more than </w:t>
            </w:r>
            <w:r w:rsidRPr="005C6188">
              <w:rPr>
                <w:rFonts w:eastAsia="Calibri"/>
                <w:color w:val="auto"/>
                <w:sz w:val="24"/>
                <w:szCs w:val="24"/>
                <w:lang w:eastAsia="en-US"/>
              </w:rPr>
              <w:lastRenderedPageBreak/>
              <w:t>60% of the typical UK household income (Welsh Government, 2021). The Welsh Government (WG) state “Between 2017-2018 and 2019-2020, 23% of all people in Wales were living in relative income poverty” (Welsh Government, 2021). Subsequently, research suggests that for working-age adults in Wales levels of relative income poverty have remained static over many years, in contra</w:t>
            </w:r>
            <w:r w:rsidR="00785216">
              <w:rPr>
                <w:rFonts w:eastAsia="Calibri"/>
                <w:color w:val="auto"/>
                <w:sz w:val="24"/>
                <w:szCs w:val="24"/>
                <w:lang w:eastAsia="en-US"/>
              </w:rPr>
              <w:t>s</w:t>
            </w:r>
            <w:r w:rsidRPr="005C6188">
              <w:rPr>
                <w:rFonts w:eastAsia="Calibri"/>
                <w:color w:val="auto"/>
                <w:sz w:val="24"/>
                <w:szCs w:val="24"/>
                <w:lang w:eastAsia="en-US"/>
              </w:rPr>
              <w:t xml:space="preserve">t to other countries within the UK, and at higher rates than most places within the UK (Welsh Government, 2021). </w:t>
            </w:r>
          </w:p>
          <w:p w14:paraId="59164BA7"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47613A7B" w14:textId="1BB05BA2" w:rsidR="005C6188" w:rsidRPr="005C6188" w:rsidRDefault="00952C9C" w:rsidP="005C6188">
            <w:pPr>
              <w:overflowPunct/>
              <w:autoSpaceDE/>
              <w:autoSpaceDN/>
              <w:adjustRightInd/>
              <w:textAlignment w:val="auto"/>
              <w:rPr>
                <w:rFonts w:eastAsia="Calibri"/>
                <w:color w:val="auto"/>
                <w:sz w:val="24"/>
                <w:szCs w:val="24"/>
                <w:lang w:eastAsia="en-US"/>
              </w:rPr>
            </w:pPr>
            <w:r>
              <w:rPr>
                <w:rFonts w:eastAsia="Calibri"/>
                <w:color w:val="auto"/>
                <w:sz w:val="24"/>
                <w:szCs w:val="24"/>
                <w:lang w:eastAsia="en-US"/>
              </w:rPr>
              <w:t>1</w:t>
            </w:r>
            <w:r w:rsidR="005C6188" w:rsidRPr="005C6188">
              <w:rPr>
                <w:rFonts w:eastAsia="Calibri"/>
                <w:color w:val="auto"/>
                <w:sz w:val="24"/>
                <w:szCs w:val="24"/>
                <w:lang w:eastAsia="en-US"/>
              </w:rPr>
              <w:t xml:space="preserve"> is divorced with 3 adult children and has lived alone during his later years extremely independently, with support from his children and immediate family members. There were concerns raised regarding sibling rivalry whereby different views and opinions were held by various family members, this provided further complexity to the case and increased concerns for the Local Health Board that family members were considering their own needs before </w:t>
            </w:r>
            <w:r w:rsidR="00583241">
              <w:rPr>
                <w:rFonts w:eastAsia="Calibri"/>
                <w:color w:val="auto"/>
                <w:sz w:val="24"/>
                <w:szCs w:val="24"/>
                <w:lang w:eastAsia="en-US"/>
              </w:rPr>
              <w:t>1</w:t>
            </w:r>
            <w:r w:rsidR="005C6188" w:rsidRPr="005C6188">
              <w:rPr>
                <w:rFonts w:eastAsia="Calibri"/>
                <w:color w:val="auto"/>
                <w:sz w:val="24"/>
                <w:szCs w:val="24"/>
                <w:lang w:eastAsia="en-US"/>
              </w:rPr>
              <w:t xml:space="preserve">’s. The concerns were considered to have the potential to require to be escalated as a safeguarding risk. </w:t>
            </w:r>
          </w:p>
          <w:p w14:paraId="780D6157"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345C2C95" w14:textId="08E36A4C"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I ascertained that immediately prior to hospital admission, </w:t>
            </w:r>
            <w:r w:rsidR="00583241">
              <w:rPr>
                <w:rFonts w:eastAsia="Calibri"/>
                <w:color w:val="auto"/>
                <w:sz w:val="24"/>
                <w:szCs w:val="24"/>
                <w:lang w:eastAsia="en-US"/>
              </w:rPr>
              <w:t>1</w:t>
            </w:r>
            <w:r w:rsidRPr="005C6188">
              <w:rPr>
                <w:rFonts w:eastAsia="Calibri"/>
                <w:color w:val="auto"/>
                <w:sz w:val="24"/>
                <w:szCs w:val="24"/>
                <w:lang w:eastAsia="en-US"/>
              </w:rPr>
              <w:t xml:space="preserve">’s son described his father as presenting as extremely unwell, being extremely confused alongside losing his ability to physically function as he normally would. On admission to hospital and following initial medical investigations it was established that </w:t>
            </w:r>
            <w:r w:rsidR="0062709C">
              <w:rPr>
                <w:rFonts w:eastAsia="Calibri"/>
                <w:color w:val="auto"/>
                <w:sz w:val="24"/>
                <w:szCs w:val="24"/>
                <w:lang w:eastAsia="en-US"/>
              </w:rPr>
              <w:t>1</w:t>
            </w:r>
            <w:r w:rsidRPr="005C6188">
              <w:rPr>
                <w:rFonts w:eastAsia="Calibri"/>
                <w:color w:val="auto"/>
                <w:sz w:val="24"/>
                <w:szCs w:val="24"/>
                <w:lang w:eastAsia="en-US"/>
              </w:rPr>
              <w:t xml:space="preserve"> had experienced a major stroke which had impacted on his physical and cognitive ability. </w:t>
            </w:r>
          </w:p>
          <w:p w14:paraId="3F8219BA" w14:textId="77777777" w:rsidR="001D6931" w:rsidRPr="0077550A" w:rsidRDefault="001D6931" w:rsidP="005C6188">
            <w:pPr>
              <w:overflowPunct/>
              <w:autoSpaceDE/>
              <w:autoSpaceDN/>
              <w:adjustRightInd/>
              <w:textAlignment w:val="auto"/>
              <w:rPr>
                <w:rFonts w:eastAsia="Calibri"/>
                <w:color w:val="auto"/>
                <w:sz w:val="24"/>
                <w:szCs w:val="24"/>
                <w:lang w:eastAsia="en-US"/>
              </w:rPr>
            </w:pPr>
          </w:p>
          <w:p w14:paraId="4F273236" w14:textId="2B4CE9DA"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Subsequently, </w:t>
            </w:r>
            <w:r w:rsidR="0062709C">
              <w:rPr>
                <w:rFonts w:eastAsia="Calibri"/>
                <w:color w:val="auto"/>
                <w:sz w:val="24"/>
                <w:szCs w:val="24"/>
                <w:lang w:eastAsia="en-US"/>
              </w:rPr>
              <w:t>1</w:t>
            </w:r>
            <w:r w:rsidRPr="005C6188">
              <w:rPr>
                <w:rFonts w:eastAsia="Calibri"/>
                <w:color w:val="auto"/>
                <w:sz w:val="24"/>
                <w:szCs w:val="24"/>
                <w:lang w:eastAsia="en-US"/>
              </w:rPr>
              <w:t>’ presentation in relation to his cognitive functioning</w:t>
            </w:r>
            <w:r w:rsidR="00BB3A42">
              <w:rPr>
                <w:rFonts w:eastAsia="Calibri"/>
                <w:color w:val="auto"/>
                <w:sz w:val="24"/>
                <w:szCs w:val="24"/>
                <w:lang w:eastAsia="en-US"/>
              </w:rPr>
              <w:t xml:space="preserve"> </w:t>
            </w:r>
            <w:r w:rsidRPr="005C6188">
              <w:rPr>
                <w:rFonts w:eastAsia="Calibri"/>
                <w:color w:val="auto"/>
                <w:sz w:val="24"/>
                <w:szCs w:val="24"/>
                <w:lang w:eastAsia="en-US"/>
              </w:rPr>
              <w:t xml:space="preserve">deteriorated further, whereby extreme confusion was evident, alongside agitation and challenging behaviour. Therefore, the hospital ward required the intervention and support from the hospital social work team, to provide an assessment of </w:t>
            </w:r>
            <w:r w:rsidR="009E77B8">
              <w:rPr>
                <w:rFonts w:eastAsia="Calibri"/>
                <w:color w:val="auto"/>
                <w:sz w:val="24"/>
                <w:szCs w:val="24"/>
                <w:lang w:eastAsia="en-US"/>
              </w:rPr>
              <w:t>1</w:t>
            </w:r>
            <w:r w:rsidRPr="005C6188">
              <w:rPr>
                <w:rFonts w:eastAsia="Calibri"/>
                <w:color w:val="auto"/>
                <w:sz w:val="24"/>
                <w:szCs w:val="24"/>
                <w:lang w:eastAsia="en-US"/>
              </w:rPr>
              <w:t>’s long term care and support needs alongside an assessment of his Capacity to make informed decisions including the decision of whether he was able to return to his own home.</w:t>
            </w:r>
          </w:p>
          <w:p w14:paraId="2DBE128B"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6FDA1890" w14:textId="2CB20C46"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The Social Services and Wellbeing (Wales) Act 2014 (SSWBWA) “provides the legal framework for improving the wellbeing of people who need care and support, and carers who need support, transforming social services in Wales” (SCW, 2017). The key principles within the SSWBWA </w:t>
            </w:r>
            <w:r w:rsidR="00B94C27" w:rsidRPr="0077550A">
              <w:rPr>
                <w:rFonts w:eastAsia="Calibri"/>
                <w:color w:val="auto"/>
                <w:sz w:val="24"/>
                <w:szCs w:val="24"/>
                <w:lang w:eastAsia="en-US"/>
              </w:rPr>
              <w:t>are</w:t>
            </w:r>
            <w:r w:rsidRPr="005C6188">
              <w:rPr>
                <w:rFonts w:eastAsia="Calibri"/>
                <w:color w:val="auto"/>
                <w:sz w:val="24"/>
                <w:szCs w:val="24"/>
                <w:lang w:eastAsia="en-US"/>
              </w:rPr>
              <w:t xml:space="preserve"> voice and control, prevention and early intervention, wellbeing, co-</w:t>
            </w:r>
            <w:r w:rsidR="001F79FA" w:rsidRPr="005C6188">
              <w:rPr>
                <w:rFonts w:eastAsia="Calibri"/>
                <w:color w:val="auto"/>
                <w:sz w:val="24"/>
                <w:szCs w:val="24"/>
                <w:lang w:eastAsia="en-US"/>
              </w:rPr>
              <w:t>production,</w:t>
            </w:r>
            <w:r w:rsidRPr="005C6188">
              <w:rPr>
                <w:rFonts w:eastAsia="Calibri"/>
                <w:color w:val="auto"/>
                <w:sz w:val="24"/>
                <w:szCs w:val="24"/>
                <w:lang w:eastAsia="en-US"/>
              </w:rPr>
              <w:t xml:space="preserve"> and multi-agency (SCW, 2017).   </w:t>
            </w:r>
          </w:p>
          <w:p w14:paraId="1CED43C0"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554CE4E8"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Part 7 of the SSWBWA outlines when an adult may be identified to be at risk and determines how Local Authorities must support an individual who may require care and support or is experiencing or likely to experience abuse or neglect.</w:t>
            </w:r>
          </w:p>
          <w:p w14:paraId="01F66F0D"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660F063C" w14:textId="1B41EDB1"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In November 2021, I initiated the assessment process for </w:t>
            </w:r>
            <w:r w:rsidR="00BF1F70">
              <w:rPr>
                <w:rFonts w:eastAsia="Calibri"/>
                <w:color w:val="auto"/>
                <w:sz w:val="24"/>
                <w:szCs w:val="24"/>
                <w:lang w:eastAsia="en-US"/>
              </w:rPr>
              <w:t>1</w:t>
            </w:r>
            <w:r w:rsidRPr="005C6188">
              <w:rPr>
                <w:rFonts w:eastAsia="Calibri"/>
                <w:color w:val="auto"/>
                <w:sz w:val="24"/>
                <w:szCs w:val="24"/>
                <w:lang w:eastAsia="en-US"/>
              </w:rPr>
              <w:t xml:space="preserve">, this involved adopting a multi-agency approach to ensure I was able to collect all crucial information. I did this by liaising with </w:t>
            </w:r>
            <w:r w:rsidR="00BF1F70">
              <w:rPr>
                <w:rFonts w:eastAsia="Calibri"/>
                <w:color w:val="auto"/>
                <w:sz w:val="24"/>
                <w:szCs w:val="24"/>
                <w:lang w:eastAsia="en-US"/>
              </w:rPr>
              <w:t>1</w:t>
            </w:r>
            <w:r w:rsidR="00EA2C55">
              <w:rPr>
                <w:rFonts w:eastAsia="Calibri"/>
                <w:color w:val="auto"/>
                <w:sz w:val="24"/>
                <w:szCs w:val="24"/>
                <w:lang w:eastAsia="en-US"/>
              </w:rPr>
              <w:t>’s</w:t>
            </w:r>
            <w:r w:rsidRPr="005C6188">
              <w:rPr>
                <w:rFonts w:eastAsia="Calibri"/>
                <w:color w:val="auto"/>
                <w:sz w:val="24"/>
                <w:szCs w:val="24"/>
                <w:lang w:eastAsia="en-US"/>
              </w:rPr>
              <w:t xml:space="preserve"> family, the medical team, ward sister, doctors, mental health specialists, physiotherapists, and occupational therapists. By working </w:t>
            </w:r>
            <w:r w:rsidR="003F52BC" w:rsidRPr="005C6188">
              <w:rPr>
                <w:rFonts w:eastAsia="Calibri"/>
                <w:color w:val="auto"/>
                <w:sz w:val="24"/>
                <w:szCs w:val="24"/>
                <w:lang w:eastAsia="en-US"/>
              </w:rPr>
              <w:t>collaboratively,</w:t>
            </w:r>
            <w:r w:rsidRPr="005C6188">
              <w:rPr>
                <w:rFonts w:eastAsia="Calibri"/>
                <w:color w:val="auto"/>
                <w:sz w:val="24"/>
                <w:szCs w:val="24"/>
                <w:lang w:eastAsia="en-US"/>
              </w:rPr>
              <w:t xml:space="preserve"> I was aiming to prevent miscommunication or misinformation, in order to achieve the main objective, which was to </w:t>
            </w:r>
            <w:r w:rsidR="00840F6E" w:rsidRPr="0077550A">
              <w:rPr>
                <w:rFonts w:eastAsia="Calibri"/>
                <w:color w:val="auto"/>
                <w:sz w:val="24"/>
                <w:szCs w:val="24"/>
                <w:lang w:eastAsia="en-US"/>
              </w:rPr>
              <w:t xml:space="preserve">support </w:t>
            </w:r>
            <w:r w:rsidR="003F52BC">
              <w:rPr>
                <w:rFonts w:eastAsia="Calibri"/>
                <w:color w:val="auto"/>
                <w:sz w:val="24"/>
                <w:szCs w:val="24"/>
                <w:lang w:eastAsia="en-US"/>
              </w:rPr>
              <w:t>1</w:t>
            </w:r>
            <w:r w:rsidR="00840F6E" w:rsidRPr="0077550A">
              <w:rPr>
                <w:rFonts w:eastAsia="Calibri"/>
                <w:color w:val="auto"/>
                <w:sz w:val="24"/>
                <w:szCs w:val="24"/>
                <w:lang w:eastAsia="en-US"/>
              </w:rPr>
              <w:t>’s</w:t>
            </w:r>
            <w:r w:rsidRPr="005C6188">
              <w:rPr>
                <w:rFonts w:eastAsia="Calibri"/>
                <w:color w:val="auto"/>
                <w:sz w:val="24"/>
                <w:szCs w:val="24"/>
                <w:lang w:eastAsia="en-US"/>
              </w:rPr>
              <w:t xml:space="preserve"> safe discharge from hospital appropriately.  </w:t>
            </w:r>
          </w:p>
          <w:p w14:paraId="696F14B2"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6579ECE5" w14:textId="7335EDB5"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lastRenderedPageBreak/>
              <w:t xml:space="preserve">From meeting </w:t>
            </w:r>
            <w:r w:rsidR="003F52BC">
              <w:rPr>
                <w:rFonts w:eastAsia="Calibri"/>
                <w:color w:val="auto"/>
                <w:sz w:val="24"/>
                <w:szCs w:val="24"/>
                <w:lang w:eastAsia="en-US"/>
              </w:rPr>
              <w:t>1</w:t>
            </w:r>
            <w:r w:rsidRPr="005C6188">
              <w:rPr>
                <w:rFonts w:eastAsia="Calibri"/>
                <w:color w:val="auto"/>
                <w:sz w:val="24"/>
                <w:szCs w:val="24"/>
                <w:lang w:eastAsia="en-US"/>
              </w:rPr>
              <w:t xml:space="preserve"> and observing him and liaising with health staff I was able to ascertain that he was experiencing severe cognition deterioration and confusion, placing himself and others at risk. </w:t>
            </w:r>
            <w:r w:rsidR="0007706B">
              <w:rPr>
                <w:rFonts w:eastAsia="Calibri"/>
                <w:color w:val="auto"/>
                <w:sz w:val="24"/>
                <w:szCs w:val="24"/>
                <w:lang w:eastAsia="en-US"/>
              </w:rPr>
              <w:t>1</w:t>
            </w:r>
            <w:r w:rsidRPr="005C6188">
              <w:rPr>
                <w:rFonts w:eastAsia="Calibri"/>
                <w:color w:val="auto"/>
                <w:sz w:val="24"/>
                <w:szCs w:val="24"/>
                <w:lang w:eastAsia="en-US"/>
              </w:rPr>
              <w:t>’s behavioural presentation, and his desire to return home, was an indication that he did not have insight or capacity in relation to his current care and support needs or the medical and health interventions that were required.</w:t>
            </w:r>
          </w:p>
          <w:p w14:paraId="1181ED2D"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4074A4F9" w14:textId="01F76B7D"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It soon became apparent to me that </w:t>
            </w:r>
            <w:r w:rsidR="0007706B">
              <w:rPr>
                <w:rFonts w:eastAsia="Calibri"/>
                <w:color w:val="auto"/>
                <w:sz w:val="24"/>
                <w:szCs w:val="24"/>
                <w:lang w:eastAsia="en-US"/>
              </w:rPr>
              <w:t>1</w:t>
            </w:r>
            <w:r w:rsidRPr="005C6188">
              <w:rPr>
                <w:rFonts w:eastAsia="Calibri"/>
                <w:color w:val="auto"/>
                <w:sz w:val="24"/>
                <w:szCs w:val="24"/>
                <w:lang w:eastAsia="en-US"/>
              </w:rPr>
              <w:t xml:space="preserve"> was being deprived of his liberty within the hospital ward and was not able to provide consent for the health and medical interventions he was receiving. He was in effect being held on the ward against his wishes. </w:t>
            </w:r>
          </w:p>
          <w:p w14:paraId="55E9C530"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043EAF63" w14:textId="09A839ED"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I took a rights-based approach to my interventions by ensuring that the ward implemented a Deprivation of Liberty Safeguard (DoLS) to protect both </w:t>
            </w:r>
            <w:r w:rsidR="00247324">
              <w:rPr>
                <w:rFonts w:eastAsia="Calibri"/>
                <w:color w:val="auto"/>
                <w:sz w:val="24"/>
                <w:szCs w:val="24"/>
                <w:lang w:eastAsia="en-US"/>
              </w:rPr>
              <w:t>1</w:t>
            </w:r>
            <w:r w:rsidRPr="005C6188">
              <w:rPr>
                <w:rFonts w:eastAsia="Calibri"/>
                <w:color w:val="auto"/>
                <w:sz w:val="24"/>
                <w:szCs w:val="24"/>
                <w:lang w:eastAsia="en-US"/>
              </w:rPr>
              <w:t xml:space="preserve"> and the Local Health Board. This legislation is informed by the Human Rights Act, within Article 5, which states, “everyone has the right to liberty and security of person. No one shall be deprived of his or her liberty [unless] in accordance with a procedure prescribed in law” </w:t>
            </w:r>
            <w:r w:rsidR="00A511DB" w:rsidRPr="0077550A">
              <w:rPr>
                <w:rFonts w:eastAsia="Calibri"/>
                <w:color w:val="auto"/>
                <w:sz w:val="24"/>
                <w:szCs w:val="24"/>
                <w:lang w:eastAsia="en-US"/>
              </w:rPr>
              <w:t>(SCIE</w:t>
            </w:r>
            <w:r w:rsidRPr="005C6188">
              <w:rPr>
                <w:rFonts w:eastAsia="Calibri"/>
                <w:color w:val="auto"/>
                <w:sz w:val="24"/>
                <w:szCs w:val="24"/>
                <w:lang w:eastAsia="en-US"/>
              </w:rPr>
              <w:t xml:space="preserve">, 2020). </w:t>
            </w:r>
          </w:p>
          <w:p w14:paraId="73DB207C"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387A25BD" w14:textId="5B93B4DB"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DoLS now form part of the Mental Capacity Act 2005, which have been implemented in England and Wales only, whereby restraints and restrictions can be utilised, but only if it is deemed to be in the best interest of an individual. When these restrictions and restraints are incorporated whereby it deprives an individual of their liberty, extra safeguard measures are implemented, known as DoLS (</w:t>
            </w:r>
            <w:r w:rsidR="00A511DB" w:rsidRPr="0077550A">
              <w:rPr>
                <w:rFonts w:eastAsia="Calibri"/>
                <w:color w:val="auto"/>
                <w:sz w:val="24"/>
                <w:szCs w:val="24"/>
                <w:lang w:eastAsia="en-US"/>
              </w:rPr>
              <w:t>SCIE,</w:t>
            </w:r>
            <w:r w:rsidRPr="005C6188">
              <w:rPr>
                <w:rFonts w:eastAsia="Calibri"/>
                <w:color w:val="auto"/>
                <w:sz w:val="24"/>
                <w:szCs w:val="24"/>
                <w:lang w:eastAsia="en-US"/>
              </w:rPr>
              <w:t xml:space="preserve"> 2020). </w:t>
            </w:r>
          </w:p>
          <w:p w14:paraId="4106A4B1"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36E8FCC2" w14:textId="5A86EBE3"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color w:val="auto"/>
                <w:sz w:val="24"/>
                <w:szCs w:val="24"/>
                <w:lang w:eastAsia="en-US"/>
              </w:rPr>
              <w:t xml:space="preserve">When a hospital or care home environment are required to undertake a DoLS, best practice is to seek consent from the Local Authority when depriving an individual of their liberty. This is known as ‘requesting a standard authorisation’ </w:t>
            </w:r>
            <w:r w:rsidR="00A511DB" w:rsidRPr="0077550A">
              <w:rPr>
                <w:rFonts w:eastAsia="Calibri"/>
                <w:color w:val="auto"/>
                <w:sz w:val="24"/>
                <w:szCs w:val="24"/>
                <w:lang w:eastAsia="en-US"/>
              </w:rPr>
              <w:t>(SCIE,</w:t>
            </w:r>
            <w:r w:rsidRPr="005C6188">
              <w:rPr>
                <w:rFonts w:eastAsia="Calibri"/>
                <w:color w:val="auto"/>
                <w:sz w:val="24"/>
                <w:szCs w:val="24"/>
                <w:lang w:eastAsia="en-US"/>
              </w:rPr>
              <w:t xml:space="preserve"> 2020). Applications can also be made to the Court of Public Protection who can also approve a </w:t>
            </w:r>
            <w:r w:rsidRPr="005C6188">
              <w:rPr>
                <w:rFonts w:eastAsia="Calibri"/>
                <w:sz w:val="24"/>
                <w:szCs w:val="24"/>
                <w:lang w:eastAsia="en-US"/>
              </w:rPr>
              <w:t xml:space="preserve">deprivation of liberty. </w:t>
            </w:r>
          </w:p>
          <w:p w14:paraId="23356BE1" w14:textId="77777777" w:rsidR="005C6188" w:rsidRPr="005C6188" w:rsidRDefault="005C6188" w:rsidP="005C6188">
            <w:pPr>
              <w:overflowPunct/>
              <w:autoSpaceDE/>
              <w:autoSpaceDN/>
              <w:adjustRightInd/>
              <w:textAlignment w:val="auto"/>
              <w:rPr>
                <w:rFonts w:eastAsia="Calibri"/>
                <w:sz w:val="24"/>
                <w:szCs w:val="24"/>
                <w:lang w:eastAsia="en-US"/>
              </w:rPr>
            </w:pPr>
          </w:p>
          <w:p w14:paraId="53786291" w14:textId="2B7CACC9"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By ensuring that the ward implemented the DoLS, I was evidencing the Action phase of Schons Reflective Model (Schon, 1983). I was able to identify a key strength of my ability to demonstrate my knowledge in relation to legislation and my professional judgement in relation to when it was appropriate to use it within my practice. I evidenced robust partnership working for the benefit of the individual by being able to draw on the positive working relationships I had developed when requesting that the health staff ensured that a D</w:t>
            </w:r>
            <w:r w:rsidR="00952A53">
              <w:rPr>
                <w:rFonts w:eastAsia="Calibri"/>
                <w:sz w:val="24"/>
                <w:szCs w:val="24"/>
                <w:lang w:eastAsia="en-US"/>
              </w:rPr>
              <w:t>o</w:t>
            </w:r>
            <w:r w:rsidRPr="005C6188">
              <w:rPr>
                <w:rFonts w:eastAsia="Calibri"/>
                <w:sz w:val="24"/>
                <w:szCs w:val="24"/>
                <w:lang w:eastAsia="en-US"/>
              </w:rPr>
              <w:t>LS was in place.</w:t>
            </w:r>
          </w:p>
          <w:p w14:paraId="4C6A279F" w14:textId="77777777" w:rsidR="005C6188" w:rsidRPr="005C6188" w:rsidRDefault="005C6188" w:rsidP="005C6188">
            <w:pPr>
              <w:overflowPunct/>
              <w:autoSpaceDE/>
              <w:autoSpaceDN/>
              <w:adjustRightInd/>
              <w:textAlignment w:val="auto"/>
              <w:rPr>
                <w:rFonts w:eastAsia="Calibri"/>
                <w:sz w:val="24"/>
                <w:szCs w:val="24"/>
                <w:lang w:eastAsia="en-US"/>
              </w:rPr>
            </w:pPr>
          </w:p>
          <w:p w14:paraId="1F7EDB86" w14:textId="4EEA28F7" w:rsidR="005C6188" w:rsidRPr="005C6188" w:rsidRDefault="005C6188" w:rsidP="005C6188">
            <w:pPr>
              <w:overflowPunct/>
              <w:autoSpaceDE/>
              <w:autoSpaceDN/>
              <w:adjustRightInd/>
              <w:textAlignment w:val="auto"/>
              <w:rPr>
                <w:rFonts w:eastAsia="Calibri"/>
                <w:color w:val="FF0000"/>
                <w:sz w:val="24"/>
                <w:szCs w:val="24"/>
                <w:lang w:eastAsia="en-US"/>
              </w:rPr>
            </w:pPr>
            <w:r w:rsidRPr="005C6188">
              <w:rPr>
                <w:rFonts w:eastAsia="Calibri"/>
                <w:sz w:val="24"/>
                <w:szCs w:val="24"/>
                <w:lang w:eastAsia="en-US"/>
              </w:rPr>
              <w:t xml:space="preserve">I also considered the Codes of Professional Practice (COP), section 4, which state “you must respect the rights of individuals while seeking to ensure that their behaviour does not harm themselves or other </w:t>
            </w:r>
            <w:r w:rsidRPr="005C6188">
              <w:rPr>
                <w:rFonts w:eastAsia="Calibri"/>
                <w:color w:val="auto"/>
                <w:sz w:val="24"/>
                <w:szCs w:val="24"/>
                <w:lang w:eastAsia="en-US"/>
              </w:rPr>
              <w:t>people (SCW, 2017). I believe I evidenced adherence to the COP by spending time with</w:t>
            </w:r>
            <w:r w:rsidR="00936054">
              <w:rPr>
                <w:rFonts w:eastAsia="Calibri"/>
                <w:color w:val="auto"/>
                <w:sz w:val="24"/>
                <w:szCs w:val="24"/>
                <w:lang w:eastAsia="en-US"/>
              </w:rPr>
              <w:t xml:space="preserve"> 1</w:t>
            </w:r>
            <w:r w:rsidRPr="005C6188">
              <w:rPr>
                <w:rFonts w:eastAsia="Calibri"/>
                <w:color w:val="auto"/>
                <w:sz w:val="24"/>
                <w:szCs w:val="24"/>
                <w:lang w:eastAsia="en-US"/>
              </w:rPr>
              <w:t xml:space="preserve"> to help me understand his wishes and feelings and determining that he lacked capacity to make decisions about his current arrangements and interventions and that his human rights were being breached and </w:t>
            </w:r>
            <w:r w:rsidR="00775B26" w:rsidRPr="0077550A">
              <w:rPr>
                <w:rFonts w:eastAsia="Calibri"/>
                <w:color w:val="auto"/>
                <w:sz w:val="24"/>
                <w:szCs w:val="24"/>
                <w:lang w:eastAsia="en-US"/>
              </w:rPr>
              <w:t>therefore the Do</w:t>
            </w:r>
            <w:r w:rsidRPr="005C6188">
              <w:rPr>
                <w:rFonts w:eastAsia="Calibri"/>
                <w:color w:val="auto"/>
                <w:sz w:val="24"/>
                <w:szCs w:val="24"/>
                <w:lang w:eastAsia="en-US"/>
              </w:rPr>
              <w:t>LS needed to be applied.</w:t>
            </w:r>
          </w:p>
          <w:p w14:paraId="60B87892" w14:textId="77777777" w:rsidR="005C6188" w:rsidRPr="005C6188" w:rsidRDefault="005C6188" w:rsidP="005C6188">
            <w:pPr>
              <w:overflowPunct/>
              <w:autoSpaceDE/>
              <w:autoSpaceDN/>
              <w:adjustRightInd/>
              <w:textAlignment w:val="auto"/>
              <w:rPr>
                <w:rFonts w:eastAsia="Calibri"/>
                <w:color w:val="FF0000"/>
                <w:sz w:val="24"/>
                <w:szCs w:val="24"/>
                <w:lang w:eastAsia="en-US"/>
              </w:rPr>
            </w:pPr>
          </w:p>
          <w:p w14:paraId="1FF67187" w14:textId="71CC5553"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I sought clarification throughout supervision to ensure I had undertaken the process correctly, which had been confirmed by my mentor. I recall positive emotions due to my sense of achievement especially as in the initial stages within the role I identified that a learning need of mine was to develop my knowledge </w:t>
            </w:r>
            <w:r w:rsidR="00F30810">
              <w:rPr>
                <w:rFonts w:eastAsia="Calibri"/>
                <w:color w:val="auto"/>
                <w:sz w:val="24"/>
                <w:szCs w:val="24"/>
                <w:lang w:eastAsia="en-US"/>
              </w:rPr>
              <w:t xml:space="preserve">within </w:t>
            </w:r>
            <w:r w:rsidRPr="005C6188">
              <w:rPr>
                <w:rFonts w:eastAsia="Calibri"/>
                <w:color w:val="auto"/>
                <w:sz w:val="24"/>
                <w:szCs w:val="24"/>
                <w:lang w:eastAsia="en-US"/>
              </w:rPr>
              <w:t xml:space="preserve">adult social care legislation and </w:t>
            </w:r>
            <w:r w:rsidRPr="005C6188">
              <w:rPr>
                <w:rFonts w:eastAsia="Calibri"/>
                <w:color w:val="auto"/>
                <w:sz w:val="24"/>
                <w:szCs w:val="24"/>
                <w:lang w:eastAsia="en-US"/>
              </w:rPr>
              <w:lastRenderedPageBreak/>
              <w:t xml:space="preserve">procedures. I also recall a sense of pride, in that I was upholding </w:t>
            </w:r>
            <w:r w:rsidR="007D6931">
              <w:rPr>
                <w:rFonts w:eastAsia="Calibri"/>
                <w:color w:val="auto"/>
                <w:sz w:val="24"/>
                <w:szCs w:val="24"/>
                <w:lang w:eastAsia="en-US"/>
              </w:rPr>
              <w:t xml:space="preserve">1’s </w:t>
            </w:r>
            <w:r w:rsidRPr="005C6188">
              <w:rPr>
                <w:rFonts w:eastAsia="Calibri"/>
                <w:color w:val="auto"/>
                <w:sz w:val="24"/>
                <w:szCs w:val="24"/>
                <w:lang w:eastAsia="en-US"/>
              </w:rPr>
              <w:t>human rights, alongside safeguarding his care needs appropriately</w:t>
            </w:r>
            <w:r w:rsidR="007A07B7" w:rsidRPr="0077550A">
              <w:rPr>
                <w:rFonts w:eastAsia="Calibri"/>
                <w:color w:val="auto"/>
                <w:sz w:val="24"/>
                <w:szCs w:val="24"/>
                <w:lang w:eastAsia="en-US"/>
              </w:rPr>
              <w:t xml:space="preserve"> and thi</w:t>
            </w:r>
            <w:r w:rsidRPr="005C6188">
              <w:rPr>
                <w:rFonts w:eastAsia="Calibri"/>
                <w:color w:val="auto"/>
                <w:sz w:val="24"/>
                <w:szCs w:val="24"/>
                <w:lang w:eastAsia="en-US"/>
              </w:rPr>
              <w:t xml:space="preserve">s of others. </w:t>
            </w:r>
          </w:p>
          <w:p w14:paraId="4C6DFE84"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32C9E9D1"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The Mental Capacity Act (2005) (MCA, 2005) delivers the framework to empower and safeguard a person who may lack capacity when making decisions regarding important events in their lives. Mental Capacity is when you have the capability to make decision about your life, even if they are unwise decisions, and being aware of the potential outcomes and impacts of your decisions.</w:t>
            </w:r>
          </w:p>
          <w:p w14:paraId="071BC4EE" w14:textId="77777777" w:rsidR="005C6188" w:rsidRPr="005C6188" w:rsidRDefault="005C6188" w:rsidP="005C6188">
            <w:pPr>
              <w:overflowPunct/>
              <w:autoSpaceDE/>
              <w:autoSpaceDN/>
              <w:adjustRightInd/>
              <w:textAlignment w:val="auto"/>
              <w:rPr>
                <w:rFonts w:eastAsia="Calibri"/>
                <w:sz w:val="24"/>
                <w:szCs w:val="24"/>
                <w:lang w:eastAsia="en-US"/>
              </w:rPr>
            </w:pPr>
          </w:p>
          <w:p w14:paraId="7A92D009" w14:textId="1B554C6B"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From exploring medical records, discussions with health professionals and family members, I was able to collaboratively communicate with all involved. Undertaking this style of communication within a multi-agency approach, supports sharing information, voicing ideas, and working together to achieve the shared objective of</w:t>
            </w:r>
            <w:r w:rsidR="009551CF" w:rsidRPr="0077550A">
              <w:rPr>
                <w:rFonts w:eastAsia="Calibri"/>
                <w:sz w:val="24"/>
                <w:szCs w:val="24"/>
                <w:lang w:eastAsia="en-US"/>
              </w:rPr>
              <w:t xml:space="preserve"> </w:t>
            </w:r>
            <w:r w:rsidRPr="005C6188">
              <w:rPr>
                <w:rFonts w:eastAsia="Calibri"/>
                <w:sz w:val="24"/>
                <w:szCs w:val="24"/>
                <w:lang w:eastAsia="en-US"/>
              </w:rPr>
              <w:t xml:space="preserve">supporting </w:t>
            </w:r>
            <w:r w:rsidR="009516D3">
              <w:rPr>
                <w:rFonts w:eastAsia="Calibri"/>
                <w:sz w:val="24"/>
                <w:szCs w:val="24"/>
                <w:lang w:eastAsia="en-US"/>
              </w:rPr>
              <w:t>1</w:t>
            </w:r>
            <w:r w:rsidRPr="005C6188">
              <w:rPr>
                <w:rFonts w:eastAsia="Calibri"/>
                <w:sz w:val="24"/>
                <w:szCs w:val="24"/>
                <w:lang w:eastAsia="en-US"/>
              </w:rPr>
              <w:t xml:space="preserve"> with care and support needs alongside facilitating a safe discharge from hospital. </w:t>
            </w:r>
          </w:p>
          <w:p w14:paraId="6D43EF64" w14:textId="77777777" w:rsidR="005C6188" w:rsidRPr="005C6188" w:rsidRDefault="005C6188" w:rsidP="005C6188">
            <w:pPr>
              <w:overflowPunct/>
              <w:autoSpaceDE/>
              <w:autoSpaceDN/>
              <w:adjustRightInd/>
              <w:textAlignment w:val="auto"/>
              <w:rPr>
                <w:rFonts w:eastAsia="Calibri"/>
                <w:sz w:val="24"/>
                <w:szCs w:val="24"/>
                <w:lang w:eastAsia="en-US"/>
              </w:rPr>
            </w:pPr>
          </w:p>
          <w:p w14:paraId="6243AE8F" w14:textId="45319CEA"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Subsequently, this equally enhanced my ability to understand </w:t>
            </w:r>
            <w:r w:rsidR="00D03644">
              <w:rPr>
                <w:rFonts w:eastAsia="Calibri"/>
                <w:sz w:val="24"/>
                <w:szCs w:val="24"/>
                <w:lang w:eastAsia="en-US"/>
              </w:rPr>
              <w:t>1</w:t>
            </w:r>
            <w:r w:rsidRPr="005C6188">
              <w:rPr>
                <w:rFonts w:eastAsia="Calibri"/>
                <w:sz w:val="24"/>
                <w:szCs w:val="24"/>
                <w:lang w:eastAsia="en-US"/>
              </w:rPr>
              <w:t xml:space="preserve">’s health care needs, alongside his cognitive functioning. Health Professionals had implemented a rehabilitation programme for </w:t>
            </w:r>
            <w:r w:rsidR="00D03644">
              <w:rPr>
                <w:rFonts w:eastAsia="Calibri"/>
                <w:sz w:val="24"/>
                <w:szCs w:val="24"/>
                <w:lang w:eastAsia="en-US"/>
              </w:rPr>
              <w:t>1</w:t>
            </w:r>
            <w:r w:rsidRPr="005C6188">
              <w:rPr>
                <w:rFonts w:eastAsia="Calibri"/>
                <w:sz w:val="24"/>
                <w:szCs w:val="24"/>
                <w:lang w:eastAsia="en-US"/>
              </w:rPr>
              <w:t xml:space="preserve"> in relation to his Cognitive, Mental and Physical functioning, however, it had been explained to me and the family that it was their professional opinion that </w:t>
            </w:r>
            <w:r w:rsidR="00D03644">
              <w:rPr>
                <w:rFonts w:eastAsia="Calibri"/>
                <w:sz w:val="24"/>
                <w:szCs w:val="24"/>
                <w:lang w:eastAsia="en-US"/>
              </w:rPr>
              <w:t>1</w:t>
            </w:r>
            <w:r w:rsidRPr="005C6188">
              <w:rPr>
                <w:rFonts w:eastAsia="Calibri"/>
                <w:sz w:val="24"/>
                <w:szCs w:val="24"/>
                <w:lang w:eastAsia="en-US"/>
              </w:rPr>
              <w:t xml:space="preserve"> had reached his new baseline, with little expectations of improvement. </w:t>
            </w:r>
          </w:p>
          <w:p w14:paraId="598C9F0E" w14:textId="77777777" w:rsidR="005C6188" w:rsidRPr="005C6188" w:rsidRDefault="005C6188" w:rsidP="005C6188">
            <w:pPr>
              <w:overflowPunct/>
              <w:autoSpaceDE/>
              <w:autoSpaceDN/>
              <w:adjustRightInd/>
              <w:textAlignment w:val="auto"/>
              <w:rPr>
                <w:rFonts w:eastAsia="Calibri"/>
                <w:sz w:val="24"/>
                <w:szCs w:val="24"/>
                <w:lang w:eastAsia="en-US"/>
              </w:rPr>
            </w:pPr>
          </w:p>
          <w:p w14:paraId="02BEC6A3" w14:textId="419F6F40"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In relation to the concerns regarding </w:t>
            </w:r>
            <w:r w:rsidR="00D03644">
              <w:rPr>
                <w:rFonts w:eastAsia="Calibri"/>
                <w:sz w:val="24"/>
                <w:szCs w:val="24"/>
                <w:lang w:eastAsia="en-US"/>
              </w:rPr>
              <w:t>1</w:t>
            </w:r>
            <w:r w:rsidRPr="005C6188">
              <w:rPr>
                <w:rFonts w:eastAsia="Calibri"/>
                <w:sz w:val="24"/>
                <w:szCs w:val="24"/>
                <w:lang w:eastAsia="en-US"/>
              </w:rPr>
              <w:t xml:space="preserve">’s capacity, I had to undertake a capacity assessment. I was able to identify that </w:t>
            </w:r>
            <w:r w:rsidR="00BB63D4">
              <w:rPr>
                <w:rFonts w:eastAsia="Calibri"/>
                <w:sz w:val="24"/>
                <w:szCs w:val="24"/>
                <w:lang w:eastAsia="en-US"/>
              </w:rPr>
              <w:t>1</w:t>
            </w:r>
            <w:r w:rsidRPr="005C6188">
              <w:rPr>
                <w:rFonts w:eastAsia="Calibri"/>
                <w:sz w:val="24"/>
                <w:szCs w:val="24"/>
                <w:lang w:eastAsia="en-US"/>
              </w:rPr>
              <w:t xml:space="preserve"> had a medical diagnosis of an ‘impairment of the mind’, which supported, but did not determine the outcome of my assessment. </w:t>
            </w:r>
          </w:p>
          <w:p w14:paraId="6BD719ED" w14:textId="77777777" w:rsidR="005C6188" w:rsidRPr="005C6188" w:rsidRDefault="005C6188" w:rsidP="005C6188">
            <w:pPr>
              <w:overflowPunct/>
              <w:autoSpaceDE/>
              <w:autoSpaceDN/>
              <w:adjustRightInd/>
              <w:textAlignment w:val="auto"/>
              <w:rPr>
                <w:rFonts w:eastAsia="Calibri"/>
                <w:sz w:val="24"/>
                <w:szCs w:val="24"/>
                <w:lang w:eastAsia="en-US"/>
              </w:rPr>
            </w:pPr>
          </w:p>
          <w:p w14:paraId="360A9A94" w14:textId="44F790E0"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When assessing </w:t>
            </w:r>
            <w:r w:rsidR="00BB63D4">
              <w:rPr>
                <w:rFonts w:eastAsia="Calibri"/>
                <w:sz w:val="24"/>
                <w:szCs w:val="24"/>
                <w:lang w:eastAsia="en-US"/>
              </w:rPr>
              <w:t>1</w:t>
            </w:r>
            <w:r w:rsidR="00A27D41" w:rsidRPr="0077550A">
              <w:rPr>
                <w:rFonts w:eastAsia="Calibri"/>
                <w:sz w:val="24"/>
                <w:szCs w:val="24"/>
                <w:lang w:eastAsia="en-US"/>
              </w:rPr>
              <w:t>’</w:t>
            </w:r>
            <w:r w:rsidRPr="005C6188">
              <w:rPr>
                <w:rFonts w:eastAsia="Calibri"/>
                <w:sz w:val="24"/>
                <w:szCs w:val="24"/>
                <w:lang w:eastAsia="en-US"/>
              </w:rPr>
              <w:t xml:space="preserve">s mental capacity I ensured I was fully conversant with the processes outlined in the MCA. I assessed his ability to provide accurate information relating to past events which he was able to do satisfactorily, however he evidenced many inaccuracies in relation to more recent current affairs. </w:t>
            </w:r>
            <w:r w:rsidR="00BB63D4">
              <w:rPr>
                <w:rFonts w:eastAsia="Calibri"/>
                <w:sz w:val="24"/>
                <w:szCs w:val="24"/>
                <w:lang w:eastAsia="en-US"/>
              </w:rPr>
              <w:t>1</w:t>
            </w:r>
            <w:r w:rsidRPr="005C6188">
              <w:rPr>
                <w:rFonts w:eastAsia="Calibri"/>
                <w:sz w:val="24"/>
                <w:szCs w:val="24"/>
                <w:lang w:eastAsia="en-US"/>
              </w:rPr>
              <w:t xml:space="preserve"> was also displaying an inability to retain information and continued to present as extremely confused during all conversations. When exploring with </w:t>
            </w:r>
            <w:r w:rsidR="00BB63D4">
              <w:rPr>
                <w:rFonts w:eastAsia="Calibri"/>
                <w:sz w:val="24"/>
                <w:szCs w:val="24"/>
                <w:lang w:eastAsia="en-US"/>
              </w:rPr>
              <w:t>1</w:t>
            </w:r>
            <w:r w:rsidRPr="005C6188">
              <w:rPr>
                <w:rFonts w:eastAsia="Calibri"/>
                <w:sz w:val="24"/>
                <w:szCs w:val="24"/>
                <w:lang w:eastAsia="en-US"/>
              </w:rPr>
              <w:t xml:space="preserve"> the impact the stroke had on his physical and cognitive abilities, he did not appear to have any insight into these needs nor any of the risk factors they presented. </w:t>
            </w:r>
          </w:p>
          <w:p w14:paraId="4FD8E586" w14:textId="77777777" w:rsidR="005C6188" w:rsidRPr="005C6188" w:rsidRDefault="005C6188" w:rsidP="005C6188">
            <w:pPr>
              <w:overflowPunct/>
              <w:autoSpaceDE/>
              <w:autoSpaceDN/>
              <w:adjustRightInd/>
              <w:textAlignment w:val="auto"/>
              <w:rPr>
                <w:rFonts w:eastAsia="Calibri"/>
                <w:sz w:val="24"/>
                <w:szCs w:val="24"/>
                <w:lang w:eastAsia="en-US"/>
              </w:rPr>
            </w:pPr>
          </w:p>
          <w:p w14:paraId="4EEA23A4" w14:textId="2077C1B4"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Additionally, conversations with </w:t>
            </w:r>
            <w:r w:rsidR="001C6534">
              <w:rPr>
                <w:rFonts w:eastAsia="Calibri"/>
                <w:sz w:val="24"/>
                <w:szCs w:val="24"/>
                <w:lang w:eastAsia="en-US"/>
              </w:rPr>
              <w:t>1</w:t>
            </w:r>
            <w:r w:rsidRPr="005C6188">
              <w:rPr>
                <w:rFonts w:eastAsia="Calibri"/>
                <w:sz w:val="24"/>
                <w:szCs w:val="24"/>
                <w:lang w:eastAsia="en-US"/>
              </w:rPr>
              <w:t xml:space="preserve"> evidenced his inability to weigh the information up to make an informed decision regarding his health care needs or his discharge plan. He was also unable to recall, retain or repeat back information during these conversations.</w:t>
            </w:r>
          </w:p>
          <w:p w14:paraId="07661BE1" w14:textId="77777777" w:rsidR="005C6188" w:rsidRPr="005C6188" w:rsidRDefault="005C6188" w:rsidP="005C6188">
            <w:pPr>
              <w:overflowPunct/>
              <w:autoSpaceDE/>
              <w:autoSpaceDN/>
              <w:adjustRightInd/>
              <w:textAlignment w:val="auto"/>
              <w:rPr>
                <w:rFonts w:eastAsia="Calibri"/>
                <w:sz w:val="24"/>
                <w:szCs w:val="24"/>
                <w:lang w:eastAsia="en-US"/>
              </w:rPr>
            </w:pPr>
          </w:p>
          <w:p w14:paraId="73483D49" w14:textId="66DC4CF2"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Therefore, I had gathered and analysed the core information to evidence that a capacity and Best Interest decision would be required. I utilised my knowledge when implementing the various pieces of legislation, policy and procedure, and evidenced use of professional judgement when analytically evaluating that </w:t>
            </w:r>
            <w:r w:rsidR="001C6534">
              <w:rPr>
                <w:rFonts w:eastAsia="Calibri"/>
                <w:sz w:val="24"/>
                <w:szCs w:val="24"/>
                <w:lang w:eastAsia="en-US"/>
              </w:rPr>
              <w:t>1</w:t>
            </w:r>
            <w:r w:rsidRPr="005C6188">
              <w:rPr>
                <w:rFonts w:eastAsia="Calibri"/>
                <w:sz w:val="24"/>
                <w:szCs w:val="24"/>
                <w:lang w:eastAsia="en-US"/>
              </w:rPr>
              <w:t xml:space="preserve"> did not have capacity at this current time which I evidenced through my assessment sessions with </w:t>
            </w:r>
            <w:r w:rsidR="00826E0C">
              <w:rPr>
                <w:rFonts w:eastAsia="Calibri"/>
                <w:sz w:val="24"/>
                <w:szCs w:val="24"/>
                <w:lang w:eastAsia="en-US"/>
              </w:rPr>
              <w:t>1</w:t>
            </w:r>
            <w:r w:rsidRPr="005C6188">
              <w:rPr>
                <w:rFonts w:eastAsia="Calibri"/>
                <w:sz w:val="24"/>
                <w:szCs w:val="24"/>
                <w:lang w:eastAsia="en-US"/>
              </w:rPr>
              <w:t xml:space="preserve"> and my collaboration with other professionals.</w:t>
            </w:r>
          </w:p>
          <w:p w14:paraId="3563FC5A" w14:textId="77777777" w:rsidR="005C6188" w:rsidRPr="005C6188" w:rsidRDefault="005C6188" w:rsidP="005C6188">
            <w:pPr>
              <w:overflowPunct/>
              <w:autoSpaceDE/>
              <w:autoSpaceDN/>
              <w:adjustRightInd/>
              <w:textAlignment w:val="auto"/>
              <w:rPr>
                <w:rFonts w:eastAsia="Calibri"/>
                <w:sz w:val="24"/>
                <w:szCs w:val="24"/>
                <w:lang w:eastAsia="en-US"/>
              </w:rPr>
            </w:pPr>
          </w:p>
          <w:p w14:paraId="57D4D2A6" w14:textId="4DDD6138"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lastRenderedPageBreak/>
              <w:t xml:space="preserve">Equally, the medical team had documented that </w:t>
            </w:r>
            <w:r w:rsidR="00826E0C">
              <w:rPr>
                <w:rFonts w:eastAsia="Calibri"/>
                <w:sz w:val="24"/>
                <w:szCs w:val="24"/>
                <w:lang w:eastAsia="en-US"/>
              </w:rPr>
              <w:t>1</w:t>
            </w:r>
            <w:r w:rsidRPr="005C6188">
              <w:rPr>
                <w:rFonts w:eastAsia="Calibri"/>
                <w:sz w:val="24"/>
                <w:szCs w:val="24"/>
                <w:lang w:eastAsia="en-US"/>
              </w:rPr>
              <w:t xml:space="preserve"> had experienced a disturbance of the mind, this provided further evidence of contributing factors that had impacted on </w:t>
            </w:r>
            <w:r w:rsidR="00826E0C">
              <w:rPr>
                <w:rFonts w:eastAsia="Calibri"/>
                <w:sz w:val="24"/>
                <w:szCs w:val="24"/>
                <w:lang w:eastAsia="en-US"/>
              </w:rPr>
              <w:t>1</w:t>
            </w:r>
            <w:r w:rsidRPr="005C6188">
              <w:rPr>
                <w:rFonts w:eastAsia="Calibri"/>
                <w:sz w:val="24"/>
                <w:szCs w:val="24"/>
                <w:lang w:eastAsia="en-US"/>
              </w:rPr>
              <w:t xml:space="preserve"> capacity at this current time. </w:t>
            </w:r>
          </w:p>
          <w:p w14:paraId="1AA20EDC" w14:textId="77777777" w:rsidR="005C6188" w:rsidRPr="005C6188" w:rsidRDefault="005C6188" w:rsidP="005C6188">
            <w:pPr>
              <w:overflowPunct/>
              <w:autoSpaceDE/>
              <w:autoSpaceDN/>
              <w:adjustRightInd/>
              <w:textAlignment w:val="auto"/>
              <w:rPr>
                <w:rFonts w:eastAsia="Calibri"/>
                <w:sz w:val="24"/>
                <w:szCs w:val="24"/>
                <w:lang w:eastAsia="en-US"/>
              </w:rPr>
            </w:pPr>
          </w:p>
          <w:p w14:paraId="5620DE9E" w14:textId="0A879619" w:rsidR="005C6188" w:rsidRPr="005C6188" w:rsidRDefault="005C6188" w:rsidP="005C6188">
            <w:pPr>
              <w:overflowPunct/>
              <w:autoSpaceDE/>
              <w:autoSpaceDN/>
              <w:adjustRightInd/>
              <w:textAlignment w:val="auto"/>
              <w:rPr>
                <w:rFonts w:eastAsia="Calibri"/>
                <w:color w:val="FF0000"/>
                <w:sz w:val="24"/>
                <w:szCs w:val="24"/>
                <w:lang w:eastAsia="en-US"/>
              </w:rPr>
            </w:pPr>
            <w:r w:rsidRPr="005C6188">
              <w:rPr>
                <w:rFonts w:eastAsia="Calibri"/>
                <w:sz w:val="24"/>
                <w:szCs w:val="24"/>
                <w:lang w:eastAsia="en-US"/>
              </w:rPr>
              <w:t xml:space="preserve">When exploring </w:t>
            </w:r>
            <w:r w:rsidR="00826E0C">
              <w:rPr>
                <w:rFonts w:eastAsia="Calibri"/>
                <w:sz w:val="24"/>
                <w:szCs w:val="24"/>
                <w:lang w:eastAsia="en-US"/>
              </w:rPr>
              <w:t>1</w:t>
            </w:r>
            <w:r w:rsidRPr="005C6188">
              <w:rPr>
                <w:rFonts w:eastAsia="Calibri"/>
                <w:sz w:val="24"/>
                <w:szCs w:val="24"/>
                <w:lang w:eastAsia="en-US"/>
              </w:rPr>
              <w:t>’s capacity initially he could present as very plausible in relation to his responses on a surface level and I was aware that the MCA, 2005 has 5 key principles embedded within the legislation, one of which is that as a practitioner you should always assume an individual has capacity until proven otherwise</w:t>
            </w:r>
            <w:r w:rsidRPr="005C6188">
              <w:rPr>
                <w:rFonts w:eastAsia="Calibri"/>
                <w:color w:val="auto"/>
                <w:sz w:val="24"/>
                <w:szCs w:val="24"/>
                <w:lang w:eastAsia="en-US"/>
              </w:rPr>
              <w:t xml:space="preserve">. (MCA, 2005). </w:t>
            </w:r>
          </w:p>
          <w:p w14:paraId="4609454A" w14:textId="77777777" w:rsidR="005C6188" w:rsidRPr="005C6188" w:rsidRDefault="005C6188" w:rsidP="005C6188">
            <w:pPr>
              <w:overflowPunct/>
              <w:autoSpaceDE/>
              <w:autoSpaceDN/>
              <w:adjustRightInd/>
              <w:textAlignment w:val="auto"/>
              <w:rPr>
                <w:rFonts w:eastAsia="Calibri"/>
                <w:sz w:val="24"/>
                <w:szCs w:val="24"/>
                <w:lang w:eastAsia="en-US"/>
              </w:rPr>
            </w:pPr>
          </w:p>
          <w:p w14:paraId="6CB40551" w14:textId="56FDB288" w:rsidR="005C6188" w:rsidRPr="005C6188" w:rsidRDefault="0019391C" w:rsidP="005C6188">
            <w:pPr>
              <w:overflowPunct/>
              <w:autoSpaceDE/>
              <w:autoSpaceDN/>
              <w:adjustRightInd/>
              <w:textAlignment w:val="auto"/>
              <w:rPr>
                <w:rFonts w:eastAsia="Calibri"/>
                <w:sz w:val="24"/>
                <w:szCs w:val="24"/>
                <w:lang w:eastAsia="en-US"/>
              </w:rPr>
            </w:pPr>
            <w:r>
              <w:rPr>
                <w:rFonts w:eastAsia="Calibri"/>
                <w:sz w:val="24"/>
                <w:szCs w:val="24"/>
                <w:lang w:eastAsia="en-US"/>
              </w:rPr>
              <w:t>1</w:t>
            </w:r>
            <w:r w:rsidR="005C6188" w:rsidRPr="005C6188">
              <w:rPr>
                <w:rFonts w:eastAsia="Calibri"/>
                <w:sz w:val="24"/>
                <w:szCs w:val="24"/>
                <w:lang w:eastAsia="en-US"/>
              </w:rPr>
              <w:t xml:space="preserve"> experienced a traumatic health event that impacted on his cognitive ability. I had to weigh up </w:t>
            </w:r>
            <w:r>
              <w:rPr>
                <w:rFonts w:eastAsia="Calibri"/>
                <w:sz w:val="24"/>
                <w:szCs w:val="24"/>
                <w:lang w:eastAsia="en-US"/>
              </w:rPr>
              <w:t>1</w:t>
            </w:r>
            <w:r w:rsidR="005C6188" w:rsidRPr="005C6188">
              <w:rPr>
                <w:rFonts w:eastAsia="Calibri"/>
                <w:sz w:val="24"/>
                <w:szCs w:val="24"/>
                <w:lang w:eastAsia="en-US"/>
              </w:rPr>
              <w:t xml:space="preserve">’s cognitive decline against any possible rehabilitation potential, alongside whether the hospital environment was having a detrimental impact due to the institutional atmosphere that comes with spending a long time within hospital. I had to use my professional judgement to consider if this was impacting on </w:t>
            </w:r>
            <w:r>
              <w:rPr>
                <w:rFonts w:eastAsia="Calibri"/>
                <w:sz w:val="24"/>
                <w:szCs w:val="24"/>
                <w:lang w:eastAsia="en-US"/>
              </w:rPr>
              <w:t>1</w:t>
            </w:r>
            <w:r w:rsidR="005C6188" w:rsidRPr="005C6188">
              <w:rPr>
                <w:rFonts w:eastAsia="Calibri"/>
                <w:sz w:val="24"/>
                <w:szCs w:val="24"/>
                <w:lang w:eastAsia="en-US"/>
              </w:rPr>
              <w:t xml:space="preserve">’s confusion and whether his capacity would decline or improve over time, and whether a different environment would lead to a different outcome. </w:t>
            </w:r>
          </w:p>
          <w:p w14:paraId="513CE1AC" w14:textId="77777777" w:rsidR="005C6188" w:rsidRPr="005C6188" w:rsidRDefault="005C6188" w:rsidP="005C6188">
            <w:pPr>
              <w:overflowPunct/>
              <w:autoSpaceDE/>
              <w:autoSpaceDN/>
              <w:adjustRightInd/>
              <w:textAlignment w:val="auto"/>
              <w:rPr>
                <w:rFonts w:eastAsia="Calibri"/>
                <w:sz w:val="24"/>
                <w:szCs w:val="24"/>
                <w:lang w:eastAsia="en-US"/>
              </w:rPr>
            </w:pPr>
          </w:p>
          <w:p w14:paraId="27AA5708" w14:textId="073FC286"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sz w:val="24"/>
                <w:szCs w:val="24"/>
                <w:lang w:eastAsia="en-US"/>
              </w:rPr>
              <w:t xml:space="preserve">Throughout my involvement I regularly visited </w:t>
            </w:r>
            <w:r w:rsidR="00C639E2">
              <w:rPr>
                <w:rFonts w:eastAsia="Calibri"/>
                <w:sz w:val="24"/>
                <w:szCs w:val="24"/>
                <w:lang w:eastAsia="en-US"/>
              </w:rPr>
              <w:t>1</w:t>
            </w:r>
            <w:r w:rsidRPr="005C6188">
              <w:rPr>
                <w:rFonts w:eastAsia="Calibri"/>
                <w:sz w:val="24"/>
                <w:szCs w:val="24"/>
                <w:lang w:eastAsia="en-US"/>
              </w:rPr>
              <w:t xml:space="preserve"> at different times of the day and would ensure that I communicated in various simple and clear ways, ensuring that </w:t>
            </w:r>
            <w:r w:rsidR="00C639E2">
              <w:rPr>
                <w:rFonts w:eastAsia="Calibri"/>
                <w:sz w:val="24"/>
                <w:szCs w:val="24"/>
                <w:lang w:eastAsia="en-US"/>
              </w:rPr>
              <w:t>1</w:t>
            </w:r>
            <w:r w:rsidRPr="005C6188">
              <w:rPr>
                <w:rFonts w:eastAsia="Calibri"/>
                <w:sz w:val="24"/>
                <w:szCs w:val="24"/>
                <w:lang w:eastAsia="en-US"/>
              </w:rPr>
              <w:t xml:space="preserve"> had every opportunity to understand the information, to be able to weigh up the information to make an informed decision. Furthermore, I provided family members with the opportunity to support their father during </w:t>
            </w:r>
            <w:r w:rsidRPr="005C6188">
              <w:rPr>
                <w:rFonts w:eastAsia="Calibri"/>
                <w:color w:val="auto"/>
                <w:sz w:val="24"/>
                <w:szCs w:val="24"/>
                <w:lang w:eastAsia="en-US"/>
              </w:rPr>
              <w:t xml:space="preserve">these assessment sessions to prevent any concerns regarding communication difficulties or comprehension. This is evidence of my adherence to working within the principles of the MCA, 2005 alongside the Codes of Practice SCW, 2017 principles. </w:t>
            </w:r>
          </w:p>
          <w:p w14:paraId="4CD995B0" w14:textId="77777777" w:rsidR="005C6188" w:rsidRPr="005C6188" w:rsidRDefault="005C6188" w:rsidP="005C6188">
            <w:pPr>
              <w:overflowPunct/>
              <w:autoSpaceDE/>
              <w:autoSpaceDN/>
              <w:adjustRightInd/>
              <w:textAlignment w:val="auto"/>
              <w:rPr>
                <w:rFonts w:eastAsia="Calibri"/>
                <w:sz w:val="24"/>
                <w:szCs w:val="24"/>
                <w:lang w:eastAsia="en-US"/>
              </w:rPr>
            </w:pPr>
          </w:p>
          <w:p w14:paraId="52505B3A" w14:textId="69F06F29" w:rsidR="005C6188" w:rsidRPr="005C6188" w:rsidRDefault="00C639E2" w:rsidP="005C6188">
            <w:pPr>
              <w:overflowPunct/>
              <w:autoSpaceDE/>
              <w:autoSpaceDN/>
              <w:adjustRightInd/>
              <w:textAlignment w:val="auto"/>
              <w:rPr>
                <w:rFonts w:eastAsia="Calibri"/>
                <w:sz w:val="24"/>
                <w:szCs w:val="24"/>
                <w:lang w:eastAsia="en-US"/>
              </w:rPr>
            </w:pPr>
            <w:r>
              <w:rPr>
                <w:rFonts w:eastAsia="Calibri"/>
                <w:sz w:val="24"/>
                <w:szCs w:val="24"/>
                <w:lang w:eastAsia="en-US"/>
              </w:rPr>
              <w:t>1</w:t>
            </w:r>
            <w:r w:rsidR="005C6188" w:rsidRPr="005C6188">
              <w:rPr>
                <w:rFonts w:eastAsia="Calibri"/>
                <w:sz w:val="24"/>
                <w:szCs w:val="24"/>
                <w:lang w:eastAsia="en-US"/>
              </w:rPr>
              <w:t xml:space="preserve"> informed me he wished to be discharged home but did not appear to have any insight into his substantial care needs and that he would now require 24/7 care. When I explored with </w:t>
            </w:r>
            <w:r w:rsidR="004C4FF6">
              <w:rPr>
                <w:rFonts w:eastAsia="Calibri"/>
                <w:sz w:val="24"/>
                <w:szCs w:val="24"/>
                <w:lang w:eastAsia="en-US"/>
              </w:rPr>
              <w:t>1</w:t>
            </w:r>
            <w:r w:rsidR="005C6188" w:rsidRPr="005C6188">
              <w:rPr>
                <w:rFonts w:eastAsia="Calibri"/>
                <w:sz w:val="24"/>
                <w:szCs w:val="24"/>
                <w:lang w:eastAsia="en-US"/>
              </w:rPr>
              <w:t xml:space="preserve"> any ability to identify risk, he was unable to recognise the dangers and worries. Therefore, I was able to make an informed professional judgement that </w:t>
            </w:r>
            <w:r w:rsidR="004C4FF6">
              <w:rPr>
                <w:rFonts w:eastAsia="Calibri"/>
                <w:sz w:val="24"/>
                <w:szCs w:val="24"/>
                <w:lang w:eastAsia="en-US"/>
              </w:rPr>
              <w:t>1</w:t>
            </w:r>
            <w:r w:rsidR="005C6188" w:rsidRPr="005C6188">
              <w:rPr>
                <w:rFonts w:eastAsia="Calibri"/>
                <w:sz w:val="24"/>
                <w:szCs w:val="24"/>
                <w:lang w:eastAsia="en-US"/>
              </w:rPr>
              <w:t xml:space="preserve"> did not have capacity at this current time. I applied legislation and policy into practice by undertaking a Capacity Assessment, which then permitted me to undertake a Best Interest Meeting, which in turn allowed others to decide on behalf of </w:t>
            </w:r>
            <w:r w:rsidR="004C4FF6">
              <w:rPr>
                <w:rFonts w:eastAsia="Calibri"/>
                <w:sz w:val="24"/>
                <w:szCs w:val="24"/>
                <w:lang w:eastAsia="en-US"/>
              </w:rPr>
              <w:t>1</w:t>
            </w:r>
            <w:r w:rsidR="005C6188" w:rsidRPr="005C6188">
              <w:rPr>
                <w:rFonts w:eastAsia="Calibri"/>
                <w:sz w:val="24"/>
                <w:szCs w:val="24"/>
                <w:lang w:eastAsia="en-US"/>
              </w:rPr>
              <w:t>.</w:t>
            </w:r>
          </w:p>
          <w:p w14:paraId="6FC89530" w14:textId="77777777" w:rsidR="005C6188" w:rsidRPr="005C6188" w:rsidRDefault="005C6188" w:rsidP="005C6188">
            <w:pPr>
              <w:overflowPunct/>
              <w:autoSpaceDE/>
              <w:autoSpaceDN/>
              <w:adjustRightInd/>
              <w:textAlignment w:val="auto"/>
              <w:rPr>
                <w:rFonts w:eastAsia="Calibri"/>
                <w:sz w:val="24"/>
                <w:szCs w:val="24"/>
                <w:lang w:eastAsia="en-US"/>
              </w:rPr>
            </w:pPr>
          </w:p>
          <w:p w14:paraId="7D103976" w14:textId="5096D1A0" w:rsidR="005C6188" w:rsidRPr="005C6188" w:rsidRDefault="005C6188" w:rsidP="005C6188">
            <w:pPr>
              <w:overflowPunct/>
              <w:autoSpaceDE/>
              <w:autoSpaceDN/>
              <w:adjustRightInd/>
              <w:textAlignment w:val="auto"/>
              <w:rPr>
                <w:rFonts w:eastAsia="Calibri"/>
                <w:color w:val="FF0000"/>
                <w:sz w:val="24"/>
                <w:szCs w:val="24"/>
                <w:lang w:eastAsia="en-US"/>
              </w:rPr>
            </w:pPr>
            <w:r w:rsidRPr="005C6188">
              <w:rPr>
                <w:rFonts w:eastAsia="Calibri"/>
                <w:sz w:val="24"/>
                <w:szCs w:val="24"/>
                <w:lang w:eastAsia="en-US"/>
              </w:rPr>
              <w:t xml:space="preserve">Throughout the time that I spent supporting </w:t>
            </w:r>
            <w:r w:rsidR="004C4FF6">
              <w:rPr>
                <w:rFonts w:eastAsia="Calibri"/>
                <w:sz w:val="24"/>
                <w:szCs w:val="24"/>
                <w:lang w:eastAsia="en-US"/>
              </w:rPr>
              <w:t>1</w:t>
            </w:r>
            <w:r w:rsidRPr="005C6188">
              <w:rPr>
                <w:rFonts w:eastAsia="Calibri"/>
                <w:sz w:val="24"/>
                <w:szCs w:val="24"/>
                <w:lang w:eastAsia="en-US"/>
              </w:rPr>
              <w:t xml:space="preserve"> I utilised a person-centred approach, it was paramount that I considered </w:t>
            </w:r>
            <w:r w:rsidR="00C15ED7">
              <w:rPr>
                <w:rFonts w:eastAsia="Calibri"/>
                <w:sz w:val="24"/>
                <w:szCs w:val="24"/>
                <w:lang w:eastAsia="en-US"/>
              </w:rPr>
              <w:t>1</w:t>
            </w:r>
            <w:r w:rsidRPr="005C6188">
              <w:rPr>
                <w:rFonts w:eastAsia="Calibri"/>
                <w:sz w:val="24"/>
                <w:szCs w:val="24"/>
                <w:lang w:eastAsia="en-US"/>
              </w:rPr>
              <w:t xml:space="preserve">’s individual rights, and that his wishes and views were ascertained, alongside respecting how </w:t>
            </w:r>
            <w:r w:rsidR="00C15ED7">
              <w:rPr>
                <w:rFonts w:eastAsia="Calibri"/>
                <w:sz w:val="24"/>
                <w:szCs w:val="24"/>
                <w:lang w:eastAsia="en-US"/>
              </w:rPr>
              <w:t>1</w:t>
            </w:r>
            <w:r w:rsidRPr="005C6188">
              <w:rPr>
                <w:rFonts w:eastAsia="Calibri"/>
                <w:sz w:val="24"/>
                <w:szCs w:val="24"/>
                <w:lang w:eastAsia="en-US"/>
              </w:rPr>
              <w:t xml:space="preserve"> was feeling regarding his care and support needs. Throughout my involvement I continuously ensured that </w:t>
            </w:r>
            <w:r w:rsidR="00C15ED7">
              <w:rPr>
                <w:rFonts w:eastAsia="Calibri"/>
                <w:sz w:val="24"/>
                <w:szCs w:val="24"/>
                <w:lang w:eastAsia="en-US"/>
              </w:rPr>
              <w:t>1</w:t>
            </w:r>
            <w:r w:rsidRPr="005C6188">
              <w:rPr>
                <w:rFonts w:eastAsia="Calibri"/>
                <w:sz w:val="24"/>
                <w:szCs w:val="24"/>
                <w:lang w:eastAsia="en-US"/>
              </w:rPr>
              <w:t xml:space="preserve"> was able to participate as much as he was able to in decisions that </w:t>
            </w:r>
            <w:r w:rsidRPr="005C6188">
              <w:rPr>
                <w:rFonts w:eastAsia="Calibri"/>
                <w:color w:val="auto"/>
                <w:sz w:val="24"/>
                <w:szCs w:val="24"/>
                <w:lang w:eastAsia="en-US"/>
              </w:rPr>
              <w:t>affected his care and support needs, whilst balancing this with any identified risks. This is evidence of my knowledge and ability to implement legislation specifically in relation to Part 26. (2) of the SSWBWA, also embedded within Wales Safeguarding Procedures, “Adult at Risk, Section 1 Safeguarding principles and effective practice: adults at risk of abuse and/or neglect” (WSP, 2019).</w:t>
            </w:r>
          </w:p>
          <w:p w14:paraId="72795AC7"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349C6853" w14:textId="157F68BC"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Many complexities arise when supporting an individual who has been identified to lack capacity, this is often because crucial decisions are required to be made for the person. </w:t>
            </w:r>
            <w:r w:rsidRPr="005C6188">
              <w:rPr>
                <w:rFonts w:eastAsia="Calibri"/>
                <w:color w:val="auto"/>
                <w:sz w:val="24"/>
                <w:szCs w:val="24"/>
                <w:lang w:eastAsia="en-US"/>
              </w:rPr>
              <w:lastRenderedPageBreak/>
              <w:t>Some individuals arrange and appoint someone with ‘Lasting Power of Attorney</w:t>
            </w:r>
            <w:r w:rsidR="00367706" w:rsidRPr="0077550A">
              <w:rPr>
                <w:rFonts w:eastAsia="Calibri"/>
                <w:color w:val="auto"/>
                <w:sz w:val="24"/>
                <w:szCs w:val="24"/>
                <w:lang w:eastAsia="en-US"/>
              </w:rPr>
              <w:t>’ (LP</w:t>
            </w:r>
            <w:r w:rsidR="0096341A" w:rsidRPr="0077550A">
              <w:rPr>
                <w:rFonts w:eastAsia="Calibri"/>
                <w:color w:val="auto"/>
                <w:sz w:val="24"/>
                <w:szCs w:val="24"/>
                <w:lang w:eastAsia="en-US"/>
              </w:rPr>
              <w:t>O</w:t>
            </w:r>
            <w:r w:rsidRPr="005C6188">
              <w:rPr>
                <w:rFonts w:eastAsia="Calibri"/>
                <w:color w:val="auto"/>
                <w:sz w:val="24"/>
                <w:szCs w:val="24"/>
                <w:lang w:eastAsia="en-US"/>
              </w:rPr>
              <w:t xml:space="preserve">A). This is a legal contract whereby the identified person will hold a legal document, completed by a solicitor, whereby the person appointed will have legal rights to make an informed decision regarding a person’s finances or health </w:t>
            </w:r>
            <w:r w:rsidR="00935541" w:rsidRPr="0077550A">
              <w:rPr>
                <w:rFonts w:eastAsia="Calibri"/>
                <w:color w:val="auto"/>
                <w:sz w:val="24"/>
                <w:szCs w:val="24"/>
                <w:lang w:eastAsia="en-US"/>
              </w:rPr>
              <w:t>(SCIE</w:t>
            </w:r>
            <w:r w:rsidRPr="005C6188">
              <w:rPr>
                <w:rFonts w:eastAsia="Calibri"/>
                <w:color w:val="auto"/>
                <w:sz w:val="24"/>
                <w:szCs w:val="24"/>
                <w:lang w:eastAsia="en-US"/>
              </w:rPr>
              <w:t xml:space="preserve">, 2019). </w:t>
            </w:r>
          </w:p>
          <w:p w14:paraId="6F5AFE82"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10E2B093" w14:textId="1195816F"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There are 2 types of LPOA: ‘health and welfare’ and ‘property and financial affairs’. The appointed attorney can make decisions for a person in relation to their daily needs or activities, living arrangements, or complex decisions in relation to receiving medical care. Equally, decisions may need to be made in relation to a person’s utility bills or again more complex decisions, such as the need to sell the person’s home. The Lasting Power of Attorney can only be used when a person is no longer able to make the relevant decisions for themselves </w:t>
            </w:r>
            <w:r w:rsidR="001527E6" w:rsidRPr="0077550A">
              <w:rPr>
                <w:rFonts w:eastAsia="Calibri"/>
                <w:color w:val="auto"/>
                <w:sz w:val="24"/>
                <w:szCs w:val="24"/>
                <w:lang w:eastAsia="en-US"/>
              </w:rPr>
              <w:t>(SCIE</w:t>
            </w:r>
            <w:r w:rsidRPr="005C6188">
              <w:rPr>
                <w:rFonts w:eastAsia="Calibri"/>
                <w:color w:val="auto"/>
                <w:sz w:val="24"/>
                <w:szCs w:val="24"/>
                <w:lang w:eastAsia="en-US"/>
              </w:rPr>
              <w:t xml:space="preserve">, 2019). </w:t>
            </w:r>
          </w:p>
          <w:p w14:paraId="639CA7E1"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0BE15096" w14:textId="2BA6FCDF"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Part 1 of the MCA, 2005 provides the framework of legislation in relation to what practitioners can undertake in respect of Lasting Power of Attorney, alongside what must be considered. It is crucial for practitioners to be aware that the legal documents can be specific in relation to what exactly the Attorney is able to undertake, giving the individual the flexibility regarding the power over the decision making </w:t>
            </w:r>
            <w:r w:rsidR="001527E6" w:rsidRPr="0077550A">
              <w:rPr>
                <w:rFonts w:eastAsia="Calibri"/>
                <w:color w:val="auto"/>
                <w:sz w:val="24"/>
                <w:szCs w:val="24"/>
                <w:lang w:eastAsia="en-US"/>
              </w:rPr>
              <w:t>(SCIE</w:t>
            </w:r>
            <w:r w:rsidRPr="005C6188">
              <w:rPr>
                <w:rFonts w:eastAsia="Calibri"/>
                <w:color w:val="auto"/>
                <w:sz w:val="24"/>
                <w:szCs w:val="24"/>
                <w:lang w:eastAsia="en-US"/>
              </w:rPr>
              <w:t xml:space="preserve">, 2019). </w:t>
            </w:r>
          </w:p>
          <w:p w14:paraId="5DDD48E8"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0D42D1E3"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Therefore, practitioners must always scrutinise the relevant documents to ensure the required steps are incorporated, this will equally ensure that safeguarding measures are promoted. </w:t>
            </w:r>
          </w:p>
          <w:p w14:paraId="577AB0A1"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18D6EF0D" w14:textId="3ADB6C64" w:rsidR="005C6188" w:rsidRPr="005C6188" w:rsidRDefault="00C15ED7" w:rsidP="005C6188">
            <w:pPr>
              <w:overflowPunct/>
              <w:autoSpaceDE/>
              <w:autoSpaceDN/>
              <w:adjustRightInd/>
              <w:textAlignment w:val="auto"/>
              <w:rPr>
                <w:rFonts w:eastAsia="Calibri"/>
                <w:color w:val="auto"/>
                <w:sz w:val="24"/>
                <w:szCs w:val="24"/>
                <w:lang w:eastAsia="en-US"/>
              </w:rPr>
            </w:pPr>
            <w:r>
              <w:rPr>
                <w:rFonts w:eastAsia="Calibri"/>
                <w:color w:val="auto"/>
                <w:sz w:val="24"/>
                <w:szCs w:val="24"/>
                <w:lang w:eastAsia="en-US"/>
              </w:rPr>
              <w:t>1</w:t>
            </w:r>
            <w:r w:rsidR="005C6188" w:rsidRPr="005C6188">
              <w:rPr>
                <w:rFonts w:eastAsia="Calibri"/>
                <w:color w:val="auto"/>
                <w:sz w:val="24"/>
                <w:szCs w:val="24"/>
                <w:lang w:eastAsia="en-US"/>
              </w:rPr>
              <w:t xml:space="preserve">’s family had not appointed any person for Lasting Power of Attorney, therefore legally a Best Interest Decision was required. This required me, health professionals and immediate family members to attend a formal meeting whereby we discussed and agreed what decisions were required to ensure </w:t>
            </w:r>
            <w:r>
              <w:rPr>
                <w:rFonts w:eastAsia="Calibri"/>
                <w:color w:val="auto"/>
                <w:sz w:val="24"/>
                <w:szCs w:val="24"/>
                <w:lang w:eastAsia="en-US"/>
              </w:rPr>
              <w:t>1</w:t>
            </w:r>
            <w:r w:rsidR="005C6188" w:rsidRPr="005C6188">
              <w:rPr>
                <w:rFonts w:eastAsia="Calibri"/>
                <w:color w:val="auto"/>
                <w:sz w:val="24"/>
                <w:szCs w:val="24"/>
                <w:lang w:eastAsia="en-US"/>
              </w:rPr>
              <w:t xml:space="preserve">’s care and support and health needs were met in a safe way. </w:t>
            </w:r>
          </w:p>
          <w:p w14:paraId="089D820B"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1D929BF1"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I was able to liaise with health colleagues and family collaboratively by undertaking a Best Interest Meeting. Ensuring that I did not use medical abbreviations or social work jargon, ensuring the family were able to fully understand the complexities, preventing any miscommunication or misunderstandings.  </w:t>
            </w:r>
          </w:p>
          <w:p w14:paraId="1C752C04"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56266986"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The main objective for undertaking a best interest meeting, is to analyse all the information to make an informed decision for the best interests of the individual, taking into consideration what is the least restrictive outcome for the patient, by weighing up all necessary information. </w:t>
            </w:r>
          </w:p>
          <w:p w14:paraId="1AAB0BE1" w14:textId="77777777" w:rsidR="005C6188" w:rsidRPr="005C6188" w:rsidRDefault="005C6188" w:rsidP="005C6188">
            <w:pPr>
              <w:overflowPunct/>
              <w:autoSpaceDE/>
              <w:autoSpaceDN/>
              <w:adjustRightInd/>
              <w:textAlignment w:val="auto"/>
              <w:rPr>
                <w:rFonts w:eastAsia="Calibri"/>
                <w:color w:val="FF0000"/>
                <w:sz w:val="24"/>
                <w:szCs w:val="24"/>
                <w:lang w:eastAsia="en-US"/>
              </w:rPr>
            </w:pPr>
          </w:p>
          <w:p w14:paraId="2EF3742E" w14:textId="3CB2E139"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In October 2021 in Wales, the National Health Service (NHS) were asking families to consider bringing their family member home from hospital, to provide care until a Care Package or residential placement could be secured due to the NHS to experiencing significant pressure. The Welsh Government </w:t>
            </w:r>
            <w:r w:rsidR="0035150F" w:rsidRPr="0077550A">
              <w:rPr>
                <w:rFonts w:eastAsia="Calibri"/>
                <w:color w:val="auto"/>
                <w:sz w:val="24"/>
                <w:szCs w:val="24"/>
                <w:lang w:eastAsia="en-US"/>
              </w:rPr>
              <w:t xml:space="preserve">(WG) </w:t>
            </w:r>
            <w:r w:rsidRPr="005C6188">
              <w:rPr>
                <w:rFonts w:eastAsia="Calibri"/>
                <w:color w:val="auto"/>
                <w:sz w:val="24"/>
                <w:szCs w:val="24"/>
                <w:lang w:eastAsia="en-US"/>
              </w:rPr>
              <w:t xml:space="preserve">have implemented the Home First: Discharge to Recover assessment Model (2021) within the last year, to ensure effective and timely discharge. The emphasis and pressure for prompt discharge plans can often clash with social work ethics and values (WG, 2021). It was crucial that I was able to demonstrate </w:t>
            </w:r>
            <w:r w:rsidRPr="005C6188">
              <w:rPr>
                <w:rFonts w:eastAsia="Calibri"/>
                <w:color w:val="auto"/>
                <w:sz w:val="24"/>
                <w:szCs w:val="24"/>
                <w:lang w:eastAsia="en-US"/>
              </w:rPr>
              <w:lastRenderedPageBreak/>
              <w:t>that I had kept the i</w:t>
            </w:r>
            <w:r w:rsidR="00644823">
              <w:rPr>
                <w:rFonts w:eastAsia="Calibri"/>
                <w:color w:val="auto"/>
                <w:sz w:val="24"/>
                <w:szCs w:val="24"/>
                <w:lang w:eastAsia="en-US"/>
              </w:rPr>
              <w:t>ndividual at the centre of my SW</w:t>
            </w:r>
            <w:r w:rsidRPr="005C6188">
              <w:rPr>
                <w:rFonts w:eastAsia="Calibri"/>
                <w:color w:val="auto"/>
                <w:sz w:val="24"/>
                <w:szCs w:val="24"/>
                <w:lang w:eastAsia="en-US"/>
              </w:rPr>
              <w:t xml:space="preserve"> intervention and their human rights had always been protected.</w:t>
            </w:r>
          </w:p>
          <w:p w14:paraId="4CBCE074"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04FB9085"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Whilst critically reflecting, incorporating Kolbs, 2014 reflective model, I had experienced uncertainty in relation to the Local Health Boards approach when discharging patients to prevent ‘bed blocking’. Occasionally, I have often felt that I have been unable to provide quality time with patients, due to pressures from hospital staff to free up beds. I am often concerned that patients or families are making life-changing decisions under extreme pressure and within strict time scales. </w:t>
            </w:r>
          </w:p>
          <w:p w14:paraId="41E3F1A4"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60BA0AAD"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Subsequently, I have identified that this method of assessment is potentially contradictory to the SCW, 2017 codes of professional practice and that as a direct result we could lose sight of some of the main principles within the SSWBWA, for example; voice and control, alongside empowering individuals to have more say in relation to their care and support plans. There is high potential for individuals to feel disempowered alongside social workers who are no longer able to practice in an anti-oppressive way due to the limitations placed upon them within the newly drafted policies and procedures in relation to hospital discharge.</w:t>
            </w:r>
          </w:p>
          <w:p w14:paraId="5C38707A"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7C3FEC28" w14:textId="77777777" w:rsidR="005C6188" w:rsidRPr="005C6188" w:rsidRDefault="005C6188" w:rsidP="005C6188">
            <w:pPr>
              <w:overflowPunct/>
              <w:autoSpaceDE/>
              <w:autoSpaceDN/>
              <w:adjustRightInd/>
              <w:textAlignment w:val="auto"/>
              <w:rPr>
                <w:rFonts w:eastAsia="Calibri"/>
                <w:color w:val="FF0000"/>
                <w:sz w:val="24"/>
                <w:szCs w:val="24"/>
                <w:lang w:eastAsia="en-US"/>
              </w:rPr>
            </w:pPr>
            <w:r w:rsidRPr="005C6188">
              <w:rPr>
                <w:rFonts w:eastAsia="Calibri"/>
                <w:color w:val="auto"/>
                <w:sz w:val="24"/>
                <w:szCs w:val="24"/>
                <w:lang w:eastAsia="en-US"/>
              </w:rPr>
              <w:t>J. Scott Janssen supports this hypothesis when they state “Moral distress can affect social workers at all levels of an agency or institution's hierarchy, from the hospital social worker being pressured to discharge a patient …..” (J. Scott Janssen, 2016, p 18).</w:t>
            </w:r>
          </w:p>
          <w:p w14:paraId="3B53B3B1"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15215C34" w14:textId="0FDAF17C"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Subsequently, I found myself in a professional dilemma, health staff believed </w:t>
            </w:r>
            <w:r w:rsidR="00C15ED7">
              <w:rPr>
                <w:rFonts w:eastAsia="Calibri"/>
                <w:color w:val="auto"/>
                <w:sz w:val="24"/>
                <w:szCs w:val="24"/>
                <w:lang w:eastAsia="en-US"/>
              </w:rPr>
              <w:t>1</w:t>
            </w:r>
            <w:r w:rsidRPr="005C6188">
              <w:rPr>
                <w:rFonts w:eastAsia="Calibri"/>
                <w:color w:val="auto"/>
                <w:sz w:val="24"/>
                <w:szCs w:val="24"/>
                <w:lang w:eastAsia="en-US"/>
              </w:rPr>
              <w:t xml:space="preserve"> would require 24/7 care and that he would be at risk to himself and others if discharge was to home therefore, they were recommending </w:t>
            </w:r>
            <w:r w:rsidR="006A1FCF">
              <w:rPr>
                <w:rFonts w:eastAsia="Calibri"/>
                <w:color w:val="auto"/>
                <w:sz w:val="24"/>
                <w:szCs w:val="24"/>
                <w:lang w:eastAsia="en-US"/>
              </w:rPr>
              <w:t>1</w:t>
            </w:r>
            <w:r w:rsidRPr="005C6188">
              <w:rPr>
                <w:rFonts w:eastAsia="Calibri"/>
                <w:color w:val="auto"/>
                <w:sz w:val="24"/>
                <w:szCs w:val="24"/>
                <w:lang w:eastAsia="en-US"/>
              </w:rPr>
              <w:t xml:space="preserve"> should be discharged to a residential care home. However, family felt that they would be able to support </w:t>
            </w:r>
            <w:r w:rsidR="00E20857">
              <w:rPr>
                <w:rFonts w:eastAsia="Calibri"/>
                <w:color w:val="auto"/>
                <w:sz w:val="24"/>
                <w:szCs w:val="24"/>
                <w:lang w:eastAsia="en-US"/>
              </w:rPr>
              <w:t>1</w:t>
            </w:r>
            <w:r w:rsidRPr="005C6188">
              <w:rPr>
                <w:rFonts w:eastAsia="Calibri"/>
                <w:color w:val="auto"/>
                <w:sz w:val="24"/>
                <w:szCs w:val="24"/>
                <w:lang w:eastAsia="en-US"/>
              </w:rPr>
              <w:t xml:space="preserve">’s care needs at home if a package of care was provided.  </w:t>
            </w:r>
          </w:p>
          <w:p w14:paraId="3BDAF4A2"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59E7B81A" w14:textId="00735F64"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I considered my social work values whereby I had to promote the wishes and feelings of an individual who required care and support alongside family members, who identified themselves as carers. Furthermore, I also had to consider the least restrictive option for </w:t>
            </w:r>
            <w:r w:rsidR="00F1581A">
              <w:rPr>
                <w:rFonts w:eastAsia="Calibri"/>
                <w:sz w:val="24"/>
                <w:szCs w:val="24"/>
                <w:lang w:eastAsia="en-US"/>
              </w:rPr>
              <w:t>1</w:t>
            </w:r>
            <w:r w:rsidRPr="005C6188">
              <w:rPr>
                <w:rFonts w:eastAsia="Calibri"/>
                <w:sz w:val="24"/>
                <w:szCs w:val="24"/>
                <w:lang w:eastAsia="en-US"/>
              </w:rPr>
              <w:t>. I considered all the evidence and possible risks and liaised with health.</w:t>
            </w:r>
          </w:p>
          <w:p w14:paraId="298EA1B3" w14:textId="77777777" w:rsidR="005C6188" w:rsidRPr="005C6188" w:rsidRDefault="005C6188" w:rsidP="005C6188">
            <w:pPr>
              <w:overflowPunct/>
              <w:autoSpaceDE/>
              <w:autoSpaceDN/>
              <w:adjustRightInd/>
              <w:textAlignment w:val="auto"/>
              <w:rPr>
                <w:rFonts w:eastAsia="Calibri"/>
                <w:sz w:val="24"/>
                <w:szCs w:val="24"/>
                <w:lang w:eastAsia="en-US"/>
              </w:rPr>
            </w:pPr>
          </w:p>
          <w:p w14:paraId="5FDE2B37" w14:textId="45395033"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I recognised my own personal feelings of anxiety in relation to disagreeing with the views of health professionals alongside the potential risks of a return home could cloud my professional judgement. However, I was equally aware there was potential for</w:t>
            </w:r>
            <w:r w:rsidR="00FA7FA9">
              <w:rPr>
                <w:rFonts w:eastAsia="Calibri"/>
                <w:sz w:val="24"/>
                <w:szCs w:val="24"/>
                <w:lang w:eastAsia="en-US"/>
              </w:rPr>
              <w:t xml:space="preserve"> 1</w:t>
            </w:r>
            <w:r w:rsidRPr="005C6188">
              <w:rPr>
                <w:rFonts w:eastAsia="Calibri"/>
                <w:sz w:val="24"/>
                <w:szCs w:val="24"/>
                <w:lang w:eastAsia="en-US"/>
              </w:rPr>
              <w:t xml:space="preserve"> to be supported adequately with family members and a formal care package that could be regularly reviewed to ensure any risks were minimised. </w:t>
            </w:r>
          </w:p>
          <w:p w14:paraId="692CB8FD" w14:textId="77777777" w:rsidR="005C6188" w:rsidRPr="005C6188" w:rsidRDefault="005C6188" w:rsidP="005C6188">
            <w:pPr>
              <w:overflowPunct/>
              <w:autoSpaceDE/>
              <w:autoSpaceDN/>
              <w:adjustRightInd/>
              <w:textAlignment w:val="auto"/>
              <w:rPr>
                <w:rFonts w:eastAsia="Calibri"/>
                <w:sz w:val="24"/>
                <w:szCs w:val="24"/>
                <w:lang w:eastAsia="en-US"/>
              </w:rPr>
            </w:pPr>
          </w:p>
          <w:p w14:paraId="73C1C435" w14:textId="0FC77B96"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Furthermore, </w:t>
            </w:r>
            <w:r w:rsidR="00FA7FA9">
              <w:rPr>
                <w:rFonts w:eastAsia="Calibri"/>
                <w:sz w:val="24"/>
                <w:szCs w:val="24"/>
                <w:lang w:eastAsia="en-US"/>
              </w:rPr>
              <w:t>1</w:t>
            </w:r>
            <w:r w:rsidRPr="005C6188">
              <w:rPr>
                <w:rFonts w:eastAsia="Calibri"/>
                <w:sz w:val="24"/>
                <w:szCs w:val="24"/>
                <w:lang w:eastAsia="en-US"/>
              </w:rPr>
              <w:t xml:space="preserve">’s family strongly believed their father’s agitation was due, in part, to the hospital environment and were confident that his personal wishes would be to return home, with high hopes of his physical and mental cognitive ability improving. My professional assessment was that </w:t>
            </w:r>
            <w:r w:rsidR="00FA7FA9">
              <w:rPr>
                <w:rFonts w:eastAsia="Calibri"/>
                <w:sz w:val="24"/>
                <w:szCs w:val="24"/>
                <w:lang w:eastAsia="en-US"/>
              </w:rPr>
              <w:t>1</w:t>
            </w:r>
            <w:r w:rsidRPr="005C6188">
              <w:rPr>
                <w:rFonts w:eastAsia="Calibri"/>
                <w:sz w:val="24"/>
                <w:szCs w:val="24"/>
                <w:lang w:eastAsia="en-US"/>
              </w:rPr>
              <w:t xml:space="preserve"> lacked capacity and was unable to make an informed decision, however I was also aware of my responsibilities to ensure his human rights were upheld especially his right to a family life.</w:t>
            </w:r>
          </w:p>
          <w:p w14:paraId="6B912095" w14:textId="77777777" w:rsidR="005C6188" w:rsidRPr="005C6188" w:rsidRDefault="005C6188" w:rsidP="005C6188">
            <w:pPr>
              <w:overflowPunct/>
              <w:autoSpaceDE/>
              <w:autoSpaceDN/>
              <w:adjustRightInd/>
              <w:textAlignment w:val="auto"/>
              <w:rPr>
                <w:rFonts w:eastAsia="Calibri"/>
                <w:sz w:val="24"/>
                <w:szCs w:val="24"/>
                <w:lang w:eastAsia="en-US"/>
              </w:rPr>
            </w:pPr>
          </w:p>
          <w:p w14:paraId="399BF3BC" w14:textId="77777777"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lastRenderedPageBreak/>
              <w:t xml:space="preserve">“The Human Rights Act 1998 sets out the fundamental rights and freedoms that everyone in the UK is entitled to. It incorporates the rights set out in the European Convention on Human Rights (ECHR) into domestic British law. The Human Rights Act came into force in the UK in October 2000” (Equality and Human Rights Commission, 2018). Therefore, if a person feels their Human </w:t>
            </w:r>
            <w:r w:rsidRPr="005C6188">
              <w:rPr>
                <w:rFonts w:eastAsia="Calibri"/>
                <w:color w:val="auto"/>
                <w:sz w:val="24"/>
                <w:szCs w:val="24"/>
                <w:lang w:eastAsia="en-US"/>
              </w:rPr>
              <w:t xml:space="preserve">Rights have been violated then they are able to apply to a British court instead of applying their case to the European Court of Human Rights, which is situated in Strasbourg, France (Equality and Human Rights Commission, 2018). </w:t>
            </w:r>
          </w:p>
          <w:p w14:paraId="2EE233A9" w14:textId="6F014660" w:rsidR="005C6188" w:rsidRPr="005C6188" w:rsidRDefault="001945C4" w:rsidP="001945C4">
            <w:pPr>
              <w:tabs>
                <w:tab w:val="left" w:pos="7910"/>
              </w:tabs>
              <w:overflowPunct/>
              <w:autoSpaceDE/>
              <w:autoSpaceDN/>
              <w:adjustRightInd/>
              <w:textAlignment w:val="auto"/>
              <w:rPr>
                <w:rFonts w:eastAsia="Calibri"/>
                <w:sz w:val="24"/>
                <w:szCs w:val="24"/>
                <w:lang w:eastAsia="en-US"/>
              </w:rPr>
            </w:pPr>
            <w:r w:rsidRPr="0077550A">
              <w:rPr>
                <w:rFonts w:eastAsia="Calibri"/>
                <w:sz w:val="24"/>
                <w:szCs w:val="24"/>
                <w:lang w:eastAsia="en-US"/>
              </w:rPr>
              <w:tab/>
            </w:r>
          </w:p>
          <w:p w14:paraId="36E4B55C" w14:textId="19FD60B8"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Considering legislation, policy, and procedure, when undertaking the assessment for </w:t>
            </w:r>
            <w:r w:rsidR="00CC4773">
              <w:rPr>
                <w:rFonts w:eastAsia="Calibri"/>
                <w:sz w:val="24"/>
                <w:szCs w:val="24"/>
                <w:lang w:eastAsia="en-US"/>
              </w:rPr>
              <w:t>1</w:t>
            </w:r>
            <w:r w:rsidRPr="005C6188">
              <w:rPr>
                <w:rFonts w:eastAsia="Calibri"/>
                <w:sz w:val="24"/>
                <w:szCs w:val="24"/>
                <w:lang w:eastAsia="en-US"/>
              </w:rPr>
              <w:t xml:space="preserve">, I equally had to consider how best to achieve an outcome that everyone felt was safe and manageable, not only for </w:t>
            </w:r>
            <w:r w:rsidR="00E17C31">
              <w:rPr>
                <w:rFonts w:eastAsia="Calibri"/>
                <w:sz w:val="24"/>
                <w:szCs w:val="24"/>
                <w:lang w:eastAsia="en-US"/>
              </w:rPr>
              <w:t>1</w:t>
            </w:r>
            <w:r w:rsidRPr="005C6188">
              <w:rPr>
                <w:rFonts w:eastAsia="Calibri"/>
                <w:sz w:val="24"/>
                <w:szCs w:val="24"/>
                <w:lang w:eastAsia="en-US"/>
              </w:rPr>
              <w:t xml:space="preserve"> but for all involved, especially his family who would be his main carers. </w:t>
            </w:r>
          </w:p>
          <w:p w14:paraId="7F0E5186"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635A9057" w14:textId="26DC8096"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I adopted a strengths-based, person-centred approach when liaising with health care staff and family members</w:t>
            </w:r>
            <w:r w:rsidR="0081006D" w:rsidRPr="0077550A">
              <w:rPr>
                <w:rFonts w:eastAsia="Calibri"/>
                <w:color w:val="auto"/>
                <w:sz w:val="24"/>
                <w:szCs w:val="24"/>
                <w:lang w:eastAsia="en-US"/>
              </w:rPr>
              <w:t xml:space="preserve"> (Maclean, S and R, Harrison, </w:t>
            </w:r>
            <w:r w:rsidR="00AC02EF" w:rsidRPr="0077550A">
              <w:rPr>
                <w:rFonts w:eastAsia="Calibri"/>
                <w:color w:val="auto"/>
                <w:sz w:val="24"/>
                <w:szCs w:val="24"/>
                <w:lang w:eastAsia="en-US"/>
              </w:rPr>
              <w:t>2015)</w:t>
            </w:r>
            <w:r w:rsidRPr="005C6188">
              <w:rPr>
                <w:rFonts w:eastAsia="Calibri"/>
                <w:color w:val="auto"/>
                <w:sz w:val="24"/>
                <w:szCs w:val="24"/>
                <w:lang w:eastAsia="en-US"/>
              </w:rPr>
              <w:t xml:space="preserve">. I communicated in a manner that focused on the positives and individual strengths that each family member was able to provide when supporting their father and alleviating the concerns from health by utilising outside agencies, such as package of care and ‘carer assessments’ for individual family members. “Strengths-based practice is holistic and multidisciplinary and works with the individual to promote their wellbeing. It is outcomes led and not services led” </w:t>
            </w:r>
            <w:r w:rsidR="00857B9E" w:rsidRPr="0077550A">
              <w:rPr>
                <w:rFonts w:eastAsia="Calibri"/>
                <w:color w:val="auto"/>
                <w:sz w:val="24"/>
                <w:szCs w:val="24"/>
                <w:lang w:eastAsia="en-US"/>
              </w:rPr>
              <w:t>(SCIE</w:t>
            </w:r>
            <w:r w:rsidRPr="005C6188">
              <w:rPr>
                <w:rFonts w:eastAsia="Calibri"/>
                <w:color w:val="auto"/>
                <w:sz w:val="24"/>
                <w:szCs w:val="24"/>
                <w:lang w:eastAsia="en-US"/>
              </w:rPr>
              <w:t>, 2018).</w:t>
            </w:r>
          </w:p>
          <w:p w14:paraId="246053D1"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1E7C3638" w14:textId="77777777" w:rsidR="005C6188" w:rsidRPr="005C6188" w:rsidRDefault="005C6188" w:rsidP="005C6188">
            <w:pPr>
              <w:overflowPunct/>
              <w:autoSpaceDE/>
              <w:autoSpaceDN/>
              <w:adjustRightInd/>
              <w:textAlignment w:val="auto"/>
              <w:rPr>
                <w:rFonts w:eastAsia="Calibri"/>
                <w:color w:val="auto"/>
                <w:sz w:val="24"/>
                <w:szCs w:val="24"/>
                <w:lang w:eastAsia="en-US"/>
              </w:rPr>
            </w:pPr>
            <w:r w:rsidRPr="005C6188">
              <w:rPr>
                <w:rFonts w:eastAsia="Calibri"/>
                <w:color w:val="auto"/>
                <w:sz w:val="24"/>
                <w:szCs w:val="24"/>
                <w:lang w:eastAsia="en-US"/>
              </w:rPr>
              <w:t xml:space="preserve">Family members had the right to be assessed and supported as carers to determine what their support requirements were as carers including their need for respite. The SSWBWA describes a carer as someone who provides unpaid care to an adult or disabled child, alongside section 24 of the Act, the legislative framework includes how to initiate an assessment for a carer who has been identified to equally have care and support needs when supporting an individual (SSWBWA, 2014). </w:t>
            </w:r>
          </w:p>
          <w:p w14:paraId="1E38CC27" w14:textId="77777777" w:rsidR="005C6188" w:rsidRPr="005C6188" w:rsidRDefault="005C6188" w:rsidP="005C6188">
            <w:pPr>
              <w:overflowPunct/>
              <w:autoSpaceDE/>
              <w:autoSpaceDN/>
              <w:adjustRightInd/>
              <w:textAlignment w:val="auto"/>
              <w:rPr>
                <w:rFonts w:eastAsia="Calibri"/>
                <w:color w:val="auto"/>
                <w:sz w:val="24"/>
                <w:szCs w:val="24"/>
                <w:lang w:eastAsia="en-US"/>
              </w:rPr>
            </w:pPr>
          </w:p>
          <w:p w14:paraId="03FCA46D" w14:textId="611A8080"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color w:val="auto"/>
                <w:sz w:val="24"/>
                <w:szCs w:val="24"/>
                <w:lang w:eastAsia="en-US"/>
              </w:rPr>
              <w:t xml:space="preserve">Employing a person-centred approach </w:t>
            </w:r>
            <w:r w:rsidR="00B802FB" w:rsidRPr="0077550A">
              <w:rPr>
                <w:rFonts w:eastAsia="Calibri"/>
                <w:color w:val="auto"/>
                <w:sz w:val="24"/>
                <w:szCs w:val="24"/>
                <w:lang w:eastAsia="en-US"/>
              </w:rPr>
              <w:t>insured</w:t>
            </w:r>
            <w:r w:rsidRPr="005C6188">
              <w:rPr>
                <w:rFonts w:eastAsia="Calibri"/>
                <w:color w:val="auto"/>
                <w:sz w:val="24"/>
                <w:szCs w:val="24"/>
                <w:lang w:eastAsia="en-US"/>
              </w:rPr>
              <w:t xml:space="preserve"> that all parties </w:t>
            </w:r>
            <w:r w:rsidRPr="005C6188">
              <w:rPr>
                <w:rFonts w:eastAsia="Calibri"/>
                <w:sz w:val="24"/>
                <w:szCs w:val="24"/>
                <w:lang w:eastAsia="en-US"/>
              </w:rPr>
              <w:t xml:space="preserve">had the same objective of a achieving a safe discharge for </w:t>
            </w:r>
            <w:r w:rsidR="007A3DD9">
              <w:rPr>
                <w:rFonts w:eastAsia="Calibri"/>
                <w:sz w:val="24"/>
                <w:szCs w:val="24"/>
                <w:lang w:eastAsia="en-US"/>
              </w:rPr>
              <w:t>1</w:t>
            </w:r>
            <w:r w:rsidRPr="005C6188">
              <w:rPr>
                <w:rFonts w:eastAsia="Calibri"/>
                <w:sz w:val="24"/>
                <w:szCs w:val="24"/>
                <w:lang w:eastAsia="en-US"/>
              </w:rPr>
              <w:t xml:space="preserve"> and ensuring that his care and support needs were met. I supported the family to feel empowered to voice their views that they had the ability to support their father’s health care needs, and by working collaboratively with other professionals I was able to devise safety planning measure to manage the identified risks in the community. Family, health professionals and I were able to make an informed decision that was in the best interest of </w:t>
            </w:r>
            <w:r w:rsidR="00240F5F">
              <w:rPr>
                <w:rFonts w:eastAsia="Calibri"/>
                <w:sz w:val="24"/>
                <w:szCs w:val="24"/>
                <w:lang w:eastAsia="en-US"/>
              </w:rPr>
              <w:t>1</w:t>
            </w:r>
            <w:r w:rsidRPr="005C6188">
              <w:rPr>
                <w:rFonts w:eastAsia="Calibri"/>
                <w:sz w:val="24"/>
                <w:szCs w:val="24"/>
                <w:lang w:eastAsia="en-US"/>
              </w:rPr>
              <w:t xml:space="preserve">, by utilising what we felt was the least restrictive option, whereby </w:t>
            </w:r>
            <w:r w:rsidR="00240F5F">
              <w:rPr>
                <w:rFonts w:eastAsia="Calibri"/>
                <w:sz w:val="24"/>
                <w:szCs w:val="24"/>
                <w:lang w:eastAsia="en-US"/>
              </w:rPr>
              <w:t>1</w:t>
            </w:r>
            <w:r w:rsidRPr="005C6188">
              <w:rPr>
                <w:rFonts w:eastAsia="Calibri"/>
                <w:sz w:val="24"/>
                <w:szCs w:val="24"/>
                <w:lang w:eastAsia="en-US"/>
              </w:rPr>
              <w:t xml:space="preserve"> could be discharged home with family support and a package of care. </w:t>
            </w:r>
          </w:p>
          <w:p w14:paraId="0E3C9C2D" w14:textId="77777777" w:rsidR="005C6188" w:rsidRPr="005C6188" w:rsidRDefault="005C6188" w:rsidP="005C6188">
            <w:pPr>
              <w:overflowPunct/>
              <w:autoSpaceDE/>
              <w:autoSpaceDN/>
              <w:adjustRightInd/>
              <w:textAlignment w:val="auto"/>
              <w:rPr>
                <w:rFonts w:eastAsia="Calibri"/>
                <w:sz w:val="24"/>
                <w:szCs w:val="24"/>
                <w:lang w:eastAsia="en-US"/>
              </w:rPr>
            </w:pPr>
          </w:p>
          <w:p w14:paraId="46403520" w14:textId="1FF88E18"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When supporting families, I often feel there are many barriers between professionals and individuals, I have increased my level of self-awareness in relation to the po</w:t>
            </w:r>
            <w:r w:rsidR="00B040BB" w:rsidRPr="0077550A">
              <w:rPr>
                <w:rFonts w:eastAsia="Calibri"/>
                <w:sz w:val="24"/>
                <w:szCs w:val="24"/>
                <w:lang w:eastAsia="en-US"/>
              </w:rPr>
              <w:t>wer that is vested within the SW</w:t>
            </w:r>
            <w:r w:rsidRPr="005C6188">
              <w:rPr>
                <w:rFonts w:eastAsia="Calibri"/>
                <w:sz w:val="24"/>
                <w:szCs w:val="24"/>
                <w:lang w:eastAsia="en-US"/>
              </w:rPr>
              <w:t xml:space="preserve"> role and how that can be perceived by others. I appreciate at times this could be challenging for the families or health professionals. </w:t>
            </w:r>
          </w:p>
          <w:p w14:paraId="2842F11B" w14:textId="77777777" w:rsidR="005C6188" w:rsidRPr="005C6188" w:rsidRDefault="005C6188" w:rsidP="005C6188">
            <w:pPr>
              <w:overflowPunct/>
              <w:autoSpaceDE/>
              <w:autoSpaceDN/>
              <w:adjustRightInd/>
              <w:textAlignment w:val="auto"/>
              <w:rPr>
                <w:rFonts w:eastAsia="Calibri"/>
                <w:sz w:val="24"/>
                <w:szCs w:val="24"/>
                <w:lang w:eastAsia="en-US"/>
              </w:rPr>
            </w:pPr>
          </w:p>
          <w:p w14:paraId="2B28628A" w14:textId="77777777"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With this increased self-awareness I now always consider how the power imbalance may feel for individuals and their families and how I can mitigate against this. Some of the ways I try and address the power imbalance is by ensuring people feel listened to have access to </w:t>
            </w:r>
            <w:r w:rsidRPr="005C6188">
              <w:rPr>
                <w:rFonts w:eastAsia="Calibri"/>
                <w:sz w:val="24"/>
                <w:szCs w:val="24"/>
                <w:lang w:eastAsia="en-US"/>
              </w:rPr>
              <w:lastRenderedPageBreak/>
              <w:t>all of the necessary information, feel comfortable challenging my views and asking questions and know how to raise issues and complaints.</w:t>
            </w:r>
          </w:p>
          <w:p w14:paraId="475917C8" w14:textId="77777777" w:rsidR="005C6188" w:rsidRPr="005C6188" w:rsidRDefault="005C6188" w:rsidP="005C6188">
            <w:pPr>
              <w:overflowPunct/>
              <w:autoSpaceDE/>
              <w:autoSpaceDN/>
              <w:adjustRightInd/>
              <w:textAlignment w:val="auto"/>
              <w:rPr>
                <w:rFonts w:eastAsia="Calibri"/>
                <w:sz w:val="24"/>
                <w:szCs w:val="24"/>
                <w:lang w:eastAsia="en-US"/>
              </w:rPr>
            </w:pPr>
          </w:p>
          <w:p w14:paraId="3FF230B8" w14:textId="77777777"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I believe that by supporting the family in their desire to have their father return home, contrary to the initial recommendations of the health care staff, provided the family with a sense of empowerment. </w:t>
            </w:r>
          </w:p>
          <w:p w14:paraId="4943CD3F" w14:textId="77777777" w:rsidR="005C6188" w:rsidRPr="005C6188" w:rsidRDefault="005C6188" w:rsidP="005C6188">
            <w:pPr>
              <w:overflowPunct/>
              <w:autoSpaceDE/>
              <w:autoSpaceDN/>
              <w:adjustRightInd/>
              <w:textAlignment w:val="auto"/>
              <w:rPr>
                <w:rFonts w:eastAsia="Calibri"/>
                <w:sz w:val="24"/>
                <w:szCs w:val="24"/>
                <w:lang w:eastAsia="en-US"/>
              </w:rPr>
            </w:pPr>
          </w:p>
          <w:p w14:paraId="4925D1E3" w14:textId="34DCF61F"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Working collaboratively, supported my ability to gather, analyse and assess all the relevant information and enabled me to voice my professional judgement whilst balancing the right to </w:t>
            </w:r>
            <w:r w:rsidR="00F646CD" w:rsidRPr="0077550A">
              <w:rPr>
                <w:rFonts w:eastAsia="Calibri"/>
                <w:sz w:val="24"/>
                <w:szCs w:val="24"/>
                <w:lang w:eastAsia="en-US"/>
              </w:rPr>
              <w:t>self-determination</w:t>
            </w:r>
            <w:r w:rsidRPr="005C6188">
              <w:rPr>
                <w:rFonts w:eastAsia="Calibri"/>
                <w:sz w:val="24"/>
                <w:szCs w:val="24"/>
                <w:lang w:eastAsia="en-US"/>
              </w:rPr>
              <w:t xml:space="preserve"> with the risks associated with that and helped inform the intervention that was necessary to mitigate against those risks whilst providing care and support to meet those needs identified within the assessment process. This is evidence of ensuring that my practice is in accordance with the principles, powers and duties outlined in the SSWBWA, The MCA and the DOLS. </w:t>
            </w:r>
          </w:p>
          <w:p w14:paraId="4AF1CFCD" w14:textId="77777777" w:rsidR="005C6188" w:rsidRPr="005C6188" w:rsidRDefault="005C6188" w:rsidP="005C6188">
            <w:pPr>
              <w:overflowPunct/>
              <w:autoSpaceDE/>
              <w:autoSpaceDN/>
              <w:adjustRightInd/>
              <w:textAlignment w:val="auto"/>
              <w:rPr>
                <w:rFonts w:eastAsia="Calibri"/>
                <w:sz w:val="24"/>
                <w:szCs w:val="24"/>
                <w:lang w:eastAsia="en-US"/>
              </w:rPr>
            </w:pPr>
          </w:p>
          <w:p w14:paraId="39BDB940" w14:textId="6CF25697"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Throughout my time assessing </w:t>
            </w:r>
            <w:r w:rsidR="009A75FB">
              <w:rPr>
                <w:rFonts w:eastAsia="Calibri"/>
                <w:sz w:val="24"/>
                <w:szCs w:val="24"/>
                <w:lang w:eastAsia="en-US"/>
              </w:rPr>
              <w:t>1</w:t>
            </w:r>
            <w:r w:rsidR="00723639">
              <w:rPr>
                <w:rFonts w:eastAsia="Calibri"/>
                <w:sz w:val="24"/>
                <w:szCs w:val="24"/>
                <w:lang w:eastAsia="en-US"/>
              </w:rPr>
              <w:t>,</w:t>
            </w:r>
            <w:r w:rsidRPr="005C6188">
              <w:rPr>
                <w:rFonts w:eastAsia="Calibri"/>
                <w:sz w:val="24"/>
                <w:szCs w:val="24"/>
                <w:lang w:eastAsia="en-US"/>
              </w:rPr>
              <w:t xml:space="preserve"> I made use of direct and indirect supervision with my mentor to ensure that I was assessing risk and balancing rights appropriately and that any personal values or biases I held were explored. </w:t>
            </w:r>
          </w:p>
          <w:p w14:paraId="3E78948E" w14:textId="77777777" w:rsidR="005C6188" w:rsidRPr="005C6188" w:rsidRDefault="005C6188" w:rsidP="005C6188">
            <w:pPr>
              <w:overflowPunct/>
              <w:autoSpaceDE/>
              <w:autoSpaceDN/>
              <w:adjustRightInd/>
              <w:textAlignment w:val="auto"/>
              <w:rPr>
                <w:rFonts w:eastAsia="Calibri"/>
                <w:sz w:val="24"/>
                <w:szCs w:val="24"/>
                <w:lang w:eastAsia="en-US"/>
              </w:rPr>
            </w:pPr>
          </w:p>
          <w:p w14:paraId="32E7F04A" w14:textId="529E1448" w:rsidR="005C6188" w:rsidRPr="005C6188" w:rsidRDefault="005C6188" w:rsidP="005C6188">
            <w:pPr>
              <w:overflowPunct/>
              <w:autoSpaceDE/>
              <w:autoSpaceDN/>
              <w:adjustRightInd/>
              <w:textAlignment w:val="auto"/>
              <w:rPr>
                <w:rFonts w:eastAsia="Calibri"/>
                <w:sz w:val="24"/>
                <w:szCs w:val="24"/>
                <w:lang w:eastAsia="en-US"/>
              </w:rPr>
            </w:pPr>
            <w:r w:rsidRPr="005C6188">
              <w:rPr>
                <w:rFonts w:eastAsia="Calibri"/>
                <w:sz w:val="24"/>
                <w:szCs w:val="24"/>
                <w:lang w:eastAsia="en-US"/>
              </w:rPr>
              <w:t xml:space="preserve">I believe throughout this case I have demonstrated my ability </w:t>
            </w:r>
            <w:r w:rsidR="00DE4EE6" w:rsidRPr="0077550A">
              <w:rPr>
                <w:rFonts w:eastAsia="Calibri"/>
                <w:sz w:val="24"/>
                <w:szCs w:val="24"/>
                <w:lang w:eastAsia="en-US"/>
              </w:rPr>
              <w:t>to carry out the SW</w:t>
            </w:r>
            <w:r w:rsidRPr="005C6188">
              <w:rPr>
                <w:rFonts w:eastAsia="Calibri"/>
                <w:sz w:val="24"/>
                <w:szCs w:val="24"/>
                <w:lang w:eastAsia="en-US"/>
              </w:rPr>
              <w:t xml:space="preserve"> role with integrity and transparency and in line with the principles that are enshrined in the various legislation. I have evidenced my ability to critically analyse my practice and how that has informed my assessments. I have demonstrated a good grasp of how to ensure that all my </w:t>
            </w:r>
            <w:r w:rsidR="00DE4EE6" w:rsidRPr="0077550A">
              <w:rPr>
                <w:rFonts w:eastAsia="Calibri"/>
                <w:sz w:val="24"/>
                <w:szCs w:val="24"/>
                <w:lang w:eastAsia="en-US"/>
              </w:rPr>
              <w:t>SW</w:t>
            </w:r>
            <w:r w:rsidRPr="005C6188">
              <w:rPr>
                <w:rFonts w:eastAsia="Calibri"/>
                <w:sz w:val="24"/>
                <w:szCs w:val="24"/>
                <w:lang w:eastAsia="en-US"/>
              </w:rPr>
              <w:t xml:space="preserve"> practice is guided by the appropriate legislation, policies and procedures and have demonstrates how I have embedded theories and methodologies into my practice. But most importantly I have ensured that I upheld the rights, wishes and feelings of </w:t>
            </w:r>
            <w:r w:rsidR="00836C6C">
              <w:rPr>
                <w:rFonts w:eastAsia="Calibri"/>
                <w:sz w:val="24"/>
                <w:szCs w:val="24"/>
                <w:lang w:eastAsia="en-US"/>
              </w:rPr>
              <w:t>1</w:t>
            </w:r>
            <w:r w:rsidRPr="005C6188">
              <w:rPr>
                <w:rFonts w:eastAsia="Calibri"/>
                <w:sz w:val="24"/>
                <w:szCs w:val="24"/>
                <w:lang w:eastAsia="en-US"/>
              </w:rPr>
              <w:t xml:space="preserve">. </w:t>
            </w:r>
          </w:p>
          <w:p w14:paraId="574B7473" w14:textId="77777777" w:rsidR="005C6188" w:rsidRDefault="005C6188" w:rsidP="00FF7EBB">
            <w:pPr>
              <w:jc w:val="both"/>
              <w:rPr>
                <w:i/>
                <w:sz w:val="24"/>
                <w:szCs w:val="24"/>
              </w:rPr>
            </w:pPr>
          </w:p>
          <w:p w14:paraId="701D8D4D" w14:textId="38C2B218" w:rsidR="00D3203C" w:rsidRDefault="00D3203C" w:rsidP="00FF7EBB">
            <w:pPr>
              <w:jc w:val="both"/>
              <w:rPr>
                <w:i/>
                <w:sz w:val="24"/>
                <w:szCs w:val="24"/>
              </w:rPr>
            </w:pPr>
          </w:p>
          <w:p w14:paraId="20370495" w14:textId="73391AAD" w:rsidR="00D3203C" w:rsidRPr="005C6188" w:rsidRDefault="005C6188" w:rsidP="00FF7EBB">
            <w:pPr>
              <w:jc w:val="both"/>
              <w:rPr>
                <w:sz w:val="24"/>
                <w:szCs w:val="24"/>
              </w:rPr>
            </w:pPr>
            <w:r w:rsidRPr="005C6188">
              <w:rPr>
                <w:sz w:val="24"/>
                <w:szCs w:val="24"/>
              </w:rPr>
              <w:t>4</w:t>
            </w:r>
            <w:r w:rsidR="00483E61">
              <w:rPr>
                <w:sz w:val="24"/>
                <w:szCs w:val="24"/>
              </w:rPr>
              <w:t>04</w:t>
            </w:r>
            <w:r w:rsidR="00836C6C">
              <w:rPr>
                <w:sz w:val="24"/>
                <w:szCs w:val="24"/>
              </w:rPr>
              <w:t>6</w:t>
            </w:r>
            <w:r w:rsidRPr="005C6188">
              <w:rPr>
                <w:sz w:val="24"/>
                <w:szCs w:val="24"/>
              </w:rPr>
              <w:t xml:space="preserve"> Words</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6DE4C" w14:textId="77777777" w:rsidR="0032711A" w:rsidRDefault="0032711A">
      <w:r>
        <w:separator/>
      </w:r>
    </w:p>
  </w:endnote>
  <w:endnote w:type="continuationSeparator" w:id="0">
    <w:p w14:paraId="415570FB" w14:textId="77777777" w:rsidR="0032711A" w:rsidRDefault="003271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524201F2" w:rsidR="00A5656A" w:rsidRDefault="00A5656A">
    <w:pPr>
      <w:pStyle w:val="Footer"/>
      <w:jc w:val="right"/>
    </w:pPr>
    <w:r>
      <w:fldChar w:fldCharType="begin"/>
    </w:r>
    <w:r>
      <w:instrText xml:space="preserve"> PAGE   \* MERGEFORMAT </w:instrText>
    </w:r>
    <w:r>
      <w:fldChar w:fldCharType="separate"/>
    </w:r>
    <w:r w:rsidR="00483E61">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CC790" w14:textId="77777777" w:rsidR="0032711A" w:rsidRDefault="0032711A">
      <w:r>
        <w:separator/>
      </w:r>
    </w:p>
  </w:footnote>
  <w:footnote w:type="continuationSeparator" w:id="0">
    <w:p w14:paraId="091DAB00" w14:textId="77777777" w:rsidR="0032711A" w:rsidRDefault="003271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4895343">
    <w:abstractNumId w:val="1"/>
    <w:lvlOverride w:ilvl="0">
      <w:lvl w:ilvl="0">
        <w:start w:val="1"/>
        <w:numFmt w:val="bullet"/>
        <w:lvlText w:val=""/>
        <w:lvlJc w:val="left"/>
        <w:pPr>
          <w:ind w:left="720" w:hanging="360"/>
        </w:pPr>
        <w:rPr>
          <w:rFonts w:ascii="Symbol" w:hAnsi="Symbol" w:hint="default"/>
        </w:rPr>
      </w:lvl>
    </w:lvlOverride>
  </w:num>
  <w:num w:numId="2" w16cid:durableId="85730391">
    <w:abstractNumId w:val="22"/>
  </w:num>
  <w:num w:numId="3" w16cid:durableId="1016808719">
    <w:abstractNumId w:val="45"/>
  </w:num>
  <w:num w:numId="4" w16cid:durableId="1110587795">
    <w:abstractNumId w:val="47"/>
  </w:num>
  <w:num w:numId="5" w16cid:durableId="1634410834">
    <w:abstractNumId w:val="34"/>
  </w:num>
  <w:num w:numId="6" w16cid:durableId="1229880538">
    <w:abstractNumId w:val="32"/>
  </w:num>
  <w:num w:numId="7" w16cid:durableId="1233157914">
    <w:abstractNumId w:val="29"/>
  </w:num>
  <w:num w:numId="8" w16cid:durableId="1101268350">
    <w:abstractNumId w:val="30"/>
  </w:num>
  <w:num w:numId="9" w16cid:durableId="755395667">
    <w:abstractNumId w:val="10"/>
  </w:num>
  <w:num w:numId="10" w16cid:durableId="1656714051">
    <w:abstractNumId w:val="33"/>
  </w:num>
  <w:num w:numId="11" w16cid:durableId="562984183">
    <w:abstractNumId w:val="17"/>
  </w:num>
  <w:num w:numId="12" w16cid:durableId="1644194931">
    <w:abstractNumId w:val="16"/>
  </w:num>
  <w:num w:numId="13" w16cid:durableId="53941631">
    <w:abstractNumId w:val="27"/>
  </w:num>
  <w:num w:numId="14" w16cid:durableId="301934328">
    <w:abstractNumId w:val="8"/>
  </w:num>
  <w:num w:numId="15" w16cid:durableId="1870222270">
    <w:abstractNumId w:val="26"/>
  </w:num>
  <w:num w:numId="16" w16cid:durableId="611473970">
    <w:abstractNumId w:val="15"/>
  </w:num>
  <w:num w:numId="17" w16cid:durableId="289626459">
    <w:abstractNumId w:val="13"/>
  </w:num>
  <w:num w:numId="18" w16cid:durableId="99124972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37022783">
    <w:abstractNumId w:val="23"/>
  </w:num>
  <w:num w:numId="20" w16cid:durableId="179003930">
    <w:abstractNumId w:val="18"/>
  </w:num>
  <w:num w:numId="21" w16cid:durableId="382825817">
    <w:abstractNumId w:val="14"/>
  </w:num>
  <w:num w:numId="22" w16cid:durableId="136993768">
    <w:abstractNumId w:val="11"/>
  </w:num>
  <w:num w:numId="23" w16cid:durableId="470636445">
    <w:abstractNumId w:val="28"/>
  </w:num>
  <w:num w:numId="24" w16cid:durableId="1173952293">
    <w:abstractNumId w:val="19"/>
  </w:num>
  <w:num w:numId="25" w16cid:durableId="1368876117">
    <w:abstractNumId w:val="41"/>
  </w:num>
  <w:num w:numId="26" w16cid:durableId="2060200225">
    <w:abstractNumId w:val="35"/>
  </w:num>
  <w:num w:numId="27" w16cid:durableId="1162503819">
    <w:abstractNumId w:val="40"/>
  </w:num>
  <w:num w:numId="28" w16cid:durableId="469981829">
    <w:abstractNumId w:val="20"/>
  </w:num>
  <w:num w:numId="29" w16cid:durableId="617302862">
    <w:abstractNumId w:val="43"/>
  </w:num>
  <w:num w:numId="30" w16cid:durableId="193732997">
    <w:abstractNumId w:val="31"/>
  </w:num>
  <w:num w:numId="31" w16cid:durableId="1062947298">
    <w:abstractNumId w:val="12"/>
  </w:num>
  <w:num w:numId="32" w16cid:durableId="1159271843">
    <w:abstractNumId w:val="44"/>
  </w:num>
  <w:num w:numId="33" w16cid:durableId="1694259385">
    <w:abstractNumId w:val="39"/>
  </w:num>
  <w:num w:numId="34" w16cid:durableId="662582549">
    <w:abstractNumId w:val="5"/>
  </w:num>
  <w:num w:numId="35" w16cid:durableId="1727297010">
    <w:abstractNumId w:val="46"/>
  </w:num>
  <w:num w:numId="36" w16cid:durableId="1670793451">
    <w:abstractNumId w:val="42"/>
  </w:num>
  <w:num w:numId="37" w16cid:durableId="156456657">
    <w:abstractNumId w:val="36"/>
  </w:num>
  <w:num w:numId="38" w16cid:durableId="1220047558">
    <w:abstractNumId w:val="37"/>
  </w:num>
  <w:num w:numId="39" w16cid:durableId="817260749">
    <w:abstractNumId w:val="4"/>
  </w:num>
  <w:num w:numId="40" w16cid:durableId="1785726700">
    <w:abstractNumId w:val="6"/>
  </w:num>
  <w:num w:numId="41" w16cid:durableId="367536703">
    <w:abstractNumId w:val="25"/>
  </w:num>
  <w:num w:numId="42" w16cid:durableId="1639801564">
    <w:abstractNumId w:val="7"/>
  </w:num>
  <w:num w:numId="43" w16cid:durableId="840437665">
    <w:abstractNumId w:val="3"/>
  </w:num>
  <w:num w:numId="44" w16cid:durableId="1665089177">
    <w:abstractNumId w:val="38"/>
  </w:num>
  <w:num w:numId="45" w16cid:durableId="218368419">
    <w:abstractNumId w:val="0"/>
  </w:num>
  <w:num w:numId="46" w16cid:durableId="641928969">
    <w:abstractNumId w:val="14"/>
  </w:num>
  <w:num w:numId="47" w16cid:durableId="983659123">
    <w:abstractNumId w:val="48"/>
  </w:num>
  <w:num w:numId="48" w16cid:durableId="143828389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11762744">
    <w:abstractNumId w:val="11"/>
  </w:num>
  <w:num w:numId="50" w16cid:durableId="1264534062">
    <w:abstractNumId w:val="28"/>
  </w:num>
  <w:num w:numId="51" w16cid:durableId="1155143862">
    <w:abstractNumId w:val="24"/>
  </w:num>
  <w:num w:numId="52" w16cid:durableId="473185361">
    <w:abstractNumId w:val="21"/>
  </w:num>
  <w:num w:numId="53" w16cid:durableId="181333215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06B"/>
    <w:rsid w:val="000771B0"/>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7E6"/>
    <w:rsid w:val="001608C4"/>
    <w:rsid w:val="00164832"/>
    <w:rsid w:val="00171418"/>
    <w:rsid w:val="001772BF"/>
    <w:rsid w:val="001772DE"/>
    <w:rsid w:val="0019391C"/>
    <w:rsid w:val="001945C4"/>
    <w:rsid w:val="0019496C"/>
    <w:rsid w:val="001961CF"/>
    <w:rsid w:val="001A59BB"/>
    <w:rsid w:val="001A607E"/>
    <w:rsid w:val="001A6A51"/>
    <w:rsid w:val="001A79C4"/>
    <w:rsid w:val="001B331A"/>
    <w:rsid w:val="001C0237"/>
    <w:rsid w:val="001C0E74"/>
    <w:rsid w:val="001C4DB8"/>
    <w:rsid w:val="001C50B8"/>
    <w:rsid w:val="001C6534"/>
    <w:rsid w:val="001D229F"/>
    <w:rsid w:val="001D6931"/>
    <w:rsid w:val="001E2EB6"/>
    <w:rsid w:val="001F4552"/>
    <w:rsid w:val="001F79FA"/>
    <w:rsid w:val="002019EB"/>
    <w:rsid w:val="00204B58"/>
    <w:rsid w:val="00205051"/>
    <w:rsid w:val="00211F65"/>
    <w:rsid w:val="00214047"/>
    <w:rsid w:val="00216563"/>
    <w:rsid w:val="0021792F"/>
    <w:rsid w:val="00220D06"/>
    <w:rsid w:val="002246A0"/>
    <w:rsid w:val="00230439"/>
    <w:rsid w:val="00232A09"/>
    <w:rsid w:val="00235176"/>
    <w:rsid w:val="00236061"/>
    <w:rsid w:val="00240F5F"/>
    <w:rsid w:val="0024100E"/>
    <w:rsid w:val="00241C1B"/>
    <w:rsid w:val="0024288B"/>
    <w:rsid w:val="00243DB0"/>
    <w:rsid w:val="00247265"/>
    <w:rsid w:val="00247324"/>
    <w:rsid w:val="00260663"/>
    <w:rsid w:val="002657E9"/>
    <w:rsid w:val="0026665E"/>
    <w:rsid w:val="0027147E"/>
    <w:rsid w:val="00272ED3"/>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47D"/>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11A"/>
    <w:rsid w:val="00330881"/>
    <w:rsid w:val="00331CD2"/>
    <w:rsid w:val="00332426"/>
    <w:rsid w:val="00335C41"/>
    <w:rsid w:val="00335FC5"/>
    <w:rsid w:val="0033771E"/>
    <w:rsid w:val="00337FEF"/>
    <w:rsid w:val="0035150F"/>
    <w:rsid w:val="00354B6D"/>
    <w:rsid w:val="00355210"/>
    <w:rsid w:val="00355CFD"/>
    <w:rsid w:val="00365DF9"/>
    <w:rsid w:val="00367706"/>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23F"/>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2BC"/>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3E61"/>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FF6"/>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1D7C"/>
    <w:rsid w:val="00562EAA"/>
    <w:rsid w:val="00563B58"/>
    <w:rsid w:val="005640C4"/>
    <w:rsid w:val="0056684C"/>
    <w:rsid w:val="00573A12"/>
    <w:rsid w:val="00574A0C"/>
    <w:rsid w:val="0057780F"/>
    <w:rsid w:val="00581E0A"/>
    <w:rsid w:val="00583241"/>
    <w:rsid w:val="00586D89"/>
    <w:rsid w:val="005877C8"/>
    <w:rsid w:val="00587923"/>
    <w:rsid w:val="00594F9F"/>
    <w:rsid w:val="005A1B4C"/>
    <w:rsid w:val="005A545C"/>
    <w:rsid w:val="005A782C"/>
    <w:rsid w:val="005B271A"/>
    <w:rsid w:val="005B3A2D"/>
    <w:rsid w:val="005C1567"/>
    <w:rsid w:val="005C28D3"/>
    <w:rsid w:val="005C6188"/>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709C"/>
    <w:rsid w:val="006326D1"/>
    <w:rsid w:val="00632E0A"/>
    <w:rsid w:val="00633165"/>
    <w:rsid w:val="006447DE"/>
    <w:rsid w:val="00644823"/>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FCF"/>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3639"/>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50A"/>
    <w:rsid w:val="00775B26"/>
    <w:rsid w:val="0078112D"/>
    <w:rsid w:val="00785216"/>
    <w:rsid w:val="007872F2"/>
    <w:rsid w:val="007873F9"/>
    <w:rsid w:val="007908E0"/>
    <w:rsid w:val="00793EB3"/>
    <w:rsid w:val="00794205"/>
    <w:rsid w:val="0079422A"/>
    <w:rsid w:val="007A07B7"/>
    <w:rsid w:val="007A1F6A"/>
    <w:rsid w:val="007A3DD9"/>
    <w:rsid w:val="007A628F"/>
    <w:rsid w:val="007B0DE3"/>
    <w:rsid w:val="007B1BFD"/>
    <w:rsid w:val="007B7191"/>
    <w:rsid w:val="007C1D94"/>
    <w:rsid w:val="007C556F"/>
    <w:rsid w:val="007C5ABE"/>
    <w:rsid w:val="007C6A87"/>
    <w:rsid w:val="007D0A07"/>
    <w:rsid w:val="007D0F11"/>
    <w:rsid w:val="007D133D"/>
    <w:rsid w:val="007D3EB4"/>
    <w:rsid w:val="007D3F16"/>
    <w:rsid w:val="007D6931"/>
    <w:rsid w:val="007F10BD"/>
    <w:rsid w:val="007F312E"/>
    <w:rsid w:val="007F3F7E"/>
    <w:rsid w:val="007F4BA4"/>
    <w:rsid w:val="0081006D"/>
    <w:rsid w:val="00813CEC"/>
    <w:rsid w:val="0081534C"/>
    <w:rsid w:val="00816CE7"/>
    <w:rsid w:val="008171E4"/>
    <w:rsid w:val="008208EA"/>
    <w:rsid w:val="00822B44"/>
    <w:rsid w:val="00824E67"/>
    <w:rsid w:val="00825A64"/>
    <w:rsid w:val="00826E0C"/>
    <w:rsid w:val="00826F48"/>
    <w:rsid w:val="008308AE"/>
    <w:rsid w:val="00830DD1"/>
    <w:rsid w:val="0083166E"/>
    <w:rsid w:val="00831DC3"/>
    <w:rsid w:val="008322C7"/>
    <w:rsid w:val="008340BA"/>
    <w:rsid w:val="00834F1D"/>
    <w:rsid w:val="00836C6C"/>
    <w:rsid w:val="00836FEC"/>
    <w:rsid w:val="00840F6E"/>
    <w:rsid w:val="00841F9D"/>
    <w:rsid w:val="008420E1"/>
    <w:rsid w:val="00844D98"/>
    <w:rsid w:val="00846D84"/>
    <w:rsid w:val="00850233"/>
    <w:rsid w:val="0085230E"/>
    <w:rsid w:val="00852CBE"/>
    <w:rsid w:val="008550A1"/>
    <w:rsid w:val="00857B9E"/>
    <w:rsid w:val="00861038"/>
    <w:rsid w:val="00865B58"/>
    <w:rsid w:val="00866B50"/>
    <w:rsid w:val="00867A63"/>
    <w:rsid w:val="008708F1"/>
    <w:rsid w:val="00871960"/>
    <w:rsid w:val="0087369F"/>
    <w:rsid w:val="00876376"/>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5541"/>
    <w:rsid w:val="00936054"/>
    <w:rsid w:val="0094495F"/>
    <w:rsid w:val="009516D3"/>
    <w:rsid w:val="00952A53"/>
    <w:rsid w:val="00952C9C"/>
    <w:rsid w:val="009544C0"/>
    <w:rsid w:val="00954FA4"/>
    <w:rsid w:val="009551CF"/>
    <w:rsid w:val="00956AE9"/>
    <w:rsid w:val="0096341A"/>
    <w:rsid w:val="00964CC6"/>
    <w:rsid w:val="00967BFA"/>
    <w:rsid w:val="0098262C"/>
    <w:rsid w:val="0098427C"/>
    <w:rsid w:val="00986B43"/>
    <w:rsid w:val="00986C0B"/>
    <w:rsid w:val="00986D46"/>
    <w:rsid w:val="00991FDA"/>
    <w:rsid w:val="00992ACA"/>
    <w:rsid w:val="009A5F3B"/>
    <w:rsid w:val="009A5F79"/>
    <w:rsid w:val="009A6F87"/>
    <w:rsid w:val="009A75FB"/>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437"/>
    <w:rsid w:val="009E4D2C"/>
    <w:rsid w:val="009E77B8"/>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27D41"/>
    <w:rsid w:val="00A303B9"/>
    <w:rsid w:val="00A31870"/>
    <w:rsid w:val="00A37416"/>
    <w:rsid w:val="00A40ED6"/>
    <w:rsid w:val="00A42572"/>
    <w:rsid w:val="00A47621"/>
    <w:rsid w:val="00A479CD"/>
    <w:rsid w:val="00A50CFC"/>
    <w:rsid w:val="00A511DB"/>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02EF"/>
    <w:rsid w:val="00AC3A0E"/>
    <w:rsid w:val="00AC4A04"/>
    <w:rsid w:val="00AC5679"/>
    <w:rsid w:val="00AD336F"/>
    <w:rsid w:val="00AD5B98"/>
    <w:rsid w:val="00AE134C"/>
    <w:rsid w:val="00AE1868"/>
    <w:rsid w:val="00AE2564"/>
    <w:rsid w:val="00AE301F"/>
    <w:rsid w:val="00AE3302"/>
    <w:rsid w:val="00AE5BA6"/>
    <w:rsid w:val="00AE6231"/>
    <w:rsid w:val="00AE7077"/>
    <w:rsid w:val="00AF61C2"/>
    <w:rsid w:val="00AF6CC6"/>
    <w:rsid w:val="00B0296A"/>
    <w:rsid w:val="00B040BB"/>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2FB"/>
    <w:rsid w:val="00B82CC2"/>
    <w:rsid w:val="00B84A89"/>
    <w:rsid w:val="00B9256C"/>
    <w:rsid w:val="00B92BEF"/>
    <w:rsid w:val="00B94443"/>
    <w:rsid w:val="00B94C27"/>
    <w:rsid w:val="00B9689A"/>
    <w:rsid w:val="00B97056"/>
    <w:rsid w:val="00BA531E"/>
    <w:rsid w:val="00BA728B"/>
    <w:rsid w:val="00BB06CB"/>
    <w:rsid w:val="00BB261F"/>
    <w:rsid w:val="00BB2887"/>
    <w:rsid w:val="00BB3A42"/>
    <w:rsid w:val="00BB3B56"/>
    <w:rsid w:val="00BB5EAA"/>
    <w:rsid w:val="00BB5F11"/>
    <w:rsid w:val="00BB63D4"/>
    <w:rsid w:val="00BB6638"/>
    <w:rsid w:val="00BB7FD2"/>
    <w:rsid w:val="00BC04FA"/>
    <w:rsid w:val="00BC1C22"/>
    <w:rsid w:val="00BC460B"/>
    <w:rsid w:val="00BC4ED3"/>
    <w:rsid w:val="00BC5725"/>
    <w:rsid w:val="00BD30B1"/>
    <w:rsid w:val="00BE0F7B"/>
    <w:rsid w:val="00BE10C2"/>
    <w:rsid w:val="00BF0D6C"/>
    <w:rsid w:val="00BF1F70"/>
    <w:rsid w:val="00C01D14"/>
    <w:rsid w:val="00C01D97"/>
    <w:rsid w:val="00C025B4"/>
    <w:rsid w:val="00C029EC"/>
    <w:rsid w:val="00C15ED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9E2"/>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4C4"/>
    <w:rsid w:val="00CA0894"/>
    <w:rsid w:val="00CA3593"/>
    <w:rsid w:val="00CA5726"/>
    <w:rsid w:val="00CA7E6A"/>
    <w:rsid w:val="00CB258E"/>
    <w:rsid w:val="00CB3C8F"/>
    <w:rsid w:val="00CC02F1"/>
    <w:rsid w:val="00CC1122"/>
    <w:rsid w:val="00CC11A6"/>
    <w:rsid w:val="00CC135E"/>
    <w:rsid w:val="00CC4773"/>
    <w:rsid w:val="00CC7226"/>
    <w:rsid w:val="00CD0735"/>
    <w:rsid w:val="00CD45E3"/>
    <w:rsid w:val="00CD4771"/>
    <w:rsid w:val="00CD5089"/>
    <w:rsid w:val="00CD5D3F"/>
    <w:rsid w:val="00CD7E1F"/>
    <w:rsid w:val="00CE4BC4"/>
    <w:rsid w:val="00CE7DA2"/>
    <w:rsid w:val="00CF2F8A"/>
    <w:rsid w:val="00CF3DB3"/>
    <w:rsid w:val="00D0274B"/>
    <w:rsid w:val="00D03644"/>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4EE6"/>
    <w:rsid w:val="00DF2469"/>
    <w:rsid w:val="00DF7899"/>
    <w:rsid w:val="00E0524C"/>
    <w:rsid w:val="00E15751"/>
    <w:rsid w:val="00E17160"/>
    <w:rsid w:val="00E17C31"/>
    <w:rsid w:val="00E17D41"/>
    <w:rsid w:val="00E20857"/>
    <w:rsid w:val="00E231D1"/>
    <w:rsid w:val="00E30BBD"/>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C55"/>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581A"/>
    <w:rsid w:val="00F22AC5"/>
    <w:rsid w:val="00F254D1"/>
    <w:rsid w:val="00F30810"/>
    <w:rsid w:val="00F32B82"/>
    <w:rsid w:val="00F34C86"/>
    <w:rsid w:val="00F4043E"/>
    <w:rsid w:val="00F41795"/>
    <w:rsid w:val="00F41BBC"/>
    <w:rsid w:val="00F444F0"/>
    <w:rsid w:val="00F446FF"/>
    <w:rsid w:val="00F45521"/>
    <w:rsid w:val="00F50847"/>
    <w:rsid w:val="00F53F27"/>
    <w:rsid w:val="00F546D1"/>
    <w:rsid w:val="00F60281"/>
    <w:rsid w:val="00F646CD"/>
    <w:rsid w:val="00F66272"/>
    <w:rsid w:val="00F709C0"/>
    <w:rsid w:val="00F81FEC"/>
    <w:rsid w:val="00F927A1"/>
    <w:rsid w:val="00F92E4D"/>
    <w:rsid w:val="00F95D08"/>
    <w:rsid w:val="00FA23BD"/>
    <w:rsid w:val="00FA3764"/>
    <w:rsid w:val="00FA41C7"/>
    <w:rsid w:val="00FA4A79"/>
    <w:rsid w:val="00FA56ED"/>
    <w:rsid w:val="00FA7FA9"/>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B8446C-2E51-4802-ADC4-50F9B3E2E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10</Pages>
  <Words>4018</Words>
  <Characters>22905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Driffield</cp:lastModifiedBy>
  <cp:revision>78</cp:revision>
  <cp:lastPrinted>2020-02-11T19:20:00Z</cp:lastPrinted>
  <dcterms:created xsi:type="dcterms:W3CDTF">2022-09-29T11:34:00Z</dcterms:created>
  <dcterms:modified xsi:type="dcterms:W3CDTF">2023-02-21T21:28:00Z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