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diagrams/drawing1.xml" ContentType="application/vnd.ms-office.drawingml.diagramDrawing+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numbering.xml" ContentType="application/vnd.openxmlformats-officedocument.wordprocessingml.numbering+xml"/>
  <Override PartName="/word/diagrams/data1.xml" ContentType="application/vnd.openxmlformats-officedocument.drawingml.diagramData+xml"/>
  <Override PartName="/word/diagrams/colors1.xml" ContentType="application/vnd.openxmlformats-officedocument.drawingml.diagramColors+xml"/>
  <Override PartName="/word/settings.xml" ContentType="application/vnd.openxmlformats-officedocument.wordprocessingml.settings+xml"/>
  <Override PartName="/docProps/custom.xml" ContentType="application/vnd.openxmlformats-officedocument.custom-properties+xml"/>
  <Override PartName="/word/diagrams/layout1.xml" ContentType="application/vnd.openxmlformats-officedocument.drawingml.diagramLayout+xml"/>
  <Override PartName="/word/document.xml" ContentType="application/vnd.openxmlformats-officedocument.wordprocessingml.document.main+xml"/>
  <Override PartName="/customXml/itemProps1.xml" ContentType="application/vnd.openxmlformats-officedocument.customXmlProperties+xml"/>
  <Override PartName="/word/diagrams/quickStyle1.xml" ContentType="application/vnd.openxmlformats-officedocument.drawingml.diagramStyle+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22157600">
      <w:pPr>
        <w:pStyle w:val="style0"/>
        <w:rPr/>
      </w:pPr>
      <w:r>
        <w:rPr>
          <w:noProof/>
        </w:rPr>
        <w:drawing>
          <wp:anchor distT="0" distB="0" distL="114300" distR="114300" simplePos="false" relativeHeight="2" behindDoc="true" locked="false" layoutInCell="true" allowOverlap="true">
            <wp:simplePos x="0" y="0"/>
            <wp:positionH relativeFrom="column">
              <wp:posOffset>1257300</wp:posOffset>
            </wp:positionH>
            <wp:positionV relativeFrom="paragraph">
              <wp:posOffset>0</wp:posOffset>
            </wp:positionV>
            <wp:extent cx="3330228" cy="1234547"/>
            <wp:effectExtent l="0" t="0" r="3810" b="3810"/>
            <wp:wrapTight wrapText="bothSides">
              <wp:wrapPolygon edited="false">
                <wp:start x="0" y="0"/>
                <wp:lineTo x="0" y="21333"/>
                <wp:lineTo x="21501" y="21333"/>
                <wp:lineTo x="21501" y="0"/>
                <wp:lineTo x="0" y="0"/>
              </wp:wrapPolygon>
            </wp:wrapTight>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3330228" cy="1234547"/>
                    </a:xfrm>
                    <a:prstGeom prst="rect"/>
                  </pic:spPr>
                </pic:pic>
              </a:graphicData>
            </a:graphic>
            <wp14:sizeRelH relativeFrom="page">
              <wp14:pctWidth>0</wp14:pctWidth>
            </wp14:sizeRelH>
            <wp14:sizeRelV relativeFrom="page">
              <wp14:pctHeight>0</wp14:pctHeight>
            </wp14:sizeRelV>
          </wp:anchor>
        </w:drawing>
      </w:r>
    </w:p>
    <w:p w14:paraId="2C5CA6AF">
      <w:pPr>
        <w:pStyle w:val="style0"/>
        <w:rPr/>
      </w:pPr>
    </w:p>
    <w:p w14:paraId="79734264">
      <w:pPr>
        <w:pStyle w:val="style0"/>
        <w:rPr/>
      </w:pPr>
    </w:p>
    <w:p w14:paraId="55C6E6B8">
      <w:pPr>
        <w:pStyle w:val="style0"/>
        <w:rPr/>
      </w:pPr>
    </w:p>
    <w:p w14:paraId="4A8E0C5E">
      <w:pPr>
        <w:pStyle w:val="style0"/>
        <w:jc w:val="center"/>
        <w:rPr>
          <w:b/>
          <w:bCs/>
          <w:sz w:val="28"/>
          <w:szCs w:val="28"/>
        </w:rPr>
      </w:pPr>
      <w:r>
        <w:rPr>
          <w:b/>
          <w:bCs/>
          <w:sz w:val="28"/>
          <w:szCs w:val="28"/>
        </w:rPr>
        <w:t>Programme name: Master of Business Administration</w:t>
      </w:r>
    </w:p>
    <w:p w14:paraId="467D3EBA">
      <w:pPr>
        <w:pStyle w:val="style0"/>
        <w:jc w:val="center"/>
        <w:rPr>
          <w:b/>
          <w:bCs/>
          <w:sz w:val="28"/>
          <w:szCs w:val="28"/>
        </w:rPr>
      </w:pPr>
      <w:r>
        <w:rPr>
          <w:b/>
          <w:bCs/>
          <w:sz w:val="28"/>
          <w:szCs w:val="28"/>
        </w:rPr>
        <w:t>Module name: Internal business concepts</w:t>
      </w:r>
    </w:p>
    <w:p w14:paraId="4DDC3179">
      <w:pPr>
        <w:pStyle w:val="style0"/>
        <w:jc w:val="center"/>
        <w:rPr>
          <w:b/>
          <w:bCs/>
          <w:sz w:val="28"/>
          <w:szCs w:val="28"/>
        </w:rPr>
      </w:pPr>
      <w:r>
        <w:rPr>
          <w:b/>
          <w:bCs/>
          <w:sz w:val="28"/>
          <w:szCs w:val="28"/>
        </w:rPr>
        <w:t>Code of the module: LCMB7034</w:t>
      </w:r>
    </w:p>
    <w:p w14:paraId="1362C8E0">
      <w:pPr>
        <w:pStyle w:val="style0"/>
        <w:jc w:val="center"/>
        <w:rPr>
          <w:b/>
          <w:bCs/>
          <w:sz w:val="28"/>
          <w:szCs w:val="28"/>
        </w:rPr>
      </w:pPr>
      <w:r>
        <w:rPr>
          <w:b/>
          <w:bCs/>
          <w:sz w:val="28"/>
          <w:szCs w:val="28"/>
        </w:rPr>
        <w:t>Title of your submission:</w:t>
      </w:r>
      <w:r>
        <w:rPr>
          <w:b/>
          <w:bCs/>
          <w:sz w:val="28"/>
          <w:szCs w:val="28"/>
        </w:rPr>
        <w:t xml:space="preserve"> Strategic decisions of Primark in India</w:t>
      </w:r>
    </w:p>
    <w:p w14:paraId="4FC0EBA7">
      <w:pPr>
        <w:pStyle w:val="style0"/>
        <w:jc w:val="center"/>
        <w:rPr>
          <w:b/>
          <w:bCs/>
          <w:sz w:val="28"/>
          <w:szCs w:val="28"/>
        </w:rPr>
      </w:pPr>
      <w:r>
        <w:rPr>
          <w:b/>
          <w:bCs/>
          <w:sz w:val="28"/>
          <w:szCs w:val="28"/>
        </w:rPr>
        <w:t xml:space="preserve">Lecturer’s name: </w:t>
      </w:r>
      <w:r>
        <w:rPr>
          <w:b/>
          <w:bCs/>
          <w:sz w:val="28"/>
          <w:szCs w:val="28"/>
          <w:lang w:val="en-US"/>
        </w:rPr>
        <w:t>Gladius kulothungan</w:t>
      </w:r>
    </w:p>
    <w:p w14:paraId="371D3AF0">
      <w:pPr>
        <w:pStyle w:val="style0"/>
        <w:jc w:val="center"/>
        <w:rPr>
          <w:b/>
          <w:bCs/>
          <w:sz w:val="28"/>
          <w:szCs w:val="28"/>
        </w:rPr>
      </w:pPr>
      <w:r>
        <w:rPr>
          <w:b/>
          <w:bCs/>
          <w:sz w:val="28"/>
          <w:szCs w:val="28"/>
        </w:rPr>
        <w:t xml:space="preserve">Student name: </w:t>
      </w:r>
      <w:r>
        <w:rPr>
          <w:b/>
          <w:bCs/>
          <w:sz w:val="28"/>
          <w:szCs w:val="28"/>
          <w:lang w:val="en-US"/>
        </w:rPr>
        <w:t xml:space="preserve">AFRINBANU Imtiyaz Parmar </w:t>
      </w:r>
    </w:p>
    <w:p w14:paraId="776AD7C9">
      <w:pPr>
        <w:pStyle w:val="style0"/>
        <w:jc w:val="center"/>
        <w:rPr>
          <w:b/>
          <w:bCs/>
          <w:sz w:val="28"/>
          <w:szCs w:val="28"/>
        </w:rPr>
      </w:pPr>
      <w:r>
        <w:rPr>
          <w:b/>
          <w:bCs/>
          <w:sz w:val="28"/>
          <w:szCs w:val="28"/>
        </w:rPr>
        <w:t>Student ID:</w:t>
      </w:r>
      <w:r>
        <w:rPr>
          <w:b/>
          <w:bCs/>
          <w:sz w:val="28"/>
          <w:szCs w:val="28"/>
          <w:lang w:val="en-US"/>
        </w:rPr>
        <w:t xml:space="preserve"> 2518571</w:t>
      </w:r>
    </w:p>
    <w:p w14:paraId="58E5289D">
      <w:pPr>
        <w:pStyle w:val="style0"/>
        <w:jc w:val="center"/>
        <w:rPr>
          <w:b/>
          <w:bCs/>
          <w:sz w:val="28"/>
          <w:szCs w:val="28"/>
        </w:rPr>
      </w:pPr>
      <w:r>
        <w:rPr>
          <w:b/>
          <w:bCs/>
          <w:sz w:val="28"/>
          <w:szCs w:val="28"/>
        </w:rPr>
        <w:t>Word count:</w:t>
      </w:r>
      <w:r>
        <w:rPr>
          <w:b/>
          <w:bCs/>
          <w:sz w:val="28"/>
          <w:szCs w:val="28"/>
        </w:rPr>
        <w:t xml:space="preserve"> 4</w:t>
      </w:r>
      <w:r>
        <w:rPr>
          <w:b/>
          <w:bCs/>
          <w:sz w:val="28"/>
          <w:szCs w:val="28"/>
        </w:rPr>
        <w:t>9</w:t>
      </w:r>
      <w:r>
        <w:rPr>
          <w:b/>
          <w:bCs/>
          <w:sz w:val="28"/>
          <w:szCs w:val="28"/>
        </w:rPr>
        <w:t>5</w:t>
      </w:r>
      <w:r>
        <w:rPr>
          <w:b/>
          <w:bCs/>
          <w:sz w:val="28"/>
          <w:szCs w:val="28"/>
        </w:rPr>
        <w:t>1</w:t>
      </w:r>
    </w:p>
    <w:p w14:paraId="6A53ECC5">
      <w:pPr>
        <w:pStyle w:val="style0"/>
        <w:jc w:val="center"/>
        <w:rPr>
          <w:b/>
          <w:bCs/>
          <w:sz w:val="28"/>
          <w:szCs w:val="28"/>
        </w:rPr>
      </w:pPr>
    </w:p>
    <w:p w14:paraId="30AF2453">
      <w:pPr>
        <w:pStyle w:val="style0"/>
        <w:spacing w:lineRule="auto" w:line="278"/>
        <w:jc w:val="left"/>
        <w:rPr>
          <w:b/>
          <w:bCs/>
          <w:sz w:val="28"/>
          <w:szCs w:val="28"/>
        </w:rPr>
      </w:pPr>
      <w:r>
        <w:rPr>
          <w:b/>
          <w:bCs/>
          <w:sz w:val="28"/>
          <w:szCs w:val="28"/>
        </w:rPr>
        <w:br w:type="page"/>
      </w:r>
    </w:p>
    <w:p w14:paraId="4A114710">
      <w:pPr>
        <w:pStyle w:val="style266"/>
        <w:jc w:val="center"/>
        <w:rPr>
          <w:rFonts w:ascii="Arial" w:cs="Arial" w:hAnsi="Arial"/>
          <w:b/>
          <w:bCs/>
          <w:color w:val="000000"/>
          <w:sz w:val="24"/>
          <w:szCs w:val="24"/>
        </w:rPr>
      </w:pPr>
      <w:r>
        <w:rPr>
          <w:rFonts w:ascii="Arial" w:cs="Arial" w:hAnsi="Arial"/>
          <w:b/>
          <w:bCs/>
          <w:color w:val="000000"/>
          <w:sz w:val="24"/>
          <w:szCs w:val="24"/>
        </w:rPr>
        <w:t>Table of Contents</w:t>
      </w:r>
    </w:p>
    <w:p w14:paraId="59CC3EAD">
      <w:pPr>
        <w:pStyle w:val="style19"/>
        <w:tabs>
          <w:tab w:val="right" w:leader="dot" w:pos="9350"/>
        </w:tabs>
        <w:rPr>
          <w:rFonts w:ascii="Aptos" w:eastAsia="宋体" w:hAnsi="Aptos"/>
          <w:noProof/>
          <w:color w:val="auto"/>
          <w:lang w:val="en-US"/>
        </w:rPr>
      </w:pPr>
      <w:r>
        <w:rPr/>
        <w:fldChar w:fldCharType="begin"/>
      </w:r>
      <w:r>
        <w:instrText xml:space="preserve"> TOC \o "1-3" \h \z \u </w:instrText>
      </w:r>
      <w:r>
        <w:rPr/>
        <w:fldChar w:fldCharType="separate"/>
      </w:r>
      <w:r>
        <w:rPr/>
        <w:fldChar w:fldCharType="begin"/>
      </w:r>
      <w:r>
        <w:instrText xml:space="preserve"> HYPERLINK \l "_Toc237441442" </w:instrText>
      </w:r>
      <w:r>
        <w:rPr/>
        <w:fldChar w:fldCharType="separate"/>
      </w:r>
      <w:r>
        <w:rPr>
          <w:rStyle w:val="style85"/>
          <w:noProof/>
        </w:rPr>
        <w:t>Section 1</w:t>
      </w:r>
      <w:r>
        <w:rPr>
          <w:noProof/>
          <w:webHidden/>
        </w:rPr>
        <w:tab/>
      </w:r>
      <w:r>
        <w:rPr>
          <w:noProof/>
          <w:webHidden/>
        </w:rPr>
        <w:fldChar w:fldCharType="begin"/>
      </w:r>
      <w:r>
        <w:rPr>
          <w:noProof/>
          <w:webHidden/>
        </w:rPr>
        <w:instrText xml:space="preserve"> PAGEREF _Toc237441442 \h </w:instrText>
      </w:r>
      <w:r>
        <w:rPr>
          <w:noProof/>
          <w:webHidden/>
        </w:rPr>
        <w:fldChar w:fldCharType="separate"/>
      </w:r>
      <w:r>
        <w:rPr>
          <w:noProof/>
          <w:webHidden/>
        </w:rPr>
        <w:t>3</w:t>
      </w:r>
      <w:r>
        <w:rPr>
          <w:noProof/>
          <w:webHidden/>
        </w:rPr>
        <w:fldChar w:fldCharType="end"/>
      </w:r>
      <w:r>
        <w:rPr/>
        <w:fldChar w:fldCharType="end"/>
      </w:r>
    </w:p>
    <w:p w14:paraId="0B8D69EA">
      <w:pPr>
        <w:pStyle w:val="style20"/>
        <w:tabs>
          <w:tab w:val="right" w:leader="dot" w:pos="9350"/>
        </w:tabs>
        <w:rPr>
          <w:rFonts w:ascii="Aptos" w:eastAsia="宋体" w:hAnsi="Aptos"/>
          <w:noProof/>
          <w:color w:val="auto"/>
          <w:lang w:val="en-US"/>
        </w:rPr>
      </w:pPr>
      <w:r>
        <w:rPr/>
        <w:fldChar w:fldCharType="begin"/>
      </w:r>
      <w:r>
        <w:instrText xml:space="preserve"> HYPERLINK \l "_Toc237441443" </w:instrText>
      </w:r>
      <w:r>
        <w:rPr/>
        <w:fldChar w:fldCharType="separate"/>
      </w:r>
      <w:r>
        <w:rPr>
          <w:rStyle w:val="style85"/>
          <w:noProof/>
        </w:rPr>
        <w:t>Organisational Classification and Global Strategy</w:t>
      </w:r>
      <w:r>
        <w:rPr>
          <w:noProof/>
          <w:webHidden/>
        </w:rPr>
        <w:tab/>
      </w:r>
      <w:r>
        <w:rPr>
          <w:noProof/>
          <w:webHidden/>
        </w:rPr>
        <w:fldChar w:fldCharType="begin"/>
      </w:r>
      <w:r>
        <w:rPr>
          <w:noProof/>
          <w:webHidden/>
        </w:rPr>
        <w:instrText xml:space="preserve"> PAGEREF _Toc237441443 \h </w:instrText>
      </w:r>
      <w:r>
        <w:rPr>
          <w:noProof/>
          <w:webHidden/>
        </w:rPr>
        <w:fldChar w:fldCharType="separate"/>
      </w:r>
      <w:r>
        <w:rPr>
          <w:noProof/>
          <w:webHidden/>
        </w:rPr>
        <w:t>3</w:t>
      </w:r>
      <w:r>
        <w:rPr>
          <w:noProof/>
          <w:webHidden/>
        </w:rPr>
        <w:fldChar w:fldCharType="end"/>
      </w:r>
      <w:r>
        <w:rPr/>
        <w:fldChar w:fldCharType="end"/>
      </w:r>
    </w:p>
    <w:p w14:paraId="4B24DB2C">
      <w:pPr>
        <w:pStyle w:val="style21"/>
        <w:tabs>
          <w:tab w:val="right" w:leader="dot" w:pos="9350"/>
        </w:tabs>
        <w:rPr>
          <w:noProof/>
        </w:rPr>
      </w:pPr>
      <w:r>
        <w:rPr/>
        <w:fldChar w:fldCharType="begin"/>
      </w:r>
      <w:r>
        <w:instrText xml:space="preserve"> HYPERLINK \l "_Toc237441444" </w:instrText>
      </w:r>
      <w:r>
        <w:rPr/>
        <w:fldChar w:fldCharType="separate"/>
      </w:r>
      <w:r>
        <w:rPr>
          <w:rStyle w:val="style85"/>
          <w:noProof/>
        </w:rPr>
        <w:t>Strategic categorisation</w:t>
      </w:r>
      <w:r>
        <w:rPr>
          <w:noProof/>
          <w:webHidden/>
        </w:rPr>
        <w:tab/>
      </w:r>
      <w:r>
        <w:rPr>
          <w:noProof/>
          <w:webHidden/>
        </w:rPr>
        <w:fldChar w:fldCharType="begin"/>
      </w:r>
      <w:r>
        <w:rPr>
          <w:noProof/>
          <w:webHidden/>
        </w:rPr>
        <w:instrText xml:space="preserve"> PAGEREF _Toc237441444 \h </w:instrText>
      </w:r>
      <w:r>
        <w:rPr>
          <w:noProof/>
          <w:webHidden/>
        </w:rPr>
        <w:fldChar w:fldCharType="separate"/>
      </w:r>
      <w:r>
        <w:rPr>
          <w:noProof/>
          <w:webHidden/>
        </w:rPr>
        <w:t>3</w:t>
      </w:r>
      <w:r>
        <w:rPr>
          <w:noProof/>
          <w:webHidden/>
        </w:rPr>
        <w:fldChar w:fldCharType="end"/>
      </w:r>
      <w:r>
        <w:rPr/>
        <w:fldChar w:fldCharType="end"/>
      </w:r>
    </w:p>
    <w:p w14:paraId="5FF9046B">
      <w:pPr>
        <w:pStyle w:val="style21"/>
        <w:tabs>
          <w:tab w:val="right" w:leader="dot" w:pos="9350"/>
        </w:tabs>
        <w:rPr>
          <w:noProof/>
        </w:rPr>
      </w:pPr>
      <w:r>
        <w:rPr/>
        <w:fldChar w:fldCharType="begin"/>
      </w:r>
      <w:r>
        <w:instrText xml:space="preserve"> HYPERLINK \l "_Toc237441445" </w:instrText>
      </w:r>
      <w:r>
        <w:rPr/>
        <w:fldChar w:fldCharType="separate"/>
      </w:r>
      <w:r>
        <w:rPr>
          <w:rStyle w:val="style85"/>
          <w:noProof/>
        </w:rPr>
        <w:t>Global configuration</w:t>
      </w:r>
      <w:r>
        <w:rPr>
          <w:noProof/>
          <w:webHidden/>
        </w:rPr>
        <w:tab/>
      </w:r>
      <w:r>
        <w:rPr>
          <w:noProof/>
          <w:webHidden/>
        </w:rPr>
        <w:fldChar w:fldCharType="begin"/>
      </w:r>
      <w:r>
        <w:rPr>
          <w:noProof/>
          <w:webHidden/>
        </w:rPr>
        <w:instrText xml:space="preserve"> PAGEREF _Toc237441445 \h </w:instrText>
      </w:r>
      <w:r>
        <w:rPr>
          <w:noProof/>
          <w:webHidden/>
        </w:rPr>
        <w:fldChar w:fldCharType="separate"/>
      </w:r>
      <w:r>
        <w:rPr>
          <w:noProof/>
          <w:webHidden/>
        </w:rPr>
        <w:t>4</w:t>
      </w:r>
      <w:r>
        <w:rPr>
          <w:noProof/>
          <w:webHidden/>
        </w:rPr>
        <w:fldChar w:fldCharType="end"/>
      </w:r>
      <w:r>
        <w:rPr/>
        <w:fldChar w:fldCharType="end"/>
      </w:r>
    </w:p>
    <w:p w14:paraId="6F2B6A1D">
      <w:pPr>
        <w:pStyle w:val="style20"/>
        <w:tabs>
          <w:tab w:val="right" w:leader="dot" w:pos="9350"/>
        </w:tabs>
        <w:rPr>
          <w:rFonts w:ascii="Aptos" w:eastAsia="宋体" w:hAnsi="Aptos"/>
          <w:noProof/>
          <w:color w:val="auto"/>
          <w:lang w:val="en-US"/>
        </w:rPr>
      </w:pPr>
      <w:r>
        <w:rPr/>
        <w:fldChar w:fldCharType="begin"/>
      </w:r>
      <w:r>
        <w:instrText xml:space="preserve"> HYPERLINK \l "_Toc237441446" </w:instrText>
      </w:r>
      <w:r>
        <w:rPr/>
        <w:fldChar w:fldCharType="separate"/>
      </w:r>
      <w:r>
        <w:rPr>
          <w:rStyle w:val="style85"/>
          <w:noProof/>
        </w:rPr>
        <w:t>Macro-Environmental Appraisal and Market Attractiveness</w:t>
      </w:r>
      <w:r>
        <w:rPr>
          <w:noProof/>
          <w:webHidden/>
        </w:rPr>
        <w:tab/>
      </w:r>
      <w:r>
        <w:rPr>
          <w:noProof/>
          <w:webHidden/>
        </w:rPr>
        <w:fldChar w:fldCharType="begin"/>
      </w:r>
      <w:r>
        <w:rPr>
          <w:noProof/>
          <w:webHidden/>
        </w:rPr>
        <w:instrText xml:space="preserve"> PAGEREF _Toc237441446 \h </w:instrText>
      </w:r>
      <w:r>
        <w:rPr>
          <w:noProof/>
          <w:webHidden/>
        </w:rPr>
        <w:fldChar w:fldCharType="separate"/>
      </w:r>
      <w:r>
        <w:rPr>
          <w:noProof/>
          <w:webHidden/>
        </w:rPr>
        <w:t>5</w:t>
      </w:r>
      <w:r>
        <w:rPr>
          <w:noProof/>
          <w:webHidden/>
        </w:rPr>
        <w:fldChar w:fldCharType="end"/>
      </w:r>
      <w:r>
        <w:rPr/>
        <w:fldChar w:fldCharType="end"/>
      </w:r>
    </w:p>
    <w:p w14:paraId="6F92D44B">
      <w:pPr>
        <w:pStyle w:val="style21"/>
        <w:tabs>
          <w:tab w:val="right" w:leader="dot" w:pos="9350"/>
        </w:tabs>
        <w:rPr>
          <w:noProof/>
        </w:rPr>
      </w:pPr>
      <w:r>
        <w:rPr/>
        <w:fldChar w:fldCharType="begin"/>
      </w:r>
      <w:r>
        <w:instrText xml:space="preserve"> HYPERLINK \l "_Toc237441447" </w:instrText>
      </w:r>
      <w:r>
        <w:rPr/>
        <w:fldChar w:fldCharType="separate"/>
      </w:r>
      <w:r>
        <w:rPr>
          <w:rStyle w:val="style85"/>
          <w:noProof/>
        </w:rPr>
        <w:t>Host country analysis</w:t>
      </w:r>
      <w:r>
        <w:rPr>
          <w:noProof/>
          <w:webHidden/>
        </w:rPr>
        <w:tab/>
      </w:r>
      <w:r>
        <w:rPr>
          <w:noProof/>
          <w:webHidden/>
        </w:rPr>
        <w:fldChar w:fldCharType="begin"/>
      </w:r>
      <w:r>
        <w:rPr>
          <w:noProof/>
          <w:webHidden/>
        </w:rPr>
        <w:instrText xml:space="preserve"> PAGEREF _Toc237441447 \h </w:instrText>
      </w:r>
      <w:r>
        <w:rPr>
          <w:noProof/>
          <w:webHidden/>
        </w:rPr>
        <w:fldChar w:fldCharType="separate"/>
      </w:r>
      <w:r>
        <w:rPr>
          <w:noProof/>
          <w:webHidden/>
        </w:rPr>
        <w:t>5</w:t>
      </w:r>
      <w:r>
        <w:rPr>
          <w:noProof/>
          <w:webHidden/>
        </w:rPr>
        <w:fldChar w:fldCharType="end"/>
      </w:r>
      <w:r>
        <w:rPr/>
        <w:fldChar w:fldCharType="end"/>
      </w:r>
    </w:p>
    <w:p w14:paraId="6EE72187">
      <w:pPr>
        <w:pStyle w:val="style21"/>
        <w:tabs>
          <w:tab w:val="right" w:leader="dot" w:pos="9350"/>
        </w:tabs>
        <w:rPr>
          <w:noProof/>
        </w:rPr>
      </w:pPr>
      <w:r>
        <w:rPr/>
        <w:fldChar w:fldCharType="begin"/>
      </w:r>
      <w:r>
        <w:instrText xml:space="preserve"> HYPERLINK \l "_Toc237441448" </w:instrText>
      </w:r>
      <w:r>
        <w:rPr/>
        <w:fldChar w:fldCharType="separate"/>
      </w:r>
      <w:r>
        <w:rPr>
          <w:rStyle w:val="style85"/>
          <w:noProof/>
        </w:rPr>
        <w:t>Market entry</w:t>
      </w:r>
      <w:r>
        <w:rPr>
          <w:noProof/>
          <w:webHidden/>
        </w:rPr>
        <w:tab/>
      </w:r>
      <w:r>
        <w:rPr>
          <w:noProof/>
          <w:webHidden/>
        </w:rPr>
        <w:fldChar w:fldCharType="begin"/>
      </w:r>
      <w:r>
        <w:rPr>
          <w:noProof/>
          <w:webHidden/>
        </w:rPr>
        <w:instrText xml:space="preserve"> PAGEREF _Toc237441448 \h </w:instrText>
      </w:r>
      <w:r>
        <w:rPr>
          <w:noProof/>
          <w:webHidden/>
        </w:rPr>
        <w:fldChar w:fldCharType="separate"/>
      </w:r>
      <w:r>
        <w:rPr>
          <w:noProof/>
          <w:webHidden/>
        </w:rPr>
        <w:t>11</w:t>
      </w:r>
      <w:r>
        <w:rPr>
          <w:noProof/>
          <w:webHidden/>
        </w:rPr>
        <w:fldChar w:fldCharType="end"/>
      </w:r>
      <w:r>
        <w:rPr/>
        <w:fldChar w:fldCharType="end"/>
      </w:r>
    </w:p>
    <w:p w14:paraId="33FE219E">
      <w:pPr>
        <w:pStyle w:val="style20"/>
        <w:tabs>
          <w:tab w:val="right" w:leader="dot" w:pos="9350"/>
        </w:tabs>
        <w:rPr>
          <w:rFonts w:ascii="Aptos" w:eastAsia="宋体" w:hAnsi="Aptos"/>
          <w:noProof/>
          <w:color w:val="auto"/>
          <w:lang w:val="en-US"/>
        </w:rPr>
      </w:pPr>
      <w:r>
        <w:rPr/>
        <w:fldChar w:fldCharType="begin"/>
      </w:r>
      <w:r>
        <w:instrText xml:space="preserve"> HYPERLINK \l "_Toc237441449" </w:instrText>
      </w:r>
      <w:r>
        <w:rPr/>
        <w:fldChar w:fldCharType="separate"/>
      </w:r>
      <w:r>
        <w:rPr>
          <w:rStyle w:val="style85"/>
          <w:noProof/>
        </w:rPr>
        <w:t>Entry Mode Strategy and Strategic Synthesis</w:t>
      </w:r>
      <w:r>
        <w:rPr>
          <w:noProof/>
          <w:webHidden/>
        </w:rPr>
        <w:tab/>
      </w:r>
      <w:r>
        <w:rPr>
          <w:noProof/>
          <w:webHidden/>
        </w:rPr>
        <w:fldChar w:fldCharType="begin"/>
      </w:r>
      <w:r>
        <w:rPr>
          <w:noProof/>
          <w:webHidden/>
        </w:rPr>
        <w:instrText xml:space="preserve"> PAGEREF _Toc237441449 \h </w:instrText>
      </w:r>
      <w:r>
        <w:rPr>
          <w:noProof/>
          <w:webHidden/>
        </w:rPr>
        <w:fldChar w:fldCharType="separate"/>
      </w:r>
      <w:r>
        <w:rPr>
          <w:noProof/>
          <w:webHidden/>
        </w:rPr>
        <w:t>14</w:t>
      </w:r>
      <w:r>
        <w:rPr>
          <w:noProof/>
          <w:webHidden/>
        </w:rPr>
        <w:fldChar w:fldCharType="end"/>
      </w:r>
      <w:r>
        <w:rPr/>
        <w:fldChar w:fldCharType="end"/>
      </w:r>
    </w:p>
    <w:p w14:paraId="375C81B1">
      <w:pPr>
        <w:pStyle w:val="style21"/>
        <w:tabs>
          <w:tab w:val="right" w:leader="dot" w:pos="9350"/>
        </w:tabs>
        <w:rPr>
          <w:noProof/>
        </w:rPr>
      </w:pPr>
      <w:r>
        <w:rPr/>
        <w:fldChar w:fldCharType="begin"/>
      </w:r>
      <w:r>
        <w:instrText xml:space="preserve"> HYPERLINK \l "_Toc237441450" </w:instrText>
      </w:r>
      <w:r>
        <w:rPr/>
        <w:fldChar w:fldCharType="separate"/>
      </w:r>
      <w:r>
        <w:rPr>
          <w:rStyle w:val="style85"/>
          <w:noProof/>
        </w:rPr>
        <w:t>Historical Pattern Recognition</w:t>
      </w:r>
      <w:r>
        <w:rPr>
          <w:noProof/>
          <w:webHidden/>
        </w:rPr>
        <w:tab/>
      </w:r>
      <w:r>
        <w:rPr>
          <w:noProof/>
          <w:webHidden/>
        </w:rPr>
        <w:fldChar w:fldCharType="begin"/>
      </w:r>
      <w:r>
        <w:rPr>
          <w:noProof/>
          <w:webHidden/>
        </w:rPr>
        <w:instrText xml:space="preserve"> PAGEREF _Toc237441450 \h </w:instrText>
      </w:r>
      <w:r>
        <w:rPr>
          <w:noProof/>
          <w:webHidden/>
        </w:rPr>
        <w:fldChar w:fldCharType="separate"/>
      </w:r>
      <w:r>
        <w:rPr>
          <w:noProof/>
          <w:webHidden/>
        </w:rPr>
        <w:t>14</w:t>
      </w:r>
      <w:r>
        <w:rPr>
          <w:noProof/>
          <w:webHidden/>
        </w:rPr>
        <w:fldChar w:fldCharType="end"/>
      </w:r>
      <w:r>
        <w:rPr/>
        <w:fldChar w:fldCharType="end"/>
      </w:r>
    </w:p>
    <w:p w14:paraId="72E82E3A">
      <w:pPr>
        <w:pStyle w:val="style21"/>
        <w:tabs>
          <w:tab w:val="right" w:leader="dot" w:pos="9350"/>
        </w:tabs>
        <w:rPr>
          <w:noProof/>
        </w:rPr>
      </w:pPr>
      <w:r>
        <w:rPr/>
        <w:fldChar w:fldCharType="begin"/>
      </w:r>
      <w:r>
        <w:instrText xml:space="preserve"> HYPERLINK \l "_Toc237441451" </w:instrText>
      </w:r>
      <w:r>
        <w:rPr/>
        <w:fldChar w:fldCharType="separate"/>
      </w:r>
      <w:r>
        <w:rPr>
          <w:rStyle w:val="style85"/>
          <w:noProof/>
        </w:rPr>
        <w:t>Strategic fit and justification</w:t>
      </w:r>
      <w:r>
        <w:rPr>
          <w:noProof/>
          <w:webHidden/>
        </w:rPr>
        <w:tab/>
      </w:r>
      <w:r>
        <w:rPr>
          <w:noProof/>
          <w:webHidden/>
        </w:rPr>
        <w:fldChar w:fldCharType="begin"/>
      </w:r>
      <w:r>
        <w:rPr>
          <w:noProof/>
          <w:webHidden/>
        </w:rPr>
        <w:instrText xml:space="preserve"> PAGEREF _Toc237441451 \h </w:instrText>
      </w:r>
      <w:r>
        <w:rPr>
          <w:noProof/>
          <w:webHidden/>
        </w:rPr>
        <w:fldChar w:fldCharType="separate"/>
      </w:r>
      <w:r>
        <w:rPr>
          <w:noProof/>
          <w:webHidden/>
        </w:rPr>
        <w:t>15</w:t>
      </w:r>
      <w:r>
        <w:rPr>
          <w:noProof/>
          <w:webHidden/>
        </w:rPr>
        <w:fldChar w:fldCharType="end"/>
      </w:r>
      <w:r>
        <w:rPr/>
        <w:fldChar w:fldCharType="end"/>
      </w:r>
    </w:p>
    <w:p w14:paraId="5042597C">
      <w:pPr>
        <w:pStyle w:val="style21"/>
        <w:tabs>
          <w:tab w:val="right" w:leader="dot" w:pos="9350"/>
        </w:tabs>
        <w:rPr>
          <w:noProof/>
        </w:rPr>
      </w:pPr>
      <w:r>
        <w:rPr/>
        <w:fldChar w:fldCharType="begin"/>
      </w:r>
      <w:r>
        <w:instrText xml:space="preserve"> HYPERLINK \l "_Toc237441452" </w:instrText>
      </w:r>
      <w:r>
        <w:rPr/>
        <w:fldChar w:fldCharType="separate"/>
      </w:r>
      <w:r>
        <w:rPr>
          <w:rStyle w:val="style85"/>
          <w:noProof/>
        </w:rPr>
        <w:t>Conclusion and Recommendations</w:t>
      </w:r>
      <w:r>
        <w:rPr>
          <w:noProof/>
          <w:webHidden/>
        </w:rPr>
        <w:tab/>
      </w:r>
      <w:r>
        <w:rPr>
          <w:noProof/>
          <w:webHidden/>
        </w:rPr>
        <w:fldChar w:fldCharType="begin"/>
      </w:r>
      <w:r>
        <w:rPr>
          <w:noProof/>
          <w:webHidden/>
        </w:rPr>
        <w:instrText xml:space="preserve"> PAGEREF _Toc237441452 \h </w:instrText>
      </w:r>
      <w:r>
        <w:rPr>
          <w:noProof/>
          <w:webHidden/>
        </w:rPr>
        <w:fldChar w:fldCharType="separate"/>
      </w:r>
      <w:r>
        <w:rPr>
          <w:noProof/>
          <w:webHidden/>
        </w:rPr>
        <w:t>16</w:t>
      </w:r>
      <w:r>
        <w:rPr>
          <w:noProof/>
          <w:webHidden/>
        </w:rPr>
        <w:fldChar w:fldCharType="end"/>
      </w:r>
      <w:r>
        <w:rPr/>
        <w:fldChar w:fldCharType="end"/>
      </w:r>
    </w:p>
    <w:p w14:paraId="1C6FD1FA">
      <w:pPr>
        <w:pStyle w:val="style19"/>
        <w:tabs>
          <w:tab w:val="right" w:leader="dot" w:pos="9350"/>
        </w:tabs>
        <w:rPr>
          <w:rFonts w:ascii="Aptos" w:eastAsia="宋体" w:hAnsi="Aptos"/>
          <w:noProof/>
          <w:color w:val="auto"/>
          <w:lang w:val="en-US"/>
        </w:rPr>
      </w:pPr>
      <w:r>
        <w:rPr/>
        <w:fldChar w:fldCharType="begin"/>
      </w:r>
      <w:r>
        <w:instrText xml:space="preserve"> HYPERLINK \l "_Toc237441453" </w:instrText>
      </w:r>
      <w:r>
        <w:rPr/>
        <w:fldChar w:fldCharType="separate"/>
      </w:r>
      <w:r>
        <w:rPr>
          <w:rStyle w:val="style85"/>
          <w:noProof/>
        </w:rPr>
        <w:t>Section 2</w:t>
      </w:r>
      <w:r>
        <w:rPr>
          <w:noProof/>
          <w:webHidden/>
        </w:rPr>
        <w:tab/>
      </w:r>
      <w:r>
        <w:rPr>
          <w:noProof/>
          <w:webHidden/>
        </w:rPr>
        <w:fldChar w:fldCharType="begin"/>
      </w:r>
      <w:r>
        <w:rPr>
          <w:noProof/>
          <w:webHidden/>
        </w:rPr>
        <w:instrText xml:space="preserve"> PAGEREF _Toc237441453 \h </w:instrText>
      </w:r>
      <w:r>
        <w:rPr>
          <w:noProof/>
          <w:webHidden/>
        </w:rPr>
        <w:fldChar w:fldCharType="separate"/>
      </w:r>
      <w:r>
        <w:rPr>
          <w:noProof/>
          <w:webHidden/>
        </w:rPr>
        <w:t>18</w:t>
      </w:r>
      <w:r>
        <w:rPr>
          <w:noProof/>
          <w:webHidden/>
        </w:rPr>
        <w:fldChar w:fldCharType="end"/>
      </w:r>
      <w:r>
        <w:rPr/>
        <w:fldChar w:fldCharType="end"/>
      </w:r>
    </w:p>
    <w:p w14:paraId="08D714D4">
      <w:pPr>
        <w:pStyle w:val="style19"/>
        <w:tabs>
          <w:tab w:val="right" w:leader="dot" w:pos="9350"/>
        </w:tabs>
        <w:rPr>
          <w:rFonts w:ascii="Aptos" w:eastAsia="宋体" w:hAnsi="Aptos"/>
          <w:noProof/>
          <w:color w:val="auto"/>
          <w:lang w:val="en-US"/>
        </w:rPr>
      </w:pPr>
      <w:r>
        <w:rPr/>
        <w:fldChar w:fldCharType="begin"/>
      </w:r>
      <w:r>
        <w:instrText xml:space="preserve"> HYPERLINK \l "_Toc237441454"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_Toc237441454 \h </w:instrText>
      </w:r>
      <w:r>
        <w:rPr>
          <w:noProof/>
          <w:webHidden/>
        </w:rPr>
        <w:fldChar w:fldCharType="separate"/>
      </w:r>
      <w:r>
        <w:rPr>
          <w:noProof/>
          <w:webHidden/>
        </w:rPr>
        <w:t>23</w:t>
      </w:r>
      <w:r>
        <w:rPr>
          <w:noProof/>
          <w:webHidden/>
        </w:rPr>
        <w:fldChar w:fldCharType="end"/>
      </w:r>
      <w:r>
        <w:rPr/>
        <w:fldChar w:fldCharType="end"/>
      </w:r>
    </w:p>
    <w:p w14:paraId="3DA192C6">
      <w:pPr>
        <w:pStyle w:val="style0"/>
        <w:rPr/>
      </w:pPr>
      <w:r>
        <w:rPr>
          <w:b/>
          <w:bCs/>
        </w:rPr>
        <w:fldChar w:fldCharType="end"/>
      </w:r>
    </w:p>
    <w:p w14:paraId="7A888307">
      <w:pPr>
        <w:pStyle w:val="style0"/>
        <w:rPr/>
      </w:pPr>
    </w:p>
    <w:p w14:paraId="6217A039">
      <w:pPr>
        <w:pStyle w:val="style0"/>
        <w:rPr/>
      </w:pPr>
    </w:p>
    <w:p w14:paraId="3F6A8E23">
      <w:pPr>
        <w:pStyle w:val="style0"/>
        <w:jc w:val="center"/>
        <w:rPr>
          <w:b/>
          <w:bCs/>
        </w:rPr>
      </w:pPr>
    </w:p>
    <w:p w14:paraId="75DBAFF9">
      <w:pPr>
        <w:pStyle w:val="style0"/>
        <w:jc w:val="center"/>
        <w:rPr>
          <w:b/>
          <w:bCs/>
        </w:rPr>
      </w:pPr>
    </w:p>
    <w:p w14:paraId="07FAECCE">
      <w:pPr>
        <w:pStyle w:val="style0"/>
        <w:rPr/>
      </w:pPr>
      <w:r>
        <w:br w:type="page"/>
      </w:r>
    </w:p>
    <w:bookmarkStart w:id="0" w:name="_Toc237441442"/>
    <w:p w14:paraId="405B4C5D">
      <w:pPr>
        <w:pStyle w:val="style1"/>
        <w:rPr/>
      </w:pPr>
      <w:r>
        <w:t>Section 1</w:t>
      </w:r>
      <w:bookmarkEnd w:id="0"/>
    </w:p>
    <w:bookmarkStart w:id="1" w:name="_Toc237441443"/>
    <w:p w14:paraId="098D681A">
      <w:pPr>
        <w:pStyle w:val="style2"/>
        <w:rPr/>
      </w:pPr>
      <w:r>
        <w:t>Organisational Classification and Global Strategy</w:t>
      </w:r>
      <w:bookmarkEnd w:id="1"/>
    </w:p>
    <w:bookmarkStart w:id="2" w:name="_Toc237441444"/>
    <w:p w14:paraId="10DF5888">
      <w:pPr>
        <w:pStyle w:val="style3"/>
        <w:rPr/>
      </w:pPr>
      <w:r>
        <w:t>Strategic categorisation</w:t>
      </w:r>
      <w:bookmarkEnd w:id="2"/>
    </w:p>
    <w:p w14:paraId="63541DE4">
      <w:pPr>
        <w:pStyle w:val="style0"/>
        <w:rPr/>
      </w:pPr>
      <w:r>
        <w:t xml:space="preserve">Primark is an international fashion retailer, which is owned by </w:t>
      </w:r>
      <w:r>
        <w:t>A</w:t>
      </w:r>
      <w:r>
        <w:t>ssociated British Foods</w:t>
      </w:r>
      <w:r>
        <w:t xml:space="preserve">. Bartlett and Ghoshal's model (1989) can be </w:t>
      </w:r>
      <w:r>
        <w:t>used to evaluate</w:t>
      </w:r>
      <w:r>
        <w:t xml:space="preserve"> the international strategy choice of Primark.</w:t>
      </w:r>
      <w:r>
        <w:t xml:space="preserve"> Following this framework, strategic orientation can be distinguished into four types including multinational, international, transnational and global</w:t>
      </w:r>
      <w:r>
        <w:t xml:space="preserve"> (see Figure 1)</w:t>
      </w:r>
      <w:r>
        <w:t xml:space="preserve"> (Tobolska, 2018).</w:t>
      </w:r>
      <w:r>
        <w:t xml:space="preserve"> Bartlett and Ghoshal's framework positions multinational corporations (MNCs) according to their historical background and location of their headquarters in the first place (</w:t>
      </w:r>
      <w:r>
        <w:t>Macro and Ott, 2024</w:t>
      </w:r>
      <w:r>
        <w:t>). Using the framework, Primark is mainly classified as pursuing a global strategy, which is characterised by high global integration and low local responsiveness.</w:t>
      </w:r>
    </w:p>
    <w:p w14:paraId="5270615F">
      <w:pPr>
        <w:pStyle w:val="style0"/>
        <w:jc w:val="center"/>
        <w:rPr/>
      </w:pPr>
      <w:r>
        <w:rPr>
          <w:noProof/>
        </w:rPr>
        <w:drawing>
          <wp:inline distL="0" distT="0" distB="0" distR="0">
            <wp:extent cx="4076700" cy="3200400"/>
            <wp:effectExtent l="0" t="0" r="0" b="0"/>
            <wp:docPr id="1027" name="Diagram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inline>
        </w:drawing>
      </w:r>
    </w:p>
    <w:p w14:paraId="1F7A02F9">
      <w:pPr>
        <w:pStyle w:val="style0"/>
        <w:jc w:val="center"/>
        <w:rPr>
          <w:b/>
          <w:bCs/>
        </w:rPr>
      </w:pPr>
      <w:r>
        <w:rPr>
          <w:b/>
          <w:bCs/>
        </w:rPr>
        <w:t xml:space="preserve">Figure 1: </w:t>
      </w:r>
      <w:r>
        <w:rPr>
          <w:b/>
          <w:bCs/>
        </w:rPr>
        <w:t>Bartlett and Ghoshal's model (1989)</w:t>
      </w:r>
    </w:p>
    <w:p w14:paraId="24175031">
      <w:pPr>
        <w:pStyle w:val="style0"/>
        <w:jc w:val="center"/>
        <w:rPr/>
      </w:pPr>
      <w:r>
        <w:t>(Source: Developed from Tobolska, 2018)</w:t>
      </w:r>
    </w:p>
    <w:p w14:paraId="2D0B8E6B">
      <w:pPr>
        <w:pStyle w:val="style0"/>
        <w:rPr/>
      </w:pPr>
      <w:r>
        <w:t xml:space="preserve">The </w:t>
      </w:r>
      <w:r>
        <w:t>competitiveness</w:t>
      </w:r>
      <w:r>
        <w:t xml:space="preserve"> of Primark </w:t>
      </w:r>
      <w:r>
        <w:t>relies</w:t>
      </w:r>
      <w:r>
        <w:t xml:space="preserve"> on offering fashionable clothing at affordable prices. </w:t>
      </w:r>
      <w:r>
        <w:t xml:space="preserve">In 2026, Primark reduced the price of its clothing products across its womenswear, </w:t>
      </w:r>
      <w:r>
        <w:t xml:space="preserve">menswear and kidswear sections (McGuire, 2026). The company also centralises key functions </w:t>
      </w:r>
      <w:r>
        <w:t>such as product design, procurement and supplier selection. Unlike many competitors, Primark has focused on a brick-and-mortar retail model instead of investing heavily in e-commerce (</w:t>
      </w:r>
      <w:r>
        <w:t>Fashion Network, 2026</w:t>
      </w:r>
      <w:r>
        <w:t xml:space="preserve">). This reduces fulfilment costs and supports its low-price positioning. </w:t>
      </w:r>
    </w:p>
    <w:p w14:paraId="2F636980">
      <w:pPr>
        <w:pStyle w:val="style0"/>
        <w:rPr/>
      </w:pPr>
      <w:r>
        <w:t xml:space="preserve">From a critical perspective, the global strategy has allowed Primark to achieve scale, strong purchasing power and operational effectiveness. However, reliance on standardisation may create issues when entering culturally diverse and heterogeneous markets, such as India, where consumer behaviour and preferences differ across states. Although the global strategy of Primark offers a strong foundation for international expansion, high local responsiveness may be required to drive long-term success in emerging markets. </w:t>
      </w:r>
    </w:p>
    <w:bookmarkStart w:id="3" w:name="_Toc237441445"/>
    <w:p w14:paraId="13D32A0C">
      <w:pPr>
        <w:pStyle w:val="style3"/>
        <w:rPr/>
      </w:pPr>
      <w:r>
        <w:t>Global configuration</w:t>
      </w:r>
      <w:bookmarkEnd w:id="3"/>
      <w:r>
        <w:t xml:space="preserve"> </w:t>
      </w:r>
    </w:p>
    <w:p w14:paraId="2700B9F8">
      <w:pPr>
        <w:pStyle w:val="style0"/>
        <w:rPr/>
      </w:pPr>
      <w:r>
        <w:t xml:space="preserve">The global configuration is mainly characterised by a geographically dispersed </w:t>
      </w:r>
      <w:r>
        <w:t>and coordinated value chain that supports its cost leadership strategy. The retail operations of the company are mainly concentrated across Europe and the U.S. (</w:t>
      </w:r>
      <w:r>
        <w:t>Halliday, 2024</w:t>
      </w:r>
      <w:r>
        <w:t xml:space="preserve">). The sourcing network of the company extends across Asia, Europe and Africa. This </w:t>
      </w:r>
      <w:r>
        <w:t>global</w:t>
      </w:r>
      <w:r>
        <w:t xml:space="preserve"> configuration allows Primark to leverage location-specific advantages by sourcing products from countries offering competitive manufacturing costs and skilled labour</w:t>
      </w:r>
      <w:r>
        <w:t xml:space="preserve">. </w:t>
      </w:r>
    </w:p>
    <w:p w14:paraId="61EB2DFE">
      <w:pPr>
        <w:pStyle w:val="style0"/>
        <w:rPr/>
      </w:pPr>
      <w:r>
        <w:t xml:space="preserve">Responsible sourcing is </w:t>
      </w:r>
      <w:r>
        <w:t>a significant aspect</w:t>
      </w:r>
      <w:r>
        <w:t xml:space="preserve"> of the sustainability strategy of Primark. Procurement support programme of Primark aims to reach certain core targets, such as ensuring that all the clothes are made from recycled materials and reducing carbon emissions from the value chain (</w:t>
      </w:r>
      <w:r>
        <w:t>Perry, 2024</w:t>
      </w:r>
      <w:r>
        <w:t>). By consolidating demand across different markets, Primark gains benefits from economies of scale that reduce both production and logistics costs</w:t>
      </w:r>
      <w:r>
        <w:t xml:space="preserve"> and ensures </w:t>
      </w:r>
      <w:r>
        <w:t xml:space="preserve">the maintenance of affordable retail prices. </w:t>
      </w:r>
    </w:p>
    <w:p w14:paraId="21B54F7E">
      <w:pPr>
        <w:pStyle w:val="style0"/>
        <w:rPr/>
      </w:pPr>
      <w:r>
        <w:t xml:space="preserve">The international footprint of Primark contributes to its competitiveness by allowing efficient allocation of resources and knowledge sharing across markets. </w:t>
      </w:r>
      <w:r>
        <w:t xml:space="preserve">Primark has approximately 457 stores across 16 countries, and the company delivers affordable fashion while leveraging its physical store network (Hardcastle, 2024). This allows </w:t>
      </w:r>
      <w:r>
        <w:t xml:space="preserve">Primark to create an in-person shopping experience that online competitors struggle to replicate. </w:t>
      </w:r>
      <w:r>
        <w:t xml:space="preserve">In 2023, the market share of Primark increased by 6.2% in the UK and this is due to the value proposition of the brand (Safaya, 2024). Moreover, in 2026, Primark have also introduced a mobile app that offers personalised notifications, real-time stock checks and curated favourites to customers (Rydzek, 2026). This makes shopping more accessible and contributes competitiveness to the brand. </w:t>
      </w:r>
      <w:r>
        <w:t xml:space="preserve">Expanding into the Indian market would diversify the international portfolio of Primark and offer the company access to one of the largest consumer markets of the world. </w:t>
      </w:r>
    </w:p>
    <w:bookmarkStart w:id="4" w:name="_Toc237441446"/>
    <w:p w14:paraId="43B752AA">
      <w:pPr>
        <w:pStyle w:val="style2"/>
        <w:rPr/>
      </w:pPr>
      <w:r>
        <w:t>Macro-Environmental Appraisal and Market Attractiveness</w:t>
      </w:r>
      <w:bookmarkEnd w:id="4"/>
    </w:p>
    <w:bookmarkStart w:id="5" w:name="_Toc237441447"/>
    <w:p w14:paraId="6AEB1EF1">
      <w:pPr>
        <w:pStyle w:val="style3"/>
        <w:rPr/>
      </w:pPr>
      <w:r>
        <w:t>Host country analysis</w:t>
      </w:r>
      <w:bookmarkEnd w:id="5"/>
    </w:p>
    <w:p w14:paraId="590F05ED">
      <w:pPr>
        <w:pStyle w:val="style0"/>
        <w:rPr>
          <w:b/>
          <w:bCs/>
        </w:rPr>
      </w:pPr>
      <w:r>
        <w:rPr>
          <w:b/>
          <w:bCs/>
        </w:rPr>
        <w:t>Political</w:t>
      </w:r>
    </w:p>
    <w:p w14:paraId="30633109">
      <w:pPr>
        <w:pStyle w:val="style0"/>
        <w:rPr/>
      </w:pPr>
      <w:r>
        <w:t xml:space="preserve">India mainly presents an attractive political environment for international retailers in terms of its stable democratic system and increasing emphasis on attracting foreign direct investment (FDI). </w:t>
      </w:r>
      <w:r>
        <w:t xml:space="preserve">India gains benefits from political stability and policy continuity (Credendo, 2025). </w:t>
      </w:r>
      <w:r>
        <w:t xml:space="preserve">This political stability creates a predictable environment for long-term business investment. </w:t>
      </w:r>
      <w:r>
        <w:t>The</w:t>
      </w:r>
      <w:r>
        <w:t xml:space="preserve"> business model </w:t>
      </w:r>
      <w:r>
        <w:t xml:space="preserve">of Primark </w:t>
      </w:r>
      <w:r>
        <w:t xml:space="preserve">requires </w:t>
      </w:r>
      <w:r>
        <w:t>large</w:t>
      </w:r>
      <w:r>
        <w:t xml:space="preserve"> capital in physical stores</w:t>
      </w:r>
      <w:r>
        <w:t xml:space="preserve"> for which</w:t>
      </w:r>
      <w:r>
        <w:t xml:space="preserve"> political stability is a key determinant of market entry success. </w:t>
      </w:r>
    </w:p>
    <w:p w14:paraId="685CFB3C">
      <w:pPr>
        <w:pStyle w:val="style0"/>
        <w:rPr/>
      </w:pPr>
      <w:r>
        <w:t>The Indian government has introduced different initiatives aimed at enhancing the ease of doing business and also encouraging foreign investment in retail and manufacturing.</w:t>
      </w:r>
      <w:r>
        <w:t xml:space="preserve"> In 2025, gross FDI inflows reached approximately USD 64.7 billion, which can sustain investor confidence (PIB, 2026). </w:t>
      </w:r>
      <w:r>
        <w:t xml:space="preserve">For example, the Make in India campaign facilitates investment, boosts innovation, enhances skill development and protects intellectual property (PM India, 2026). This reform creates favourable conditions for international retailers seeking to establish integrated sourcing and retail operations. </w:t>
      </w:r>
      <w:r>
        <w:t xml:space="preserve">India has also introduced the Gati Shakti National Master Plan, which aims to bridge infrastructure gaps and also optimise freight movement across road, rail and air (Manchala, Sahu and Alam, 2025). This improvement in transport infrastructure can reduce distribution costs, which directly complements the low-cost retail strategy of Primark. </w:t>
      </w:r>
    </w:p>
    <w:p w14:paraId="521F2C40">
      <w:pPr>
        <w:pStyle w:val="style0"/>
        <w:rPr/>
      </w:pPr>
      <w:r>
        <w:t xml:space="preserve">However, the political environment of India presents various challenges. India has a federal governance structure, and this indicates that the regulations, labour policies and business approvals vary across the different states (Forum of Federations, 2026). For Primark, all these regional differences may lead to the reduction of economies of scale during the early stages of expansion. Geopolitical risks must also be taken into consideration. </w:t>
      </w:r>
      <w:r>
        <w:t>Bilateral trade agreements of India and the U.S. crossed USD140 billion in fiscal year 2025-26 (IEEFA, 2026). However, t</w:t>
      </w:r>
      <w:r>
        <w:t xml:space="preserve">he sudden </w:t>
      </w:r>
      <w:r>
        <w:t xml:space="preserve">shifts in tariffs and restrictions increase volatility, which may affect sourcing costs and international supply chain operations (UNCTAD, 2025). </w:t>
      </w:r>
      <w:r>
        <w:t xml:space="preserve">Since Primark sources products from different Asian countries, the maintenance of diversified sourcing strategies would reduce the exposure to political uncertainties. </w:t>
      </w:r>
    </w:p>
    <w:p w14:paraId="10F16BF8">
      <w:pPr>
        <w:pStyle w:val="style0"/>
        <w:rPr/>
      </w:pPr>
      <w:r>
        <w:t xml:space="preserve">Overall, the political environment of India offers more opportunities </w:t>
      </w:r>
      <w:r>
        <w:t xml:space="preserve">than threats for Primark. The support of the government for foreign investment and infrastructure development </w:t>
      </w:r>
      <w:r>
        <w:t>links</w:t>
      </w:r>
      <w:r>
        <w:t xml:space="preserve"> with the expansion objectives of the company. However, successful market entry requires effective stakeholder management and continuous monitoring of policy developments </w:t>
      </w:r>
      <w:r>
        <w:t>for the reduction of political uncertainties</w:t>
      </w:r>
      <w:r>
        <w:t xml:space="preserve">. </w:t>
      </w:r>
    </w:p>
    <w:p w14:paraId="18C7BEF8">
      <w:pPr>
        <w:pStyle w:val="style0"/>
        <w:rPr>
          <w:b/>
          <w:bCs/>
        </w:rPr>
      </w:pPr>
      <w:r>
        <w:rPr>
          <w:b/>
          <w:bCs/>
        </w:rPr>
        <w:t>Economic</w:t>
      </w:r>
    </w:p>
    <w:p w14:paraId="41F5FA93">
      <w:pPr>
        <w:pStyle w:val="style0"/>
        <w:rPr/>
      </w:pPr>
      <w:r>
        <w:t>India is mainly represented as one of the fastest-growing consumer markets, which makes it attractive for international fashion retailers. In 2026, from January to March, the GDP of India grew by 7.8% (</w:t>
      </w:r>
      <w:r>
        <w:t>Kalyanaraman, 2026</w:t>
      </w:r>
      <w:r>
        <w:t xml:space="preserve">). </w:t>
      </w:r>
      <w:r>
        <w:t xml:space="preserve">The increasing GDP and rapid urbanisation have increased demand for affordable branded apparel. </w:t>
      </w:r>
    </w:p>
    <w:p w14:paraId="149AA203">
      <w:pPr>
        <w:pStyle w:val="style0"/>
        <w:rPr/>
      </w:pPr>
      <w:r>
        <w:t>A significant economic advantage of India is its demographic profile. A</w:t>
      </w:r>
      <w:r>
        <w:t>s of 2025, a</w:t>
      </w:r>
      <w:r>
        <w:t xml:space="preserve">pproximately 65% of the population of India is under the age of 35 (PIB, 2025). </w:t>
      </w:r>
      <w:r>
        <w:t xml:space="preserve">This creates a large consumer base with an increasing interest in global fashion brands. Younger consumers are interested in developing a personal style instead of following one dominant trend (Elle, 2026). This demographic shift creates suitable conditions for the affordable fast-fashion business model of Primark. </w:t>
      </w:r>
    </w:p>
    <w:p w14:paraId="0B4600F2">
      <w:pPr>
        <w:pStyle w:val="style0"/>
        <w:rPr/>
      </w:pPr>
      <w:r>
        <w:t xml:space="preserve">Rapid urbanisation also strengthens market potential. In 2025, a total of 16 shopping malls were launched in Delhi NCR, Hyderabad and Mumbai (Construction Week Online, </w:t>
      </w:r>
      <w:r>
        <w:t xml:space="preserve">2026). This growth suits the large-format retail stores of Primark. </w:t>
      </w:r>
      <w:r>
        <w:t>Moreover</w:t>
      </w:r>
      <w:r>
        <w:t xml:space="preserve">, the changing lifestyles have increased expenditure on fashion products, creating sustained demand for affordable clothing across different customer segments. </w:t>
      </w:r>
      <w:r>
        <w:t xml:space="preserve">In addition, the expanding middle-income population of India represents another key opportunity for Primark. </w:t>
      </w:r>
      <w:r>
        <w:t>Apart from</w:t>
      </w:r>
      <w:r>
        <w:t xml:space="preserve"> these opportunities, </w:t>
      </w:r>
      <w:r>
        <w:t xml:space="preserve">several </w:t>
      </w:r>
      <w:r>
        <w:t xml:space="preserve">economic risks remain. </w:t>
      </w:r>
      <w:r>
        <w:t xml:space="preserve">The economy of India is growing on a rapid scale; however, income inequality remains a key concern (Mangave, 2025). In this context, the target market of Primark would concentrate primarily within metropolitan cities during the initial phase of expansion. </w:t>
      </w:r>
    </w:p>
    <w:p w14:paraId="179EEBB4">
      <w:pPr>
        <w:pStyle w:val="style0"/>
        <w:rPr/>
      </w:pPr>
      <w:r>
        <w:t>Inflation also presents a key challenge in the Indian market.</w:t>
      </w:r>
      <w:r>
        <w:t xml:space="preserve"> In January 2026, the inflation rate of India was at 2.75% as illustrated in Figure </w:t>
      </w:r>
      <w:r>
        <w:t>2</w:t>
      </w:r>
      <w:r>
        <w:t xml:space="preserve"> (Wani, 2026).</w:t>
      </w:r>
      <w:r>
        <w:t xml:space="preserve"> In June 2026, the consumer price inflation increased by 4.38% (Salve, 2026). This may </w:t>
      </w:r>
      <w:r>
        <w:t>decrease the capacity of</w:t>
      </w:r>
      <w:r>
        <w:t xml:space="preserve"> Primark to maintain low prices while protecting profit margins. However, the distinctive low-price positioning of Primark differentiates it from rivals. </w:t>
      </w:r>
      <w:r>
        <w:t xml:space="preserve">While Zara competes through design innovation and quality, Primark competes through affordability combined with fashionable products (Hardcastle, 2024). This particular strategic positioning could </w:t>
      </w:r>
      <w:r>
        <w:t xml:space="preserve">enable </w:t>
      </w:r>
      <w:r>
        <w:t xml:space="preserve">the company to capture value-conscious consumers seeking international brands at accessible prices. </w:t>
      </w:r>
    </w:p>
    <w:p w14:paraId="793DA644">
      <w:pPr>
        <w:pStyle w:val="style0"/>
        <w:jc w:val="center"/>
        <w:rPr/>
      </w:pPr>
      <w:r>
        <w:rPr>
          <w:noProof/>
        </w:rPr>
        <w:drawing>
          <wp:inline distL="0" distT="0" distB="0" distR="0">
            <wp:extent cx="4169718" cy="2418080"/>
            <wp:effectExtent l="38100" t="38100" r="40640" b="39370"/>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srcRect l="0" t="0" r="0" b="0"/>
                    <a:stretch/>
                  </pic:blipFill>
                  <pic:spPr>
                    <a:xfrm rot="0">
                      <a:off x="0" y="0"/>
                      <a:ext cx="4169718" cy="2418080"/>
                    </a:xfrm>
                    <a:prstGeom prst="rect"/>
                    <a:ln cmpd="sng" cap="flat" w="28575">
                      <a:solidFill>
                        <a:srgbClr val="000000"/>
                      </a:solidFill>
                      <a:prstDash val="solid"/>
                      <a:round/>
                      <a:headEnd/>
                      <a:tailEnd/>
                    </a:ln>
                  </pic:spPr>
                </pic:pic>
              </a:graphicData>
            </a:graphic>
          </wp:inline>
        </w:drawing>
      </w:r>
    </w:p>
    <w:p w14:paraId="7494D926">
      <w:pPr>
        <w:pStyle w:val="style0"/>
        <w:jc w:val="center"/>
        <w:rPr>
          <w:b/>
          <w:bCs/>
        </w:rPr>
      </w:pPr>
      <w:r>
        <w:rPr>
          <w:b/>
          <w:bCs/>
        </w:rPr>
        <w:t xml:space="preserve">Figure </w:t>
      </w:r>
      <w:r>
        <w:rPr>
          <w:b/>
          <w:bCs/>
        </w:rPr>
        <w:t>2</w:t>
      </w:r>
      <w:r>
        <w:rPr>
          <w:b/>
          <w:bCs/>
        </w:rPr>
        <w:t>: Inflation rate of India in 2026</w:t>
      </w:r>
    </w:p>
    <w:p w14:paraId="21AB3276">
      <w:pPr>
        <w:pStyle w:val="style0"/>
        <w:jc w:val="center"/>
        <w:rPr/>
      </w:pPr>
      <w:r>
        <w:t>(Source: Wani, 2026)</w:t>
      </w:r>
    </w:p>
    <w:p w14:paraId="46C51D2D">
      <w:pPr>
        <w:pStyle w:val="style0"/>
        <w:rPr>
          <w:b/>
          <w:bCs/>
        </w:rPr>
      </w:pPr>
      <w:r>
        <w:rPr>
          <w:b/>
          <w:bCs/>
        </w:rPr>
        <w:t>Legal</w:t>
      </w:r>
    </w:p>
    <w:p w14:paraId="12FD1773">
      <w:pPr>
        <w:pStyle w:val="style0"/>
        <w:rPr/>
      </w:pPr>
      <w:r>
        <w:t xml:space="preserve">The legal environment </w:t>
      </w:r>
      <w:r>
        <w:t>has a vital contribution</w:t>
      </w:r>
      <w:r>
        <w:t xml:space="preserve"> in determining the ability of Primark to establish successful retail operations in India. The retail business is required </w:t>
      </w:r>
      <w:r>
        <w:t>to comply</w:t>
      </w:r>
      <w:r>
        <w:t xml:space="preserve"> to different government regulations (Sumanth, 2025). </w:t>
      </w:r>
      <w:r>
        <w:t xml:space="preserve">India has enhanced its legal framework supporting international investment through reforms aimed at increasing transparency and also simplifying business procedures. By introducing the Goods and Services Tax (GST), the Indian government created an integrated national market, enhancing supply chain efficiency, reducing logistics costs and contributing to faster movement of goods (Desai, 2026). Labour legislation is also relevant for Primark, since its global business model relies on responsible sourcing and ethical supply chain management. </w:t>
      </w:r>
      <w:r>
        <w:t xml:space="preserve">The Code on Wages 2019 streamlines and strengthens labour legislation (Labour.Gov, 2026). Moreover, it also safeguards the interests of employees through universal minimum wages. Adherence to wage requirements and workplace safety standards is essential for the protection of brand reputation of Primark. </w:t>
      </w:r>
    </w:p>
    <w:p w14:paraId="127950ED">
      <w:pPr>
        <w:pStyle w:val="style0"/>
        <w:rPr/>
      </w:pPr>
      <w:r>
        <w:t>Intellectual property protection represents another key consideration. India enables the right holders to protect their intellectual property (IP) at the border by registering their trademarks, patents and copyrights (</w:t>
      </w:r>
      <w:r>
        <w:t>Trustiics, 2025</w:t>
      </w:r>
      <w:r>
        <w:t xml:space="preserve">). </w:t>
      </w:r>
      <w:r>
        <w:t xml:space="preserve">Although India has strengthened enforcement mechanisms for trademarks and brand protection, counterfeit fashion products remain widespread within the retail market. In this context, Primark must incorporate effective brand reputation strategies, while collaborating with regulatory authorities to reduce IP violations. </w:t>
      </w:r>
    </w:p>
    <w:p w14:paraId="532245C6">
      <w:pPr>
        <w:pStyle w:val="style0"/>
        <w:rPr/>
      </w:pPr>
      <w:r>
        <w:t xml:space="preserve">Environmental regulations are also becoming quite stringent in the Indian market. </w:t>
      </w:r>
      <w:r>
        <w:t xml:space="preserve">In 2024, India declared the new Eco-mark Certification Rules, which offer labels for products </w:t>
      </w:r>
      <w:r>
        <w:t xml:space="preserve">that meet approved environmental criteria (PAGE, 2024). Primark is required to comply with this regulation to foster sustainability and drive significant outcomes in business. </w:t>
      </w:r>
      <w:r>
        <w:t xml:space="preserve">Consumer protection regulations have become quite comprehensive in India. For example, the Consumer Protection Act 2019 protects the interests of consumers </w:t>
      </w:r>
      <w:r>
        <w:t xml:space="preserve">and ensures settlement of consumers’ disputes (NCDRC, 2019). The compliance of Primark with this regulation can enhance customer trust and also support long-term brand development. </w:t>
      </w:r>
    </w:p>
    <w:p w14:paraId="64DBA72D">
      <w:pPr>
        <w:pStyle w:val="style0"/>
        <w:rPr/>
      </w:pPr>
      <w:r>
        <w:t xml:space="preserve">However, legal complexities remain a challenge for Primark. Regulatory requirements may differ across the Indian states, leading to additional compliance costs for the firms expanding nationally. Any form of delays in acquiring commercial permits and licensing may slow store expansion during the initial phase. Overall, the evolving legal environment of India supports foreign retail investment, while demanding specific standards of corporate governance and sustainability. For Primark, the maintenance of rigorous compliance systems will be necessary for achieving long-term </w:t>
      </w:r>
      <w:r>
        <w:t xml:space="preserve">operational success. </w:t>
      </w:r>
    </w:p>
    <w:p w14:paraId="59A958EA">
      <w:pPr>
        <w:pStyle w:val="style0"/>
        <w:rPr>
          <w:b/>
          <w:bCs/>
        </w:rPr>
      </w:pPr>
      <w:r>
        <w:rPr>
          <w:b/>
          <w:bCs/>
        </w:rPr>
        <w:t>Cultural</w:t>
      </w:r>
    </w:p>
    <w:p w14:paraId="50C4F49B">
      <w:pPr>
        <w:pStyle w:val="style0"/>
        <w:rPr/>
      </w:pPr>
      <w:r>
        <w:t xml:space="preserve">The cultural environment is </w:t>
      </w:r>
      <w:r>
        <w:t>a crucial attribute</w:t>
      </w:r>
      <w:r>
        <w:t xml:space="preserve"> of Primark’s success in the Indian market. India is a culturally diverse country with variations in language, traditions and consumer preferences (Shaban and Khan, 2023). The success of Primark in India relies on its ability to balance global consistency with selective local adaptation. </w:t>
      </w:r>
      <w:r>
        <w:t xml:space="preserve">Hofstede's cultural dimension theory offers a framework for analysing the cultural factors and their implications for the market entry strategy of Primark. </w:t>
      </w:r>
      <w:r>
        <w:t>A vital dimension</w:t>
      </w:r>
      <w:r>
        <w:t xml:space="preserve"> is power distance, where the score for India is 77, as indicated in Figure </w:t>
      </w:r>
      <w:r>
        <w:t>3</w:t>
      </w:r>
      <w:r>
        <w:t xml:space="preserve"> (The Culture Factor</w:t>
      </w:r>
      <w:r>
        <w:t xml:space="preserve"> Group</w:t>
      </w:r>
      <w:r>
        <w:t>, 2026). This influences the behaviour of consumers, since many Indian consumers perceive international brands as symbols of quality and modernity. Although Primark positions itself as an affordable retailer, its reputation may positively influence purchasing decisions of middle-income consumers, who seek fashion at accessible prices</w:t>
      </w:r>
      <w:r>
        <w:t xml:space="preserve">. However, the brand must ensure that affordability does not undermine the consumers’ perception of quality, since brand reputation remains a key purchase criterion in India. </w:t>
      </w:r>
    </w:p>
    <w:p w14:paraId="2EE8B1DB">
      <w:pPr>
        <w:pStyle w:val="style0"/>
        <w:jc w:val="center"/>
        <w:rPr/>
      </w:pPr>
      <w:r>
        <w:rPr>
          <w:noProof/>
        </w:rPr>
        <w:drawing>
          <wp:inline distL="0" distT="0" distB="0" distR="0">
            <wp:extent cx="5263367" cy="2771140"/>
            <wp:effectExtent l="38100" t="38100" r="33020" b="29210"/>
            <wp:docPr id="102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9" cstate="print"/>
                    <a:srcRect l="0" t="0" r="0" b="0"/>
                    <a:stretch/>
                  </pic:blipFill>
                  <pic:spPr>
                    <a:xfrm rot="0">
                      <a:off x="0" y="0"/>
                      <a:ext cx="5263367" cy="2771140"/>
                    </a:xfrm>
                    <a:prstGeom prst="rect"/>
                    <a:ln cmpd="sng" cap="flat" w="28575">
                      <a:solidFill>
                        <a:srgbClr val="000000"/>
                      </a:solidFill>
                      <a:prstDash val="solid"/>
                      <a:round/>
                      <a:headEnd/>
                      <a:tailEnd/>
                    </a:ln>
                  </pic:spPr>
                </pic:pic>
              </a:graphicData>
            </a:graphic>
          </wp:inline>
        </w:drawing>
      </w:r>
    </w:p>
    <w:p w14:paraId="2FFBE657">
      <w:pPr>
        <w:pStyle w:val="style0"/>
        <w:jc w:val="center"/>
        <w:rPr>
          <w:b/>
          <w:bCs/>
        </w:rPr>
      </w:pPr>
      <w:r>
        <w:rPr>
          <w:b/>
          <w:bCs/>
        </w:rPr>
        <w:t xml:space="preserve">Figure </w:t>
      </w:r>
      <w:r>
        <w:rPr>
          <w:b/>
          <w:bCs/>
        </w:rPr>
        <w:t>3</w:t>
      </w:r>
      <w:r>
        <w:rPr>
          <w:b/>
          <w:bCs/>
        </w:rPr>
        <w:t>: Cultural dimensions of India</w:t>
      </w:r>
    </w:p>
    <w:p w14:paraId="6DC071E4">
      <w:pPr>
        <w:pStyle w:val="style0"/>
        <w:jc w:val="center"/>
        <w:rPr/>
      </w:pPr>
      <w:r>
        <w:t>(Source: The Culture Factor</w:t>
      </w:r>
      <w:r>
        <w:t xml:space="preserve"> Group</w:t>
      </w:r>
      <w:r>
        <w:t>, 2026)</w:t>
      </w:r>
    </w:p>
    <w:p w14:paraId="0ADE3350">
      <w:pPr>
        <w:pStyle w:val="style0"/>
        <w:rPr/>
      </w:pPr>
      <w:r>
        <w:t xml:space="preserve">India also demonstrates a collectivist culture as identified through Hofstede's cultural dimension model. </w:t>
      </w:r>
      <w:r>
        <w:t>With respect to</w:t>
      </w:r>
      <w:r>
        <w:t xml:space="preserve"> the collectivist culture, </w:t>
      </w:r>
      <w:r>
        <w:t>the purchasing decisions are influenced by family members and social networks (The Culture Factor</w:t>
      </w:r>
      <w:r>
        <w:t xml:space="preserve"> Group</w:t>
      </w:r>
      <w:r>
        <w:t xml:space="preserve">, 2026). Clothing purchases frequently take place during festivals such as Diwali, Eid and Navratri, where collective consumption takes place (Medium, 2024). Primark is required to develop marketing campaigns that place emphasis on family values and togetherness, rather than focusing solely on individual self-expression. </w:t>
      </w:r>
      <w:r>
        <w:t>Another key dimension is the high long-term orientation of India (51)</w:t>
      </w:r>
      <w:r>
        <w:t xml:space="preserve"> (see Figure </w:t>
      </w:r>
      <w:r>
        <w:t>3</w:t>
      </w:r>
      <w:r>
        <w:t>)</w:t>
      </w:r>
      <w:r>
        <w:t xml:space="preserve"> (The Culture Factor</w:t>
      </w:r>
      <w:r>
        <w:t xml:space="preserve"> Group</w:t>
      </w:r>
      <w:r>
        <w:t>, 2026). The consumers largely value durability and long-term value instead of impulsive purchases. Although fast fashion has been criticised for encouraging disposable consumption, Indian consumers are price-sensitive and often evaluate products with respect to quality relative to price</w:t>
      </w:r>
      <w:r>
        <w:t xml:space="preserve"> (Trade.Gov, 2026).</w:t>
      </w:r>
      <w:r>
        <w:t xml:space="preserve"> This presents a key opportunity for Primark to highlight both the durability and affordability of its products, aligning its value proposition with customer expectations of long-term value. </w:t>
      </w:r>
      <w:r>
        <w:t>The</w:t>
      </w:r>
      <w:r>
        <w:t xml:space="preserve"> consumers expect value beyond low prices, including product quality and ethical sourcing. In this context, communicating the commitments of Primark, such as sustainable sourcing and ethical manufacturing, would strengthen consumer trust and enhance brand credibility. </w:t>
      </w:r>
    </w:p>
    <w:p w14:paraId="096344BB">
      <w:pPr>
        <w:pStyle w:val="style0"/>
        <w:rPr/>
      </w:pPr>
      <w:r>
        <w:t>The cultural diversity of India requires significant localisation.</w:t>
      </w:r>
      <w:r>
        <w:t xml:space="preserve"> As stated by Tamta and Kamboj (2024), fashion preferences differ across the states of India, and this is due to climate and regional traditions. In this aspect, introducing limited-edition festive collections and offering fashion products suitable for distinct climatic conditions would allow Primark to effectively respond to local demand. </w:t>
      </w:r>
    </w:p>
    <w:p w14:paraId="671AD6FB">
      <w:pPr>
        <w:pStyle w:val="style0"/>
        <w:rPr/>
      </w:pPr>
      <w:r>
        <w:t xml:space="preserve">From a business perspective, while the global strategy of Primark prioritises operational efficiency through product standardisation, excessive standardisation may reduce consumer acceptance within the culturally heterogeneous market of India. </w:t>
      </w:r>
      <w:r>
        <w:t xml:space="preserve">Thus, the company must incorporate cultural adaptation through the maintenance of its brand identity, while localising product assortment and seasonal collections. Such a balanced approach would allow Primark to preserve economies of scale and respond to diverse consumer preferences in India. </w:t>
      </w:r>
    </w:p>
    <w:bookmarkStart w:id="6" w:name="_Toc237441448"/>
    <w:p w14:paraId="0BB644FC">
      <w:pPr>
        <w:pStyle w:val="style3"/>
        <w:rPr/>
      </w:pPr>
      <w:r>
        <w:t>Market entry</w:t>
      </w:r>
      <w:bookmarkEnd w:id="6"/>
    </w:p>
    <w:p w14:paraId="6A813D4E">
      <w:pPr>
        <w:pStyle w:val="style0"/>
        <w:rPr/>
      </w:pPr>
      <w:r>
        <w:t xml:space="preserve">John Dunning’s Eclectic Paradigm (OLI) framework offers an approach for analysing whether a multinational organisation must enter a foreign market and the factors that assess the success of its international expansion. </w:t>
      </w:r>
      <w:r>
        <w:t xml:space="preserve">The framework states that firms engage in </w:t>
      </w:r>
      <w:r>
        <w:t>FDI</w:t>
      </w:r>
      <w:r>
        <w:t xml:space="preserve"> when they possess ownership-specific advantages, location-specific advantages and internalisation </w:t>
      </w:r>
      <w:r>
        <w:t>benefits</w:t>
      </w:r>
      <w:r>
        <w:t xml:space="preserve"> </w:t>
      </w:r>
      <w:r>
        <w:t xml:space="preserve">as indicated in Figure </w:t>
      </w:r>
      <w:r>
        <w:t>4</w:t>
      </w:r>
      <w:r>
        <w:t xml:space="preserve"> </w:t>
      </w:r>
      <w:r>
        <w:t>(Aberu, 2023</w:t>
      </w:r>
      <w:r>
        <w:t>;</w:t>
      </w:r>
      <w:r>
        <w:t xml:space="preserve"> Ailani, 2025</w:t>
      </w:r>
      <w:r>
        <w:t xml:space="preserve">). </w:t>
      </w:r>
      <w:r>
        <w:t>Using</w:t>
      </w:r>
      <w:r>
        <w:t xml:space="preserve"> the OLI framework can demonstrate whether India presents an attractive market for Primark due to its competitive capabilities and favourable market features. </w:t>
      </w:r>
    </w:p>
    <w:p w14:paraId="2DEBF817">
      <w:pPr>
        <w:pStyle w:val="style0"/>
        <w:jc w:val="center"/>
        <w:rPr/>
      </w:pPr>
      <w:r>
        <w:rPr>
          <w:noProof/>
        </w:rPr>
        <w:drawing>
          <wp:inline distL="0" distT="0" distB="0" distR="0">
            <wp:extent cx="5943600" cy="2551430"/>
            <wp:effectExtent l="38100" t="38100" r="38100" b="39370"/>
            <wp:docPr id="1030"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10" cstate="print"/>
                    <a:srcRect l="0" t="0" r="0" b="0"/>
                    <a:stretch/>
                  </pic:blipFill>
                  <pic:spPr>
                    <a:xfrm rot="0">
                      <a:off x="0" y="0"/>
                      <a:ext cx="5943600" cy="2551430"/>
                    </a:xfrm>
                    <a:prstGeom prst="rect"/>
                    <a:ln cmpd="sng" cap="flat" w="28575">
                      <a:solidFill>
                        <a:srgbClr val="000000"/>
                      </a:solidFill>
                      <a:prstDash val="solid"/>
                      <a:round/>
                      <a:headEnd/>
                      <a:tailEnd/>
                    </a:ln>
                  </pic:spPr>
                </pic:pic>
              </a:graphicData>
            </a:graphic>
          </wp:inline>
        </w:drawing>
      </w:r>
    </w:p>
    <w:p w14:paraId="0B791087">
      <w:pPr>
        <w:pStyle w:val="style0"/>
        <w:jc w:val="center"/>
        <w:rPr>
          <w:b/>
          <w:bCs/>
        </w:rPr>
      </w:pPr>
      <w:r>
        <w:rPr>
          <w:b/>
          <w:bCs/>
        </w:rPr>
        <w:t xml:space="preserve">Figure </w:t>
      </w:r>
      <w:r>
        <w:rPr>
          <w:b/>
          <w:bCs/>
        </w:rPr>
        <w:t>4</w:t>
      </w:r>
      <w:r>
        <w:rPr>
          <w:b/>
          <w:bCs/>
        </w:rPr>
        <w:t>: OLI framework</w:t>
      </w:r>
    </w:p>
    <w:p w14:paraId="05D98BA2">
      <w:pPr>
        <w:pStyle w:val="style0"/>
        <w:jc w:val="center"/>
        <w:rPr/>
      </w:pPr>
      <w:r>
        <w:t>(Source: Ailani, 2025)</w:t>
      </w:r>
    </w:p>
    <w:p w14:paraId="7B19B74B">
      <w:pPr>
        <w:pStyle w:val="style0"/>
        <w:rPr>
          <w:b/>
          <w:bCs/>
          <w:i/>
          <w:iCs/>
        </w:rPr>
      </w:pPr>
      <w:r>
        <w:rPr>
          <w:b/>
          <w:bCs/>
          <w:i/>
          <w:iCs/>
        </w:rPr>
        <w:t>Ownership advantages</w:t>
      </w:r>
    </w:p>
    <w:p w14:paraId="2499AFE9">
      <w:pPr>
        <w:pStyle w:val="style0"/>
        <w:rPr/>
      </w:pPr>
      <w:r>
        <w:t xml:space="preserve">In terms of ownership advantages, Primark possesses different ownership-specific advantages, which can support its entry into India. </w:t>
      </w:r>
      <w:r>
        <w:t xml:space="preserve">One of its key strengths is its cost leadership strategy, which allows it to offer fashionable apparel at lower prices than many international rivals. By keeping the production costs low, Primark offers trendy clothing to customers at affordable prices, while maintaining </w:t>
      </w:r>
      <w:r>
        <w:t>profitability (Melissa, 2024). This capability of Primark is relevant in India, where consumers remain price-conscious despite rising disposable incomes.</w:t>
      </w:r>
      <w:r>
        <w:t xml:space="preserve"> </w:t>
      </w:r>
    </w:p>
    <w:p w14:paraId="36FE3445">
      <w:pPr>
        <w:pStyle w:val="style0"/>
        <w:rPr/>
      </w:pPr>
      <w:r>
        <w:t xml:space="preserve">Another significant ownership advantage is the commitment of Primark to responsible sourcing and sustainability. For example, </w:t>
      </w:r>
      <w:r>
        <w:t xml:space="preserve">in 2024, </w:t>
      </w:r>
      <w:r>
        <w:t xml:space="preserve">Primark has introduced its sustainability strategy, Primark Cares, through which it has increased its clothing range </w:t>
      </w:r>
      <w:r>
        <w:t>to contain recycled and sustainably sourced materials to approximately 55% (Stopher, 2024). A</w:t>
      </w:r>
      <w:r>
        <w:t>s of 2025, a</w:t>
      </w:r>
      <w:r>
        <w:t>pproximately 80% of the consumers in India are concerned about sustainability and climate change (</w:t>
      </w:r>
      <w:r>
        <w:t>Swarup and Ganesan, 2025</w:t>
      </w:r>
      <w:r>
        <w:t xml:space="preserve">). </w:t>
      </w:r>
      <w:r>
        <w:t xml:space="preserve">The increasing level of consumer awareness regarding ethical production and environmental sustainability creates significant opportunities for Primark to differentiate itself by promoting durable clothing </w:t>
      </w:r>
      <w:r>
        <w:t xml:space="preserve">and improved supply chain transparency. All these capabilities can enhance customer trust along with supporting the brand </w:t>
      </w:r>
      <w:r>
        <w:t>identity</w:t>
      </w:r>
      <w:r>
        <w:t xml:space="preserve"> of Primark. </w:t>
      </w:r>
    </w:p>
    <w:p w14:paraId="5127FE80">
      <w:pPr>
        <w:pStyle w:val="style0"/>
        <w:rPr>
          <w:b/>
          <w:bCs/>
          <w:i/>
          <w:iCs/>
        </w:rPr>
      </w:pPr>
      <w:r>
        <w:rPr>
          <w:b/>
          <w:bCs/>
          <w:i/>
          <w:iCs/>
        </w:rPr>
        <w:t>Location advantages</w:t>
      </w:r>
    </w:p>
    <w:p w14:paraId="065B60A0">
      <w:pPr>
        <w:pStyle w:val="style0"/>
        <w:rPr/>
      </w:pPr>
      <w:r>
        <w:t xml:space="preserve">Location advantages are another key factor that makes foreign investment attractive. </w:t>
      </w:r>
      <w:r>
        <w:t xml:space="preserve">India represents one of the </w:t>
      </w:r>
      <w:r>
        <w:t xml:space="preserve">biggest </w:t>
      </w:r>
      <w:r>
        <w:t xml:space="preserve">apparel markets, supported by rapid urbanisation and rising disposable incomes. </w:t>
      </w:r>
      <w:r>
        <w:t>The young consumers of India have a liberal view of the world and are particularly attractive (</w:t>
      </w:r>
      <w:r>
        <w:t>Francis and Sarangi, 2022</w:t>
      </w:r>
      <w:r>
        <w:t xml:space="preserve">). </w:t>
      </w:r>
      <w:r>
        <w:t xml:space="preserve">By the end of 2026, the total consumer spending in India is forecasted to reach US$2.53tn (Statista, 2026). </w:t>
      </w:r>
      <w:r>
        <w:t xml:space="preserve">Moreover, this group of consumers falls within </w:t>
      </w:r>
      <w:r>
        <w:t>Primark’s target market of value-conscious young consumers. In addition, the increasing exposure to global fas</w:t>
      </w:r>
      <w:r>
        <w:t xml:space="preserve">hion trends through social media and digital platforms has led to a demand for affordable international clothing brands. </w:t>
      </w:r>
    </w:p>
    <w:p w14:paraId="7A9691B8">
      <w:pPr>
        <w:pStyle w:val="style0"/>
        <w:rPr/>
      </w:pPr>
      <w:r>
        <w:t xml:space="preserve">India possesses different textile and garment manufacturing industries. The textile sector of India is one of the most diverse </w:t>
      </w:r>
      <w:r>
        <w:t>industries (IBEF, 2026</w:t>
      </w:r>
      <w:r>
        <w:t>a</w:t>
      </w:r>
      <w:r>
        <w:t xml:space="preserve">). Establishing retail operations would create significant supply chain synergies for Primark by integrating manufacturing and retail activities within the same market. Shorter lead times and enhanced inventory responsiveness can enhance operational efficiency, while supporting the low-cost business model of the company. However, India also presents various location-specific challenges. The cultural diversity of the country requires adaptation across distinct </w:t>
      </w:r>
      <w:r>
        <w:t xml:space="preserve">regions. Moreover, the variations in state-level regulations and infrastructure quality may increase operational complexities during expansion. </w:t>
      </w:r>
    </w:p>
    <w:p w14:paraId="7D613780">
      <w:pPr>
        <w:pStyle w:val="style0"/>
        <w:rPr>
          <w:b/>
          <w:bCs/>
          <w:i/>
          <w:iCs/>
        </w:rPr>
      </w:pPr>
      <w:r>
        <w:rPr>
          <w:b/>
          <w:bCs/>
          <w:i/>
          <w:iCs/>
        </w:rPr>
        <w:t xml:space="preserve">Internalisation advantages </w:t>
      </w:r>
    </w:p>
    <w:p w14:paraId="159B2CDA">
      <w:pPr>
        <w:pStyle w:val="style0"/>
        <w:rPr/>
      </w:pPr>
      <w:r>
        <w:t xml:space="preserve">For Primark, internalisation would offer greater strategic control over the quality of the product, pricing and supply chain management. </w:t>
      </w:r>
      <w:r>
        <w:t xml:space="preserve">Wholly controlled retail operations enable the company to maintain consistent brand standards and protect its low-cost positioning across international markets. Effective operations result in lower </w:t>
      </w:r>
      <w:r>
        <w:t>production costs per unit and improved rate of profitability (</w:t>
      </w:r>
      <w:r>
        <w:t xml:space="preserve">Handoyo </w:t>
      </w:r>
      <w:r>
        <w:rPr>
          <w:i/>
          <w:iCs/>
        </w:rPr>
        <w:t>et al.,</w:t>
      </w:r>
      <w:r>
        <w:t xml:space="preserve"> 2023</w:t>
      </w:r>
      <w:r>
        <w:t xml:space="preserve">). </w:t>
      </w:r>
      <w:r>
        <w:t xml:space="preserve">Since the competitiveness of Primark relies on operational efficiency and standardised business processes, the maintenance of direct control over procurement is necessary. </w:t>
      </w:r>
    </w:p>
    <w:p w14:paraId="7D146AB4">
      <w:pPr>
        <w:pStyle w:val="style0"/>
        <w:rPr/>
      </w:pPr>
      <w:r>
        <w:t>Internalisation requires significant financial investment and also exposes Primark to a high degree of operational risks in comparison to contractual entry modes. Setting up company-owned retail stores involves necessary expenditure on real estate, logistics and marketing</w:t>
      </w:r>
      <w:r>
        <w:t xml:space="preserve"> (Button, 2025).</w:t>
      </w:r>
      <w:r>
        <w:t xml:space="preserve"> </w:t>
      </w:r>
      <w:r>
        <w:t>With respect to</w:t>
      </w:r>
      <w:r>
        <w:t xml:space="preserve"> the long-term growth potential of India, the significant investments can generate sustainable returns over time.</w:t>
      </w:r>
      <w:r>
        <w:t xml:space="preserve"> </w:t>
      </w:r>
    </w:p>
    <w:p w14:paraId="134E6E7C">
      <w:pPr>
        <w:pStyle w:val="style0"/>
        <w:rPr/>
      </w:pPr>
      <w:r>
        <w:t xml:space="preserve">The OLI framework denotes that Primark mainly possess effective ownership advantages through its low-cost business model and operational expertise. India also offers different location advantages, including a youthful consumer market, strong manufacturing capabilities and long-term economic growth. Moreover, internalisation strengthens the business case by allowing Primark to effectively maintain strategic control over its retail operations and protect brand reputation. </w:t>
      </w:r>
    </w:p>
    <w:p w14:paraId="42F13E86">
      <w:pPr>
        <w:pStyle w:val="style0"/>
        <w:rPr/>
      </w:pPr>
      <w:r>
        <w:t xml:space="preserve">The analysis also highlighted that ownership advantages are not alone sufficient for successful market entry. Cultural diversity and regulatory complexities require the company to complement its globally standardised business model with local adaptation. While the OLI framework offers support to investment in India, the long-term success of Primark relies on balancing global operational effectiveness with responsiveness to local consumer choices and market conditions. </w:t>
      </w:r>
    </w:p>
    <w:bookmarkStart w:id="7" w:name="_Toc236485302"/>
    <w:bookmarkStart w:id="8" w:name="_Toc237441449"/>
    <w:p w14:paraId="3BF86C5A">
      <w:pPr>
        <w:pStyle w:val="style2"/>
        <w:rPr/>
      </w:pPr>
      <w:r>
        <w:t>Entry Mode Strategy and Strategic Synthesis</w:t>
      </w:r>
      <w:bookmarkEnd w:id="7"/>
      <w:bookmarkEnd w:id="8"/>
      <w:r>
        <w:t xml:space="preserve"> </w:t>
      </w:r>
    </w:p>
    <w:bookmarkStart w:id="9" w:name="_Toc237441450"/>
    <w:p w14:paraId="44619216">
      <w:pPr>
        <w:pStyle w:val="style3"/>
        <w:rPr/>
      </w:pPr>
      <w:r>
        <w:t>Historical Pattern Recognition</w:t>
      </w:r>
      <w:bookmarkEnd w:id="9"/>
    </w:p>
    <w:p w14:paraId="6E2E2437">
      <w:pPr>
        <w:pStyle w:val="style0"/>
        <w:rPr/>
      </w:pPr>
      <w:r>
        <w:t xml:space="preserve">Primark has expanded in the international markets through a wholly owned subsidiary, where it owns its retail stores </w:t>
      </w:r>
      <w:r>
        <w:t>rather than</w:t>
      </w:r>
      <w:r>
        <w:t xml:space="preserve"> relying on franchising, licensing and joint ventures. This approach has been </w:t>
      </w:r>
      <w:r>
        <w:t>applied</w:t>
      </w:r>
      <w:r>
        <w:t xml:space="preserve"> in different international markets such as the UK, Spain, France, Romania, Poland and many more. The company </w:t>
      </w:r>
      <w:r>
        <w:t>emphasise</w:t>
      </w:r>
      <w:r>
        <w:t xml:space="preserve"> retaining ownership of its stores to maintain consistency in pricing</w:t>
      </w:r>
      <w:r>
        <w:t xml:space="preserve"> </w:t>
      </w:r>
      <w:r>
        <w:t xml:space="preserve">and customer experience. </w:t>
      </w:r>
      <w:r>
        <w:t xml:space="preserve">Moreover, the international expansion of Primark follows a gradual and cautious strategy. Instead of entering multiple countries simultaneously, Primark begins with flagship stores before expanding nationally. For example, Primark opened a new flagship store in Manhattan’s Penn District, which brought the store count to 40 locations (Douglass, 2026). This strategy enhanced the growth of the company to a significant scale. </w:t>
      </w:r>
    </w:p>
    <w:p w14:paraId="7B304418">
      <w:pPr>
        <w:pStyle w:val="style0"/>
        <w:rPr/>
      </w:pPr>
      <w:r>
        <w:t xml:space="preserve">The wholly owned subsidiary strategy is the most-followed market entry </w:t>
      </w:r>
      <w:r>
        <w:t>strategy of Primark. For example, Primark entered the German market in 2009 through a wholly owned subsidiary (</w:t>
      </w:r>
      <w:r>
        <w:t>DW, 2017</w:t>
      </w:r>
      <w:r>
        <w:t xml:space="preserve">). This strategy </w:t>
      </w:r>
      <w:r>
        <w:t>ensures</w:t>
      </w:r>
      <w:r>
        <w:t xml:space="preserve"> the company </w:t>
      </w:r>
      <w:r>
        <w:t xml:space="preserve">to </w:t>
      </w:r>
      <w:r>
        <w:t>analyse consumer behaviour and refine operational practices. From a critical perspective, the wholly owned</w:t>
      </w:r>
      <w:r>
        <w:t xml:space="preserve"> subsidiary strategy has allowed Primark to maintain efficient operational control and consistent branding. However, it also requires adequate financial investment and exposes Primark to higher commercial risks during international expansion. </w:t>
      </w:r>
    </w:p>
    <w:bookmarkStart w:id="10" w:name="_Toc237441451"/>
    <w:p w14:paraId="05B13F23">
      <w:pPr>
        <w:pStyle w:val="style3"/>
        <w:rPr/>
      </w:pPr>
      <w:r>
        <w:t>Strategic fit and justification</w:t>
      </w:r>
      <w:bookmarkEnd w:id="10"/>
    </w:p>
    <w:p w14:paraId="7BCFE346">
      <w:pPr>
        <w:pStyle w:val="style0"/>
        <w:rPr/>
      </w:pPr>
      <w:r>
        <w:t xml:space="preserve">The historical entry mode adopted by Primark has been successful in </w:t>
      </w:r>
      <w:r>
        <w:t>different</w:t>
      </w:r>
      <w:r>
        <w:t xml:space="preserve"> markets; however, its suitability to enter India requires proper evaluation due to the </w:t>
      </w:r>
      <w:r>
        <w:t>external</w:t>
      </w:r>
      <w:r>
        <w:t xml:space="preserve"> environment. A wholly owned subsidiary provides a wide range of strategic advantages. </w:t>
      </w:r>
      <w:r>
        <w:t xml:space="preserve">The multinational corporations (MNCs), which mainly own high proprietary technical and scientific knowledge, would prefer a wholly owned subsidiary to protect their capabilities from the opportunistic behaviour of local partners (Sestu and Majocchi, 2020). This market entry strategy offers </w:t>
      </w:r>
      <w:r>
        <w:t>managerial control over pricing, product quality, inventory management, and customer experience</w:t>
      </w:r>
      <w:r>
        <w:t>s</w:t>
      </w:r>
      <w:r>
        <w:t xml:space="preserve">. </w:t>
      </w:r>
      <w:r>
        <w:t>It has been analysed previously that the</w:t>
      </w:r>
      <w:r>
        <w:t xml:space="preserve"> competitiv</w:t>
      </w:r>
      <w:r>
        <w:t>eness</w:t>
      </w:r>
      <w:r>
        <w:t xml:space="preserve"> </w:t>
      </w:r>
      <w:r>
        <w:t>of Primark relies</w:t>
      </w:r>
      <w:r>
        <w:t xml:space="preserve"> on maintaining low operating costs and standardised business </w:t>
      </w:r>
      <w:r>
        <w:t>procedures. Due to this,</w:t>
      </w:r>
      <w:r>
        <w:t xml:space="preserve"> direct ownership </w:t>
      </w:r>
      <w:r>
        <w:t>allows</w:t>
      </w:r>
      <w:r>
        <w:t xml:space="preserve"> </w:t>
      </w:r>
      <w:r>
        <w:t>the integration</w:t>
      </w:r>
      <w:r>
        <w:t xml:space="preserve"> of its global business model. </w:t>
      </w:r>
      <w:r>
        <w:t>Apart from this</w:t>
      </w:r>
      <w:r>
        <w:t xml:space="preserve">, internal control reduces the risk of conflicts with local partners, </w:t>
      </w:r>
      <w:r>
        <w:t>along with effectively protecting</w:t>
      </w:r>
      <w:r>
        <w:t xml:space="preserve"> intellectual property</w:t>
      </w:r>
      <w:r>
        <w:t xml:space="preserve"> </w:t>
      </w:r>
      <w:r>
        <w:t>and brand reputation.</w:t>
      </w:r>
    </w:p>
    <w:p w14:paraId="714EF228">
      <w:pPr>
        <w:pStyle w:val="style0"/>
        <w:rPr/>
      </w:pPr>
      <w:r>
        <w:t xml:space="preserve">Through the analysis of the external environment of India, it has </w:t>
      </w:r>
      <w:r>
        <w:t>been found</w:t>
      </w:r>
      <w:r>
        <w:t xml:space="preserve"> that India represents a significant growth opportunity instead of a short-term investment. The increased rate of urbanisation, young population, and </w:t>
      </w:r>
      <w:r>
        <w:t>rising</w:t>
      </w:r>
      <w:r>
        <w:t xml:space="preserve"> demand for affordable international fashion positively support retail investment</w:t>
      </w:r>
      <w:r>
        <w:t xml:space="preserve"> in this country</w:t>
      </w:r>
      <w:r>
        <w:t xml:space="preserve"> (IBEF, 2026b).</w:t>
      </w:r>
      <w:r>
        <w:t xml:space="preserve"> Thus, direct ownership could lead to substantial returns over time.</w:t>
      </w:r>
    </w:p>
    <w:p w14:paraId="7CACE0F0">
      <w:pPr>
        <w:pStyle w:val="style0"/>
        <w:rPr/>
      </w:pPr>
      <w:r>
        <w:t xml:space="preserve">However, the adoption of a wholly owned subsidiary may expose Primark to different risks. From a political perspective, retail regulations continue to evolve, while administrative processes largely vary across the different states of India. From a financial perspective, establishing large-format stores requires significant investment in logistics infrastructure, employee recruitment and technology systems. From an operational </w:t>
      </w:r>
      <w:r>
        <w:t>perspective, the cultural diversity and regional differences lead to changes in consumer preferences</w:t>
      </w:r>
      <w:r>
        <w:t xml:space="preserve"> (Khan, Varaksina and Hinterhuber, 2024).</w:t>
      </w:r>
      <w:r>
        <w:t xml:space="preserve"> This may reduce the effectiveness of a standardised retail model during the early phases of market entry.</w:t>
      </w:r>
    </w:p>
    <w:p w14:paraId="0F3E537F">
      <w:pPr>
        <w:pStyle w:val="style0"/>
        <w:rPr/>
      </w:pPr>
      <w:r>
        <w:t>A</w:t>
      </w:r>
      <w:r>
        <w:t xml:space="preserve"> joint venture represents </w:t>
      </w:r>
      <w:r>
        <w:t>another</w:t>
      </w:r>
      <w:r>
        <w:t xml:space="preserve"> entry strategy </w:t>
      </w:r>
      <w:r>
        <w:t>for Primark in the Indian market</w:t>
      </w:r>
      <w:r>
        <w:t>.</w:t>
      </w:r>
      <w:r>
        <w:t xml:space="preserve"> A joint venture is a strategic approach adopted by MNCs to leverage their existing knowledge, while accessing new knowledge owned by local partners (Kim </w:t>
      </w:r>
      <w:r>
        <w:rPr>
          <w:i/>
          <w:iCs/>
        </w:rPr>
        <w:t>et al.,</w:t>
      </w:r>
      <w:r>
        <w:t xml:space="preserve"> 2024). The adoption of a joint venture can allow Primark to combine its international retail expertise </w:t>
      </w:r>
      <w:r>
        <w:t>with the local market knowledge</w:t>
      </w:r>
      <w:r>
        <w:t xml:space="preserve"> </w:t>
      </w:r>
      <w:r>
        <w:t xml:space="preserve">and distribution capabilities of </w:t>
      </w:r>
      <w:r>
        <w:t>a local</w:t>
      </w:r>
      <w:r>
        <w:t xml:space="preserve"> partner</w:t>
      </w:r>
      <w:r>
        <w:t xml:space="preserve"> in India</w:t>
      </w:r>
      <w:r>
        <w:t xml:space="preserve">. </w:t>
      </w:r>
      <w:r>
        <w:t xml:space="preserve">In terms of a risk perspective, a joint venture can distribute financial and operational </w:t>
      </w:r>
      <w:r>
        <w:t>uncertainties</w:t>
      </w:r>
      <w:r>
        <w:t xml:space="preserve"> between both partners</w:t>
      </w:r>
      <w:r>
        <w:t xml:space="preserve"> (JPP Law, 2025).</w:t>
      </w:r>
      <w:r>
        <w:t xml:space="preserve"> Since the local partners possess significant relationships with government agencies, suppliers and logistics providers, this can reduce market uncertainties. By partnering with a domestic firm, Primark may also enhance stakeholder acceptance and facilitate regulatory approvals.</w:t>
      </w:r>
    </w:p>
    <w:bookmarkStart w:id="11" w:name="_Toc237441452"/>
    <w:p w14:paraId="6515EFCC">
      <w:pPr>
        <w:pStyle w:val="style3"/>
        <w:rPr/>
      </w:pPr>
      <w:r>
        <w:t>Conclusion and Recommendations</w:t>
      </w:r>
      <w:bookmarkEnd w:id="11"/>
    </w:p>
    <w:p w14:paraId="159D5BF3">
      <w:pPr>
        <w:pStyle w:val="style0"/>
        <w:rPr/>
      </w:pPr>
      <w:r>
        <w:t xml:space="preserve">The </w:t>
      </w:r>
      <w:r>
        <w:t xml:space="preserve">overall </w:t>
      </w:r>
      <w:r>
        <w:t xml:space="preserve">analysis </w:t>
      </w:r>
      <w:r>
        <w:t>indicated</w:t>
      </w:r>
      <w:r>
        <w:t xml:space="preserve"> that </w:t>
      </w:r>
      <w:r>
        <w:t>the</w:t>
      </w:r>
      <w:r>
        <w:t xml:space="preserve"> historical reliance </w:t>
      </w:r>
      <w:r>
        <w:t xml:space="preserve">of Primark </w:t>
      </w:r>
      <w:r>
        <w:t xml:space="preserve">on wholly owned subsidiaries has </w:t>
      </w:r>
      <w:r>
        <w:t>efficiently</w:t>
      </w:r>
      <w:r>
        <w:t xml:space="preserve"> supported its international expansion </w:t>
      </w:r>
      <w:r>
        <w:t>through the proper maintenance of</w:t>
      </w:r>
      <w:r>
        <w:t xml:space="preserve"> operational control</w:t>
      </w:r>
      <w:r>
        <w:t xml:space="preserve"> and protection of</w:t>
      </w:r>
      <w:r>
        <w:t xml:space="preserve"> brand consistency. However, historical success does not imply that the same entry mode </w:t>
      </w:r>
      <w:r>
        <w:t>can emerge as fruitful for the Indian market</w:t>
      </w:r>
      <w:r>
        <w:t>.</w:t>
      </w:r>
    </w:p>
    <w:p w14:paraId="50DD2FE6">
      <w:pPr>
        <w:pStyle w:val="style0"/>
        <w:rPr/>
      </w:pPr>
      <w:r>
        <w:t>Through the external environment analysis, it has been observed that I</w:t>
      </w:r>
      <w:r>
        <w:t xml:space="preserve">ndia presents </w:t>
      </w:r>
      <w:r>
        <w:t>different</w:t>
      </w:r>
      <w:r>
        <w:t xml:space="preserve"> growth opportunities due to its expanding middle class, demographics, </w:t>
      </w:r>
      <w:r>
        <w:t>and advanced</w:t>
      </w:r>
      <w:r>
        <w:t xml:space="preserve"> textile industry. </w:t>
      </w:r>
      <w:r>
        <w:t>Furthermore</w:t>
      </w:r>
      <w:r>
        <w:t>,</w:t>
      </w:r>
      <w:r>
        <w:t xml:space="preserve"> the market also presents </w:t>
      </w:r>
      <w:r>
        <w:t>various</w:t>
      </w:r>
      <w:r>
        <w:t xml:space="preserve"> challenges, </w:t>
      </w:r>
      <w:r>
        <w:t>which involve</w:t>
      </w:r>
      <w:r>
        <w:t xml:space="preserve"> regulatory complexit</w:t>
      </w:r>
      <w:r>
        <w:t>ies</w:t>
      </w:r>
      <w:r>
        <w:t>, intense competition</w:t>
      </w:r>
      <w:r>
        <w:t xml:space="preserve"> and</w:t>
      </w:r>
      <w:r>
        <w:t xml:space="preserve"> cultural diversity</w:t>
      </w:r>
      <w:r>
        <w:t>.</w:t>
      </w:r>
      <w:r>
        <w:t xml:space="preserve"> </w:t>
      </w:r>
      <w:r>
        <w:t>All th</w:t>
      </w:r>
      <w:r>
        <w:t xml:space="preserve">ese </w:t>
      </w:r>
      <w:r>
        <w:t>features</w:t>
      </w:r>
      <w:r>
        <w:t xml:space="preserve"> increase the risks </w:t>
      </w:r>
      <w:r>
        <w:t>related</w:t>
      </w:r>
      <w:r>
        <w:t xml:space="preserve"> to </w:t>
      </w:r>
      <w:r>
        <w:t>the adoption of</w:t>
      </w:r>
      <w:r>
        <w:t xml:space="preserve"> a wholly owned subsidiary </w:t>
      </w:r>
      <w:r>
        <w:t>strategy. In this context,</w:t>
      </w:r>
      <w:r>
        <w:t xml:space="preserve"> it </w:t>
      </w:r>
      <w:r>
        <w:t>can be</w:t>
      </w:r>
      <w:r>
        <w:t xml:space="preserve"> recommended that Primark adopt</w:t>
      </w:r>
      <w:r>
        <w:t>s</w:t>
      </w:r>
      <w:r>
        <w:t xml:space="preserve"> a joint venture strategy </w:t>
      </w:r>
      <w:r>
        <w:t>to enter the Indian market</w:t>
      </w:r>
      <w:r>
        <w:t xml:space="preserve">. </w:t>
      </w:r>
    </w:p>
    <w:p w14:paraId="5083745A">
      <w:pPr>
        <w:pStyle w:val="style0"/>
        <w:rPr/>
      </w:pPr>
      <w:r>
        <w:t xml:space="preserve">In the context of a joint venture, the potential partners of Primark could include Reliance Retail. </w:t>
      </w:r>
      <w:r>
        <w:t xml:space="preserve">Reliance Retail is one of the largest retailers of India delivering superior value to its customers and suppliers (Reliance Retail, n.d.). </w:t>
      </w:r>
      <w:r>
        <w:t xml:space="preserve">The partnership with this local partner </w:t>
      </w:r>
      <w:r>
        <w:t xml:space="preserve">would enable rapid market penetration, while reducing entry barriers related to supplier coordination and regulatory compliance. </w:t>
      </w:r>
      <w:r>
        <w:t>A significant</w:t>
      </w:r>
      <w:r>
        <w:t xml:space="preserve"> </w:t>
      </w:r>
      <w:r>
        <w:t>benefit</w:t>
      </w:r>
      <w:r>
        <w:t xml:space="preserve"> of a joint venture is that it allows for sharing costs with the partner and prevents financial risks (Nalley, 2024). Moreover, t</w:t>
      </w:r>
      <w:r>
        <w:t xml:space="preserve">his approach would </w:t>
      </w:r>
      <w:r>
        <w:t>enable</w:t>
      </w:r>
      <w:r>
        <w:t xml:space="preserve"> the </w:t>
      </w:r>
      <w:r>
        <w:t>firm</w:t>
      </w:r>
      <w:r>
        <w:t xml:space="preserve"> to leverage the local market knowledge</w:t>
      </w:r>
      <w:r>
        <w:t xml:space="preserve"> and</w:t>
      </w:r>
      <w:r>
        <w:t xml:space="preserve"> distribution capabilities</w:t>
      </w:r>
      <w:r>
        <w:t>.</w:t>
      </w:r>
      <w:r>
        <w:t xml:space="preserve"> </w:t>
      </w:r>
      <w:r>
        <w:t>Apart from this, a</w:t>
      </w:r>
      <w:r>
        <w:t xml:space="preserve"> joint venture would accelerate market penetration and improve the </w:t>
      </w:r>
      <w:r>
        <w:t>ability of Primark</w:t>
      </w:r>
      <w:r>
        <w:t xml:space="preserve"> to </w:t>
      </w:r>
      <w:r>
        <w:t xml:space="preserve">effectively </w:t>
      </w:r>
      <w:r>
        <w:t xml:space="preserve">respond to </w:t>
      </w:r>
      <w:r>
        <w:t>the</w:t>
      </w:r>
      <w:r>
        <w:t xml:space="preserve"> diverse consumer preferences</w:t>
      </w:r>
      <w:r>
        <w:t xml:space="preserve"> of India</w:t>
      </w:r>
      <w:r>
        <w:t>.</w:t>
      </w:r>
    </w:p>
    <w:p w14:paraId="5E138CD1">
      <w:pPr>
        <w:pStyle w:val="style0"/>
        <w:rPr/>
      </w:pPr>
      <w:r>
        <w:t>After establishing a strong customer base and gaining operational experience, Primark can increase investment through company-owned flagship stores in different metropolitan cities, such as Kolkata, Mumbai and Delhi</w:t>
      </w:r>
      <w:r>
        <w:t>, which are known as fashion cities (</w:t>
      </w:r>
      <w:r>
        <w:t>Hello, 2026</w:t>
      </w:r>
      <w:r>
        <w:t>).</w:t>
      </w:r>
      <w:r>
        <w:t xml:space="preserve"> This particular strategy can ensure balancing control, flexibility and resource commitment. Thus, in comparison to the wholly owned subsidiary, the joint venture would be suitable for Primark. The adoption of a joint venture followed by a transition towards a high degree of ownership largely represents the most effective strategic approach for the proposed expansion of Primark into India. This market entry strategy also aligns with the long-term growth objectives of the company, while efficiently addressing the political, financial and cultural issues identified throughout the external environment analysis.</w:t>
      </w:r>
    </w:p>
    <w:p w14:paraId="2F0E0BE3">
      <w:pPr>
        <w:pStyle w:val="style0"/>
        <w:rPr/>
      </w:pPr>
    </w:p>
    <w:p w14:paraId="48EAD4C3">
      <w:pPr>
        <w:pStyle w:val="style0"/>
        <w:rPr/>
      </w:pPr>
      <w:r>
        <w:br w:type="page"/>
      </w:r>
    </w:p>
    <w:bookmarkStart w:id="12" w:name="_Toc237441453"/>
    <w:p w14:paraId="73F119C0">
      <w:pPr>
        <w:pStyle w:val="style1"/>
        <w:rPr/>
      </w:pPr>
      <w:r>
        <w:t>Section 2</w:t>
      </w:r>
      <w:bookmarkEnd w:id="12"/>
    </w:p>
    <w:p w14:paraId="7A0E20D6">
      <w:pPr>
        <w:pStyle w:val="style0"/>
        <w:rPr/>
      </w:pPr>
      <w:r>
        <w:t xml:space="preserve">Gibbs’ model has been applied to structure the reflection. The six stages of this model are description, feelings, evaluation, analysis, conclusion and action plan as indicated in Figure </w:t>
      </w:r>
      <w:r>
        <w:t>5</w:t>
      </w:r>
      <w:r>
        <w:t xml:space="preserve"> (Harithuddin, 2021).</w:t>
      </w:r>
    </w:p>
    <w:p w14:paraId="473B2753">
      <w:pPr>
        <w:pStyle w:val="style0"/>
        <w:jc w:val="center"/>
        <w:rPr/>
      </w:pPr>
      <w:r>
        <w:rPr>
          <w:noProof/>
        </w:rPr>
        <w:drawing>
          <wp:inline distL="0" distT="0" distB="0" distR="0">
            <wp:extent cx="4648603" cy="3368332"/>
            <wp:effectExtent l="38100" t="38100" r="38100" b="41910"/>
            <wp:docPr id="1031"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11" cstate="print"/>
                    <a:srcRect l="0" t="0" r="0" b="0"/>
                    <a:stretch/>
                  </pic:blipFill>
                  <pic:spPr>
                    <a:xfrm rot="0">
                      <a:off x="0" y="0"/>
                      <a:ext cx="4648603" cy="3368332"/>
                    </a:xfrm>
                    <a:prstGeom prst="rect"/>
                    <a:ln cmpd="sng" cap="flat" w="28575">
                      <a:solidFill>
                        <a:srgbClr val="000000"/>
                      </a:solidFill>
                      <a:prstDash val="solid"/>
                      <a:round/>
                      <a:headEnd/>
                      <a:tailEnd/>
                    </a:ln>
                  </pic:spPr>
                </pic:pic>
              </a:graphicData>
            </a:graphic>
          </wp:inline>
        </w:drawing>
      </w:r>
    </w:p>
    <w:p w14:paraId="6A555744">
      <w:pPr>
        <w:pStyle w:val="style0"/>
        <w:jc w:val="center"/>
        <w:rPr>
          <w:b/>
          <w:bCs/>
        </w:rPr>
      </w:pPr>
      <w:r>
        <w:rPr>
          <w:b/>
          <w:bCs/>
        </w:rPr>
        <w:t xml:space="preserve">Figure </w:t>
      </w:r>
      <w:r>
        <w:rPr>
          <w:b/>
          <w:bCs/>
        </w:rPr>
        <w:t>5</w:t>
      </w:r>
      <w:r>
        <w:rPr>
          <w:b/>
          <w:bCs/>
        </w:rPr>
        <w:t>: Gibbs model</w:t>
      </w:r>
    </w:p>
    <w:p w14:paraId="6B20C493">
      <w:pPr>
        <w:pStyle w:val="style0"/>
        <w:jc w:val="center"/>
        <w:rPr/>
      </w:pPr>
      <w:r>
        <w:t>(Source: Harithuddin, 2021)</w:t>
      </w:r>
    </w:p>
    <w:p w14:paraId="0375BD96">
      <w:pPr>
        <w:pStyle w:val="style0"/>
        <w:rPr>
          <w:b/>
          <w:bCs/>
        </w:rPr>
      </w:pPr>
      <w:r>
        <w:rPr>
          <w:b/>
          <w:bCs/>
        </w:rPr>
        <w:t>Description</w:t>
      </w:r>
    </w:p>
    <w:p w14:paraId="56F6C715">
      <w:pPr>
        <w:pStyle w:val="style0"/>
        <w:rPr/>
      </w:pPr>
      <w:r>
        <w:t xml:space="preserve">The assessment required me to critically evaluate the international market entry strategy of Primark </w:t>
      </w:r>
      <w:r>
        <w:t>through an effective analysis of</w:t>
      </w:r>
      <w:r>
        <w:t xml:space="preserve"> its global business strategy</w:t>
      </w:r>
      <w:r>
        <w:t xml:space="preserve">. I have selected Primark as the organisation and India as the suitable country, as the company does not </w:t>
      </w:r>
      <w:r>
        <w:t>operate</w:t>
      </w:r>
      <w:r>
        <w:t xml:space="preserve"> in the Indian market</w:t>
      </w:r>
      <w:r>
        <w:t xml:space="preserve">. The report involved examining </w:t>
      </w:r>
      <w:r>
        <w:t>the</w:t>
      </w:r>
      <w:r>
        <w:t xml:space="preserve"> internationalisation approach </w:t>
      </w:r>
      <w:r>
        <w:t xml:space="preserve">of Primark </w:t>
      </w:r>
      <w:r>
        <w:t>using Bartlett and Ghoshal's international strategy framework</w:t>
      </w:r>
      <w:r>
        <w:t xml:space="preserve"> and</w:t>
      </w:r>
      <w:r>
        <w:t xml:space="preserve"> </w:t>
      </w:r>
      <w:r>
        <w:t>analysing</w:t>
      </w:r>
      <w:r>
        <w:t xml:space="preserve"> India's external environment through political, economic, legal and cultural analysis</w:t>
      </w:r>
      <w:r>
        <w:t xml:space="preserve">. </w:t>
      </w:r>
    </w:p>
    <w:p w14:paraId="5440552F">
      <w:pPr>
        <w:pStyle w:val="style0"/>
        <w:rPr/>
      </w:pPr>
      <w:r>
        <w:t xml:space="preserve">To complete this assessment, I first </w:t>
      </w:r>
      <w:r>
        <w:t>went through the</w:t>
      </w:r>
      <w:r>
        <w:t xml:space="preserve"> requirements</w:t>
      </w:r>
      <w:r>
        <w:t xml:space="preserve"> of the assignment</w:t>
      </w:r>
      <w:r>
        <w:t xml:space="preserve"> and </w:t>
      </w:r>
      <w:r>
        <w:t xml:space="preserve">also </w:t>
      </w:r>
      <w:r>
        <w:t>developed a structured plan. I</w:t>
      </w:r>
      <w:r>
        <w:t xml:space="preserve"> also</w:t>
      </w:r>
      <w:r>
        <w:t xml:space="preserve"> reviewed the lecture materials</w:t>
      </w:r>
      <w:r>
        <w:t xml:space="preserve"> and peer-reviewed journal articles related</w:t>
      </w:r>
      <w:r>
        <w:t xml:space="preserve"> to international business strategy</w:t>
      </w:r>
      <w:r>
        <w:t xml:space="preserve"> and</w:t>
      </w:r>
      <w:r>
        <w:t xml:space="preserve"> market entry theories. </w:t>
      </w:r>
      <w:r>
        <w:t>Then,</w:t>
      </w:r>
      <w:r>
        <w:t xml:space="preserve"> </w:t>
      </w:r>
      <w:r>
        <w:t xml:space="preserve">I </w:t>
      </w:r>
      <w:r>
        <w:t xml:space="preserve">collected secondary data from </w:t>
      </w:r>
      <w:r>
        <w:t>relevant</w:t>
      </w:r>
      <w:r>
        <w:t xml:space="preserve"> journal articles, company reports, government publications</w:t>
      </w:r>
      <w:r>
        <w:t xml:space="preserve"> and</w:t>
      </w:r>
      <w:r>
        <w:t xml:space="preserve"> industry </w:t>
      </w:r>
      <w:r>
        <w:t>reports</w:t>
      </w:r>
      <w:r>
        <w:t xml:space="preserve">. I also reviewed </w:t>
      </w:r>
      <w:r>
        <w:t>the</w:t>
      </w:r>
      <w:r>
        <w:t xml:space="preserve"> sustainability reports </w:t>
      </w:r>
      <w:r>
        <w:t>of Primark to gain an</w:t>
      </w:r>
      <w:r>
        <w:t xml:space="preserve"> understand</w:t>
      </w:r>
      <w:r>
        <w:t>ing of</w:t>
      </w:r>
      <w:r>
        <w:t xml:space="preserve"> the company's international expansion strategy and business model.</w:t>
      </w:r>
      <w:r>
        <w:t xml:space="preserve"> </w:t>
      </w:r>
      <w:r>
        <w:t xml:space="preserve">After </w:t>
      </w:r>
      <w:r>
        <w:t>collecting adequate authentic</w:t>
      </w:r>
      <w:r>
        <w:t xml:space="preserve"> information, I organised the findings </w:t>
      </w:r>
      <w:r>
        <w:t>based on the</w:t>
      </w:r>
      <w:r>
        <w:t xml:space="preserve"> structure. </w:t>
      </w:r>
      <w:r>
        <w:t>Instead of just describing</w:t>
      </w:r>
      <w:r>
        <w:t xml:space="preserve"> information, I </w:t>
      </w:r>
      <w:r>
        <w:t>focused on comparing</w:t>
      </w:r>
      <w:r>
        <w:t xml:space="preserve"> different sources, </w:t>
      </w:r>
      <w:r>
        <w:t>analys</w:t>
      </w:r>
      <w:r>
        <w:t xml:space="preserve">ing opportunities and challenges, and </w:t>
      </w:r>
      <w:r>
        <w:t>also justify</w:t>
      </w:r>
      <w:r>
        <w:t xml:space="preserve">ing my </w:t>
      </w:r>
      <w:r>
        <w:t>strategies</w:t>
      </w:r>
      <w:r>
        <w:t xml:space="preserve"> using international business theories.</w:t>
      </w:r>
    </w:p>
    <w:p w14:paraId="4310BCC6">
      <w:pPr>
        <w:pStyle w:val="style0"/>
        <w:rPr>
          <w:b/>
          <w:bCs/>
        </w:rPr>
      </w:pPr>
      <w:r>
        <w:rPr>
          <w:b/>
          <w:bCs/>
        </w:rPr>
        <w:t>Feelings</w:t>
      </w:r>
    </w:p>
    <w:p w14:paraId="7426C374">
      <w:pPr>
        <w:pStyle w:val="style0"/>
        <w:rPr/>
      </w:pPr>
      <w:r>
        <w:t xml:space="preserve">Before starting to work on this assignment, I felt uncertain </w:t>
      </w:r>
      <w:r>
        <w:t>for the</w:t>
      </w:r>
      <w:r>
        <w:t xml:space="preserve"> selection of an </w:t>
      </w:r>
      <w:r>
        <w:t>organisation</w:t>
      </w:r>
      <w:r>
        <w:t xml:space="preserve"> and target </w:t>
      </w:r>
      <w:r>
        <w:t>market</w:t>
      </w:r>
      <w:r>
        <w:t>, since it required careful verification. I also underestimated the significance of confirming whether a company already had operations in a chosen country. At this point, I realised that international business research requires keen attention to detail before beginning any form of strategic analysis.</w:t>
      </w:r>
    </w:p>
    <w:p w14:paraId="0E253CF1">
      <w:pPr>
        <w:pStyle w:val="style0"/>
        <w:rPr/>
      </w:pPr>
      <w:r>
        <w:t xml:space="preserve">As I </w:t>
      </w:r>
      <w:r>
        <w:t>moved forward</w:t>
      </w:r>
      <w:r>
        <w:t xml:space="preserve"> through the assignment, I became more confident</w:t>
      </w:r>
      <w:r>
        <w:t>, since</w:t>
      </w:r>
      <w:r>
        <w:t xml:space="preserve"> I gained a better understanding of </w:t>
      </w:r>
      <w:r>
        <w:t xml:space="preserve">the application of </w:t>
      </w:r>
      <w:r>
        <w:t>theoretical frameworks to real organisations. Initially,</w:t>
      </w:r>
      <w:r>
        <w:t xml:space="preserve"> </w:t>
      </w:r>
      <w:r>
        <w:t xml:space="preserve">Bartlett and Ghoshal's model and Dunning's OLI Paradigm appeared </w:t>
      </w:r>
      <w:r>
        <w:t xml:space="preserve">quite </w:t>
      </w:r>
      <w:r>
        <w:t>abstract</w:t>
      </w:r>
      <w:r>
        <w:t xml:space="preserve"> to me</w:t>
      </w:r>
      <w:r>
        <w:t xml:space="preserve">. However, </w:t>
      </w:r>
      <w:r>
        <w:t>after applying</w:t>
      </w:r>
      <w:r>
        <w:t xml:space="preserve"> them to Primark's expansion strategy, I </w:t>
      </w:r>
      <w:r>
        <w:t>identified the way</w:t>
      </w:r>
      <w:r>
        <w:t xml:space="preserve"> these models </w:t>
      </w:r>
      <w:r>
        <w:t>offer</w:t>
      </w:r>
      <w:r>
        <w:t xml:space="preserve"> practical guidance for </w:t>
      </w:r>
      <w:r>
        <w:t>evaluating</w:t>
      </w:r>
      <w:r>
        <w:t xml:space="preserve"> international business decisions.</w:t>
      </w:r>
      <w:r>
        <w:t xml:space="preserve"> Rather than </w:t>
      </w:r>
      <w:r>
        <w:t xml:space="preserve">simply identifying external environmental factors, I </w:t>
      </w:r>
      <w:r>
        <w:t xml:space="preserve">also </w:t>
      </w:r>
      <w:r>
        <w:t xml:space="preserve">learned </w:t>
      </w:r>
      <w:r>
        <w:t>the way</w:t>
      </w:r>
      <w:r>
        <w:t xml:space="preserve"> </w:t>
      </w:r>
      <w:r>
        <w:t xml:space="preserve">to </w:t>
      </w:r>
      <w:r>
        <w:t xml:space="preserve">evaluate how each factor could influence </w:t>
      </w:r>
      <w:r>
        <w:t xml:space="preserve">the </w:t>
      </w:r>
      <w:r>
        <w:t>competitive advantage and long-term success</w:t>
      </w:r>
      <w:r>
        <w:t xml:space="preserve"> of Primark</w:t>
      </w:r>
      <w:r>
        <w:t xml:space="preserve"> in India.</w:t>
      </w:r>
    </w:p>
    <w:p w14:paraId="459FB082">
      <w:pPr>
        <w:pStyle w:val="style0"/>
        <w:rPr>
          <w:b/>
          <w:bCs/>
        </w:rPr>
      </w:pPr>
      <w:r>
        <w:rPr>
          <w:b/>
          <w:bCs/>
        </w:rPr>
        <w:t>Evaluation</w:t>
      </w:r>
    </w:p>
    <w:p w14:paraId="1A434598">
      <w:pPr>
        <w:pStyle w:val="style0"/>
        <w:rPr/>
      </w:pPr>
      <w:r>
        <w:t xml:space="preserve">The overall research process in this report was successful, since it strengthened my ability to integrate academic theories with business practices of the organisation. For example, one of the strongest aspects of my work was the use of different academic and industry sources that can support my analysis. By using relevant websites, I realised that </w:t>
      </w:r>
      <w:r>
        <w:t>alongside journal articles, websites allowed me to carry out a thorough comparison of the theoretical perspectives with different practical business strategies.</w:t>
      </w:r>
    </w:p>
    <w:p w14:paraId="21D18DF2">
      <w:pPr>
        <w:pStyle w:val="style0"/>
        <w:rPr/>
      </w:pPr>
      <w:r>
        <w:t xml:space="preserve">A positive aspect was applying several strategic frameworks rather than relying on only one analytical model. Bartlett and Ghoshal's framework </w:t>
      </w:r>
      <w:r>
        <w:t xml:space="preserve">allowed me to </w:t>
      </w:r>
      <w:r>
        <w:t xml:space="preserve">classify </w:t>
      </w:r>
      <w:r>
        <w:t>the</w:t>
      </w:r>
      <w:r>
        <w:t xml:space="preserve"> global strategy</w:t>
      </w:r>
      <w:r>
        <w:t xml:space="preserve"> of Primark. On the other hand,</w:t>
      </w:r>
      <w:r>
        <w:t xml:space="preserve"> the environmental analysis and Dunning's OLI framework </w:t>
      </w:r>
      <w:r>
        <w:t>offered</w:t>
      </w:r>
      <w:r>
        <w:t xml:space="preserve"> complementary perspectives on </w:t>
      </w:r>
      <w:r>
        <w:t xml:space="preserve">both </w:t>
      </w:r>
      <w:r>
        <w:t xml:space="preserve">market attractiveness and entry decisions. </w:t>
      </w:r>
      <w:r>
        <w:t xml:space="preserve">A strategic framework is significant for guiding a business towards sustainable success (B2B Frameworks, 2025). </w:t>
      </w:r>
      <w:r>
        <w:t xml:space="preserve">However, </w:t>
      </w:r>
      <w:r>
        <w:t xml:space="preserve">I also came across </w:t>
      </w:r>
      <w:r>
        <w:t xml:space="preserve">many difficulties. The first difficulty involved identifying up-to-date information regarding </w:t>
      </w:r>
      <w:r>
        <w:t>the</w:t>
      </w:r>
      <w:r>
        <w:t xml:space="preserve"> international operations</w:t>
      </w:r>
      <w:r>
        <w:t xml:space="preserve"> of Primark</w:t>
      </w:r>
      <w:r>
        <w:t xml:space="preserve">. </w:t>
      </w:r>
      <w:r>
        <w:t>I found that c</w:t>
      </w:r>
      <w:r>
        <w:t xml:space="preserve">ompany websites often </w:t>
      </w:r>
      <w:r>
        <w:t xml:space="preserve">offer </w:t>
      </w:r>
      <w:r>
        <w:t xml:space="preserve">limited information regarding future expansion plans. </w:t>
      </w:r>
      <w:r>
        <w:t xml:space="preserve">In this context, </w:t>
      </w:r>
      <w:r>
        <w:t>I</w:t>
      </w:r>
      <w:r>
        <w:t xml:space="preserve"> </w:t>
      </w:r>
      <w:r>
        <w:t xml:space="preserve">felt the need of effective critical thinking skills </w:t>
      </w:r>
      <w:r>
        <w:t xml:space="preserve">to cross-reference information from </w:t>
      </w:r>
      <w:r>
        <w:t>different</w:t>
      </w:r>
      <w:r>
        <w:t xml:space="preserve"> sources before reaching conclusions.</w:t>
      </w:r>
    </w:p>
    <w:p w14:paraId="7F3F3974">
      <w:pPr>
        <w:pStyle w:val="style0"/>
        <w:rPr/>
      </w:pPr>
      <w:r>
        <w:t xml:space="preserve">Another challenge involved avoiding descriptive writing. </w:t>
      </w:r>
      <w:r>
        <w:t>I observed that my</w:t>
      </w:r>
      <w:r>
        <w:t xml:space="preserve"> initial drafts </w:t>
      </w:r>
      <w:r>
        <w:t>mostly emphasised</w:t>
      </w:r>
      <w:r>
        <w:t xml:space="preserve"> explaining</w:t>
      </w:r>
      <w:r>
        <w:t xml:space="preserve"> the</w:t>
      </w:r>
      <w:r>
        <w:t xml:space="preserve"> environmental factors </w:t>
      </w:r>
      <w:r>
        <w:t>rather than</w:t>
      </w:r>
      <w:r>
        <w:t xml:space="preserve"> critically analysing their strategic implications. </w:t>
      </w:r>
      <w:r>
        <w:t>However, through</w:t>
      </w:r>
      <w:r>
        <w:t xml:space="preserve"> reviewing the assessment criteria, I</w:t>
      </w:r>
      <w:r>
        <w:t xml:space="preserve"> entirely</w:t>
      </w:r>
      <w:r>
        <w:t xml:space="preserve"> revised my work </w:t>
      </w:r>
      <w:r>
        <w:t>through a thorough comparison of</w:t>
      </w:r>
      <w:r>
        <w:t xml:space="preserve"> opportunities with potential </w:t>
      </w:r>
      <w:r>
        <w:t>challenges</w:t>
      </w:r>
      <w:r>
        <w:t xml:space="preserve"> and </w:t>
      </w:r>
      <w:r>
        <w:t>also analysin</w:t>
      </w:r>
      <w:r>
        <w:t xml:space="preserve">g how these factors </w:t>
      </w:r>
      <w:r>
        <w:t>may influence the</w:t>
      </w:r>
      <w:r>
        <w:t xml:space="preserve"> market entry strategy</w:t>
      </w:r>
      <w:r>
        <w:t xml:space="preserve"> of Primark</w:t>
      </w:r>
      <w:r>
        <w:t>.</w:t>
      </w:r>
    </w:p>
    <w:p w14:paraId="378C0E5A">
      <w:pPr>
        <w:pStyle w:val="style0"/>
        <w:rPr>
          <w:b/>
          <w:bCs/>
        </w:rPr>
      </w:pPr>
      <w:r>
        <w:rPr>
          <w:b/>
          <w:bCs/>
        </w:rPr>
        <w:t>Analysis</w:t>
      </w:r>
    </w:p>
    <w:p w14:paraId="130F6C3D">
      <w:pPr>
        <w:pStyle w:val="style0"/>
        <w:rPr/>
      </w:pPr>
      <w:r>
        <w:t xml:space="preserve">Through the completion of this assessment, my </w:t>
      </w:r>
      <w:r>
        <w:t>knowledge</w:t>
      </w:r>
      <w:r>
        <w:t xml:space="preserve"> of international business strategy enhanced. </w:t>
      </w:r>
      <w:r>
        <w:t>Through</w:t>
      </w:r>
      <w:r>
        <w:t xml:space="preserve"> this module, the lectures emphasised that successful international expansion largely requires balancing global integration with local responsiveness. Furthermore, applying Bartlett and Ghoshal's framework demonstrated that although Primark primarily follows a global strategy, to successfully enter the Indian market, a large scale of local adaptation is required.</w:t>
      </w:r>
    </w:p>
    <w:p w14:paraId="51B815F5">
      <w:pPr>
        <w:pStyle w:val="style0"/>
        <w:rPr/>
      </w:pPr>
      <w:r>
        <w:t xml:space="preserve">Similarly, Dunning's Eclectic Paradigm </w:t>
      </w:r>
      <w:r>
        <w:t>made</w:t>
      </w:r>
      <w:r>
        <w:t xml:space="preserve"> me appreciate that successful foreign direct investment </w:t>
      </w:r>
      <w:r>
        <w:t>relies</w:t>
      </w:r>
      <w:r>
        <w:t xml:space="preserve"> on the interaction between ownership, location and internalisation advantages. Before </w:t>
      </w:r>
      <w:r>
        <w:t>applying thi</w:t>
      </w:r>
      <w:r>
        <w:t xml:space="preserve">s framework, I </w:t>
      </w:r>
      <w:r>
        <w:t xml:space="preserve">mainly </w:t>
      </w:r>
      <w:r>
        <w:t xml:space="preserve">assumed that companies expanded </w:t>
      </w:r>
      <w:r>
        <w:t>due to the</w:t>
      </w:r>
      <w:r>
        <w:t xml:space="preserve"> market size. </w:t>
      </w:r>
      <w:r>
        <w:t>However, t</w:t>
      </w:r>
      <w:r>
        <w:t xml:space="preserve">hrough this assessment, I </w:t>
      </w:r>
      <w:r>
        <w:t>identified</w:t>
      </w:r>
      <w:r>
        <w:t xml:space="preserve"> that </w:t>
      </w:r>
      <w:r>
        <w:t>i</w:t>
      </w:r>
      <w:r>
        <w:t xml:space="preserve">nternal organisational resources and strategic control are </w:t>
      </w:r>
      <w:r>
        <w:t>the key factors</w:t>
      </w:r>
      <w:r>
        <w:t xml:space="preserve"> of successful </w:t>
      </w:r>
      <w:r>
        <w:t xml:space="preserve">international expansion. </w:t>
      </w:r>
      <w:r>
        <w:t>A major benefit</w:t>
      </w:r>
      <w:r>
        <w:t xml:space="preserve"> of evidence-based decision-making is that it leads to appropriate and objective decisions (Magfow Research, 2025). Instead of</w:t>
      </w:r>
      <w:r>
        <w:t xml:space="preserve"> recommending an entry strategy based on personal opinion, I learned to justify recommendations </w:t>
      </w:r>
      <w:r>
        <w:t xml:space="preserve">by using </w:t>
      </w:r>
      <w:r>
        <w:t xml:space="preserve">academic literature with </w:t>
      </w:r>
      <w:r>
        <w:t>proper</w:t>
      </w:r>
      <w:r>
        <w:t xml:space="preserve"> business evidence. </w:t>
      </w:r>
    </w:p>
    <w:p w14:paraId="1E2F41E1">
      <w:pPr>
        <w:pStyle w:val="style0"/>
        <w:rPr>
          <w:b/>
          <w:bCs/>
        </w:rPr>
      </w:pPr>
      <w:r>
        <w:rPr>
          <w:b/>
          <w:bCs/>
        </w:rPr>
        <w:t>Conclusion</w:t>
      </w:r>
    </w:p>
    <w:p w14:paraId="15FF2178">
      <w:pPr>
        <w:pStyle w:val="style0"/>
        <w:rPr/>
      </w:pPr>
      <w:r>
        <w:t xml:space="preserve">Reflecting on this assignment, I </w:t>
      </w:r>
      <w:r>
        <w:t>identified</w:t>
      </w:r>
      <w:r>
        <w:t xml:space="preserve"> that international market entry decisions are </w:t>
      </w:r>
      <w:r>
        <w:t>more</w:t>
      </w:r>
      <w:r>
        <w:t xml:space="preserve"> complex than I originally believed. </w:t>
      </w:r>
      <w:r>
        <w:t>Moreover, t</w:t>
      </w:r>
      <w:r>
        <w:t xml:space="preserve">he assessment </w:t>
      </w:r>
      <w:r>
        <w:t>developed</w:t>
      </w:r>
      <w:r>
        <w:t xml:space="preserve"> my ability to critically analyse business </w:t>
      </w:r>
      <w:r>
        <w:t>issues</w:t>
      </w:r>
      <w:r>
        <w:t xml:space="preserve"> using </w:t>
      </w:r>
      <w:r>
        <w:t>suitable</w:t>
      </w:r>
      <w:r>
        <w:t xml:space="preserve"> theoretical frameworks </w:t>
      </w:r>
      <w:r>
        <w:t>rather than any form of</w:t>
      </w:r>
      <w:r>
        <w:t xml:space="preserve"> descriptive observations. </w:t>
      </w:r>
      <w:r>
        <w:t>The task</w:t>
      </w:r>
      <w:r>
        <w:t xml:space="preserve"> strengthened my academic research skills</w:t>
      </w:r>
      <w:r>
        <w:t xml:space="preserve"> through a</w:t>
      </w:r>
      <w:r>
        <w:t xml:space="preserve"> critical evaluation of evidence and </w:t>
      </w:r>
      <w:r>
        <w:t>application</w:t>
      </w:r>
      <w:r>
        <w:t xml:space="preserve"> of multiple information sources. Although I am satisfied with the quality of my work, I also </w:t>
      </w:r>
      <w:r>
        <w:t>identify areas of improvement</w:t>
      </w:r>
      <w:r>
        <w:t xml:space="preserve">. Future research could </w:t>
      </w:r>
      <w:r>
        <w:t>include</w:t>
      </w:r>
      <w:r>
        <w:t xml:space="preserve"> additional primary research methods, such as interviews with retail managers</w:t>
      </w:r>
      <w:r>
        <w:t xml:space="preserve"> that</w:t>
      </w:r>
      <w:r>
        <w:t xml:space="preserve"> </w:t>
      </w:r>
      <w:r>
        <w:t>can offer</w:t>
      </w:r>
      <w:r>
        <w:t xml:space="preserve"> deeper insights into market attractiveness.</w:t>
      </w:r>
    </w:p>
    <w:p w14:paraId="77B3AC11">
      <w:pPr>
        <w:pStyle w:val="style0"/>
        <w:rPr>
          <w:b/>
          <w:bCs/>
        </w:rPr>
      </w:pPr>
      <w:r>
        <w:rPr>
          <w:b/>
          <w:bCs/>
        </w:rPr>
        <w:t>Action Plan</w:t>
      </w:r>
    </w:p>
    <w:tbl>
      <w:tblPr>
        <w:tblStyle w:val="style154"/>
        <w:tblW w:w="0" w:type="auto"/>
        <w:tblLook w:val="04A0" w:firstRow="1" w:lastRow="0" w:firstColumn="1" w:lastColumn="0" w:noHBand="0" w:noVBand="1"/>
      </w:tblPr>
      <w:tblGrid>
        <w:gridCol w:w="1870"/>
        <w:gridCol w:w="1870"/>
        <w:gridCol w:w="1870"/>
        <w:gridCol w:w="1870"/>
        <w:gridCol w:w="1870"/>
      </w:tblGrid>
      <w:tr w14:paraId="3270E84C">
        <w:trPr/>
        <w:tc>
          <w:tcPr>
            <w:tcW w:w="1870" w:type="dxa"/>
            <w:tcBorders/>
          </w:tcPr>
          <w:p w14:paraId="2AB5BFD3">
            <w:pPr>
              <w:pStyle w:val="style0"/>
              <w:rPr>
                <w:b/>
                <w:bCs/>
              </w:rPr>
            </w:pPr>
            <w:r>
              <w:rPr>
                <w:b/>
                <w:bCs/>
              </w:rPr>
              <w:t xml:space="preserve">Goals </w:t>
            </w:r>
          </w:p>
        </w:tc>
        <w:tc>
          <w:tcPr>
            <w:tcW w:w="1870" w:type="dxa"/>
            <w:tcBorders/>
          </w:tcPr>
          <w:p w14:paraId="198CC5EA">
            <w:pPr>
              <w:pStyle w:val="style0"/>
              <w:rPr>
                <w:b/>
                <w:bCs/>
              </w:rPr>
            </w:pPr>
            <w:r>
              <w:rPr>
                <w:b/>
                <w:bCs/>
              </w:rPr>
              <w:t xml:space="preserve">Actions </w:t>
            </w:r>
          </w:p>
        </w:tc>
        <w:tc>
          <w:tcPr>
            <w:tcW w:w="1870" w:type="dxa"/>
            <w:tcBorders/>
          </w:tcPr>
          <w:p w14:paraId="489167B1">
            <w:pPr>
              <w:pStyle w:val="style0"/>
              <w:rPr>
                <w:b/>
                <w:bCs/>
              </w:rPr>
            </w:pPr>
            <w:r>
              <w:rPr>
                <w:b/>
                <w:bCs/>
              </w:rPr>
              <w:t xml:space="preserve">Resources </w:t>
            </w:r>
          </w:p>
        </w:tc>
        <w:tc>
          <w:tcPr>
            <w:tcW w:w="1870" w:type="dxa"/>
            <w:tcBorders/>
          </w:tcPr>
          <w:p w14:paraId="0D43C84C">
            <w:pPr>
              <w:pStyle w:val="style0"/>
              <w:rPr>
                <w:b/>
                <w:bCs/>
              </w:rPr>
            </w:pPr>
            <w:r>
              <w:rPr>
                <w:b/>
                <w:bCs/>
              </w:rPr>
              <w:t xml:space="preserve">Measurable outcomes </w:t>
            </w:r>
          </w:p>
        </w:tc>
        <w:tc>
          <w:tcPr>
            <w:tcW w:w="1870" w:type="dxa"/>
            <w:tcBorders/>
          </w:tcPr>
          <w:p w14:paraId="7C67BAA9">
            <w:pPr>
              <w:pStyle w:val="style0"/>
              <w:rPr>
                <w:b/>
                <w:bCs/>
              </w:rPr>
            </w:pPr>
            <w:r>
              <w:rPr>
                <w:b/>
                <w:bCs/>
              </w:rPr>
              <w:t xml:space="preserve">Timeline </w:t>
            </w:r>
          </w:p>
        </w:tc>
      </w:tr>
      <w:tr w14:paraId="1F340CA8">
        <w:tblPrEx/>
        <w:trPr/>
        <w:tc>
          <w:tcPr>
            <w:tcW w:w="1870" w:type="dxa"/>
            <w:tcBorders/>
          </w:tcPr>
          <w:p w14:paraId="308C6BAD">
            <w:pPr>
              <w:pStyle w:val="style0"/>
              <w:rPr/>
            </w:pPr>
            <w:r>
              <w:t>Improve critical analysis skills</w:t>
            </w:r>
          </w:p>
        </w:tc>
        <w:tc>
          <w:tcPr>
            <w:tcW w:w="1870" w:type="dxa"/>
            <w:tcBorders/>
          </w:tcPr>
          <w:p w14:paraId="160B8AF1">
            <w:pPr>
              <w:pStyle w:val="style0"/>
              <w:rPr/>
            </w:pPr>
            <w:r>
              <w:t>Go through and analyse peer-reviewed journal articles relevant to business strategy and international business.</w:t>
            </w:r>
          </w:p>
        </w:tc>
        <w:tc>
          <w:tcPr>
            <w:tcW w:w="1870" w:type="dxa"/>
            <w:tcBorders/>
          </w:tcPr>
          <w:p w14:paraId="53DDF0C7">
            <w:pPr>
              <w:pStyle w:val="style0"/>
              <w:rPr/>
            </w:pPr>
            <w:r>
              <w:t>Google Scholar and University library</w:t>
            </w:r>
          </w:p>
        </w:tc>
        <w:tc>
          <w:tcPr>
            <w:tcW w:w="1870" w:type="dxa"/>
            <w:tcBorders/>
          </w:tcPr>
          <w:p w14:paraId="046AE919">
            <w:pPr>
              <w:pStyle w:val="style0"/>
              <w:rPr/>
            </w:pPr>
            <w:r>
              <w:t>Read at least 5 peer-reviewed journal articles with tutor feedback indicating improved critical analysis.</w:t>
            </w:r>
          </w:p>
        </w:tc>
        <w:tc>
          <w:tcPr>
            <w:tcW w:w="1870" w:type="dxa"/>
            <w:tcBorders/>
          </w:tcPr>
          <w:p w14:paraId="147D1FA7">
            <w:pPr>
              <w:pStyle w:val="style0"/>
              <w:rPr/>
            </w:pPr>
            <w:r>
              <w:t>3 months</w:t>
            </w:r>
          </w:p>
        </w:tc>
      </w:tr>
      <w:tr w14:paraId="69DB9AB8">
        <w:tblPrEx/>
        <w:trPr/>
        <w:tc>
          <w:tcPr>
            <w:tcW w:w="1870" w:type="dxa"/>
            <w:tcBorders/>
          </w:tcPr>
          <w:p w14:paraId="2AD64B58">
            <w:pPr>
              <w:pStyle w:val="style0"/>
              <w:rPr/>
            </w:pPr>
            <w:r>
              <w:t xml:space="preserve">Enhance data analysis skills </w:t>
            </w:r>
          </w:p>
        </w:tc>
        <w:tc>
          <w:tcPr>
            <w:tcW w:w="1870" w:type="dxa"/>
            <w:tcBorders/>
          </w:tcPr>
          <w:p w14:paraId="7A153F4A">
            <w:pPr>
              <w:pStyle w:val="style0"/>
              <w:rPr/>
            </w:pPr>
            <w:r>
              <w:t xml:space="preserve">Interpreting industry reports, market statistics and </w:t>
            </w:r>
            <w:r>
              <w:t>international economic indicators.</w:t>
            </w:r>
          </w:p>
        </w:tc>
        <w:tc>
          <w:tcPr>
            <w:tcW w:w="1870" w:type="dxa"/>
            <w:tcBorders/>
          </w:tcPr>
          <w:p w14:paraId="1C29EF4C">
            <w:pPr>
              <w:pStyle w:val="style0"/>
              <w:rPr/>
            </w:pPr>
            <w:r>
              <w:t xml:space="preserve">Statista, OECD and IBIS World </w:t>
            </w:r>
          </w:p>
        </w:tc>
        <w:tc>
          <w:tcPr>
            <w:tcW w:w="1870" w:type="dxa"/>
            <w:tcBorders/>
          </w:tcPr>
          <w:p w14:paraId="0FCE025D">
            <w:pPr>
              <w:pStyle w:val="style0"/>
              <w:rPr/>
            </w:pPr>
            <w:r>
              <w:t xml:space="preserve">Use at least 3 quantitative datasets in assignment </w:t>
            </w:r>
            <w:r>
              <w:t>and achieve an improvement in assignment marks in terms of evidence-based analysis.</w:t>
            </w:r>
          </w:p>
        </w:tc>
        <w:tc>
          <w:tcPr>
            <w:tcW w:w="1870" w:type="dxa"/>
            <w:tcBorders/>
          </w:tcPr>
          <w:p w14:paraId="6D3D75C3">
            <w:pPr>
              <w:pStyle w:val="style0"/>
              <w:rPr/>
            </w:pPr>
            <w:r>
              <w:t>4 months</w:t>
            </w:r>
          </w:p>
        </w:tc>
      </w:tr>
      <w:tr w14:paraId="45B2657B">
        <w:tblPrEx/>
        <w:trPr/>
        <w:tc>
          <w:tcPr>
            <w:tcW w:w="1870" w:type="dxa"/>
            <w:tcBorders/>
          </w:tcPr>
          <w:p w14:paraId="28CB7FCE">
            <w:pPr>
              <w:pStyle w:val="style0"/>
              <w:rPr/>
            </w:pPr>
            <w:r>
              <w:t xml:space="preserve">Enhance academic research and report-writing quality </w:t>
            </w:r>
          </w:p>
        </w:tc>
        <w:tc>
          <w:tcPr>
            <w:tcW w:w="1870" w:type="dxa"/>
            <w:tcBorders/>
          </w:tcPr>
          <w:p w14:paraId="21F2B816">
            <w:pPr>
              <w:pStyle w:val="style0"/>
              <w:rPr/>
            </w:pPr>
            <w:r>
              <w:t>Attend academic skills workshops and seek lecturer feedback</w:t>
            </w:r>
          </w:p>
        </w:tc>
        <w:tc>
          <w:tcPr>
            <w:tcW w:w="1870" w:type="dxa"/>
            <w:tcBorders/>
          </w:tcPr>
          <w:p w14:paraId="778CEAF2">
            <w:pPr>
              <w:pStyle w:val="style0"/>
              <w:rPr/>
            </w:pPr>
            <w:r>
              <w:t xml:space="preserve">Writing guides and lecturer feedback </w:t>
            </w:r>
          </w:p>
        </w:tc>
        <w:tc>
          <w:tcPr>
            <w:tcW w:w="1870" w:type="dxa"/>
            <w:tcBorders/>
          </w:tcPr>
          <w:p w14:paraId="741E46A3">
            <w:pPr>
              <w:pStyle w:val="style0"/>
              <w:rPr/>
            </w:pPr>
            <w:r>
              <w:t xml:space="preserve">Attend at least 2 academic workshops and incorporate feedback in future reports. </w:t>
            </w:r>
          </w:p>
        </w:tc>
        <w:tc>
          <w:tcPr>
            <w:tcW w:w="1870" w:type="dxa"/>
            <w:tcBorders/>
          </w:tcPr>
          <w:p w14:paraId="4888DDD1">
            <w:pPr>
              <w:pStyle w:val="style0"/>
              <w:rPr/>
            </w:pPr>
            <w:r>
              <w:t>3 months</w:t>
            </w:r>
          </w:p>
        </w:tc>
      </w:tr>
    </w:tbl>
    <w:p w14:paraId="69DB3E33">
      <w:pPr>
        <w:pStyle w:val="style0"/>
        <w:jc w:val="center"/>
        <w:rPr>
          <w:b/>
          <w:bCs/>
        </w:rPr>
      </w:pPr>
      <w:r>
        <w:rPr>
          <w:b/>
          <w:bCs/>
        </w:rPr>
        <w:t>Table 1: Action Plan</w:t>
      </w:r>
    </w:p>
    <w:p w14:paraId="7EC56909">
      <w:pPr>
        <w:pStyle w:val="style0"/>
        <w:jc w:val="center"/>
        <w:rPr/>
      </w:pPr>
      <w:r>
        <w:t xml:space="preserve">(Source: Self-developed) </w:t>
      </w:r>
    </w:p>
    <w:p w14:paraId="335DF128">
      <w:pPr>
        <w:pStyle w:val="style0"/>
        <w:rPr/>
      </w:pPr>
      <w:r>
        <w:br w:type="page"/>
      </w:r>
    </w:p>
    <w:bookmarkStart w:id="13" w:name="_Toc237441454"/>
    <w:p w14:paraId="35F967B2">
      <w:pPr>
        <w:pStyle w:val="style1"/>
        <w:rPr/>
      </w:pPr>
      <w:r>
        <w:t>References</w:t>
      </w:r>
      <w:bookmarkEnd w:id="13"/>
    </w:p>
    <w:p w14:paraId="72EA7A9F">
      <w:pPr>
        <w:pStyle w:val="style0"/>
        <w:rPr>
          <w:rFonts w:cs="Arial"/>
        </w:rPr>
      </w:pPr>
      <w:r>
        <w:rPr>
          <w:rFonts w:cs="Arial"/>
        </w:rPr>
        <w:t>Aberu, F. (2023) ‘Governance, Investors Motivations and Foreign Direct Investment Inflow in Selected African Countries: Does John Dunning’s Eclectic Paradigm Matters?’, </w:t>
      </w:r>
      <w:r>
        <w:rPr>
          <w:rFonts w:cs="Arial"/>
          <w:i/>
          <w:iCs/>
        </w:rPr>
        <w:t>Journal of Legal Studies “Vasile Goldiş”</w:t>
      </w:r>
      <w:r>
        <w:rPr>
          <w:rFonts w:cs="Arial"/>
        </w:rPr>
        <w:t xml:space="preserve">, 32(46), pp.55-66. Available at: </w:t>
      </w:r>
      <w:r>
        <w:rPr/>
        <w:fldChar w:fldCharType="begin"/>
      </w:r>
      <w:r>
        <w:instrText xml:space="preserve"> HYPERLINK "https://reference-global.com/download/article/10.2478/jles-2023-0011.pdf" </w:instrText>
      </w:r>
      <w:r>
        <w:rPr/>
        <w:fldChar w:fldCharType="separate"/>
      </w:r>
      <w:r>
        <w:rPr>
          <w:rStyle w:val="style85"/>
          <w:rFonts w:cs="Arial"/>
        </w:rPr>
        <w:t>https://reference-global.com/download/article/10.2478/jles-2023-0011.pdf</w:t>
      </w:r>
      <w:r>
        <w:rPr/>
        <w:fldChar w:fldCharType="end"/>
      </w:r>
      <w:r>
        <w:rPr>
          <w:rFonts w:cs="Arial"/>
        </w:rPr>
        <w:t xml:space="preserve"> (Accessed: 31 July 2026) </w:t>
      </w:r>
    </w:p>
    <w:p w14:paraId="286F272A">
      <w:pPr>
        <w:pStyle w:val="style0"/>
        <w:rPr>
          <w:rFonts w:cs="Arial"/>
        </w:rPr>
      </w:pPr>
      <w:r>
        <w:rPr>
          <w:rFonts w:cs="Arial"/>
        </w:rPr>
        <w:t xml:space="preserve">Ailani, G. (2025) </w:t>
      </w:r>
      <w:r>
        <w:rPr>
          <w:rFonts w:cs="Arial"/>
          <w:i/>
          <w:iCs/>
          <w:lang w:val="en-US"/>
        </w:rPr>
        <w:t xml:space="preserve">Eclectic Paradigm. </w:t>
      </w:r>
      <w:r>
        <w:rPr>
          <w:rFonts w:cs="Arial"/>
          <w:lang w:val="en-US"/>
        </w:rPr>
        <w:t xml:space="preserve">Available at: </w:t>
      </w:r>
      <w:r>
        <w:rPr/>
        <w:fldChar w:fldCharType="begin"/>
      </w:r>
      <w:r>
        <w:instrText xml:space="preserve"> HYPERLINK "https://www.wallstreetmojo.com/eclectic-paradigm/" </w:instrText>
      </w:r>
      <w:r>
        <w:rPr/>
        <w:fldChar w:fldCharType="separate"/>
      </w:r>
      <w:r>
        <w:rPr>
          <w:rStyle w:val="style85"/>
          <w:rFonts w:cs="Arial"/>
          <w:lang w:val="en-US"/>
        </w:rPr>
        <w:t>https://www.wallstreetmojo.com/eclectic-paradigm/</w:t>
      </w:r>
      <w:r>
        <w:rPr/>
        <w:fldChar w:fldCharType="end"/>
      </w:r>
      <w:r>
        <w:rPr>
          <w:rFonts w:cs="Arial"/>
          <w:lang w:val="en-US"/>
        </w:rPr>
        <w:t xml:space="preserve"> </w:t>
      </w:r>
      <w:r>
        <w:rPr>
          <w:rFonts w:cs="Arial"/>
        </w:rPr>
        <w:t xml:space="preserve">(Accessed: 31 July 2026) </w:t>
      </w:r>
    </w:p>
    <w:p w14:paraId="4B3E4468">
      <w:pPr>
        <w:pStyle w:val="style0"/>
        <w:rPr>
          <w:rFonts w:cs="Arial"/>
        </w:rPr>
      </w:pPr>
      <w:r>
        <w:rPr>
          <w:rFonts w:cs="Arial"/>
        </w:rPr>
        <w:t xml:space="preserve">B2B Frameworks (2025) </w:t>
      </w:r>
      <w:r>
        <w:rPr>
          <w:rFonts w:cs="Arial"/>
          <w:i/>
          <w:iCs/>
        </w:rPr>
        <w:t>The Importance of a Strategic Framework for Business Development</w:t>
      </w:r>
      <w:r>
        <w:rPr>
          <w:rFonts w:cs="Arial"/>
        </w:rPr>
        <w:t xml:space="preserve">. Available at: </w:t>
      </w:r>
      <w:r>
        <w:rPr/>
        <w:fldChar w:fldCharType="begin"/>
      </w:r>
      <w:r>
        <w:instrText xml:space="preserve"> HYPERLINK "https://www.b2bframeworks.com/single-post/the-importance-of-a-strategic-framework-for-business-development" </w:instrText>
      </w:r>
      <w:r>
        <w:rPr/>
        <w:fldChar w:fldCharType="separate"/>
      </w:r>
      <w:r>
        <w:rPr>
          <w:rStyle w:val="style85"/>
          <w:rFonts w:cs="Arial"/>
        </w:rPr>
        <w:t>https://www.b2bframeworks.com/single-post/the-importance-of-a-strategic-framework-for-business-development</w:t>
      </w:r>
      <w:r>
        <w:rPr/>
        <w:fldChar w:fldCharType="end"/>
      </w:r>
      <w:r>
        <w:rPr>
          <w:rFonts w:cs="Arial"/>
        </w:rPr>
        <w:t xml:space="preserve"> (Accessed: 31 July 2026) </w:t>
      </w:r>
    </w:p>
    <w:p w14:paraId="2ED334EE">
      <w:pPr>
        <w:pStyle w:val="style0"/>
        <w:rPr>
          <w:rFonts w:cs="Arial"/>
          <w:lang w:val="en-US"/>
        </w:rPr>
      </w:pPr>
      <w:r>
        <w:rPr>
          <w:rFonts w:cs="Arial"/>
        </w:rPr>
        <w:t xml:space="preserve">Button, K. (2025) </w:t>
      </w:r>
      <w:r>
        <w:rPr>
          <w:rFonts w:cs="Arial"/>
          <w:i/>
          <w:iCs/>
        </w:rPr>
        <w:t>Want to Open Your Own Retail Store? Here's Where to Start</w:t>
      </w:r>
      <w:r>
        <w:rPr>
          <w:rFonts w:cs="Arial"/>
        </w:rPr>
        <w:t xml:space="preserve">. Available at: </w:t>
      </w:r>
      <w:r>
        <w:rPr/>
        <w:fldChar w:fldCharType="begin"/>
      </w:r>
      <w:r>
        <w:instrText xml:space="preserve"> HYPERLINK "https://www.uschamber.com/co/start/startup/open-a-retail-store" </w:instrText>
      </w:r>
      <w:r>
        <w:rPr/>
        <w:fldChar w:fldCharType="separate"/>
      </w:r>
      <w:r>
        <w:rPr>
          <w:rStyle w:val="style85"/>
          <w:rFonts w:cs="Arial"/>
        </w:rPr>
        <w:t>https://www.uschamber.com/co/start/startup/open-a-retail-store</w:t>
      </w:r>
      <w:r>
        <w:rPr/>
        <w:fldChar w:fldCharType="end"/>
      </w:r>
      <w:r>
        <w:rPr>
          <w:rFonts w:cs="Arial"/>
        </w:rPr>
        <w:t xml:space="preserve"> (Accessed: 31 July 2026) </w:t>
      </w:r>
    </w:p>
    <w:p w14:paraId="77A25E8E">
      <w:pPr>
        <w:pStyle w:val="style0"/>
        <w:rPr>
          <w:rFonts w:cs="Arial"/>
        </w:rPr>
      </w:pPr>
      <w:r>
        <w:rPr>
          <w:rFonts w:cs="Arial"/>
        </w:rPr>
        <w:t xml:space="preserve">Construction Week Online (2026) </w:t>
      </w:r>
      <w:r>
        <w:rPr>
          <w:rFonts w:cs="Arial"/>
          <w:i/>
          <w:iCs/>
        </w:rPr>
        <w:t>Delhi, Bengaluru, Hyderabad control 71% retail leasing share: Study</w:t>
      </w:r>
      <w:r>
        <w:rPr>
          <w:rFonts w:cs="Arial"/>
        </w:rPr>
        <w:t xml:space="preserve">. Available at: </w:t>
      </w:r>
      <w:r>
        <w:rPr/>
        <w:fldChar w:fldCharType="begin"/>
      </w:r>
      <w:r>
        <w:instrText xml:space="preserve"> HYPERLINK "https://www.constructionweekonline.in/business/delhi-bengaluru-hyderabad-control-71-retail-leasing-share-study" </w:instrText>
      </w:r>
      <w:r>
        <w:rPr/>
        <w:fldChar w:fldCharType="separate"/>
      </w:r>
      <w:r>
        <w:rPr>
          <w:rStyle w:val="style85"/>
          <w:rFonts w:cs="Arial"/>
        </w:rPr>
        <w:t>https://www.constructionweekonline.in/business/delhi-bengaluru-hyderabad-control-71-retail-leasing-share-study</w:t>
      </w:r>
      <w:r>
        <w:rPr/>
        <w:fldChar w:fldCharType="end"/>
      </w:r>
      <w:r>
        <w:rPr>
          <w:rFonts w:cs="Arial"/>
        </w:rPr>
        <w:t xml:space="preserve"> (Accessed: 31 July 2026) </w:t>
      </w:r>
    </w:p>
    <w:p w14:paraId="2B127475">
      <w:pPr>
        <w:pStyle w:val="style0"/>
        <w:rPr>
          <w:rFonts w:cs="Arial"/>
        </w:rPr>
      </w:pPr>
      <w:r>
        <w:rPr>
          <w:rFonts w:cs="Arial"/>
        </w:rPr>
        <w:t xml:space="preserve">Credendo (2025) </w:t>
      </w:r>
      <w:r>
        <w:rPr>
          <w:rFonts w:cs="Arial"/>
          <w:i/>
          <w:iCs/>
        </w:rPr>
        <w:t>India: The rise of a major economic and geopolitical player amid challenging structural risks</w:t>
      </w:r>
      <w:r>
        <w:rPr>
          <w:rFonts w:cs="Arial"/>
        </w:rPr>
        <w:t xml:space="preserve">. Available at: </w:t>
      </w:r>
      <w:r>
        <w:rPr/>
        <w:fldChar w:fldCharType="begin"/>
      </w:r>
      <w:r>
        <w:instrText xml:space="preserve"> HYPERLINK "https://credendo.com/en/knowledge-hub/india-rise-major-economic-and-geopolitical-player-amid-challenging-structural-risks" </w:instrText>
      </w:r>
      <w:r>
        <w:rPr/>
        <w:fldChar w:fldCharType="separate"/>
      </w:r>
      <w:r>
        <w:rPr>
          <w:rStyle w:val="style85"/>
          <w:rFonts w:cs="Arial"/>
        </w:rPr>
        <w:t>https://credendo.com/en/knowledge-hub/india-rise-major-economic-and-geopolitical-player-amid-challenging-structural-risks</w:t>
      </w:r>
      <w:r>
        <w:rPr/>
        <w:fldChar w:fldCharType="end"/>
      </w:r>
      <w:r>
        <w:rPr>
          <w:rFonts w:cs="Arial"/>
        </w:rPr>
        <w:t xml:space="preserve"> (Accessed: 31 July 2026) </w:t>
      </w:r>
    </w:p>
    <w:p w14:paraId="7E0A848B">
      <w:pPr>
        <w:pStyle w:val="style0"/>
        <w:rPr>
          <w:rFonts w:cs="Arial"/>
        </w:rPr>
      </w:pPr>
      <w:r>
        <w:rPr>
          <w:rFonts w:cs="Arial"/>
        </w:rPr>
        <w:t xml:space="preserve">Desai, S. (2026) ‘Nine years of GST: From supply chain efficiency to capital efficiency in FMCG’, </w:t>
      </w:r>
      <w:r>
        <w:rPr>
          <w:rFonts w:cs="Arial"/>
          <w:i/>
          <w:iCs/>
        </w:rPr>
        <w:t xml:space="preserve">Times of India, </w:t>
      </w:r>
      <w:r>
        <w:rPr>
          <w:rFonts w:cs="Arial"/>
        </w:rPr>
        <w:t xml:space="preserve">July 1. Available at: </w:t>
      </w:r>
      <w:r>
        <w:rPr/>
        <w:fldChar w:fldCharType="begin"/>
      </w:r>
      <w:r>
        <w:instrText xml:space="preserve"> HYPERLINK "https://timesofindia.indiatimes.com/business/india-business/nine-years-of-gst-from-supply-chain-efficiency-to-capital-efficiency-in-fmcg/articleshow/132105127.cms" </w:instrText>
      </w:r>
      <w:r>
        <w:rPr/>
        <w:fldChar w:fldCharType="separate"/>
      </w:r>
      <w:r>
        <w:rPr>
          <w:rStyle w:val="style85"/>
          <w:rFonts w:cs="Arial"/>
        </w:rPr>
        <w:t>https://timesofindia.indiatimes.com/business/india-business/nine-years-of-gst-from-supply-chain-efficiency-to-capital-efficiency-in-fmcg/articleshow/132105127.cms</w:t>
      </w:r>
      <w:r>
        <w:rPr/>
        <w:fldChar w:fldCharType="end"/>
      </w:r>
      <w:r>
        <w:rPr>
          <w:rFonts w:cs="Arial"/>
        </w:rPr>
        <w:t xml:space="preserve"> (Accessed: 31 July 2026) </w:t>
      </w:r>
    </w:p>
    <w:p w14:paraId="748BB2BE">
      <w:pPr>
        <w:pStyle w:val="style0"/>
        <w:rPr>
          <w:rFonts w:cs="Arial"/>
        </w:rPr>
      </w:pPr>
      <w:r>
        <w:rPr>
          <w:rFonts w:cs="Arial"/>
        </w:rPr>
        <w:t xml:space="preserve">Douglass, R. (2026) </w:t>
      </w:r>
      <w:r>
        <w:rPr>
          <w:rFonts w:cs="Arial"/>
          <w:i/>
          <w:iCs/>
        </w:rPr>
        <w:t>Primark opens Manhattan store amid broader US growth</w:t>
      </w:r>
      <w:r>
        <w:rPr>
          <w:rFonts w:cs="Arial"/>
        </w:rPr>
        <w:t xml:space="preserve">. Available at: </w:t>
      </w:r>
      <w:r>
        <w:rPr/>
        <w:fldChar w:fldCharType="begin"/>
      </w:r>
      <w:r>
        <w:instrText xml:space="preserve"> HYPERLINK "https://fashionunited.uk/news/retail/primark-opens-manhattan-store-amid-broader-us-growth/2026051287997" </w:instrText>
      </w:r>
      <w:r>
        <w:rPr/>
        <w:fldChar w:fldCharType="separate"/>
      </w:r>
      <w:r>
        <w:rPr>
          <w:rStyle w:val="style85"/>
          <w:rFonts w:cs="Arial"/>
        </w:rPr>
        <w:t>https://fashionunited.uk/news/retail/primark-opens-manhattan-store-amid-broader-us-growth/2026051287997</w:t>
      </w:r>
      <w:r>
        <w:rPr/>
        <w:fldChar w:fldCharType="end"/>
      </w:r>
      <w:r>
        <w:rPr>
          <w:rFonts w:cs="Arial"/>
        </w:rPr>
        <w:t xml:space="preserve"> (Accessed: 31 July 2026) </w:t>
      </w:r>
    </w:p>
    <w:p w14:paraId="2E5512BE">
      <w:pPr>
        <w:pStyle w:val="style0"/>
        <w:rPr>
          <w:rFonts w:cs="Arial"/>
        </w:rPr>
      </w:pPr>
      <w:r>
        <w:rPr>
          <w:rFonts w:cs="Arial"/>
        </w:rPr>
        <w:t xml:space="preserve">DW (2017) </w:t>
      </w:r>
      <w:r>
        <w:rPr>
          <w:rFonts w:cs="Arial"/>
          <w:i/>
          <w:iCs/>
        </w:rPr>
        <w:t>Primark to slowly expand further in Germany</w:t>
      </w:r>
      <w:r>
        <w:rPr>
          <w:rFonts w:cs="Arial"/>
        </w:rPr>
        <w:t xml:space="preserve">. Available at: </w:t>
      </w:r>
      <w:r>
        <w:rPr/>
        <w:fldChar w:fldCharType="begin"/>
      </w:r>
      <w:r>
        <w:instrText xml:space="preserve"> HYPERLINK "https://www.dw.com/en/primark-to-slowly-expand-further-in-germany/a-37706624" </w:instrText>
      </w:r>
      <w:r>
        <w:rPr/>
        <w:fldChar w:fldCharType="separate"/>
      </w:r>
      <w:r>
        <w:rPr>
          <w:rStyle w:val="style85"/>
          <w:rFonts w:cs="Arial"/>
        </w:rPr>
        <w:t>https://www.dw.com/en/primark-to-slowly-expand-further-in-germany/a-37706624</w:t>
      </w:r>
      <w:r>
        <w:rPr/>
        <w:fldChar w:fldCharType="end"/>
      </w:r>
      <w:r>
        <w:rPr>
          <w:rFonts w:cs="Arial"/>
        </w:rPr>
        <w:t xml:space="preserve"> (Accessed: 31 July 2026) </w:t>
      </w:r>
    </w:p>
    <w:p w14:paraId="10BCD646">
      <w:pPr>
        <w:pStyle w:val="style0"/>
        <w:rPr>
          <w:rFonts w:cs="Arial"/>
        </w:rPr>
      </w:pPr>
      <w:r>
        <w:rPr>
          <w:rFonts w:cs="Arial"/>
        </w:rPr>
        <w:t xml:space="preserve">Elle (2026) </w:t>
      </w:r>
      <w:r>
        <w:rPr>
          <w:rFonts w:cs="Arial"/>
          <w:i/>
          <w:iCs/>
        </w:rPr>
        <w:t>Inside Spanish brand Desigual's Big Bet on India and how Myntra is key to the strategy.</w:t>
      </w:r>
      <w:r>
        <w:rPr>
          <w:rFonts w:cs="Arial"/>
        </w:rPr>
        <w:t xml:space="preserve"> Available at: </w:t>
      </w:r>
      <w:r>
        <w:rPr/>
        <w:fldChar w:fldCharType="begin"/>
      </w:r>
      <w:r>
        <w:instrText xml:space="preserve"> HYPERLINK "https://elle.in/trending/desigual-apparel-launch-myntra-india-12208735" </w:instrText>
      </w:r>
      <w:r>
        <w:rPr/>
        <w:fldChar w:fldCharType="separate"/>
      </w:r>
      <w:r>
        <w:rPr>
          <w:rStyle w:val="style85"/>
          <w:rFonts w:cs="Arial"/>
        </w:rPr>
        <w:t>https://elle.in/trending/desigual-apparel-launch-myntra-india-12208735</w:t>
      </w:r>
      <w:r>
        <w:rPr/>
        <w:fldChar w:fldCharType="end"/>
      </w:r>
      <w:r>
        <w:rPr>
          <w:rFonts w:cs="Arial"/>
        </w:rPr>
        <w:t xml:space="preserve"> (Accessed: 31 July 2026) </w:t>
      </w:r>
    </w:p>
    <w:p w14:paraId="3774E757">
      <w:pPr>
        <w:pStyle w:val="style0"/>
        <w:rPr>
          <w:rFonts w:cs="Arial"/>
        </w:rPr>
      </w:pPr>
      <w:r>
        <w:rPr>
          <w:rFonts w:cs="Arial"/>
        </w:rPr>
        <w:t xml:space="preserve">Fashion Network (2026) </w:t>
      </w:r>
      <w:r>
        <w:rPr>
          <w:rFonts w:cs="Arial"/>
          <w:i/>
          <w:iCs/>
        </w:rPr>
        <w:t>Primark's fast fashion crown slips with shoppers lured to Shein.</w:t>
      </w:r>
      <w:r>
        <w:rPr>
          <w:rFonts w:cs="Arial"/>
        </w:rPr>
        <w:t xml:space="preserve"> Available at: </w:t>
      </w:r>
      <w:r>
        <w:rPr/>
        <w:fldChar w:fldCharType="begin"/>
      </w:r>
      <w:r>
        <w:instrText xml:space="preserve"> HYPERLINK "https://uk.fashionnetwork.com/news/Primark-s-fast-fashion-crown-slips-with-shoppers-lured-to-shein,1809263.html" </w:instrText>
      </w:r>
      <w:r>
        <w:rPr/>
        <w:fldChar w:fldCharType="separate"/>
      </w:r>
      <w:r>
        <w:rPr>
          <w:rStyle w:val="style85"/>
          <w:rFonts w:cs="Arial"/>
        </w:rPr>
        <w:t>https://uk.fashionnetwork.com/news/Primark-s-fast-fashion-crown-slips-with-shoppers-lured-to-shein,1809263.html</w:t>
      </w:r>
      <w:r>
        <w:rPr/>
        <w:fldChar w:fldCharType="end"/>
      </w:r>
      <w:r>
        <w:rPr>
          <w:rFonts w:cs="Arial"/>
        </w:rPr>
        <w:t xml:space="preserve"> (Accessed: 31 July 2026) </w:t>
      </w:r>
    </w:p>
    <w:p w14:paraId="1ADBB905">
      <w:pPr>
        <w:pStyle w:val="style0"/>
        <w:rPr>
          <w:rFonts w:cs="Arial"/>
        </w:rPr>
      </w:pPr>
      <w:r>
        <w:rPr>
          <w:rFonts w:cs="Arial"/>
        </w:rPr>
        <w:t xml:space="preserve">Forum of Federations (2026) </w:t>
      </w:r>
      <w:r>
        <w:rPr>
          <w:rFonts w:cs="Arial"/>
          <w:i/>
          <w:iCs/>
        </w:rPr>
        <w:t xml:space="preserve">India- Federal Countries. </w:t>
      </w:r>
      <w:r>
        <w:rPr>
          <w:rFonts w:cs="Arial"/>
        </w:rPr>
        <w:t xml:space="preserve">Available at: </w:t>
      </w:r>
      <w:r>
        <w:rPr/>
        <w:fldChar w:fldCharType="begin"/>
      </w:r>
      <w:r>
        <w:instrText xml:space="preserve"> HYPERLINK "https://www.forumfed.org/countries/india/" </w:instrText>
      </w:r>
      <w:r>
        <w:rPr/>
        <w:fldChar w:fldCharType="separate"/>
      </w:r>
      <w:r>
        <w:rPr>
          <w:rStyle w:val="style85"/>
          <w:rFonts w:cs="Arial"/>
        </w:rPr>
        <w:t>https://www.forumfed.org/countries/india/</w:t>
      </w:r>
      <w:r>
        <w:rPr/>
        <w:fldChar w:fldCharType="end"/>
      </w:r>
      <w:r>
        <w:rPr>
          <w:rFonts w:cs="Arial"/>
        </w:rPr>
        <w:t xml:space="preserve"> (Accessed: 31 July 2026) </w:t>
      </w:r>
    </w:p>
    <w:p w14:paraId="7A55A212">
      <w:pPr>
        <w:pStyle w:val="style0"/>
        <w:rPr>
          <w:rFonts w:cs="Arial"/>
        </w:rPr>
      </w:pPr>
      <w:r>
        <w:rPr>
          <w:rFonts w:cs="Arial"/>
        </w:rPr>
        <w:t>Francis, A. and Sarangi, G.K. (2022) ‘Sustainable consumer behaviour of Indian millennials: Some evidence’, </w:t>
      </w:r>
      <w:r>
        <w:rPr>
          <w:rFonts w:cs="Arial"/>
          <w:i/>
          <w:iCs/>
        </w:rPr>
        <w:t>Current Research in Environmental Sustainability</w:t>
      </w:r>
      <w:r>
        <w:rPr>
          <w:rFonts w:cs="Arial"/>
        </w:rPr>
        <w:t>, </w:t>
      </w:r>
      <w:r>
        <w:rPr>
          <w:rFonts w:cs="Arial"/>
          <w:i/>
          <w:iCs/>
        </w:rPr>
        <w:t>4</w:t>
      </w:r>
      <w:r>
        <w:rPr>
          <w:rFonts w:cs="Arial"/>
        </w:rPr>
        <w:t xml:space="preserve">, p.100109. Available at: </w:t>
      </w:r>
      <w:r>
        <w:rPr/>
        <w:fldChar w:fldCharType="begin"/>
      </w:r>
      <w:r>
        <w:instrText xml:space="preserve"> HYPERLINK "https://doi.org/10.1016/j.crsust.2021.100109" </w:instrText>
      </w:r>
      <w:r>
        <w:rPr/>
        <w:fldChar w:fldCharType="separate"/>
      </w:r>
      <w:r>
        <w:rPr>
          <w:rStyle w:val="style85"/>
          <w:rFonts w:cs="Arial"/>
        </w:rPr>
        <w:t>https://doi.org/10.1016/j.crsust.2021.100109</w:t>
      </w:r>
      <w:r>
        <w:rPr/>
        <w:fldChar w:fldCharType="end"/>
      </w:r>
      <w:r>
        <w:rPr>
          <w:rFonts w:cs="Arial"/>
        </w:rPr>
        <w:t xml:space="preserve"> </w:t>
      </w:r>
    </w:p>
    <w:p w14:paraId="423781A7">
      <w:pPr>
        <w:pStyle w:val="style0"/>
        <w:rPr>
          <w:rFonts w:cs="Arial"/>
        </w:rPr>
      </w:pPr>
      <w:r>
        <w:rPr>
          <w:rFonts w:cs="Arial"/>
        </w:rPr>
        <w:t xml:space="preserve">Halliday, S. (2024) </w:t>
      </w:r>
      <w:r>
        <w:rPr>
          <w:rFonts w:cs="Arial"/>
          <w:i/>
          <w:iCs/>
        </w:rPr>
        <w:t>Primark prospers with growth across UK, Europe and US.</w:t>
      </w:r>
      <w:r>
        <w:rPr>
          <w:rFonts w:cs="Arial"/>
        </w:rPr>
        <w:t xml:space="preserve"> Available at: </w:t>
      </w:r>
      <w:r>
        <w:rPr/>
        <w:fldChar w:fldCharType="begin"/>
      </w:r>
      <w:r>
        <w:instrText xml:space="preserve"> HYPERLINK "https://uk.fashionnetwork.com/news/Primark-prospers-with-growth-across-uk-europe-and-us,1676613.html" </w:instrText>
      </w:r>
      <w:r>
        <w:rPr/>
        <w:fldChar w:fldCharType="separate"/>
      </w:r>
      <w:r>
        <w:rPr>
          <w:rStyle w:val="style85"/>
          <w:rFonts w:cs="Arial"/>
        </w:rPr>
        <w:t>https://uk.fashionnetwork.com/news/Primark-prospers-with-growth-across-uk-europe-and-us,1676613.html</w:t>
      </w:r>
      <w:r>
        <w:rPr/>
        <w:fldChar w:fldCharType="end"/>
      </w:r>
      <w:r>
        <w:rPr>
          <w:rFonts w:cs="Arial"/>
        </w:rPr>
        <w:t xml:space="preserve"> (Accessed: 31 July 2026) </w:t>
      </w:r>
    </w:p>
    <w:p w14:paraId="6675B9E9">
      <w:pPr>
        <w:pStyle w:val="style0"/>
        <w:rPr>
          <w:rFonts w:cs="Arial"/>
        </w:rPr>
      </w:pPr>
      <w:r>
        <w:rPr>
          <w:rFonts w:cs="Arial"/>
        </w:rPr>
        <w:t>Handoyo, S., Suharman, H., Ghani, E.K. and Soedarsono, S. (2023) ‘A business strategy, operational efficiency, ownership structure, and manufacturing performance: The moderating role of market uncertainty and competition intensity and its implication on open innovation’, </w:t>
      </w:r>
      <w:r>
        <w:rPr>
          <w:rFonts w:cs="Arial"/>
          <w:i/>
          <w:iCs/>
        </w:rPr>
        <w:t>Journal of Open Innovation: Technology, Market, and Complexity</w:t>
      </w:r>
      <w:r>
        <w:rPr>
          <w:rFonts w:cs="Arial"/>
        </w:rPr>
        <w:t xml:space="preserve">, 9(2), p.100039. Available at: </w:t>
      </w:r>
      <w:r>
        <w:rPr/>
        <w:fldChar w:fldCharType="begin"/>
      </w:r>
      <w:r>
        <w:instrText xml:space="preserve"> HYPERLINK "https://doi.org/10.1016/j.joitmc.2023.100039" </w:instrText>
      </w:r>
      <w:r>
        <w:rPr/>
        <w:fldChar w:fldCharType="separate"/>
      </w:r>
      <w:r>
        <w:rPr>
          <w:rStyle w:val="style85"/>
          <w:rFonts w:cs="Arial"/>
        </w:rPr>
        <w:t>https://doi.org/10.1016/j.joitmc.2023.100039</w:t>
      </w:r>
      <w:r>
        <w:rPr/>
        <w:fldChar w:fldCharType="end"/>
      </w:r>
      <w:r>
        <w:rPr>
          <w:rFonts w:cs="Arial"/>
        </w:rPr>
        <w:t xml:space="preserve"> </w:t>
      </w:r>
    </w:p>
    <w:p w14:paraId="4D69FC1B">
      <w:pPr>
        <w:pStyle w:val="style0"/>
        <w:rPr>
          <w:rFonts w:cs="Arial"/>
        </w:rPr>
      </w:pPr>
      <w:r>
        <w:rPr>
          <w:rFonts w:cs="Arial"/>
        </w:rPr>
        <w:t xml:space="preserve">Hardcastle, K. (2024) ‘Peak Primark: Global Growth Momentum With Four Stores, Four Countries In 24 Hours’, </w:t>
      </w:r>
      <w:r>
        <w:rPr>
          <w:rFonts w:cs="Arial"/>
          <w:i/>
          <w:iCs/>
        </w:rPr>
        <w:t xml:space="preserve">Forbes, </w:t>
      </w:r>
      <w:r>
        <w:rPr>
          <w:rFonts w:cs="Arial"/>
        </w:rPr>
        <w:t xml:space="preserve">December 6. Available at: </w:t>
      </w:r>
      <w:r>
        <w:rPr/>
        <w:fldChar w:fldCharType="begin"/>
      </w:r>
      <w:r>
        <w:instrText xml:space="preserve"> HYPERLINK "https://www.forbes.com/sites/katehardcastle/2024/12/06/peak-primark-global-growth-momentum-with-four-stores-four-countries-in-24-hours/" </w:instrText>
      </w:r>
      <w:r>
        <w:rPr/>
        <w:fldChar w:fldCharType="separate"/>
      </w:r>
      <w:r>
        <w:rPr>
          <w:rStyle w:val="style85"/>
          <w:rFonts w:cs="Arial"/>
        </w:rPr>
        <w:t>https://www.forbes.com/sites/katehardcastle/2024/12/06/peak-primark-global-growth-momentum-with-four-stores-four-countries-in-24-hours/</w:t>
      </w:r>
      <w:r>
        <w:rPr/>
        <w:fldChar w:fldCharType="end"/>
      </w:r>
      <w:r>
        <w:rPr>
          <w:rFonts w:cs="Arial"/>
        </w:rPr>
        <w:t xml:space="preserve"> (Accessed: 31 July 2026) </w:t>
      </w:r>
    </w:p>
    <w:p w14:paraId="75F97730">
      <w:pPr>
        <w:pStyle w:val="style0"/>
        <w:rPr>
          <w:rFonts w:cs="Arial"/>
        </w:rPr>
      </w:pPr>
      <w:r>
        <w:rPr>
          <w:rFonts w:cs="Arial"/>
        </w:rPr>
        <w:t xml:space="preserve">Hardcastle, K. (2024) ‘Peak Primark: Global Growth Momentum With Four Stores, Four Countries In 24 Hours’, </w:t>
      </w:r>
      <w:r>
        <w:rPr>
          <w:rFonts w:cs="Arial"/>
          <w:i/>
          <w:iCs/>
        </w:rPr>
        <w:t xml:space="preserve">Forbes, </w:t>
      </w:r>
      <w:r>
        <w:rPr>
          <w:rFonts w:cs="Arial"/>
        </w:rPr>
        <w:t xml:space="preserve">6 December. Available at: </w:t>
      </w:r>
      <w:r>
        <w:rPr/>
        <w:fldChar w:fldCharType="begin"/>
      </w:r>
      <w:r>
        <w:instrText xml:space="preserve"> HYPERLINK "https://www.forbes.com/sites/katehardcastle/2024/12/06/peak-primark-global-growth-momentum-with-four-stores-four-countries-in-24-hours/" </w:instrText>
      </w:r>
      <w:r>
        <w:rPr/>
        <w:fldChar w:fldCharType="separate"/>
      </w:r>
      <w:r>
        <w:rPr>
          <w:rStyle w:val="style85"/>
          <w:rFonts w:cs="Arial"/>
        </w:rPr>
        <w:t>https://www.forbes.com/sites/katehardcastle/2024/12/06/peak-primark-global-growth-momentum-with-four-stores-four-countries-in-24-hours/</w:t>
      </w:r>
      <w:r>
        <w:rPr/>
        <w:fldChar w:fldCharType="end"/>
      </w:r>
      <w:r>
        <w:rPr>
          <w:rFonts w:cs="Arial"/>
        </w:rPr>
        <w:t xml:space="preserve"> (Accessed: 31 July 2026) </w:t>
      </w:r>
    </w:p>
    <w:p w14:paraId="7E5E7567">
      <w:pPr>
        <w:pStyle w:val="style0"/>
        <w:rPr>
          <w:rFonts w:cs="Arial"/>
        </w:rPr>
      </w:pPr>
      <w:r>
        <w:rPr>
          <w:rFonts w:cs="Arial"/>
        </w:rPr>
        <w:t>Harithuddin, A.S.M. (2021) ‘A first experience of using failure report as a reflective tool in engineering education’, </w:t>
      </w:r>
      <w:r>
        <w:rPr>
          <w:rFonts w:cs="Arial"/>
          <w:i/>
          <w:iCs/>
        </w:rPr>
        <w:t>International Journal of Emerging Technologies in Learning</w:t>
      </w:r>
      <w:r>
        <w:rPr>
          <w:rFonts w:cs="Arial"/>
        </w:rPr>
        <w:t xml:space="preserve">, 16(18), pp.23-37. Available at: </w:t>
      </w:r>
      <w:r>
        <w:rPr/>
        <w:fldChar w:fldCharType="begin"/>
      </w:r>
      <w:r>
        <w:instrText xml:space="preserve"> HYPERLINK "https://www.researchgate.net/profile/Viorelia-Lungu/publication/356843846_Artic_Scopus_iJET_vol16_no18_2021_J_p69-84/links/61b05f3b68b5ed4ef5f08872/Artic-Scopus-iJET-vol16-no18-2021-J-p69-84.pdf" \l "page=23" </w:instrText>
      </w:r>
      <w:r>
        <w:rPr/>
        <w:fldChar w:fldCharType="separate"/>
      </w:r>
      <w:r>
        <w:rPr>
          <w:rStyle w:val="style85"/>
          <w:rFonts w:cs="Arial"/>
        </w:rPr>
        <w:t>https://www.researchgate.net/profile/Viorelia-Lungu/publication/356843846_Artic_Scopus_iJET_vol16_no18_2021_J_p69-84/links/61b05f3b68b5ed4ef5f08872/Artic-Scopus-iJET-vol16-no18-2021-J-p69-84.pdf#page=23</w:t>
      </w:r>
      <w:r>
        <w:rPr/>
        <w:fldChar w:fldCharType="end"/>
      </w:r>
      <w:r>
        <w:rPr>
          <w:rFonts w:cs="Arial"/>
        </w:rPr>
        <w:t xml:space="preserve"> (Accessed: 31 July 2026) </w:t>
      </w:r>
    </w:p>
    <w:p w14:paraId="08CAF21F">
      <w:pPr>
        <w:pStyle w:val="style0"/>
        <w:rPr>
          <w:rFonts w:cs="Arial"/>
        </w:rPr>
      </w:pPr>
      <w:r>
        <w:rPr>
          <w:rFonts w:cs="Arial"/>
        </w:rPr>
        <w:t xml:space="preserve">Hello (2026) </w:t>
      </w:r>
      <w:r>
        <w:rPr>
          <w:rFonts w:cs="Arial"/>
          <w:i/>
          <w:iCs/>
          <w:lang w:val="en-US"/>
        </w:rPr>
        <w:t>India's most fashionable cities revealed: Mumbai leads, Chandigarh outranks Chennai.</w:t>
      </w:r>
      <w:r>
        <w:rPr>
          <w:rFonts w:cs="Arial"/>
          <w:lang w:val="en-US"/>
        </w:rPr>
        <w:t xml:space="preserve"> Available at: </w:t>
      </w:r>
      <w:r>
        <w:rPr/>
        <w:fldChar w:fldCharType="begin"/>
      </w:r>
      <w:r>
        <w:instrText xml:space="preserve"> HYPERLINK "https://www.hellomagazine.in/fashion/story/indias-most-fashionable-cities-revealed-mumbai-leads-chandigarh-outranks-chennai-1414520-2026-06-26" </w:instrText>
      </w:r>
      <w:r>
        <w:rPr/>
        <w:fldChar w:fldCharType="separate"/>
      </w:r>
      <w:r>
        <w:rPr>
          <w:rStyle w:val="style85"/>
          <w:rFonts w:cs="Arial"/>
          <w:lang w:val="en-US"/>
        </w:rPr>
        <w:t>https://www.hellomagazine.in/fashion/story/indias-most-fashionable-cities-revealed-mumbai-leads-chandigarh-outranks-chennai-1414520-2026-06-26</w:t>
      </w:r>
      <w:r>
        <w:rPr/>
        <w:fldChar w:fldCharType="end"/>
      </w:r>
      <w:r>
        <w:rPr>
          <w:rFonts w:cs="Arial"/>
          <w:lang w:val="en-US"/>
        </w:rPr>
        <w:t xml:space="preserve"> </w:t>
      </w:r>
      <w:r>
        <w:rPr>
          <w:rFonts w:cs="Arial"/>
        </w:rPr>
        <w:t xml:space="preserve">(Accessed: 31 July 2026) </w:t>
      </w:r>
    </w:p>
    <w:p w14:paraId="6CB752EB">
      <w:pPr>
        <w:pStyle w:val="style0"/>
        <w:rPr>
          <w:rFonts w:cs="Arial"/>
        </w:rPr>
      </w:pPr>
      <w:r>
        <w:rPr>
          <w:rFonts w:cs="Arial"/>
        </w:rPr>
        <w:t xml:space="preserve">IBEF (2026a) </w:t>
      </w:r>
      <w:r>
        <w:rPr>
          <w:rFonts w:cs="Arial"/>
          <w:i/>
          <w:iCs/>
        </w:rPr>
        <w:t>Textile Industry &amp; Market Growth in India.</w:t>
      </w:r>
      <w:r>
        <w:rPr>
          <w:rFonts w:cs="Arial"/>
        </w:rPr>
        <w:t xml:space="preserve"> Available at: </w:t>
      </w:r>
      <w:r>
        <w:rPr/>
        <w:fldChar w:fldCharType="begin"/>
      </w:r>
      <w:r>
        <w:instrText xml:space="preserve"> HYPERLINK "https://www.ibef.org/industry/textiles" </w:instrText>
      </w:r>
      <w:r>
        <w:rPr/>
        <w:fldChar w:fldCharType="separate"/>
      </w:r>
      <w:r>
        <w:rPr>
          <w:rStyle w:val="style85"/>
          <w:rFonts w:cs="Arial"/>
        </w:rPr>
        <w:t>https://www.ibef.org/industry/textiles</w:t>
      </w:r>
      <w:r>
        <w:rPr/>
        <w:fldChar w:fldCharType="end"/>
      </w:r>
      <w:r>
        <w:rPr>
          <w:rFonts w:cs="Arial"/>
        </w:rPr>
        <w:t xml:space="preserve"> (Accessed: 31 July 2026) </w:t>
      </w:r>
    </w:p>
    <w:p w14:paraId="4FF50266">
      <w:pPr>
        <w:pStyle w:val="style0"/>
        <w:rPr>
          <w:rFonts w:cs="Arial"/>
          <w:lang w:val="en-US"/>
        </w:rPr>
      </w:pPr>
      <w:r>
        <w:rPr>
          <w:rFonts w:cs="Arial"/>
        </w:rPr>
        <w:t xml:space="preserve">IBEF (2026b) </w:t>
      </w:r>
      <w:r>
        <w:rPr>
          <w:rFonts w:cs="Arial"/>
          <w:i/>
          <w:iCs/>
          <w:lang w:val="en-US"/>
        </w:rPr>
        <w:t>Retail Industry in India</w:t>
      </w:r>
      <w:r>
        <w:rPr>
          <w:rFonts w:cs="Arial"/>
          <w:lang w:val="en-US"/>
        </w:rPr>
        <w:t xml:space="preserve">. </w:t>
      </w:r>
      <w:r>
        <w:rPr>
          <w:rFonts w:cs="Arial"/>
        </w:rPr>
        <w:t xml:space="preserve">Available at: </w:t>
      </w:r>
      <w:r>
        <w:rPr/>
        <w:fldChar w:fldCharType="begin"/>
      </w:r>
      <w:r>
        <w:instrText xml:space="preserve"> HYPERLINK "https://www.ibef.org/industry/retail-india" </w:instrText>
      </w:r>
      <w:r>
        <w:rPr/>
        <w:fldChar w:fldCharType="separate"/>
      </w:r>
      <w:r>
        <w:rPr>
          <w:rStyle w:val="style85"/>
          <w:rFonts w:cs="Arial"/>
        </w:rPr>
        <w:t>https://www.ibef.org/industry/retail-india</w:t>
      </w:r>
      <w:r>
        <w:rPr/>
        <w:fldChar w:fldCharType="end"/>
      </w:r>
      <w:r>
        <w:rPr>
          <w:rFonts w:cs="Arial"/>
        </w:rPr>
        <w:t xml:space="preserve"> (Accessed: 31 July 2026) </w:t>
      </w:r>
    </w:p>
    <w:p w14:paraId="0569D4CE">
      <w:pPr>
        <w:pStyle w:val="style0"/>
        <w:rPr>
          <w:rFonts w:cs="Arial"/>
        </w:rPr>
      </w:pPr>
      <w:r>
        <w:rPr>
          <w:rFonts w:cs="Arial"/>
        </w:rPr>
        <w:t xml:space="preserve">IEEFA (2026) </w:t>
      </w:r>
      <w:r>
        <w:rPr>
          <w:rFonts w:cs="Arial"/>
          <w:i/>
          <w:iCs/>
          <w:lang w:val="en-US"/>
        </w:rPr>
        <w:t>Shifting trade relations: India-US trade ties are more strategically balanced.</w:t>
      </w:r>
      <w:r>
        <w:rPr>
          <w:rFonts w:cs="Arial"/>
          <w:lang w:val="en-US"/>
        </w:rPr>
        <w:t xml:space="preserve"> </w:t>
      </w:r>
      <w:r>
        <w:rPr>
          <w:rFonts w:cs="Arial"/>
        </w:rPr>
        <w:t xml:space="preserve">Available at: </w:t>
      </w:r>
      <w:r>
        <w:rPr/>
        <w:fldChar w:fldCharType="begin"/>
      </w:r>
      <w:r>
        <w:instrText xml:space="preserve"> HYPERLINK "https://ieefa.org/resources/shifting-trade-relations-india-us-trade-ties-are-more-strategically-balanced" </w:instrText>
      </w:r>
      <w:r>
        <w:rPr/>
        <w:fldChar w:fldCharType="separate"/>
      </w:r>
      <w:r>
        <w:rPr>
          <w:rStyle w:val="style85"/>
          <w:rFonts w:cs="Arial"/>
        </w:rPr>
        <w:t>https://ieefa.org/resources/shifting-trade-relations-india-us-trade-ties-are-more-strategically-balanced</w:t>
      </w:r>
      <w:r>
        <w:rPr/>
        <w:fldChar w:fldCharType="end"/>
      </w:r>
      <w:r>
        <w:rPr>
          <w:rFonts w:cs="Arial"/>
        </w:rPr>
        <w:t xml:space="preserve"> (Accessed: 31 July 2026) </w:t>
      </w:r>
    </w:p>
    <w:p w14:paraId="48159CD5">
      <w:pPr>
        <w:pStyle w:val="style0"/>
        <w:rPr>
          <w:rFonts w:cs="Arial"/>
        </w:rPr>
      </w:pPr>
      <w:r>
        <w:rPr>
          <w:rFonts w:cs="Arial"/>
        </w:rPr>
        <w:t xml:space="preserve">JPP Law (2025) </w:t>
      </w:r>
      <w:r>
        <w:rPr>
          <w:rFonts w:cs="Arial"/>
          <w:i/>
          <w:iCs/>
          <w:lang w:val="en-US"/>
        </w:rPr>
        <w:t>Joint Ventures: Risks and Mitigation Strategies</w:t>
      </w:r>
      <w:r>
        <w:rPr>
          <w:rFonts w:cs="Arial"/>
          <w:lang w:val="en-US"/>
        </w:rPr>
        <w:t xml:space="preserve">. Available at: </w:t>
      </w:r>
      <w:r>
        <w:rPr/>
        <w:fldChar w:fldCharType="begin"/>
      </w:r>
      <w:r>
        <w:instrText xml:space="preserve"> HYPERLINK "https://www.jpplaw.co.uk/news/joint-ventures-risks-and-mitigation-strategies/" </w:instrText>
      </w:r>
      <w:r>
        <w:rPr/>
        <w:fldChar w:fldCharType="separate"/>
      </w:r>
      <w:r>
        <w:rPr>
          <w:rStyle w:val="style85"/>
          <w:rFonts w:cs="Arial"/>
          <w:lang w:val="en-US"/>
        </w:rPr>
        <w:t>https://www.jpplaw.co.uk/news/joint-ventures-risks-and-mitigation-strategies/</w:t>
      </w:r>
      <w:r>
        <w:rPr/>
        <w:fldChar w:fldCharType="end"/>
      </w:r>
      <w:r>
        <w:rPr>
          <w:rFonts w:cs="Arial"/>
          <w:lang w:val="en-US"/>
        </w:rPr>
        <w:t xml:space="preserve"> </w:t>
      </w:r>
      <w:r>
        <w:rPr>
          <w:rFonts w:cs="Arial"/>
        </w:rPr>
        <w:t xml:space="preserve">(Accessed: 31 July 2026) </w:t>
      </w:r>
    </w:p>
    <w:p w14:paraId="002E617D">
      <w:pPr>
        <w:pStyle w:val="style0"/>
        <w:rPr>
          <w:rFonts w:cs="Arial"/>
        </w:rPr>
      </w:pPr>
      <w:r>
        <w:rPr>
          <w:rFonts w:cs="Arial"/>
        </w:rPr>
        <w:t xml:space="preserve">Kalyanaraman, S. (2026) ‘India's GDP Grew 7.8%. But The Numbers Mean Nothing’, </w:t>
      </w:r>
      <w:r>
        <w:rPr>
          <w:rFonts w:cs="Arial"/>
          <w:i/>
          <w:iCs/>
        </w:rPr>
        <w:t xml:space="preserve">Yahoo Finance, </w:t>
      </w:r>
      <w:r>
        <w:rPr>
          <w:rFonts w:cs="Arial"/>
        </w:rPr>
        <w:t xml:space="preserve">June 5. Available at: </w:t>
      </w:r>
      <w:r>
        <w:rPr/>
        <w:fldChar w:fldCharType="begin"/>
      </w:r>
      <w:r>
        <w:instrText xml:space="preserve"> HYPERLINK "https://finance.yahoo.com/economy/articles/indias-gdp-grew-7-8-175002599.html" </w:instrText>
      </w:r>
      <w:r>
        <w:rPr/>
        <w:fldChar w:fldCharType="separate"/>
      </w:r>
      <w:r>
        <w:rPr>
          <w:rStyle w:val="style85"/>
          <w:rFonts w:cs="Arial"/>
        </w:rPr>
        <w:t>https://finance.yahoo.com/economy/articles/indias-gdp-grew-7-8-175002599.html</w:t>
      </w:r>
      <w:r>
        <w:rPr/>
        <w:fldChar w:fldCharType="end"/>
      </w:r>
      <w:r>
        <w:rPr>
          <w:rFonts w:cs="Arial"/>
        </w:rPr>
        <w:t xml:space="preserve"> (Accessed: 31 July 2026) </w:t>
      </w:r>
    </w:p>
    <w:p w14:paraId="0E5E9E2D">
      <w:pPr>
        <w:pStyle w:val="style0"/>
        <w:rPr>
          <w:rFonts w:cs="Arial"/>
        </w:rPr>
      </w:pPr>
      <w:r>
        <w:rPr>
          <w:rFonts w:cs="Arial"/>
        </w:rPr>
        <w:t>Khan, O., Varaksina, N. and Hinterhuber, A. (2024) ‘The influence of cultural differences on consumers’ willingness to pay more for sustainable fashion’, </w:t>
      </w:r>
      <w:r>
        <w:rPr>
          <w:rFonts w:cs="Arial"/>
          <w:i/>
          <w:iCs/>
        </w:rPr>
        <w:t>Journal of Cleaner Production</w:t>
      </w:r>
      <w:r>
        <w:rPr>
          <w:rFonts w:cs="Arial"/>
        </w:rPr>
        <w:t xml:space="preserve">, 442, p.141024. Available at: </w:t>
      </w:r>
      <w:r>
        <w:rPr/>
        <w:fldChar w:fldCharType="begin"/>
      </w:r>
      <w:r>
        <w:instrText xml:space="preserve"> HYPERLINK "https://doi.org/10.1016/j.jclepro.2024.141024" </w:instrText>
      </w:r>
      <w:r>
        <w:rPr/>
        <w:fldChar w:fldCharType="separate"/>
      </w:r>
      <w:r>
        <w:rPr>
          <w:rStyle w:val="style85"/>
          <w:rFonts w:cs="Arial"/>
        </w:rPr>
        <w:t>https://doi.org/10.1016/j.jclepro.2024.141024</w:t>
      </w:r>
      <w:r>
        <w:rPr/>
        <w:fldChar w:fldCharType="end"/>
      </w:r>
      <w:r>
        <w:rPr>
          <w:rFonts w:cs="Arial"/>
        </w:rPr>
        <w:t xml:space="preserve"> </w:t>
      </w:r>
    </w:p>
    <w:p w14:paraId="5EE6ECCE">
      <w:pPr>
        <w:pStyle w:val="style0"/>
        <w:rPr>
          <w:rFonts w:cs="Arial"/>
        </w:rPr>
      </w:pPr>
      <w:r>
        <w:rPr>
          <w:rFonts w:cs="Arial"/>
        </w:rPr>
        <w:t>Kim, H., Park, B.I., Al-Tabbaa, O. and Khan, Z. (2024) ‘Knowledge transfer and protection in international joint ventures: An integrative review’, </w:t>
      </w:r>
      <w:r>
        <w:rPr>
          <w:rFonts w:cs="Arial"/>
          <w:i/>
          <w:iCs/>
        </w:rPr>
        <w:t>International Business Review</w:t>
      </w:r>
      <w:r>
        <w:rPr>
          <w:rFonts w:cs="Arial"/>
        </w:rPr>
        <w:t xml:space="preserve">, 33(5), p.102300. Available at: </w:t>
      </w:r>
      <w:r>
        <w:rPr/>
        <w:fldChar w:fldCharType="begin"/>
      </w:r>
      <w:r>
        <w:instrText xml:space="preserve"> HYPERLINK "https://doi.org/10.1016/j.ibusrev.2024.102300" </w:instrText>
      </w:r>
      <w:r>
        <w:rPr/>
        <w:fldChar w:fldCharType="separate"/>
      </w:r>
      <w:r>
        <w:rPr>
          <w:rStyle w:val="style85"/>
          <w:rFonts w:cs="Arial"/>
        </w:rPr>
        <w:t>https://doi.org/10.1016/j.ibusrev.2024.102300</w:t>
      </w:r>
      <w:r>
        <w:rPr/>
        <w:fldChar w:fldCharType="end"/>
      </w:r>
      <w:r>
        <w:rPr>
          <w:rFonts w:cs="Arial"/>
        </w:rPr>
        <w:t xml:space="preserve"> </w:t>
      </w:r>
    </w:p>
    <w:p w14:paraId="5C17757B">
      <w:pPr>
        <w:pStyle w:val="style0"/>
        <w:rPr>
          <w:rFonts w:cs="Arial"/>
        </w:rPr>
      </w:pPr>
      <w:r>
        <w:rPr>
          <w:rFonts w:cs="Arial"/>
        </w:rPr>
        <w:t xml:space="preserve">Labour.Gov (2026) </w:t>
      </w:r>
      <w:r>
        <w:rPr>
          <w:rFonts w:cs="Arial"/>
          <w:i/>
          <w:iCs/>
        </w:rPr>
        <w:t>Compliance Handbook for Employers Under the Four Labour Codes (Central Government Sphere).</w:t>
      </w:r>
      <w:r>
        <w:rPr>
          <w:rFonts w:cs="Arial"/>
        </w:rPr>
        <w:t xml:space="preserve"> Available at: </w:t>
      </w:r>
      <w:r>
        <w:rPr/>
        <w:fldChar w:fldCharType="begin"/>
      </w:r>
      <w:r>
        <w:instrText xml:space="preserve"> HYPERLINK "https://www.labour.gov.in/static/uploads/2026/02/83978455025732b99b0165def80ab171.pdf" </w:instrText>
      </w:r>
      <w:r>
        <w:rPr/>
        <w:fldChar w:fldCharType="separate"/>
      </w:r>
      <w:r>
        <w:rPr>
          <w:rStyle w:val="style85"/>
          <w:rFonts w:cs="Arial"/>
        </w:rPr>
        <w:t>https://www.labour.gov.in/static/uploads/2026/02/83978455025732b99b0165def80ab171.pdf</w:t>
      </w:r>
      <w:r>
        <w:rPr/>
        <w:fldChar w:fldCharType="end"/>
      </w:r>
      <w:r>
        <w:rPr>
          <w:rFonts w:cs="Arial"/>
        </w:rPr>
        <w:t xml:space="preserve"> (Accessed: 31 July 2026) </w:t>
      </w:r>
    </w:p>
    <w:p w14:paraId="0B02C927">
      <w:pPr>
        <w:pStyle w:val="style0"/>
        <w:rPr>
          <w:rFonts w:cs="Arial"/>
        </w:rPr>
      </w:pPr>
      <w:r>
        <w:rPr>
          <w:rFonts w:cs="Arial"/>
        </w:rPr>
        <w:t xml:space="preserve">Macro, S. and Ott, U.F. (2024) 'The evolution of the ability to effectively innovate in a transnational organisation–A configurational analysis', </w:t>
      </w:r>
      <w:r>
        <w:rPr>
          <w:rFonts w:cs="Arial"/>
          <w:i/>
          <w:iCs/>
        </w:rPr>
        <w:t>Journal of International Management</w:t>
      </w:r>
      <w:r>
        <w:rPr>
          <w:rFonts w:cs="Arial"/>
        </w:rPr>
        <w:t>, </w:t>
      </w:r>
      <w:r>
        <w:rPr>
          <w:rFonts w:cs="Arial"/>
          <w:i/>
          <w:iCs/>
        </w:rPr>
        <w:t>30</w:t>
      </w:r>
      <w:r>
        <w:rPr>
          <w:rFonts w:cs="Arial"/>
        </w:rPr>
        <w:t xml:space="preserve">(6), pp.1-24. Available at: </w:t>
      </w:r>
      <w:r>
        <w:rPr/>
        <w:fldChar w:fldCharType="begin"/>
      </w:r>
      <w:r>
        <w:instrText xml:space="preserve"> HYPERLINK "https://doi.org/10.1016/j.intman.2024.101200" </w:instrText>
      </w:r>
      <w:r>
        <w:rPr/>
        <w:fldChar w:fldCharType="separate"/>
      </w:r>
      <w:r>
        <w:rPr>
          <w:rStyle w:val="style85"/>
          <w:rFonts w:cs="Arial"/>
        </w:rPr>
        <w:t>https://doi.org/10.1016/j.intman.2024.101200</w:t>
      </w:r>
      <w:r>
        <w:rPr/>
        <w:fldChar w:fldCharType="end"/>
      </w:r>
    </w:p>
    <w:p w14:paraId="04EB8C01">
      <w:pPr>
        <w:pStyle w:val="style0"/>
        <w:rPr>
          <w:rFonts w:cs="Arial"/>
        </w:rPr>
      </w:pPr>
      <w:r>
        <w:rPr>
          <w:rFonts w:cs="Arial"/>
        </w:rPr>
        <w:t>Manchala, L.R., Sahu, S. and Alam, M.A. (2025) ‘Integrated transport policy in India–an elusive goal’, </w:t>
      </w:r>
      <w:r>
        <w:rPr>
          <w:rFonts w:cs="Arial"/>
          <w:i/>
          <w:iCs/>
        </w:rPr>
        <w:t>Asian Transport Studies</w:t>
      </w:r>
      <w:r>
        <w:rPr>
          <w:rFonts w:cs="Arial"/>
        </w:rPr>
        <w:t xml:space="preserve">, 11, pp.1-11. Available at: </w:t>
      </w:r>
      <w:r>
        <w:rPr/>
        <w:fldChar w:fldCharType="begin"/>
      </w:r>
      <w:r>
        <w:instrText xml:space="preserve"> HYPERLINK "https://doi.org/10.1016/j.eastsj.2025.100172" </w:instrText>
      </w:r>
      <w:r>
        <w:rPr/>
        <w:fldChar w:fldCharType="separate"/>
      </w:r>
      <w:r>
        <w:rPr>
          <w:rStyle w:val="style85"/>
          <w:rFonts w:cs="Arial"/>
        </w:rPr>
        <w:t>https://doi.org/10.1016/j.eastsj.2025.100172</w:t>
      </w:r>
      <w:r>
        <w:rPr/>
        <w:fldChar w:fldCharType="end"/>
      </w:r>
    </w:p>
    <w:p w14:paraId="5B66A3A1">
      <w:pPr>
        <w:pStyle w:val="style0"/>
        <w:rPr>
          <w:rFonts w:cs="Arial"/>
        </w:rPr>
      </w:pPr>
      <w:r>
        <w:rPr>
          <w:rFonts w:cs="Arial"/>
        </w:rPr>
        <w:t xml:space="preserve">Mangave, D. (2025) ‘Income Inequality in India: Causes, Consequences, and Lessons from Developed Economies’, pp.1-19. Available at: </w:t>
      </w:r>
      <w:r>
        <w:rPr/>
        <w:fldChar w:fldCharType="begin"/>
      </w:r>
      <w:r>
        <w:instrText xml:space="preserve"> HYPERLINK "https://mpra.ub.uni-muenchen.de/126773/1/MPRA_paper_126773.pdf" </w:instrText>
      </w:r>
      <w:r>
        <w:rPr/>
        <w:fldChar w:fldCharType="separate"/>
      </w:r>
      <w:r>
        <w:rPr>
          <w:rStyle w:val="style85"/>
          <w:rFonts w:cs="Arial"/>
        </w:rPr>
        <w:t>https://mpra.ub.uni-muenchen.de/126773/1/MPRA_paper_126773.pdf</w:t>
      </w:r>
      <w:r>
        <w:rPr/>
        <w:fldChar w:fldCharType="end"/>
      </w:r>
      <w:r>
        <w:rPr>
          <w:rFonts w:cs="Arial"/>
        </w:rPr>
        <w:t xml:space="preserve"> (Accessed: 31 July 2026) </w:t>
      </w:r>
    </w:p>
    <w:p w14:paraId="0BA04A35">
      <w:pPr>
        <w:pStyle w:val="style0"/>
        <w:rPr>
          <w:rFonts w:cs="Arial"/>
        </w:rPr>
      </w:pPr>
      <w:r>
        <w:rPr>
          <w:rFonts w:cs="Arial"/>
        </w:rPr>
        <w:t xml:space="preserve">McGuire, L. (2026) ‘MAKING THEIR MARK: Primark makes huge change to hundreds of products from today in boost for customers’, </w:t>
      </w:r>
      <w:r>
        <w:rPr>
          <w:rFonts w:cs="Arial"/>
          <w:i/>
          <w:iCs/>
        </w:rPr>
        <w:t xml:space="preserve">The Sun, </w:t>
      </w:r>
      <w:r>
        <w:rPr>
          <w:rFonts w:cs="Arial"/>
        </w:rPr>
        <w:t xml:space="preserve">20 July. Available at: </w:t>
      </w:r>
      <w:r>
        <w:rPr/>
        <w:fldChar w:fldCharType="begin"/>
      </w:r>
      <w:r>
        <w:instrText xml:space="preserve"> HYPERLINK "https://www.thesun.co.uk/money/39812399/primark-product-change-boosts-customers/" </w:instrText>
      </w:r>
      <w:r>
        <w:rPr/>
        <w:fldChar w:fldCharType="separate"/>
      </w:r>
      <w:r>
        <w:rPr>
          <w:rStyle w:val="style85"/>
          <w:rFonts w:cs="Arial"/>
        </w:rPr>
        <w:t>https://www.thesun.co.uk/money/39812399/primark-product-change-boosts-customers/</w:t>
      </w:r>
      <w:r>
        <w:rPr/>
        <w:fldChar w:fldCharType="end"/>
      </w:r>
      <w:r>
        <w:rPr>
          <w:rFonts w:cs="Arial"/>
        </w:rPr>
        <w:t xml:space="preserve"> (Accessed: 31 July 2026) </w:t>
      </w:r>
    </w:p>
    <w:p w14:paraId="1F4B8A41">
      <w:pPr>
        <w:pStyle w:val="style0"/>
        <w:rPr>
          <w:rFonts w:cs="Arial"/>
        </w:rPr>
      </w:pPr>
      <w:r>
        <w:rPr>
          <w:rFonts w:cs="Arial"/>
        </w:rPr>
        <w:t xml:space="preserve">Medium (2024) </w:t>
      </w:r>
      <w:r>
        <w:rPr>
          <w:rFonts w:cs="Arial"/>
          <w:i/>
          <w:iCs/>
        </w:rPr>
        <w:t>What types of clothing are worn during different festivals in India?</w:t>
      </w:r>
      <w:r>
        <w:rPr>
          <w:rFonts w:cs="Arial"/>
        </w:rPr>
        <w:t xml:space="preserve"> Available at: </w:t>
      </w:r>
      <w:r>
        <w:rPr/>
        <w:fldChar w:fldCharType="begin"/>
      </w:r>
      <w:r>
        <w:instrText xml:space="preserve"> HYPERLINK "https://medium.com/@simranbloger/what-types-of-clothing-are-worn-during-different-festivals-in-india-c2ff8559fd8c" </w:instrText>
      </w:r>
      <w:r>
        <w:rPr/>
        <w:fldChar w:fldCharType="separate"/>
      </w:r>
      <w:r>
        <w:rPr>
          <w:rStyle w:val="style85"/>
          <w:rFonts w:cs="Arial"/>
        </w:rPr>
        <w:t>https://medium.com/@simranbloger/what-types-of-clothing-are-worn-during-different-festivals-in-india-c2ff8559fd8c</w:t>
      </w:r>
      <w:r>
        <w:rPr/>
        <w:fldChar w:fldCharType="end"/>
      </w:r>
      <w:r>
        <w:rPr>
          <w:rFonts w:cs="Arial"/>
        </w:rPr>
        <w:t xml:space="preserve"> (Accessed: 31 July 2026) </w:t>
      </w:r>
    </w:p>
    <w:p w14:paraId="30039F87">
      <w:pPr>
        <w:pStyle w:val="style0"/>
        <w:rPr>
          <w:rFonts w:cs="Arial"/>
        </w:rPr>
      </w:pPr>
      <w:r>
        <w:rPr>
          <w:rFonts w:cs="Arial"/>
        </w:rPr>
        <w:t xml:space="preserve">Melissa (2024) </w:t>
      </w:r>
      <w:r>
        <w:rPr>
          <w:rFonts w:cs="Arial"/>
          <w:i/>
          <w:iCs/>
        </w:rPr>
        <w:t>THE PRIMARK GIANT: CAN ANY NEWCOMER EVEN COMPETE?</w:t>
      </w:r>
      <w:r>
        <w:rPr>
          <w:rFonts w:cs="Arial"/>
        </w:rPr>
        <w:t xml:space="preserve"> Available at: </w:t>
      </w:r>
      <w:r>
        <w:rPr/>
        <w:fldChar w:fldCharType="begin"/>
      </w:r>
      <w:r>
        <w:instrText xml:space="preserve"> HYPERLINK "https://www.clothingmanufacturersuk.com/post/the-primark-giant-can-any-newcomer-even-compete" </w:instrText>
      </w:r>
      <w:r>
        <w:rPr/>
        <w:fldChar w:fldCharType="separate"/>
      </w:r>
      <w:r>
        <w:rPr>
          <w:rStyle w:val="style85"/>
          <w:rFonts w:cs="Arial"/>
        </w:rPr>
        <w:t>https://www.clothingmanufacturersuk.com/post/the-primark-giant-can-any-newcomer-even-compete</w:t>
      </w:r>
      <w:r>
        <w:rPr/>
        <w:fldChar w:fldCharType="end"/>
      </w:r>
      <w:r>
        <w:rPr>
          <w:rFonts w:cs="Arial"/>
        </w:rPr>
        <w:t xml:space="preserve"> (Accessed: 31 July 2026) </w:t>
      </w:r>
    </w:p>
    <w:p w14:paraId="160BD590">
      <w:pPr>
        <w:pStyle w:val="style0"/>
        <w:rPr>
          <w:rFonts w:cs="Arial"/>
        </w:rPr>
      </w:pPr>
      <w:r>
        <w:rPr>
          <w:rFonts w:cs="Arial"/>
        </w:rPr>
        <w:t xml:space="preserve">Nalley, S. (2024) ‘Harnessing The Power Of Joint Ventures: A Guide To Success’, </w:t>
      </w:r>
      <w:r>
        <w:rPr>
          <w:rFonts w:cs="Arial"/>
          <w:i/>
          <w:iCs/>
        </w:rPr>
        <w:t xml:space="preserve">Forbes, </w:t>
      </w:r>
      <w:r>
        <w:rPr>
          <w:rFonts w:cs="Arial"/>
        </w:rPr>
        <w:t xml:space="preserve">December 2. Available at: </w:t>
      </w:r>
      <w:r>
        <w:rPr/>
        <w:fldChar w:fldCharType="begin"/>
      </w:r>
      <w:r>
        <w:instrText xml:space="preserve"> HYPERLINK "https://www.forbes.com/councils/forbesbusinesscouncil/2024/12/02/harnessing-the-power-of-joint-ventures-a-guide-to-success/" </w:instrText>
      </w:r>
      <w:r>
        <w:rPr/>
        <w:fldChar w:fldCharType="separate"/>
      </w:r>
      <w:r>
        <w:rPr>
          <w:rStyle w:val="style85"/>
          <w:rFonts w:cs="Arial"/>
        </w:rPr>
        <w:t>https://www.forbes.com/councils/forbesbusinesscouncil/2024/12/02/harnessing-the-power-of-joint-ventures-a-guide-to-success/</w:t>
      </w:r>
      <w:r>
        <w:rPr/>
        <w:fldChar w:fldCharType="end"/>
      </w:r>
      <w:r>
        <w:rPr>
          <w:rFonts w:cs="Arial"/>
        </w:rPr>
        <w:t xml:space="preserve"> (Accessed: 31 July 2026) </w:t>
      </w:r>
    </w:p>
    <w:p w14:paraId="5F0CAEC8">
      <w:pPr>
        <w:pStyle w:val="style0"/>
        <w:rPr>
          <w:rFonts w:cs="Arial"/>
        </w:rPr>
      </w:pPr>
      <w:r>
        <w:rPr>
          <w:rFonts w:cs="Arial"/>
        </w:rPr>
        <w:t xml:space="preserve">NCDRC (2019) </w:t>
      </w:r>
      <w:r>
        <w:rPr>
          <w:rFonts w:cs="Arial"/>
          <w:i/>
          <w:iCs/>
        </w:rPr>
        <w:t>THE CONSUMER PROTECTION ACT, 2019</w:t>
      </w:r>
      <w:r>
        <w:rPr>
          <w:rFonts w:cs="Arial"/>
        </w:rPr>
        <w:t xml:space="preserve">. Available at: </w:t>
      </w:r>
      <w:r>
        <w:rPr/>
        <w:fldChar w:fldCharType="begin"/>
      </w:r>
      <w:r>
        <w:instrText xml:space="preserve"> HYPERLINK "https://ncdrc.nic.in/bare_acts/CPA2019.pdf" </w:instrText>
      </w:r>
      <w:r>
        <w:rPr/>
        <w:fldChar w:fldCharType="separate"/>
      </w:r>
      <w:r>
        <w:rPr>
          <w:rStyle w:val="style85"/>
          <w:rFonts w:cs="Arial"/>
        </w:rPr>
        <w:t>https://ncdrc.nic.in/bare_acts/CPA2019.pdf</w:t>
      </w:r>
      <w:r>
        <w:rPr/>
        <w:fldChar w:fldCharType="end"/>
      </w:r>
      <w:r>
        <w:rPr>
          <w:rFonts w:cs="Arial"/>
        </w:rPr>
        <w:t xml:space="preserve"> (Accessed: 31 July 2026) </w:t>
      </w:r>
    </w:p>
    <w:p w14:paraId="049A14B6">
      <w:pPr>
        <w:pStyle w:val="style0"/>
        <w:rPr>
          <w:rFonts w:cs="Arial"/>
        </w:rPr>
      </w:pPr>
      <w:r>
        <w:rPr>
          <w:rFonts w:cs="Arial"/>
        </w:rPr>
        <w:t xml:space="preserve">PAGE (2024) </w:t>
      </w:r>
      <w:r>
        <w:rPr>
          <w:rFonts w:cs="Arial"/>
          <w:i/>
          <w:iCs/>
        </w:rPr>
        <w:t>Major win for India’s sustainability efforts with new Eco-mark Certification Rules</w:t>
      </w:r>
      <w:r>
        <w:rPr>
          <w:rFonts w:cs="Arial"/>
        </w:rPr>
        <w:t xml:space="preserve">. Available at: </w:t>
      </w:r>
      <w:r>
        <w:rPr/>
        <w:fldChar w:fldCharType="begin"/>
      </w:r>
      <w:r>
        <w:instrText xml:space="preserve"> HYPERLINK "https://www.un-page.org/news/major-win-for-indias-sustainability-efforts-with-new-eco-mark-certification-rules/" </w:instrText>
      </w:r>
      <w:r>
        <w:rPr/>
        <w:fldChar w:fldCharType="separate"/>
      </w:r>
      <w:r>
        <w:rPr>
          <w:rStyle w:val="style85"/>
          <w:rFonts w:cs="Arial"/>
        </w:rPr>
        <w:t>https://www.un-page.org/news/major-win-for-indias-sustainability-efforts-with-new-eco-mark-certification-rules/</w:t>
      </w:r>
      <w:r>
        <w:rPr/>
        <w:fldChar w:fldCharType="end"/>
      </w:r>
      <w:r>
        <w:rPr>
          <w:rFonts w:cs="Arial"/>
        </w:rPr>
        <w:t xml:space="preserve"> (Accessed: 31 July 2026) </w:t>
      </w:r>
    </w:p>
    <w:p w14:paraId="26194CBB">
      <w:pPr>
        <w:pStyle w:val="style0"/>
        <w:rPr>
          <w:rFonts w:cs="Arial"/>
        </w:rPr>
      </w:pPr>
      <w:r>
        <w:rPr>
          <w:rFonts w:cs="Arial"/>
        </w:rPr>
        <w:t xml:space="preserve">Perry, N. (2024) </w:t>
      </w:r>
      <w:r>
        <w:rPr>
          <w:rFonts w:cs="Arial"/>
          <w:i/>
          <w:iCs/>
        </w:rPr>
        <w:t>Procurement Supports Primark Cares Sustainability Strategy</w:t>
      </w:r>
      <w:r>
        <w:rPr>
          <w:rFonts w:cs="Arial"/>
        </w:rPr>
        <w:t xml:space="preserve">. Available at: </w:t>
      </w:r>
      <w:r>
        <w:rPr/>
        <w:fldChar w:fldCharType="begin"/>
      </w:r>
      <w:r>
        <w:instrText xml:space="preserve"> HYPERLINK "https://procurementmag.com/articles/procurement-supports-primark-cares-sustainability-strategy" </w:instrText>
      </w:r>
      <w:r>
        <w:rPr/>
        <w:fldChar w:fldCharType="separate"/>
      </w:r>
      <w:r>
        <w:rPr>
          <w:rStyle w:val="style85"/>
          <w:rFonts w:cs="Arial"/>
        </w:rPr>
        <w:t>https://procurementmag.com/articles/procurement-supports-primark-cares-sustainability-strategy</w:t>
      </w:r>
      <w:r>
        <w:rPr/>
        <w:fldChar w:fldCharType="end"/>
      </w:r>
      <w:r>
        <w:rPr>
          <w:rFonts w:cs="Arial"/>
        </w:rPr>
        <w:t xml:space="preserve"> (Accessed: 31 July 2026)</w:t>
      </w:r>
      <w:r>
        <w:rPr>
          <w:rFonts w:cs="Arial"/>
        </w:rPr>
        <w:t xml:space="preserve"> </w:t>
      </w:r>
    </w:p>
    <w:p w14:paraId="33A167C5">
      <w:pPr>
        <w:pStyle w:val="style0"/>
        <w:rPr>
          <w:rFonts w:cs="Arial"/>
        </w:rPr>
      </w:pPr>
      <w:r>
        <w:rPr>
          <w:rFonts w:cs="Arial"/>
        </w:rPr>
        <w:t xml:space="preserve">PIB (2025) </w:t>
      </w:r>
      <w:r>
        <w:rPr>
          <w:rFonts w:cs="Arial"/>
          <w:i/>
          <w:iCs/>
        </w:rPr>
        <w:t>India’s Growing Focus on Youth and Sports</w:t>
      </w:r>
      <w:r>
        <w:rPr>
          <w:rFonts w:cs="Arial"/>
        </w:rPr>
        <w:t xml:space="preserve">. Available at: </w:t>
      </w:r>
      <w:r>
        <w:rPr/>
        <w:fldChar w:fldCharType="begin"/>
      </w:r>
      <w:r>
        <w:instrText xml:space="preserve"> HYPERLINK "https://www.pib.gov.in/FactsheetDetails.aspx?Id=149107&amp;reg=48&amp;lang=2" </w:instrText>
      </w:r>
      <w:r>
        <w:rPr/>
        <w:fldChar w:fldCharType="separate"/>
      </w:r>
      <w:r>
        <w:rPr>
          <w:rStyle w:val="style85"/>
          <w:rFonts w:cs="Arial"/>
        </w:rPr>
        <w:t>https://www.pib.gov.in/FactsheetDetails.aspx?Id=149107&amp;reg=48&amp;lang=2</w:t>
      </w:r>
      <w:r>
        <w:rPr/>
        <w:fldChar w:fldCharType="end"/>
      </w:r>
      <w:r>
        <w:rPr>
          <w:rFonts w:cs="Arial"/>
        </w:rPr>
        <w:t xml:space="preserve"> (Accessed: 31 July 2026) </w:t>
      </w:r>
    </w:p>
    <w:p w14:paraId="5216AF21">
      <w:pPr>
        <w:pStyle w:val="style0"/>
        <w:rPr>
          <w:rFonts w:cs="Arial"/>
        </w:rPr>
      </w:pPr>
      <w:r>
        <w:rPr>
          <w:rFonts w:cs="Arial"/>
        </w:rPr>
        <w:t xml:space="preserve">PIB (2026) </w:t>
      </w:r>
      <w:r>
        <w:rPr>
          <w:rFonts w:cs="Arial"/>
          <w:i/>
          <w:iCs/>
          <w:lang w:val="en-US"/>
        </w:rPr>
        <w:t>INDIA REMAINS AS THE WORLD’S LARGEST RECIPIENT OF REMITTANCES, WITH INFLOWS REACHING USD 135.4 BILLION IN FY25.</w:t>
      </w:r>
      <w:r>
        <w:rPr>
          <w:rFonts w:cs="Arial"/>
          <w:lang w:val="en-US"/>
        </w:rPr>
        <w:t xml:space="preserve"> </w:t>
      </w:r>
      <w:r>
        <w:rPr>
          <w:rFonts w:cs="Arial"/>
        </w:rPr>
        <w:t xml:space="preserve">Available at: </w:t>
      </w:r>
      <w:r>
        <w:rPr/>
        <w:fldChar w:fldCharType="begin"/>
      </w:r>
      <w:r>
        <w:instrText xml:space="preserve"> HYPERLINK "https://www.pib.gov.in/PressReleasePage.aspx?PRID=2219971&amp;reg=3&amp;lang=1" </w:instrText>
      </w:r>
      <w:r>
        <w:rPr/>
        <w:fldChar w:fldCharType="separate"/>
      </w:r>
      <w:r>
        <w:rPr>
          <w:rStyle w:val="style85"/>
          <w:rFonts w:cs="Arial"/>
        </w:rPr>
        <w:t>https://www.pib.gov.in/PressReleasePage.aspx?PRID=2219971&amp;reg=3&amp;lang=1</w:t>
      </w:r>
      <w:r>
        <w:rPr/>
        <w:fldChar w:fldCharType="end"/>
      </w:r>
      <w:r>
        <w:rPr>
          <w:rFonts w:cs="Arial"/>
        </w:rPr>
        <w:t xml:space="preserve"> (Accessed: 31 July 2026) </w:t>
      </w:r>
    </w:p>
    <w:p w14:paraId="4B497887">
      <w:pPr>
        <w:pStyle w:val="style0"/>
        <w:rPr>
          <w:rFonts w:cs="Arial"/>
        </w:rPr>
      </w:pPr>
      <w:r>
        <w:rPr>
          <w:rFonts w:cs="Arial"/>
        </w:rPr>
        <w:t xml:space="preserve">PM India (2026) </w:t>
      </w:r>
      <w:r>
        <w:rPr>
          <w:rFonts w:cs="Arial"/>
          <w:i/>
          <w:iCs/>
        </w:rPr>
        <w:t>Make In India</w:t>
      </w:r>
      <w:r>
        <w:rPr>
          <w:rFonts w:cs="Arial"/>
        </w:rPr>
        <w:t xml:space="preserve">. Available at: </w:t>
      </w:r>
      <w:r>
        <w:rPr/>
        <w:fldChar w:fldCharType="begin"/>
      </w:r>
      <w:r>
        <w:instrText xml:space="preserve"> HYPERLINK "https://www.pmindia.gov.in/en/major_initiatives/make-in-india/" </w:instrText>
      </w:r>
      <w:r>
        <w:rPr/>
        <w:fldChar w:fldCharType="separate"/>
      </w:r>
      <w:r>
        <w:rPr>
          <w:rStyle w:val="style85"/>
          <w:rFonts w:cs="Arial"/>
        </w:rPr>
        <w:t>https://www.pmindia.gov.in/en/major_initiatives/make-in-india/</w:t>
      </w:r>
      <w:r>
        <w:rPr/>
        <w:fldChar w:fldCharType="end"/>
      </w:r>
      <w:r>
        <w:rPr>
          <w:rFonts w:cs="Arial"/>
        </w:rPr>
        <w:t xml:space="preserve"> (Accessed: 31 July 2026) </w:t>
      </w:r>
    </w:p>
    <w:p w14:paraId="5CA1B054">
      <w:pPr>
        <w:pStyle w:val="style0"/>
        <w:rPr>
          <w:rFonts w:cs="Arial"/>
        </w:rPr>
      </w:pPr>
      <w:r>
        <w:rPr>
          <w:rFonts w:cs="Arial"/>
        </w:rPr>
        <w:t xml:space="preserve">Reliance Retail (n.d.) </w:t>
      </w:r>
      <w:r>
        <w:rPr>
          <w:rFonts w:cs="Arial"/>
          <w:i/>
          <w:iCs/>
        </w:rPr>
        <w:t xml:space="preserve">About Us. </w:t>
      </w:r>
      <w:r>
        <w:rPr>
          <w:rFonts w:cs="Arial"/>
        </w:rPr>
        <w:t xml:space="preserve">Available at: </w:t>
      </w:r>
      <w:r>
        <w:rPr/>
        <w:fldChar w:fldCharType="begin"/>
      </w:r>
      <w:r>
        <w:instrText xml:space="preserve"> HYPERLINK "https://relianceretail.com/" </w:instrText>
      </w:r>
      <w:r>
        <w:rPr/>
        <w:fldChar w:fldCharType="separate"/>
      </w:r>
      <w:r>
        <w:rPr>
          <w:rStyle w:val="style85"/>
          <w:rFonts w:cs="Arial"/>
        </w:rPr>
        <w:t>https://relianceretail.com/</w:t>
      </w:r>
      <w:r>
        <w:rPr/>
        <w:fldChar w:fldCharType="end"/>
      </w:r>
      <w:r>
        <w:rPr>
          <w:rFonts w:cs="Arial"/>
        </w:rPr>
        <w:t xml:space="preserve"> (Accessed: 31 July 2026) </w:t>
      </w:r>
    </w:p>
    <w:p w14:paraId="41F665D3">
      <w:pPr>
        <w:pStyle w:val="style0"/>
        <w:rPr>
          <w:rFonts w:cs="Arial"/>
        </w:rPr>
      </w:pPr>
      <w:r>
        <w:rPr>
          <w:rFonts w:cs="Arial"/>
        </w:rPr>
        <w:t xml:space="preserve">Rydzek, C. (2026) </w:t>
      </w:r>
      <w:r>
        <w:rPr>
          <w:rFonts w:cs="Arial"/>
          <w:i/>
          <w:iCs/>
        </w:rPr>
        <w:t>Primark explores launch of online delivery</w:t>
      </w:r>
      <w:r>
        <w:rPr>
          <w:rFonts w:cs="Arial"/>
        </w:rPr>
        <w:t xml:space="preserve">. Available at: </w:t>
      </w:r>
      <w:r>
        <w:rPr/>
        <w:fldChar w:fldCharType="begin"/>
      </w:r>
      <w:r>
        <w:instrText xml:space="preserve"> HYPERLINK "https://www.theindustry.fashion/primark-explores-launch-of-online-delivery/" </w:instrText>
      </w:r>
      <w:r>
        <w:rPr/>
        <w:fldChar w:fldCharType="separate"/>
      </w:r>
      <w:r>
        <w:rPr>
          <w:rStyle w:val="style85"/>
          <w:rFonts w:cs="Arial"/>
        </w:rPr>
        <w:t>https://www.theindustry.fashion/primark-explores-launch-of-online-delivery/</w:t>
      </w:r>
      <w:r>
        <w:rPr/>
        <w:fldChar w:fldCharType="end"/>
      </w:r>
      <w:r>
        <w:rPr>
          <w:rFonts w:cs="Arial"/>
        </w:rPr>
        <w:t xml:space="preserve"> (Accessed: 31 July 2026) </w:t>
      </w:r>
    </w:p>
    <w:p w14:paraId="24AD2B4B">
      <w:pPr>
        <w:pStyle w:val="style0"/>
        <w:rPr>
          <w:rFonts w:cs="Arial"/>
        </w:rPr>
      </w:pPr>
      <w:r>
        <w:rPr>
          <w:rFonts w:cs="Arial"/>
        </w:rPr>
        <w:t>Safaya, S. (2024) ‘</w:t>
      </w:r>
      <w:r>
        <w:rPr>
          <w:rFonts w:cs="Arial"/>
          <w:lang w:val="en-US"/>
        </w:rPr>
        <w:t xml:space="preserve">In Data: Primark’s low prices help make it UK’s biggest apparel brand’, </w:t>
      </w:r>
      <w:r>
        <w:rPr>
          <w:rFonts w:cs="Arial"/>
          <w:i/>
          <w:iCs/>
          <w:lang w:val="en-US"/>
        </w:rPr>
        <w:t xml:space="preserve">Yahoo, </w:t>
      </w:r>
      <w:r>
        <w:rPr>
          <w:rFonts w:cs="Arial"/>
          <w:lang w:val="en-US"/>
        </w:rPr>
        <w:t xml:space="preserve">May 7. Available at: </w:t>
      </w:r>
      <w:r>
        <w:rPr/>
        <w:fldChar w:fldCharType="begin"/>
      </w:r>
      <w:r>
        <w:instrText xml:space="preserve"> HYPERLINK "https://finance.yahoo.com/news/data-primark-low-prices-help-111110908.html" </w:instrText>
      </w:r>
      <w:r>
        <w:rPr/>
        <w:fldChar w:fldCharType="separate"/>
      </w:r>
      <w:r>
        <w:rPr>
          <w:rStyle w:val="style85"/>
          <w:rFonts w:cs="Arial"/>
          <w:lang w:val="en-US"/>
        </w:rPr>
        <w:t>https://finance.yahoo.com/news/data-primark-low-prices-help-111110908.html</w:t>
      </w:r>
      <w:r>
        <w:rPr/>
        <w:fldChar w:fldCharType="end"/>
      </w:r>
      <w:r>
        <w:rPr>
          <w:rFonts w:cs="Arial"/>
          <w:lang w:val="en-US"/>
        </w:rPr>
        <w:t xml:space="preserve"> </w:t>
      </w:r>
      <w:r>
        <w:rPr>
          <w:rFonts w:cs="Arial"/>
        </w:rPr>
        <w:t xml:space="preserve">(Accessed: 31 July 2026) </w:t>
      </w:r>
    </w:p>
    <w:p w14:paraId="22629558">
      <w:pPr>
        <w:pStyle w:val="style0"/>
        <w:rPr>
          <w:rFonts w:cs="Arial"/>
        </w:rPr>
      </w:pPr>
      <w:r>
        <w:rPr>
          <w:rFonts w:cs="Arial"/>
        </w:rPr>
        <w:t xml:space="preserve">Salve, P. (2026) ‘India’s inflation accelerates to 4.38% in June, exceeding forecasts’, </w:t>
      </w:r>
      <w:r>
        <w:rPr>
          <w:rFonts w:cs="Arial"/>
          <w:i/>
          <w:iCs/>
        </w:rPr>
        <w:t xml:space="preserve">CNBC, </w:t>
      </w:r>
      <w:r>
        <w:rPr>
          <w:rFonts w:cs="Arial"/>
        </w:rPr>
        <w:t xml:space="preserve">July 13. Available at: </w:t>
      </w:r>
      <w:r>
        <w:rPr/>
        <w:fldChar w:fldCharType="begin"/>
      </w:r>
      <w:r>
        <w:instrText xml:space="preserve"> HYPERLINK "https://www.cnbc.com/2026/07/13/india-june-inflation-oil-food-iran-war.html" </w:instrText>
      </w:r>
      <w:r>
        <w:rPr/>
        <w:fldChar w:fldCharType="separate"/>
      </w:r>
      <w:r>
        <w:rPr>
          <w:rStyle w:val="style85"/>
          <w:rFonts w:cs="Arial"/>
        </w:rPr>
        <w:t>https://www.cnbc.com/2026/07/13/india-june-inflation-oil-food-iran-war.html</w:t>
      </w:r>
      <w:r>
        <w:rPr/>
        <w:fldChar w:fldCharType="end"/>
      </w:r>
      <w:r>
        <w:rPr>
          <w:rFonts w:cs="Arial"/>
        </w:rPr>
        <w:t xml:space="preserve"> (Accessed: 31 July 2026) </w:t>
      </w:r>
    </w:p>
    <w:p w14:paraId="3B08142E">
      <w:pPr>
        <w:pStyle w:val="style0"/>
        <w:rPr>
          <w:rFonts w:cs="Arial"/>
        </w:rPr>
      </w:pPr>
      <w:r>
        <w:rPr>
          <w:rFonts w:cs="Arial"/>
        </w:rPr>
        <w:t>Sestu, M.C. and Majocchi, A. (2020) ‘Family firms and the choice between wholly owned subsidiaries and joint ventures: A transaction costs perspective’, </w:t>
      </w:r>
      <w:r>
        <w:rPr>
          <w:rFonts w:cs="Arial"/>
          <w:i/>
          <w:iCs/>
        </w:rPr>
        <w:t>Entrepreneurship Theory and Practice</w:t>
      </w:r>
      <w:r>
        <w:rPr>
          <w:rFonts w:cs="Arial"/>
        </w:rPr>
        <w:t xml:space="preserve">, 44(2), pp.211-232. Available at: </w:t>
      </w:r>
      <w:r>
        <w:rPr/>
        <w:fldChar w:fldCharType="begin"/>
      </w:r>
      <w:r>
        <w:instrText xml:space="preserve"> HYPERLINK "https://iris.unipv.it/bitstream/11571/1227866/4/Paper%20Final%2010.11.2017%20ETP.pdf" </w:instrText>
      </w:r>
      <w:r>
        <w:rPr/>
        <w:fldChar w:fldCharType="separate"/>
      </w:r>
      <w:r>
        <w:rPr>
          <w:rStyle w:val="style85"/>
          <w:rFonts w:cs="Arial"/>
        </w:rPr>
        <w:t>https://iris.unipv.it/bitstream/11571/1227866/4/Paper%20Final%2010.11.2017%20ETP.pdf</w:t>
      </w:r>
      <w:r>
        <w:rPr/>
        <w:fldChar w:fldCharType="end"/>
      </w:r>
      <w:r>
        <w:rPr>
          <w:rFonts w:cs="Arial"/>
        </w:rPr>
        <w:t xml:space="preserve"> (Accessed: 31 July 2026) </w:t>
      </w:r>
    </w:p>
    <w:p w14:paraId="3FFAFFEE">
      <w:pPr>
        <w:pStyle w:val="style0"/>
        <w:rPr>
          <w:rFonts w:cs="Arial"/>
        </w:rPr>
      </w:pPr>
      <w:r>
        <w:rPr>
          <w:rFonts w:cs="Arial"/>
        </w:rPr>
        <w:t>Shaban, A. and Khan, S. (2023) ‘Cultural diversity, human capital, and regional economic growth in India’, </w:t>
      </w:r>
      <w:r>
        <w:rPr>
          <w:rFonts w:cs="Arial"/>
          <w:i/>
          <w:iCs/>
        </w:rPr>
        <w:t>Regional Science Policy &amp; Practice</w:t>
      </w:r>
      <w:r>
        <w:rPr>
          <w:rFonts w:cs="Arial"/>
        </w:rPr>
        <w:t xml:space="preserve">, 15(5), pp.973-991. Available at: </w:t>
      </w:r>
      <w:r>
        <w:rPr/>
        <w:fldChar w:fldCharType="begin"/>
      </w:r>
      <w:r>
        <w:instrText xml:space="preserve"> HYPERLINK "https://doi.org/10.1111/rsp3.12528" </w:instrText>
      </w:r>
      <w:r>
        <w:rPr/>
        <w:fldChar w:fldCharType="separate"/>
      </w:r>
      <w:r>
        <w:rPr>
          <w:rStyle w:val="style85"/>
          <w:rFonts w:cs="Arial"/>
        </w:rPr>
        <w:t>https://doi.org/10.1111/rsp3.12528</w:t>
      </w:r>
      <w:r>
        <w:rPr/>
        <w:fldChar w:fldCharType="end"/>
      </w:r>
      <w:r>
        <w:rPr>
          <w:rFonts w:cs="Arial"/>
        </w:rPr>
        <w:t xml:space="preserve"> </w:t>
      </w:r>
    </w:p>
    <w:p w14:paraId="1B39116C">
      <w:pPr>
        <w:pStyle w:val="style0"/>
        <w:rPr>
          <w:rFonts w:cs="Arial"/>
        </w:rPr>
      </w:pPr>
      <w:r>
        <w:rPr>
          <w:rFonts w:cs="Arial"/>
        </w:rPr>
        <w:t xml:space="preserve">Statista (2026) </w:t>
      </w:r>
      <w:r>
        <w:rPr>
          <w:rFonts w:cs="Arial"/>
          <w:i/>
          <w:iCs/>
          <w:lang w:val="en-US"/>
        </w:rPr>
        <w:t>Consumption Indicators – India.</w:t>
      </w:r>
      <w:r>
        <w:rPr>
          <w:rFonts w:cs="Arial"/>
          <w:lang w:val="en-US"/>
        </w:rPr>
        <w:t xml:space="preserve"> Available at: </w:t>
      </w:r>
      <w:r>
        <w:rPr/>
        <w:fldChar w:fldCharType="begin"/>
      </w:r>
      <w:r>
        <w:instrText xml:space="preserve"> HYPERLINK "https://www.statista.com/outlook/co/consumption-indicators/india/?srsltid=AfmBOoqAELJm0ZeHIfF5RlJ50obxwXrEBfZvyQMQlmeD7Wxl5lrVciyW" \l "household-income" </w:instrText>
      </w:r>
      <w:r>
        <w:rPr/>
        <w:fldChar w:fldCharType="separate"/>
      </w:r>
      <w:r>
        <w:rPr>
          <w:rStyle w:val="style85"/>
          <w:rFonts w:cs="Arial"/>
          <w:lang w:val="en-US"/>
        </w:rPr>
        <w:t>https://www.statista.com/outlook/co/consumption-indicators/india/?srsltid=AfmBOoqAELJm0ZeHIfF5RlJ50obxwXrEBfZvyQMQlmeD7Wxl5lrVciyW#household-income</w:t>
      </w:r>
      <w:r>
        <w:rPr/>
        <w:fldChar w:fldCharType="end"/>
      </w:r>
      <w:r>
        <w:rPr>
          <w:rFonts w:cs="Arial"/>
          <w:lang w:val="en-US"/>
        </w:rPr>
        <w:t xml:space="preserve"> </w:t>
      </w:r>
      <w:r>
        <w:rPr>
          <w:rFonts w:cs="Arial"/>
        </w:rPr>
        <w:t>(Accessed: 31 July 2026)</w:t>
      </w:r>
    </w:p>
    <w:p w14:paraId="775E2C68">
      <w:pPr>
        <w:pStyle w:val="style0"/>
        <w:rPr>
          <w:rFonts w:cs="Arial"/>
        </w:rPr>
      </w:pPr>
      <w:r>
        <w:rPr>
          <w:rFonts w:cs="Arial"/>
        </w:rPr>
        <w:t xml:space="preserve">Stopher, H. (2024) </w:t>
      </w:r>
      <w:r>
        <w:rPr>
          <w:rFonts w:cs="Arial"/>
          <w:i/>
          <w:iCs/>
        </w:rPr>
        <w:t>Primark Cares grows recycled and sustainably sourced materials use to 55%.</w:t>
      </w:r>
      <w:r>
        <w:rPr>
          <w:rFonts w:cs="Arial"/>
        </w:rPr>
        <w:t xml:space="preserve"> Available at: </w:t>
      </w:r>
      <w:r>
        <w:rPr/>
        <w:fldChar w:fldCharType="begin"/>
      </w:r>
      <w:r>
        <w:instrText xml:space="preserve"> HYPERLINK "https://www.productsofchange.com/primark-cares-grows-recycled-and-sustainably-sourced-materials-use-to-55/" </w:instrText>
      </w:r>
      <w:r>
        <w:rPr/>
        <w:fldChar w:fldCharType="separate"/>
      </w:r>
      <w:r>
        <w:rPr>
          <w:rStyle w:val="style85"/>
          <w:rFonts w:cs="Arial"/>
        </w:rPr>
        <w:t>https://www.productsofchange.com/primark-cares-grows-recycled-and-sustainably-sourced-materials-use-to-55/</w:t>
      </w:r>
      <w:r>
        <w:rPr/>
        <w:fldChar w:fldCharType="end"/>
      </w:r>
      <w:r>
        <w:rPr>
          <w:rFonts w:cs="Arial"/>
        </w:rPr>
        <w:t xml:space="preserve"> (Accessed: 31 July 2026) </w:t>
      </w:r>
    </w:p>
    <w:p w14:paraId="72DA7941">
      <w:pPr>
        <w:pStyle w:val="style0"/>
        <w:rPr>
          <w:rFonts w:cs="Arial"/>
        </w:rPr>
      </w:pPr>
      <w:r>
        <w:rPr>
          <w:rFonts w:cs="Arial"/>
        </w:rPr>
        <w:t xml:space="preserve">Sumanth, P. (2025) </w:t>
      </w:r>
      <w:r>
        <w:rPr>
          <w:rFonts w:cs="Arial"/>
          <w:i/>
          <w:iCs/>
        </w:rPr>
        <w:t>Retail Compliance: Overview, Types, Key Areas, Setup Process, Tools</w:t>
      </w:r>
      <w:r>
        <w:rPr>
          <w:rFonts w:cs="Arial"/>
        </w:rPr>
        <w:t xml:space="preserve">. Available at: </w:t>
      </w:r>
      <w:r>
        <w:rPr/>
        <w:fldChar w:fldCharType="begin"/>
      </w:r>
      <w:r>
        <w:instrText xml:space="preserve"> HYPERLINK "https://taqtics.co/retail-operations/retail-compliance/" </w:instrText>
      </w:r>
      <w:r>
        <w:rPr/>
        <w:fldChar w:fldCharType="separate"/>
      </w:r>
      <w:r>
        <w:rPr>
          <w:rStyle w:val="style85"/>
          <w:rFonts w:cs="Arial"/>
        </w:rPr>
        <w:t>https://taqtics.co/retail-operations/retail-compliance/</w:t>
      </w:r>
      <w:r>
        <w:rPr/>
        <w:fldChar w:fldCharType="end"/>
      </w:r>
      <w:r>
        <w:rPr>
          <w:rFonts w:cs="Arial"/>
        </w:rPr>
        <w:t xml:space="preserve"> (Accessed: 31 July 2026) </w:t>
      </w:r>
    </w:p>
    <w:p w14:paraId="426AACF9">
      <w:pPr>
        <w:pStyle w:val="style0"/>
        <w:rPr>
          <w:rFonts w:cs="Arial"/>
        </w:rPr>
      </w:pPr>
      <w:r>
        <w:rPr>
          <w:rFonts w:cs="Arial"/>
        </w:rPr>
        <w:t xml:space="preserve">Swarup, R. and Ganesan, K. (2025) </w:t>
      </w:r>
      <w:r>
        <w:rPr>
          <w:rFonts w:cs="Arial"/>
          <w:i/>
          <w:iCs/>
        </w:rPr>
        <w:t>Sustainability Is a Natural Part of India’s Consumer Journey—Not a Marketing Ploy.</w:t>
      </w:r>
      <w:r>
        <w:rPr>
          <w:rFonts w:cs="Arial"/>
        </w:rPr>
        <w:t xml:space="preserve"> Available at: </w:t>
      </w:r>
      <w:r>
        <w:rPr/>
        <w:fldChar w:fldCharType="begin"/>
      </w:r>
      <w:r>
        <w:instrText xml:space="preserve"> HYPERLINK "https://www.bain.com/insights/sustainability-is-a-natural-part-of-indias-consumer-journey-not-a-marketing-ploy/" </w:instrText>
      </w:r>
      <w:r>
        <w:rPr/>
        <w:fldChar w:fldCharType="separate"/>
      </w:r>
      <w:r>
        <w:rPr>
          <w:rStyle w:val="style85"/>
          <w:rFonts w:cs="Arial"/>
        </w:rPr>
        <w:t>https://www.bain.com/insights/sustainability-is-a-natural-part-of-indias-consumer-journey-not-a-marketing-ploy/</w:t>
      </w:r>
      <w:r>
        <w:rPr/>
        <w:fldChar w:fldCharType="end"/>
      </w:r>
      <w:r>
        <w:rPr>
          <w:rFonts w:cs="Arial"/>
        </w:rPr>
        <w:t xml:space="preserve"> (Accessed: 31 July 2026) </w:t>
      </w:r>
    </w:p>
    <w:p w14:paraId="117A97C3">
      <w:pPr>
        <w:pStyle w:val="style0"/>
        <w:rPr>
          <w:rFonts w:cs="Arial"/>
        </w:rPr>
      </w:pPr>
      <w:r>
        <w:rPr>
          <w:rFonts w:cs="Arial"/>
        </w:rPr>
        <w:t>Tamta, M. and Kamboj, A. (2024) ‘Cultural Influences on Consumption: Insights from India’, In </w:t>
      </w:r>
      <w:r>
        <w:rPr>
          <w:rFonts w:cs="Arial"/>
          <w:i/>
          <w:iCs/>
        </w:rPr>
        <w:t>Consumption and Production in the Textile and Garment Industry: A Comparative Study Among Asian Countries</w:t>
      </w:r>
      <w:r>
        <w:rPr>
          <w:rFonts w:cs="Arial"/>
        </w:rPr>
        <w:t xml:space="preserve"> (pp. 87-99). Singapore: Springer Nature </w:t>
      </w:r>
      <w:r>
        <w:rPr>
          <w:rFonts w:cs="Arial"/>
        </w:rPr>
        <w:t xml:space="preserve">Singapore. Available at: </w:t>
      </w:r>
      <w:r>
        <w:rPr/>
        <w:fldChar w:fldCharType="begin"/>
      </w:r>
      <w:r>
        <w:instrText xml:space="preserve"> HYPERLINK "https://www.researchgate.net/profile/Meenakshi-Tamta/publication/383621255_Cultural_Influences_on_Consumption_Insights_from_India/links/66fbd2ec9e6e82486ffc5984/Cultural-Influences-on-Consumption-Insights-from-India.pdf" </w:instrText>
      </w:r>
      <w:r>
        <w:rPr/>
        <w:fldChar w:fldCharType="separate"/>
      </w:r>
      <w:r>
        <w:rPr>
          <w:rStyle w:val="style85"/>
          <w:rFonts w:cs="Arial"/>
        </w:rPr>
        <w:t>https://www.researchgate.net/profile/Meenakshi-Tamta/publication/383621255_Cultural_Influences_on_Consumption_Insights_from_India/links/66fbd2ec9e6e82486ffc5984/Cultural-Influences-on-Consumption-Insights-from-India.pdf</w:t>
      </w:r>
      <w:r>
        <w:rPr/>
        <w:fldChar w:fldCharType="end"/>
      </w:r>
      <w:r>
        <w:rPr>
          <w:rFonts w:cs="Arial"/>
        </w:rPr>
        <w:t xml:space="preserve"> (Accessed: 31 July 2026)</w:t>
      </w:r>
    </w:p>
    <w:p w14:paraId="271CDC5F">
      <w:pPr>
        <w:pStyle w:val="style0"/>
        <w:rPr>
          <w:rFonts w:cs="Arial"/>
        </w:rPr>
      </w:pPr>
      <w:r>
        <w:rPr>
          <w:rFonts w:cs="Arial"/>
        </w:rPr>
        <w:t xml:space="preserve">The Culture Factor (2026) </w:t>
      </w:r>
      <w:r>
        <w:rPr>
          <w:rFonts w:cs="Arial"/>
          <w:i/>
          <w:iCs/>
        </w:rPr>
        <w:t xml:space="preserve">Country Comparison Tool. </w:t>
      </w:r>
      <w:r>
        <w:rPr>
          <w:rFonts w:cs="Arial"/>
        </w:rPr>
        <w:t xml:space="preserve">Available at: </w:t>
      </w:r>
      <w:r>
        <w:rPr/>
        <w:fldChar w:fldCharType="begin"/>
      </w:r>
      <w:r>
        <w:instrText xml:space="preserve"> HYPERLINK "https://www.theculturefactor.com/country-comparison-tool?countries=india" </w:instrText>
      </w:r>
      <w:r>
        <w:rPr/>
        <w:fldChar w:fldCharType="separate"/>
      </w:r>
      <w:r>
        <w:rPr>
          <w:rStyle w:val="style85"/>
          <w:rFonts w:cs="Arial"/>
        </w:rPr>
        <w:t>https://www.theculturefactor.com/country-comparison-tool?countries=india</w:t>
      </w:r>
      <w:r>
        <w:rPr/>
        <w:fldChar w:fldCharType="end"/>
      </w:r>
      <w:r>
        <w:rPr>
          <w:rFonts w:cs="Arial"/>
        </w:rPr>
        <w:t xml:space="preserve"> (Accessed: 31 July 2026)</w:t>
      </w:r>
      <w:r>
        <w:rPr>
          <w:rFonts w:cs="Arial"/>
        </w:rPr>
        <w:t xml:space="preserve"> </w:t>
      </w:r>
    </w:p>
    <w:p w14:paraId="193EFBC2">
      <w:pPr>
        <w:pStyle w:val="style0"/>
        <w:rPr>
          <w:rFonts w:cs="Arial"/>
        </w:rPr>
      </w:pPr>
      <w:r>
        <w:rPr>
          <w:rFonts w:cs="Arial"/>
        </w:rPr>
        <w:t xml:space="preserve">Tobolska, A. (2018) </w:t>
      </w:r>
      <w:r>
        <w:rPr>
          <w:rFonts w:cs="Arial"/>
        </w:rPr>
        <w:t>‘</w:t>
      </w:r>
      <w:r>
        <w:rPr>
          <w:rFonts w:cs="Arial"/>
        </w:rPr>
        <w:t>Strategies of International Companies as a Research Problem of Geography of Enterprise</w:t>
      </w:r>
      <w:r>
        <w:rPr>
          <w:rFonts w:cs="Arial"/>
        </w:rPr>
        <w:t>’,</w:t>
      </w:r>
      <w:r>
        <w:rPr>
          <w:rFonts w:cs="Arial"/>
        </w:rPr>
        <w:t> </w:t>
      </w:r>
      <w:r>
        <w:rPr>
          <w:rFonts w:cs="Arial"/>
          <w:i/>
          <w:iCs/>
        </w:rPr>
        <w:t>Prace Komisji Geografii Przemysłu Polskiego Towarzystwa Geograficznego</w:t>
      </w:r>
      <w:r>
        <w:rPr>
          <w:rFonts w:cs="Arial"/>
        </w:rPr>
        <w:t>, </w:t>
      </w:r>
      <w:r>
        <w:rPr>
          <w:rFonts w:cs="Arial"/>
          <w:i/>
          <w:iCs/>
        </w:rPr>
        <w:t>32</w:t>
      </w:r>
      <w:r>
        <w:rPr>
          <w:rFonts w:cs="Arial"/>
        </w:rPr>
        <w:t>(4), 48-68. Available at:</w:t>
      </w:r>
      <w:r>
        <w:rPr>
          <w:rFonts w:cs="Arial"/>
        </w:rPr>
        <w:t xml:space="preserve"> </w:t>
      </w:r>
      <w:r>
        <w:rPr/>
        <w:fldChar w:fldCharType="begin"/>
      </w:r>
      <w:r>
        <w:instrText xml:space="preserve"> HYPERLINK "https://prace-kgp.uken.krakow.pl/article/download/20801653.324.3/4362" </w:instrText>
      </w:r>
      <w:r>
        <w:rPr/>
        <w:fldChar w:fldCharType="separate"/>
      </w:r>
      <w:r>
        <w:rPr>
          <w:rStyle w:val="style85"/>
          <w:rFonts w:cs="Arial"/>
        </w:rPr>
        <w:t>https://prace-kgp.uken.krakow.pl/article/download/20801653.324.3/4362</w:t>
      </w:r>
      <w:r>
        <w:rPr/>
        <w:fldChar w:fldCharType="end"/>
      </w:r>
      <w:r>
        <w:rPr>
          <w:rFonts w:cs="Arial"/>
        </w:rPr>
        <w:t xml:space="preserve"> </w:t>
      </w:r>
      <w:r>
        <w:rPr>
          <w:rFonts w:cs="Arial"/>
        </w:rPr>
        <w:t xml:space="preserve">(Accessed: 31 July 2026) </w:t>
      </w:r>
    </w:p>
    <w:p w14:paraId="204D13C0">
      <w:pPr>
        <w:pStyle w:val="style0"/>
        <w:rPr>
          <w:rFonts w:cs="Arial"/>
        </w:rPr>
      </w:pPr>
      <w:r>
        <w:rPr>
          <w:rFonts w:cs="Arial"/>
        </w:rPr>
        <w:t xml:space="preserve">Trade.Gov (2026) </w:t>
      </w:r>
      <w:r>
        <w:rPr>
          <w:rFonts w:cs="Arial"/>
          <w:i/>
          <w:iCs/>
        </w:rPr>
        <w:t xml:space="preserve">India- Market Challenges. </w:t>
      </w:r>
      <w:r>
        <w:rPr>
          <w:rFonts w:cs="Arial"/>
        </w:rPr>
        <w:t xml:space="preserve">Available at: </w:t>
      </w:r>
      <w:r>
        <w:rPr/>
        <w:fldChar w:fldCharType="begin"/>
      </w:r>
      <w:r>
        <w:instrText xml:space="preserve"> HYPERLINK "https://www.trade.gov/country-commercial-guides/india-market-challenges" </w:instrText>
      </w:r>
      <w:r>
        <w:rPr/>
        <w:fldChar w:fldCharType="separate"/>
      </w:r>
      <w:r>
        <w:rPr>
          <w:rStyle w:val="style85"/>
          <w:rFonts w:cs="Arial"/>
        </w:rPr>
        <w:t>https://www.trade.gov/country-commercial-guides/india-market-challenges</w:t>
      </w:r>
      <w:r>
        <w:rPr/>
        <w:fldChar w:fldCharType="end"/>
      </w:r>
      <w:r>
        <w:rPr>
          <w:rFonts w:cs="Arial"/>
        </w:rPr>
        <w:t xml:space="preserve"> (Accessed: 31 July 2026)</w:t>
      </w:r>
    </w:p>
    <w:p w14:paraId="47FB7129">
      <w:pPr>
        <w:pStyle w:val="style0"/>
        <w:rPr>
          <w:rFonts w:cs="Arial"/>
        </w:rPr>
      </w:pPr>
      <w:r>
        <w:rPr>
          <w:rFonts w:cs="Arial"/>
        </w:rPr>
        <w:t xml:space="preserve">Trustiics (2025) </w:t>
      </w:r>
      <w:r>
        <w:rPr>
          <w:rFonts w:cs="Arial"/>
          <w:i/>
          <w:iCs/>
        </w:rPr>
        <w:t>How To Successfully Protect Your IP in India: A Comprehensive Guide for International Businesses</w:t>
      </w:r>
      <w:r>
        <w:rPr>
          <w:rFonts w:cs="Arial"/>
        </w:rPr>
        <w:t xml:space="preserve">. Available at: </w:t>
      </w:r>
      <w:r>
        <w:rPr/>
        <w:fldChar w:fldCharType="begin"/>
      </w:r>
      <w:r>
        <w:instrText xml:space="preserve"> HYPERLINK "https://www.trustiics.com/posts/how-to-successfully-protect-your-ip-in-india" </w:instrText>
      </w:r>
      <w:r>
        <w:rPr/>
        <w:fldChar w:fldCharType="separate"/>
      </w:r>
      <w:r>
        <w:rPr>
          <w:rStyle w:val="style85"/>
          <w:rFonts w:cs="Arial"/>
        </w:rPr>
        <w:t>https://www.trustiics.com/posts/how-to-successfully-protect-your-ip-in-india</w:t>
      </w:r>
      <w:r>
        <w:rPr/>
        <w:fldChar w:fldCharType="end"/>
      </w:r>
      <w:r>
        <w:rPr>
          <w:rFonts w:cs="Arial"/>
        </w:rPr>
        <w:t xml:space="preserve"> (Accessed: 31 July 2026) </w:t>
      </w:r>
    </w:p>
    <w:p w14:paraId="14310584">
      <w:pPr>
        <w:pStyle w:val="style0"/>
        <w:rPr>
          <w:rFonts w:cs="Arial"/>
        </w:rPr>
      </w:pPr>
      <w:r>
        <w:rPr>
          <w:rFonts w:cs="Arial"/>
        </w:rPr>
        <w:t xml:space="preserve">UNCTAD (2025) </w:t>
      </w:r>
      <w:r>
        <w:rPr>
          <w:rFonts w:cs="Arial"/>
          <w:i/>
          <w:iCs/>
        </w:rPr>
        <w:t>Global Trade Update (September 2025): Trade policy uncertainty looms over global markets.</w:t>
      </w:r>
      <w:r>
        <w:rPr>
          <w:rFonts w:cs="Arial"/>
        </w:rPr>
        <w:t xml:space="preserve"> Available at: </w:t>
      </w:r>
      <w:r>
        <w:rPr/>
        <w:fldChar w:fldCharType="begin"/>
      </w:r>
      <w:r>
        <w:instrText xml:space="preserve"> HYPERLINK "https://unctad.org/publication/global-trade-update-september-2025-trade-policy-uncertainty-looms-over-global-markets" </w:instrText>
      </w:r>
      <w:r>
        <w:rPr/>
        <w:fldChar w:fldCharType="separate"/>
      </w:r>
      <w:r>
        <w:rPr>
          <w:rStyle w:val="style85"/>
          <w:rFonts w:cs="Arial"/>
        </w:rPr>
        <w:t>https://unctad.org/publication/global-trade-update-september-2025-trade-policy-uncertainty-looms-over-global-markets</w:t>
      </w:r>
      <w:r>
        <w:rPr/>
        <w:fldChar w:fldCharType="end"/>
      </w:r>
      <w:r>
        <w:rPr>
          <w:rFonts w:cs="Arial"/>
        </w:rPr>
        <w:t xml:space="preserve"> (Accessed: 31 July 2026) </w:t>
      </w:r>
    </w:p>
    <w:p w14:paraId="37AD67B4">
      <w:pPr>
        <w:pStyle w:val="style0"/>
        <w:rPr>
          <w:rFonts w:cs="Arial"/>
        </w:rPr>
      </w:pPr>
      <w:r>
        <w:rPr>
          <w:rFonts w:cs="Arial"/>
        </w:rPr>
        <w:t xml:space="preserve">Wani, S. (2026) </w:t>
      </w:r>
      <w:r>
        <w:rPr>
          <w:rFonts w:cs="Arial"/>
          <w:i/>
          <w:iCs/>
          <w:lang w:val="en-US"/>
        </w:rPr>
        <w:t>India's new CPI inflation series: Everything you need to know about the update.</w:t>
      </w:r>
      <w:r>
        <w:rPr>
          <w:rFonts w:cs="Arial"/>
          <w:lang w:val="en-US"/>
        </w:rPr>
        <w:t xml:space="preserve"> Available at: </w:t>
      </w:r>
      <w:r>
        <w:rPr/>
        <w:fldChar w:fldCharType="begin"/>
      </w:r>
      <w:r>
        <w:instrText xml:space="preserve"> HYPERLINK "https://www.forbesindia.com/photogallery/news/indias-new-cpi-inflation-series-everything-you-need-to-know-about-the-update/2991357/1" </w:instrText>
      </w:r>
      <w:r>
        <w:rPr/>
        <w:fldChar w:fldCharType="separate"/>
      </w:r>
      <w:r>
        <w:rPr>
          <w:rStyle w:val="style85"/>
          <w:rFonts w:cs="Arial"/>
          <w:lang w:val="en-US"/>
        </w:rPr>
        <w:t>https://www.forbesindia.com/photogallery/news/indias-new-cpi-inflation-series-everything-you-need-to-know-about-the-update/2991357/1</w:t>
      </w:r>
      <w:r>
        <w:rPr/>
        <w:fldChar w:fldCharType="end"/>
      </w:r>
      <w:r>
        <w:rPr>
          <w:rFonts w:cs="Arial"/>
          <w:lang w:val="en-US"/>
        </w:rPr>
        <w:t xml:space="preserve"> </w:t>
      </w:r>
      <w:r>
        <w:rPr>
          <w:rFonts w:cs="Arial"/>
        </w:rPr>
        <w:t>(Accessed: 31 July 2026)</w:t>
      </w:r>
    </w:p>
    <w:sectPr>
      <w:footerReference w:type="default" r:id="rId12"/>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ptos">
    <w:altName w:val="Aptos"/>
    <w:panose1 w:val="00000000000000000000"/>
    <w:charset w:val="00"/>
    <w:family w:val="swiss"/>
    <w:pitch w:val="variable"/>
    <w:sig w:usb0="20000287" w:usb1="00000003" w:usb2="00000000" w:usb3="00000000" w:csb0="0000019F" w:csb1="00000000"/>
  </w:font>
  <w:font w:name="Arial">
    <w:altName w:val="Arial"/>
    <w:panose1 w:val="020b0604020002020204"/>
    <w:charset w:val="00"/>
    <w:family w:val="swiss"/>
    <w:pitch w:val="variable"/>
    <w:sig w:usb0="E0002EFF" w:usb1="C000785B" w:usb2="00000009" w:usb3="00000000" w:csb0="000001FF" w:csb1="00000000"/>
  </w:font>
  <w:font w:name="Aptos Display">
    <w:altName w:val="Aptos Display"/>
    <w:panose1 w:val="00000000000000000000"/>
    <w:charset w:val="00"/>
    <w:family w:val="swiss"/>
    <w:pitch w:val="variable"/>
    <w:sig w:usb0="20000287" w:usb1="00000003" w:usb2="00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7A4A7B78">
    <w:pPr>
      <w:pStyle w:val="style32"/>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sz w:val="20"/>
        <w:szCs w:val="20"/>
      </w:rPr>
      <w:t>2</w:t>
    </w:r>
    <w:r>
      <w:rPr>
        <w:sz w:val="20"/>
        <w:szCs w:val="20"/>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416C4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宋体" w:eastAsia="Aptos" w:hAnsi="Aptos"/>
        <w:kern w:val="2"/>
        <w:sz w:val="24"/>
        <w:szCs w:val="24"/>
        <w:lang w:val="en-US" w:bidi="ar-SA"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pacing w:lineRule="auto" w:line="360"/>
      <w:jc w:val="both"/>
    </w:pPr>
    <w:rPr>
      <w:rFonts w:ascii="Arial" w:hAnsi="Arial"/>
      <w:color w:val="000000"/>
      <w:lang w:val="en-GB"/>
    </w:rPr>
  </w:style>
  <w:style w:type="paragraph" w:styleId="style1">
    <w:name w:val="heading 1"/>
    <w:basedOn w:val="style0"/>
    <w:next w:val="style0"/>
    <w:link w:val="style4097"/>
    <w:qFormat/>
    <w:uiPriority w:val="9"/>
    <w:pPr>
      <w:keepNext/>
      <w:keepLines/>
      <w:spacing w:before="360" w:after="80"/>
      <w:outlineLvl w:val="0"/>
    </w:pPr>
    <w:rPr>
      <w:rFonts w:cs="宋体" w:eastAsia="宋体"/>
      <w:b/>
      <w:szCs w:val="40"/>
    </w:rPr>
  </w:style>
  <w:style w:type="paragraph" w:styleId="style2">
    <w:name w:val="heading 2"/>
    <w:basedOn w:val="style0"/>
    <w:next w:val="style0"/>
    <w:link w:val="style4098"/>
    <w:qFormat/>
    <w:uiPriority w:val="9"/>
    <w:pPr>
      <w:keepNext/>
      <w:keepLines/>
      <w:spacing w:before="160" w:after="80"/>
      <w:outlineLvl w:val="1"/>
    </w:pPr>
    <w:rPr>
      <w:rFonts w:cs="宋体" w:eastAsia="宋体"/>
      <w:b/>
      <w:szCs w:val="32"/>
    </w:rPr>
  </w:style>
  <w:style w:type="paragraph" w:styleId="style3">
    <w:name w:val="heading 3"/>
    <w:basedOn w:val="style0"/>
    <w:next w:val="style0"/>
    <w:link w:val="style4099"/>
    <w:qFormat/>
    <w:uiPriority w:val="9"/>
    <w:pPr>
      <w:keepNext/>
      <w:keepLines/>
      <w:spacing w:before="160" w:after="80"/>
      <w:outlineLvl w:val="2"/>
    </w:pPr>
    <w:rPr>
      <w:rFonts w:cs="宋体" w:eastAsia="宋体"/>
      <w:b/>
      <w:szCs w:val="28"/>
    </w:rPr>
  </w:style>
  <w:style w:type="paragraph" w:styleId="style4">
    <w:name w:val="heading 4"/>
    <w:basedOn w:val="style0"/>
    <w:next w:val="style0"/>
    <w:link w:val="style4100"/>
    <w:qFormat/>
    <w:uiPriority w:val="9"/>
    <w:pPr>
      <w:keepNext/>
      <w:keepLines/>
      <w:spacing w:before="80" w:after="40"/>
      <w:outlineLvl w:val="3"/>
    </w:pPr>
    <w:rPr>
      <w:rFonts w:cs="宋体" w:eastAsia="宋体"/>
      <w:i/>
      <w:iCs/>
      <w:color w:val="0f4761"/>
    </w:rPr>
  </w:style>
  <w:style w:type="paragraph" w:styleId="style5">
    <w:name w:val="heading 5"/>
    <w:basedOn w:val="style0"/>
    <w:next w:val="style0"/>
    <w:link w:val="style4101"/>
    <w:qFormat/>
    <w:uiPriority w:val="9"/>
    <w:pPr>
      <w:keepNext/>
      <w:keepLines/>
      <w:spacing w:before="80" w:after="40"/>
      <w:outlineLvl w:val="4"/>
    </w:pPr>
    <w:rPr>
      <w:rFonts w:cs="宋体" w:eastAsia="宋体"/>
      <w:color w:val="0f4761"/>
    </w:rPr>
  </w:style>
  <w:style w:type="paragraph" w:styleId="style6">
    <w:name w:val="heading 6"/>
    <w:basedOn w:val="style0"/>
    <w:next w:val="style0"/>
    <w:link w:val="style4102"/>
    <w:qFormat/>
    <w:uiPriority w:val="9"/>
    <w:pPr>
      <w:keepNext/>
      <w:keepLines/>
      <w:spacing w:before="40" w:after="0"/>
      <w:outlineLvl w:val="5"/>
    </w:pPr>
    <w:rPr>
      <w:rFonts w:cs="宋体" w:eastAsia="宋体"/>
      <w:i/>
      <w:iCs/>
      <w:color w:val="595959"/>
    </w:rPr>
  </w:style>
  <w:style w:type="paragraph" w:styleId="style7">
    <w:name w:val="heading 7"/>
    <w:basedOn w:val="style0"/>
    <w:next w:val="style0"/>
    <w:link w:val="style4103"/>
    <w:qFormat/>
    <w:uiPriority w:val="9"/>
    <w:pPr>
      <w:keepNext/>
      <w:keepLines/>
      <w:spacing w:before="40" w:after="0"/>
      <w:outlineLvl w:val="6"/>
    </w:pPr>
    <w:rPr>
      <w:rFonts w:cs="宋体" w:eastAsia="宋体"/>
      <w:color w:val="595959"/>
    </w:rPr>
  </w:style>
  <w:style w:type="paragraph" w:styleId="style8">
    <w:name w:val="heading 8"/>
    <w:basedOn w:val="style0"/>
    <w:next w:val="style0"/>
    <w:link w:val="style4104"/>
    <w:qFormat/>
    <w:uiPriority w:val="9"/>
    <w:pPr>
      <w:keepNext/>
      <w:keepLines/>
      <w:spacing w:after="0"/>
      <w:outlineLvl w:val="7"/>
    </w:pPr>
    <w:rPr>
      <w:rFonts w:cs="宋体" w:eastAsia="宋体"/>
      <w:i/>
      <w:iCs/>
      <w:color w:val="272727"/>
    </w:rPr>
  </w:style>
  <w:style w:type="paragraph" w:styleId="style9">
    <w:name w:val="heading 9"/>
    <w:basedOn w:val="style0"/>
    <w:next w:val="style0"/>
    <w:link w:val="style4105"/>
    <w:qFormat/>
    <w:uiPriority w:val="9"/>
    <w:pPr>
      <w:keepNext/>
      <w:keepLines/>
      <w:spacing w:after="0"/>
      <w:outlineLvl w:val="8"/>
    </w:pPr>
    <w:rPr>
      <w:rFonts w:cs="宋体" w:eastAsia="宋体"/>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3fa0ede2-4103-43b8-9caa-7a4bc89eb87b"/>
    <w:basedOn w:val="style65"/>
    <w:next w:val="style4097"/>
    <w:link w:val="style1"/>
    <w:uiPriority w:val="9"/>
    <w:rPr>
      <w:rFonts w:ascii="Arial" w:cs="宋体" w:eastAsia="宋体" w:hAnsi="Arial"/>
      <w:b/>
      <w:color w:val="000000"/>
      <w:szCs w:val="40"/>
    </w:rPr>
  </w:style>
  <w:style w:type="character" w:customStyle="1" w:styleId="style4098">
    <w:name w:val="Heading 2 Char_b3425fcb-14e1-4326-91fe-bf79014de29b"/>
    <w:basedOn w:val="style65"/>
    <w:next w:val="style4098"/>
    <w:link w:val="style2"/>
    <w:uiPriority w:val="9"/>
    <w:rPr>
      <w:rFonts w:ascii="Arial" w:cs="宋体" w:eastAsia="宋体" w:hAnsi="Arial"/>
      <w:b/>
      <w:color w:val="000000"/>
      <w:szCs w:val="32"/>
    </w:rPr>
  </w:style>
  <w:style w:type="character" w:customStyle="1" w:styleId="style4099">
    <w:name w:val="Heading 3 Char_55a2bc08-53a9-4577-9af5-39a2ff6ce35d"/>
    <w:basedOn w:val="style65"/>
    <w:next w:val="style4099"/>
    <w:link w:val="style3"/>
    <w:uiPriority w:val="9"/>
    <w:rPr>
      <w:rFonts w:ascii="Arial" w:cs="宋体" w:eastAsia="宋体" w:hAnsi="Arial"/>
      <w:b/>
      <w:color w:val="000000"/>
      <w:szCs w:val="28"/>
      <w:lang w:val="en-GB"/>
    </w:rPr>
  </w:style>
  <w:style w:type="character" w:customStyle="1" w:styleId="style4100">
    <w:name w:val="Heading 4 Char_9426d0db-c47c-4bfb-8ab0-69cea7ae2581"/>
    <w:basedOn w:val="style65"/>
    <w:next w:val="style4100"/>
    <w:link w:val="style4"/>
    <w:uiPriority w:val="9"/>
    <w:rPr>
      <w:rFonts w:cs="宋体" w:eastAsia="宋体"/>
      <w:i/>
      <w:iCs/>
      <w:color w:val="0f4761"/>
    </w:rPr>
  </w:style>
  <w:style w:type="character" w:customStyle="1" w:styleId="style4101">
    <w:name w:val="Heading 5 Char_099f7615-158e-48d4-befe-605a8bffdebc"/>
    <w:basedOn w:val="style65"/>
    <w:next w:val="style4101"/>
    <w:link w:val="style5"/>
    <w:uiPriority w:val="9"/>
    <w:rPr>
      <w:rFonts w:cs="宋体" w:eastAsia="宋体"/>
      <w:color w:val="0f4761"/>
    </w:rPr>
  </w:style>
  <w:style w:type="character" w:customStyle="1" w:styleId="style4102">
    <w:name w:val="Heading 6 Char_fe746482-0a75-4987-9eae-1a8642576866"/>
    <w:basedOn w:val="style65"/>
    <w:next w:val="style4102"/>
    <w:link w:val="style6"/>
    <w:uiPriority w:val="9"/>
    <w:rPr>
      <w:rFonts w:cs="宋体" w:eastAsia="宋体"/>
      <w:i/>
      <w:iCs/>
      <w:color w:val="595959"/>
    </w:rPr>
  </w:style>
  <w:style w:type="character" w:customStyle="1" w:styleId="style4103">
    <w:name w:val="Heading 7 Char_eb9f3965-7f70-43b3-8fe7-54778e427098"/>
    <w:basedOn w:val="style65"/>
    <w:next w:val="style4103"/>
    <w:link w:val="style7"/>
    <w:uiPriority w:val="9"/>
    <w:rPr>
      <w:rFonts w:cs="宋体" w:eastAsia="宋体"/>
      <w:color w:val="595959"/>
    </w:rPr>
  </w:style>
  <w:style w:type="character" w:customStyle="1" w:styleId="style4104">
    <w:name w:val="Heading 8 Char_c72daf4f-cae5-4830-97ad-3a1f0d03047a"/>
    <w:basedOn w:val="style65"/>
    <w:next w:val="style4104"/>
    <w:link w:val="style8"/>
    <w:uiPriority w:val="9"/>
    <w:rPr>
      <w:rFonts w:cs="宋体" w:eastAsia="宋体"/>
      <w:i/>
      <w:iCs/>
      <w:color w:val="272727"/>
    </w:rPr>
  </w:style>
  <w:style w:type="character" w:customStyle="1" w:styleId="style4105">
    <w:name w:val="Heading 9 Char_62a96f8e-e706-4597-b42d-19e5acee7d22"/>
    <w:basedOn w:val="style65"/>
    <w:next w:val="style4105"/>
    <w:link w:val="style9"/>
    <w:uiPriority w:val="9"/>
    <w:rPr>
      <w:rFonts w:cs="宋体" w:eastAsia="宋体"/>
      <w:color w:val="272727"/>
    </w:rPr>
  </w:style>
  <w:style w:type="paragraph" w:styleId="style62">
    <w:name w:val="Title"/>
    <w:basedOn w:val="style0"/>
    <w:next w:val="style0"/>
    <w:link w:val="style4106"/>
    <w:qFormat/>
    <w:uiPriority w:val="10"/>
    <w:pPr>
      <w:spacing w:after="80" w:lineRule="auto" w:line="240"/>
      <w:contextualSpacing/>
    </w:pPr>
    <w:rPr>
      <w:rFonts w:ascii="Aptos Display" w:cs="宋体" w:eastAsia="宋体" w:hAnsi="Aptos Display"/>
      <w:spacing w:val="-10"/>
      <w:kern w:val="28"/>
      <w:sz w:val="56"/>
      <w:szCs w:val="56"/>
    </w:rPr>
  </w:style>
  <w:style w:type="character" w:customStyle="1" w:styleId="style4106">
    <w:name w:val="Title Char_a52947b4-1dae-4bef-b4e5-aeebd9748685"/>
    <w:basedOn w:val="style65"/>
    <w:next w:val="style4106"/>
    <w:link w:val="style62"/>
    <w:uiPriority w:val="10"/>
    <w:rPr>
      <w:rFonts w:ascii="Aptos Display" w:cs="宋体" w:eastAsia="宋体" w:hAnsi="Aptos Display"/>
      <w:spacing w:val="-10"/>
      <w:kern w:val="28"/>
      <w:sz w:val="56"/>
      <w:szCs w:val="56"/>
    </w:rPr>
  </w:style>
  <w:style w:type="paragraph" w:styleId="style74">
    <w:name w:val="Subtitle"/>
    <w:basedOn w:val="style0"/>
    <w:next w:val="style0"/>
    <w:link w:val="style4107"/>
    <w:qFormat/>
    <w:uiPriority w:val="11"/>
    <w:pPr>
      <w:numPr>
        <w:ilvl w:val="1"/>
        <w:numId w:val="0"/>
      </w:numPr>
    </w:pPr>
    <w:rPr>
      <w:rFonts w:cs="宋体" w:eastAsia="宋体"/>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11a9c1da-9a87-43cd-8c5b-3d853e676906"/>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0f4761"/>
    </w:rPr>
  </w:style>
  <w:style w:type="paragraph" w:styleId="style181">
    <w:name w:val="Intense Quote"/>
    <w:basedOn w:val="style0"/>
    <w:next w:val="style0"/>
    <w:link w:val="style4109"/>
    <w:qFormat/>
    <w:uiPriority w:val="30"/>
    <w:pPr>
      <w:pBdr>
        <w:top w:val="single" w:sz="4" w:space="10" w:color="0f4761"/>
        <w:bottom w:val="single" w:sz="4" w:space="10" w:color="0f4761"/>
      </w:pBdr>
      <w:spacing w:before="360" w:after="360"/>
      <w:ind w:left="864" w:right="864"/>
      <w:jc w:val="center"/>
    </w:pPr>
    <w:rPr>
      <w:i/>
      <w:iCs/>
      <w:color w:val="0f4761"/>
    </w:rPr>
  </w:style>
  <w:style w:type="character" w:customStyle="1" w:styleId="style4109">
    <w:name w:val="Intense Quote Char_7ba88f54-aa46-4810-bd0b-8310a057fd66"/>
    <w:basedOn w:val="style65"/>
    <w:next w:val="style4109"/>
    <w:link w:val="style181"/>
    <w:uiPriority w:val="30"/>
    <w:rPr>
      <w:i/>
      <w:iCs/>
      <w:color w:val="0f4761"/>
    </w:rPr>
  </w:style>
  <w:style w:type="character" w:styleId="style263">
    <w:name w:val="Intense Reference"/>
    <w:basedOn w:val="style65"/>
    <w:next w:val="style263"/>
    <w:qFormat/>
    <w:uiPriority w:val="32"/>
    <w:rPr>
      <w:b/>
      <w:bCs/>
      <w:smallCaps/>
      <w:color w:val="0f4761"/>
      <w:spacing w:val="5"/>
    </w:rPr>
  </w:style>
  <w:style w:type="character" w:styleId="style85">
    <w:name w:val="Hyperlink"/>
    <w:basedOn w:val="style65"/>
    <w:next w:val="style85"/>
    <w:uiPriority w:val="99"/>
    <w:rPr>
      <w:color w:val="467886"/>
      <w:u w:val="single"/>
    </w:rPr>
  </w:style>
  <w:style w:type="character" w:customStyle="1" w:styleId="style4110">
    <w:name w:val="Unresolved Mention"/>
    <w:basedOn w:val="style65"/>
    <w:next w:val="style4110"/>
    <w:uiPriority w:val="99"/>
    <w:rPr>
      <w:color w:val="605e5c"/>
      <w:shd w:val="clear" w:color="auto" w:fill="e1dfdd"/>
    </w:rPr>
  </w:style>
  <w:style w:type="paragraph" w:styleId="style31">
    <w:name w:val="header"/>
    <w:basedOn w:val="style0"/>
    <w:next w:val="style31"/>
    <w:link w:val="style4111"/>
    <w:uiPriority w:val="99"/>
    <w:pPr>
      <w:tabs>
        <w:tab w:val="center" w:leader="none" w:pos="4680"/>
        <w:tab w:val="right" w:leader="none" w:pos="9360"/>
      </w:tabs>
      <w:spacing w:after="0" w:lineRule="auto" w:line="240"/>
    </w:pPr>
    <w:rPr/>
  </w:style>
  <w:style w:type="character" w:customStyle="1" w:styleId="style4111">
    <w:name w:val="Header Char_6a9dd7dc-8ae1-4475-ae73-b947488c8274"/>
    <w:basedOn w:val="style65"/>
    <w:next w:val="style4111"/>
    <w:link w:val="style31"/>
    <w:uiPriority w:val="99"/>
    <w:rPr>
      <w:rFonts w:ascii="Arial" w:hAnsi="Arial"/>
      <w:color w:val="000000"/>
    </w:rPr>
  </w:style>
  <w:style w:type="paragraph" w:styleId="style32">
    <w:name w:val="footer"/>
    <w:basedOn w:val="style0"/>
    <w:next w:val="style32"/>
    <w:link w:val="style4112"/>
    <w:uiPriority w:val="99"/>
    <w:pPr>
      <w:tabs>
        <w:tab w:val="center" w:leader="none" w:pos="4680"/>
        <w:tab w:val="right" w:leader="none" w:pos="9360"/>
      </w:tabs>
      <w:spacing w:after="0" w:lineRule="auto" w:line="240"/>
    </w:pPr>
    <w:rPr/>
  </w:style>
  <w:style w:type="character" w:customStyle="1" w:styleId="style4112">
    <w:name w:val="Footer Char_db919e4c-81e4-48e3-94a3-f1afeb816a15"/>
    <w:basedOn w:val="style65"/>
    <w:next w:val="style4112"/>
    <w:link w:val="style32"/>
    <w:uiPriority w:val="99"/>
    <w:rPr>
      <w:rFonts w:ascii="Arial" w:hAnsi="Arial"/>
      <w:color w:val="000000"/>
    </w:rPr>
  </w:style>
  <w:style w:type="paragraph" w:styleId="style266">
    <w:name w:val="TOC Heading"/>
    <w:basedOn w:val="style1"/>
    <w:next w:val="style0"/>
    <w:qFormat/>
    <w:uiPriority w:val="39"/>
    <w:pPr>
      <w:spacing w:before="240" w:after="0" w:lineRule="auto" w:line="259"/>
      <w:jc w:val="left"/>
      <w:outlineLvl w:val="9"/>
    </w:pPr>
    <w:rPr>
      <w:rFonts w:ascii="Aptos Display" w:hAnsi="Aptos Display"/>
      <w:b w:val="false"/>
      <w:color w:val="0f4761"/>
      <w:kern w:val="0"/>
      <w:sz w:val="32"/>
      <w:szCs w:val="32"/>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13"/>
    <w:uiPriority w:val="99"/>
    <w:pPr>
      <w:spacing w:lineRule="auto" w:line="240"/>
    </w:pPr>
    <w:rPr>
      <w:sz w:val="20"/>
      <w:szCs w:val="20"/>
    </w:rPr>
  </w:style>
  <w:style w:type="character" w:customStyle="1" w:styleId="style4113">
    <w:name w:val="Comment Text Char"/>
    <w:basedOn w:val="style65"/>
    <w:next w:val="style4113"/>
    <w:link w:val="style30"/>
    <w:uiPriority w:val="99"/>
    <w:rPr>
      <w:rFonts w:ascii="Arial" w:hAnsi="Arial"/>
      <w:color w:val="000000"/>
      <w:sz w:val="20"/>
      <w:szCs w:val="20"/>
      <w:lang w:val="en-GB"/>
    </w:rPr>
  </w:style>
  <w:style w:type="paragraph" w:styleId="style106">
    <w:name w:val="annotation subject"/>
    <w:basedOn w:val="style30"/>
    <w:next w:val="style30"/>
    <w:link w:val="style4114"/>
    <w:uiPriority w:val="99"/>
    <w:pPr/>
    <w:rPr>
      <w:b/>
      <w:bCs/>
    </w:rPr>
  </w:style>
  <w:style w:type="character" w:customStyle="1" w:styleId="style4114">
    <w:name w:val="Comment Subject Char"/>
    <w:basedOn w:val="style4113"/>
    <w:next w:val="style4114"/>
    <w:link w:val="style106"/>
    <w:uiPriority w:val="99"/>
    <w:rPr>
      <w:rFonts w:ascii="Arial" w:hAnsi="Arial"/>
      <w:b/>
      <w:bCs/>
      <w:color w:val="000000"/>
      <w:sz w:val="20"/>
      <w:szCs w:val="20"/>
      <w:lang w:val="en-GB"/>
    </w:rPr>
  </w:style>
  <w:style w:type="paragraph" w:styleId="style178">
    <w:name w:val="Revision"/>
    <w:next w:val="style178"/>
    <w:uiPriority w:val="99"/>
    <w:pPr>
      <w:spacing w:after="0" w:lineRule="auto" w:line="240"/>
    </w:pPr>
    <w:rPr>
      <w:rFonts w:ascii="Arial" w:hAnsi="Arial"/>
      <w:color w:val="000000"/>
      <w:lang w:val="en-GB"/>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21">
    <w:name w:val="toc 3"/>
    <w:basedOn w:val="style0"/>
    <w:next w:val="style0"/>
    <w:uiPriority w:val="39"/>
    <w:pPr>
      <w:spacing w:after="100"/>
      <w:ind w:left="480"/>
    </w:pPr>
    <w:rPr/>
  </w:style>
</w:styles>
</file>

<file path=word/_rels/document.xml.rels><?xml version="1.0" encoding="UTF-8"?>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4.png"/><Relationship Id="rId13" Type="http://schemas.microsoft.com/office/2007/relationships/diagramDrawing" Target="diagrams/drawing1.xml"/><Relationship Id="rId12" Type="http://schemas.openxmlformats.org/officeDocument/2006/relationships/footer" Target="footer1.xml"/><Relationship Id="rId1" Type="http://schemas.openxmlformats.org/officeDocument/2006/relationships/numbering" Target="numbering.xml"/><Relationship Id="rId2" Type="http://schemas.openxmlformats.org/officeDocument/2006/relationships/image" Target="media/image1.png"/><Relationship Id="rId4" Type="http://schemas.openxmlformats.org/officeDocument/2006/relationships/diagramData" Target="diagrams/data1.xml"/><Relationship Id="rId9" Type="http://schemas.openxmlformats.org/officeDocument/2006/relationships/image" Target="media/image3.png"/><Relationship Id="rId15" Type="http://schemas.openxmlformats.org/officeDocument/2006/relationships/fontTable" Target="fontTable.xml"/><Relationship Id="rId14" Type="http://schemas.openxmlformats.org/officeDocument/2006/relationships/styles" Target="styles.xml"/><Relationship Id="rId17" Type="http://schemas.openxmlformats.org/officeDocument/2006/relationships/theme" Target="theme/theme1.xml"/><Relationship Id="rId16" Type="http://schemas.openxmlformats.org/officeDocument/2006/relationships/settings" Target="settings.xml"/><Relationship Id="rId5" Type="http://schemas.openxmlformats.org/officeDocument/2006/relationships/diagramLayout" Target="diagrams/layout1.xml"/><Relationship Id="rId6" Type="http://schemas.openxmlformats.org/officeDocument/2006/relationships/diagramQuickStyle" Target="diagrams/quickStyle1.xml"/><Relationship Id="rId18" Type="http://schemas.openxmlformats.org/officeDocument/2006/relationships/customXml" Target="../customXml/item1.xml"/><Relationship Id="rId7" Type="http://schemas.openxmlformats.org/officeDocument/2006/relationships/diagramColors" Target="diagrams/colors1.xml"/><Relationship Id="rId8"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4B4B3D3-AF4F-475B-A585-D2CD56161A81}" type="doc">
      <dgm:prSet loTypeId="urn:microsoft.com/office/officeart/2005/8/layout/matrix3" loCatId="matrix" qsTypeId="urn:microsoft.com/office/officeart/2005/8/quickstyle/simple1" qsCatId="simple" csTypeId="urn:microsoft.com/office/officeart/2005/8/colors/colorful2" csCatId="colorful" phldr="1"/>
      <dgm:spPr/>
      <dgm:t>
        <a:bodyPr/>
        <a:lstStyle/>
        <a:p>
          <a:endParaRPr lang="en-GB"/>
        </a:p>
      </dgm:t>
    </dgm:pt>
    <dgm:pt modelId="{ADDC5FCB-2153-4E04-BA7A-8304149AA89B}">
      <dgm:prSet phldrT="[Text]"/>
      <dgm:spPr/>
      <dgm:t>
        <a:bodyPr/>
        <a:lstStyle/>
        <a:p>
          <a:pPr>
            <a:buNone/>
          </a:pPr>
          <a:r>
            <a:rPr lang="en-GB" b="1"/>
            <a:t>Multinational</a:t>
          </a:r>
        </a:p>
      </dgm:t>
    </dgm:pt>
    <dgm:pt modelId="{5F386FE2-8171-4518-91A2-64AC7EB5D045}" type="parTrans" cxnId="{6B57B3CF-3F82-4306-BD20-B3722D5A8F5A}">
      <dgm:prSet/>
      <dgm:spPr/>
      <dgm:t>
        <a:bodyPr/>
        <a:lstStyle/>
        <a:p>
          <a:endParaRPr lang="en-GB"/>
        </a:p>
      </dgm:t>
    </dgm:pt>
    <dgm:pt modelId="{A8A8F72A-98DA-498D-A1A4-012F5678C153}" type="sibTrans" cxnId="{6B57B3CF-3F82-4306-BD20-B3722D5A8F5A}">
      <dgm:prSet/>
      <dgm:spPr/>
      <dgm:t>
        <a:bodyPr/>
        <a:lstStyle/>
        <a:p>
          <a:endParaRPr lang="en-GB"/>
        </a:p>
      </dgm:t>
    </dgm:pt>
    <dgm:pt modelId="{DBBD151E-1D26-46B7-8DC6-06CC6D041D46}">
      <dgm:prSet phldrT="[Text]"/>
      <dgm:spPr/>
      <dgm:t>
        <a:bodyPr/>
        <a:lstStyle/>
        <a:p>
          <a:pPr>
            <a:buNone/>
          </a:pPr>
          <a:r>
            <a:rPr lang="en-GB" b="1"/>
            <a:t>International</a:t>
          </a:r>
        </a:p>
      </dgm:t>
    </dgm:pt>
    <dgm:pt modelId="{35FC7BBE-3FAD-4326-8DEC-3D96947D03DB}" type="parTrans" cxnId="{EC6342AE-67B6-4634-BA13-83BC154B7731}">
      <dgm:prSet/>
      <dgm:spPr/>
      <dgm:t>
        <a:bodyPr/>
        <a:lstStyle/>
        <a:p>
          <a:endParaRPr lang="en-GB"/>
        </a:p>
      </dgm:t>
    </dgm:pt>
    <dgm:pt modelId="{8A759720-5875-42F6-A3E3-86C9F1D450A5}" type="sibTrans" cxnId="{EC6342AE-67B6-4634-BA13-83BC154B7731}">
      <dgm:prSet/>
      <dgm:spPr/>
      <dgm:t>
        <a:bodyPr/>
        <a:lstStyle/>
        <a:p>
          <a:endParaRPr lang="en-GB"/>
        </a:p>
      </dgm:t>
    </dgm:pt>
    <dgm:pt modelId="{B56EE56E-E493-4FF5-B396-15FD483F34FF}">
      <dgm:prSet phldrT="[Text]"/>
      <dgm:spPr/>
      <dgm:t>
        <a:bodyPr/>
        <a:lstStyle/>
        <a:p>
          <a:pPr>
            <a:buNone/>
          </a:pPr>
          <a:r>
            <a:rPr lang="en-GB" b="1"/>
            <a:t>Transnational</a:t>
          </a:r>
        </a:p>
      </dgm:t>
    </dgm:pt>
    <dgm:pt modelId="{EDF5DFC1-75A8-4644-A26B-BFC60C972D0D}" type="parTrans" cxnId="{0C6F3DD6-0A36-4662-A233-0B9E071198F0}">
      <dgm:prSet/>
      <dgm:spPr/>
      <dgm:t>
        <a:bodyPr/>
        <a:lstStyle/>
        <a:p>
          <a:endParaRPr lang="en-GB"/>
        </a:p>
      </dgm:t>
    </dgm:pt>
    <dgm:pt modelId="{02A5DC77-E49D-42E9-B5B3-8764B2ECB738}" type="sibTrans" cxnId="{0C6F3DD6-0A36-4662-A233-0B9E071198F0}">
      <dgm:prSet/>
      <dgm:spPr/>
      <dgm:t>
        <a:bodyPr/>
        <a:lstStyle/>
        <a:p>
          <a:endParaRPr lang="en-GB"/>
        </a:p>
      </dgm:t>
    </dgm:pt>
    <dgm:pt modelId="{2EC8C2A6-3F0E-4002-B556-A6BBEB174945}">
      <dgm:prSet phldrT="[Text]"/>
      <dgm:spPr/>
      <dgm:t>
        <a:bodyPr/>
        <a:lstStyle/>
        <a:p>
          <a:pPr>
            <a:buNone/>
          </a:pPr>
          <a:r>
            <a:rPr lang="en-GB" b="1"/>
            <a:t>Global</a:t>
          </a:r>
        </a:p>
      </dgm:t>
    </dgm:pt>
    <dgm:pt modelId="{FAABABB4-F27F-4647-A042-A83A7BE139A9}" type="parTrans" cxnId="{AFEC309D-36B5-4942-8716-6F99834997AC}">
      <dgm:prSet/>
      <dgm:spPr/>
      <dgm:t>
        <a:bodyPr/>
        <a:lstStyle/>
        <a:p>
          <a:endParaRPr lang="en-GB"/>
        </a:p>
      </dgm:t>
    </dgm:pt>
    <dgm:pt modelId="{1EE8B5A6-82C6-4FC1-BAD7-1644B7B63E58}" type="sibTrans" cxnId="{AFEC309D-36B5-4942-8716-6F99834997AC}">
      <dgm:prSet/>
      <dgm:spPr/>
      <dgm:t>
        <a:bodyPr/>
        <a:lstStyle/>
        <a:p>
          <a:endParaRPr lang="en-GB"/>
        </a:p>
      </dgm:t>
    </dgm:pt>
    <dgm:pt modelId="{4E2A01AA-E1AC-4085-A897-3A53EC653796}">
      <dgm:prSet phldrT="[Text]"/>
      <dgm:spPr/>
      <dgm:t>
        <a:bodyPr/>
        <a:lstStyle/>
        <a:p>
          <a:pPr>
            <a:buNone/>
          </a:pPr>
          <a:r>
            <a:rPr lang="en-GB"/>
            <a:t>Diversification of products and services based on needs of local market</a:t>
          </a:r>
        </a:p>
      </dgm:t>
    </dgm:pt>
    <dgm:pt modelId="{A33B6A8D-34F3-4E7F-A883-227DD9FF8658}" type="parTrans" cxnId="{916E8F75-B76B-49EC-8353-6E83F02E9D85}">
      <dgm:prSet/>
      <dgm:spPr/>
      <dgm:t>
        <a:bodyPr/>
        <a:lstStyle/>
        <a:p>
          <a:endParaRPr lang="en-GB"/>
        </a:p>
      </dgm:t>
    </dgm:pt>
    <dgm:pt modelId="{22F39254-959D-4E46-80D0-E2752EC8DD96}" type="sibTrans" cxnId="{916E8F75-B76B-49EC-8353-6E83F02E9D85}">
      <dgm:prSet/>
      <dgm:spPr/>
      <dgm:t>
        <a:bodyPr/>
        <a:lstStyle/>
        <a:p>
          <a:endParaRPr lang="en-GB"/>
        </a:p>
      </dgm:t>
    </dgm:pt>
    <dgm:pt modelId="{A610BF8E-7952-4585-82C6-5F0DA4E88967}">
      <dgm:prSet phldrT="[Text]"/>
      <dgm:spPr/>
      <dgm:t>
        <a:bodyPr/>
        <a:lstStyle/>
        <a:p>
          <a:pPr>
            <a:buNone/>
          </a:pPr>
          <a:r>
            <a:rPr lang="en-GB"/>
            <a:t>Transfering key technology to other markets and considering local responsiveness</a:t>
          </a:r>
        </a:p>
      </dgm:t>
    </dgm:pt>
    <dgm:pt modelId="{6ADB35DC-D9AF-430F-9B28-C46E37B11599}" type="parTrans" cxnId="{3EF7BCE6-1152-4323-BB07-B224E9371BA7}">
      <dgm:prSet/>
      <dgm:spPr/>
      <dgm:t>
        <a:bodyPr/>
        <a:lstStyle/>
        <a:p>
          <a:endParaRPr lang="en-GB"/>
        </a:p>
      </dgm:t>
    </dgm:pt>
    <dgm:pt modelId="{C4FA9153-9153-439A-8D30-58612E20E476}" type="sibTrans" cxnId="{3EF7BCE6-1152-4323-BB07-B224E9371BA7}">
      <dgm:prSet/>
      <dgm:spPr/>
      <dgm:t>
        <a:bodyPr/>
        <a:lstStyle/>
        <a:p>
          <a:endParaRPr lang="en-GB"/>
        </a:p>
      </dgm:t>
    </dgm:pt>
    <dgm:pt modelId="{357E0383-AFDE-4931-9A24-621C36C1E014}">
      <dgm:prSet phldrT="[Text]"/>
      <dgm:spPr/>
      <dgm:t>
        <a:bodyPr/>
        <a:lstStyle/>
        <a:p>
          <a:pPr>
            <a:buNone/>
          </a:pPr>
          <a:r>
            <a:rPr lang="en-GB"/>
            <a:t>Export-oriented and cost-effective competitive position</a:t>
          </a:r>
        </a:p>
      </dgm:t>
    </dgm:pt>
    <dgm:pt modelId="{F83A800B-AE3F-4D1B-9D89-EE363FEBB8A6}" type="parTrans" cxnId="{F2CFB703-89B5-4419-B008-FC34FF4D5E55}">
      <dgm:prSet/>
      <dgm:spPr/>
      <dgm:t>
        <a:bodyPr/>
        <a:lstStyle/>
        <a:p>
          <a:endParaRPr lang="en-GB"/>
        </a:p>
      </dgm:t>
    </dgm:pt>
    <dgm:pt modelId="{7BE11B47-68A2-4451-892C-79DFC9EC0D63}" type="sibTrans" cxnId="{F2CFB703-89B5-4419-B008-FC34FF4D5E55}">
      <dgm:prSet/>
      <dgm:spPr/>
      <dgm:t>
        <a:bodyPr/>
        <a:lstStyle/>
        <a:p>
          <a:endParaRPr lang="en-GB"/>
        </a:p>
      </dgm:t>
    </dgm:pt>
    <dgm:pt modelId="{2A50C21B-2718-46E2-837A-F6BE7BC20FCA}">
      <dgm:prSet phldrT="[Text]"/>
      <dgm:spPr/>
      <dgm:t>
        <a:bodyPr/>
        <a:lstStyle/>
        <a:p>
          <a:pPr>
            <a:buNone/>
          </a:pPr>
          <a:r>
            <a:rPr lang="en-GB"/>
            <a:t>Diversity, standardisation and transfer</a:t>
          </a:r>
        </a:p>
      </dgm:t>
    </dgm:pt>
    <dgm:pt modelId="{7920AF6F-D308-4D28-BD0C-A7995842EA02}" type="parTrans" cxnId="{24F3F8A5-ADFE-4192-A417-75E9518A35DD}">
      <dgm:prSet/>
      <dgm:spPr/>
      <dgm:t>
        <a:bodyPr/>
        <a:lstStyle/>
        <a:p>
          <a:endParaRPr lang="en-GB"/>
        </a:p>
      </dgm:t>
    </dgm:pt>
    <dgm:pt modelId="{5399B1EE-C8FD-4F48-A0B9-35D1D5DD75BE}" type="sibTrans" cxnId="{24F3F8A5-ADFE-4192-A417-75E9518A35DD}">
      <dgm:prSet/>
      <dgm:spPr/>
      <dgm:t>
        <a:bodyPr/>
        <a:lstStyle/>
        <a:p>
          <a:endParaRPr lang="en-GB"/>
        </a:p>
      </dgm:t>
    </dgm:pt>
    <dgm:pt modelId="{CF26AB1F-D16A-459E-A2D9-34EC706D9C94}" type="pres">
      <dgm:prSet presAssocID="{44B4B3D3-AF4F-475B-A585-D2CD56161A81}" presName="matrix" presStyleCnt="0">
        <dgm:presLayoutVars>
          <dgm:chMax val="1"/>
          <dgm:dir/>
          <dgm:resizeHandles val="exact"/>
        </dgm:presLayoutVars>
      </dgm:prSet>
      <dgm:spPr/>
    </dgm:pt>
    <dgm:pt modelId="{6DA8833C-6086-4736-A01D-3FBACC9DDDB2}" type="pres">
      <dgm:prSet presAssocID="{44B4B3D3-AF4F-475B-A585-D2CD56161A81}" presName="diamond" presStyleLbl="bgShp" presStyleIdx="0" presStyleCnt="1"/>
      <dgm:spPr/>
    </dgm:pt>
    <dgm:pt modelId="{37D12CCD-19FF-42D6-8767-9D06F0E54C13}" type="pres">
      <dgm:prSet presAssocID="{44B4B3D3-AF4F-475B-A585-D2CD56161A81}" presName="quad1" presStyleLbl="node1" presStyleIdx="0" presStyleCnt="4">
        <dgm:presLayoutVars>
          <dgm:chMax val="0"/>
          <dgm:chPref val="0"/>
          <dgm:bulletEnabled val="1"/>
        </dgm:presLayoutVars>
      </dgm:prSet>
      <dgm:spPr/>
    </dgm:pt>
    <dgm:pt modelId="{6AE16ECE-B7A6-439B-9E9D-25EB8A4D00F8}" type="pres">
      <dgm:prSet presAssocID="{44B4B3D3-AF4F-475B-A585-D2CD56161A81}" presName="quad2" presStyleLbl="node1" presStyleIdx="1" presStyleCnt="4">
        <dgm:presLayoutVars>
          <dgm:chMax val="0"/>
          <dgm:chPref val="0"/>
          <dgm:bulletEnabled val="1"/>
        </dgm:presLayoutVars>
      </dgm:prSet>
      <dgm:spPr/>
    </dgm:pt>
    <dgm:pt modelId="{651B3C04-886F-4191-B1F5-6D28D884A8EC}" type="pres">
      <dgm:prSet presAssocID="{44B4B3D3-AF4F-475B-A585-D2CD56161A81}" presName="quad3" presStyleLbl="node1" presStyleIdx="2" presStyleCnt="4">
        <dgm:presLayoutVars>
          <dgm:chMax val="0"/>
          <dgm:chPref val="0"/>
          <dgm:bulletEnabled val="1"/>
        </dgm:presLayoutVars>
      </dgm:prSet>
      <dgm:spPr/>
    </dgm:pt>
    <dgm:pt modelId="{6D97CD25-6CF0-4C79-8300-95B8775DDD6A}" type="pres">
      <dgm:prSet presAssocID="{44B4B3D3-AF4F-475B-A585-D2CD56161A81}" presName="quad4" presStyleLbl="node1" presStyleIdx="3" presStyleCnt="4">
        <dgm:presLayoutVars>
          <dgm:chMax val="0"/>
          <dgm:chPref val="0"/>
          <dgm:bulletEnabled val="1"/>
        </dgm:presLayoutVars>
      </dgm:prSet>
      <dgm:spPr/>
    </dgm:pt>
  </dgm:ptLst>
  <dgm:cxnLst>
    <dgm:cxn modelId="{F2CFB703-89B5-4419-B008-FC34FF4D5E55}" srcId="{2EC8C2A6-3F0E-4002-B556-A6BBEB174945}" destId="{357E0383-AFDE-4931-9A24-621C36C1E014}" srcOrd="0" destOrd="0" parTransId="{F83A800B-AE3F-4D1B-9D89-EE363FEBB8A6}" sibTransId="{7BE11B47-68A2-4451-892C-79DFC9EC0D63}"/>
    <dgm:cxn modelId="{2B5F8F15-FCC0-4ADF-B267-5C2BD3E23CC4}" type="presOf" srcId="{4E2A01AA-E1AC-4085-A897-3A53EC653796}" destId="{37D12CCD-19FF-42D6-8767-9D06F0E54C13}" srcOrd="0" destOrd="1" presId="urn:microsoft.com/office/officeart/2005/8/layout/matrix3"/>
    <dgm:cxn modelId="{667E1216-FF4F-4448-A32F-5ACF99AA85E9}" type="presOf" srcId="{357E0383-AFDE-4931-9A24-621C36C1E014}" destId="{6D97CD25-6CF0-4C79-8300-95B8775DDD6A}" srcOrd="0" destOrd="1" presId="urn:microsoft.com/office/officeart/2005/8/layout/matrix3"/>
    <dgm:cxn modelId="{C36B862D-6923-4C21-80F7-8B4C5EAE960D}" type="presOf" srcId="{2EC8C2A6-3F0E-4002-B556-A6BBEB174945}" destId="{6D97CD25-6CF0-4C79-8300-95B8775DDD6A}" srcOrd="0" destOrd="0" presId="urn:microsoft.com/office/officeart/2005/8/layout/matrix3"/>
    <dgm:cxn modelId="{916E8F75-B76B-49EC-8353-6E83F02E9D85}" srcId="{ADDC5FCB-2153-4E04-BA7A-8304149AA89B}" destId="{4E2A01AA-E1AC-4085-A897-3A53EC653796}" srcOrd="0" destOrd="0" parTransId="{A33B6A8D-34F3-4E7F-A883-227DD9FF8658}" sibTransId="{22F39254-959D-4E46-80D0-E2752EC8DD96}"/>
    <dgm:cxn modelId="{940AFA57-D2D1-4517-8B1A-3958C3F3116F}" type="presOf" srcId="{DBBD151E-1D26-46B7-8DC6-06CC6D041D46}" destId="{6AE16ECE-B7A6-439B-9E9D-25EB8A4D00F8}" srcOrd="0" destOrd="0" presId="urn:microsoft.com/office/officeart/2005/8/layout/matrix3"/>
    <dgm:cxn modelId="{AFEC309D-36B5-4942-8716-6F99834997AC}" srcId="{44B4B3D3-AF4F-475B-A585-D2CD56161A81}" destId="{2EC8C2A6-3F0E-4002-B556-A6BBEB174945}" srcOrd="3" destOrd="0" parTransId="{FAABABB4-F27F-4647-A042-A83A7BE139A9}" sibTransId="{1EE8B5A6-82C6-4FC1-BAD7-1644B7B63E58}"/>
    <dgm:cxn modelId="{24F3F8A5-ADFE-4192-A417-75E9518A35DD}" srcId="{B56EE56E-E493-4FF5-B396-15FD483F34FF}" destId="{2A50C21B-2718-46E2-837A-F6BE7BC20FCA}" srcOrd="0" destOrd="0" parTransId="{7920AF6F-D308-4D28-BD0C-A7995842EA02}" sibTransId="{5399B1EE-C8FD-4F48-A0B9-35D1D5DD75BE}"/>
    <dgm:cxn modelId="{EC6342AE-67B6-4634-BA13-83BC154B7731}" srcId="{44B4B3D3-AF4F-475B-A585-D2CD56161A81}" destId="{DBBD151E-1D26-46B7-8DC6-06CC6D041D46}" srcOrd="1" destOrd="0" parTransId="{35FC7BBE-3FAD-4326-8DEC-3D96947D03DB}" sibTransId="{8A759720-5875-42F6-A3E3-86C9F1D450A5}"/>
    <dgm:cxn modelId="{057C96C5-157E-4FA7-9AFF-2F444056119E}" type="presOf" srcId="{B56EE56E-E493-4FF5-B396-15FD483F34FF}" destId="{651B3C04-886F-4191-B1F5-6D28D884A8EC}" srcOrd="0" destOrd="0" presId="urn:microsoft.com/office/officeart/2005/8/layout/matrix3"/>
    <dgm:cxn modelId="{6B57B3CF-3F82-4306-BD20-B3722D5A8F5A}" srcId="{44B4B3D3-AF4F-475B-A585-D2CD56161A81}" destId="{ADDC5FCB-2153-4E04-BA7A-8304149AA89B}" srcOrd="0" destOrd="0" parTransId="{5F386FE2-8171-4518-91A2-64AC7EB5D045}" sibTransId="{A8A8F72A-98DA-498D-A1A4-012F5678C153}"/>
    <dgm:cxn modelId="{E35D00D2-E06E-4316-8E57-9C999C467679}" type="presOf" srcId="{44B4B3D3-AF4F-475B-A585-D2CD56161A81}" destId="{CF26AB1F-D16A-459E-A2D9-34EC706D9C94}" srcOrd="0" destOrd="0" presId="urn:microsoft.com/office/officeart/2005/8/layout/matrix3"/>
    <dgm:cxn modelId="{0C6F3DD6-0A36-4662-A233-0B9E071198F0}" srcId="{44B4B3D3-AF4F-475B-A585-D2CD56161A81}" destId="{B56EE56E-E493-4FF5-B396-15FD483F34FF}" srcOrd="2" destOrd="0" parTransId="{EDF5DFC1-75A8-4644-A26B-BFC60C972D0D}" sibTransId="{02A5DC77-E49D-42E9-B5B3-8764B2ECB738}"/>
    <dgm:cxn modelId="{3EF7BCE6-1152-4323-BB07-B224E9371BA7}" srcId="{DBBD151E-1D26-46B7-8DC6-06CC6D041D46}" destId="{A610BF8E-7952-4585-82C6-5F0DA4E88967}" srcOrd="0" destOrd="0" parTransId="{6ADB35DC-D9AF-430F-9B28-C46E37B11599}" sibTransId="{C4FA9153-9153-439A-8D30-58612E20E476}"/>
    <dgm:cxn modelId="{2BB5BBEC-A350-47EA-9461-B225A9FCE476}" type="presOf" srcId="{A610BF8E-7952-4585-82C6-5F0DA4E88967}" destId="{6AE16ECE-B7A6-439B-9E9D-25EB8A4D00F8}" srcOrd="0" destOrd="1" presId="urn:microsoft.com/office/officeart/2005/8/layout/matrix3"/>
    <dgm:cxn modelId="{6FD789F7-8F98-4577-8FB1-DDE63832CB39}" type="presOf" srcId="{2A50C21B-2718-46E2-837A-F6BE7BC20FCA}" destId="{651B3C04-886F-4191-B1F5-6D28D884A8EC}" srcOrd="0" destOrd="1" presId="urn:microsoft.com/office/officeart/2005/8/layout/matrix3"/>
    <dgm:cxn modelId="{D05E69F9-AE16-48AA-B2D3-43DFFFA7BEC2}" type="presOf" srcId="{ADDC5FCB-2153-4E04-BA7A-8304149AA89B}" destId="{37D12CCD-19FF-42D6-8767-9D06F0E54C13}" srcOrd="0" destOrd="0" presId="urn:microsoft.com/office/officeart/2005/8/layout/matrix3"/>
    <dgm:cxn modelId="{2C7786E1-3B19-4703-A202-4219153315C2}" type="presParOf" srcId="{CF26AB1F-D16A-459E-A2D9-34EC706D9C94}" destId="{6DA8833C-6086-4736-A01D-3FBACC9DDDB2}" srcOrd="0" destOrd="0" presId="urn:microsoft.com/office/officeart/2005/8/layout/matrix3"/>
    <dgm:cxn modelId="{F7E12DB6-6E1C-4B4B-AC92-EEB34052520B}" type="presParOf" srcId="{CF26AB1F-D16A-459E-A2D9-34EC706D9C94}" destId="{37D12CCD-19FF-42D6-8767-9D06F0E54C13}" srcOrd="1" destOrd="0" presId="urn:microsoft.com/office/officeart/2005/8/layout/matrix3"/>
    <dgm:cxn modelId="{9E9D29EA-439C-4E1C-AEAD-B25E04D2EA52}" type="presParOf" srcId="{CF26AB1F-D16A-459E-A2D9-34EC706D9C94}" destId="{6AE16ECE-B7A6-439B-9E9D-25EB8A4D00F8}" srcOrd="2" destOrd="0" presId="urn:microsoft.com/office/officeart/2005/8/layout/matrix3"/>
    <dgm:cxn modelId="{7B63A1C6-CDD7-4FB1-837A-E6566D4E599E}" type="presParOf" srcId="{CF26AB1F-D16A-459E-A2D9-34EC706D9C94}" destId="{651B3C04-886F-4191-B1F5-6D28D884A8EC}" srcOrd="3" destOrd="0" presId="urn:microsoft.com/office/officeart/2005/8/layout/matrix3"/>
    <dgm:cxn modelId="{B3F8B94C-9886-4578-9244-76893777409F}" type="presParOf" srcId="{CF26AB1F-D16A-459E-A2D9-34EC706D9C94}" destId="{6D97CD25-6CF0-4C79-8300-95B8775DDD6A}" srcOrd="4" destOrd="0" presId="urn:microsoft.com/office/officeart/2005/8/layout/matrix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A8833C-6086-4736-A01D-3FBACC9DDDB2}">
      <dsp:nvSpPr>
        <dsp:cNvPr id="0" name=""/>
        <dsp:cNvSpPr/>
      </dsp:nvSpPr>
      <dsp:spPr>
        <a:xfrm>
          <a:off x="438149" y="0"/>
          <a:ext cx="3200400" cy="3200400"/>
        </a:xfrm>
        <a:prstGeom prst="diamond">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7D12CCD-19FF-42D6-8767-9D06F0E54C13}">
      <dsp:nvSpPr>
        <dsp:cNvPr id="0" name=""/>
        <dsp:cNvSpPr/>
      </dsp:nvSpPr>
      <dsp:spPr>
        <a:xfrm>
          <a:off x="742187" y="304038"/>
          <a:ext cx="1248156" cy="1248156"/>
        </a:xfrm>
        <a:prstGeom prst="round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t>Multinational</a:t>
          </a:r>
        </a:p>
        <a:p>
          <a:pPr marL="57150" lvl="1" indent="-57150" algn="l" defTabSz="400050">
            <a:lnSpc>
              <a:spcPct val="90000"/>
            </a:lnSpc>
            <a:spcBef>
              <a:spcPct val="0"/>
            </a:spcBef>
            <a:spcAft>
              <a:spcPct val="15000"/>
            </a:spcAft>
            <a:buNone/>
          </a:pPr>
          <a:r>
            <a:rPr lang="en-GB" sz="900" kern="1200"/>
            <a:t>Diversification of products and services based on needs of local market</a:t>
          </a:r>
        </a:p>
      </dsp:txBody>
      <dsp:txXfrm>
        <a:off x="803117" y="364968"/>
        <a:ext cx="1126296" cy="1126296"/>
      </dsp:txXfrm>
    </dsp:sp>
    <dsp:sp modelId="{6AE16ECE-B7A6-439B-9E9D-25EB8A4D00F8}">
      <dsp:nvSpPr>
        <dsp:cNvPr id="0" name=""/>
        <dsp:cNvSpPr/>
      </dsp:nvSpPr>
      <dsp:spPr>
        <a:xfrm>
          <a:off x="2086356" y="304038"/>
          <a:ext cx="1248156" cy="1248156"/>
        </a:xfrm>
        <a:prstGeom prst="roundRect">
          <a:avLst/>
        </a:prstGeom>
        <a:solidFill>
          <a:schemeClr val="accent2">
            <a:hueOff val="2147871"/>
            <a:satOff val="-6164"/>
            <a:lumOff val="-987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t>International</a:t>
          </a:r>
        </a:p>
        <a:p>
          <a:pPr marL="57150" lvl="1" indent="-57150" algn="l" defTabSz="400050">
            <a:lnSpc>
              <a:spcPct val="90000"/>
            </a:lnSpc>
            <a:spcBef>
              <a:spcPct val="0"/>
            </a:spcBef>
            <a:spcAft>
              <a:spcPct val="15000"/>
            </a:spcAft>
            <a:buNone/>
          </a:pPr>
          <a:r>
            <a:rPr lang="en-GB" sz="900" kern="1200"/>
            <a:t>Transfering key technology to other markets and considering local responsiveness</a:t>
          </a:r>
        </a:p>
      </dsp:txBody>
      <dsp:txXfrm>
        <a:off x="2147286" y="364968"/>
        <a:ext cx="1126296" cy="1126296"/>
      </dsp:txXfrm>
    </dsp:sp>
    <dsp:sp modelId="{651B3C04-886F-4191-B1F5-6D28D884A8EC}">
      <dsp:nvSpPr>
        <dsp:cNvPr id="0" name=""/>
        <dsp:cNvSpPr/>
      </dsp:nvSpPr>
      <dsp:spPr>
        <a:xfrm>
          <a:off x="742187" y="1648206"/>
          <a:ext cx="1248156" cy="1248156"/>
        </a:xfrm>
        <a:prstGeom prst="roundRect">
          <a:avLst/>
        </a:prstGeom>
        <a:solidFill>
          <a:schemeClr val="accent2">
            <a:hueOff val="4295743"/>
            <a:satOff val="-12329"/>
            <a:lumOff val="-19739"/>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t>Transnational</a:t>
          </a:r>
        </a:p>
        <a:p>
          <a:pPr marL="57150" lvl="1" indent="-57150" algn="l" defTabSz="400050">
            <a:lnSpc>
              <a:spcPct val="90000"/>
            </a:lnSpc>
            <a:spcBef>
              <a:spcPct val="0"/>
            </a:spcBef>
            <a:spcAft>
              <a:spcPct val="15000"/>
            </a:spcAft>
            <a:buNone/>
          </a:pPr>
          <a:r>
            <a:rPr lang="en-GB" sz="900" kern="1200"/>
            <a:t>Diversity, standardisation and transfer</a:t>
          </a:r>
        </a:p>
      </dsp:txBody>
      <dsp:txXfrm>
        <a:off x="803117" y="1709136"/>
        <a:ext cx="1126296" cy="1126296"/>
      </dsp:txXfrm>
    </dsp:sp>
    <dsp:sp modelId="{6D97CD25-6CF0-4C79-8300-95B8775DDD6A}">
      <dsp:nvSpPr>
        <dsp:cNvPr id="0" name=""/>
        <dsp:cNvSpPr/>
      </dsp:nvSpPr>
      <dsp:spPr>
        <a:xfrm>
          <a:off x="2086356" y="1648206"/>
          <a:ext cx="1248156" cy="1248156"/>
        </a:xfrm>
        <a:prstGeom prst="roundRect">
          <a:avLst/>
        </a:prstGeom>
        <a:solidFill>
          <a:schemeClr val="accent2">
            <a:hueOff val="6443614"/>
            <a:satOff val="-18493"/>
            <a:lumOff val="-29609"/>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t>Global</a:t>
          </a:r>
        </a:p>
        <a:p>
          <a:pPr marL="57150" lvl="1" indent="-57150" algn="l" defTabSz="400050">
            <a:lnSpc>
              <a:spcPct val="90000"/>
            </a:lnSpc>
            <a:spcBef>
              <a:spcPct val="0"/>
            </a:spcBef>
            <a:spcAft>
              <a:spcPct val="15000"/>
            </a:spcAft>
            <a:buNone/>
          </a:pPr>
          <a:r>
            <a:rPr lang="en-GB" sz="900" kern="1200"/>
            <a:t>Export-oriented and cost-effective competitive position</a:t>
          </a:r>
        </a:p>
      </dsp:txBody>
      <dsp:txXfrm>
        <a:off x="214728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9E206-3600-4791-9584-62891E46D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1299</TotalTime>
  <Words>6315</Words>
  <Pages>29</Pages>
  <Characters>43749</Characters>
  <Application>WPS Office</Application>
  <DocSecurity>0</DocSecurity>
  <Paragraphs>215</Paragraphs>
  <ScaleCrop>false</ScaleCrop>
  <LinksUpToDate>false</LinksUpToDate>
  <CharactersWithSpaces>49975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2026-07-30T16:24:00Z</dcterms:created>
  <dc:creator>WPS Office</dc:creator>
  <lastModifiedBy>SM-A176B</lastModifiedBy>
  <dcterms:modified xsi:type="dcterms:W3CDTF">2026-08-13T21:31:10Z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6881c5e4-850c-484a-967c-d31482137e4f</vt:lpwstr>
  </property>
  <property fmtid="{D5CDD505-2E9C-101B-9397-08002B2CF9AE}" pid="3" name="ICV">
    <vt:lpwstr>0661f393187d40a38962a5c7dd9abcc5</vt:lpwstr>
  </property>
</Properties>
</file>