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bCs/>
          <w:sz w:val="40"/>
          <w:szCs w:val="40"/>
        </w:rPr>
      </w:pPr>
      <w:r>
        <w:rPr>
          <w:b/>
          <w:bCs/>
          <w:sz w:val="40"/>
          <w:szCs w:val="40"/>
        </w:rPr>
        <w:t>Management Accounting</w:t>
      </w:r>
    </w:p>
    <w:p>
      <w:pPr>
        <w:spacing w:line="259" w:lineRule="auto"/>
        <w:jc w:val="left"/>
        <w:rPr>
          <w:b/>
          <w:bCs/>
          <w:sz w:val="40"/>
          <w:szCs w:val="40"/>
        </w:rPr>
      </w:pPr>
      <w:r>
        <w:rPr>
          <w:b/>
          <w:bCs/>
          <w:sz w:val="40"/>
          <w:szCs w:val="40"/>
        </w:rPr>
        <w:t xml:space="preserve">                                 </w:t>
      </w:r>
    </w:p>
    <w:p>
      <w:pPr>
        <w:spacing w:line="259" w:lineRule="auto"/>
        <w:jc w:val="left"/>
        <w:rPr>
          <w:b/>
          <w:bCs/>
          <w:sz w:val="40"/>
          <w:szCs w:val="40"/>
        </w:rPr>
      </w:pPr>
    </w:p>
    <w:p>
      <w:pPr>
        <w:rPr>
          <w:b/>
          <w:bCs/>
          <w:sz w:val="28"/>
          <w:szCs w:val="24"/>
        </w:rPr>
      </w:pPr>
      <w:r>
        <w:rPr>
          <w:b/>
          <w:bCs/>
          <w:sz w:val="28"/>
          <w:szCs w:val="24"/>
        </w:rPr>
        <w:t>Unit Name: Management</w:t>
      </w:r>
      <w:r>
        <w:rPr>
          <w:b/>
          <w:bCs/>
          <w:sz w:val="28"/>
          <w:szCs w:val="24"/>
        </w:rPr>
        <w:t xml:space="preserve"> Accounting Assessment 2</w:t>
      </w:r>
      <w:bookmarkStart w:id="8" w:name="_GoBack"/>
      <w:bookmarkEnd w:id="8"/>
    </w:p>
    <w:p>
      <w:pPr>
        <w:rPr>
          <w:b/>
          <w:bCs/>
          <w:sz w:val="28"/>
          <w:szCs w:val="24"/>
        </w:rPr>
      </w:pPr>
      <w:r>
        <w:rPr>
          <w:b/>
          <w:bCs/>
          <w:sz w:val="28"/>
          <w:szCs w:val="24"/>
        </w:rPr>
        <w:t>Unit CODE: LCBB500</w:t>
      </w:r>
      <w:r>
        <w:rPr>
          <w:b/>
          <w:bCs/>
          <w:sz w:val="28"/>
          <w:szCs w:val="24"/>
        </w:rPr>
        <w:t>2</w:t>
      </w:r>
    </w:p>
    <w:p>
      <w:pPr>
        <w:rPr>
          <w:b/>
          <w:bCs/>
          <w:sz w:val="28"/>
          <w:szCs w:val="24"/>
        </w:rPr>
      </w:pPr>
      <w:r>
        <w:rPr>
          <w:b/>
          <w:bCs/>
          <w:sz w:val="28"/>
          <w:szCs w:val="24"/>
        </w:rPr>
        <w:t>Student Name: Stanislav Dragov</w:t>
      </w:r>
    </w:p>
    <w:p>
      <w:pPr>
        <w:rPr>
          <w:b/>
          <w:bCs/>
          <w:sz w:val="28"/>
          <w:szCs w:val="24"/>
        </w:rPr>
      </w:pPr>
      <w:r>
        <w:rPr>
          <w:b/>
          <w:bCs/>
          <w:sz w:val="28"/>
          <w:szCs w:val="24"/>
        </w:rPr>
        <w:t>Student ID: 1919084</w:t>
      </w:r>
    </w:p>
    <w:p>
      <w:pPr>
        <w:spacing w:line="259" w:lineRule="auto"/>
        <w:jc w:val="left"/>
        <w:rPr>
          <w:b/>
          <w:bCs/>
          <w:sz w:val="40"/>
          <w:szCs w:val="40"/>
        </w:rPr>
      </w:pPr>
      <w:r>
        <w:rPr>
          <w:b/>
          <w:bCs/>
          <w:sz w:val="40"/>
          <w:szCs w:val="40"/>
        </w:rPr>
        <w:t xml:space="preserve">                                                                                        </w:t>
      </w:r>
      <w:r>
        <w:rPr>
          <w:b/>
          <w:bCs/>
          <w:sz w:val="40"/>
          <w:szCs w:val="40"/>
        </w:rPr>
        <w:br w:type="page"/>
      </w:r>
      <w:r>
        <w:rPr>
          <w:b/>
          <w:bCs/>
          <w:sz w:val="40"/>
          <w:szCs w:val="40"/>
        </w:rPr>
        <w:t xml:space="preserve"> </w:t>
      </w:r>
    </w:p>
    <w:p>
      <w:pPr>
        <w:spacing w:line="259" w:lineRule="auto"/>
        <w:jc w:val="left"/>
        <w:rPr>
          <w:b/>
          <w:bCs/>
          <w:sz w:val="40"/>
          <w:szCs w:val="40"/>
        </w:rPr>
      </w:pPr>
    </w:p>
    <w:sdt>
      <w:sdtPr>
        <w:rPr>
          <w:rFonts w:ascii="Times New Roman" w:hAnsi="Times New Roman" w:cs="Times New Roman" w:eastAsiaTheme="minorHAnsi"/>
          <w:color w:val="auto"/>
          <w:sz w:val="24"/>
          <w:szCs w:val="22"/>
          <w:lang w:val="en-GB"/>
        </w:rPr>
        <w:id w:val="0"/>
      </w:sdtPr>
      <w:sdtEndPr>
        <w:rPr>
          <w:rFonts w:ascii="Times New Roman" w:hAnsi="Times New Roman" w:cs="Times New Roman" w:eastAsiaTheme="minorHAnsi"/>
          <w:b/>
          <w:bCs/>
          <w:color w:val="auto"/>
          <w:sz w:val="24"/>
          <w:szCs w:val="22"/>
          <w:lang w:val="en-GB"/>
        </w:rPr>
      </w:sdtEndPr>
      <w:sdtContent>
        <w:p>
          <w:pPr>
            <w:pStyle w:val="18"/>
            <w:rPr>
              <w:rFonts w:ascii="Times New Roman" w:hAnsi="Times New Roman" w:cs="Times New Roman"/>
            </w:rPr>
          </w:pPr>
          <w:r>
            <w:rPr>
              <w:rFonts w:ascii="Times New Roman" w:hAnsi="Times New Roman" w:cs="Times New Roman"/>
            </w:rPr>
            <w:t>Table of Contents</w:t>
          </w:r>
        </w:p>
        <w:p>
          <w:pPr>
            <w:pStyle w:val="7"/>
            <w:tabs>
              <w:tab w:val="right" w:leader="dot" w:pos="9016"/>
            </w:tabs>
            <w:rPr>
              <w:rFonts w:cs="Times New Roman" w:eastAsiaTheme="minorEastAsia"/>
              <w:sz w:val="22"/>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"_Toc100790652" </w:instrText>
          </w:r>
          <w:r>
            <w:fldChar w:fldCharType="separate"/>
          </w:r>
          <w:r>
            <w:rPr>
              <w:rStyle w:val="10"/>
              <w:rFonts w:cs="Times New Roman"/>
            </w:rPr>
            <w:t>Introduction</w:t>
          </w:r>
          <w:r>
            <w:rPr>
              <w:rFonts w:cs="Times New Roman"/>
            </w:rPr>
            <w:tab/>
          </w:r>
          <w:r>
            <w:rPr>
              <w:rFonts w:cs="Times New Roman"/>
            </w:rPr>
            <w:fldChar w:fldCharType="begin"/>
          </w:r>
          <w:r>
            <w:rPr>
              <w:rFonts w:cs="Times New Roman"/>
            </w:rPr>
            <w:instrText xml:space="preserve"> PAGEREF _Toc100790652 \h </w:instrText>
          </w:r>
          <w:r>
            <w:rPr>
              <w:rFonts w:cs="Times New Roman"/>
            </w:rPr>
            <w:fldChar w:fldCharType="separate"/>
          </w:r>
          <w:r>
            <w:rPr>
              <w:rFonts w:cs="Times New Roman"/>
            </w:rPr>
            <w:t>3</w:t>
          </w:r>
          <w:r>
            <w:rPr>
              <w:rFonts w:cs="Times New Roman"/>
            </w:rPr>
            <w:fldChar w:fldCharType="end"/>
          </w:r>
          <w:r>
            <w:rPr>
              <w:rFonts w:cs="Times New Roman"/>
            </w:rPr>
            <w:fldChar w:fldCharType="end"/>
          </w:r>
        </w:p>
        <w:p>
          <w:pPr>
            <w:pStyle w:val="7"/>
            <w:tabs>
              <w:tab w:val="right" w:leader="dot" w:pos="9016"/>
            </w:tabs>
            <w:rPr>
              <w:rFonts w:cs="Times New Roman" w:eastAsiaTheme="minorEastAsia"/>
              <w:sz w:val="22"/>
            </w:rPr>
          </w:pPr>
          <w:r>
            <w:fldChar w:fldCharType="begin"/>
          </w:r>
          <w:r>
            <w:instrText xml:space="preserve"> HYPERLINK \l "_Toc100790653" </w:instrText>
          </w:r>
          <w:r>
            <w:fldChar w:fldCharType="separate"/>
          </w:r>
          <w:r>
            <w:rPr>
              <w:rStyle w:val="10"/>
              <w:rFonts w:cs="Times New Roman"/>
            </w:rPr>
            <w:t>Part A</w:t>
          </w:r>
          <w:r>
            <w:rPr>
              <w:rFonts w:cs="Times New Roman"/>
            </w:rPr>
            <w:tab/>
          </w:r>
          <w:r>
            <w:rPr>
              <w:rFonts w:cs="Times New Roman"/>
            </w:rPr>
            <w:fldChar w:fldCharType="begin"/>
          </w:r>
          <w:r>
            <w:rPr>
              <w:rFonts w:cs="Times New Roman"/>
            </w:rPr>
            <w:instrText xml:space="preserve"> PAGEREF _Toc100790653 \h </w:instrText>
          </w:r>
          <w:r>
            <w:rPr>
              <w:rFonts w:cs="Times New Roman"/>
            </w:rPr>
            <w:fldChar w:fldCharType="separate"/>
          </w:r>
          <w:r>
            <w:rPr>
              <w:rFonts w:cs="Times New Roman"/>
            </w:rPr>
            <w:t>3</w:t>
          </w:r>
          <w:r>
            <w:rPr>
              <w:rFonts w:cs="Times New Roman"/>
            </w:rPr>
            <w:fldChar w:fldCharType="end"/>
          </w:r>
          <w:r>
            <w:rPr>
              <w:rFonts w:cs="Times New Roman"/>
            </w:rPr>
            <w:fldChar w:fldCharType="end"/>
          </w:r>
        </w:p>
        <w:p>
          <w:pPr>
            <w:pStyle w:val="8"/>
            <w:tabs>
              <w:tab w:val="right" w:leader="dot" w:pos="9016"/>
            </w:tabs>
            <w:rPr>
              <w:rFonts w:cs="Times New Roman" w:eastAsiaTheme="minorEastAsia"/>
              <w:sz w:val="22"/>
            </w:rPr>
          </w:pPr>
          <w:r>
            <w:fldChar w:fldCharType="begin"/>
          </w:r>
          <w:r>
            <w:instrText xml:space="preserve"> HYPERLINK \l "_Toc100790654" </w:instrText>
          </w:r>
          <w:r>
            <w:fldChar w:fldCharType="separate"/>
          </w:r>
          <w:r>
            <w:rPr>
              <w:rStyle w:val="10"/>
              <w:rFonts w:cs="Times New Roman"/>
            </w:rPr>
            <w:t>Requirement 1</w:t>
          </w:r>
          <w:r>
            <w:rPr>
              <w:rFonts w:cs="Times New Roman"/>
            </w:rPr>
            <w:tab/>
          </w:r>
          <w:r>
            <w:rPr>
              <w:rFonts w:cs="Times New Roman"/>
            </w:rPr>
            <w:fldChar w:fldCharType="begin"/>
          </w:r>
          <w:r>
            <w:rPr>
              <w:rFonts w:cs="Times New Roman"/>
            </w:rPr>
            <w:instrText xml:space="preserve"> PAGEREF _Toc100790654 \h </w:instrText>
          </w:r>
          <w:r>
            <w:rPr>
              <w:rFonts w:cs="Times New Roman"/>
            </w:rPr>
            <w:fldChar w:fldCharType="separate"/>
          </w:r>
          <w:r>
            <w:rPr>
              <w:rFonts w:cs="Times New Roman"/>
            </w:rPr>
            <w:t>3</w:t>
          </w:r>
          <w:r>
            <w:rPr>
              <w:rFonts w:cs="Times New Roman"/>
            </w:rPr>
            <w:fldChar w:fldCharType="end"/>
          </w:r>
          <w:r>
            <w:rPr>
              <w:rFonts w:cs="Times New Roman"/>
            </w:rPr>
            <w:fldChar w:fldCharType="end"/>
          </w:r>
        </w:p>
        <w:p>
          <w:pPr>
            <w:pStyle w:val="8"/>
            <w:tabs>
              <w:tab w:val="right" w:leader="dot" w:pos="9016"/>
            </w:tabs>
            <w:rPr>
              <w:rFonts w:cs="Times New Roman" w:eastAsiaTheme="minorEastAsia"/>
              <w:sz w:val="22"/>
            </w:rPr>
          </w:pPr>
          <w:r>
            <w:fldChar w:fldCharType="begin"/>
          </w:r>
          <w:r>
            <w:instrText xml:space="preserve"> HYPERLINK \l "_Toc100790655" </w:instrText>
          </w:r>
          <w:r>
            <w:fldChar w:fldCharType="separate"/>
          </w:r>
          <w:r>
            <w:rPr>
              <w:rStyle w:val="10"/>
              <w:rFonts w:cs="Times New Roman"/>
            </w:rPr>
            <w:t>Requirement 2</w:t>
          </w:r>
          <w:r>
            <w:rPr>
              <w:rFonts w:cs="Times New Roman"/>
            </w:rPr>
            <w:tab/>
          </w:r>
          <w:r>
            <w:rPr>
              <w:rFonts w:cs="Times New Roman"/>
            </w:rPr>
            <w:fldChar w:fldCharType="begin"/>
          </w:r>
          <w:r>
            <w:rPr>
              <w:rFonts w:cs="Times New Roman"/>
            </w:rPr>
            <w:instrText xml:space="preserve"> PAGEREF _Toc100790655 \h </w:instrText>
          </w:r>
          <w:r>
            <w:rPr>
              <w:rFonts w:cs="Times New Roman"/>
            </w:rPr>
            <w:fldChar w:fldCharType="separate"/>
          </w:r>
          <w:r>
            <w:rPr>
              <w:rFonts w:cs="Times New Roman"/>
            </w:rPr>
            <w:t>6</w:t>
          </w:r>
          <w:r>
            <w:rPr>
              <w:rFonts w:cs="Times New Roman"/>
            </w:rPr>
            <w:fldChar w:fldCharType="end"/>
          </w:r>
          <w:r>
            <w:rPr>
              <w:rFonts w:cs="Times New Roman"/>
            </w:rPr>
            <w:fldChar w:fldCharType="end"/>
          </w:r>
        </w:p>
        <w:p>
          <w:pPr>
            <w:pStyle w:val="8"/>
            <w:tabs>
              <w:tab w:val="right" w:leader="dot" w:pos="9016"/>
            </w:tabs>
            <w:rPr>
              <w:rFonts w:cs="Times New Roman" w:eastAsiaTheme="minorEastAsia"/>
              <w:sz w:val="22"/>
            </w:rPr>
          </w:pPr>
          <w:r>
            <w:fldChar w:fldCharType="begin"/>
          </w:r>
          <w:r>
            <w:instrText xml:space="preserve"> HYPERLINK \l "_Toc100790656" </w:instrText>
          </w:r>
          <w:r>
            <w:fldChar w:fldCharType="separate"/>
          </w:r>
          <w:r>
            <w:rPr>
              <w:rStyle w:val="10"/>
              <w:rFonts w:cs="Times New Roman"/>
            </w:rPr>
            <w:t>Requirement 3</w:t>
          </w:r>
          <w:r>
            <w:rPr>
              <w:rFonts w:cs="Times New Roman"/>
            </w:rPr>
            <w:tab/>
          </w:r>
          <w:r>
            <w:rPr>
              <w:rFonts w:cs="Times New Roman"/>
            </w:rPr>
            <w:fldChar w:fldCharType="begin"/>
          </w:r>
          <w:r>
            <w:rPr>
              <w:rFonts w:cs="Times New Roman"/>
            </w:rPr>
            <w:instrText xml:space="preserve"> PAGEREF _Toc100790656 \h </w:instrText>
          </w:r>
          <w:r>
            <w:rPr>
              <w:rFonts w:cs="Times New Roman"/>
            </w:rPr>
            <w:fldChar w:fldCharType="separate"/>
          </w:r>
          <w:r>
            <w:rPr>
              <w:rFonts w:cs="Times New Roman"/>
            </w:rPr>
            <w:t>7</w:t>
          </w:r>
          <w:r>
            <w:rPr>
              <w:rFonts w:cs="Times New Roman"/>
            </w:rPr>
            <w:fldChar w:fldCharType="end"/>
          </w:r>
          <w:r>
            <w:rPr>
              <w:rFonts w:cs="Times New Roman"/>
            </w:rPr>
            <w:fldChar w:fldCharType="end"/>
          </w:r>
        </w:p>
        <w:p>
          <w:pPr>
            <w:pStyle w:val="7"/>
            <w:tabs>
              <w:tab w:val="right" w:leader="dot" w:pos="9016"/>
            </w:tabs>
            <w:rPr>
              <w:rFonts w:cs="Times New Roman" w:eastAsiaTheme="minorEastAsia"/>
              <w:sz w:val="22"/>
            </w:rPr>
          </w:pPr>
          <w:r>
            <w:fldChar w:fldCharType="begin"/>
          </w:r>
          <w:r>
            <w:instrText xml:space="preserve"> HYPERLINK \l "_Toc100790657" </w:instrText>
          </w:r>
          <w:r>
            <w:fldChar w:fldCharType="separate"/>
          </w:r>
          <w:r>
            <w:rPr>
              <w:rStyle w:val="10"/>
              <w:rFonts w:cs="Times New Roman"/>
            </w:rPr>
            <w:t>Part B</w:t>
          </w:r>
          <w:r>
            <w:rPr>
              <w:rFonts w:cs="Times New Roman"/>
            </w:rPr>
            <w:tab/>
          </w:r>
          <w:r>
            <w:rPr>
              <w:rFonts w:cs="Times New Roman"/>
            </w:rPr>
            <w:fldChar w:fldCharType="begin"/>
          </w:r>
          <w:r>
            <w:rPr>
              <w:rFonts w:cs="Times New Roman"/>
            </w:rPr>
            <w:instrText xml:space="preserve"> PAGEREF _Toc100790657 \h </w:instrText>
          </w:r>
          <w:r>
            <w:rPr>
              <w:rFonts w:cs="Times New Roman"/>
            </w:rPr>
            <w:fldChar w:fldCharType="separate"/>
          </w:r>
          <w:r>
            <w:rPr>
              <w:rFonts w:cs="Times New Roman"/>
            </w:rPr>
            <w:t>9</w:t>
          </w:r>
          <w:r>
            <w:rPr>
              <w:rFonts w:cs="Times New Roman"/>
            </w:rPr>
            <w:fldChar w:fldCharType="end"/>
          </w:r>
          <w:r>
            <w:rPr>
              <w:rFonts w:cs="Times New Roman"/>
            </w:rPr>
            <w:fldChar w:fldCharType="end"/>
          </w:r>
        </w:p>
        <w:p>
          <w:pPr>
            <w:pStyle w:val="7"/>
            <w:tabs>
              <w:tab w:val="right" w:leader="dot" w:pos="9016"/>
            </w:tabs>
            <w:rPr>
              <w:rFonts w:cs="Times New Roman" w:eastAsiaTheme="minorEastAsia"/>
              <w:sz w:val="22"/>
            </w:rPr>
          </w:pPr>
          <w:r>
            <w:fldChar w:fldCharType="begin"/>
          </w:r>
          <w:r>
            <w:instrText xml:space="preserve"> HYPERLINK \l "_Toc100790658" </w:instrText>
          </w:r>
          <w:r>
            <w:fldChar w:fldCharType="separate"/>
          </w:r>
          <w:r>
            <w:rPr>
              <w:rStyle w:val="10"/>
              <w:rFonts w:cs="Times New Roman"/>
            </w:rPr>
            <w:t>Conclusion</w:t>
          </w:r>
          <w:r>
            <w:rPr>
              <w:rFonts w:cs="Times New Roman"/>
            </w:rPr>
            <w:tab/>
          </w:r>
          <w:r>
            <w:rPr>
              <w:rFonts w:cs="Times New Roman"/>
            </w:rPr>
            <w:fldChar w:fldCharType="begin"/>
          </w:r>
          <w:r>
            <w:rPr>
              <w:rFonts w:cs="Times New Roman"/>
            </w:rPr>
            <w:instrText xml:space="preserve"> PAGEREF _Toc100790658 \h </w:instrText>
          </w:r>
          <w:r>
            <w:rPr>
              <w:rFonts w:cs="Times New Roman"/>
            </w:rPr>
            <w:fldChar w:fldCharType="separate"/>
          </w:r>
          <w:r>
            <w:rPr>
              <w:rFonts w:cs="Times New Roman"/>
            </w:rPr>
            <w:t>11</w:t>
          </w:r>
          <w:r>
            <w:rPr>
              <w:rFonts w:cs="Times New Roman"/>
            </w:rPr>
            <w:fldChar w:fldCharType="end"/>
          </w:r>
          <w:r>
            <w:rPr>
              <w:rFonts w:cs="Times New Roman"/>
            </w:rPr>
            <w:fldChar w:fldCharType="end"/>
          </w:r>
        </w:p>
        <w:p>
          <w:pPr>
            <w:pStyle w:val="7"/>
            <w:tabs>
              <w:tab w:val="right" w:leader="dot" w:pos="9016"/>
            </w:tabs>
            <w:rPr>
              <w:rFonts w:cs="Times New Roman" w:eastAsiaTheme="minorEastAsia"/>
              <w:sz w:val="22"/>
            </w:rPr>
          </w:pPr>
          <w:r>
            <w:fldChar w:fldCharType="begin"/>
          </w:r>
          <w:r>
            <w:instrText xml:space="preserve"> HYPERLINK \l "_Toc100790659" </w:instrText>
          </w:r>
          <w:r>
            <w:fldChar w:fldCharType="separate"/>
          </w:r>
          <w:r>
            <w:rPr>
              <w:rStyle w:val="10"/>
              <w:rFonts w:cs="Times New Roman"/>
            </w:rPr>
            <w:t>References</w:t>
          </w:r>
          <w:r>
            <w:rPr>
              <w:rFonts w:cs="Times New Roman"/>
            </w:rPr>
            <w:tab/>
          </w:r>
          <w:r>
            <w:rPr>
              <w:rFonts w:cs="Times New Roman"/>
            </w:rPr>
            <w:fldChar w:fldCharType="begin"/>
          </w:r>
          <w:r>
            <w:rPr>
              <w:rFonts w:cs="Times New Roman"/>
            </w:rPr>
            <w:instrText xml:space="preserve"> PAGEREF _Toc100790659 \h </w:instrText>
          </w:r>
          <w:r>
            <w:rPr>
              <w:rFonts w:cs="Times New Roman"/>
            </w:rPr>
            <w:fldChar w:fldCharType="separate"/>
          </w:r>
          <w:r>
            <w:rPr>
              <w:rFonts w:cs="Times New Roman"/>
            </w:rPr>
            <w:t>12</w:t>
          </w:r>
          <w:r>
            <w:rPr>
              <w:rFonts w:cs="Times New Roman"/>
            </w:rPr>
            <w:fldChar w:fldCharType="end"/>
          </w:r>
          <w:r>
            <w:rPr>
              <w:rFonts w:cs="Times New Roman"/>
            </w:rPr>
            <w:fldChar w:fldCharType="end"/>
          </w:r>
        </w:p>
        <w:p>
          <w:r>
            <w:rPr>
              <w:rFonts w:cs="Times New Roman"/>
              <w:b/>
              <w:bCs/>
            </w:rPr>
            <w:fldChar w:fldCharType="end"/>
          </w:r>
        </w:p>
      </w:sdtContent>
    </w:sdt>
    <w:p>
      <w:pPr>
        <w:spacing w:line="259" w:lineRule="auto"/>
        <w:jc w:val="left"/>
        <w:rPr>
          <w:rFonts w:eastAsiaTheme="majorEastAsia" w:cstheme="majorBidi"/>
          <w:color w:val="2F5597" w:themeColor="accent1" w:themeShade="BF"/>
          <w:sz w:val="32"/>
          <w:szCs w:val="32"/>
        </w:rPr>
      </w:pPr>
      <w:r>
        <w:br w:type="page"/>
      </w:r>
    </w:p>
    <w:p>
      <w:pPr>
        <w:pStyle w:val="2"/>
      </w:pPr>
      <w:bookmarkStart w:id="0" w:name="_Toc100790652"/>
      <w:r>
        <w:t>Introduction</w:t>
      </w:r>
      <w:bookmarkEnd w:id="0"/>
    </w:p>
    <w:p>
      <w:r>
        <w:t>Management accounting is a branch of accounting that basically helps the management to monitor and control the business activities of the organisation. From the name of this accounting, it is quite clear that this accounting is a helping tool for the management of the company (</w:t>
      </w:r>
      <w:r>
        <w:rPr>
          <w:rFonts w:cs="Times New Roman"/>
          <w:color w:val="222222"/>
          <w:szCs w:val="24"/>
          <w:shd w:val="clear" w:color="auto" w:fill="FFFFFF"/>
        </w:rPr>
        <w:t>Atrill and McLaney, 2018)</w:t>
      </w:r>
      <w:r>
        <w:t>. Through management accounting, the management of a company can prepare different budgetary reports, variance analyses, etc. The reporting entity of financial accounting is the shareholders on the other hand the reporting entity of the management accounting is the management of the company. With the help of management accounting, the company can plan several controlling and monitoring plans to be implemented for effective function. In this report, some specific aspects have been described as the original budget, flexible budget and variance analysis have been prepared. Then in the next part, an analysis has been performed for going online or using online platforms.</w:t>
      </w:r>
    </w:p>
    <w:p>
      <w:pPr>
        <w:pStyle w:val="2"/>
      </w:pPr>
      <w:bookmarkStart w:id="1" w:name="_Toc100790653"/>
      <w:r>
        <w:t>Part A</w:t>
      </w:r>
      <w:bookmarkEnd w:id="1"/>
    </w:p>
    <w:p>
      <w:pPr>
        <w:pStyle w:val="3"/>
      </w:pPr>
      <w:bookmarkStart w:id="2" w:name="_Toc100790654"/>
      <w:r>
        <w:t>Requirement 1</w:t>
      </w:r>
      <w:bookmarkEnd w:id="2"/>
    </w:p>
    <w:p>
      <w:r>
        <w:t xml:space="preserve">For this reporting purpose, two different variances have been prepared. One is between the original budget and actual cost and the other is between the flexible budget and actual cost. </w:t>
      </w:r>
    </w:p>
    <w:p>
      <w:pPr>
        <w:pStyle w:val="16"/>
        <w:numPr>
          <w:ilvl w:val="0"/>
          <w:numId w:val="1"/>
        </w:numPr>
      </w:pPr>
      <w:r>
        <w:t>Original Budget and Actual Cost</w:t>
      </w:r>
    </w:p>
    <w:p>
      <w:r>
        <w:t>The original budget is basically prepared by the management of the company to have an idea about the costs of the company (</w:t>
      </w:r>
      <w:r>
        <w:rPr>
          <w:rFonts w:cs="Times New Roman"/>
          <w:color w:val="222222"/>
          <w:szCs w:val="24"/>
          <w:shd w:val="clear" w:color="auto" w:fill="FFFFFF"/>
        </w:rPr>
        <w:t>Bromwich and Bhimani, 2020)</w:t>
      </w:r>
      <w:r>
        <w:t>. With the help of the budget, the management can compare with the actual budget and then can analysis the variances.</w:t>
      </w:r>
    </w:p>
    <w:p>
      <w:r>
        <w:t>Given information,</w:t>
      </w:r>
    </w:p>
    <w:tbl>
      <w:tblPr>
        <w:tblStyle w:val="11"/>
        <w:tblW w:w="5000" w:type="pct"/>
        <w:tblInd w:w="0" w:type="dxa"/>
        <w:tblLayout w:type="autofit"/>
        <w:tblCellMar>
          <w:top w:w="0" w:type="dxa"/>
          <w:left w:w="108" w:type="dxa"/>
          <w:bottom w:w="0" w:type="dxa"/>
          <w:right w:w="108" w:type="dxa"/>
        </w:tblCellMar>
      </w:tblPr>
      <w:tblGrid>
        <w:gridCol w:w="5166"/>
        <w:gridCol w:w="2109"/>
        <w:gridCol w:w="1967"/>
      </w:tblGrid>
      <w:tr>
        <w:trPr>
          <w:trHeight w:val="315" w:hRule="atLeast"/>
        </w:trPr>
        <w:tc>
          <w:tcPr>
            <w:tcW w:w="2795" w:type="pct"/>
            <w:tcBorders>
              <w:top w:val="single" w:color="auto" w:sz="4" w:space="0"/>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Description</w:t>
            </w:r>
          </w:p>
        </w:tc>
        <w:tc>
          <w:tcPr>
            <w:tcW w:w="1141"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Original Budget</w:t>
            </w:r>
          </w:p>
        </w:tc>
        <w:tc>
          <w:tcPr>
            <w:tcW w:w="1064"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Actual cost</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Units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80,000.00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Selling Price</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25.00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Variable costs: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Materials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color w:val="000000"/>
              </w:rPr>
              <w:t xml:space="preserve">               2.50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color w:val="000000"/>
              </w:rPr>
              <w:t xml:space="preserve">  280,000.00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Labour</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440,000.00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Overhead</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1.50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120,000.00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Contribution</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760,000.00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Fixed overheads: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Warehouse rental</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Insurance</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r>
      <w:tr>
        <w:trPr>
          <w:trHeight w:val="315" w:hRule="atLeast"/>
        </w:trPr>
        <w:tc>
          <w:tcPr>
            <w:tcW w:w="2795"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Fulltime warehouse supervisor salary</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50,000.00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35,000.00 </w:t>
            </w:r>
          </w:p>
        </w:tc>
      </w:tr>
    </w:tbl>
    <w:p/>
    <w:p>
      <w:r>
        <w:t>Variance Analysis:</w:t>
      </w:r>
    </w:p>
    <w:tbl>
      <w:tblPr>
        <w:tblStyle w:val="11"/>
        <w:tblW w:w="5000" w:type="pct"/>
        <w:tblInd w:w="0" w:type="dxa"/>
        <w:tblLayout w:type="autofit"/>
        <w:tblCellMar>
          <w:top w:w="0" w:type="dxa"/>
          <w:left w:w="108" w:type="dxa"/>
          <w:bottom w:w="0" w:type="dxa"/>
          <w:right w:w="108" w:type="dxa"/>
        </w:tblCellMar>
      </w:tblPr>
      <w:tblGrid>
        <w:gridCol w:w="4122"/>
        <w:gridCol w:w="1775"/>
        <w:gridCol w:w="1775"/>
        <w:gridCol w:w="1570"/>
      </w:tblGrid>
      <w:tr>
        <w:trPr>
          <w:trHeight w:val="315" w:hRule="atLeast"/>
        </w:trPr>
        <w:tc>
          <w:tcPr>
            <w:tcW w:w="2230" w:type="pct"/>
            <w:tcBorders>
              <w:top w:val="single" w:color="auto" w:sz="4" w:space="0"/>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Description</w:t>
            </w:r>
          </w:p>
        </w:tc>
        <w:tc>
          <w:tcPr>
            <w:tcW w:w="960"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Original Budget</w:t>
            </w:r>
          </w:p>
        </w:tc>
        <w:tc>
          <w:tcPr>
            <w:tcW w:w="960"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Actual cost</w:t>
            </w:r>
          </w:p>
        </w:tc>
        <w:tc>
          <w:tcPr>
            <w:tcW w:w="849"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Variance</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Units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80,000.00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20,000.00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Selling Price</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2,500,000.00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1,600,000.00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900,000.00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Variable costs: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Materials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250,000.00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280,000.00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30,000.00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Labour</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440,000.00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40,000.00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Overhead</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150,000.00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120,000.00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30,000.00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Contribution</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760,000.00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940,000.00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Fixed overheads: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Warehouse rental</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30,000.00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Insurance</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Fulltime warehouse supervisor salary</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50,000.00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35,000.00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15,000.00 </w:t>
            </w:r>
          </w:p>
        </w:tc>
      </w:tr>
    </w:tbl>
    <w:p/>
    <w:p>
      <w:pPr>
        <w:pStyle w:val="16"/>
        <w:numPr>
          <w:ilvl w:val="0"/>
          <w:numId w:val="2"/>
        </w:numPr>
      </w:pPr>
      <w:r>
        <w:t>1. Units’ variance is unfavourable variance because in the case of budget the company has assumed that it would be able to sell 100,000 units but in reality, it has been found that the company has sold only 80,000. As a result, the company’s revenue has decreased.</w:t>
      </w:r>
    </w:p>
    <w:p>
      <w:pPr>
        <w:pStyle w:val="16"/>
        <w:numPr>
          <w:ilvl w:val="0"/>
          <w:numId w:val="2"/>
        </w:numPr>
      </w:pPr>
      <w:r>
        <w:t>Selling price has also unfavourable variance because of two impacts. One, the company has sold fewer products, and on the other hand, the actual per unit sale price is lower than the original budget.</w:t>
      </w:r>
    </w:p>
    <w:p>
      <w:pPr>
        <w:pStyle w:val="16"/>
        <w:numPr>
          <w:ilvl w:val="0"/>
          <w:numId w:val="2"/>
        </w:numPr>
      </w:pPr>
      <w:r>
        <w:t xml:space="preserve">Overhead cost has favourable variance because the cost is variable and it is dependent on the level of the output. As the actual output is lower than the original output, that is why this cost has a favourable variance. </w:t>
      </w:r>
    </w:p>
    <w:p>
      <w:pPr>
        <w:pStyle w:val="16"/>
        <w:numPr>
          <w:ilvl w:val="0"/>
          <w:numId w:val="2"/>
        </w:numPr>
      </w:pPr>
      <w:r>
        <w:t xml:space="preserve">Material costs and Labour costs have unfavourable variance because these two costs’ original budget is lower than the actual cost. These two costs should be lower because the output is lower than the budget. Bur due to high material and labour costs, the company has incurred high variable costs. </w:t>
      </w:r>
    </w:p>
    <w:p>
      <w:pPr>
        <w:pStyle w:val="16"/>
        <w:numPr>
          <w:ilvl w:val="0"/>
          <w:numId w:val="2"/>
        </w:numPr>
      </w:pPr>
      <w:r>
        <w:t xml:space="preserve">Due to two high unfavourable variances, the company’s contribution margin has also unfavourable variances. </w:t>
      </w:r>
    </w:p>
    <w:p>
      <w:pPr>
        <w:pStyle w:val="16"/>
        <w:numPr>
          <w:ilvl w:val="0"/>
          <w:numId w:val="2"/>
        </w:numPr>
      </w:pPr>
      <w:r>
        <w:t>In the case of warehouse rent and the salary of supervisory, the company has incurred favourable variances and insurance cost has no variances because this cost is fixed.</w:t>
      </w:r>
    </w:p>
    <w:p/>
    <w:p>
      <w:pPr>
        <w:pStyle w:val="16"/>
        <w:numPr>
          <w:ilvl w:val="0"/>
          <w:numId w:val="1"/>
        </w:numPr>
      </w:pPr>
      <w:r>
        <w:t>Flexible Budget and Actual cost</w:t>
      </w:r>
    </w:p>
    <w:p>
      <w:r>
        <w:t>A flexible budget is a kind of budget that considers the variance in the cost. If the variance between the original budget and actual cost is analysed then it would be found that maximum variances have been incurred due to different output but in the case of a flexible budget, the actual output is used along with the cost of the original budget.</w:t>
      </w:r>
    </w:p>
    <w:p>
      <w:r>
        <w:t>Given information,</w:t>
      </w:r>
    </w:p>
    <w:tbl>
      <w:tblPr>
        <w:tblStyle w:val="11"/>
        <w:tblW w:w="5000" w:type="pct"/>
        <w:tblInd w:w="0" w:type="dxa"/>
        <w:tblLayout w:type="autofit"/>
        <w:tblCellMar>
          <w:top w:w="0" w:type="dxa"/>
          <w:left w:w="108" w:type="dxa"/>
          <w:bottom w:w="0" w:type="dxa"/>
          <w:right w:w="108" w:type="dxa"/>
        </w:tblCellMar>
      </w:tblPr>
      <w:tblGrid>
        <w:gridCol w:w="5166"/>
        <w:gridCol w:w="2109"/>
        <w:gridCol w:w="1967"/>
      </w:tblGrid>
      <w:tr>
        <w:trPr>
          <w:trHeight w:val="315" w:hRule="atLeast"/>
        </w:trPr>
        <w:tc>
          <w:tcPr>
            <w:tcW w:w="2794" w:type="pct"/>
            <w:tcBorders>
              <w:top w:val="single" w:color="auto" w:sz="4" w:space="0"/>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Description</w:t>
            </w:r>
          </w:p>
        </w:tc>
        <w:tc>
          <w:tcPr>
            <w:tcW w:w="1141"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Flexible Budget</w:t>
            </w:r>
          </w:p>
        </w:tc>
        <w:tc>
          <w:tcPr>
            <w:tcW w:w="1064"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Actual cost</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Units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80,000.00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80,000.00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Selling Price</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25.00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Variable costs: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Materials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2.50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280,000.00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Labour</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440,000.00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Overhead</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1.50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120,000.00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Contribution</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760,000.00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Fixed overheads:</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Warehouse rental</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Insurance</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r>
      <w:tr>
        <w:trPr>
          <w:trHeight w:val="315" w:hRule="atLeast"/>
        </w:trPr>
        <w:tc>
          <w:tcPr>
            <w:tcW w:w="2794"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Fulltime warehouse supervisor salary</w:t>
            </w:r>
          </w:p>
        </w:tc>
        <w:tc>
          <w:tcPr>
            <w:tcW w:w="1141"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50,000.00 </w:t>
            </w:r>
          </w:p>
        </w:tc>
        <w:tc>
          <w:tcPr>
            <w:tcW w:w="1064"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35,000.00 </w:t>
            </w:r>
          </w:p>
        </w:tc>
      </w:tr>
    </w:tbl>
    <w:p/>
    <w:p>
      <w:r>
        <w:t>Variance analysis:</w:t>
      </w:r>
    </w:p>
    <w:tbl>
      <w:tblPr>
        <w:tblStyle w:val="11"/>
        <w:tblW w:w="5000" w:type="pct"/>
        <w:tblInd w:w="0" w:type="dxa"/>
        <w:tblLayout w:type="autofit"/>
        <w:tblCellMar>
          <w:top w:w="0" w:type="dxa"/>
          <w:left w:w="108" w:type="dxa"/>
          <w:bottom w:w="0" w:type="dxa"/>
          <w:right w:w="108" w:type="dxa"/>
        </w:tblCellMar>
      </w:tblPr>
      <w:tblGrid>
        <w:gridCol w:w="4122"/>
        <w:gridCol w:w="1775"/>
        <w:gridCol w:w="1775"/>
        <w:gridCol w:w="1570"/>
      </w:tblGrid>
      <w:tr>
        <w:trPr>
          <w:trHeight w:val="315" w:hRule="atLeast"/>
        </w:trPr>
        <w:tc>
          <w:tcPr>
            <w:tcW w:w="2230" w:type="pct"/>
            <w:tcBorders>
              <w:top w:val="single" w:color="auto" w:sz="4" w:space="0"/>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Description</w:t>
            </w:r>
          </w:p>
        </w:tc>
        <w:tc>
          <w:tcPr>
            <w:tcW w:w="960"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Flexible Budget</w:t>
            </w:r>
          </w:p>
        </w:tc>
        <w:tc>
          <w:tcPr>
            <w:tcW w:w="960"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Actual cost</w:t>
            </w:r>
          </w:p>
        </w:tc>
        <w:tc>
          <w:tcPr>
            <w:tcW w:w="849" w:type="pct"/>
            <w:tcBorders>
              <w:top w:val="single" w:color="auto" w:sz="4" w:space="0"/>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Variance</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Units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80,000.00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80,000.00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Selling Price</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1,600,000.00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400,000.00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Variable costs: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Materials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280,000.00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80,000.00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Labour</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320,000.00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440,000.00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- 120,000.00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Overhead</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120,000.00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120,000.00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Contribution</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1,360,000.00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760,000.00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600,000.00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Fixed overheads:</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Warehouse rental</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200,000.00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170,000.00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30,000.00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Insurance</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100,000.00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   </w:t>
            </w:r>
          </w:p>
        </w:tc>
      </w:tr>
      <w:tr>
        <w:trPr>
          <w:trHeight w:val="315" w:hRule="atLeast"/>
        </w:trPr>
        <w:tc>
          <w:tcPr>
            <w:tcW w:w="2230" w:type="pct"/>
            <w:tcBorders>
              <w:top w:val="nil"/>
              <w:left w:val="single" w:color="auto" w:sz="4" w:space="0"/>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Fulltime warehouse supervisor salary</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50,000.00 </w:t>
            </w:r>
          </w:p>
        </w:tc>
        <w:tc>
          <w:tcPr>
            <w:tcW w:w="960" w:type="pct"/>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eastAsia="Times New Roman" w:cs="Times New Roman"/>
                <w:color w:val="000000"/>
                <w:szCs w:val="24"/>
              </w:rPr>
            </w:pPr>
            <w:r>
              <w:rPr>
                <w:rFonts w:eastAsia="Times New Roman" w:cs="Times New Roman"/>
                <w:color w:val="000000"/>
                <w:szCs w:val="24"/>
              </w:rPr>
              <w:t xml:space="preserve">       35,000.00 </w:t>
            </w:r>
          </w:p>
        </w:tc>
        <w:tc>
          <w:tcPr>
            <w:tcW w:w="849" w:type="pct"/>
            <w:tcBorders>
              <w:top w:val="nil"/>
              <w:left w:val="nil"/>
              <w:bottom w:val="single" w:color="auto" w:sz="4" w:space="0"/>
              <w:right w:val="single" w:color="auto" w:sz="4" w:space="0"/>
            </w:tcBorders>
            <w:shd w:val="clear" w:color="auto" w:fill="auto"/>
            <w:noWrap/>
            <w:vAlign w:val="bottom"/>
          </w:tcPr>
          <w:p>
            <w:pPr>
              <w:spacing w:after="0" w:line="240" w:lineRule="auto"/>
              <w:jc w:val="left"/>
              <w:rPr>
                <w:rFonts w:eastAsia="Times New Roman" w:cs="Times New Roman"/>
                <w:color w:val="000000"/>
                <w:szCs w:val="24"/>
              </w:rPr>
            </w:pPr>
            <w:r>
              <w:rPr>
                <w:rFonts w:eastAsia="Times New Roman" w:cs="Times New Roman"/>
                <w:color w:val="000000"/>
                <w:szCs w:val="24"/>
              </w:rPr>
              <w:t xml:space="preserve">    15,000.00 </w:t>
            </w:r>
          </w:p>
        </w:tc>
      </w:tr>
    </w:tbl>
    <w:p/>
    <w:p>
      <w:pPr>
        <w:pStyle w:val="16"/>
        <w:numPr>
          <w:ilvl w:val="0"/>
          <w:numId w:val="3"/>
        </w:numPr>
      </w:pPr>
      <w:r>
        <w:t xml:space="preserve">Sales revenue is unfavourable because the actual sales price is lower than the budget. This could have occurred due to a change in the market condition or the demand for the products of the company. </w:t>
      </w:r>
    </w:p>
    <w:p>
      <w:pPr>
        <w:pStyle w:val="16"/>
        <w:numPr>
          <w:ilvl w:val="0"/>
          <w:numId w:val="3"/>
        </w:numPr>
      </w:pPr>
      <w:r>
        <w:t xml:space="preserve">Material and labour costs have unfavourable variable costs and it has been assumed that the materials price either has become higher or the management has assumed an inaccurate material price or an unrealistic material price. </w:t>
      </w:r>
    </w:p>
    <w:p>
      <w:pPr>
        <w:pStyle w:val="16"/>
        <w:numPr>
          <w:ilvl w:val="0"/>
          <w:numId w:val="3"/>
        </w:numPr>
      </w:pPr>
      <w:r>
        <w:t>Overhead cost has zero variance. It means that the company has estimated the cost correctly.</w:t>
      </w:r>
    </w:p>
    <w:p>
      <w:pPr>
        <w:pStyle w:val="16"/>
        <w:numPr>
          <w:ilvl w:val="0"/>
          <w:numId w:val="3"/>
        </w:numPr>
      </w:pPr>
      <w:r>
        <w:t>But due to high variable costs and low sales revenue, the company has incurred an unfavourable contribution margin.</w:t>
      </w:r>
    </w:p>
    <w:p>
      <w:pPr>
        <w:pStyle w:val="16"/>
        <w:numPr>
          <w:ilvl w:val="0"/>
          <w:numId w:val="3"/>
        </w:numPr>
      </w:pPr>
      <w:r>
        <w:t>Fixed costs have the same variances as the original budget comparison because the output level does not impact the fixed costs.</w:t>
      </w:r>
    </w:p>
    <w:p>
      <w:pPr>
        <w:pStyle w:val="3"/>
      </w:pPr>
      <w:bookmarkStart w:id="3" w:name="_Toc100790655"/>
      <w:r>
        <w:t>Requirement 2</w:t>
      </w:r>
      <w:bookmarkEnd w:id="3"/>
    </w:p>
    <w:p>
      <w:r>
        <w:t>In requirement 1, two variances have been calculated and the variances have been analysed. Now the performance of the company will be discussed in terms of the variance analysis. The company has incurred maximum unfavourable variances and the unfavourable variances are indicating towards the poor performance of the company. The performance of the company has been analysed below:</w:t>
      </w:r>
    </w:p>
    <w:p>
      <w:pPr>
        <w:pStyle w:val="16"/>
        <w:numPr>
          <w:ilvl w:val="0"/>
          <w:numId w:val="4"/>
        </w:numPr>
      </w:pPr>
      <w:r>
        <w:t>The company has sold a lower quantity than the budgeted quantity. There could have several reasons. The company may have not invested in the advertisement and due to this reason, they have sold less. The company’s sales representatives were not capable enough to make the sell to the customers. Market demand for the company has been changed or competitors and substitute products have been increased. Another poor performance on part of the management of the company could be that the management of the company may have not forecasted with proper market research and due to this, the variance occurred.</w:t>
      </w:r>
    </w:p>
    <w:p>
      <w:pPr>
        <w:pStyle w:val="16"/>
        <w:numPr>
          <w:ilvl w:val="0"/>
          <w:numId w:val="4"/>
        </w:numPr>
      </w:pPr>
      <w:r>
        <w:t xml:space="preserve">There have been unfavourable variances in the material and labour costs. These two are directly related to the level of the output. In the case of a flexible budget still there is unfavourable variance. It means that the market price has been increased due to the inflation rate or the changes in the demand curve or the management has not forecasted perfectly. It is not mandatory that there could be one reason behind the unfavourable variances, there could be multiple reasons at the same time behind this variance. </w:t>
      </w:r>
    </w:p>
    <w:p>
      <w:pPr>
        <w:pStyle w:val="16"/>
        <w:numPr>
          <w:ilvl w:val="0"/>
          <w:numId w:val="4"/>
        </w:numPr>
      </w:pPr>
      <w:r>
        <w:t>Fixed cost has also variances. Normally there should be no variance. It could be understood that the management of the company has not used the current market and current organisation situation rather it has used previous information and as a result variance in case of fixed costs occurred.</w:t>
      </w:r>
    </w:p>
    <w:p>
      <w:r>
        <w:t>So, these are the probable reasons behind the variances. Favourable variance is good for the company but not all time. It may create a doubt that probably management has done under-budget so that they can show a favourable variance and as a result good performance of the company.</w:t>
      </w:r>
    </w:p>
    <w:p>
      <w:r>
        <w:t xml:space="preserve">The management should remember that budget helps to better the performance and without being biased while preparing the budget, they should all the probable and potential factors that could affect the company’s activities. </w:t>
      </w:r>
    </w:p>
    <w:p>
      <w:pPr>
        <w:pStyle w:val="3"/>
      </w:pPr>
      <w:bookmarkStart w:id="4" w:name="_Toc100790656"/>
      <w:r>
        <w:t>Requirement 3</w:t>
      </w:r>
      <w:bookmarkEnd w:id="4"/>
    </w:p>
    <w:p>
      <w:r>
        <w:t>After analysing the variance and the performance of the company, some recommendations have been made below:</w:t>
      </w:r>
    </w:p>
    <w:p>
      <w:pPr>
        <w:pStyle w:val="16"/>
        <w:numPr>
          <w:ilvl w:val="0"/>
          <w:numId w:val="5"/>
        </w:numPr>
      </w:pPr>
      <w:r>
        <w:t>The management should not just depend on the historical information of the company rather it should consider the market and the current organisation’s situation (</w:t>
      </w:r>
      <w:r>
        <w:rPr>
          <w:rFonts w:cs="Times New Roman"/>
          <w:color w:val="222222"/>
          <w:szCs w:val="24"/>
          <w:shd w:val="clear" w:color="auto" w:fill="FFFFFF"/>
        </w:rPr>
        <w:t>Hansen et al, 2021)</w:t>
      </w:r>
      <w:r>
        <w:t xml:space="preserve">. Because all the financial periods do not carry the same market factors. For example, during the pandemic period, the maximum company was unable to sell its products. So, if they follow their historical information then the budget would not be a realistic one. So, the management should analysis all the factors before preparing the budget. </w:t>
      </w:r>
    </w:p>
    <w:p>
      <w:pPr>
        <w:pStyle w:val="16"/>
        <w:numPr>
          <w:ilvl w:val="0"/>
          <w:numId w:val="5"/>
        </w:numPr>
      </w:pPr>
      <w:r>
        <w:t>The employees of the company should understand the objective of the company otherwise it is not possible to meet the target. Employees are basically field workers or have a direct connection with the consumers (</w:t>
      </w:r>
      <w:r>
        <w:rPr>
          <w:rFonts w:cs="Times New Roman"/>
          <w:color w:val="222222"/>
          <w:szCs w:val="24"/>
          <w:shd w:val="clear" w:color="auto" w:fill="FFFFFF"/>
        </w:rPr>
        <w:t>Horngren et al, 2019)</w:t>
      </w:r>
      <w:r>
        <w:t>. If they do not understand the company’s target or they are not properly communicated about the target then it will be difficult for the company to achieve the target.</w:t>
      </w:r>
    </w:p>
    <w:p>
      <w:pPr>
        <w:pStyle w:val="16"/>
        <w:numPr>
          <w:ilvl w:val="0"/>
          <w:numId w:val="5"/>
        </w:numPr>
      </w:pPr>
      <w:r>
        <w:t>As the company’s materials price has fluctuated, the company should make an agreement with the suppliers. It could be worked as a precaution against unfavourable variance. When the company makes an agreement with the suppliers, the suppliers cannot increase the price.</w:t>
      </w:r>
    </w:p>
    <w:p>
      <w:r>
        <w:t xml:space="preserve">The recommendations have been made as per the variance report and the performance analysis. Basically, to improve the current situation entire organisation should work very efficiently so that they can achieve the target and management should monitor their work so that the variance does not exceed the expected level. So, to minimise the variances, the management, and the employees should be very careful and efficient so that there are fewer variances. </w:t>
      </w:r>
    </w:p>
    <w:p>
      <w:pPr>
        <w:spacing w:line="259" w:lineRule="auto"/>
        <w:jc w:val="left"/>
      </w:pPr>
      <w:r>
        <w:br w:type="page"/>
      </w:r>
    </w:p>
    <w:p>
      <w:pPr>
        <w:pStyle w:val="2"/>
      </w:pPr>
      <w:bookmarkStart w:id="5" w:name="_Toc100790657"/>
      <w:r>
        <w:t>Part B</w:t>
      </w:r>
      <w:bookmarkEnd w:id="5"/>
    </w:p>
    <w:p>
      <w:r>
        <w:t>In the given case, Mr. Amana has two options. One is to sell online to the potential market and the other is selling products by using Amazon. In these two alternatives, there are several relevant costs. Those costs have been analysed for the two alternatives:</w:t>
      </w:r>
    </w:p>
    <w:p>
      <w:r>
        <w:t>Alternative 1:</w:t>
      </w:r>
    </w:p>
    <w:p>
      <w:r>
        <w:t>In the alternative, the owner of the company has analysed the current market situation and concluded that the competitors in the market have moved on online and he also wants to move 50% of his business online. And due to this, he wants to close Brighton, Birmingham city centre, and Manchester city centre. The company will be incurring the following costs for setting up its online network:</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pPr>
              <w:spacing w:after="0"/>
            </w:pPr>
            <w:r>
              <w:t xml:space="preserve">Cost of setting up delivery network –  </w:t>
            </w:r>
          </w:p>
        </w:tc>
        <w:tc>
          <w:tcPr>
            <w:tcW w:w="4508" w:type="dxa"/>
          </w:tcPr>
          <w:p>
            <w:pPr>
              <w:spacing w:after="0"/>
              <w:jc w:val="center"/>
            </w:pPr>
            <w:r>
              <w:t>£150,000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pPr>
              <w:spacing w:after="0"/>
            </w:pPr>
            <w:r>
              <w:t xml:space="preserve">Cost of upgrading the current website to handle the large volume of sales - </w:t>
            </w:r>
          </w:p>
        </w:tc>
        <w:tc>
          <w:tcPr>
            <w:tcW w:w="4508" w:type="dxa"/>
          </w:tcPr>
          <w:p>
            <w:pPr>
              <w:spacing w:after="0"/>
              <w:jc w:val="center"/>
            </w:pPr>
            <w:r>
              <w:t>£50,000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8" w:type="dxa"/>
          </w:tcPr>
          <w:p>
            <w:pPr>
              <w:spacing w:after="0"/>
            </w:pPr>
            <w:r>
              <w:t xml:space="preserve">Salary of a full-time IT programmer - </w:t>
            </w:r>
          </w:p>
        </w:tc>
        <w:tc>
          <w:tcPr>
            <w:tcW w:w="4508" w:type="dxa"/>
          </w:tcPr>
          <w:p>
            <w:pPr>
              <w:spacing w:after="0"/>
              <w:jc w:val="center"/>
            </w:pPr>
            <w:r>
              <w:t>£35000 per annum</w:t>
            </w:r>
          </w:p>
        </w:tc>
      </w:tr>
    </w:tbl>
    <w:p/>
    <w:p>
      <w:r>
        <w:t>Here, the first two costs are one-time costs. It means that the company will incur only one time these costs. So, these costs can be considered as the initial investment (</w:t>
      </w:r>
      <w:r>
        <w:rPr>
          <w:rFonts w:cs="Times New Roman"/>
          <w:color w:val="222222"/>
          <w:szCs w:val="24"/>
          <w:shd w:val="clear" w:color="auto" w:fill="FFFFFF"/>
        </w:rPr>
        <w:t>RS and Atkinson, 2019)</w:t>
      </w:r>
      <w:r>
        <w:t xml:space="preserve">. So, if the company wants to set up its network, then it will have to invest 200,000 amount of money and it will incur £35,000 fixed cost for the purpose of the salary of the IT programmer. And after setting up its own online channel, it will be able to sell 100,000 units annually and this is guaranteed because of the market demand. </w:t>
      </w:r>
    </w:p>
    <w:p>
      <w:r>
        <w:t>There are lots of qualitative factors that should also be considered by the company:</w:t>
      </w:r>
    </w:p>
    <w:p>
      <w:pPr>
        <w:pStyle w:val="16"/>
        <w:numPr>
          <w:ilvl w:val="0"/>
          <w:numId w:val="5"/>
        </w:numPr>
      </w:pPr>
      <w:r>
        <w:t xml:space="preserve">The company can charge the sales price based on its own pricing policy and it does not need to compete on its own website. But at the same time, the online market for any product is very competitive so it will not be easy for the company to charge any price the company wants. </w:t>
      </w:r>
    </w:p>
    <w:p>
      <w:pPr>
        <w:pStyle w:val="16"/>
        <w:numPr>
          <w:ilvl w:val="0"/>
          <w:numId w:val="5"/>
        </w:numPr>
      </w:pPr>
      <w:r>
        <w:t>The company can bring variations in its products or can add more product lines without any additional cost. Because the network has already been established so it will need not incur any more preliminary costs.</w:t>
      </w:r>
    </w:p>
    <w:p>
      <w:pPr>
        <w:pStyle w:val="16"/>
        <w:numPr>
          <w:ilvl w:val="0"/>
          <w:numId w:val="5"/>
        </w:numPr>
      </w:pPr>
      <w:r>
        <w:t>Here the company has not considered one cost and that is the promotional cost. Because to promote the website, the company will have to invest additional money because it will be closing its three branches and the customers from those branches need to know about the online market, and to let them know, the company will have to invest in the advertisements.</w:t>
      </w:r>
    </w:p>
    <w:p>
      <w:pPr>
        <w:pStyle w:val="16"/>
        <w:numPr>
          <w:ilvl w:val="0"/>
          <w:numId w:val="5"/>
        </w:numPr>
      </w:pPr>
      <w:r>
        <w:t>Another cost has not been considered by the company and that is opportunity cost. The company will be closing its three branches and the sales from those branches should be considered as opportunity cost and the cost that will be saved by the company by closing the branches should also be considered as cost savings (</w:t>
      </w:r>
      <w:r>
        <w:rPr>
          <w:rFonts w:cs="Times New Roman"/>
          <w:color w:val="222222"/>
          <w:szCs w:val="24"/>
          <w:shd w:val="clear" w:color="auto" w:fill="FFFFFF"/>
        </w:rPr>
        <w:t>Weetman, 2011)</w:t>
      </w:r>
      <w:r>
        <w:t>.</w:t>
      </w:r>
    </w:p>
    <w:p>
      <w:r>
        <w:t>Alternative 2:</w:t>
      </w:r>
    </w:p>
    <w:p>
      <w:r>
        <w:t>In alternative 2, the company can use Amazon as the online platform, and here it will need not incur any initial investment or any initial cost. Rather the company will have to incur a 50,000 registration cost and by Amazon, the company will be able to sell 65,000 units of the product despite the competitors. But here several other factors need to be considered:</w:t>
      </w:r>
    </w:p>
    <w:p>
      <w:pPr>
        <w:pStyle w:val="16"/>
        <w:numPr>
          <w:ilvl w:val="0"/>
          <w:numId w:val="5"/>
        </w:numPr>
      </w:pPr>
      <w:r>
        <w:t>This platform consists of huge competition. Unlike the own channel, here the products of the company will be compared and if the consumers are not familiar with the company’s product, then there is a high chance that they will not buy their product.</w:t>
      </w:r>
    </w:p>
    <w:p>
      <w:pPr>
        <w:pStyle w:val="16"/>
        <w:numPr>
          <w:ilvl w:val="0"/>
          <w:numId w:val="5"/>
        </w:numPr>
      </w:pPr>
      <w:r>
        <w:t>Amazon will control the sales of the company. As the company will use this platform, the sales price may be set by Amazon and it will charge a commission based on the product.</w:t>
      </w:r>
    </w:p>
    <w:p>
      <w:pPr>
        <w:pStyle w:val="16"/>
        <w:numPr>
          <w:ilvl w:val="0"/>
          <w:numId w:val="5"/>
        </w:numPr>
      </w:pPr>
      <w:r>
        <w:t>The company will have to follow a strict return policy. Because Amazon wants to give most priority to the customers. So, if there is no fault of the company but the consumers demand a return then the company will have to take back the product.</w:t>
      </w:r>
    </w:p>
    <w:p>
      <w:pPr>
        <w:pStyle w:val="16"/>
        <w:numPr>
          <w:ilvl w:val="0"/>
          <w:numId w:val="5"/>
        </w:numPr>
      </w:pPr>
      <w:r>
        <w:t>The company may have to face huge competition.</w:t>
      </w:r>
    </w:p>
    <w:p>
      <w:r>
        <w:t>Comparison:</w:t>
      </w:r>
    </w:p>
    <w:p>
      <w:pPr>
        <w:pStyle w:val="16"/>
        <w:numPr>
          <w:ilvl w:val="0"/>
          <w:numId w:val="6"/>
        </w:numPr>
      </w:pPr>
      <w:r>
        <w:t>If the company sets up its own network channel, then it will have to invest 200,000 amounts and if it wants to use Amazon then it will have to invest 50,000 as an initial investment. Own channel requires more investment.</w:t>
      </w:r>
    </w:p>
    <w:p>
      <w:pPr>
        <w:pStyle w:val="16"/>
        <w:numPr>
          <w:ilvl w:val="0"/>
          <w:numId w:val="6"/>
        </w:numPr>
      </w:pPr>
      <w:r>
        <w:t>The company will be able to sell more than 30% by its own channel and if the company considers the payback period, then it will be able to regain its initial investment. On the other hand, by using Amazon, the company will be able to sell lower than its own channel.</w:t>
      </w:r>
    </w:p>
    <w:p>
      <w:pPr>
        <w:pStyle w:val="16"/>
        <w:numPr>
          <w:ilvl w:val="0"/>
          <w:numId w:val="6"/>
        </w:numPr>
      </w:pPr>
      <w:r>
        <w:t>The company will have full control over its own network but in the case of Amazon, it will not have any control over there.</w:t>
      </w:r>
    </w:p>
    <w:p>
      <w:pPr>
        <w:pStyle w:val="16"/>
        <w:numPr>
          <w:ilvl w:val="0"/>
          <w:numId w:val="6"/>
        </w:numPr>
      </w:pPr>
      <w:r>
        <w:t xml:space="preserve">The company may be incurring higher opportunity costs if it accepts the Amazon alternative. Because it will be closing its three branches and it is quite possible that the three branches of the company would sell more than 65,000 units aggregately. </w:t>
      </w:r>
    </w:p>
    <w:p>
      <w:r>
        <w:t xml:space="preserve">If the company wants to take a risk and expect a high return, then it should establish its own network and if the company wants to take less risk and a stable revenue then it can choose Amazon as a selling platform. </w:t>
      </w:r>
    </w:p>
    <w:p>
      <w:pPr>
        <w:pStyle w:val="2"/>
      </w:pPr>
      <w:bookmarkStart w:id="6" w:name="_Toc100790658"/>
      <w:r>
        <w:t>Conclusion</w:t>
      </w:r>
      <w:bookmarkEnd w:id="6"/>
    </w:p>
    <w:p>
      <w:r>
        <w:t>In the case of management accounting, the management of the company needs to think about all possible aspects of a matter because it will be able to monitor and control the matter of the business activity effectively. Another matter should also need to be remembered that while considering a project for a company or choosing an alternative, the management should consider all the relevant costs and factors.</w:t>
      </w:r>
    </w:p>
    <w:p>
      <w:pPr>
        <w:spacing w:line="259" w:lineRule="auto"/>
        <w:jc w:val="left"/>
      </w:pPr>
      <w:r>
        <w:br w:type="page"/>
      </w:r>
    </w:p>
    <w:p>
      <w:pPr>
        <w:pStyle w:val="2"/>
      </w:pPr>
      <w:bookmarkStart w:id="7" w:name="_Toc100790659"/>
      <w:r>
        <w:t>References</w:t>
      </w:r>
      <w:bookmarkEnd w:id="7"/>
    </w:p>
    <w:p>
      <w:pPr>
        <w:rPr>
          <w:rFonts w:cs="Times New Roman"/>
          <w:color w:val="222222"/>
          <w:szCs w:val="24"/>
          <w:shd w:val="clear" w:color="auto" w:fill="FFFFFF"/>
        </w:rPr>
      </w:pPr>
      <w:r>
        <w:rPr>
          <w:rFonts w:cs="Times New Roman"/>
          <w:color w:val="222222"/>
          <w:szCs w:val="24"/>
          <w:shd w:val="clear" w:color="auto" w:fill="FFFFFF"/>
        </w:rPr>
        <w:t>Atrill, P. and McLaney, E., 2018. </w:t>
      </w:r>
      <w:r>
        <w:rPr>
          <w:rFonts w:cs="Times New Roman"/>
          <w:i/>
          <w:iCs/>
          <w:color w:val="222222"/>
          <w:szCs w:val="24"/>
          <w:shd w:val="clear" w:color="auto" w:fill="FFFFFF"/>
        </w:rPr>
        <w:t>Management accounting for decision makers</w:t>
      </w:r>
      <w:r>
        <w:rPr>
          <w:rFonts w:cs="Times New Roman"/>
          <w:color w:val="222222"/>
          <w:szCs w:val="24"/>
          <w:shd w:val="clear" w:color="auto" w:fill="FFFFFF"/>
        </w:rPr>
        <w:t>. Pearson Education.</w:t>
      </w:r>
    </w:p>
    <w:p>
      <w:pPr>
        <w:rPr>
          <w:rFonts w:cs="Times New Roman"/>
          <w:color w:val="222222"/>
          <w:szCs w:val="24"/>
          <w:shd w:val="clear" w:color="auto" w:fill="FFFFFF"/>
        </w:rPr>
      </w:pPr>
      <w:r>
        <w:rPr>
          <w:rFonts w:cs="Times New Roman"/>
          <w:color w:val="222222"/>
          <w:szCs w:val="24"/>
          <w:shd w:val="clear" w:color="auto" w:fill="FFFFFF"/>
        </w:rPr>
        <w:t>Bromwich, M. and Bhimani, A., 2020. </w:t>
      </w:r>
      <w:r>
        <w:rPr>
          <w:rFonts w:cs="Times New Roman"/>
          <w:i/>
          <w:iCs/>
          <w:color w:val="222222"/>
          <w:szCs w:val="24"/>
          <w:shd w:val="clear" w:color="auto" w:fill="FFFFFF"/>
        </w:rPr>
        <w:t>Management accounting: Pathways to progress</w:t>
      </w:r>
      <w:r>
        <w:rPr>
          <w:rFonts w:cs="Times New Roman"/>
          <w:color w:val="222222"/>
          <w:szCs w:val="24"/>
          <w:shd w:val="clear" w:color="auto" w:fill="FFFFFF"/>
        </w:rPr>
        <w:t>. Cima publishing.</w:t>
      </w:r>
    </w:p>
    <w:p>
      <w:pPr>
        <w:rPr>
          <w:rFonts w:cs="Times New Roman"/>
          <w:color w:val="222222"/>
          <w:szCs w:val="24"/>
          <w:shd w:val="clear" w:color="auto" w:fill="FFFFFF"/>
        </w:rPr>
      </w:pPr>
      <w:r>
        <w:rPr>
          <w:rFonts w:cs="Times New Roman"/>
          <w:color w:val="222222"/>
          <w:szCs w:val="24"/>
          <w:shd w:val="clear" w:color="auto" w:fill="FFFFFF"/>
        </w:rPr>
        <w:t>Hansen, D.R., Mowen, M.M. and Heitger, D.L., 2021. </w:t>
      </w:r>
      <w:r>
        <w:rPr>
          <w:rFonts w:cs="Times New Roman"/>
          <w:i/>
          <w:iCs/>
          <w:color w:val="222222"/>
          <w:szCs w:val="24"/>
          <w:shd w:val="clear" w:color="auto" w:fill="FFFFFF"/>
        </w:rPr>
        <w:t>Cost management</w:t>
      </w:r>
      <w:r>
        <w:rPr>
          <w:rFonts w:cs="Times New Roman"/>
          <w:color w:val="222222"/>
          <w:szCs w:val="24"/>
          <w:shd w:val="clear" w:color="auto" w:fill="FFFFFF"/>
        </w:rPr>
        <w:t>. Cengage Learning.</w:t>
      </w:r>
    </w:p>
    <w:p>
      <w:pPr>
        <w:rPr>
          <w:rFonts w:cs="Times New Roman"/>
          <w:color w:val="222222"/>
          <w:szCs w:val="24"/>
          <w:shd w:val="clear" w:color="auto" w:fill="FFFFFF"/>
        </w:rPr>
      </w:pPr>
      <w:r>
        <w:rPr>
          <w:rFonts w:cs="Times New Roman"/>
          <w:color w:val="222222"/>
          <w:szCs w:val="24"/>
          <w:shd w:val="clear" w:color="auto" w:fill="FFFFFF"/>
        </w:rPr>
        <w:t>Horngren, C.T., Sundem, G.L., Stratton, W.O., Burgstahler, D. and Schatzberg, J., 2019. </w:t>
      </w:r>
      <w:r>
        <w:rPr>
          <w:rFonts w:cs="Times New Roman"/>
          <w:i/>
          <w:iCs/>
          <w:color w:val="222222"/>
          <w:szCs w:val="24"/>
          <w:shd w:val="clear" w:color="auto" w:fill="FFFFFF"/>
        </w:rPr>
        <w:t>Introduction to management accounting</w:t>
      </w:r>
      <w:r>
        <w:rPr>
          <w:rFonts w:cs="Times New Roman"/>
          <w:color w:val="222222"/>
          <w:szCs w:val="24"/>
          <w:shd w:val="clear" w:color="auto" w:fill="FFFFFF"/>
        </w:rPr>
        <w:t>. Upper Saddle River, NJ: Pearson Prentice Hall.</w:t>
      </w:r>
    </w:p>
    <w:p>
      <w:pPr>
        <w:rPr>
          <w:rFonts w:cs="Times New Roman"/>
          <w:color w:val="222222"/>
          <w:szCs w:val="24"/>
          <w:shd w:val="clear" w:color="auto" w:fill="FFFFFF"/>
        </w:rPr>
      </w:pPr>
      <w:r>
        <w:rPr>
          <w:rFonts w:cs="Times New Roman"/>
          <w:color w:val="222222"/>
          <w:szCs w:val="24"/>
          <w:shd w:val="clear" w:color="auto" w:fill="FFFFFF"/>
        </w:rPr>
        <w:t>RS, R.K. and Atkinson, A.A., 2019. </w:t>
      </w:r>
      <w:r>
        <w:rPr>
          <w:rFonts w:cs="Times New Roman"/>
          <w:i/>
          <w:iCs/>
          <w:color w:val="222222"/>
          <w:szCs w:val="24"/>
          <w:shd w:val="clear" w:color="auto" w:fill="FFFFFF"/>
        </w:rPr>
        <w:t>Advanced management accounting</w:t>
      </w:r>
      <w:r>
        <w:rPr>
          <w:rFonts w:cs="Times New Roman"/>
          <w:color w:val="222222"/>
          <w:szCs w:val="24"/>
          <w:shd w:val="clear" w:color="auto" w:fill="FFFFFF"/>
        </w:rPr>
        <w:t>. Prentice-Hall Inc.</w:t>
      </w:r>
    </w:p>
    <w:p>
      <w:pPr>
        <w:rPr>
          <w:rFonts w:cs="Times New Roman"/>
          <w:color w:val="222222"/>
          <w:szCs w:val="24"/>
          <w:shd w:val="clear" w:color="auto" w:fill="FFFFFF"/>
        </w:rPr>
      </w:pPr>
      <w:r>
        <w:rPr>
          <w:rFonts w:cs="Times New Roman"/>
          <w:color w:val="222222"/>
          <w:szCs w:val="24"/>
          <w:shd w:val="clear" w:color="auto" w:fill="FFFFFF"/>
        </w:rPr>
        <w:t>Weetman, P., 2011. </w:t>
      </w:r>
      <w:r>
        <w:rPr>
          <w:rFonts w:cs="Times New Roman"/>
          <w:i/>
          <w:iCs/>
          <w:color w:val="222222"/>
          <w:szCs w:val="24"/>
          <w:shd w:val="clear" w:color="auto" w:fill="FFFFFF"/>
        </w:rPr>
        <w:t>Financial and management accounting</w:t>
      </w:r>
      <w:r>
        <w:rPr>
          <w:rFonts w:cs="Times New Roman"/>
          <w:color w:val="222222"/>
          <w:szCs w:val="24"/>
          <w:shd w:val="clear" w:color="auto" w:fill="FFFFFF"/>
        </w:rPr>
        <w:t>. Pearson Education Limited.</w:t>
      </w:r>
    </w:p>
    <w:p/>
    <w:p/>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CC"/>
    <w:family w:val="roman"/>
    <w:pitch w:val="default"/>
    <w:sig w:usb0="E0000AFF" w:usb1="00007843" w:usb2="00000001" w:usb3="00000000" w:csb0="400001BF" w:csb1="DFF7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Calibri">
    <w:altName w:val="Helvetica Neue"/>
    <w:panose1 w:val="020F0502020204030204"/>
    <w:charset w:val="CC"/>
    <w:family w:val="swiss"/>
    <w:pitch w:val="default"/>
    <w:sig w:usb0="00000000" w:usb1="00000000" w:usb2="00000009" w:usb3="00000000" w:csb0="000001FF" w:csb1="00000000"/>
  </w:font>
  <w:font w:name="Wingdings">
    <w:panose1 w:val="05000000000000000000"/>
    <w:charset w:val="4D"/>
    <w:family w:val="decorative"/>
    <w:pitch w:val="default"/>
    <w:sig w:usb0="00000000" w:usb1="00000000" w:usb2="00000000" w:usb3="00000000" w:csb0="80000000" w:csb1="00000000"/>
  </w:font>
  <w:font w:name="Symbol">
    <w:altName w:val="Kingsoft Sign"/>
    <w:panose1 w:val="05050102010706020507"/>
    <w:charset w:val="02"/>
    <w:family w:val="decorative"/>
    <w:pitch w:val="default"/>
    <w:sig w:usb0="00000000" w:usb1="00000000" w:usb2="00000000" w:usb3="00000000" w:csb0="80000000" w:csb1="00000000"/>
  </w:font>
  <w:font w:name="Vrinda">
    <w:altName w:val="苹方-简"/>
    <w:panose1 w:val="020B0502040204020203"/>
    <w:charset w:val="00"/>
    <w:family w:val="swiss"/>
    <w:pitch w:val="default"/>
    <w:sig w:usb0="00000000" w:usb1="00000000" w:usb2="00000000" w:usb3="00000000" w:csb0="00000001" w:csb1="00000000"/>
  </w:font>
  <w:font w:name="Calibri Light">
    <w:altName w:val="Helvetica Neue"/>
    <w:panose1 w:val="020F0302020204030204"/>
    <w:charset w:val="CC"/>
    <w:family w:val="swiss"/>
    <w:pitch w:val="default"/>
    <w:sig w:usb0="00000000" w:usb1="00000000" w:usb2="00000009" w:usb3="00000000" w:csb0="000001FF" w:csb1="00000000"/>
  </w:font>
  <w:font w:name="Calibri">
    <w:altName w:val="Helvetica Neue"/>
    <w:panose1 w:val="00000000000000000000"/>
    <w:charset w:val="00"/>
    <w:family w:val="auto"/>
    <w:pitch w:val="default"/>
    <w:sig w:usb0="00000000" w:usb1="00000000" w:usb2="00000000" w:usb3="00000000" w:csb0="00000000" w:csb1="00000000"/>
  </w:font>
  <w:font w:name="Hiragino Sans CNS">
    <w:panose1 w:val="020B0300000000000000"/>
    <w:charset w:val="88"/>
    <w:family w:val="auto"/>
    <w:pitch w:val="default"/>
    <w:sig w:usb0="A00002FF" w:usb1="28CFFDFA" w:usb2="00000016" w:usb3="00000000" w:csb0="00120005" w:csb1="00000000"/>
  </w:font>
  <w:font w:name="Kingsoft Sign">
    <w:panose1 w:val="05050102010706020507"/>
    <w:charset w:val="00"/>
    <w:family w:val="auto"/>
    <w:pitch w:val="default"/>
    <w:sig w:usb0="00000000" w:usb1="10000000" w:usb2="00000000" w:usb3="00000000" w:csb0="00000001" w:csb1="00000000"/>
  </w:font>
  <w:font w:name="SimSun">
    <w:altName w:val="宋体-简"/>
    <w:panose1 w:val="02010600030101010101"/>
    <w:charset w:val="86"/>
    <w:family w:val="auto"/>
    <w:pitch w:val="default"/>
    <w:sig w:usb0="00000000" w:usb1="00000000" w:usb2="00000010" w:usb3="00000000" w:csb0="00040001" w:csb1="00000000"/>
  </w:font>
  <w:font w:name="Segoe UI">
    <w:altName w:val="苹方-简"/>
    <w:panose1 w:val="020B0502040204020203"/>
    <w:charset w:val="00"/>
    <w:family w:val="swiss"/>
    <w:pitch w:val="default"/>
    <w:sig w:usb0="00000000" w:usb1="00000000" w:usb2="00000009" w:usb3="00000000" w:csb0="000001FF" w:csb1="00000000"/>
  </w:font>
  <w:font w:name="Calibri Light">
    <w:altName w:val="Helvetica Neue"/>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6202AC"/>
    <w:multiLevelType w:val="multilevel"/>
    <w:tmpl w:val="036202AC"/>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18E842AA"/>
    <w:multiLevelType w:val="multilevel"/>
    <w:tmpl w:val="18E842AA"/>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3AFF7A72"/>
    <w:multiLevelType w:val="multilevel"/>
    <w:tmpl w:val="3AFF7A72"/>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3">
    <w:nsid w:val="5B9474D4"/>
    <w:multiLevelType w:val="multilevel"/>
    <w:tmpl w:val="5B9474D4"/>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5DC46A14"/>
    <w:multiLevelType w:val="multilevel"/>
    <w:tmpl w:val="5DC46A14"/>
    <w:lvl w:ilvl="0" w:tentative="0">
      <w:start w:val="1"/>
      <w:numFmt w:val="bullet"/>
      <w:lvlText w:val="-"/>
      <w:lvlJc w:val="left"/>
      <w:pPr>
        <w:ind w:left="720" w:hanging="360"/>
      </w:pPr>
      <w:rPr>
        <w:rFonts w:hint="default" w:ascii="Times New Roman" w:hAnsi="Times New Roman" w:cs="Times New Roman" w:eastAsiaTheme="minorHAnsi"/>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EDB728D"/>
    <w:multiLevelType w:val="multilevel"/>
    <w:tmpl w:val="7EDB728D"/>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5"/>
  </w:num>
  <w:num w:numId="2">
    <w:abstractNumId w:val="3"/>
  </w:num>
  <w:num w:numId="3">
    <w:abstractNumId w:val="1"/>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3"/>
  <w:removePersonalInformation/>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E2NrWwNDE3tTA2NjFR0lEKTi0uzszPAykwrAUAoOoxMiwAAAA="/>
  </w:docVars>
  <w:rsids>
    <w:rsidRoot w:val="00C978E6"/>
    <w:rsid w:val="00021E69"/>
    <w:rsid w:val="00033617"/>
    <w:rsid w:val="000E7260"/>
    <w:rsid w:val="00147D84"/>
    <w:rsid w:val="00181EDA"/>
    <w:rsid w:val="001904DC"/>
    <w:rsid w:val="001B283F"/>
    <w:rsid w:val="00211896"/>
    <w:rsid w:val="00250BA5"/>
    <w:rsid w:val="00253B8B"/>
    <w:rsid w:val="00300F00"/>
    <w:rsid w:val="00364CFF"/>
    <w:rsid w:val="003F08DE"/>
    <w:rsid w:val="00461DF0"/>
    <w:rsid w:val="00560ECA"/>
    <w:rsid w:val="005738D7"/>
    <w:rsid w:val="00586266"/>
    <w:rsid w:val="00591957"/>
    <w:rsid w:val="0059484C"/>
    <w:rsid w:val="00601608"/>
    <w:rsid w:val="006913C1"/>
    <w:rsid w:val="0069686B"/>
    <w:rsid w:val="006A4367"/>
    <w:rsid w:val="006B7450"/>
    <w:rsid w:val="00720763"/>
    <w:rsid w:val="00770303"/>
    <w:rsid w:val="008757F0"/>
    <w:rsid w:val="00921A9E"/>
    <w:rsid w:val="0092392E"/>
    <w:rsid w:val="00976709"/>
    <w:rsid w:val="009A1260"/>
    <w:rsid w:val="00AD580F"/>
    <w:rsid w:val="00AE5709"/>
    <w:rsid w:val="00B00C6A"/>
    <w:rsid w:val="00B02E63"/>
    <w:rsid w:val="00B1092A"/>
    <w:rsid w:val="00B7708B"/>
    <w:rsid w:val="00C16259"/>
    <w:rsid w:val="00C777C9"/>
    <w:rsid w:val="00C978E6"/>
    <w:rsid w:val="00CB3D6F"/>
    <w:rsid w:val="00CF37DA"/>
    <w:rsid w:val="00D04B48"/>
    <w:rsid w:val="00D8062C"/>
    <w:rsid w:val="00DC1663"/>
    <w:rsid w:val="00DC5255"/>
    <w:rsid w:val="00E62815"/>
    <w:rsid w:val="00EC3E70"/>
    <w:rsid w:val="00F44710"/>
    <w:rsid w:val="00FE227C"/>
    <w:rsid w:val="5F677249"/>
    <w:rsid w:val="62DAE8D1"/>
    <w:rsid w:val="FD9B4195"/>
    <w:rsid w:val="FDDDD4A8"/>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3"/>
    <w:qFormat/>
    <w:uiPriority w:val="9"/>
    <w:pPr>
      <w:keepNext/>
      <w:keepLines/>
      <w:spacing w:before="240" w:after="0"/>
      <w:jc w:val="left"/>
      <w:outlineLvl w:val="0"/>
    </w:pPr>
    <w:rPr>
      <w:rFonts w:eastAsiaTheme="majorEastAsia" w:cstheme="majorBidi"/>
      <w:color w:val="2F5597" w:themeColor="accent1" w:themeShade="BF"/>
      <w:sz w:val="32"/>
      <w:szCs w:val="32"/>
    </w:rPr>
  </w:style>
  <w:style w:type="paragraph" w:styleId="3">
    <w:name w:val="heading 2"/>
    <w:basedOn w:val="1"/>
    <w:next w:val="1"/>
    <w:link w:val="14"/>
    <w:unhideWhenUsed/>
    <w:qFormat/>
    <w:uiPriority w:val="9"/>
    <w:pPr>
      <w:keepNext/>
      <w:keepLines/>
      <w:spacing w:before="40" w:after="0"/>
      <w:jc w:val="left"/>
      <w:outlineLvl w:val="1"/>
    </w:pPr>
    <w:rPr>
      <w:rFonts w:eastAsiaTheme="majorEastAsia" w:cstheme="majorBidi"/>
      <w:b/>
      <w:color w:val="000000" w:themeColor="text1"/>
      <w:sz w:val="28"/>
      <w:szCs w:val="26"/>
      <w14:textFill>
        <w14:solidFill>
          <w14:schemeClr w14:val="tx1"/>
        </w14:solidFill>
      </w14:textFill>
    </w:rPr>
  </w:style>
  <w:style w:type="paragraph" w:styleId="4">
    <w:name w:val="heading 3"/>
    <w:basedOn w:val="1"/>
    <w:next w:val="1"/>
    <w:link w:val="15"/>
    <w:unhideWhenUsed/>
    <w:qFormat/>
    <w:uiPriority w:val="9"/>
    <w:pPr>
      <w:keepNext/>
      <w:spacing w:before="240" w:after="60"/>
      <w:outlineLvl w:val="2"/>
    </w:pPr>
    <w:rPr>
      <w:rFonts w:eastAsiaTheme="majorEastAsia" w:cstheme="majorBidi"/>
      <w:b/>
      <w:bCs/>
      <w:color w:val="002060"/>
      <w:sz w:val="26"/>
      <w:szCs w:val="26"/>
      <w:u w:val="single"/>
    </w:rPr>
  </w:style>
  <w:style w:type="character" w:default="1" w:styleId="9">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5">
    <w:name w:val="footer"/>
    <w:basedOn w:val="1"/>
    <w:link w:val="20"/>
    <w:unhideWhenUsed/>
    <w:qFormat/>
    <w:uiPriority w:val="99"/>
    <w:pPr>
      <w:tabs>
        <w:tab w:val="center" w:pos="4513"/>
        <w:tab w:val="right" w:pos="9026"/>
      </w:tabs>
      <w:spacing w:after="0" w:line="240" w:lineRule="auto"/>
    </w:pPr>
  </w:style>
  <w:style w:type="paragraph" w:styleId="6">
    <w:name w:val="header"/>
    <w:basedOn w:val="1"/>
    <w:link w:val="19"/>
    <w:unhideWhenUsed/>
    <w:qFormat/>
    <w:uiPriority w:val="99"/>
    <w:pPr>
      <w:tabs>
        <w:tab w:val="center" w:pos="4513"/>
        <w:tab w:val="right" w:pos="9026"/>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40"/>
    </w:pPr>
  </w:style>
  <w:style w:type="character" w:styleId="10">
    <w:name w:val="Hyperlink"/>
    <w:basedOn w:val="9"/>
    <w:unhideWhenUsed/>
    <w:qFormat/>
    <w:uiPriority w:val="99"/>
    <w:rPr>
      <w:color w:val="0563C1" w:themeColor="hyperlink"/>
      <w:u w:val="single"/>
      <w14:textFill>
        <w14:solidFill>
          <w14:schemeClr w14:val="hlink"/>
        </w14:solidFill>
      </w14:textFill>
    </w:rPr>
  </w:style>
  <w:style w:type="table" w:styleId="12">
    <w:name w:val="Table Grid"/>
    <w:basedOn w:val="11"/>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3">
    <w:name w:val="Heading 1 Char"/>
    <w:basedOn w:val="9"/>
    <w:link w:val="2"/>
    <w:qFormat/>
    <w:uiPriority w:val="9"/>
    <w:rPr>
      <w:rFonts w:ascii="Times New Roman" w:hAnsi="Times New Roman" w:eastAsiaTheme="majorEastAsia" w:cstheme="majorBidi"/>
      <w:color w:val="2F5597" w:themeColor="accent1" w:themeShade="BF"/>
      <w:sz w:val="32"/>
      <w:szCs w:val="32"/>
    </w:rPr>
  </w:style>
  <w:style w:type="character" w:customStyle="1" w:styleId="14">
    <w:name w:val="Heading 2 Char"/>
    <w:basedOn w:val="9"/>
    <w:link w:val="3"/>
    <w:qFormat/>
    <w:uiPriority w:val="9"/>
    <w:rPr>
      <w:rFonts w:ascii="Times New Roman" w:hAnsi="Times New Roman" w:eastAsiaTheme="majorEastAsia" w:cstheme="majorBidi"/>
      <w:b/>
      <w:color w:val="000000" w:themeColor="text1"/>
      <w:sz w:val="28"/>
      <w:szCs w:val="26"/>
      <w14:textFill>
        <w14:solidFill>
          <w14:schemeClr w14:val="tx1"/>
        </w14:solidFill>
      </w14:textFill>
    </w:rPr>
  </w:style>
  <w:style w:type="character" w:customStyle="1" w:styleId="15">
    <w:name w:val="Heading 3 Char"/>
    <w:basedOn w:val="9"/>
    <w:link w:val="4"/>
    <w:qFormat/>
    <w:uiPriority w:val="9"/>
    <w:rPr>
      <w:rFonts w:ascii="Times New Roman" w:hAnsi="Times New Roman" w:eastAsiaTheme="majorEastAsia" w:cstheme="majorBidi"/>
      <w:b/>
      <w:bCs/>
      <w:color w:val="002060"/>
      <w:sz w:val="26"/>
      <w:szCs w:val="26"/>
      <w:u w:val="single"/>
    </w:rPr>
  </w:style>
  <w:style w:type="paragraph" w:customStyle="1" w:styleId="16">
    <w:name w:val="List Paragraph"/>
    <w:basedOn w:val="1"/>
    <w:qFormat/>
    <w:uiPriority w:val="34"/>
    <w:pPr>
      <w:ind w:left="720"/>
      <w:contextualSpacing/>
    </w:pPr>
  </w:style>
  <w:style w:type="paragraph" w:customStyle="1" w:styleId="17">
    <w:name w:val="Default"/>
    <w:qFormat/>
    <w:uiPriority w:val="0"/>
    <w:pPr>
      <w:autoSpaceDE w:val="0"/>
      <w:autoSpaceDN w:val="0"/>
      <w:adjustRightInd w:val="0"/>
      <w:spacing w:after="0" w:line="240" w:lineRule="auto"/>
    </w:pPr>
    <w:rPr>
      <w:rFonts w:ascii="Arial" w:hAnsi="Arial" w:cs="Arial" w:eastAsiaTheme="minorHAnsi"/>
      <w:color w:val="000000"/>
      <w:sz w:val="24"/>
      <w:szCs w:val="24"/>
      <w:lang w:val="en-GB" w:eastAsia="en-US" w:bidi="ar-SA"/>
    </w:rPr>
  </w:style>
  <w:style w:type="paragraph" w:customStyle="1" w:styleId="18">
    <w:name w:val="TOC Heading"/>
    <w:basedOn w:val="2"/>
    <w:next w:val="1"/>
    <w:unhideWhenUsed/>
    <w:qFormat/>
    <w:uiPriority w:val="39"/>
    <w:pPr>
      <w:spacing w:line="259" w:lineRule="auto"/>
      <w:outlineLvl w:val="9"/>
    </w:pPr>
    <w:rPr>
      <w:rFonts w:asciiTheme="majorHAnsi" w:hAnsiTheme="majorHAnsi"/>
      <w:lang w:val="en-US"/>
    </w:rPr>
  </w:style>
  <w:style w:type="character" w:customStyle="1" w:styleId="19">
    <w:name w:val="Header Char"/>
    <w:basedOn w:val="9"/>
    <w:link w:val="6"/>
    <w:qFormat/>
    <w:uiPriority w:val="99"/>
    <w:rPr>
      <w:rFonts w:ascii="Times New Roman" w:hAnsi="Times New Roman"/>
      <w:sz w:val="24"/>
    </w:rPr>
  </w:style>
  <w:style w:type="character" w:customStyle="1" w:styleId="20">
    <w:name w:val="Footer Char"/>
    <w:basedOn w:val="9"/>
    <w:link w:val="5"/>
    <w:qFormat/>
    <w:uiPriority w:val="99"/>
    <w:rPr>
      <w:rFonts w:ascii="Times New Roman" w:hAnsi="Times New Roman"/>
      <w:sz w:val="2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2560</Words>
  <Characters>13315</Characters>
  <Lines>420</Lines>
  <Paragraphs>232</Paragraphs>
  <ScaleCrop>false</ScaleCrop>
  <LinksUpToDate>false</LinksUpToDate>
  <CharactersWithSpaces>16332</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2022-04-13T20:04:00Z</dcterms:created>
  <dcterms:modified xsi:type="dcterms:W3CDTF">2022-05-02T21:26:08Z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